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rPr>
          <w:rFonts w:eastAsia="黑体"/>
          <w:b/>
          <w:bCs/>
          <w:sz w:val="84"/>
        </w:rPr>
      </w:pPr>
      <w:r>
        <w:rPr>
          <w:rFonts w:eastAsia="黑体"/>
          <w:b/>
          <w:bCs/>
          <w:sz w:val="84"/>
        </w:rPr>
      </w:r>
      <w:r/>
    </w:p>
    <w:p>
      <w:pPr>
        <w:pStyle w:val="1022"/>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常州市食药纤检中心食品第一批检验检测设备采购项目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JSZC-320400-JZCG-G2026-0315</w:t>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1022"/>
        <w:ind w:firstLine="0"/>
        <w:spacing w:before="0" w:after="0"/>
        <w:rPr>
          <w:rFonts w:hint="eastAsia" w:ascii="宋体" w:hAnsi="宋体"/>
        </w:rPr>
      </w:pPr>
      <w:r>
        <w:rPr>
          <w:rFonts w:hint="eastAsia" w:ascii="宋体" w:hAnsi="宋体"/>
        </w:rPr>
      </w:r>
      <w:r/>
    </w:p>
    <w:p>
      <w:pPr>
        <w:pStyle w:val="965"/>
        <w:spacing w:before="0" w:beforeAutospacing="0" w:after="0" w:afterAutospacing="0" w:line="360" w:lineRule="auto"/>
        <w:widowControl w:val="off"/>
        <w:rPr>
          <w:rFonts w:hint="eastAsia"/>
        </w:rPr>
      </w:pPr>
      <w:r>
        <w:rPr>
          <w:rFonts w:hint="eastAsia"/>
        </w:rPr>
      </w:r>
      <w:r/>
    </w:p>
    <w:p>
      <w:pPr>
        <w:pStyle w:val="965"/>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965"/>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w:t>
      </w:r>
      <w:r>
        <w:rPr>
          <w:rFonts w:hint="eastAsia" w:ascii="等线" w:hAnsi="等线" w:eastAsia="等线" w:cs="等线"/>
          <w:bCs/>
          <w:sz w:val="36"/>
          <w:szCs w:val="36"/>
          <w:lang w:bidi="ar"/>
        </w:rPr>
        <w:t xml:space="preserve">10</w:t>
      </w:r>
      <w:r>
        <w:rPr>
          <w:rFonts w:hint="eastAsia" w:ascii="等线" w:hAnsi="等线" w:eastAsia="等线" w:cs="等线"/>
          <w:bCs/>
          <w:sz w:val="36"/>
          <w:szCs w:val="36"/>
          <w:lang w:bidi="ar"/>
        </w:rPr>
        <w:t xml:space="preserve">月</w:t>
      </w:r>
      <w:r>
        <w:rPr>
          <w:rFonts w:hint="eastAsia" w:ascii="等线" w:hAnsi="等线" w:eastAsia="等线" w:cs="等线"/>
          <w:bCs/>
          <w:sz w:val="36"/>
          <w:szCs w:val="36"/>
          <w:lang w:bidi="ar"/>
        </w:rPr>
        <w:t xml:space="preserve">9</w:t>
      </w:r>
      <w:r>
        <w:rPr>
          <w:rFonts w:hint="eastAsia" w:ascii="等线" w:hAnsi="等线" w:eastAsia="等线" w:cs="等线"/>
          <w:bCs/>
          <w:sz w:val="36"/>
          <w:szCs w:val="36"/>
          <w:lang w:bidi="ar"/>
        </w:rPr>
        <w:t xml:space="preserve">日</w:t>
      </w:r>
      <w:r/>
    </w:p>
    <w:p>
      <w:pPr>
        <w:pStyle w:val="1022"/>
        <w:ind w:firstLine="0"/>
      </w:pPr>
      <w:r>
        <w:rPr>
          <w:rFonts w:hint="eastAsia"/>
        </w:rPr>
        <w:t xml:space="preserve">                        </w:t>
      </w:r>
      <w:r/>
    </w:p>
    <w:p>
      <w:pPr>
        <w:pStyle w:val="1022"/>
        <w:ind w:firstLine="0"/>
      </w:pPr>
      <w:r/>
      <w:r/>
    </w:p>
    <w:p>
      <w:pPr>
        <w:pStyle w:val="1022"/>
        <w:ind w:firstLine="0"/>
      </w:pPr>
      <w:r/>
      <w:r/>
    </w:p>
    <w:p>
      <w:pPr>
        <w:pStyle w:val="1022"/>
        <w:ind w:firstLine="0"/>
        <w:rPr>
          <w:u w:val="single"/>
        </w:rPr>
      </w:pPr>
      <w:r>
        <w:rPr>
          <w:u w:val="single"/>
        </w:rPr>
      </w:r>
      <w:r/>
    </w:p>
    <w:p>
      <w:r/>
      <w:bookmarkStart w:id="0" w:name="_Toc120614210"/>
      <w:r/>
      <w:bookmarkStart w:id="1" w:name="_Toc523127445"/>
      <w:r/>
      <w:bookmarkStart w:id="2" w:name="_Toc479757206"/>
      <w:r/>
      <w:bookmarkStart w:id="3" w:name="_Toc513029200"/>
      <w:r/>
      <w:bookmarkStart w:id="4" w:name="_Toc16938516"/>
      <w:r/>
      <w:bookmarkStart w:id="5" w:name="_Toc20823272"/>
      <w:r/>
      <w:r/>
    </w:p>
    <w:p>
      <w:pPr>
        <w:jc w:val="center"/>
        <w:spacing w:line="480" w:lineRule="auto"/>
        <w:rPr>
          <w:rFonts w:ascii="黑体" w:hAnsi="Arial" w:eastAsia="黑体"/>
          <w:b/>
          <w:sz w:val="44"/>
        </w:rPr>
      </w:pPr>
      <w:r>
        <w:rPr>
          <w:rFonts w:hint="eastAsia" w:ascii="黑体" w:hAnsi="Arial" w:eastAsia="黑体"/>
          <w:b/>
          <w:sz w:val="44"/>
        </w:rPr>
        <w:t xml:space="preserve">总  目</w:t>
      </w:r>
      <w:r>
        <w:rPr>
          <w:rFonts w:hint="eastAsia" w:ascii="黑体" w:hAnsi="Arial" w:eastAsia="黑体"/>
          <w:b/>
          <w:sz w:val="44"/>
        </w:rPr>
        <w:t xml:space="preserve">  录</w:t>
      </w:r>
      <w:r/>
    </w:p>
    <w:p>
      <w:pPr>
        <w:pStyle w:val="960"/>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973"/>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960"/>
        <w:rPr>
          <w:rFonts w:hint="eastAsia" w:asciiTheme="minorHAnsi" w:hAnsiTheme="minorHAnsi" w:eastAsiaTheme="minorEastAsia" w:cstheme="minorBidi"/>
          <w:sz w:val="28"/>
          <w:szCs w:val="32"/>
          <w14:ligatures w14:val="standardContextual"/>
        </w:rPr>
      </w:pPr>
      <w:r/>
      <w:hyperlink w:tooltip="#_Toc175731537" w:anchor="_Toc175731537" w:history="1">
        <w:r>
          <w:rPr>
            <w:rStyle w:val="973"/>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960"/>
        <w:rPr>
          <w:rFonts w:hint="eastAsia" w:asciiTheme="minorHAnsi" w:hAnsiTheme="minorHAnsi" w:eastAsiaTheme="minorEastAsia" w:cstheme="minorBidi"/>
          <w:sz w:val="28"/>
          <w:szCs w:val="32"/>
          <w14:ligatures w14:val="standardContextual"/>
        </w:rPr>
      </w:pPr>
      <w:r/>
      <w:hyperlink w:tooltip="#_Toc175731538" w:anchor="_Toc175731538" w:history="1">
        <w:r>
          <w:rPr>
            <w:rStyle w:val="973"/>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22</w:t>
        </w:r>
        <w:r>
          <w:rPr>
            <w:sz w:val="28"/>
            <w:szCs w:val="28"/>
          </w:rPr>
          <w:fldChar w:fldCharType="end"/>
        </w:r>
      </w:hyperlink>
      <w:r/>
      <w:r/>
    </w:p>
    <w:p>
      <w:pPr>
        <w:pStyle w:val="960"/>
        <w:rPr>
          <w:rFonts w:hint="eastAsia" w:asciiTheme="minorHAnsi" w:hAnsiTheme="minorHAnsi" w:eastAsiaTheme="minorEastAsia" w:cstheme="minorBidi"/>
          <w:sz w:val="28"/>
          <w:szCs w:val="32"/>
          <w14:ligatures w14:val="standardContextual"/>
        </w:rPr>
      </w:pPr>
      <w:r/>
      <w:hyperlink w:tooltip="#_Toc175731539" w:anchor="_Toc175731539" w:history="1">
        <w:r>
          <w:rPr>
            <w:rStyle w:val="973"/>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28</w:t>
        </w:r>
        <w:r>
          <w:rPr>
            <w:sz w:val="28"/>
            <w:szCs w:val="28"/>
          </w:rPr>
          <w:fldChar w:fldCharType="end"/>
        </w:r>
      </w:hyperlink>
      <w:r/>
      <w:r/>
    </w:p>
    <w:p>
      <w:pPr>
        <w:pStyle w:val="960"/>
        <w:rPr>
          <w:rFonts w:hint="eastAsia" w:asciiTheme="minorHAnsi" w:hAnsiTheme="minorHAnsi" w:eastAsiaTheme="minorEastAsia" w:cstheme="minorBidi"/>
          <w:sz w:val="28"/>
          <w:szCs w:val="32"/>
          <w14:ligatures w14:val="standardContextual"/>
        </w:rPr>
      </w:pPr>
      <w:r/>
      <w:hyperlink w:tooltip="#_Toc175731540" w:anchor="_Toc175731540" w:history="1">
        <w:r>
          <w:rPr>
            <w:rStyle w:val="973"/>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43</w:t>
        </w:r>
        <w:r>
          <w:rPr>
            <w:sz w:val="28"/>
            <w:szCs w:val="28"/>
          </w:rPr>
          <w:fldChar w:fldCharType="end"/>
        </w:r>
      </w:hyperlink>
      <w:r/>
      <w:r/>
    </w:p>
    <w:p>
      <w:pPr>
        <w:pStyle w:val="960"/>
        <w:rPr>
          <w:rFonts w:hint="eastAsia" w:asciiTheme="minorHAnsi" w:hAnsiTheme="minorHAnsi" w:eastAsiaTheme="minorEastAsia" w:cstheme="minorBidi"/>
          <w:sz w:val="28"/>
          <w:szCs w:val="32"/>
          <w14:ligatures w14:val="standardContextual"/>
        </w:rPr>
      </w:pPr>
      <w:r/>
      <w:hyperlink w:tooltip="#_Toc175731541" w:anchor="_Toc175731541" w:history="1">
        <w:r>
          <w:rPr>
            <w:rStyle w:val="973"/>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53</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933"/>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933"/>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621"/>
      <w:r/>
      <w:bookmarkStart w:id="8" w:name="_Toc35393790"/>
      <w:r/>
      <w:bookmarkStart w:id="9" w:name="_Toc28359002"/>
      <w:r/>
      <w:bookmarkStart w:id="10" w:name="_Toc28359079"/>
      <w:r/>
      <w:bookmarkStart w:id="11" w:name="_Toc38985263"/>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常州市食品药品纤维质量监督检验中心</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常州市食药纤检中心食品第一批检验检测设备采购项目</w:t>
      </w:r>
      <w:r>
        <w:rPr>
          <w:rFonts w:hint="eastAsia" w:ascii="等线" w:hAnsi="等线" w:eastAsia="等线"/>
          <w:sz w:val="24"/>
          <w:szCs w:val="24"/>
        </w:rPr>
        <w:t xml:space="preserve">(项目</w:t>
      </w:r>
      <w:r>
        <w:rPr>
          <w:rFonts w:hint="eastAsia" w:ascii="等线" w:hAnsi="等线" w:eastAsia="等线"/>
          <w:sz w:val="24"/>
          <w:szCs w:val="24"/>
        </w:rPr>
        <w:t xml:space="preserve">编号：</w:t>
      </w:r>
      <w:r>
        <w:rPr>
          <w:rFonts w:ascii="等线" w:hAnsi="等线" w:eastAsia="等线"/>
          <w:sz w:val="24"/>
          <w:szCs w:val="24"/>
          <w:u w:val="single"/>
        </w:rPr>
        <w:t xml:space="preserve">JSZC-320400-JZCG-G2026</w:t>
      </w:r>
      <w:r>
        <w:rPr>
          <w:rFonts w:ascii="等线" w:hAnsi="等线" w:eastAsia="等线"/>
          <w:sz w:val="24"/>
          <w:szCs w:val="24"/>
          <w:u w:val="single"/>
        </w:rPr>
        <w:t xml:space="preserve">-0315</w:t>
      </w:r>
      <w:r>
        <w:rPr>
          <w:rFonts w:hint="eastAsia" w:ascii="等线" w:hAnsi="等线" w:eastAsia="等线"/>
          <w:sz w:val="24"/>
          <w:szCs w:val="24"/>
        </w:rPr>
        <w:t xml:space="preserve">)</w:t>
      </w:r>
      <w:r>
        <w:rPr>
          <w:rFonts w:hint="eastAsia" w:ascii="等线" w:hAnsi="等线" w:eastAsia="等线"/>
          <w:sz w:val="24"/>
          <w:szCs w:val="24"/>
        </w:rPr>
        <w:t xml:space="preserve">项目进行公开招标采购，欢迎符合条件的供应商投标。</w:t>
      </w:r>
      <w:r/>
    </w:p>
    <w:p>
      <w:pPr>
        <w:pStyle w:val="935"/>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03"/>
      <w:r/>
      <w:bookmarkStart w:id="14" w:name="_Toc28359080"/>
      <w:r/>
      <w:bookmarkStart w:id="15" w:name="_Toc38985264"/>
      <w:r/>
      <w:bookmarkStart w:id="16" w:name="_Toc35393791"/>
      <w:r/>
      <w:bookmarkStart w:id="17" w:name="_Toc35393622"/>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JSZC-320400-JZCG-G2026-0315</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常州市食药纤检中心食品第一批检验检测设备采购项目</w:t>
      </w:r>
      <w:r/>
    </w:p>
    <w:p>
      <w:pPr>
        <w:ind w:firstLine="480"/>
        <w:rPr>
          <w:rFonts w:hint="eastAsia"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175</w:t>
      </w:r>
      <w:r>
        <w:rPr>
          <w:rFonts w:hint="eastAsia" w:ascii="等线" w:hAnsi="等线" w:eastAsia="等线"/>
          <w:sz w:val="24"/>
          <w:szCs w:val="24"/>
        </w:rPr>
        <w:t xml:space="preserve">万元。分包一：人民币</w:t>
      </w:r>
      <w:r>
        <w:rPr>
          <w:rFonts w:ascii="等线" w:hAnsi="等线" w:eastAsia="等线"/>
          <w:sz w:val="24"/>
          <w:szCs w:val="24"/>
        </w:rPr>
        <w:t xml:space="preserve">70</w:t>
      </w:r>
      <w:r>
        <w:rPr>
          <w:rFonts w:hint="eastAsia" w:ascii="等线" w:hAnsi="等线" w:eastAsia="等线"/>
          <w:sz w:val="24"/>
          <w:szCs w:val="24"/>
        </w:rPr>
        <w:t xml:space="preserve">万元</w:t>
      </w:r>
      <w:r>
        <w:rPr>
          <w:rFonts w:ascii="等线" w:hAnsi="等线" w:eastAsia="等线"/>
          <w:sz w:val="24"/>
          <w:szCs w:val="24"/>
        </w:rPr>
        <w:t xml:space="preserve"> </w:t>
      </w:r>
      <w:r>
        <w:rPr>
          <w:rFonts w:hint="eastAsia" w:ascii="等线" w:hAnsi="等线" w:eastAsia="等线"/>
          <w:sz w:val="24"/>
          <w:szCs w:val="24"/>
        </w:rPr>
        <w:t xml:space="preserve">；分包二：人民币</w:t>
      </w:r>
      <w:r>
        <w:rPr>
          <w:rFonts w:ascii="等线" w:hAnsi="等线" w:eastAsia="等线"/>
          <w:sz w:val="24"/>
          <w:szCs w:val="24"/>
        </w:rPr>
        <w:t xml:space="preserve">65</w:t>
      </w:r>
      <w:r>
        <w:rPr>
          <w:rFonts w:hint="eastAsia" w:ascii="等线" w:hAnsi="等线" w:eastAsia="等线"/>
          <w:sz w:val="24"/>
          <w:szCs w:val="24"/>
        </w:rPr>
        <w:t xml:space="preserve">万元；分包三：4</w:t>
      </w:r>
      <w:r>
        <w:rPr>
          <w:rFonts w:ascii="等线" w:hAnsi="等线" w:eastAsia="等线"/>
          <w:sz w:val="24"/>
          <w:szCs w:val="24"/>
        </w:rPr>
        <w:t xml:space="preserve">0</w:t>
      </w:r>
      <w:r>
        <w:rPr>
          <w:rFonts w:hint="eastAsia" w:ascii="等线" w:hAnsi="等线" w:eastAsia="等线"/>
          <w:sz w:val="24"/>
          <w:szCs w:val="24"/>
        </w:rPr>
        <w:t xml:space="preserve">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175</w:t>
      </w:r>
      <w:r>
        <w:rPr>
          <w:rFonts w:hint="eastAsia" w:ascii="等线" w:hAnsi="等线" w:eastAsia="等线"/>
          <w:sz w:val="24"/>
          <w:szCs w:val="24"/>
        </w:rPr>
        <w:t xml:space="preserve">万元。分包一：人民币</w:t>
      </w:r>
      <w:r>
        <w:rPr>
          <w:rFonts w:ascii="等线" w:hAnsi="等线" w:eastAsia="等线"/>
          <w:sz w:val="24"/>
          <w:szCs w:val="24"/>
        </w:rPr>
        <w:t xml:space="preserve">70</w:t>
      </w:r>
      <w:r>
        <w:rPr>
          <w:rFonts w:hint="eastAsia" w:ascii="等线" w:hAnsi="等线" w:eastAsia="等线"/>
          <w:sz w:val="24"/>
          <w:szCs w:val="24"/>
        </w:rPr>
        <w:t xml:space="preserve">万元</w:t>
      </w:r>
      <w:r>
        <w:rPr>
          <w:rFonts w:ascii="等线" w:hAnsi="等线" w:eastAsia="等线"/>
          <w:sz w:val="24"/>
          <w:szCs w:val="24"/>
        </w:rPr>
        <w:t xml:space="preserve"> </w:t>
      </w:r>
      <w:r>
        <w:rPr>
          <w:rFonts w:hint="eastAsia" w:ascii="等线" w:hAnsi="等线" w:eastAsia="等线"/>
          <w:sz w:val="24"/>
          <w:szCs w:val="24"/>
        </w:rPr>
        <w:t xml:space="preserve">；分包二：人民币</w:t>
      </w:r>
      <w:r>
        <w:rPr>
          <w:rFonts w:ascii="等线" w:hAnsi="等线" w:eastAsia="等线"/>
          <w:sz w:val="24"/>
          <w:szCs w:val="24"/>
        </w:rPr>
        <w:t xml:space="preserve">65</w:t>
      </w:r>
      <w:r>
        <w:rPr>
          <w:rFonts w:hint="eastAsia" w:ascii="等线" w:hAnsi="等线" w:eastAsia="等线"/>
          <w:sz w:val="24"/>
          <w:szCs w:val="24"/>
        </w:rPr>
        <w:t xml:space="preserve">万元；分包三：4</w:t>
      </w:r>
      <w:r>
        <w:rPr>
          <w:rFonts w:ascii="等线" w:hAnsi="等线" w:eastAsia="等线"/>
          <w:sz w:val="24"/>
          <w:szCs w:val="24"/>
        </w:rPr>
        <w:t xml:space="preserve">0</w:t>
      </w:r>
      <w:r>
        <w:rPr>
          <w:rFonts w:hint="eastAsia" w:ascii="等线" w:hAnsi="等线" w:eastAsia="等线"/>
          <w:sz w:val="24"/>
          <w:szCs w:val="24"/>
        </w:rPr>
        <w:t xml:space="preserve">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本项目为常州市食药纤检中心食品第一批检验检测设备采购项目，包含电感耦合等离子体发射光谱仪1台、液相色谱仪1台、定氮仪1台。具体内容包括但不</w:t>
      </w:r>
      <w:r>
        <w:rPr>
          <w:rFonts w:ascii="等线" w:hAnsi="等线" w:eastAsia="等线"/>
          <w:sz w:val="24"/>
          <w:szCs w:val="24"/>
        </w:rPr>
        <w:t xml:space="preserve">限于:</w:t>
      </w:r>
      <w:r>
        <w:rPr>
          <w:rFonts w:ascii="等线" w:hAnsi="等线" w:eastAsia="等线"/>
          <w:sz w:val="24"/>
          <w:szCs w:val="24"/>
        </w:rPr>
        <w:t xml:space="preserve">设备的制造（采购）、运输、装卸、安装、调试、测试、售后服务、技术培训等全部工作。</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自合同签订之日起90日内交货并安装调试完毕。</w:t>
      </w:r>
      <w:r/>
    </w:p>
    <w:p>
      <w:pPr>
        <w:pStyle w:val="935"/>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8985265"/>
      <w:r/>
      <w:bookmarkStart w:id="19" w:name="_Toc35393792"/>
      <w:r/>
      <w:bookmarkStart w:id="20" w:name="_Toc28359081"/>
      <w:r/>
      <w:bookmarkStart w:id="21" w:name="_Toc28359004"/>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935"/>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935"/>
        <w:ind w:firstLine="498"/>
        <w:spacing w:before="156" w:after="156" w:line="360" w:lineRule="auto"/>
      </w:pPr>
      <w:r/>
      <w:bookmarkStart w:id="28" w:name="_Toc28359084"/>
      <w:r/>
      <w:bookmarkStart w:id="29" w:name="_Toc35393794"/>
      <w:r/>
      <w:bookmarkStart w:id="30" w:name="_Toc28359007"/>
      <w:r/>
      <w:bookmarkStart w:id="31" w:name="_Toc38985267"/>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935"/>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795"/>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935"/>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935"/>
        <w:ind w:firstLine="498"/>
        <w:spacing w:before="156" w:after="156" w:line="360" w:lineRule="auto"/>
      </w:pPr>
      <w:r/>
      <w:bookmarkStart w:id="36" w:name="_Toc35393627"/>
      <w:r/>
      <w:bookmarkStart w:id="37" w:name="_Toc35393796"/>
      <w:r/>
      <w:bookmarkStart w:id="38" w:name="_Toc28359085"/>
      <w:r/>
      <w:bookmarkStart w:id="39" w:name="_Toc38985269"/>
      <w:r/>
      <w:bookmarkStart w:id="40" w:name="_Toc28359008"/>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6"/>
      <w:r/>
      <w:bookmarkStart w:id="42" w:name="_Toc28359087"/>
      <w:r/>
      <w:bookmarkStart w:id="43" w:name="_Toc28359010"/>
      <w:r/>
      <w:bookmarkStart w:id="44" w:name="_Toc28359009"/>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常州市食品药品纤维质量监督检验中心</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常州市新北区秦岭路178号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联系人：高女士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051986628211</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93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w:t>
      </w:r>
      <w:r>
        <w:rPr>
          <w:rFonts w:hint="eastAsia" w:ascii="等线" w:hAnsi="等线" w:eastAsia="等线"/>
          <w:bCs/>
          <w:sz w:val="24"/>
          <w:szCs w:val="24"/>
        </w:rPr>
        <w:t xml:space="preserve">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br w:type="page" w:clear="all"/>
      </w:r>
      <w:r/>
    </w:p>
    <w:p>
      <w:pPr>
        <w:ind w:firstLine="480"/>
        <w:spacing w:line="560" w:lineRule="exact"/>
        <w:rPr>
          <w:rFonts w:hint="eastAsia" w:ascii="宋体" w:hAnsi="宋体"/>
          <w:sz w:val="24"/>
        </w:rPr>
      </w:pPr>
      <w:r>
        <w:rPr>
          <w:rFonts w:hint="eastAsia" w:ascii="宋体" w:hAnsi="宋体"/>
          <w:sz w:val="24"/>
        </w:rPr>
      </w:r>
      <w:r/>
    </w:p>
    <w:p>
      <w:pPr>
        <w:pStyle w:val="933"/>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20614213"/>
      <w:r/>
      <w:bookmarkStart w:id="48" w:name="_Toc16938518"/>
      <w:r/>
      <w:bookmarkStart w:id="49" w:name="_Toc20823274"/>
      <w:r/>
      <w:bookmarkStart w:id="50" w:name="_Toc513029202"/>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935"/>
        <w:ind w:firstLine="498"/>
        <w:spacing w:before="156" w:after="156" w:line="360" w:lineRule="auto"/>
      </w:pPr>
      <w:r/>
      <w:bookmarkStart w:id="51" w:name="_Toc20823275"/>
      <w:r/>
      <w:bookmarkStart w:id="52" w:name="_Toc120614214"/>
      <w:r/>
      <w:bookmarkStart w:id="53" w:name="_Toc16938519"/>
      <w:r/>
      <w:bookmarkStart w:id="54" w:name="_Toc513029203"/>
      <w:r>
        <w:rPr>
          <w:rFonts w:hint="eastAsia"/>
        </w:rPr>
        <w:t xml:space="preserve">一、总则</w:t>
      </w:r>
      <w:bookmarkEnd w:id="51"/>
      <w:r/>
      <w:bookmarkEnd w:id="52"/>
      <w:r/>
      <w:bookmarkEnd w:id="53"/>
      <w:r/>
      <w:bookmarkEnd w:id="54"/>
      <w:r/>
      <w:r/>
    </w:p>
    <w:p>
      <w:pPr>
        <w:pStyle w:val="936"/>
        <w:ind w:firstLine="420"/>
        <w:spacing w:before="0" w:after="0" w:line="240" w:lineRule="auto"/>
        <w:rPr>
          <w:b w:val="0"/>
          <w:bCs w:val="0"/>
        </w:rPr>
      </w:pPr>
      <w:r/>
      <w:bookmarkStart w:id="55" w:name="_Hlt16619475"/>
      <w:r/>
      <w:bookmarkStart w:id="56" w:name="_Toc458694821"/>
      <w:r/>
      <w:bookmarkStart w:id="57" w:name="_Toc16938520"/>
      <w:r/>
      <w:bookmarkStart w:id="58" w:name="_Toc513029204"/>
      <w:r/>
      <w:bookmarkStart w:id="59" w:name="_Toc20823276"/>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6"/>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6"/>
        <w:ind w:firstLine="420"/>
        <w:spacing w:before="0" w:after="0" w:line="240" w:lineRule="auto"/>
        <w:rPr>
          <w:b w:val="0"/>
          <w:bCs w:val="0"/>
        </w:rPr>
      </w:pPr>
      <w:r/>
      <w:bookmarkStart w:id="63" w:name="_Toc16938522"/>
      <w:r/>
      <w:bookmarkStart w:id="64" w:name="_Toc20823278"/>
      <w:r/>
      <w:bookmarkStart w:id="65" w:name="_Toc513029206"/>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6"/>
        <w:ind w:firstLine="420"/>
        <w:spacing w:before="0" w:after="0" w:line="240" w:lineRule="auto"/>
        <w:rPr>
          <w:b w:val="0"/>
          <w:bCs w:val="0"/>
        </w:rPr>
      </w:pPr>
      <w:r/>
      <w:bookmarkStart w:id="66" w:name="_Toc513029207"/>
      <w:r/>
      <w:bookmarkStart w:id="67" w:name="_Toc20823279"/>
      <w:r/>
      <w:bookmarkStart w:id="68" w:name="_Toc462564067"/>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5"/>
        <w:ind w:firstLine="321"/>
        <w:spacing w:before="156" w:after="156" w:line="360" w:lineRule="auto"/>
      </w:pPr>
      <w:r/>
      <w:bookmarkStart w:id="70" w:name="_Toc16938525"/>
      <w:r/>
      <w:bookmarkStart w:id="71" w:name="_Toc513029209"/>
      <w:r/>
      <w:bookmarkStart w:id="72" w:name="_Toc120614215"/>
      <w:r/>
      <w:bookmarkStart w:id="73" w:name="_Toc20823281"/>
      <w:r>
        <w:rPr>
          <w:rFonts w:hint="eastAsia"/>
        </w:rPr>
        <w:t xml:space="preserve">二、招标文件</w:t>
      </w:r>
      <w:bookmarkEnd w:id="70"/>
      <w:r/>
      <w:bookmarkEnd w:id="71"/>
      <w:r/>
      <w:bookmarkEnd w:id="72"/>
      <w:r/>
      <w:bookmarkEnd w:id="73"/>
      <w:r/>
      <w:r/>
    </w:p>
    <w:p>
      <w:pPr>
        <w:pStyle w:val="936"/>
        <w:ind w:firstLine="420"/>
        <w:spacing w:before="0" w:after="0" w:line="240" w:lineRule="auto"/>
        <w:rPr>
          <w:b w:val="0"/>
          <w:bCs w:val="0"/>
        </w:rPr>
      </w:pPr>
      <w:r/>
      <w:bookmarkStart w:id="74" w:name="_Toc513029210"/>
      <w:r/>
      <w:bookmarkStart w:id="75" w:name="_Toc20823282"/>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560"/>
        <w:spacing w:before="0" w:after="0" w:line="240" w:lineRule="auto"/>
        <w:rPr>
          <w:b w:val="0"/>
          <w:bCs w:val="0"/>
        </w:rPr>
      </w:pPr>
      <w:r/>
      <w:bookmarkStart w:id="77" w:name="_Toc513029211"/>
      <w:r/>
      <w:bookmarkStart w:id="78" w:name="_Toc16938527"/>
      <w:r/>
      <w:bookmarkStart w:id="79" w:name="_Toc462564070"/>
      <w:r/>
      <w:bookmarkStart w:id="80" w:name="_Toc20823283"/>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36"/>
        <w:ind w:firstLine="560"/>
        <w:spacing w:before="0" w:after="0" w:line="240" w:lineRule="auto"/>
        <w:rPr>
          <w:b w:val="0"/>
          <w:bCs w:val="0"/>
        </w:rPr>
      </w:pPr>
      <w:r/>
      <w:bookmarkStart w:id="81" w:name="_Toc513029212"/>
      <w:r/>
      <w:bookmarkStart w:id="82" w:name="_Toc462564071"/>
      <w:r/>
      <w:bookmarkStart w:id="83" w:name="_Toc16938528"/>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5"/>
        <w:ind w:firstLine="482"/>
        <w:spacing w:before="156" w:after="156" w:line="360" w:lineRule="auto"/>
      </w:pPr>
      <w:r/>
      <w:bookmarkStart w:id="85" w:name="_Toc462564072"/>
      <w:r/>
      <w:bookmarkStart w:id="86" w:name="_Toc120614216"/>
      <w:r/>
      <w:bookmarkStart w:id="87" w:name="_Toc20823285"/>
      <w:r/>
      <w:bookmarkStart w:id="88" w:name="_Toc513029213"/>
      <w:r/>
      <w:bookmarkStart w:id="89" w:name="_Toc16938529"/>
      <w:r>
        <w:rPr>
          <w:rFonts w:hint="eastAsia"/>
        </w:rPr>
        <w:t xml:space="preserve">三、投标文件的编制</w:t>
      </w:r>
      <w:bookmarkEnd w:id="85"/>
      <w:r/>
      <w:bookmarkEnd w:id="86"/>
      <w:r/>
      <w:bookmarkEnd w:id="87"/>
      <w:r/>
      <w:bookmarkEnd w:id="88"/>
      <w:r/>
      <w:bookmarkEnd w:id="89"/>
      <w:r/>
      <w:r/>
    </w:p>
    <w:p>
      <w:pPr>
        <w:pStyle w:val="936"/>
        <w:ind w:firstLine="560"/>
        <w:spacing w:before="0" w:after="0" w:line="240" w:lineRule="auto"/>
        <w:rPr>
          <w:bCs w:val="0"/>
        </w:rPr>
      </w:pPr>
      <w:r/>
      <w:bookmarkStart w:id="90" w:name="_Toc462564073"/>
      <w:r/>
      <w:bookmarkStart w:id="91" w:name="_Toc513029214"/>
      <w:r/>
      <w:bookmarkStart w:id="92" w:name="_Toc16938530"/>
      <w:r/>
      <w:bookmarkStart w:id="93" w:name="_Toc20823286"/>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6"/>
        <w:ind w:firstLine="420"/>
        <w:spacing w:before="0" w:after="0" w:line="240" w:lineRule="auto"/>
        <w:rPr>
          <w:b w:val="0"/>
          <w:bCs w:val="0"/>
        </w:rPr>
      </w:pPr>
      <w:r/>
      <w:bookmarkStart w:id="94" w:name="_Toc16938531"/>
      <w:r/>
      <w:bookmarkStart w:id="95" w:name="_Toc513029215"/>
      <w:r/>
      <w:bookmarkStart w:id="96" w:name="_Toc20823287"/>
      <w:r/>
      <w:bookmarkStart w:id="97" w:name="_Toc462564074"/>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6"/>
        <w:ind w:firstLine="420"/>
        <w:spacing w:before="0" w:after="0" w:line="240" w:lineRule="auto"/>
        <w:rPr>
          <w:b w:val="0"/>
          <w:bCs w:val="0"/>
        </w:rPr>
      </w:pPr>
      <w:r/>
      <w:bookmarkStart w:id="98" w:name="_Hlt26668975"/>
      <w:r/>
      <w:bookmarkStart w:id="99" w:name="_Hlt26954838"/>
      <w:r/>
      <w:bookmarkStart w:id="100" w:name="_Hlt26670360"/>
      <w:r/>
      <w:bookmarkStart w:id="101" w:name="_Toc14577357"/>
      <w:r/>
      <w:bookmarkStart w:id="102" w:name="_Toc49090509"/>
      <w:r/>
      <w:bookmarkStart w:id="103" w:name="_Toc513029219"/>
      <w:r/>
      <w:bookmarkStart w:id="104" w:name="_Toc513029216"/>
      <w:r/>
      <w:bookmarkStart w:id="105" w:name="_Toc49090507"/>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6"/>
        <w:ind w:firstLine="420"/>
        <w:spacing w:before="0" w:after="0" w:line="240" w:lineRule="auto"/>
        <w:rPr>
          <w:b w:val="0"/>
          <w:bCs w:val="0"/>
        </w:rPr>
      </w:pPr>
      <w:r/>
      <w:bookmarkStart w:id="112" w:name="_Hlt26670425"/>
      <w:r/>
      <w:bookmarkStart w:id="113" w:name="_Hlt26954731"/>
      <w:r/>
      <w:bookmarkStart w:id="114" w:name="_Hlt26668983"/>
      <w:r/>
      <w:bookmarkStart w:id="115" w:name="_Hlt26670486"/>
      <w:r/>
      <w:bookmarkStart w:id="116" w:name="_Hlt26954848"/>
      <w:r/>
      <w:bookmarkStart w:id="117" w:name="_Hlt26670403"/>
      <w:r/>
      <w:bookmarkStart w:id="118" w:name="_Hlt26670482"/>
      <w:r/>
      <w:bookmarkStart w:id="119" w:name="_Hlt26954846"/>
      <w:r/>
      <w:bookmarkStart w:id="120" w:name="_Hlt26954842"/>
      <w:r/>
      <w:bookmarkStart w:id="121" w:name="_Hlt26954844"/>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w:t>
      </w:r>
      <w:r>
        <w:rPr>
          <w:rFonts w:hint="eastAsia" w:ascii="宋体" w:hAnsi="Arial" w:cs="宋体"/>
          <w:color w:val="000000"/>
          <w:sz w:val="24"/>
          <w:lang w:val="zh-CN"/>
        </w:rPr>
        <w:t xml:space="preserve">、功能设计、实现思路及关键技术等。</w:t>
      </w:r>
      <w:r/>
    </w:p>
    <w:p>
      <w:pPr>
        <w:pStyle w:val="936"/>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36"/>
        <w:ind w:firstLine="420"/>
        <w:spacing w:before="0" w:after="0" w:line="240" w:lineRule="auto"/>
        <w:rPr>
          <w:b w:val="0"/>
          <w:bCs w:val="0"/>
        </w:rPr>
      </w:pPr>
      <w:r/>
      <w:bookmarkStart w:id="124" w:name="_Hlt26954734"/>
      <w:r/>
      <w:bookmarkStart w:id="125" w:name="_Hlt26670489"/>
      <w:r/>
      <w:bookmarkStart w:id="126" w:name="_Hlt26954850"/>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5"/>
        <w:ind w:firstLine="482"/>
        <w:spacing w:before="156" w:after="156" w:line="360" w:lineRule="auto"/>
      </w:pPr>
      <w:r/>
      <w:bookmarkStart w:id="129" w:name="_Hlt26954739"/>
      <w:r/>
      <w:bookmarkStart w:id="130" w:name="_Hlt26954852"/>
      <w:r/>
      <w:bookmarkStart w:id="131" w:name="_Toc120614217"/>
      <w:r/>
      <w:bookmarkStart w:id="132" w:name="_Toc20823296"/>
      <w:r/>
      <w:bookmarkStart w:id="133" w:name="_Toc16938540"/>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936"/>
        <w:ind w:firstLine="560"/>
        <w:spacing w:before="0" w:after="0" w:line="240" w:lineRule="auto"/>
        <w:rPr>
          <w:rFonts w:ascii="黑体"/>
          <w:b w:val="0"/>
          <w:bCs w:val="0"/>
        </w:rPr>
      </w:pPr>
      <w:r/>
      <w:bookmarkStart w:id="135" w:name="_Toc462564084"/>
      <w:r/>
      <w:bookmarkStart w:id="136" w:name="_Toc513029225"/>
      <w:r/>
      <w:bookmarkStart w:id="137" w:name="_Toc20823297"/>
      <w:r/>
      <w:bookmarkStart w:id="138"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
    </w:p>
    <w:p>
      <w:pPr>
        <w:pStyle w:val="936"/>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6"/>
        <w:ind w:firstLine="420"/>
        <w:spacing w:before="0" w:after="0" w:line="240" w:lineRule="auto"/>
        <w:rPr>
          <w:b w:val="0"/>
          <w:bCs w:val="0"/>
        </w:rPr>
      </w:pPr>
      <w:r/>
      <w:bookmarkStart w:id="142" w:name="_Toc20823299"/>
      <w:r/>
      <w:bookmarkStart w:id="143" w:name="_Toc16938543"/>
      <w:r/>
      <w:bookmarkStart w:id="144" w:name="_Toc513029227"/>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6"/>
        <w:ind w:firstLine="420"/>
        <w:spacing w:before="0" w:after="0" w:line="240" w:lineRule="auto"/>
        <w:rPr>
          <w:b w:val="0"/>
          <w:bCs w:val="0"/>
        </w:rPr>
      </w:pPr>
      <w:r/>
      <w:bookmarkStart w:id="145" w:name="_Toc16938544"/>
      <w:r/>
      <w:bookmarkStart w:id="146" w:name="_Toc513029228"/>
      <w:r/>
      <w:bookmarkStart w:id="147" w:name="_Toc20823300"/>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35"/>
        <w:ind w:firstLine="482"/>
        <w:spacing w:before="156" w:after="156" w:line="360" w:lineRule="auto"/>
      </w:pPr>
      <w:r/>
      <w:bookmarkStart w:id="148" w:name="_Toc120614218"/>
      <w:r/>
      <w:bookmarkStart w:id="149" w:name="_Toc16938545"/>
      <w:r/>
      <w:bookmarkStart w:id="150" w:name="_Toc513029229"/>
      <w:r/>
      <w:bookmarkStart w:id="151" w:name="_Toc20823301"/>
      <w:r>
        <w:rPr>
          <w:rFonts w:hint="eastAsia"/>
        </w:rPr>
        <w:t xml:space="preserve">五、开标与评标</w:t>
      </w:r>
      <w:bookmarkEnd w:id="148"/>
      <w:r/>
      <w:bookmarkEnd w:id="149"/>
      <w:r/>
      <w:bookmarkEnd w:id="150"/>
      <w:r/>
      <w:bookmarkEnd w:id="151"/>
      <w:r/>
      <w:r/>
    </w:p>
    <w:p>
      <w:pPr>
        <w:pStyle w:val="936"/>
        <w:ind w:firstLine="420"/>
        <w:spacing w:before="0" w:after="0" w:line="240" w:lineRule="auto"/>
        <w:rPr>
          <w:b w:val="0"/>
          <w:bCs w:val="0"/>
        </w:rPr>
      </w:pPr>
      <w:r/>
      <w:bookmarkStart w:id="152" w:name="_Toc513029230"/>
      <w:r/>
      <w:bookmarkStart w:id="153" w:name="_Toc16938546"/>
      <w:r/>
      <w:bookmarkStart w:id="154" w:name="_Toc20823302"/>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36"/>
        <w:ind w:firstLine="420"/>
        <w:spacing w:before="0" w:after="0" w:line="240" w:lineRule="auto"/>
        <w:rPr>
          <w:b w:val="0"/>
          <w:bCs w:val="0"/>
        </w:rPr>
      </w:pPr>
      <w:r/>
      <w:bookmarkStart w:id="155" w:name="_Toc16938547"/>
      <w:r/>
      <w:bookmarkStart w:id="156" w:name="_Toc513029231"/>
      <w:r/>
      <w:bookmarkStart w:id="157" w:name="_Toc20823303"/>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6"/>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36"/>
        <w:ind w:firstLine="420"/>
        <w:spacing w:before="0" w:after="0" w:line="240" w:lineRule="auto"/>
        <w:rPr>
          <w:b w:val="0"/>
          <w:bCs w:val="0"/>
        </w:rPr>
      </w:pPr>
      <w:r/>
      <w:bookmarkStart w:id="158" w:name="_Toc20823304"/>
      <w:r/>
      <w:bookmarkStart w:id="159" w:name="_Toc513029232"/>
      <w:r/>
      <w:bookmarkStart w:id="160" w:name="_Toc16938548"/>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6"/>
        <w:ind w:firstLine="420"/>
        <w:spacing w:before="0" w:after="0" w:line="240" w:lineRule="auto"/>
        <w:rPr>
          <w:b w:val="0"/>
          <w:bCs w:val="0"/>
        </w:rPr>
      </w:pPr>
      <w:r/>
      <w:bookmarkStart w:id="161" w:name="_Toc16938549"/>
      <w:r/>
      <w:bookmarkStart w:id="162" w:name="_Toc513029233"/>
      <w:r/>
      <w:bookmarkStart w:id="163" w:name="_Toc20823305"/>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w:t>
      </w:r>
      <w:r>
        <w:rPr>
          <w:rFonts w:hint="eastAsia" w:ascii="宋体" w:hAnsi="宋体"/>
          <w:bCs/>
          <w:sz w:val="24"/>
        </w:rPr>
        <w:t xml:space="preserve">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935"/>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36"/>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9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5"/>
        <w:spacing w:before="156" w:after="156" w:line="360" w:lineRule="auto"/>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
    </w:p>
    <w:p>
      <w:pPr>
        <w:pStyle w:val="936"/>
        <w:ind w:firstLine="600"/>
        <w:spacing w:before="0" w:after="0" w:line="240" w:lineRule="auto"/>
        <w:rPr>
          <w:rFonts w:hint="eastAsia" w:ascii="黑体" w:hAnsi="宋体" w:cs="Times New Roman"/>
          <w:b w:val="0"/>
          <w:sz w:val="30"/>
          <w:szCs w:val="30"/>
        </w:rPr>
      </w:pPr>
      <w:r/>
      <w:bookmarkStart w:id="179" w:name="_Toc513029237"/>
      <w:r/>
      <w:bookmarkStart w:id="180" w:name="_Toc16938553"/>
      <w:r/>
      <w:bookmarkStart w:id="181" w:name="_Toc20823309"/>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6"/>
        <w:ind w:firstLine="600"/>
        <w:spacing w:before="0" w:after="0" w:line="240" w:lineRule="auto"/>
        <w:rPr>
          <w:rFonts w:hint="eastAsia" w:ascii="黑体" w:hAnsi="宋体" w:cs="Times New Roman"/>
          <w:b w:val="0"/>
          <w:sz w:val="30"/>
          <w:szCs w:val="30"/>
        </w:rPr>
      </w:pPr>
      <w:r/>
      <w:bookmarkStart w:id="182" w:name="_Toc479757207"/>
      <w:r/>
      <w:bookmarkStart w:id="183" w:name="_Toc20823314"/>
      <w:r/>
      <w:bookmarkStart w:id="184" w:name="_Toc16938558"/>
      <w:r/>
      <w:bookmarkStart w:id="185" w:name="_Toc120614221"/>
      <w:r/>
      <w:bookmarkStart w:id="186" w:name="_Toc513029242"/>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hAnsi="宋体"/>
          <w:sz w:val="24"/>
          <w:szCs w:val="24"/>
        </w:rPr>
        <w:t xml:space="preserve">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w:t>
      </w:r>
      <w:r>
        <w:rPr>
          <w:rFonts w:ascii="宋体" w:hAnsi="宋体"/>
          <w:sz w:val="24"/>
          <w:szCs w:val="24"/>
        </w:rPr>
        <w:t xml:space="preserve">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w:t>
      </w:r>
      <w:r>
        <w:rPr>
          <w:rFonts w:hint="eastAsia" w:ascii="宋体" w:hAnsi="宋体" w:cs="宋体"/>
          <w:color w:val="000000"/>
          <w:sz w:val="24"/>
          <w:szCs w:val="24"/>
        </w:rPr>
        <w:t xml:space="preserve">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45"/>
      </w:pPr>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933"/>
        <w:rPr>
          <w:rFonts w:hint="eastAsia" w:ascii="宋体" w:hAnsi="宋体" w:eastAsia="宋体"/>
          <w:b/>
          <w:bCs/>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Start w:id="188" w:name="_Toc16938559"/>
      <w:r/>
      <w:bookmarkStart w:id="189" w:name="_Toc20823315"/>
      <w:r/>
      <w:bookmarkStart w:id="190" w:name="_Toc27624"/>
      <w:r/>
      <w:bookmarkStart w:id="191" w:name="_Toc513029243"/>
      <w:r/>
      <w:bookmarkEnd w:id="187"/>
      <w:r/>
      <w:r/>
    </w:p>
    <w:p>
      <w:pPr>
        <w:jc w:val="left"/>
        <w:spacing w:line="360" w:lineRule="auto"/>
        <w:rPr>
          <w:rFonts w:hint="eastAsia" w:ascii="宋体" w:hAnsi="宋体" w:cs="宋体"/>
          <w:sz w:val="24"/>
        </w:rPr>
        <w:outlineLvl w:val="0"/>
      </w:pPr>
      <w:r/>
      <w:bookmarkStart w:id="192" w:name="_Toc2600"/>
      <w:r>
        <w:rPr>
          <w:rFonts w:hint="eastAsia" w:ascii="宋体" w:hAnsi="宋体" w:cs="宋体"/>
          <w:sz w:val="24"/>
        </w:rPr>
        <w:t xml:space="preserve">合同编号：</w:t>
      </w:r>
      <w:bookmarkEnd w:id="192"/>
      <w:r/>
      <w:r/>
    </w:p>
    <w:p>
      <w:pPr>
        <w:jc w:val="left"/>
        <w:spacing w:line="360" w:lineRule="auto"/>
        <w:rPr>
          <w:rFonts w:hint="eastAsia" w:ascii="宋体" w:hAnsi="宋体" w:cs="宋体"/>
          <w:sz w:val="24"/>
        </w:rPr>
        <w:outlineLvl w:val="0"/>
      </w:pPr>
      <w:r/>
      <w:bookmarkStart w:id="193" w:name="_Toc13662"/>
      <w:r>
        <w:rPr>
          <w:rFonts w:hint="eastAsia" w:ascii="宋体" w:hAnsi="宋体" w:cs="宋体"/>
          <w:sz w:val="24"/>
        </w:rPr>
        <w:t xml:space="preserve">签订地点：</w:t>
      </w:r>
      <w:bookmarkEnd w:id="193"/>
      <w:r>
        <w:rPr>
          <w:rFonts w:ascii="宋体" w:hAnsi="宋体" w:cs="宋体"/>
          <w:sz w:val="24"/>
        </w:rPr>
        <w:t xml:space="preserve"> </w:t>
      </w:r>
      <w:r/>
    </w:p>
    <w:p>
      <w:pPr>
        <w:jc w:val="left"/>
        <w:spacing w:line="360" w:lineRule="auto"/>
        <w:rPr>
          <w:rFonts w:hint="eastAsia" w:ascii="宋体" w:hAnsi="宋体" w:cs="宋体"/>
          <w:sz w:val="24"/>
          <w:u w:val="single"/>
        </w:rPr>
        <w:outlineLvl w:val="0"/>
      </w:pPr>
      <w:r/>
      <w:bookmarkStart w:id="194" w:name="_Toc18606"/>
      <w:r>
        <w:rPr>
          <w:rFonts w:hint="eastAsia" w:ascii="宋体" w:hAnsi="宋体" w:cs="宋体"/>
          <w:sz w:val="24"/>
        </w:rPr>
        <w:t xml:space="preserve">合同</w:t>
      </w:r>
      <w:r>
        <w:rPr>
          <w:rFonts w:hint="eastAsia" w:ascii="宋体" w:hAnsi="宋体" w:cs="宋体"/>
          <w:sz w:val="24"/>
        </w:rPr>
        <w:t xml:space="preserve">时间:</w:t>
      </w:r>
      <w:bookmarkEnd w:id="194"/>
      <w:r>
        <w:rPr>
          <w:rFonts w:hint="eastAsia" w:ascii="宋体" w:hAnsi="宋体" w:cs="宋体"/>
          <w:sz w:val="24"/>
        </w:rPr>
        <w:t xml:space="preserve"> </w:t>
      </w:r>
      <w:r/>
    </w:p>
    <w:p>
      <w:pPr>
        <w:pStyle w:val="954"/>
        <w:spacing w:line="360" w:lineRule="auto"/>
        <w:rPr>
          <w:rFonts w:hint="eastAsia"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p>
    <w:p>
      <w:pPr>
        <w:pStyle w:val="954"/>
        <w:spacing w:line="360" w:lineRule="auto"/>
        <w:rPr>
          <w:rFonts w:hint="eastAsia" w:hAnsi="宋体" w:cs="宋体"/>
          <w:sz w:val="24"/>
          <w:szCs w:val="24"/>
          <w:u w:val="single"/>
        </w:rPr>
      </w:pPr>
      <w:r>
        <w:rPr>
          <w:rFonts w:hAnsi="宋体" w:cs="宋体"/>
          <w:b/>
          <w:sz w:val="24"/>
          <w:szCs w:val="24"/>
        </w:rPr>
        <w:t xml:space="preserve">中标人（</w:t>
      </w:r>
      <w:r>
        <w:rPr>
          <w:rFonts w:hAnsi="宋体" w:cs="宋体"/>
          <w:b/>
          <w:sz w:val="24"/>
          <w:szCs w:val="24"/>
          <w:lang w:val="zh-CN"/>
        </w:rPr>
        <w:t xml:space="preserve">以下称</w:t>
      </w:r>
      <w:r>
        <w:rPr>
          <w:rFonts w:hAnsi="宋体" w:cs="宋体"/>
          <w:b/>
          <w:sz w:val="24"/>
          <w:szCs w:val="24"/>
        </w:rPr>
        <w:t xml:space="preserve">乙方）: </w:t>
      </w:r>
      <w:r/>
    </w:p>
    <w:p>
      <w:pPr>
        <w:pStyle w:val="945"/>
        <w:ind w:left="840" w:firstLine="4638"/>
        <w:spacing w:line="360" w:lineRule="auto"/>
        <w:rPr>
          <w:rFonts w:hint="eastAsia" w:hAnsi="宋体" w:cs="宋体"/>
          <w:b/>
        </w:rPr>
      </w:pPr>
      <w:r>
        <w:rPr>
          <w:rFonts w:hint="eastAsia" w:hAnsi="宋体" w:cs="宋体"/>
          <w:b/>
        </w:rPr>
      </w:r>
      <w:r/>
    </w:p>
    <w:p>
      <w:pPr>
        <w:pStyle w:val="954"/>
        <w:ind w:firstLine="480"/>
        <w:spacing w:line="360" w:lineRule="auto"/>
        <w:rPr>
          <w:rFonts w:hint="eastAsia"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54"/>
        <w:ind w:firstLine="482"/>
        <w:spacing w:line="360" w:lineRule="auto"/>
        <w:rPr>
          <w:rFonts w:hint="eastAsia" w:hAnsi="宋体" w:cs="宋体"/>
          <w:b/>
          <w:sz w:val="24"/>
          <w:szCs w:val="24"/>
        </w:rPr>
      </w:pPr>
      <w:r>
        <w:rPr>
          <w:rFonts w:hAnsi="宋体" w:cs="宋体"/>
          <w:b/>
          <w:sz w:val="24"/>
          <w:szCs w:val="24"/>
        </w:rPr>
        <w:t xml:space="preserve">第一条 合同标的</w:t>
      </w:r>
      <w:r/>
    </w:p>
    <w:tbl>
      <w:tblPr>
        <w:tblW w:w="4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05"/>
        <w:gridCol w:w="1472"/>
        <w:gridCol w:w="1199"/>
        <w:gridCol w:w="859"/>
      </w:tblGrid>
      <w:tr>
        <w:trPr>
          <w:jc w:val="center"/>
          <w:trHeight w:val="283"/>
        </w:trPr>
        <w:tc>
          <w:tcPr>
            <w:tcW w:w="2379"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设备名称</w:t>
            </w:r>
            <w:r/>
          </w:p>
        </w:tc>
        <w:tc>
          <w:tcPr>
            <w:tcW w:w="1093"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品牌</w:t>
            </w:r>
            <w:r/>
          </w:p>
        </w:tc>
        <w:tc>
          <w:tcPr>
            <w:tcW w:w="890"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规格型号</w:t>
            </w:r>
            <w:r/>
          </w:p>
        </w:tc>
        <w:tc>
          <w:tcPr>
            <w:tcW w:w="638" w:type="pct"/>
            <w:vAlign w:val="center"/>
            <w:textDirection w:val="lrTb"/>
            <w:noWrap w:val="false"/>
          </w:tcPr>
          <w:p>
            <w:pPr>
              <w:jc w:val="center"/>
              <w:spacing w:line="400" w:lineRule="exact"/>
              <w:tabs>
                <w:tab w:val="left" w:pos="426" w:leader="none"/>
              </w:tabs>
              <w:rPr>
                <w:rFonts w:hint="eastAsia" w:ascii="宋体" w:hAnsi="宋体" w:cs="宋体"/>
                <w:b/>
                <w:bCs/>
                <w:sz w:val="24"/>
              </w:rPr>
            </w:pPr>
            <w:r>
              <w:rPr>
                <w:rFonts w:hint="eastAsia" w:ascii="宋体" w:hAnsi="宋体" w:cs="宋体"/>
                <w:b/>
                <w:bCs/>
                <w:sz w:val="24"/>
              </w:rPr>
              <w:t xml:space="preserve">数量</w:t>
            </w:r>
            <w:r/>
          </w:p>
        </w:tc>
      </w:tr>
      <w:tr>
        <w:trPr>
          <w:jc w:val="center"/>
          <w:trHeight w:val="283"/>
        </w:trPr>
        <w:tc>
          <w:tcPr>
            <w:tcW w:w="2379" w:type="pct"/>
            <w:vAlign w:val="center"/>
            <w:textDirection w:val="lrTb"/>
            <w:noWrap w:val="false"/>
          </w:tcPr>
          <w:p>
            <w:pPr>
              <w:jc w:val="center"/>
              <w:rPr>
                <w:rFonts w:hint="eastAsia" w:ascii="宋体" w:hAnsi="宋体" w:cs="宋体"/>
                <w:b/>
                <w:bCs/>
              </w:rPr>
            </w:pPr>
            <w:r>
              <w:rPr>
                <w:rFonts w:hint="eastAsia" w:ascii="宋体" w:hAnsi="宋体" w:cs="宋体"/>
                <w:b/>
                <w:bCs/>
              </w:rPr>
            </w:r>
            <w:r/>
          </w:p>
        </w:tc>
        <w:tc>
          <w:tcPr>
            <w:tcW w:w="1093" w:type="pct"/>
            <w:vAlign w:val="center"/>
            <w:textDirection w:val="lrTb"/>
            <w:noWrap w:val="false"/>
          </w:tcPr>
          <w:p>
            <w:pPr>
              <w:jc w:val="center"/>
            </w:pPr>
            <w:r/>
            <w:r/>
          </w:p>
        </w:tc>
        <w:tc>
          <w:tcPr>
            <w:tcW w:w="890" w:type="pct"/>
            <w:vAlign w:val="center"/>
            <w:textDirection w:val="lrTb"/>
            <w:noWrap w:val="false"/>
          </w:tcPr>
          <w:p>
            <w:pPr>
              <w:jc w:val="left"/>
              <w:rPr>
                <w:rFonts w:hint="eastAsia" w:ascii="宋体" w:hAnsi="宋体" w:cs="宋体"/>
              </w:rPr>
            </w:pPr>
            <w:r>
              <w:rPr>
                <w:rFonts w:hint="eastAsia" w:ascii="宋体" w:hAnsi="宋体" w:cs="宋体"/>
              </w:rPr>
            </w:r>
            <w:r/>
          </w:p>
        </w:tc>
        <w:tc>
          <w:tcPr>
            <w:tcW w:w="638" w:type="pct"/>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bl>
    <w:p>
      <w:pPr>
        <w:pStyle w:val="954"/>
        <w:ind w:firstLine="482"/>
        <w:spacing w:line="360" w:lineRule="auto"/>
        <w:rPr>
          <w:rFonts w:hint="eastAsia" w:hAnsi="宋体" w:cs="宋体"/>
          <w:b/>
          <w:sz w:val="24"/>
          <w:szCs w:val="24"/>
        </w:rPr>
      </w:pPr>
      <w:r>
        <w:rPr>
          <w:rFonts w:hAnsi="宋体" w:cs="宋体"/>
          <w:b/>
          <w:sz w:val="24"/>
          <w:szCs w:val="24"/>
        </w:rPr>
        <w:t xml:space="preserve">第二条 合同价格</w:t>
      </w:r>
      <w:r/>
    </w:p>
    <w:p>
      <w:pPr>
        <w:pStyle w:val="954"/>
        <w:ind w:firstLine="482"/>
        <w:jc w:val="left"/>
        <w:spacing w:line="360" w:lineRule="auto"/>
        <w:rPr>
          <w:rFonts w:hint="eastAsia" w:hAnsi="宋体" w:cs="宋体"/>
          <w:b/>
          <w:sz w:val="24"/>
          <w:szCs w:val="24"/>
        </w:rPr>
      </w:pPr>
      <w:r>
        <w:rPr>
          <w:rFonts w:hAnsi="宋体" w:cs="宋体"/>
          <w:b/>
          <w:sz w:val="24"/>
          <w:szCs w:val="24"/>
        </w:rPr>
        <w:t xml:space="preserve">签约合同总价（人民币，下同）：</w:t>
      </w:r>
      <w:r>
        <w:rPr>
          <w:rFonts w:hint="eastAsia" w:hAnsi="宋体" w:cs="宋体"/>
          <w:b/>
          <w:sz w:val="24"/>
          <w:szCs w:val="24"/>
        </w:rPr>
        <w:t xml:space="preserve">    元</w:t>
      </w:r>
      <w:r>
        <w:rPr>
          <w:rFonts w:hint="eastAsia" w:hAnsi="宋体" w:cs="宋体"/>
          <w:b/>
          <w:sz w:val="24"/>
          <w:szCs w:val="24"/>
        </w:rPr>
        <w:t xml:space="preserve">(大写</w:t>
      </w:r>
      <w:r>
        <w:rPr>
          <w:rFonts w:hint="eastAsia" w:hAnsi="宋体" w:cs="宋体"/>
          <w:b/>
          <w:sz w:val="24"/>
          <w:szCs w:val="24"/>
        </w:rPr>
        <w:t xml:space="preserve">：   </w:t>
      </w:r>
      <w:r>
        <w:rPr>
          <w:rFonts w:hint="eastAsia" w:hAnsi="宋体" w:cs="宋体"/>
          <w:b/>
          <w:sz w:val="24"/>
          <w:szCs w:val="24"/>
        </w:rPr>
        <w:t xml:space="preserve"> )</w:t>
      </w:r>
      <w:r>
        <w:rPr>
          <w:rFonts w:hAnsi="宋体" w:cs="宋体"/>
          <w:b/>
          <w:sz w:val="24"/>
          <w:szCs w:val="24"/>
        </w:rPr>
        <w:t xml:space="preserve"> </w:t>
      </w:r>
      <w:r/>
    </w:p>
    <w:p>
      <w:pPr>
        <w:pStyle w:val="954"/>
        <w:ind w:firstLine="480"/>
        <w:spacing w:line="360" w:lineRule="auto"/>
        <w:rPr>
          <w:rFonts w:hint="eastAsia" w:hAnsi="宋体" w:cs="宋体"/>
          <w:sz w:val="24"/>
          <w:szCs w:val="24"/>
        </w:rPr>
      </w:pPr>
      <w:r>
        <w:rPr>
          <w:rFonts w:hAnsi="宋体" w:cs="宋体"/>
          <w:sz w:val="24"/>
          <w:szCs w:val="24"/>
        </w:rPr>
        <w:t xml:space="preserve">本合同总价款是货物设计、制造、包装、仓储、运输装卸、安装、调试、测试、保险及其材料及验收合格之前保管及保修期内备品备件、</w:t>
      </w:r>
      <w:r>
        <w:rPr>
          <w:rFonts w:hAnsi="宋体" w:cs="宋体"/>
          <w:bCs/>
          <w:sz w:val="24"/>
          <w:szCs w:val="24"/>
        </w:rPr>
        <w:t xml:space="preserve">耗材、运送工具、</w:t>
      </w:r>
      <w:r>
        <w:rPr>
          <w:rFonts w:hAnsi="宋体" w:cs="宋体"/>
          <w:sz w:val="24"/>
          <w:szCs w:val="24"/>
        </w:rPr>
        <w:t xml:space="preserve">专用工具、伴随服务、技术图纸资料、人员培训发生的所有含税费用、支付给员工的工资和国家强制缴纳的各种社会保障资金，以及乙方认为需要的其他费用等。</w:t>
      </w:r>
      <w:r/>
    </w:p>
    <w:p>
      <w:pPr>
        <w:pStyle w:val="954"/>
        <w:ind w:firstLine="480"/>
        <w:spacing w:line="360" w:lineRule="auto"/>
        <w:rPr>
          <w:rFonts w:hint="eastAsia" w:hAnsi="宋体" w:cs="宋体"/>
          <w:sz w:val="24"/>
          <w:szCs w:val="24"/>
        </w:rPr>
      </w:pPr>
      <w:r>
        <w:rPr>
          <w:rFonts w:hAnsi="宋体" w:cs="宋体"/>
          <w:sz w:val="24"/>
          <w:szCs w:val="24"/>
        </w:rPr>
        <w:t xml:space="preserve">本合同总价款还包含乙方应当提供的伴随服务/售后服务费用。</w:t>
      </w:r>
      <w:r/>
    </w:p>
    <w:p>
      <w:pPr>
        <w:pStyle w:val="954"/>
        <w:ind w:firstLine="482"/>
        <w:spacing w:line="360" w:lineRule="auto"/>
        <w:rPr>
          <w:rFonts w:hint="eastAsia" w:hAnsi="宋体" w:cs="宋体"/>
          <w:b/>
          <w:sz w:val="24"/>
          <w:szCs w:val="24"/>
        </w:rPr>
      </w:pPr>
      <w:r>
        <w:rPr>
          <w:rFonts w:hAnsi="宋体" w:cs="宋体"/>
          <w:b/>
          <w:sz w:val="24"/>
          <w:szCs w:val="24"/>
        </w:rPr>
        <w:t xml:space="preserve">第三条 组成本合同的有关文件</w:t>
      </w:r>
      <w:r/>
    </w:p>
    <w:p>
      <w:pPr>
        <w:pStyle w:val="954"/>
        <w:ind w:firstLine="480"/>
        <w:spacing w:line="360" w:lineRule="auto"/>
        <w:rPr>
          <w:rFonts w:hint="eastAsia"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54"/>
        <w:ind w:firstLine="480"/>
        <w:spacing w:line="360" w:lineRule="auto"/>
        <w:rPr>
          <w:rFonts w:hint="eastAsia" w:hAnsi="宋体" w:cs="宋体"/>
          <w:sz w:val="24"/>
          <w:szCs w:val="24"/>
        </w:rPr>
      </w:pPr>
      <w:r>
        <w:rPr>
          <w:rFonts w:hAnsi="宋体" w:cs="宋体"/>
          <w:sz w:val="24"/>
          <w:szCs w:val="24"/>
        </w:rPr>
        <w:t xml:space="preserve">（1）招标文件（编号：   </w:t>
      </w:r>
      <w:r>
        <w:rPr>
          <w:rFonts w:hAnsi="宋体" w:cs="宋体"/>
          <w:sz w:val="24"/>
          <w:szCs w:val="24"/>
        </w:rPr>
        <w:t xml:space="preserve"> ）</w:t>
      </w:r>
      <w:r>
        <w:rPr>
          <w:rFonts w:hAnsi="宋体" w:cs="宋体"/>
          <w:sz w:val="24"/>
          <w:szCs w:val="24"/>
        </w:rPr>
        <w:t xml:space="preserve">；</w:t>
      </w:r>
      <w:r/>
    </w:p>
    <w:p>
      <w:pPr>
        <w:pStyle w:val="954"/>
        <w:ind w:firstLine="480"/>
        <w:spacing w:line="360" w:lineRule="auto"/>
        <w:rPr>
          <w:rFonts w:hint="eastAsia" w:hAnsi="宋体" w:cs="宋体"/>
          <w:sz w:val="24"/>
          <w:szCs w:val="24"/>
        </w:rPr>
      </w:pPr>
      <w:r>
        <w:rPr>
          <w:rFonts w:hAnsi="宋体" w:cs="宋体"/>
          <w:sz w:val="24"/>
          <w:szCs w:val="24"/>
        </w:rPr>
        <w:t xml:space="preserve">（2）乙方提供的投标文件；</w:t>
      </w:r>
      <w:r/>
    </w:p>
    <w:p>
      <w:pPr>
        <w:pStyle w:val="954"/>
        <w:ind w:firstLine="480"/>
        <w:spacing w:line="360" w:lineRule="auto"/>
        <w:rPr>
          <w:rFonts w:hint="eastAsia" w:hAnsi="宋体" w:cs="宋体"/>
          <w:sz w:val="24"/>
          <w:szCs w:val="24"/>
        </w:rPr>
      </w:pPr>
      <w:r>
        <w:rPr>
          <w:rFonts w:hAnsi="宋体" w:cs="宋体"/>
          <w:sz w:val="24"/>
          <w:szCs w:val="24"/>
        </w:rPr>
        <w:t xml:space="preserve">（3）中标通知书；</w:t>
      </w:r>
      <w:r/>
    </w:p>
    <w:p>
      <w:pPr>
        <w:pStyle w:val="954"/>
        <w:ind w:firstLine="480"/>
        <w:spacing w:line="360" w:lineRule="auto"/>
        <w:rPr>
          <w:rFonts w:hint="eastAsia" w:hAnsi="宋体" w:cs="宋体"/>
          <w:sz w:val="24"/>
          <w:szCs w:val="24"/>
        </w:rPr>
      </w:pPr>
      <w:r>
        <w:rPr>
          <w:rFonts w:hAnsi="宋体" w:cs="宋体"/>
          <w:sz w:val="24"/>
          <w:szCs w:val="24"/>
        </w:rPr>
        <w:t xml:space="preserve">（4）甲乙双方商定的其他文件等。</w:t>
      </w:r>
      <w:r/>
    </w:p>
    <w:p>
      <w:pPr>
        <w:ind w:firstLine="482"/>
        <w:spacing w:line="360" w:lineRule="auto"/>
        <w:rPr>
          <w:rFonts w:hint="eastAsia" w:ascii="宋体" w:hAnsi="宋体" w:cs="宋体"/>
          <w:b/>
          <w:sz w:val="24"/>
        </w:rPr>
      </w:pPr>
      <w:r>
        <w:rPr>
          <w:rFonts w:hint="eastAsia" w:ascii="宋体" w:hAnsi="宋体" w:cs="宋体"/>
          <w:b/>
          <w:sz w:val="24"/>
        </w:rPr>
        <w:t xml:space="preserve">第四条 权利保证</w:t>
      </w:r>
      <w:r/>
    </w:p>
    <w:p>
      <w:pPr>
        <w:ind w:firstLine="482"/>
        <w:spacing w:line="360" w:lineRule="auto"/>
        <w:rPr>
          <w:rFonts w:hint="eastAsia"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w:t>
      </w:r>
      <w:r>
        <w:rPr>
          <w:rFonts w:hint="eastAsia" w:ascii="宋体" w:hAnsi="宋体" w:cs="宋体"/>
          <w:sz w:val="24"/>
        </w:rPr>
        <w:t xml:space="preserve">承担全部责任，同时甲方有权单方解除本合同。</w:t>
      </w:r>
      <w:r/>
    </w:p>
    <w:p>
      <w:pPr>
        <w:ind w:firstLine="482"/>
        <w:spacing w:line="360" w:lineRule="auto"/>
        <w:rPr>
          <w:rFonts w:hint="eastAsia" w:ascii="宋体" w:hAnsi="宋体" w:cs="宋体"/>
          <w:b/>
          <w:sz w:val="24"/>
        </w:rPr>
      </w:pPr>
      <w:r>
        <w:rPr>
          <w:rFonts w:hint="eastAsia" w:ascii="宋体" w:hAnsi="宋体" w:cs="宋体"/>
          <w:b/>
          <w:sz w:val="24"/>
        </w:rPr>
        <w:t xml:space="preserve">第五条 质量保证</w:t>
      </w:r>
      <w:r/>
    </w:p>
    <w:p>
      <w:pPr>
        <w:ind w:firstLine="480"/>
        <w:spacing w:line="360" w:lineRule="auto"/>
        <w:rPr>
          <w:rFonts w:hint="eastAsia"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54"/>
        <w:ind w:firstLine="480"/>
        <w:spacing w:line="360" w:lineRule="auto"/>
        <w:rPr>
          <w:rFonts w:hint="eastAsia"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t xml:space="preserve">第六条 包装要求</w:t>
      </w:r>
      <w:r/>
    </w:p>
    <w:p>
      <w:pPr>
        <w:ind w:firstLine="480"/>
        <w:spacing w:line="360" w:lineRule="auto"/>
        <w:rPr>
          <w:rFonts w:hint="eastAsia"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 w:val="24"/>
        </w:rPr>
      </w:pPr>
      <w:r>
        <w:rPr>
          <w:rFonts w:hint="eastAsia" w:ascii="宋体" w:hAnsi="宋体" w:cs="宋体"/>
          <w:sz w:val="24"/>
        </w:rPr>
        <w:t xml:space="preserve">2.每一包装单元内应附详细的装箱单和质量合格凭证。</w:t>
      </w:r>
      <w:r/>
    </w:p>
    <w:p>
      <w:pPr>
        <w:ind w:firstLine="480"/>
        <w:spacing w:line="360" w:lineRule="auto"/>
        <w:rPr>
          <w:rFonts w:hint="eastAsia" w:ascii="宋体" w:hAnsi="宋体" w:cs="宋体"/>
          <w:sz w:val="24"/>
        </w:rPr>
      </w:pPr>
      <w:r>
        <w:rPr>
          <w:rFonts w:hint="eastAsia" w:ascii="宋体" w:hAnsi="宋体" w:cs="宋体"/>
          <w:sz w:val="24"/>
        </w:rPr>
        <w:t xml:space="preserve">3.乙方保证货物不存在危及人身及财产安全的产品缺陷，否则应承担全部法律责任。</w:t>
      </w:r>
      <w:r/>
    </w:p>
    <w:p>
      <w:pPr>
        <w:ind w:firstLine="482"/>
        <w:spacing w:line="360" w:lineRule="auto"/>
        <w:rPr>
          <w:rFonts w:hint="eastAsia" w:ascii="宋体" w:hAnsi="宋体" w:cs="宋体"/>
          <w:b/>
          <w:sz w:val="24"/>
        </w:rPr>
      </w:pPr>
      <w:r>
        <w:rPr>
          <w:rFonts w:hint="eastAsia" w:ascii="宋体" w:hAnsi="宋体" w:cs="宋体"/>
          <w:b/>
          <w:sz w:val="24"/>
        </w:rPr>
        <w:t xml:space="preserve">第七条 交货和验收</w:t>
      </w:r>
      <w:r/>
    </w:p>
    <w:p>
      <w:pPr>
        <w:ind w:firstLine="480"/>
        <w:spacing w:line="360" w:lineRule="auto"/>
        <w:rPr>
          <w:rFonts w:hint="eastAsia"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color w:val="c0504d"/>
          <w:sz w:val="24"/>
          <w:u w:val="single"/>
        </w:rPr>
        <w:t xml:space="preserve"> </w:t>
      </w:r>
      <w:r>
        <w:rPr>
          <w:rFonts w:hint="eastAsia" w:ascii="宋体" w:hAnsi="宋体" w:cs="宋体"/>
          <w:sz w:val="24"/>
        </w:rPr>
        <w:t xml:space="preserve">天内将货物交付甲方正常使用，</w:t>
      </w:r>
      <w:r>
        <w:rPr>
          <w:rFonts w:hint="eastAsia"/>
          <w:sz w:val="24"/>
        </w:rPr>
        <w:t xml:space="preserve">交货地点</w:t>
      </w:r>
      <w:r>
        <w:rPr>
          <w:rFonts w:hint="eastAsia" w:ascii="宋体" w:hAnsi="宋体" w:cs="宋体"/>
          <w:sz w:val="24"/>
        </w:rPr>
        <w:t xml:space="preserve">由甲方指定。招标文件有约定的，从其约定。</w:t>
      </w:r>
      <w:r/>
    </w:p>
    <w:p>
      <w:pPr>
        <w:ind w:firstLine="480"/>
        <w:spacing w:line="360" w:lineRule="auto"/>
        <w:rPr>
          <w:rFonts w:hint="eastAsia"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p>
    <w:p>
      <w:pPr>
        <w:ind w:firstLine="480"/>
        <w:spacing w:line="360" w:lineRule="auto"/>
        <w:rPr>
          <w:rFonts w:hint="eastAsia" w:ascii="宋体" w:hAnsi="宋体" w:cs="宋体"/>
          <w:sz w:val="24"/>
        </w:rPr>
      </w:pPr>
      <w:r>
        <w:rPr>
          <w:rFonts w:hint="eastAsia" w:ascii="宋体" w:hAnsi="宋体" w:cs="宋体"/>
          <w:sz w:val="24"/>
        </w:rPr>
        <w:t xml:space="preserve">4.乙方应将所提供货物的全套完整的技术资料，包括用户手册、随机资料及配件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 w:val="24"/>
        </w:rPr>
      </w:pPr>
      <w:r>
        <w:rPr>
          <w:rFonts w:hint="eastAsia" w:ascii="宋体" w:hAnsi="宋体" w:cs="宋体"/>
          <w:sz w:val="24"/>
        </w:rPr>
        <w:t xml:space="preserve">5.货物验收的标准：按国家相关标准和乙方投标文件的承诺进行验收。</w:t>
      </w:r>
      <w:r/>
    </w:p>
    <w:p>
      <w:pPr>
        <w:ind w:firstLine="482"/>
        <w:spacing w:line="360" w:lineRule="auto"/>
        <w:rPr>
          <w:rFonts w:hint="eastAsia" w:ascii="宋体" w:hAnsi="宋体" w:cs="宋体"/>
          <w:b/>
          <w:sz w:val="24"/>
        </w:rPr>
      </w:pPr>
      <w:r>
        <w:rPr>
          <w:rFonts w:hint="eastAsia" w:ascii="宋体" w:hAnsi="宋体" w:cs="宋体"/>
          <w:b/>
          <w:sz w:val="24"/>
        </w:rPr>
        <w:t xml:space="preserve">第八条 合同款结算及支付</w:t>
      </w:r>
      <w:r/>
    </w:p>
    <w:p>
      <w:pPr>
        <w:ind w:firstLine="480"/>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2.本合同项下的采购资金由甲方自行支付，乙方向甲方开具专票。</w:t>
      </w:r>
      <w:r/>
    </w:p>
    <w:p>
      <w:pPr>
        <w:ind w:firstLine="480"/>
        <w:spacing w:line="360" w:lineRule="auto"/>
        <w:rPr>
          <w:rFonts w:hint="eastAsia" w:ascii="宋体" w:hAnsi="宋体" w:cs="宋体"/>
          <w:sz w:val="24"/>
        </w:rPr>
      </w:pPr>
      <w:r>
        <w:rPr>
          <w:rFonts w:hint="eastAsia" w:ascii="宋体" w:hAnsi="宋体" w:cs="宋体"/>
          <w:sz w:val="24"/>
        </w:rPr>
        <w:t xml:space="preserve">3.结算原则：固定单价，按实结算。</w:t>
      </w:r>
      <w:r/>
    </w:p>
    <w:p>
      <w:pPr>
        <w:ind w:firstLine="480"/>
        <w:spacing w:line="360" w:lineRule="auto"/>
        <w:rPr>
          <w:rFonts w:hint="eastAsia" w:ascii="宋体" w:hAnsi="宋体" w:cs="宋体"/>
          <w:sz w:val="24"/>
          <w:u w:val="single"/>
        </w:rPr>
      </w:pPr>
      <w:r>
        <w:rPr>
          <w:rFonts w:hint="eastAsia" w:ascii="宋体" w:hAnsi="宋体" w:cs="宋体"/>
          <w:sz w:val="24"/>
        </w:rPr>
        <w:t xml:space="preserve">4.付款方式：</w:t>
      </w:r>
      <w:r>
        <w:rPr>
          <w:rFonts w:hint="eastAsia"/>
          <w:bCs/>
          <w:sz w:val="24"/>
        </w:rPr>
        <w:t xml:space="preserve">合同签订生效后支付合同总金额的</w:t>
      </w:r>
      <w:r>
        <w:rPr>
          <w:bCs/>
          <w:sz w:val="24"/>
        </w:rPr>
        <w:t xml:space="preserve">35</w:t>
      </w:r>
      <w:r>
        <w:rPr>
          <w:rFonts w:hint="eastAsia"/>
          <w:bCs/>
          <w:sz w:val="24"/>
        </w:rPr>
        <w:t xml:space="preserve">%</w:t>
      </w:r>
      <w:r>
        <w:rPr>
          <w:rFonts w:hint="eastAsia"/>
          <w:bCs/>
          <w:sz w:val="24"/>
        </w:rPr>
        <w:t xml:space="preserve">作为预付款，设备安装调试完毕经采购人验收合格后并收到发票后</w:t>
      </w:r>
      <w:r>
        <w:rPr>
          <w:rFonts w:hint="eastAsia"/>
          <w:bCs/>
          <w:sz w:val="24"/>
        </w:rPr>
        <w:t xml:space="preserve">10</w:t>
      </w:r>
      <w:r>
        <w:rPr>
          <w:rFonts w:hint="eastAsia"/>
          <w:bCs/>
          <w:sz w:val="24"/>
        </w:rPr>
        <w:t xml:space="preserve">个工作日内支付完毕。</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sz w:val="24"/>
        </w:rPr>
      </w:pPr>
      <w:r>
        <w:rPr>
          <w:rFonts w:hint="eastAsia" w:ascii="宋体" w:hAnsi="宋体" w:cs="宋体"/>
          <w:b/>
          <w:sz w:val="24"/>
        </w:rPr>
        <w:t xml:space="preserve">第九条 伴随服务／售后服务</w:t>
      </w:r>
      <w:r/>
    </w:p>
    <w:p>
      <w:pPr>
        <w:ind w:firstLine="480"/>
        <w:spacing w:line="360" w:lineRule="auto"/>
        <w:rPr>
          <w:rFonts w:hint="eastAsia" w:ascii="宋体" w:hAnsi="宋体" w:cs="宋体"/>
          <w:sz w:val="24"/>
        </w:rPr>
      </w:pPr>
      <w:r>
        <w:rPr>
          <w:rFonts w:hint="eastAsia" w:ascii="宋体" w:hAnsi="宋体" w:cs="宋体"/>
          <w:sz w:val="24"/>
        </w:rPr>
        <w:t xml:space="preserve">1.乙方应按照国家有关法律法规规章和“三包”规定以及合同所附的“服务承诺”提供服务。</w:t>
      </w:r>
      <w:r/>
    </w:p>
    <w:p>
      <w:pPr>
        <w:ind w:firstLine="480"/>
        <w:spacing w:line="360" w:lineRule="auto"/>
        <w:rPr>
          <w:rFonts w:hint="eastAsia" w:ascii="宋体" w:hAnsi="宋体" w:cs="宋体"/>
          <w:sz w:val="24"/>
        </w:rPr>
      </w:pPr>
      <w:r>
        <w:rPr>
          <w:rFonts w:hint="eastAsia" w:ascii="宋体" w:hAnsi="宋体" w:cs="宋体"/>
          <w:sz w:val="24"/>
        </w:rPr>
        <w:t xml:space="preserve">2.若招标文件中不包含有关伴随服务或售后服务的承诺，双方作如下约定：</w:t>
      </w:r>
      <w:r/>
    </w:p>
    <w:p>
      <w:pPr>
        <w:ind w:firstLine="480"/>
        <w:spacing w:line="360" w:lineRule="auto"/>
        <w:rPr>
          <w:rFonts w:hint="eastAsia" w:ascii="宋体" w:hAnsi="宋体" w:cs="宋体"/>
          <w:sz w:val="24"/>
        </w:rPr>
      </w:pPr>
      <w:r>
        <w:rPr>
          <w:rFonts w:hint="eastAsia" w:ascii="宋体" w:hAnsi="宋体" w:cs="宋体"/>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360" w:lineRule="auto"/>
        <w:rPr>
          <w:rFonts w:hint="eastAsia" w:ascii="宋体" w:hAnsi="宋体" w:cs="宋体"/>
          <w:sz w:val="24"/>
        </w:rPr>
      </w:pPr>
      <w:r>
        <w:rPr>
          <w:rFonts w:hint="eastAsia" w:ascii="宋体" w:hAnsi="宋体" w:cs="宋体"/>
          <w:sz w:val="24"/>
        </w:rPr>
        <w:t xml:space="preserve">2.2所购货物按乙方投标承诺提供免费维护和质量保证，保修费用计入总价。</w:t>
      </w:r>
      <w:r/>
    </w:p>
    <w:p>
      <w:pPr>
        <w:ind w:firstLine="480"/>
        <w:spacing w:line="360" w:lineRule="auto"/>
        <w:rPr>
          <w:rFonts w:hint="eastAsia" w:ascii="宋体" w:hAnsi="宋体" w:cs="宋体"/>
          <w:sz w:val="24"/>
        </w:rPr>
      </w:pPr>
      <w:r>
        <w:rPr>
          <w:rFonts w:hint="eastAsia" w:ascii="宋体" w:hAnsi="宋体" w:cs="宋体"/>
          <w:sz w:val="24"/>
        </w:rPr>
        <w:t xml:space="preserve">2.3保修期内，乙方负责对其提供的货物整机进行维修和系统维护，不再收取任何费用，但不可抗力（如火灾、雷击等）造成的故障除外。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rPr>
      </w:pPr>
      <w:r>
        <w:rPr>
          <w:rFonts w:hint="eastAsia" w:ascii="宋体" w:hAnsi="宋体" w:cs="宋体"/>
          <w:sz w:val="24"/>
        </w:rPr>
        <w:t xml:space="preserve">2.4货物故障报修的响应时间按乙方投标承诺执行。</w:t>
      </w:r>
      <w:r/>
    </w:p>
    <w:p>
      <w:pPr>
        <w:ind w:firstLine="480"/>
        <w:spacing w:line="360" w:lineRule="auto"/>
        <w:rPr>
          <w:rFonts w:hint="eastAsia" w:ascii="宋体" w:hAnsi="宋体" w:cs="宋体"/>
          <w:sz w:val="24"/>
        </w:rPr>
      </w:pPr>
      <w:r>
        <w:rPr>
          <w:rFonts w:hint="eastAsia" w:ascii="宋体" w:hAnsi="宋体" w:cs="宋体"/>
          <w:sz w:val="24"/>
        </w:rPr>
        <w:t xml:space="preserve">2.5若货物故障在检修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工作小时后仍无法排除，乙方应在</w:t>
      </w:r>
      <w:r>
        <w:rPr>
          <w:rFonts w:ascii="宋体" w:hAnsi="宋体" w:cs="宋体"/>
          <w:sz w:val="24"/>
          <w:u w:val="single"/>
        </w:rPr>
        <w:t xml:space="preserve">    </w:t>
      </w:r>
      <w:r>
        <w:rPr>
          <w:rFonts w:hint="eastAsia" w:ascii="宋体" w:hAnsi="宋体" w:cs="宋体"/>
          <w:sz w:val="24"/>
        </w:rPr>
        <w:t xml:space="preserve">小时内免费提供不低于故障货物规格型号档次的备用货物供甲方使用，直至故障货物修复。</w:t>
      </w:r>
      <w:r/>
    </w:p>
    <w:p>
      <w:pPr>
        <w:ind w:firstLine="480"/>
        <w:spacing w:line="360" w:lineRule="auto"/>
        <w:rPr>
          <w:rFonts w:hint="eastAsia" w:ascii="宋体" w:hAnsi="宋体" w:cs="宋体"/>
          <w:sz w:val="24"/>
        </w:rPr>
      </w:pPr>
      <w:r>
        <w:rPr>
          <w:rFonts w:hint="eastAsia" w:ascii="宋体" w:hAnsi="宋体" w:cs="宋体"/>
          <w:sz w:val="24"/>
        </w:rPr>
        <w:t xml:space="preserve">2.6所有货物保修服务方式均为乙方上门保修，即由乙方派员到货物使用现场维修，由此产生的一切费用均由乙方承担。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rPr>
      </w:pPr>
      <w:r>
        <w:rPr>
          <w:rFonts w:hint="eastAsia" w:ascii="宋体" w:hAnsi="宋体" w:cs="宋体"/>
          <w:sz w:val="24"/>
        </w:rPr>
        <w:t xml:space="preserve">2.7保修期后的货物维护由双方协商再定。</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.本项目免费保修期</w:t>
      </w:r>
      <w:r>
        <w:rPr>
          <w:rFonts w:hint="eastAsia" w:ascii="宋体" w:hAnsi="宋体" w:cs="宋体"/>
          <w:sz w:val="24"/>
        </w:rPr>
        <w:t xml:space="preserve">为:</w:t>
      </w:r>
      <w:r>
        <w:rPr>
          <w:rFonts w:hint="eastAsia" w:ascii="宋体" w:hAnsi="宋体" w:cs="宋体"/>
          <w:sz w:val="24"/>
        </w:rPr>
        <w:t xml:space="preserve"> </w:t>
      </w:r>
      <w:r/>
    </w:p>
    <w:p>
      <w:pPr>
        <w:ind w:firstLine="482"/>
        <w:spacing w:line="360" w:lineRule="auto"/>
        <w:rPr>
          <w:rFonts w:hint="eastAsia" w:ascii="宋体" w:hAnsi="宋体" w:cs="宋体"/>
          <w:b/>
          <w:sz w:val="24"/>
        </w:rPr>
      </w:pPr>
      <w:r>
        <w:rPr>
          <w:rFonts w:hint="eastAsia" w:ascii="宋体" w:hAnsi="宋体" w:cs="宋体"/>
          <w:b/>
          <w:sz w:val="24"/>
        </w:rPr>
        <w:t xml:space="preserve">第十条 违约责任</w:t>
      </w:r>
      <w:r/>
    </w:p>
    <w:p>
      <w:pPr>
        <w:ind w:firstLine="480"/>
        <w:spacing w:line="360" w:lineRule="auto"/>
        <w:rPr>
          <w:rFonts w:hint="eastAsia" w:ascii="宋体" w:hAnsi="宋体" w:cs="宋体"/>
          <w:sz w:val="24"/>
        </w:rPr>
      </w:pPr>
      <w:r>
        <w:rPr>
          <w:rFonts w:hint="eastAsia" w:ascii="宋体" w:hAnsi="宋体" w:cs="宋体"/>
          <w:sz w:val="24"/>
        </w:rPr>
        <w:t xml:space="preserve">1.如乙方不能按时交付货物的，</w:t>
      </w:r>
      <w:r>
        <w:rPr>
          <w:rFonts w:hint="eastAsia" w:ascii="宋体" w:hAnsi="宋体" w:cs="宋体"/>
          <w:sz w:val="24"/>
        </w:rPr>
        <w:t xml:space="preserve">每逾期</w:t>
      </w:r>
      <w:r>
        <w:rPr>
          <w:rFonts w:ascii="宋体" w:hAnsi="宋体" w:cs="宋体"/>
          <w:sz w:val="24"/>
          <w:u w:val="single"/>
        </w:rPr>
        <w:t xml:space="preserve">  </w:t>
      </w:r>
      <w:r>
        <w:rPr>
          <w:rFonts w:hint="eastAsia" w:ascii="宋体" w:hAnsi="宋体" w:cs="宋体"/>
          <w:sz w:val="24"/>
        </w:rPr>
        <w:t xml:space="preserve">天</w:t>
      </w:r>
      <w:r>
        <w:rPr>
          <w:rFonts w:hint="eastAsia" w:ascii="宋体" w:hAnsi="宋体" w:cs="宋体"/>
          <w:sz w:val="24"/>
        </w:rPr>
        <w:t xml:space="preserve">，乙方向甲方偿付合同总额</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的违约金；乙方逾期交付货物超过</w:t>
      </w:r>
      <w:r>
        <w:rPr>
          <w:rFonts w:ascii="宋体" w:hAnsi="宋体" w:cs="宋体"/>
          <w:sz w:val="24"/>
          <w:u w:val="single"/>
        </w:rPr>
        <w:t xml:space="preserve">   </w:t>
      </w:r>
      <w:r>
        <w:rPr>
          <w:rFonts w:hint="eastAsia" w:ascii="宋体" w:hAnsi="宋体" w:cs="宋体"/>
          <w:sz w:val="24"/>
        </w:rPr>
        <w:t xml:space="preserve">天，甲方有权单方解除合同，同时有权要求乙方按照合同总价</w:t>
      </w:r>
      <w:r>
        <w:rPr>
          <w:rFonts w:ascii="宋体" w:hAnsi="宋体" w:cs="宋体"/>
          <w:sz w:val="24"/>
          <w:u w:val="single"/>
        </w:rPr>
        <w:t xml:space="preserve">     </w:t>
      </w:r>
      <w:r>
        <w:rPr>
          <w:rFonts w:hint="eastAsia" w:ascii="宋体" w:hAnsi="宋体" w:cs="宋体"/>
          <w:sz w:val="24"/>
        </w:rPr>
        <w:t xml:space="preserve">的标准支付违约金，解除合同的通知自发出之日生效。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w:t>
      </w:r>
      <w:r>
        <w:rPr>
          <w:rFonts w:ascii="宋体" w:hAnsi="宋体" w:cs="宋体"/>
          <w:sz w:val="24"/>
          <w:u w:val="single"/>
        </w:rPr>
        <w:t xml:space="preserve">   </w:t>
      </w:r>
      <w:r>
        <w:rPr>
          <w:rFonts w:hint="eastAsia" w:ascii="宋体" w:hAnsi="宋体" w:cs="宋体"/>
          <w:sz w:val="24"/>
        </w:rPr>
        <w:t xml:space="preserve">天甲方向乙方偿付欠款总额的</w:t>
      </w:r>
      <w:r>
        <w:rPr>
          <w:rFonts w:ascii="宋体" w:hAnsi="宋体" w:cs="宋体"/>
          <w:sz w:val="24"/>
          <w:u w:val="single"/>
        </w:rPr>
        <w:t xml:space="preserve">    </w:t>
      </w:r>
      <w:r>
        <w:rPr>
          <w:rFonts w:hint="eastAsia" w:ascii="宋体" w:hAnsi="宋体" w:cs="宋体"/>
          <w:sz w:val="24"/>
        </w:rPr>
        <w:t xml:space="preserve">滞纳金，但累计滞纳金总额不超过欠款总额的</w:t>
      </w:r>
      <w:r>
        <w:rPr>
          <w:rFonts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3.乙方所交付的货物品种、型号、规格不符合合同规定的，甲方有权拒收，同时有权单方解除合同，解除合同的通知自发出之日生效。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w:t>
      </w:r>
      <w:r>
        <w:rPr>
          <w:rFonts w:ascii="宋体" w:hAnsi="宋体" w:cs="宋体"/>
          <w:sz w:val="24"/>
        </w:rPr>
        <w:t xml:space="preserve">1</w:t>
      </w:r>
      <w:r>
        <w:rPr>
          <w:rFonts w:hint="eastAsia" w:ascii="宋体" w:hAnsi="宋体" w:cs="宋体"/>
          <w:sz w:val="24"/>
        </w:rPr>
        <w:t xml:space="preserve">款向乙方主张违约金，若仍不足以弥补甲方损失，则乙方还须赔偿甲方因此遭受的所有损失。</w:t>
      </w:r>
      <w:r/>
    </w:p>
    <w:p>
      <w:pPr>
        <w:ind w:firstLine="480"/>
        <w:spacing w:line="360" w:lineRule="auto"/>
        <w:rPr>
          <w:rFonts w:hint="eastAsia" w:ascii="宋体" w:hAnsi="宋体" w:cs="宋体"/>
          <w:sz w:val="24"/>
        </w:rPr>
      </w:pPr>
      <w:r>
        <w:rPr>
          <w:rFonts w:hint="eastAsia" w:ascii="宋体" w:hAnsi="宋体" w:cs="宋体"/>
          <w:sz w:val="24"/>
        </w:rPr>
        <w:t xml:space="preserve">5.乙方未按本合同的规定和“服务承诺”提供伴随服务/售后服务的，甲方有权单方提前解除本合同，同时乙方应按合同总价款的</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向甲方承担违约责任。</w:t>
      </w:r>
      <w:r/>
    </w:p>
    <w:p>
      <w:pPr>
        <w:ind w:firstLine="480"/>
        <w:spacing w:line="360" w:lineRule="auto"/>
        <w:rPr>
          <w:rFonts w:hint="eastAsia" w:ascii="宋体" w:hAnsi="宋体" w:cs="宋体"/>
          <w:sz w:val="24"/>
        </w:rPr>
      </w:pPr>
      <w:r>
        <w:rPr>
          <w:rFonts w:hint="eastAsia" w:ascii="宋体" w:hAnsi="宋体" w:cs="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rPr>
      </w:pPr>
      <w:r>
        <w:rPr>
          <w:rFonts w:hint="eastAsia" w:ascii="宋体" w:hAnsi="宋体" w:cs="宋体"/>
          <w:sz w:val="24"/>
        </w:rPr>
        <w:t xml:space="preserve">7.乙方投标属虚假承诺，或经权威部门监测提供的货物不能满足招标文件要求，或是由于乙方的过错造成合同无法继续履行的，应向甲方支付不少于合同总价</w:t>
      </w:r>
      <w:r>
        <w:rPr>
          <w:rFonts w:ascii="宋体" w:hAnsi="宋体" w:cs="宋体"/>
          <w:sz w:val="24"/>
          <w:u w:val="single"/>
        </w:rPr>
        <w:t xml:space="preserve"> 30% </w:t>
      </w:r>
      <w:r>
        <w:rPr>
          <w:rFonts w:hint="eastAsia" w:ascii="宋体" w:hAnsi="宋体" w:cs="宋体"/>
          <w:sz w:val="24"/>
        </w:rPr>
        <w:t xml:space="preserve">违约金，若该违约金不足以弥补甲方损失，则应当赔偿甲方所有损失。</w:t>
      </w:r>
      <w:r/>
    </w:p>
    <w:p>
      <w:pPr>
        <w:ind w:firstLine="480"/>
        <w:spacing w:line="360" w:lineRule="auto"/>
        <w:rPr>
          <w:rFonts w:hint="eastAsia" w:ascii="宋体" w:hAnsi="宋体" w:cs="宋体"/>
          <w:sz w:val="24"/>
        </w:rPr>
      </w:pPr>
      <w:r>
        <w:rPr>
          <w:rFonts w:hint="eastAsia" w:ascii="宋体" w:hAnsi="宋体" w:cs="宋体"/>
          <w:sz w:val="24"/>
        </w:rPr>
        <w:t xml:space="preserve">8.其他未尽事宜，以《中华人民共和国民法典》等有关法律法规规定为准，无相关规定的，双方协商解决。</w:t>
      </w:r>
      <w:r/>
    </w:p>
    <w:p>
      <w:pPr>
        <w:ind w:firstLine="482"/>
        <w:spacing w:line="360" w:lineRule="auto"/>
        <w:rPr>
          <w:rFonts w:hint="eastAsia" w:ascii="宋体" w:hAnsi="宋体" w:cs="宋体"/>
          <w:b/>
          <w:sz w:val="24"/>
        </w:rPr>
      </w:pPr>
      <w:r>
        <w:rPr>
          <w:rFonts w:hint="eastAsia" w:ascii="宋体" w:hAnsi="宋体" w:cs="宋体"/>
          <w:b/>
          <w:sz w:val="24"/>
        </w:rPr>
        <w:t xml:space="preserve">第十一条 合同的变更和终止</w:t>
      </w:r>
      <w:r/>
    </w:p>
    <w:p>
      <w:pPr>
        <w:ind w:firstLine="480"/>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2"/>
        <w:spacing w:line="360" w:lineRule="auto"/>
        <w:rPr>
          <w:rFonts w:hint="eastAsia" w:ascii="宋体" w:hAnsi="宋体" w:cs="宋体"/>
          <w:b/>
          <w:sz w:val="24"/>
        </w:rPr>
      </w:pPr>
      <w:r>
        <w:rPr>
          <w:rFonts w:hint="eastAsia" w:ascii="宋体" w:hAnsi="宋体" w:cs="宋体"/>
          <w:b/>
          <w:sz w:val="24"/>
        </w:rPr>
        <w:t xml:space="preserve">第十二条 合同的转让</w:t>
      </w:r>
      <w:r/>
    </w:p>
    <w:p>
      <w:pPr>
        <w:ind w:firstLine="480"/>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hint="eastAsia" w:ascii="宋体" w:hAnsi="宋体" w:cs="宋体"/>
          <w:b/>
          <w:sz w:val="24"/>
        </w:rPr>
      </w:pPr>
      <w:r>
        <w:rPr>
          <w:rFonts w:hint="eastAsia" w:ascii="宋体" w:hAnsi="宋体" w:cs="宋体"/>
          <w:b/>
          <w:sz w:val="24"/>
        </w:rPr>
        <w:t xml:space="preserve">第十三条 不可抗力</w:t>
      </w:r>
      <w:r/>
    </w:p>
    <w:p>
      <w:pPr>
        <w:ind w:firstLine="480"/>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pStyle w:val="947"/>
      </w:pPr>
      <w:r/>
      <w:r/>
    </w:p>
    <w:p>
      <w:pPr>
        <w:ind w:firstLine="484"/>
        <w:spacing w:line="360" w:lineRule="auto"/>
        <w:rPr>
          <w:rFonts w:hint="eastAsia" w:ascii="宋体" w:hAnsi="宋体" w:cs="宋体"/>
          <w:b/>
          <w:sz w:val="24"/>
        </w:rPr>
      </w:pPr>
      <w:r>
        <w:rPr>
          <w:rFonts w:hint="eastAsia" w:ascii="宋体" w:hAnsi="宋体" w:cs="宋体"/>
          <w:b/>
          <w:sz w:val="24"/>
        </w:rPr>
      </w:r>
      <w:r/>
    </w:p>
    <w:p>
      <w:pPr>
        <w:ind w:firstLine="484"/>
        <w:spacing w:line="360" w:lineRule="auto"/>
        <w:rPr>
          <w:rFonts w:hint="eastAsia" w:ascii="宋体" w:hAnsi="宋体" w:cs="宋体"/>
          <w:b/>
          <w:sz w:val="24"/>
        </w:rPr>
      </w:pPr>
      <w:r>
        <w:rPr>
          <w:rFonts w:hint="eastAsia" w:ascii="宋体" w:hAnsi="宋体" w:cs="宋体"/>
          <w:b/>
          <w:sz w:val="24"/>
        </w:rPr>
        <w:t xml:space="preserve">第十四条 质量问题或缺陷的索赔</w:t>
      </w:r>
      <w:r/>
    </w:p>
    <w:p>
      <w:pPr>
        <w:ind w:firstLine="480"/>
        <w:spacing w:line="360" w:lineRule="auto"/>
        <w:rPr>
          <w:rFonts w:hint="eastAsia" w:ascii="宋体" w:hAnsi="宋体" w:cs="宋体"/>
          <w:sz w:val="24"/>
        </w:rPr>
      </w:pPr>
      <w:r>
        <w:rPr>
          <w:rFonts w:hint="eastAsia" w:ascii="宋体" w:hAnsi="宋体" w:cs="宋体"/>
          <w:sz w:val="24"/>
        </w:rPr>
        <w:t xml:space="preserve">乙方交付货物后，甲方发现货物的质量与合同内容不符或证实货物存在缺陷的（包括潜在缺陷），乙方应在收到甲方索赔通知后</w:t>
      </w:r>
      <w:r>
        <w:rPr>
          <w:rFonts w:ascii="宋体" w:hAnsi="宋体" w:cs="宋体"/>
          <w:sz w:val="24"/>
          <w:u w:val="single"/>
        </w:rPr>
        <w:t xml:space="preserve">   </w:t>
      </w:r>
      <w:r>
        <w:rPr>
          <w:rFonts w:hint="eastAsia" w:ascii="宋体" w:hAnsi="宋体" w:cs="宋体"/>
          <w:sz w:val="24"/>
        </w:rPr>
        <w:t xml:space="preserve">日内到甲方处，商量解决货物质量或缺陷问题。若乙方未在上述约定时间内到场解决，因此产生的损失以及扩大损失全部由乙方承担，甲方有权选择解除合同，要求退还全部货物，返还所有货款，并有权按照合同总额</w:t>
      </w:r>
      <w:r>
        <w:rPr>
          <w:rFonts w:ascii="宋体" w:hAnsi="宋体" w:cs="宋体"/>
          <w:sz w:val="24"/>
          <w:u w:val="single"/>
        </w:rPr>
        <w:t xml:space="preserve">    </w:t>
      </w:r>
      <w:r>
        <w:rPr>
          <w:rFonts w:hint="eastAsia" w:ascii="宋体" w:hAnsi="宋体" w:cs="宋体"/>
          <w:sz w:val="24"/>
        </w:rPr>
        <w:t xml:space="preserve">标准向乙方主张违约金；或者有权安排第三方解决货物质量或缺陷问题，因此产生的所有费用全部由乙方承担，甲方可以在应付乙方的货款中直接扣除，同时甲方有权按照合同总额</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标准向乙方主张违约金。若上述违约金不足以弥补甲方直接损失和间接损失，则乙方应赔偿甲方所有损失。</w:t>
      </w:r>
      <w:r/>
    </w:p>
    <w:p>
      <w:pPr>
        <w:ind w:firstLine="482"/>
        <w:spacing w:line="360" w:lineRule="auto"/>
        <w:rPr>
          <w:rFonts w:hint="eastAsia" w:ascii="宋体" w:hAnsi="宋体" w:cs="宋体"/>
          <w:b/>
          <w:sz w:val="24"/>
        </w:rPr>
      </w:pPr>
      <w:r>
        <w:rPr>
          <w:rFonts w:hint="eastAsia" w:ascii="宋体" w:hAnsi="宋体" w:cs="宋体"/>
          <w:b/>
          <w:sz w:val="24"/>
        </w:rPr>
        <w:t xml:space="preserve">第十五条 争议的解决</w:t>
      </w:r>
      <w:r/>
    </w:p>
    <w:p>
      <w:pPr>
        <w:ind w:firstLine="480"/>
        <w:spacing w:line="360" w:lineRule="auto"/>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2.因履行本合同引起的或与本合同有关的争议，甲、乙双方应首先通过友好协商解决，如果协商不能解决争议，则采取以下第（2）种方式解决争议：</w:t>
      </w:r>
      <w:r/>
    </w:p>
    <w:p>
      <w:pPr>
        <w:ind w:firstLine="480"/>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hint="eastAsia" w:ascii="宋体" w:hAnsi="宋体" w:cs="宋体"/>
          <w:sz w:val="24"/>
        </w:rPr>
      </w:pPr>
      <w:r>
        <w:rPr>
          <w:rFonts w:hint="eastAsia" w:ascii="宋体" w:hAnsi="宋体" w:cs="宋体"/>
          <w:sz w:val="24"/>
        </w:rPr>
        <w:t xml:space="preserve">3.甲方因主张上述权利而支出的所有合理费用，包括但不限于律师费、诉讼费、鉴定费、差旅费、保函费等，均由乙方承担。</w:t>
      </w:r>
      <w:r/>
    </w:p>
    <w:p>
      <w:pPr>
        <w:ind w:firstLine="480"/>
        <w:spacing w:line="360" w:lineRule="auto"/>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在法院审理和仲裁期间，除有争议部分外，本合同其他部分应继续履行。</w:t>
      </w:r>
      <w:r/>
    </w:p>
    <w:p>
      <w:pPr>
        <w:ind w:firstLine="482"/>
        <w:spacing w:line="360" w:lineRule="auto"/>
        <w:rPr>
          <w:rFonts w:hint="eastAsia" w:ascii="宋体" w:hAnsi="宋体" w:cs="宋体"/>
          <w:b/>
          <w:sz w:val="24"/>
        </w:rPr>
      </w:pPr>
      <w:r>
        <w:rPr>
          <w:rFonts w:hint="eastAsia" w:ascii="宋体" w:hAnsi="宋体" w:cs="宋体"/>
          <w:b/>
          <w:sz w:val="24"/>
        </w:rPr>
        <w:t xml:space="preserve">第十六条 诚实信用</w:t>
      </w:r>
      <w:r/>
    </w:p>
    <w:p>
      <w:pPr>
        <w:ind w:firstLine="480"/>
        <w:spacing w:line="360" w:lineRule="auto"/>
        <w:rPr>
          <w:rFonts w:hint="eastAsia" w:ascii="宋体" w:hAnsi="宋体" w:cs="宋体"/>
          <w:sz w:val="24"/>
        </w:rPr>
      </w:pPr>
      <w:r>
        <w:rPr>
          <w:rFonts w:ascii="宋体" w:hAnsi="宋体" w:cs="宋体"/>
          <w:sz w:val="24"/>
        </w:rPr>
        <w:t xml:space="preserve">甲乙双方均应恪守诚实信用原则，严格按照招标文件要求和投标承诺履行合同。双方及相关工作人员不得实施商业贿赂、利益输送等违法违规行为，不得索取或收受任何形式的不正当利益，共同维护公平公正的合作环境。若一方违反本条约定，需承担全部违约责任及由此产生的一切损失。</w:t>
      </w:r>
      <w:r/>
    </w:p>
    <w:p>
      <w:pPr>
        <w:ind w:firstLine="482"/>
        <w:spacing w:line="360" w:lineRule="auto"/>
        <w:rPr>
          <w:rFonts w:hint="eastAsia" w:ascii="宋体" w:hAnsi="宋体" w:cs="宋体"/>
          <w:b/>
          <w:sz w:val="24"/>
        </w:rPr>
      </w:pPr>
      <w:r>
        <w:rPr>
          <w:rFonts w:hint="eastAsia" w:ascii="宋体" w:hAnsi="宋体" w:cs="宋体"/>
          <w:b/>
          <w:sz w:val="24"/>
        </w:rPr>
        <w:t xml:space="preserve">第十七条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1.本合同经甲乙双方授权代表签字并加盖公章或合同章之日起生效。</w:t>
      </w:r>
      <w:r/>
    </w:p>
    <w:p>
      <w:pPr>
        <w:ind w:firstLine="480"/>
        <w:spacing w:line="360" w:lineRule="auto"/>
        <w:rPr>
          <w:rFonts w:hint="eastAsia" w:ascii="宋体" w:hAnsi="宋体" w:cs="宋体"/>
          <w:sz w:val="24"/>
        </w:rPr>
      </w:pPr>
      <w:r>
        <w:rPr>
          <w:rFonts w:hint="eastAsia" w:ascii="宋体" w:hAnsi="宋体" w:cs="宋体"/>
          <w:sz w:val="24"/>
        </w:rPr>
        <w:t xml:space="preserve">2.本合同一式肆份，甲乙双方各执贰份。</w:t>
      </w:r>
      <w:r/>
    </w:p>
    <w:p>
      <w:pPr>
        <w:ind w:firstLine="480"/>
        <w:spacing w:line="360" w:lineRule="auto"/>
        <w:rPr>
          <w:rFonts w:hint="eastAsia" w:ascii="宋体" w:hAnsi="宋体" w:cs="宋体"/>
          <w:b/>
          <w:bCs/>
          <w:sz w:val="24"/>
        </w:rPr>
      </w:pPr>
      <w:r>
        <w:rPr>
          <w:rFonts w:hint="eastAsia" w:ascii="宋体" w:hAnsi="宋体" w:cs="宋体"/>
          <w:sz w:val="24"/>
        </w:rPr>
        <w:t xml:space="preserve">3.本合同应按照中华人民共和国的现行法律进行解释。</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委托代理人：</w:t>
      </w:r>
      <w:r>
        <w:rPr>
          <w:rFonts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电话：</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单位名称（章）：</w:t>
      </w:r>
      <w:r>
        <w:rPr>
          <w:rFonts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单位地址：</w:t>
      </w:r>
      <w:r>
        <w:rPr>
          <w:rFonts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法定代表人：         委托代理人：</w:t>
      </w:r>
      <w:r>
        <w:rPr>
          <w:rFonts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 </w:t>
      </w:r>
      <w:r/>
    </w:p>
    <w:p>
      <w:pPr>
        <w:rPr>
          <w:rFonts w:hint="eastAsia" w:ascii="宋体" w:hAnsi="宋体" w:cs="宋体"/>
          <w:sz w:val="24"/>
        </w:rPr>
      </w:pPr>
      <w:r>
        <w:rPr>
          <w:rFonts w:hint="eastAsia" w:ascii="宋体" w:hAnsi="宋体" w:cs="宋体"/>
          <w:sz w:val="24"/>
        </w:rPr>
        <w:t xml:space="preserve">账号：</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pStyle w:val="933"/>
        <w:rPr>
          <w:rFonts w:ascii="黑体" w:eastAsia="黑体"/>
          <w:sz w:val="44"/>
        </w:rPr>
      </w:pPr>
      <w:r/>
      <w:bookmarkStart w:id="195" w:name="_Toc175731539"/>
      <w:r/>
      <w:bookmarkStart w:id="196" w:name="_Toc49090575"/>
      <w:r/>
      <w:bookmarkStart w:id="197" w:name="_Toc26554093"/>
      <w:r/>
      <w:bookmarkStart w:id="198" w:name="_Toc120614281"/>
      <w:r/>
      <w:bookmarkStart w:id="199" w:name="_Toc462564139"/>
      <w:r/>
      <w:bookmarkStart w:id="200" w:name="_Toc479757211"/>
      <w:r/>
      <w:bookmarkEnd w:id="188"/>
      <w:r/>
      <w:bookmarkEnd w:id="189"/>
      <w:r/>
      <w:bookmarkEnd w:id="190"/>
      <w:r/>
      <w:bookmarkEnd w:id="191"/>
      <w:r>
        <w:rPr>
          <w:rFonts w:hint="eastAsia" w:ascii="黑体" w:eastAsia="黑体"/>
          <w:sz w:val="44"/>
        </w:rPr>
        <w:t xml:space="preserve">第四章  采购需求</w:t>
      </w:r>
      <w:bookmarkEnd w:id="195"/>
      <w:r/>
      <w:r/>
    </w:p>
    <w:p>
      <w:pPr>
        <w:numPr>
          <w:ilvl w:val="0"/>
          <w:numId w:val="4"/>
        </w:numPr>
        <w:contextualSpacing/>
        <w:spacing w:line="360" w:lineRule="auto"/>
        <w:rPr>
          <w:b/>
          <w:sz w:val="24"/>
        </w:rPr>
      </w:pPr>
      <w:r>
        <w:rPr>
          <w:b/>
          <w:sz w:val="24"/>
        </w:rPr>
        <w:t xml:space="preserve">采购标的</w:t>
      </w:r>
      <w:r/>
    </w:p>
    <w:p>
      <w:pPr>
        <w:contextualSpacing/>
        <w:spacing w:line="360" w:lineRule="auto"/>
        <w:rPr>
          <w:bCs/>
          <w:sz w:val="24"/>
        </w:rPr>
      </w:pPr>
      <w:r>
        <w:rPr>
          <w:bCs/>
          <w:sz w:val="24"/>
        </w:rPr>
        <w:t xml:space="preserve">1.</w:t>
      </w:r>
      <w:r>
        <w:rPr>
          <w:rFonts w:hint="eastAsia"/>
          <w:bCs/>
          <w:sz w:val="24"/>
        </w:rPr>
        <w:t xml:space="preserve">项目名称：常州市食药纤检中心食品第一批检验检测设备采购项目</w:t>
      </w:r>
      <w:r/>
    </w:p>
    <w:p>
      <w:pPr>
        <w:contextualSpacing/>
        <w:spacing w:line="360" w:lineRule="auto"/>
        <w:rPr>
          <w:bCs/>
          <w:sz w:val="24"/>
        </w:rPr>
      </w:pPr>
      <w:r>
        <w:rPr>
          <w:rFonts w:hint="eastAsia"/>
          <w:bCs/>
          <w:sz w:val="24"/>
        </w:rPr>
        <w:t xml:space="preserve">2.</w:t>
      </w:r>
      <w:r>
        <w:rPr>
          <w:rFonts w:hint="eastAsia"/>
          <w:bCs/>
          <w:sz w:val="24"/>
        </w:rPr>
        <w:t xml:space="preserve">预算金额：</w:t>
      </w:r>
      <w:r>
        <w:rPr>
          <w:rFonts w:hint="eastAsia"/>
          <w:bCs/>
          <w:sz w:val="24"/>
        </w:rPr>
        <w:t xml:space="preserve">175</w:t>
      </w:r>
      <w:r>
        <w:rPr>
          <w:rFonts w:hint="eastAsia"/>
          <w:bCs/>
          <w:sz w:val="24"/>
        </w:rPr>
        <w:t xml:space="preserve">万元。分包一：人民币</w:t>
      </w:r>
      <w:r>
        <w:rPr>
          <w:rFonts w:hint="eastAsia"/>
          <w:bCs/>
          <w:sz w:val="24"/>
        </w:rPr>
        <w:t xml:space="preserve">70</w:t>
      </w:r>
      <w:r>
        <w:rPr>
          <w:rFonts w:hint="eastAsia"/>
          <w:bCs/>
          <w:sz w:val="24"/>
        </w:rPr>
        <w:t xml:space="preserve">万元</w:t>
      </w:r>
      <w:r>
        <w:rPr>
          <w:rFonts w:hint="eastAsia"/>
          <w:bCs/>
          <w:sz w:val="24"/>
        </w:rPr>
        <w:t xml:space="preserve"> </w:t>
      </w:r>
      <w:r>
        <w:rPr>
          <w:rFonts w:hint="eastAsia"/>
          <w:bCs/>
          <w:sz w:val="24"/>
        </w:rPr>
        <w:t xml:space="preserve">；分包二：人民币</w:t>
      </w:r>
      <w:r>
        <w:rPr>
          <w:rFonts w:hint="eastAsia"/>
          <w:bCs/>
          <w:sz w:val="24"/>
        </w:rPr>
        <w:t xml:space="preserve">65</w:t>
      </w:r>
      <w:r>
        <w:rPr>
          <w:rFonts w:hint="eastAsia"/>
          <w:bCs/>
          <w:sz w:val="24"/>
        </w:rPr>
        <w:t xml:space="preserve">万元；分包三：</w:t>
      </w:r>
      <w:r>
        <w:rPr>
          <w:rFonts w:hint="eastAsia"/>
          <w:bCs/>
          <w:sz w:val="24"/>
        </w:rPr>
        <w:t xml:space="preserve">40</w:t>
      </w:r>
      <w:r>
        <w:rPr>
          <w:rFonts w:hint="eastAsia"/>
          <w:bCs/>
          <w:sz w:val="24"/>
        </w:rPr>
        <w:t xml:space="preserve">万元。</w:t>
      </w:r>
      <w:r/>
    </w:p>
    <w:p>
      <w:pPr>
        <w:contextualSpacing/>
        <w:spacing w:line="360" w:lineRule="auto"/>
        <w:rPr>
          <w:bCs/>
          <w:sz w:val="24"/>
        </w:rPr>
      </w:pPr>
      <w:r>
        <w:rPr>
          <w:rFonts w:hint="eastAsia"/>
          <w:bCs/>
          <w:sz w:val="24"/>
        </w:rPr>
        <w:t xml:space="preserve">3.</w:t>
      </w:r>
      <w:r>
        <w:rPr>
          <w:rFonts w:hint="eastAsia"/>
          <w:bCs/>
          <w:sz w:val="24"/>
        </w:rPr>
        <w:t xml:space="preserve">最高限价：</w:t>
      </w:r>
      <w:r>
        <w:rPr>
          <w:rFonts w:hint="eastAsia"/>
          <w:bCs/>
          <w:sz w:val="24"/>
        </w:rPr>
        <w:t xml:space="preserve">175</w:t>
      </w:r>
      <w:r>
        <w:rPr>
          <w:rFonts w:hint="eastAsia"/>
          <w:bCs/>
          <w:sz w:val="24"/>
        </w:rPr>
        <w:t xml:space="preserve">万元。分包一：人民币</w:t>
      </w:r>
      <w:r>
        <w:rPr>
          <w:rFonts w:hint="eastAsia"/>
          <w:bCs/>
          <w:sz w:val="24"/>
        </w:rPr>
        <w:t xml:space="preserve">70</w:t>
      </w:r>
      <w:r>
        <w:rPr>
          <w:rFonts w:hint="eastAsia"/>
          <w:bCs/>
          <w:sz w:val="24"/>
        </w:rPr>
        <w:t xml:space="preserve">万元</w:t>
      </w:r>
      <w:r>
        <w:rPr>
          <w:rFonts w:hint="eastAsia"/>
          <w:bCs/>
          <w:sz w:val="24"/>
        </w:rPr>
        <w:t xml:space="preserve"> </w:t>
      </w:r>
      <w:r>
        <w:rPr>
          <w:rFonts w:hint="eastAsia"/>
          <w:bCs/>
          <w:sz w:val="24"/>
        </w:rPr>
        <w:t xml:space="preserve">；分包二：人民币</w:t>
      </w:r>
      <w:r>
        <w:rPr>
          <w:rFonts w:hint="eastAsia"/>
          <w:bCs/>
          <w:sz w:val="24"/>
        </w:rPr>
        <w:t xml:space="preserve">65</w:t>
      </w:r>
      <w:r>
        <w:rPr>
          <w:rFonts w:hint="eastAsia"/>
          <w:bCs/>
          <w:sz w:val="24"/>
        </w:rPr>
        <w:t xml:space="preserve">万元；分包三：</w:t>
      </w:r>
      <w:r>
        <w:rPr>
          <w:rFonts w:hint="eastAsia"/>
          <w:bCs/>
          <w:sz w:val="24"/>
        </w:rPr>
        <w:t xml:space="preserve">40</w:t>
      </w:r>
      <w:r>
        <w:rPr>
          <w:rFonts w:hint="eastAsia"/>
          <w:bCs/>
          <w:sz w:val="24"/>
        </w:rPr>
        <w:t xml:space="preserve">万元。</w:t>
      </w:r>
      <w:r/>
    </w:p>
    <w:p>
      <w:pPr>
        <w:contextualSpacing/>
        <w:spacing w:line="360" w:lineRule="auto"/>
        <w:rPr>
          <w:bCs/>
          <w:sz w:val="24"/>
        </w:rPr>
      </w:pPr>
      <w:r>
        <w:rPr>
          <w:rFonts w:hint="eastAsia"/>
          <w:bCs/>
          <w:sz w:val="24"/>
        </w:rPr>
        <w:t xml:space="preserve">4.</w:t>
      </w:r>
      <w:r>
        <w:rPr>
          <w:rFonts w:hint="eastAsia"/>
          <w:bCs/>
          <w:sz w:val="24"/>
        </w:rPr>
        <w:t xml:space="preserve">采购项目概况（简介）：本项目为常州市食药纤检中心食品第一批检验检测设备采购项目，包含电感耦合等离子体发射光谱仪</w:t>
      </w:r>
      <w:r>
        <w:rPr>
          <w:rFonts w:hint="eastAsia"/>
          <w:bCs/>
          <w:sz w:val="24"/>
        </w:rPr>
        <w:t xml:space="preserve">1</w:t>
      </w:r>
      <w:r>
        <w:rPr>
          <w:rFonts w:hint="eastAsia"/>
          <w:bCs/>
          <w:sz w:val="24"/>
        </w:rPr>
        <w:t xml:space="preserve">台、液相色谱仪</w:t>
      </w:r>
      <w:r>
        <w:rPr>
          <w:rFonts w:hint="eastAsia"/>
          <w:bCs/>
          <w:sz w:val="24"/>
        </w:rPr>
        <w:t xml:space="preserve">1</w:t>
      </w:r>
      <w:r>
        <w:rPr>
          <w:rFonts w:hint="eastAsia"/>
          <w:bCs/>
          <w:sz w:val="24"/>
        </w:rPr>
        <w:t xml:space="preserve">台、定氮仪</w:t>
      </w:r>
      <w:r>
        <w:rPr>
          <w:rFonts w:hint="eastAsia"/>
          <w:bCs/>
          <w:sz w:val="24"/>
        </w:rPr>
        <w:t xml:space="preserve">1</w:t>
      </w:r>
      <w:r>
        <w:rPr>
          <w:rFonts w:hint="eastAsia"/>
          <w:bCs/>
          <w:sz w:val="24"/>
        </w:rPr>
        <w:t xml:space="preserve">台。具体内容包括但不</w:t>
      </w:r>
      <w:r>
        <w:rPr>
          <w:rFonts w:hint="eastAsia"/>
          <w:bCs/>
          <w:sz w:val="24"/>
        </w:rPr>
        <w:t xml:space="preserve">限于</w:t>
      </w:r>
      <w:r>
        <w:rPr>
          <w:rFonts w:hint="eastAsia"/>
          <w:bCs/>
          <w:sz w:val="24"/>
        </w:rPr>
        <w:t xml:space="preserve">:</w:t>
      </w:r>
      <w:r>
        <w:rPr>
          <w:rFonts w:hint="eastAsia"/>
          <w:bCs/>
          <w:sz w:val="24"/>
        </w:rPr>
        <w:t xml:space="preserve">设备的制造（采购）、运输、装卸、安装、调试、测试、售后服务、技术培训等全部工作。</w:t>
      </w:r>
      <w:r/>
    </w:p>
    <w:p>
      <w:pPr>
        <w:contextualSpacing/>
        <w:spacing w:line="360" w:lineRule="auto"/>
        <w:rPr>
          <w:bCs/>
          <w:sz w:val="24"/>
        </w:rPr>
      </w:pPr>
      <w:r>
        <w:rPr>
          <w:rFonts w:hint="eastAsia"/>
          <w:bCs/>
          <w:sz w:val="24"/>
        </w:rPr>
        <w:t xml:space="preserve">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8"/>
        <w:gridCol w:w="2432"/>
        <w:gridCol w:w="801"/>
        <w:gridCol w:w="1754"/>
        <w:gridCol w:w="2701"/>
      </w:tblGrid>
      <w:tr>
        <w:trPr>
          <w:jc w:val="center"/>
          <w:trHeight w:val="45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b/>
                <w:bCs/>
                <w:sz w:val="24"/>
              </w:rPr>
            </w:pPr>
            <w:r>
              <w:rPr>
                <w:rFonts w:hint="eastAsia"/>
                <w:b/>
                <w:bCs/>
                <w:sz w:val="24"/>
              </w:rPr>
              <w:t xml:space="preserve">分包</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b/>
                <w:bCs/>
                <w:sz w:val="24"/>
              </w:rPr>
            </w:pPr>
            <w:r>
              <w:rPr>
                <w:rFonts w:hint="eastAsia"/>
                <w:b/>
                <w:bCs/>
                <w:sz w:val="24"/>
              </w:rPr>
              <w:t xml:space="preserve">采购名称</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b/>
                <w:bCs/>
                <w:sz w:val="24"/>
              </w:rPr>
            </w:pPr>
            <w:r>
              <w:rPr>
                <w:rFonts w:hint="eastAsia"/>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b/>
                <w:bCs/>
                <w:sz w:val="24"/>
              </w:rPr>
            </w:pPr>
            <w:r>
              <w:rPr>
                <w:rFonts w:hint="eastAsia"/>
                <w:b/>
                <w:bCs/>
                <w:sz w:val="24"/>
              </w:rPr>
              <w:t xml:space="preserve">最高限价</w:t>
            </w:r>
            <w:r/>
          </w:p>
        </w:tc>
        <w:tc>
          <w:tcPr>
            <w:tcBorders>
              <w:top w:val="single" w:color="000000" w:sz="4" w:space="0"/>
              <w:left w:val="single" w:color="000000" w:sz="4" w:space="0"/>
              <w:bottom w:val="single" w:color="000000" w:sz="4" w:space="0"/>
              <w:right w:val="single" w:color="000000" w:sz="4" w:space="0"/>
            </w:tcBorders>
            <w:tcW w:w="1627" w:type="pct"/>
            <w:vAlign w:val="center"/>
            <w:textDirection w:val="lrTb"/>
            <w:noWrap w:val="false"/>
          </w:tcPr>
          <w:p>
            <w:pPr>
              <w:jc w:val="center"/>
              <w:rPr>
                <w:b/>
                <w:bCs/>
                <w:sz w:val="24"/>
              </w:rPr>
            </w:pPr>
            <w:r>
              <w:rPr>
                <w:rFonts w:hint="eastAsia"/>
                <w:b/>
                <w:bCs/>
                <w:sz w:val="24"/>
              </w:rPr>
              <w:t xml:space="preserve">简要技术需求或服务要求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sz w:val="24"/>
              </w:rPr>
            </w:pPr>
            <w:r>
              <w:rPr>
                <w:rFonts w:hint="eastAsia"/>
                <w:sz w:val="24"/>
              </w:rPr>
              <w:t xml:space="preserve">一</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sz w:val="24"/>
              </w:rPr>
            </w:pPr>
            <w:r>
              <w:rPr>
                <w:rFonts w:hint="eastAsia" w:ascii="宋体" w:hAnsi="宋体"/>
                <w:sz w:val="24"/>
              </w:rPr>
              <w:t xml:space="preserve">电感耦合等离子体发射光谱仪</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sz w:val="24"/>
              </w:rPr>
            </w:pPr>
            <w:r>
              <w:rPr>
                <w:rFonts w:hint="eastAsia"/>
                <w:sz w:val="24"/>
              </w:rPr>
              <w:t xml:space="preserve">人民币</w:t>
            </w:r>
            <w:r>
              <w:rPr>
                <w:sz w:val="24"/>
              </w:rPr>
              <w:t xml:space="preserve">70</w:t>
            </w:r>
            <w:r>
              <w:rPr>
                <w:rFonts w:hint="eastAsia"/>
                <w:sz w:val="24"/>
              </w:rPr>
              <w:t xml:space="preserve">万元</w:t>
            </w:r>
            <w:r/>
          </w:p>
        </w:tc>
        <w:tc>
          <w:tcPr>
            <w:tcBorders>
              <w:top w:val="single" w:color="000000" w:sz="4" w:space="0"/>
              <w:left w:val="single" w:color="000000" w:sz="4" w:space="0"/>
              <w:right w:val="single" w:color="000000" w:sz="4" w:space="0"/>
            </w:tcBorders>
            <w:tcW w:w="1627" w:type="pct"/>
            <w:vAlign w:val="center"/>
            <w:vMerge w:val="restart"/>
            <w:textDirection w:val="lrTb"/>
            <w:noWrap w:val="false"/>
          </w:tcPr>
          <w:p>
            <w:pPr>
              <w:jc w:val="center"/>
              <w:rPr>
                <w:sz w:val="24"/>
              </w:rPr>
            </w:pPr>
            <w:r>
              <w:rPr>
                <w:rFonts w:hint="eastAsia" w:ascii="宋体" w:hAnsi="宋体" w:cs="宋体"/>
                <w:bCs/>
                <w:sz w:val="24"/>
              </w:rPr>
              <w:t xml:space="preserve">具体内容包括：</w:t>
            </w:r>
            <w:r>
              <w:rPr>
                <w:rFonts w:hint="eastAsia" w:ascii="宋体" w:hAnsi="宋体"/>
                <w:sz w:val="24"/>
              </w:rPr>
              <w:t xml:space="preserve">设备的制造（采购）、运输、装卸、安装、调试、测试、售后服务、技术培训等全部工作</w:t>
            </w:r>
            <w:r>
              <w:rPr>
                <w:rFonts w:hint="eastAsia" w:ascii="宋体" w:hAnsi="宋体" w:cs="宋体"/>
                <w:bCs/>
                <w:sz w:val="24"/>
              </w:rPr>
              <w:t xml:space="preserve">。</w:t>
            </w:r>
            <w:r/>
          </w:p>
        </w:tc>
      </w:tr>
      <w:tr>
        <w:trPr>
          <w:jc w:val="center"/>
          <w:trHeight w:val="488"/>
        </w:trPr>
        <w:tc>
          <w:tcPr>
            <w:tcBorders>
              <w:top w:val="single" w:color="000000" w:sz="4" w:space="0"/>
              <w:left w:val="single" w:color="000000" w:sz="4" w:space="0"/>
              <w:right w:val="single" w:color="000000" w:sz="4" w:space="0"/>
            </w:tcBorders>
            <w:tcW w:w="366" w:type="pct"/>
            <w:vAlign w:val="center"/>
            <w:textDirection w:val="lrTb"/>
            <w:noWrap w:val="false"/>
          </w:tcPr>
          <w:p>
            <w:pPr>
              <w:jc w:val="center"/>
              <w:rPr>
                <w:sz w:val="24"/>
              </w:rPr>
            </w:pPr>
            <w:r>
              <w:rPr>
                <w:rFonts w:hint="eastAsia"/>
                <w:sz w:val="24"/>
              </w:rPr>
              <w:t xml:space="preserve">二</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sz w:val="24"/>
              </w:rPr>
            </w:pPr>
            <w:r>
              <w:rPr>
                <w:rFonts w:hint="eastAsia" w:ascii="宋体" w:hAnsi="宋体"/>
                <w:sz w:val="24"/>
              </w:rPr>
              <w:t xml:space="preserve">液相色谱仪</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sz w:val="24"/>
              </w:rPr>
            </w:pPr>
            <w:r>
              <w:rPr>
                <w:rFonts w:hint="eastAsia"/>
                <w:sz w:val="24"/>
              </w:rPr>
              <w:t xml:space="preserve">人民币</w:t>
            </w:r>
            <w:r>
              <w:rPr>
                <w:sz w:val="24"/>
              </w:rPr>
              <w:t xml:space="preserve">65</w:t>
            </w:r>
            <w:r>
              <w:rPr>
                <w:rFonts w:hint="eastAsia"/>
                <w:sz w:val="24"/>
              </w:rPr>
              <w:t xml:space="preserve">万元</w:t>
            </w:r>
            <w:r/>
          </w:p>
        </w:tc>
        <w:tc>
          <w:tcPr>
            <w:tcBorders>
              <w:left w:val="single" w:color="000000" w:sz="4" w:space="0"/>
              <w:right w:val="single" w:color="000000" w:sz="4" w:space="0"/>
            </w:tcBorders>
            <w:tcW w:w="1627" w:type="pct"/>
            <w:vAlign w:val="center"/>
            <w:vMerge w:val="continue"/>
            <w:textDirection w:val="lrTb"/>
            <w:noWrap w:val="false"/>
          </w:tcPr>
          <w:p>
            <w:pPr>
              <w:jc w:val="left"/>
              <w:widowControl/>
              <w:rPr>
                <w:sz w:val="24"/>
              </w:rPr>
            </w:pPr>
            <w:r>
              <w:rPr>
                <w:sz w:val="24"/>
              </w:rPr>
            </w:r>
            <w:r/>
          </w:p>
        </w:tc>
      </w:tr>
      <w:tr>
        <w:trPr>
          <w:jc w:val="center"/>
          <w:trHeight w:val="488"/>
        </w:trPr>
        <w:tc>
          <w:tcPr>
            <w:tcBorders>
              <w:left w:val="single" w:color="000000" w:sz="4" w:space="0"/>
              <w:bottom w:val="single" w:color="000000" w:sz="4" w:space="0"/>
              <w:right w:val="single" w:color="000000" w:sz="4" w:space="0"/>
            </w:tcBorders>
            <w:tcW w:w="366" w:type="pct"/>
            <w:vAlign w:val="center"/>
            <w:textDirection w:val="lrTb"/>
            <w:noWrap w:val="false"/>
          </w:tcPr>
          <w:p>
            <w:pPr>
              <w:jc w:val="center"/>
              <w:widowControl/>
              <w:rPr>
                <w:sz w:val="24"/>
              </w:rPr>
            </w:pPr>
            <w:r>
              <w:rPr>
                <w:rFonts w:hint="eastAsia"/>
                <w:sz w:val="24"/>
              </w:rPr>
              <w:t xml:space="preserve">三</w:t>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sz w:val="24"/>
              </w:rPr>
            </w:pPr>
            <w:r>
              <w:rPr>
                <w:rFonts w:hint="eastAsia" w:ascii="宋体" w:hAnsi="宋体"/>
                <w:sz w:val="24"/>
              </w:rPr>
              <w:t xml:space="preserve">定氮仪</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sz w:val="24"/>
              </w:rPr>
            </w:pPr>
            <w:r>
              <w:rPr>
                <w:sz w:val="24"/>
              </w:rPr>
              <w:t xml:space="preserve">1</w:t>
            </w:r>
            <w:r>
              <w:rPr>
                <w:rFonts w:hint="eastAsia"/>
                <w:sz w:val="24"/>
              </w:rPr>
              <w:t xml:space="preserve">台</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rPr>
                <w:sz w:val="24"/>
              </w:rPr>
            </w:pPr>
            <w:r>
              <w:rPr>
                <w:rFonts w:hint="eastAsia"/>
                <w:sz w:val="24"/>
              </w:rPr>
              <w:t xml:space="preserve">人民币</w:t>
            </w:r>
            <w:r>
              <w:rPr>
                <w:sz w:val="24"/>
              </w:rPr>
              <w:t xml:space="preserve">40</w:t>
            </w:r>
            <w:r>
              <w:rPr>
                <w:rFonts w:hint="eastAsia"/>
                <w:sz w:val="24"/>
              </w:rPr>
              <w:t xml:space="preserve">万元</w:t>
            </w:r>
            <w:r/>
          </w:p>
        </w:tc>
        <w:tc>
          <w:tcPr>
            <w:tcBorders>
              <w:left w:val="single" w:color="000000" w:sz="4" w:space="0"/>
              <w:bottom w:val="single" w:color="000000" w:sz="4" w:space="0"/>
              <w:right w:val="single" w:color="000000" w:sz="4" w:space="0"/>
            </w:tcBorders>
            <w:tcW w:w="1627" w:type="pct"/>
            <w:vAlign w:val="center"/>
            <w:vMerge w:val="continue"/>
            <w:textDirection w:val="lrTb"/>
            <w:noWrap w:val="false"/>
          </w:tcPr>
          <w:p>
            <w:pPr>
              <w:jc w:val="left"/>
              <w:widowControl/>
              <w:rPr>
                <w:sz w:val="24"/>
              </w:rPr>
            </w:pPr>
            <w:r>
              <w:rPr>
                <w:sz w:val="24"/>
              </w:rPr>
            </w:r>
            <w:r/>
          </w:p>
        </w:tc>
      </w:tr>
    </w:tbl>
    <w:p>
      <w:pPr>
        <w:contextualSpacing/>
        <w:spacing w:line="360" w:lineRule="auto"/>
        <w:rPr>
          <w:b/>
          <w:sz w:val="24"/>
        </w:rPr>
      </w:pPr>
      <w:r>
        <w:rPr>
          <w:rFonts w:hint="eastAsia"/>
          <w:b/>
          <w:sz w:val="24"/>
        </w:rPr>
        <w:t xml:space="preserve">注：本项目共分</w:t>
      </w:r>
      <w:r>
        <w:rPr>
          <w:rFonts w:hint="eastAsia"/>
          <w:b/>
          <w:sz w:val="24"/>
        </w:rPr>
        <w:t xml:space="preserve">3</w:t>
      </w:r>
      <w:r>
        <w:rPr>
          <w:rFonts w:hint="eastAsia"/>
          <w:b/>
          <w:sz w:val="24"/>
        </w:rPr>
        <w:t xml:space="preserve">个采购包，可兼投，不兼中。投标人可对本次采购的单个采购包或全部采购包进行投标，在投标文件中注明所投采购包并响应该采购包全部内容。每个投标人仅限中标一个采购包。</w:t>
      </w:r>
      <w:r>
        <w:rPr>
          <w:rFonts w:hint="eastAsia"/>
          <w:b/>
          <w:sz w:val="24"/>
        </w:rPr>
        <w:t xml:space="preserve">3</w:t>
      </w:r>
      <w:r>
        <w:rPr>
          <w:rFonts w:hint="eastAsia"/>
          <w:b/>
          <w:sz w:val="24"/>
        </w:rPr>
        <w:t xml:space="preserve">个采购包同时评审，按采购包</w:t>
      </w:r>
      <w:r>
        <w:rPr>
          <w:rFonts w:hint="eastAsia"/>
          <w:b/>
          <w:sz w:val="24"/>
        </w:rPr>
        <w:t xml:space="preserve">1</w:t>
      </w:r>
      <w:r>
        <w:rPr>
          <w:rFonts w:hint="eastAsia"/>
          <w:b/>
          <w:sz w:val="24"/>
        </w:rPr>
        <w:t xml:space="preserve">、采购包</w:t>
      </w:r>
      <w:r>
        <w:rPr>
          <w:rFonts w:hint="eastAsia"/>
          <w:b/>
          <w:sz w:val="24"/>
        </w:rPr>
        <w:t xml:space="preserve">2</w:t>
      </w:r>
      <w:r>
        <w:rPr>
          <w:rFonts w:hint="eastAsia"/>
          <w:b/>
          <w:sz w:val="24"/>
        </w:rPr>
        <w:t xml:space="preserve">、采购包</w:t>
      </w:r>
      <w:r>
        <w:rPr>
          <w:rFonts w:hint="eastAsia"/>
          <w:b/>
          <w:sz w:val="24"/>
        </w:rPr>
        <w:t xml:space="preserve">3</w:t>
      </w:r>
      <w:r>
        <w:rPr>
          <w:rFonts w:hint="eastAsia"/>
          <w:b/>
          <w:sz w:val="24"/>
        </w:rPr>
        <w:t xml:space="preserve">的顺序依次各确定</w:t>
      </w:r>
      <w:r>
        <w:rPr>
          <w:rFonts w:hint="eastAsia"/>
          <w:b/>
          <w:sz w:val="24"/>
        </w:rPr>
        <w:t xml:space="preserve">1</w:t>
      </w:r>
      <w:r>
        <w:rPr>
          <w:rFonts w:hint="eastAsia"/>
          <w:b/>
          <w:sz w:val="24"/>
        </w:rPr>
        <w:t xml:space="preserve">名中标候选人，采购包</w:t>
      </w:r>
      <w:r>
        <w:rPr>
          <w:rFonts w:hint="eastAsia"/>
          <w:b/>
          <w:sz w:val="24"/>
        </w:rPr>
        <w:t xml:space="preserve">1</w:t>
      </w:r>
      <w:r>
        <w:rPr>
          <w:rFonts w:hint="eastAsia"/>
          <w:b/>
          <w:sz w:val="24"/>
        </w:rPr>
        <w:t xml:space="preserve">确定的中标候选人不再列为采购包</w:t>
      </w:r>
      <w:r>
        <w:rPr>
          <w:rFonts w:hint="eastAsia"/>
          <w:b/>
          <w:sz w:val="24"/>
        </w:rPr>
        <w:t xml:space="preserve">2</w:t>
      </w:r>
      <w:r>
        <w:rPr>
          <w:rFonts w:hint="eastAsia"/>
          <w:b/>
          <w:sz w:val="24"/>
        </w:rPr>
        <w:t xml:space="preserve">的中标候选人，以此类推。</w:t>
      </w:r>
      <w:r/>
    </w:p>
    <w:p>
      <w:pPr>
        <w:contextualSpacing/>
        <w:spacing w:line="360" w:lineRule="auto"/>
        <w:rPr>
          <w:b/>
          <w:sz w:val="24"/>
        </w:rPr>
      </w:pPr>
      <w:r>
        <w:rPr>
          <w:rFonts w:hint="eastAsia"/>
          <w:b/>
          <w:sz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rPr>
          <w:rFonts w:hint="eastAsia"/>
          <w:b/>
          <w:sz w:val="24"/>
        </w:rPr>
        <w:t xml:space="preserve"> </w:t>
      </w:r>
      <w:r/>
    </w:p>
    <w:p>
      <w:pPr>
        <w:contextualSpacing/>
        <w:spacing w:line="360" w:lineRule="auto"/>
        <w:rPr>
          <w:bCs/>
          <w:sz w:val="24"/>
        </w:rPr>
      </w:pPr>
      <w:r>
        <w:rPr>
          <w:rFonts w:hint="eastAsia"/>
          <w:bCs/>
          <w:sz w:val="24"/>
        </w:rPr>
        <w:t xml:space="preserve">5.</w:t>
      </w:r>
      <w:r>
        <w:rPr>
          <w:rFonts w:hint="eastAsia"/>
          <w:bCs/>
          <w:sz w:val="24"/>
        </w:rPr>
        <w:t xml:space="preserve">合同履行期限：自合同签订之日起</w:t>
      </w:r>
      <w:r>
        <w:rPr>
          <w:rFonts w:hint="eastAsia"/>
          <w:bCs/>
          <w:sz w:val="24"/>
        </w:rPr>
        <w:t xml:space="preserve">90</w:t>
      </w:r>
      <w:r>
        <w:rPr>
          <w:rFonts w:hint="eastAsia"/>
          <w:bCs/>
          <w:sz w:val="24"/>
        </w:rPr>
        <w:t xml:space="preserve">日内交货并安装调试完毕。</w:t>
      </w:r>
      <w:r/>
    </w:p>
    <w:p>
      <w:pPr>
        <w:contextualSpacing/>
        <w:spacing w:line="360" w:lineRule="auto"/>
        <w:rPr>
          <w:bCs/>
          <w:sz w:val="24"/>
        </w:rPr>
      </w:pPr>
      <w:r>
        <w:rPr>
          <w:rFonts w:hint="eastAsia"/>
          <w:bCs/>
          <w:sz w:val="24"/>
        </w:rPr>
        <w:t xml:space="preserve">6.</w:t>
      </w:r>
      <w:r>
        <w:rPr>
          <w:rFonts w:hint="eastAsia"/>
          <w:bCs/>
          <w:sz w:val="24"/>
        </w:rPr>
        <w:t xml:space="preserve">是</w:t>
      </w:r>
      <w:r>
        <w:rPr>
          <w:rFonts w:hint="eastAsia"/>
          <w:bCs/>
          <w:sz w:val="24"/>
        </w:rPr>
        <w:t xml:space="preserve">/</w:t>
      </w:r>
      <w:r>
        <w:rPr>
          <w:rFonts w:hint="eastAsia"/>
          <w:bCs/>
          <w:sz w:val="24"/>
        </w:rPr>
        <w:t xml:space="preserve">否接受联合体投标：否</w:t>
      </w:r>
      <w:r/>
    </w:p>
    <w:p>
      <w:pPr>
        <w:contextualSpacing/>
        <w:spacing w:line="360" w:lineRule="auto"/>
        <w:rPr>
          <w:bCs/>
          <w:sz w:val="24"/>
        </w:rPr>
      </w:pPr>
      <w:r>
        <w:rPr>
          <w:rFonts w:hint="eastAsia"/>
          <w:bCs/>
          <w:sz w:val="24"/>
        </w:rPr>
        <w:t xml:space="preserve">7.</w:t>
      </w:r>
      <w:r>
        <w:rPr>
          <w:bCs/>
          <w:sz w:val="24"/>
        </w:rPr>
        <w:t xml:space="preserve">是</w:t>
      </w:r>
      <w:r>
        <w:rPr>
          <w:rFonts w:hint="eastAsia"/>
          <w:bCs/>
          <w:sz w:val="24"/>
        </w:rPr>
        <w:t xml:space="preserve">/</w:t>
      </w:r>
      <w:r>
        <w:rPr>
          <w:bCs/>
          <w:sz w:val="24"/>
        </w:rPr>
        <w:t xml:space="preserve">否接受分支机构参与响应：</w:t>
      </w:r>
      <w:r>
        <w:rPr>
          <w:rFonts w:hint="eastAsia"/>
          <w:bCs/>
          <w:sz w:val="24"/>
        </w:rPr>
        <w:t xml:space="preserve">否</w:t>
      </w:r>
      <w:r/>
    </w:p>
    <w:p>
      <w:pPr>
        <w:contextualSpacing/>
        <w:spacing w:line="360" w:lineRule="auto"/>
        <w:rPr>
          <w:bCs/>
          <w:sz w:val="24"/>
        </w:rPr>
      </w:pPr>
      <w:r>
        <w:rPr>
          <w:rFonts w:hint="eastAsia"/>
          <w:bCs/>
          <w:sz w:val="24"/>
        </w:rPr>
        <w:t xml:space="preserve">8.</w:t>
      </w:r>
      <w:r>
        <w:rPr>
          <w:bCs/>
          <w:sz w:val="24"/>
        </w:rPr>
        <w:t xml:space="preserve">是</w:t>
      </w:r>
      <w:r>
        <w:rPr>
          <w:rFonts w:hint="eastAsia"/>
          <w:bCs/>
          <w:sz w:val="24"/>
        </w:rPr>
        <w:t xml:space="preserve">/</w:t>
      </w:r>
      <w:r>
        <w:rPr>
          <w:bCs/>
          <w:sz w:val="24"/>
        </w:rPr>
        <w:t xml:space="preserve">否属于政府购买服务：</w:t>
      </w:r>
      <w:r>
        <w:rPr>
          <w:rFonts w:hint="eastAsia"/>
          <w:bCs/>
          <w:sz w:val="24"/>
        </w:rPr>
        <w:t xml:space="preserve">否</w:t>
      </w:r>
      <w:r/>
    </w:p>
    <w:p>
      <w:pPr>
        <w:contextualSpacing/>
        <w:spacing w:line="360" w:lineRule="auto"/>
        <w:rPr>
          <w:bCs/>
          <w:sz w:val="24"/>
        </w:rPr>
      </w:pPr>
      <w:r>
        <w:rPr>
          <w:rFonts w:hint="eastAsia"/>
          <w:bCs/>
          <w:sz w:val="24"/>
        </w:rPr>
        <w:t xml:space="preserve">9.</w:t>
      </w:r>
      <w:r>
        <w:rPr>
          <w:bCs/>
          <w:sz w:val="24"/>
        </w:rPr>
        <w:t xml:space="preserve">是</w:t>
      </w:r>
      <w:r>
        <w:rPr>
          <w:rFonts w:hint="eastAsia"/>
          <w:bCs/>
          <w:sz w:val="24"/>
        </w:rPr>
        <w:t xml:space="preserve">/</w:t>
      </w:r>
      <w:r>
        <w:rPr>
          <w:bCs/>
          <w:sz w:val="24"/>
        </w:rPr>
        <w:t xml:space="preserve">否接受</w:t>
      </w:r>
      <w:r>
        <w:rPr>
          <w:rFonts w:hint="eastAsia"/>
          <w:bCs/>
          <w:sz w:val="24"/>
        </w:rPr>
        <w:t xml:space="preserve">进口产品投标：否</w:t>
      </w:r>
      <w:r/>
    </w:p>
    <w:p>
      <w:pPr>
        <w:contextualSpacing/>
        <w:spacing w:line="360" w:lineRule="auto"/>
        <w:rPr>
          <w:bCs/>
          <w:sz w:val="24"/>
        </w:rPr>
      </w:pPr>
      <w:r>
        <w:rPr>
          <w:rFonts w:hint="eastAsia"/>
          <w:bCs/>
          <w:sz w:val="24"/>
        </w:rPr>
        <w:t xml:space="preserve">10.</w:t>
      </w:r>
      <w:r>
        <w:rPr>
          <w:rFonts w:hint="eastAsia"/>
          <w:bCs/>
          <w:sz w:val="24"/>
        </w:rPr>
        <w:t xml:space="preserve">是</w:t>
      </w:r>
      <w:r>
        <w:rPr>
          <w:rFonts w:hint="eastAsia"/>
          <w:bCs/>
          <w:sz w:val="24"/>
        </w:rPr>
        <w:t xml:space="preserve">/</w:t>
      </w:r>
      <w:r>
        <w:rPr>
          <w:rFonts w:hint="eastAsia"/>
          <w:bCs/>
          <w:sz w:val="24"/>
        </w:rPr>
        <w:t xml:space="preserve">否</w:t>
      </w:r>
      <w:r>
        <w:rPr>
          <w:bCs/>
          <w:sz w:val="24"/>
        </w:rPr>
        <w:t xml:space="preserve">专门面向中小企业预留采购份额</w:t>
      </w:r>
      <w:r>
        <w:rPr>
          <w:rFonts w:hint="eastAsia"/>
          <w:bCs/>
          <w:sz w:val="24"/>
        </w:rPr>
        <w:t xml:space="preserve">：否</w:t>
      </w:r>
      <w:r/>
    </w:p>
    <w:p>
      <w:pPr>
        <w:contextualSpacing/>
        <w:spacing w:line="360" w:lineRule="auto"/>
        <w:rPr>
          <w:bCs/>
          <w:sz w:val="24"/>
        </w:rPr>
      </w:pPr>
      <w:r>
        <w:rPr>
          <w:rFonts w:hint="eastAsia"/>
          <w:bCs/>
          <w:sz w:val="24"/>
        </w:rPr>
        <w:t xml:space="preserve">11.</w:t>
      </w:r>
      <w:r>
        <w:rPr>
          <w:rFonts w:hint="eastAsia"/>
          <w:bCs/>
          <w:sz w:val="24"/>
        </w:rPr>
        <w:t xml:space="preserve">本项目的特定资格要求：无</w:t>
      </w:r>
      <w:r/>
    </w:p>
    <w:p>
      <w:pPr>
        <w:contextualSpacing/>
        <w:spacing w:line="360" w:lineRule="auto"/>
        <w:rPr>
          <w:bCs/>
          <w:sz w:val="24"/>
        </w:rPr>
      </w:pPr>
      <w:r>
        <w:rPr>
          <w:rFonts w:hint="eastAsia"/>
          <w:bCs/>
          <w:sz w:val="24"/>
        </w:rPr>
        <w:t xml:space="preserve">12.</w:t>
      </w:r>
      <w:r>
        <w:rPr>
          <w:rFonts w:hint="eastAsia"/>
          <w:bCs/>
          <w:sz w:val="24"/>
        </w:rPr>
        <w:t xml:space="preserve">项目类别：货物类</w:t>
      </w:r>
      <w:r/>
    </w:p>
    <w:p>
      <w:pPr>
        <w:rPr>
          <w:rFonts w:hint="eastAsia" w:ascii="宋体" w:hAnsi="宋体"/>
          <w:sz w:val="24"/>
        </w:rPr>
      </w:pPr>
      <w:r>
        <w:rPr>
          <w:rFonts w:hint="eastAsia" w:ascii="宋体" w:hAnsi="宋体"/>
          <w:sz w:val="24"/>
        </w:rPr>
      </w:r>
      <w:r/>
    </w:p>
    <w:p>
      <w:pPr>
        <w:numPr>
          <w:ilvl w:val="0"/>
          <w:numId w:val="4"/>
        </w:numPr>
        <w:contextualSpacing/>
        <w:spacing w:line="360" w:lineRule="auto"/>
        <w:rPr>
          <w:b/>
          <w:sz w:val="24"/>
        </w:rPr>
      </w:pPr>
      <w:r>
        <w:rPr>
          <w:b/>
          <w:sz w:val="24"/>
        </w:rPr>
        <w:t xml:space="preserve">政府采购中实施本国产品标准及相关政策</w:t>
      </w:r>
      <w:r/>
    </w:p>
    <w:p>
      <w:pPr>
        <w:contextualSpacing/>
        <w:spacing w:line="360" w:lineRule="auto"/>
        <w:rPr>
          <w:bCs/>
          <w:sz w:val="24"/>
        </w:rPr>
      </w:pPr>
      <w:r>
        <w:rPr>
          <w:bCs/>
          <w:sz w:val="24"/>
        </w:rPr>
        <w:t xml:space="preserve">1.</w:t>
      </w:r>
      <w:r>
        <w:rPr>
          <w:bCs/>
          <w:sz w:val="24"/>
        </w:rPr>
        <w:t xml:space="preserve">本项目对采购本国产品给予政策支持，具体内容见招标文件</w:t>
      </w:r>
      <w:r>
        <w:rPr>
          <w:bCs/>
          <w:sz w:val="24"/>
        </w:rPr>
        <w:t xml:space="preserve">“</w:t>
      </w:r>
      <w:r>
        <w:rPr>
          <w:bCs/>
          <w:sz w:val="24"/>
        </w:rPr>
        <w:t xml:space="preserve">第五章</w:t>
      </w:r>
      <w:r>
        <w:rPr>
          <w:bCs/>
          <w:sz w:val="24"/>
        </w:rPr>
        <w:t xml:space="preserve"> </w:t>
      </w:r>
      <w:r>
        <w:rPr>
          <w:bCs/>
          <w:sz w:val="24"/>
        </w:rPr>
        <w:t xml:space="preserve">评标方法与评标标准</w:t>
      </w:r>
      <w:r>
        <w:rPr>
          <w:bCs/>
          <w:sz w:val="24"/>
        </w:rPr>
        <w:t xml:space="preserve">”</w:t>
      </w:r>
      <w:r>
        <w:rPr>
          <w:bCs/>
          <w:sz w:val="24"/>
        </w:rPr>
        <w:t xml:space="preserve">。</w:t>
      </w:r>
      <w:r/>
    </w:p>
    <w:p>
      <w:pPr>
        <w:contextualSpacing/>
        <w:spacing w:line="360" w:lineRule="auto"/>
        <w:rPr>
          <w:bCs/>
          <w:sz w:val="24"/>
        </w:rPr>
      </w:pPr>
      <w:r>
        <w:rPr>
          <w:bCs/>
          <w:sz w:val="24"/>
        </w:rPr>
        <w:t xml:space="preserve">2.</w:t>
      </w:r>
      <w:r>
        <w:rPr>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spacing w:line="360" w:lineRule="auto"/>
        <w:rPr>
          <w:bCs/>
          <w:sz w:val="24"/>
        </w:rPr>
      </w:pPr>
      <w:r>
        <w:rPr>
          <w:bCs/>
          <w:sz w:val="24"/>
        </w:rPr>
        <w:t xml:space="preserve">3.</w:t>
      </w:r>
      <w:r>
        <w:rPr>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numPr>
          <w:ilvl w:val="0"/>
          <w:numId w:val="4"/>
        </w:numPr>
        <w:contextualSpacing/>
        <w:spacing w:line="360" w:lineRule="auto"/>
        <w:rPr>
          <w:b/>
          <w:sz w:val="24"/>
        </w:rPr>
      </w:pPr>
      <w:r>
        <w:rPr>
          <w:b/>
          <w:sz w:val="24"/>
        </w:rPr>
        <w:t xml:space="preserve">商务要求</w:t>
      </w:r>
      <w:r/>
    </w:p>
    <w:p>
      <w:pPr>
        <w:contextualSpacing/>
        <w:spacing w:line="360" w:lineRule="auto"/>
        <w:rPr>
          <w:i/>
          <w:sz w:val="24"/>
        </w:rPr>
      </w:pPr>
      <w:r>
        <w:rPr>
          <w:sz w:val="24"/>
        </w:rPr>
        <w:t xml:space="preserve">1. </w:t>
      </w:r>
      <w:r>
        <w:rPr>
          <w:sz w:val="24"/>
        </w:rPr>
        <w:t xml:space="preserve">交付（实施）的时间（期限）和地点（范围）</w:t>
      </w:r>
      <w:r/>
    </w:p>
    <w:p>
      <w:pPr>
        <w:contextualSpacing/>
        <w:spacing w:line="360" w:lineRule="auto"/>
        <w:rPr>
          <w:i/>
          <w:sz w:val="24"/>
        </w:rPr>
      </w:pPr>
      <w:r>
        <w:rPr>
          <w:rFonts w:hint="eastAsia"/>
          <w:i/>
          <w:sz w:val="24"/>
        </w:rPr>
        <w:t xml:space="preserve">（</w:t>
      </w:r>
      <w:r>
        <w:rPr>
          <w:rFonts w:hint="eastAsia"/>
          <w:i/>
          <w:sz w:val="24"/>
        </w:rPr>
        <w:t xml:space="preserve">1</w:t>
      </w:r>
      <w:r>
        <w:rPr>
          <w:rFonts w:hint="eastAsia"/>
          <w:i/>
          <w:sz w:val="24"/>
        </w:rPr>
        <w:t xml:space="preserve">）交货期：自合同签订之日起</w:t>
      </w:r>
      <w:r>
        <w:rPr>
          <w:rFonts w:hint="eastAsia"/>
          <w:i/>
          <w:sz w:val="24"/>
        </w:rPr>
        <w:t xml:space="preserve">90</w:t>
      </w:r>
      <w:r>
        <w:rPr>
          <w:rFonts w:hint="eastAsia"/>
          <w:i/>
          <w:sz w:val="24"/>
        </w:rPr>
        <w:t xml:space="preserve">日内交货并安装调试完毕。</w:t>
      </w:r>
      <w:r/>
    </w:p>
    <w:p>
      <w:pPr>
        <w:contextualSpacing/>
        <w:spacing w:line="360" w:lineRule="auto"/>
        <w:rPr>
          <w:i/>
          <w:sz w:val="24"/>
        </w:rPr>
      </w:pPr>
      <w:r>
        <w:rPr>
          <w:rFonts w:hint="eastAsia"/>
          <w:i/>
          <w:sz w:val="24"/>
        </w:rPr>
        <w:t xml:space="preserve">（</w:t>
      </w:r>
      <w:r>
        <w:rPr>
          <w:rFonts w:hint="eastAsia"/>
          <w:i/>
          <w:sz w:val="24"/>
        </w:rPr>
        <w:t xml:space="preserve">2</w:t>
      </w:r>
      <w:r>
        <w:rPr>
          <w:rFonts w:hint="eastAsia"/>
          <w:i/>
          <w:sz w:val="24"/>
        </w:rPr>
        <w:t xml:space="preserve">）交货地点：常州市食品药品纤维质量监督检验中心。货物现场交付，采购人检验无误，签署收货通知单后，货物所有权转移给采购人。</w:t>
      </w:r>
      <w:r/>
    </w:p>
    <w:p>
      <w:pPr>
        <w:contextualSpacing/>
        <w:spacing w:line="360" w:lineRule="auto"/>
        <w:rPr>
          <w:bCs/>
          <w:sz w:val="24"/>
        </w:rPr>
      </w:pPr>
      <w:r>
        <w:rPr>
          <w:bCs/>
          <w:sz w:val="24"/>
        </w:rPr>
        <w:t xml:space="preserve">2. </w:t>
      </w:r>
      <w:r>
        <w:rPr>
          <w:bCs/>
          <w:sz w:val="24"/>
        </w:rPr>
        <w:t xml:space="preserve">付款条件（进度和方式）</w:t>
      </w:r>
      <w:r/>
    </w:p>
    <w:p>
      <w:pPr>
        <w:contextualSpacing/>
        <w:spacing w:line="360" w:lineRule="auto"/>
        <w:rPr>
          <w:bCs/>
          <w:sz w:val="24"/>
        </w:rPr>
      </w:pPr>
      <w:r>
        <w:rPr>
          <w:rFonts w:hint="eastAsia"/>
          <w:bCs/>
          <w:sz w:val="24"/>
        </w:rPr>
        <w:t xml:space="preserve">合同签订生效后支付合同总金额的</w:t>
      </w:r>
      <w:r>
        <w:rPr>
          <w:bCs/>
          <w:sz w:val="24"/>
        </w:rPr>
        <w:t xml:space="preserve">35</w:t>
      </w:r>
      <w:r>
        <w:rPr>
          <w:rFonts w:hint="eastAsia"/>
          <w:bCs/>
          <w:sz w:val="24"/>
        </w:rPr>
        <w:t xml:space="preserve">%</w:t>
      </w:r>
      <w:r>
        <w:rPr>
          <w:rFonts w:hint="eastAsia"/>
          <w:bCs/>
          <w:sz w:val="24"/>
        </w:rPr>
        <w:t xml:space="preserve">作为预付款，设备安装调试完毕经采购人验收合格后并收到发票后</w:t>
      </w:r>
      <w:r>
        <w:rPr>
          <w:rFonts w:hint="eastAsia"/>
          <w:bCs/>
          <w:sz w:val="24"/>
        </w:rPr>
        <w:t xml:space="preserve">10</w:t>
      </w:r>
      <w:r>
        <w:rPr>
          <w:rFonts w:hint="eastAsia"/>
          <w:bCs/>
          <w:sz w:val="24"/>
        </w:rPr>
        <w:t xml:space="preserve">个工作日内支付完毕。</w:t>
      </w:r>
      <w:r/>
    </w:p>
    <w:p>
      <w:pPr>
        <w:contextualSpacing/>
        <w:spacing w:line="360" w:lineRule="auto"/>
        <w:rPr>
          <w:bCs/>
          <w:sz w:val="24"/>
        </w:rPr>
      </w:pPr>
      <w:r>
        <w:rPr>
          <w:bCs/>
          <w:sz w:val="24"/>
        </w:rPr>
        <w:t xml:space="preserve">3. </w:t>
      </w:r>
      <w:r>
        <w:rPr>
          <w:bCs/>
          <w:sz w:val="24"/>
        </w:rPr>
        <w:t xml:space="preserve">包装和运输</w:t>
      </w:r>
      <w:r/>
    </w:p>
    <w:p>
      <w:pPr>
        <w:contextualSpacing/>
        <w:spacing w:line="360" w:lineRule="auto"/>
        <w:rPr>
          <w:bCs/>
          <w:sz w:val="24"/>
        </w:rPr>
      </w:pPr>
      <w:r>
        <w:rPr>
          <w:rFonts w:hint="eastAsia"/>
          <w:bCs/>
          <w:sz w:val="24"/>
        </w:rPr>
        <w:t xml:space="preserve">货物类必须要求供应商</w:t>
      </w:r>
      <w:r>
        <w:rPr>
          <w:bCs/>
          <w:sz w:val="24"/>
        </w:rPr>
        <w:t xml:space="preserve">满足《关于印发〈商品包装政府采购需求标准（试行）〉、〈快递包装政府采购需求标准（试行）〉的通知》（财办库﹝</w:t>
      </w:r>
      <w:r>
        <w:rPr>
          <w:bCs/>
          <w:sz w:val="24"/>
        </w:rPr>
        <w:t xml:space="preserve">2020</w:t>
      </w:r>
      <w:r>
        <w:rPr>
          <w:bCs/>
          <w:sz w:val="24"/>
        </w:rPr>
        <w:t xml:space="preserve">﹞</w:t>
      </w:r>
      <w:r>
        <w:rPr>
          <w:bCs/>
          <w:sz w:val="24"/>
        </w:rPr>
        <w:t xml:space="preserve">123</w:t>
      </w:r>
      <w:r>
        <w:rPr>
          <w:bCs/>
          <w:sz w:val="24"/>
        </w:rPr>
        <w:t xml:space="preserve">号））</w:t>
      </w:r>
      <w:r>
        <w:rPr>
          <w:rFonts w:hint="eastAsia"/>
          <w:bCs/>
          <w:sz w:val="24"/>
        </w:rPr>
        <w:t xml:space="preserve">的规定。</w:t>
      </w:r>
      <w:r/>
    </w:p>
    <w:p>
      <w:pPr>
        <w:contextualSpacing/>
        <w:spacing w:line="360" w:lineRule="auto"/>
        <w:rPr>
          <w:bCs/>
          <w:sz w:val="24"/>
        </w:rPr>
      </w:pPr>
      <w:r>
        <w:rPr>
          <w:bCs/>
          <w:sz w:val="24"/>
        </w:rPr>
        <w:t xml:space="preserve">4. </w:t>
      </w:r>
      <w:r>
        <w:rPr>
          <w:bCs/>
          <w:sz w:val="24"/>
        </w:rPr>
        <w:t xml:space="preserve">售后服务（质保期</w:t>
      </w:r>
      <w:r>
        <w:rPr>
          <w:rFonts w:hint="eastAsia"/>
          <w:bCs/>
          <w:sz w:val="24"/>
        </w:rPr>
        <w:t xml:space="preserve">等</w:t>
      </w:r>
      <w:r>
        <w:rPr>
          <w:bCs/>
          <w:sz w:val="24"/>
        </w:rPr>
        <w:t xml:space="preserve">）</w:t>
      </w:r>
      <w:r/>
    </w:p>
    <w:p>
      <w:pPr>
        <w:contextualSpacing/>
        <w:spacing w:line="360" w:lineRule="auto"/>
        <w:rPr>
          <w:bCs/>
          <w:sz w:val="24"/>
        </w:rPr>
      </w:pPr>
      <w:r>
        <w:rPr>
          <w:bCs/>
          <w:sz w:val="24"/>
        </w:rPr>
        <w:t xml:space="preserve">4</w:t>
      </w:r>
      <w:r>
        <w:rPr>
          <w:rFonts w:hint="eastAsia"/>
          <w:bCs/>
          <w:sz w:val="24"/>
        </w:rPr>
        <w:t xml:space="preserve">.1 </w:t>
      </w:r>
      <w:r>
        <w:rPr>
          <w:rFonts w:hint="eastAsia"/>
          <w:bCs/>
          <w:sz w:val="24"/>
        </w:rPr>
        <w:t xml:space="preserve">供应商应在合同规定时间内完成仪器的安装调试，并达到标书和技术文件（仪器说明书等）要求的性能，如果现场安装测试指标未通过，购买方有权要求退货并要求赔偿损失。</w:t>
      </w:r>
      <w:r/>
    </w:p>
    <w:p>
      <w:pPr>
        <w:contextualSpacing/>
        <w:spacing w:line="360" w:lineRule="auto"/>
        <w:rPr>
          <w:bCs/>
          <w:sz w:val="24"/>
        </w:rPr>
      </w:pPr>
      <w:r>
        <w:rPr>
          <w:bCs/>
          <w:sz w:val="24"/>
        </w:rPr>
        <w:t xml:space="preserve">4</w:t>
      </w:r>
      <w:r>
        <w:rPr>
          <w:rFonts w:hint="eastAsia"/>
          <w:bCs/>
          <w:sz w:val="24"/>
        </w:rPr>
        <w:t xml:space="preserve">.2 </w:t>
      </w:r>
      <w:r>
        <w:rPr>
          <w:rFonts w:hint="eastAsia"/>
          <w:bCs/>
          <w:sz w:val="24"/>
        </w:rPr>
        <w:t xml:space="preserve">供应商免费提供用户现场安装、调试及培训。安装工程师在用户现场安装调试完毕后，进行现场讲解培训，人员不限。免费提供仪器使用手册等。保证用户掌握基本操作，可以正确操作使用仪器。</w:t>
      </w:r>
      <w:r/>
    </w:p>
    <w:p>
      <w:pPr>
        <w:contextualSpacing/>
        <w:spacing w:line="360" w:lineRule="auto"/>
        <w:rPr>
          <w:rFonts w:hint="eastAsia" w:ascii="宋体" w:hAnsi="宋体"/>
          <w:sz w:val="24"/>
        </w:rPr>
      </w:pPr>
      <w:r>
        <w:rPr>
          <w:bCs/>
          <w:sz w:val="24"/>
        </w:rPr>
        <w:t xml:space="preserve">4</w:t>
      </w:r>
      <w:r>
        <w:rPr>
          <w:rFonts w:hint="eastAsia"/>
          <w:bCs/>
          <w:sz w:val="24"/>
        </w:rPr>
        <w:t xml:space="preserve">.3</w:t>
      </w:r>
      <w:r>
        <w:rPr>
          <w:rFonts w:hint="eastAsia" w:ascii="宋体" w:hAnsi="宋体"/>
          <w:sz w:val="24"/>
        </w:rPr>
        <w:t xml:space="preserve">电感耦合等离子体发射光谱仪、液相色谱仪质保1年，定氮仪质保3年。</w:t>
      </w:r>
      <w:r/>
    </w:p>
    <w:p>
      <w:pPr>
        <w:contextualSpacing/>
        <w:spacing w:line="360" w:lineRule="auto"/>
        <w:rPr>
          <w:bCs/>
          <w:sz w:val="24"/>
        </w:rPr>
      </w:pPr>
      <w:r>
        <w:rPr>
          <w:bCs/>
          <w:sz w:val="24"/>
        </w:rPr>
        <w:t xml:space="preserve">4</w:t>
      </w:r>
      <w:r>
        <w:rPr>
          <w:rFonts w:hint="eastAsia"/>
          <w:bCs/>
          <w:sz w:val="24"/>
        </w:rPr>
        <w:t xml:space="preserve">.4</w:t>
      </w:r>
      <w:r>
        <w:rPr>
          <w:rFonts w:hint="eastAsia" w:ascii="宋体" w:hAnsi="宋体"/>
          <w:sz w:val="24"/>
        </w:rPr>
        <w:t xml:space="preserve">电感耦合等离子体发射光谱仪</w:t>
      </w:r>
      <w:r>
        <w:rPr>
          <w:rFonts w:hint="eastAsia"/>
          <w:bCs/>
          <w:sz w:val="24"/>
        </w:rPr>
        <w:t xml:space="preserve">供应商提供免费专业培训名额</w:t>
      </w:r>
      <w:r>
        <w:rPr>
          <w:rFonts w:hint="eastAsia"/>
          <w:bCs/>
          <w:sz w:val="24"/>
        </w:rPr>
        <w:t xml:space="preserve">2</w:t>
      </w:r>
      <w:r>
        <w:rPr>
          <w:rFonts w:hint="eastAsia"/>
          <w:bCs/>
          <w:sz w:val="24"/>
        </w:rPr>
        <w:t xml:space="preserve">名，</w:t>
      </w:r>
      <w:r>
        <w:rPr>
          <w:rFonts w:hint="eastAsia" w:ascii="宋体" w:hAnsi="宋体"/>
          <w:sz w:val="24"/>
        </w:rPr>
        <w:t xml:space="preserve">液相色谱仪</w:t>
      </w:r>
      <w:r>
        <w:rPr>
          <w:rFonts w:hint="eastAsia"/>
          <w:bCs/>
          <w:sz w:val="24"/>
        </w:rPr>
        <w:t xml:space="preserve">供应商提供免费专业培训名额</w:t>
      </w:r>
      <w:r>
        <w:rPr>
          <w:rFonts w:hint="eastAsia"/>
          <w:bCs/>
          <w:sz w:val="24"/>
        </w:rPr>
        <w:t xml:space="preserve">4</w:t>
      </w:r>
      <w:r>
        <w:rPr>
          <w:rFonts w:hint="eastAsia"/>
          <w:bCs/>
          <w:sz w:val="24"/>
        </w:rPr>
        <w:t xml:space="preserve">名，包括仪器的基本原理、操作、日常维护及基础分析仪器理论课程，并提供上机培训。</w:t>
      </w:r>
      <w:r/>
    </w:p>
    <w:p>
      <w:pPr>
        <w:contextualSpacing/>
        <w:spacing w:line="360" w:lineRule="auto"/>
        <w:rPr>
          <w:bCs/>
          <w:sz w:val="24"/>
        </w:rPr>
      </w:pPr>
      <w:r>
        <w:rPr>
          <w:bCs/>
          <w:sz w:val="24"/>
        </w:rPr>
        <w:t xml:space="preserve">5. </w:t>
      </w:r>
      <w:r>
        <w:rPr>
          <w:bCs/>
          <w:sz w:val="24"/>
        </w:rPr>
        <w:t xml:space="preserve">保险</w:t>
      </w:r>
      <w:r/>
    </w:p>
    <w:p>
      <w:pPr>
        <w:contextualSpacing/>
        <w:spacing w:line="360" w:lineRule="auto"/>
        <w:rPr>
          <w:bCs/>
          <w:sz w:val="24"/>
        </w:rPr>
      </w:pPr>
      <w:r>
        <w:rPr>
          <w:rFonts w:hint="eastAsia"/>
          <w:bCs/>
          <w:sz w:val="24"/>
        </w:rPr>
        <w:t xml:space="preserve">无</w:t>
      </w:r>
      <w:r/>
    </w:p>
    <w:p>
      <w:pPr>
        <w:contextualSpacing/>
        <w:spacing w:line="360" w:lineRule="auto"/>
        <w:rPr>
          <w:b/>
          <w:i/>
          <w:sz w:val="24"/>
        </w:rPr>
      </w:pPr>
      <w:r>
        <w:rPr>
          <w:b/>
          <w:i/>
          <w:sz w:val="24"/>
        </w:rPr>
      </w:r>
      <w:r/>
    </w:p>
    <w:p>
      <w:pPr>
        <w:numPr>
          <w:ilvl w:val="0"/>
          <w:numId w:val="4"/>
        </w:numPr>
        <w:contextualSpacing/>
        <w:spacing w:line="360" w:lineRule="auto"/>
        <w:rPr>
          <w:b/>
          <w:sz w:val="24"/>
        </w:rPr>
      </w:pPr>
      <w:r>
        <w:rPr>
          <w:b/>
          <w:sz w:val="24"/>
        </w:rPr>
        <w:t xml:space="preserve">技术要求</w:t>
      </w:r>
      <w:r/>
    </w:p>
    <w:p>
      <w:pPr>
        <w:pStyle w:val="968"/>
        <w:ind w:firstLine="240"/>
        <w:rPr>
          <w:sz w:val="24"/>
          <w:szCs w:val="32"/>
        </w:rPr>
      </w:pPr>
      <w:r/>
      <w:bookmarkStart w:id="201" w:name="_Hlk241568360"/>
      <w:r>
        <w:rPr>
          <w:rFonts w:hint="eastAsia"/>
          <w:sz w:val="24"/>
          <w:szCs w:val="32"/>
        </w:rPr>
        <w:t xml:space="preserve">分包一</w:t>
      </w:r>
      <w:r/>
    </w:p>
    <w:p>
      <w:pPr>
        <w:contextualSpacing/>
        <w:spacing w:line="360" w:lineRule="auto"/>
        <w:rPr>
          <w:rFonts w:hint="eastAsia" w:ascii="宋体" w:hAnsi="宋体"/>
          <w:sz w:val="24"/>
        </w:rPr>
      </w:pPr>
      <w:r>
        <w:rPr>
          <w:rFonts w:hint="eastAsia" w:ascii="宋体" w:hAnsi="宋体"/>
          <w:sz w:val="24"/>
        </w:rPr>
        <w:t xml:space="preserve">电感耦合等离子体发射光谱仪</w:t>
      </w:r>
      <w:r/>
    </w:p>
    <w:p>
      <w:pPr>
        <w:pStyle w:val="1051"/>
        <w:numPr>
          <w:ilvl w:val="0"/>
          <w:numId w:val="5"/>
        </w:numPr>
        <w:contextualSpacing/>
        <w:spacing w:line="360" w:lineRule="auto"/>
        <w:rPr>
          <w:rFonts w:hint="eastAsia" w:ascii="宋体" w:hAnsi="宋体"/>
          <w:sz w:val="24"/>
        </w:rPr>
      </w:pPr>
      <w:r>
        <w:rPr>
          <w:rFonts w:hint="eastAsia" w:ascii="宋体" w:hAnsi="宋体"/>
          <w:sz w:val="24"/>
        </w:rPr>
        <w:t xml:space="preserve">技术参数</w:t>
      </w:r>
      <w:r/>
    </w:p>
    <w:p>
      <w:pPr>
        <w:contextualSpacing/>
        <w:spacing w:line="360" w:lineRule="auto"/>
        <w:rPr>
          <w:rFonts w:hint="eastAsia" w:ascii="宋体" w:hAnsi="宋体"/>
          <w:sz w:val="24"/>
        </w:rPr>
      </w:pPr>
      <w:r>
        <w:rPr>
          <w:rFonts w:hint="eastAsia" w:ascii="宋体" w:hAnsi="宋体"/>
          <w:sz w:val="24"/>
        </w:rPr>
        <w:t xml:space="preserve">1 光谱仪</w:t>
      </w:r>
      <w:r/>
    </w:p>
    <w:p>
      <w:pPr>
        <w:contextualSpacing/>
        <w:spacing w:line="360" w:lineRule="auto"/>
        <w:rPr>
          <w:rFonts w:hint="eastAsia" w:ascii="宋体" w:hAnsi="宋体"/>
          <w:sz w:val="24"/>
        </w:rPr>
      </w:pPr>
      <w:r>
        <w:rPr>
          <w:rFonts w:ascii="宋体" w:hAnsi="宋体" w:cs="Segoe UI Symbol"/>
          <w:b/>
          <w:bCs/>
          <w:sz w:val="24"/>
        </w:rPr>
        <w:t xml:space="preserve">★</w:t>
      </w:r>
      <w:r>
        <w:rPr>
          <w:rFonts w:hint="eastAsia" w:ascii="宋体" w:hAnsi="宋体"/>
          <w:sz w:val="24"/>
        </w:rPr>
        <w:t xml:space="preserve">1.1中阶梯光栅，交叉色散系统，</w:t>
      </w:r>
      <w:r>
        <w:rPr>
          <w:rFonts w:hint="eastAsia" w:ascii="宋体" w:hAnsi="宋体"/>
          <w:color w:val="000000" w:themeColor="text1"/>
          <w:sz w:val="24"/>
        </w:rPr>
        <w:t xml:space="preserve">全谱直读型光谱仪</w:t>
      </w:r>
      <w:r>
        <w:rPr>
          <w:rFonts w:hint="eastAsia" w:ascii="宋体" w:hAnsi="宋体"/>
          <w:sz w:val="24"/>
        </w:rPr>
        <w:t xml:space="preserve">，非顺序扫描</w:t>
      </w:r>
      <w:r>
        <w:rPr>
          <w:rFonts w:hint="eastAsia" w:ascii="宋体" w:hAnsi="宋体"/>
          <w:sz w:val="24"/>
        </w:rPr>
        <w:t xml:space="preserve">型,</w:t>
      </w:r>
      <w:r>
        <w:rPr>
          <w:rFonts w:hint="eastAsia" w:ascii="宋体" w:hAnsi="宋体"/>
          <w:sz w:val="24"/>
        </w:rPr>
        <w:t xml:space="preserve">光栅和棱镜的位置在检测过程中保持固定不变。（投标人提供出厂产品说明书，并加盖投标人公章）</w:t>
      </w:r>
      <w:r/>
    </w:p>
    <w:p>
      <w:pPr>
        <w:contextualSpacing/>
        <w:spacing w:line="360" w:lineRule="auto"/>
        <w:rPr>
          <w:rFonts w:hint="eastAsia" w:ascii="宋体" w:hAnsi="宋体"/>
          <w:sz w:val="24"/>
          <w:highlight w:val="cyan"/>
        </w:rPr>
      </w:pPr>
      <w:r>
        <w:rPr>
          <w:rFonts w:hint="eastAsia" w:ascii="宋体" w:hAnsi="宋体"/>
          <w:sz w:val="24"/>
        </w:rPr>
        <w:t xml:space="preserve">▲1.2波长范围：波长范围167nm-800nm或更宽，连续波长覆盖；（投标人提供出厂产品说明书，并加盖投标人公章）</w:t>
      </w:r>
      <w:r/>
    </w:p>
    <w:p>
      <w:pPr>
        <w:contextualSpacing/>
        <w:spacing w:line="360" w:lineRule="auto"/>
        <w:rPr>
          <w:rFonts w:hint="eastAsia" w:ascii="宋体" w:hAnsi="宋体"/>
          <w:sz w:val="24"/>
        </w:rPr>
      </w:pPr>
      <w:r>
        <w:rPr>
          <w:rFonts w:hint="eastAsia" w:ascii="宋体" w:hAnsi="宋体"/>
          <w:sz w:val="24"/>
        </w:rPr>
        <w:t xml:space="preserve">1.3光学分辨力：≤0.007nm(Mo202.030nm，以半峰宽</w:t>
      </w:r>
      <w:r>
        <w:rPr>
          <w:rFonts w:hint="eastAsia" w:ascii="宋体" w:hAnsi="宋体"/>
          <w:sz w:val="24"/>
        </w:rPr>
        <w:t xml:space="preserve">表示)</w:t>
      </w:r>
      <w:r/>
    </w:p>
    <w:p>
      <w:pPr>
        <w:contextualSpacing/>
        <w:spacing w:line="360" w:lineRule="auto"/>
        <w:rPr>
          <w:rFonts w:hint="eastAsia" w:ascii="宋体" w:hAnsi="宋体"/>
          <w:sz w:val="24"/>
        </w:rPr>
      </w:pPr>
      <w:r>
        <w:rPr>
          <w:rFonts w:hint="eastAsia" w:ascii="宋体" w:hAnsi="宋体"/>
          <w:sz w:val="24"/>
        </w:rPr>
        <w:t xml:space="preserve">1.4 35℃以上精密恒温光室，控温精度±0.1℃及以内，分析时无需进行波长动态校正；（投标人提供出厂产品说明书，并加盖投标人公章）</w:t>
      </w:r>
      <w:r/>
    </w:p>
    <w:p>
      <w:pPr>
        <w:contextualSpacing/>
        <w:spacing w:line="360" w:lineRule="auto"/>
        <w:rPr>
          <w:rFonts w:hint="eastAsia" w:ascii="宋体" w:hAnsi="宋体"/>
          <w:sz w:val="24"/>
        </w:rPr>
      </w:pPr>
      <w:r>
        <w:rPr>
          <w:rFonts w:hint="eastAsia" w:ascii="宋体" w:hAnsi="宋体"/>
          <w:sz w:val="24"/>
        </w:rPr>
        <w:t xml:space="preserve">2高频发生器</w:t>
      </w:r>
      <w:r/>
    </w:p>
    <w:p>
      <w:pPr>
        <w:contextualSpacing/>
        <w:spacing w:line="360" w:lineRule="auto"/>
        <w:rPr>
          <w:rFonts w:hint="eastAsia" w:ascii="宋体" w:hAnsi="宋体"/>
          <w:sz w:val="24"/>
        </w:rPr>
      </w:pPr>
      <w:r>
        <w:rPr>
          <w:rFonts w:hint="eastAsia" w:ascii="宋体" w:hAnsi="宋体"/>
          <w:sz w:val="24"/>
        </w:rPr>
        <w:t xml:space="preserve">2.1输出功率：0.75-1.35kW或更宽；</w:t>
      </w:r>
      <w:r/>
    </w:p>
    <w:p>
      <w:pPr>
        <w:contextualSpacing/>
        <w:spacing w:line="360" w:lineRule="auto"/>
        <w:rPr>
          <w:rFonts w:hint="eastAsia" w:ascii="宋体" w:hAnsi="宋体"/>
          <w:sz w:val="24"/>
        </w:rPr>
      </w:pPr>
      <w:r>
        <w:rPr>
          <w:rFonts w:hint="eastAsia" w:ascii="宋体" w:hAnsi="宋体"/>
          <w:sz w:val="24"/>
        </w:rPr>
        <w:t xml:space="preserve">2.2工作频率：小于30MHz</w:t>
      </w:r>
      <w:r/>
    </w:p>
    <w:p>
      <w:pPr>
        <w:contextualSpacing/>
        <w:spacing w:line="360" w:lineRule="auto"/>
        <w:rPr>
          <w:rFonts w:hint="eastAsia" w:ascii="宋体" w:hAnsi="宋体"/>
          <w:sz w:val="24"/>
        </w:rPr>
      </w:pPr>
      <w:r>
        <w:rPr>
          <w:rFonts w:hint="eastAsia" w:ascii="宋体" w:hAnsi="宋体"/>
          <w:sz w:val="24"/>
        </w:rPr>
        <w:t xml:space="preserve">2.3功率稳定性&lt;0.1%；频率稳定性&lt;0.1%；</w:t>
      </w:r>
      <w:r/>
    </w:p>
    <w:p>
      <w:pPr>
        <w:contextualSpacing/>
        <w:spacing w:line="360" w:lineRule="auto"/>
        <w:rPr>
          <w:rFonts w:hint="eastAsia" w:ascii="宋体" w:hAnsi="宋体"/>
          <w:sz w:val="24"/>
        </w:rPr>
      </w:pPr>
      <w:r>
        <w:rPr>
          <w:rFonts w:hint="eastAsia" w:ascii="宋体" w:hAnsi="宋体"/>
          <w:sz w:val="24"/>
        </w:rPr>
        <w:t xml:space="preserve">2.4工作线圈冷却方式：水冷方式</w:t>
      </w:r>
      <w:r/>
    </w:p>
    <w:p>
      <w:pPr>
        <w:contextualSpacing/>
        <w:spacing w:line="360" w:lineRule="auto"/>
        <w:rPr>
          <w:rFonts w:hint="eastAsia" w:ascii="宋体" w:hAnsi="宋体"/>
          <w:sz w:val="24"/>
        </w:rPr>
      </w:pPr>
      <w:r>
        <w:rPr>
          <w:rFonts w:hint="eastAsia" w:ascii="宋体" w:hAnsi="宋体"/>
          <w:sz w:val="24"/>
        </w:rPr>
        <w:t xml:space="preserve">2.5气路控制：等离子体气、辅助气、载气三路气体均使用高精度MFC（质量流量计）控制；（投标人提供出厂产品说明书，并加盖投标人公章）</w:t>
      </w:r>
      <w:r/>
    </w:p>
    <w:p>
      <w:pPr>
        <w:contextualSpacing/>
        <w:spacing w:line="360" w:lineRule="auto"/>
        <w:rPr>
          <w:rFonts w:hint="eastAsia" w:ascii="宋体" w:hAnsi="宋体"/>
          <w:sz w:val="24"/>
        </w:rPr>
      </w:pPr>
      <w:r>
        <w:rPr>
          <w:rFonts w:hint="eastAsia" w:ascii="宋体" w:hAnsi="宋体"/>
          <w:sz w:val="24"/>
        </w:rPr>
        <w:t xml:space="preserve">3等离子体和进样系统</w:t>
      </w:r>
      <w:r/>
    </w:p>
    <w:p>
      <w:pPr>
        <w:contextualSpacing/>
        <w:spacing w:line="360" w:lineRule="auto"/>
        <w:rPr>
          <w:rFonts w:hint="eastAsia" w:ascii="宋体" w:hAnsi="宋体"/>
          <w:sz w:val="24"/>
        </w:rPr>
      </w:pPr>
      <w:r>
        <w:rPr>
          <w:rFonts w:hint="eastAsia" w:ascii="宋体" w:hAnsi="宋体"/>
          <w:sz w:val="24"/>
        </w:rPr>
        <w:t xml:space="preserve">▲3.1等离子体观测方式：双向观测；一次进样可以给出2种不同的观测结果。（投标人提供出厂产品说明书，并加盖投标人公章）。</w:t>
      </w:r>
      <w:r/>
    </w:p>
    <w:p>
      <w:pPr>
        <w:contextualSpacing/>
        <w:spacing w:line="360" w:lineRule="auto"/>
        <w:rPr>
          <w:rFonts w:hint="eastAsia" w:ascii="宋体" w:hAnsi="宋体"/>
          <w:sz w:val="24"/>
        </w:rPr>
      </w:pPr>
      <w:r>
        <w:rPr>
          <w:rFonts w:hint="eastAsia" w:ascii="宋体" w:hAnsi="宋体"/>
          <w:sz w:val="24"/>
        </w:rPr>
        <w:t xml:space="preserve">3.2 免维护的平板等离子体设计，平板无需循环冷却水或气体进行冷却，长寿命，终身免维护；</w:t>
      </w:r>
      <w:r/>
    </w:p>
    <w:p>
      <w:pPr>
        <w:contextualSpacing/>
        <w:spacing w:line="360" w:lineRule="auto"/>
        <w:rPr>
          <w:rFonts w:hint="eastAsia" w:ascii="宋体" w:hAnsi="宋体"/>
          <w:sz w:val="24"/>
        </w:rPr>
      </w:pPr>
      <w:r>
        <w:rPr>
          <w:rFonts w:hint="eastAsia" w:ascii="宋体" w:hAnsi="宋体"/>
          <w:sz w:val="24"/>
        </w:rPr>
        <w:t xml:space="preserve">3.3炬管：垂直摆放，安装方便、可准确定位；</w:t>
      </w:r>
      <w:r/>
    </w:p>
    <w:p>
      <w:pPr>
        <w:contextualSpacing/>
        <w:spacing w:line="360" w:lineRule="auto"/>
        <w:rPr>
          <w:rFonts w:hint="eastAsia" w:ascii="宋体" w:hAnsi="宋体"/>
          <w:sz w:val="24"/>
        </w:rPr>
      </w:pPr>
      <w:r>
        <w:rPr>
          <w:rFonts w:hint="eastAsia" w:ascii="宋体" w:hAnsi="宋体"/>
          <w:sz w:val="24"/>
        </w:rPr>
        <w:t xml:space="preserve">3.4雾化器及雾化室：高效气动雾化器进样系统，并可适配包括HF、高盐以及有机物等各种样品分析的进样系统组件；</w:t>
      </w:r>
      <w:r/>
    </w:p>
    <w:p>
      <w:pPr>
        <w:contextualSpacing/>
        <w:spacing w:line="360" w:lineRule="auto"/>
        <w:rPr>
          <w:rFonts w:hint="eastAsia" w:ascii="宋体" w:hAnsi="宋体"/>
          <w:sz w:val="24"/>
        </w:rPr>
      </w:pPr>
      <w:r>
        <w:rPr>
          <w:rFonts w:hint="eastAsia" w:ascii="宋体" w:hAnsi="宋体"/>
          <w:sz w:val="24"/>
        </w:rPr>
        <w:t xml:space="preserve">3.5具有雾化器压力实时提示功能，随时监控雾化器是否堵塞；</w:t>
      </w:r>
      <w:r/>
    </w:p>
    <w:p>
      <w:pPr>
        <w:contextualSpacing/>
        <w:spacing w:line="360" w:lineRule="auto"/>
        <w:rPr>
          <w:rFonts w:hint="eastAsia" w:ascii="宋体" w:hAnsi="宋体"/>
          <w:sz w:val="24"/>
        </w:rPr>
      </w:pPr>
      <w:r>
        <w:rPr>
          <w:rFonts w:hint="eastAsia" w:ascii="宋体" w:hAnsi="宋体"/>
          <w:sz w:val="24"/>
        </w:rPr>
        <w:t xml:space="preserve">3.6雾化器压力显示可以在做完样后的任何时候，显示出当时测试数据时的反馈压力；</w:t>
      </w:r>
      <w:r/>
    </w:p>
    <w:p>
      <w:pPr>
        <w:contextualSpacing/>
        <w:spacing w:line="360" w:lineRule="auto"/>
        <w:rPr>
          <w:rFonts w:hint="eastAsia" w:ascii="宋体" w:hAnsi="宋体"/>
          <w:sz w:val="24"/>
        </w:rPr>
      </w:pPr>
      <w:r>
        <w:rPr>
          <w:rFonts w:hint="eastAsia" w:ascii="宋体" w:hAnsi="宋体"/>
          <w:sz w:val="24"/>
        </w:rPr>
        <w:t xml:space="preserve">3.7尾焰去方式：采用锥口反吹惰性气体，保证紫外区灵敏度；</w:t>
      </w:r>
      <w:r/>
    </w:p>
    <w:p>
      <w:pPr>
        <w:contextualSpacing/>
        <w:spacing w:line="360" w:lineRule="auto"/>
        <w:rPr>
          <w:rFonts w:hint="eastAsia" w:ascii="宋体" w:hAnsi="宋体"/>
          <w:sz w:val="24"/>
        </w:rPr>
      </w:pPr>
      <w:r>
        <w:rPr>
          <w:rFonts w:hint="eastAsia" w:ascii="宋体" w:hAnsi="宋体"/>
          <w:sz w:val="24"/>
        </w:rPr>
        <w:t xml:space="preserve">3.8多道蠕动泵（≥3通道），泵速可调；</w:t>
      </w:r>
      <w:r/>
    </w:p>
    <w:p>
      <w:pPr>
        <w:contextualSpacing/>
        <w:spacing w:line="360" w:lineRule="auto"/>
        <w:rPr>
          <w:rFonts w:hint="eastAsia" w:ascii="宋体" w:hAnsi="宋体"/>
          <w:sz w:val="24"/>
        </w:rPr>
      </w:pPr>
      <w:r>
        <w:rPr>
          <w:rFonts w:hint="eastAsia" w:ascii="宋体" w:hAnsi="宋体"/>
          <w:sz w:val="24"/>
        </w:rPr>
      </w:r>
      <w:r/>
    </w:p>
    <w:p>
      <w:pPr>
        <w:contextualSpacing/>
        <w:spacing w:line="360" w:lineRule="auto"/>
        <w:rPr>
          <w:rFonts w:hint="eastAsia" w:ascii="宋体" w:hAnsi="宋体"/>
          <w:sz w:val="24"/>
        </w:rPr>
      </w:pPr>
      <w:r>
        <w:rPr>
          <w:rFonts w:hint="eastAsia" w:ascii="宋体" w:hAnsi="宋体"/>
          <w:sz w:val="24"/>
        </w:rPr>
        <w:t xml:space="preserve">4检测器</w:t>
      </w:r>
      <w:r/>
    </w:p>
    <w:p>
      <w:pPr>
        <w:contextualSpacing/>
        <w:spacing w:line="360" w:lineRule="auto"/>
        <w:rPr>
          <w:rFonts w:hint="eastAsia" w:ascii="宋体" w:hAnsi="宋体"/>
          <w:color w:val="000000" w:themeColor="text1"/>
          <w:sz w:val="24"/>
        </w:rPr>
      </w:pPr>
      <w:r>
        <w:rPr>
          <w:rFonts w:hint="eastAsia" w:ascii="宋体" w:hAnsi="宋体"/>
          <w:color w:val="000000" w:themeColor="text1"/>
          <w:sz w:val="24"/>
        </w:rPr>
        <w:t xml:space="preserve">▲4.1</w:t>
      </w:r>
      <w:r>
        <w:rPr>
          <w:rFonts w:hint="eastAsia" w:ascii="宋体" w:hAnsi="宋体"/>
          <w:color w:val="000000" w:themeColor="text1"/>
          <w:sz w:val="24"/>
        </w:rPr>
        <w:tab/>
        <w:t xml:space="preserve">具有高效400万以上像素结构固态检测器及实时扣除背景功能；（投标人须提供视频证明材料，视频应完整展示所投型号仪器从最短波长至最长波长的连续全谱图，能够清晰显示检测器对应的像素分布及像素编号）；</w:t>
      </w:r>
      <w:r/>
    </w:p>
    <w:p>
      <w:pPr>
        <w:contextualSpacing/>
        <w:spacing w:line="360" w:lineRule="auto"/>
        <w:rPr>
          <w:rFonts w:hint="eastAsia" w:ascii="宋体" w:hAnsi="宋体"/>
          <w:sz w:val="24"/>
        </w:rPr>
      </w:pPr>
      <w:r>
        <w:rPr>
          <w:rFonts w:ascii="宋体" w:hAnsi="宋体"/>
          <w:color w:val="000000" w:themeColor="text1"/>
          <w:sz w:val="24"/>
        </w:rPr>
        <w:t xml:space="preserve">4</w:t>
      </w:r>
      <w:r>
        <w:rPr>
          <w:rFonts w:hint="eastAsia" w:ascii="宋体" w:hAnsi="宋体"/>
          <w:color w:val="000000" w:themeColor="text1"/>
          <w:sz w:val="24"/>
        </w:rPr>
        <w:t xml:space="preserve">.2 像素分辨率≤0.002nm；（投标人须提供视频证明材料，视频应完整展示所投型号仪器</w:t>
      </w:r>
      <w:r>
        <w:rPr>
          <w:rFonts w:hint="eastAsia" w:ascii="宋体" w:hAnsi="宋体"/>
          <w:sz w:val="24"/>
        </w:rPr>
        <w:t xml:space="preserve">从最短波长至最长波长的连续全谱图，能够清晰显示检测器对应的单个像素。）</w:t>
      </w:r>
      <w:r/>
    </w:p>
    <w:p>
      <w:pPr>
        <w:contextualSpacing/>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.3 具有元素间干扰校正技术、谱线拟合干扰校正技术、自动背景基线校正技</w:t>
      </w:r>
      <w:r>
        <w:rPr>
          <w:rFonts w:hint="eastAsia" w:ascii="宋体" w:hAnsi="宋体"/>
          <w:sz w:val="24"/>
        </w:rPr>
        <w:t xml:space="preserve">术、一点和两点实时背景扣除功能等≥5种干扰校正技术，每个谱图至少可以显示10个以上的像素点。</w:t>
      </w:r>
      <w:r/>
    </w:p>
    <w:p>
      <w:pPr>
        <w:contextualSpacing/>
        <w:spacing w:line="360" w:lineRule="auto"/>
        <w:rPr>
          <w:rFonts w:hint="eastAsia" w:ascii="宋体" w:hAnsi="宋体"/>
          <w:sz w:val="24"/>
        </w:rPr>
      </w:pPr>
      <w:r>
        <w:rPr>
          <w:rFonts w:hint="eastAsia" w:ascii="宋体" w:hAnsi="宋体"/>
          <w:sz w:val="24"/>
        </w:rPr>
        <w:t xml:space="preserve">4.4标准曲线浓度的线性范围：≥6个数量级；</w:t>
      </w:r>
      <w:r/>
    </w:p>
    <w:p>
      <w:pPr>
        <w:contextualSpacing/>
        <w:spacing w:line="360" w:lineRule="auto"/>
        <w:rPr>
          <w:rFonts w:hint="eastAsia" w:ascii="宋体" w:hAnsi="宋体"/>
          <w:sz w:val="24"/>
        </w:rPr>
      </w:pPr>
      <w:r>
        <w:rPr>
          <w:rFonts w:hint="eastAsia" w:ascii="宋体" w:hAnsi="宋体"/>
          <w:sz w:val="24"/>
        </w:rPr>
        <w:t xml:space="preserve">4.5 冷却系统：高效半导体制冷。温度：≤-40℃，点火完成后开始降温，至检测器温度达到-40℃所需要的时间不超过3分钟。</w:t>
      </w:r>
      <w:r/>
    </w:p>
    <w:p>
      <w:pPr>
        <w:contextualSpacing/>
        <w:spacing w:line="360" w:lineRule="auto"/>
        <w:rPr>
          <w:rFonts w:hint="eastAsia" w:ascii="宋体" w:hAnsi="宋体"/>
          <w:sz w:val="24"/>
        </w:rPr>
      </w:pPr>
      <w:r>
        <w:rPr>
          <w:rFonts w:hint="eastAsia" w:ascii="宋体" w:hAnsi="宋体"/>
          <w:sz w:val="24"/>
        </w:rPr>
      </w:r>
      <w:r/>
    </w:p>
    <w:p>
      <w:pPr>
        <w:contextualSpacing/>
        <w:spacing w:line="360" w:lineRule="auto"/>
        <w:rPr>
          <w:rFonts w:hint="eastAsia" w:ascii="宋体" w:hAnsi="宋体"/>
          <w:sz w:val="24"/>
        </w:rPr>
      </w:pPr>
      <w:r>
        <w:rPr>
          <w:rFonts w:hint="eastAsia" w:ascii="宋体" w:hAnsi="宋体"/>
          <w:sz w:val="24"/>
        </w:rPr>
        <w:t xml:space="preserve">5性能指标</w:t>
      </w:r>
      <w:r/>
    </w:p>
    <w:p>
      <w:pPr>
        <w:contextualSpacing/>
        <w:spacing w:line="360" w:lineRule="auto"/>
        <w:rPr>
          <w:rFonts w:hint="eastAsia" w:ascii="宋体" w:hAnsi="宋体"/>
          <w:sz w:val="24"/>
        </w:rPr>
      </w:pPr>
      <w:r>
        <w:rPr>
          <w:rFonts w:hint="eastAsia" w:ascii="宋体" w:hAnsi="宋体"/>
          <w:sz w:val="24"/>
        </w:rPr>
        <w:t xml:space="preserve">▲5.1重复性： Zn 213.856nm，Ni 231.604nm，Cr 267.716nm，Mn 257.610nm，Cu 324.754nm，Ba 455.403nm，RSD≤0.5%。RSD确认过程：制作工作曲线，连续测定上述六种元素混合溶液（各元素浓度1mg/L）10次，计算10次测量值的相对标准偏差RSD，即为重复性；（提供法定计量检定机构出具的同品牌同型号完整的检测报告，并加盖投标人公章）</w:t>
      </w:r>
      <w:r/>
    </w:p>
    <w:p>
      <w:pPr>
        <w:contextualSpacing/>
        <w:spacing w:line="360" w:lineRule="auto"/>
        <w:rPr>
          <w:rFonts w:hint="eastAsia" w:ascii="宋体" w:hAnsi="宋体"/>
          <w:sz w:val="24"/>
        </w:rPr>
      </w:pPr>
      <w:r>
        <w:rPr>
          <w:rFonts w:hint="eastAsia" w:ascii="宋体" w:hAnsi="宋体"/>
          <w:sz w:val="24"/>
        </w:rPr>
        <w:t xml:space="preserve">▲5.2稳定性：Zn 213.856nm，Ni 231.604nm，Cr 267.716nm，Mn 257.610nm，Cu 324.754nm，Ba 455.403nm，RSD≤2.0%。RSD确认过程：制作工作曲线，在不少于2h的时间内，间隔15min以上，重复测定上述六种元素混合溶液（各元素浓度1mg/L）6次，计算6次测量值的相对标准偏差RSD，即为稳定性；（提供法定计量检定机构出具的同品牌同型号完整的检测报告，加盖投标人公章，验收指标）</w:t>
      </w:r>
      <w:r/>
    </w:p>
    <w:p>
      <w:pPr>
        <w:contextualSpacing/>
        <w:spacing w:line="360" w:lineRule="auto"/>
        <w:rPr>
          <w:rFonts w:hint="eastAsia" w:ascii="宋体" w:hAnsi="宋体"/>
          <w:color w:val="000000" w:themeColor="text1"/>
          <w:sz w:val="24"/>
        </w:rPr>
      </w:pPr>
      <w:r>
        <w:rPr>
          <w:rFonts w:hint="eastAsia" w:ascii="宋体" w:hAnsi="宋体"/>
          <w:sz w:val="24"/>
        </w:rPr>
        <w:t xml:space="preserve">▲5.3检出限（以3σ计算，纯水基质下）：Zn213.856nm，Cu 324.754nm，Ni231.604nm，Cr267.716nm，Pb220.353nm，Mn257.610nm，Ba455.403nm检出限</w:t>
      </w:r>
      <w:r>
        <w:rPr>
          <w:rFonts w:hint="eastAsia" w:ascii="宋体" w:hAnsi="宋体"/>
          <w:color w:val="000000" w:themeColor="text1"/>
          <w:sz w:val="24"/>
        </w:rPr>
        <w:t xml:space="preserve">均低于5µg/L；（提供案例证明，并加盖投标人公章，验收指标）</w:t>
      </w:r>
      <w:r/>
    </w:p>
    <w:p>
      <w:pPr>
        <w:contextualSpacing/>
        <w:spacing w:line="360" w:lineRule="auto"/>
        <w:rPr>
          <w:rFonts w:hint="eastAsia" w:ascii="宋体" w:hAnsi="宋体"/>
          <w:sz w:val="24"/>
          <w:highlight w:val="green"/>
        </w:rPr>
      </w:pPr>
      <w:r>
        <w:rPr>
          <w:rFonts w:hint="eastAsia" w:ascii="宋体" w:hAnsi="宋体"/>
          <w:color w:val="000000" w:themeColor="text1"/>
          <w:sz w:val="24"/>
        </w:rPr>
        <w:t xml:space="preserve">▲5.4 深紫外区元素检出能力：Al167.079nm检出限≤0.1µg/L（需提供</w:t>
      </w:r>
      <w:r>
        <w:rPr>
          <w:rFonts w:hint="eastAsia" w:ascii="宋体" w:hAnsi="宋体"/>
          <w:sz w:val="24"/>
        </w:rPr>
        <w:t xml:space="preserve">证明材料，</w:t>
      </w:r>
      <w:r>
        <w:rPr>
          <w:rFonts w:hint="eastAsia" w:ascii="宋体" w:hAnsi="宋体"/>
          <w:color w:val="000000" w:themeColor="text1"/>
          <w:sz w:val="24"/>
        </w:rPr>
        <w:t xml:space="preserve">盖投标人公章，</w:t>
      </w:r>
      <w:r>
        <w:rPr>
          <w:rFonts w:hint="eastAsia" w:ascii="宋体" w:hAnsi="宋体"/>
          <w:sz w:val="24"/>
        </w:rPr>
        <w:t xml:space="preserve">验收指标）</w:t>
      </w:r>
      <w:r/>
    </w:p>
    <w:p>
      <w:pPr>
        <w:contextualSpacing/>
        <w:spacing w:line="360" w:lineRule="auto"/>
        <w:rPr>
          <w:rFonts w:hint="eastAsia" w:ascii="宋体" w:hAnsi="宋体"/>
          <w:sz w:val="24"/>
        </w:rPr>
      </w:pPr>
      <w:r>
        <w:rPr>
          <w:rFonts w:hint="eastAsia" w:ascii="宋体" w:hAnsi="宋体"/>
          <w:sz w:val="24"/>
        </w:rPr>
        <w:t xml:space="preserve">5.5开机时间短，冷启动30分钟，内光学系统即可达到恒温，可稳定出数据；</w:t>
      </w:r>
      <w:r/>
    </w:p>
    <w:p>
      <w:pPr>
        <w:contextualSpacing/>
        <w:spacing w:line="360" w:lineRule="auto"/>
        <w:rPr>
          <w:rFonts w:hint="eastAsia" w:ascii="宋体" w:hAnsi="宋体"/>
          <w:sz w:val="24"/>
        </w:rPr>
      </w:pPr>
      <w:r>
        <w:rPr>
          <w:rFonts w:hint="eastAsia" w:ascii="宋体" w:hAnsi="宋体"/>
          <w:sz w:val="24"/>
        </w:rPr>
        <w:t xml:space="preserve">5.6分析速度：≥每分钟70个元素或谱线，且每条测量谱线的积分时间≥10秒。</w:t>
      </w:r>
      <w:r/>
    </w:p>
    <w:p>
      <w:pPr>
        <w:contextualSpacing/>
        <w:spacing w:line="360" w:lineRule="auto"/>
        <w:rPr>
          <w:rFonts w:hint="eastAsia" w:ascii="宋体" w:hAnsi="宋体"/>
          <w:sz w:val="24"/>
        </w:rPr>
      </w:pPr>
      <w:r>
        <w:rPr>
          <w:rFonts w:hint="eastAsia" w:ascii="宋体" w:hAnsi="宋体"/>
          <w:sz w:val="24"/>
        </w:rPr>
        <w:t xml:space="preserve">6 自动进样系统</w:t>
      </w:r>
      <w:r/>
    </w:p>
    <w:p>
      <w:pPr>
        <w:contextualSpacing/>
        <w:spacing w:line="360" w:lineRule="auto"/>
        <w:rPr>
          <w:rFonts w:hint="eastAsia" w:ascii="宋体" w:hAnsi="宋体"/>
          <w:sz w:val="24"/>
        </w:rPr>
      </w:pPr>
      <w:r>
        <w:rPr>
          <w:rFonts w:hint="eastAsia" w:ascii="宋体" w:hAnsi="宋体"/>
          <w:sz w:val="24"/>
        </w:rPr>
        <w:t xml:space="preserve">6.1样品容量：≥200位。</w:t>
      </w:r>
      <w:r/>
    </w:p>
    <w:p>
      <w:pPr>
        <w:contextualSpacing/>
        <w:spacing w:line="360" w:lineRule="auto"/>
        <w:rPr>
          <w:rFonts w:hint="eastAsia" w:ascii="宋体" w:hAnsi="宋体"/>
          <w:sz w:val="24"/>
        </w:rPr>
      </w:pPr>
      <w:r>
        <w:rPr>
          <w:rFonts w:hint="eastAsia" w:ascii="宋体" w:hAnsi="宋体"/>
          <w:sz w:val="24"/>
        </w:rPr>
        <w:t xml:space="preserve">6.2样品架：≥4个，支持多样品盘组合配置。</w:t>
      </w:r>
      <w:r/>
    </w:p>
    <w:p>
      <w:pPr>
        <w:contextualSpacing/>
        <w:spacing w:line="360" w:lineRule="auto"/>
        <w:rPr>
          <w:rFonts w:hint="eastAsia" w:ascii="宋体" w:hAnsi="宋体"/>
          <w:sz w:val="24"/>
        </w:rPr>
      </w:pPr>
      <w:r>
        <w:rPr>
          <w:rFonts w:hint="eastAsia" w:ascii="宋体" w:hAnsi="宋体"/>
          <w:sz w:val="24"/>
        </w:rPr>
        <w:t xml:space="preserve">6.3 与样品接触的流路部件采用非金属耐腐蚀材质，可耐受硝酸等强酸性消解样</w:t>
      </w:r>
      <w:r>
        <w:rPr>
          <w:rFonts w:hint="eastAsia" w:ascii="宋体" w:hAnsi="宋体"/>
          <w:sz w:val="24"/>
        </w:rPr>
        <w:t xml:space="preserve">品，重复性好。</w:t>
      </w:r>
      <w:r/>
    </w:p>
    <w:p>
      <w:pPr>
        <w:contextualSpacing/>
        <w:spacing w:line="360" w:lineRule="auto"/>
        <w:rPr>
          <w:rFonts w:hint="eastAsia" w:ascii="宋体" w:hAnsi="宋体"/>
          <w:sz w:val="24"/>
        </w:rPr>
      </w:pPr>
      <w:r>
        <w:rPr>
          <w:rFonts w:hint="eastAsia" w:ascii="宋体" w:hAnsi="宋体"/>
          <w:sz w:val="24"/>
        </w:rPr>
        <w:t xml:space="preserve">6.4配备双通道冲洗站泵，泵速由软件可调</w:t>
      </w:r>
      <w:r/>
    </w:p>
    <w:p>
      <w:pPr>
        <w:contextualSpacing/>
        <w:spacing w:line="360" w:lineRule="auto"/>
        <w:rPr>
          <w:rFonts w:hint="eastAsia" w:ascii="宋体" w:hAnsi="宋体"/>
          <w:sz w:val="24"/>
        </w:rPr>
      </w:pPr>
      <w:r>
        <w:rPr>
          <w:rFonts w:hint="eastAsia" w:ascii="宋体" w:hAnsi="宋体"/>
          <w:sz w:val="24"/>
        </w:rPr>
        <w:t xml:space="preserve">▲6.5具有提前冲洗功能，在前一个样品读数期间，自动清洗进样管路，减少进下一个样品前的清洗时间，减少样品使用量。（投标人须提供所投产品的视频证明材料）</w:t>
      </w:r>
      <w:r/>
    </w:p>
    <w:p>
      <w:pPr>
        <w:contextualSpacing/>
        <w:spacing w:line="360" w:lineRule="auto"/>
        <w:rPr>
          <w:rFonts w:hint="eastAsia" w:ascii="宋体" w:hAnsi="宋体"/>
          <w:sz w:val="24"/>
        </w:rPr>
      </w:pPr>
      <w:r>
        <w:rPr>
          <w:rFonts w:hint="eastAsia" w:ascii="宋体" w:hAnsi="宋体"/>
          <w:sz w:val="24"/>
        </w:rPr>
        <w:t xml:space="preserve">▲6.6 自动进样器配备LED显示状态灯，可以显示正常、运行及故障三种状态，可以直观仪器的状态，方便操作及故障排除。（投标人须提供所投产品的视频证明材料，视频应在仪器实际运行状态下拍摄）</w:t>
      </w:r>
      <w:r/>
    </w:p>
    <w:p>
      <w:pPr>
        <w:contextualSpacing/>
        <w:spacing w:line="360" w:lineRule="auto"/>
        <w:rPr>
          <w:rFonts w:hint="eastAsia" w:ascii="宋体" w:hAnsi="宋体"/>
          <w:sz w:val="24"/>
        </w:rPr>
      </w:pPr>
      <w:r>
        <w:rPr>
          <w:rFonts w:hint="eastAsia" w:ascii="宋体" w:hAnsi="宋体"/>
          <w:sz w:val="24"/>
        </w:rPr>
        <w:t xml:space="preserve">6.7可以灵活调整进样针采样深度实现正确采样，避免可能导致堵塞的悬浮颗粒，最大限度地减少进样部件维护和潜在更换。</w:t>
      </w:r>
      <w:r/>
    </w:p>
    <w:p>
      <w:pPr>
        <w:contextualSpacing/>
        <w:spacing w:line="360" w:lineRule="auto"/>
        <w:rPr>
          <w:rFonts w:hint="eastAsia" w:ascii="宋体" w:hAnsi="宋体"/>
          <w:sz w:val="24"/>
        </w:rPr>
      </w:pPr>
      <w:r>
        <w:rPr>
          <w:rFonts w:hint="eastAsia" w:ascii="宋体" w:hAnsi="宋体"/>
          <w:sz w:val="24"/>
        </w:rPr>
      </w:r>
      <w:r/>
    </w:p>
    <w:p>
      <w:pPr>
        <w:contextualSpacing/>
        <w:spacing w:line="360" w:lineRule="auto"/>
        <w:rPr>
          <w:rFonts w:hint="eastAsia" w:ascii="宋体" w:hAnsi="宋体"/>
          <w:sz w:val="24"/>
        </w:rPr>
      </w:pPr>
      <w:r>
        <w:rPr>
          <w:rFonts w:hint="eastAsia" w:ascii="宋体" w:hAnsi="宋体"/>
          <w:sz w:val="24"/>
        </w:rPr>
        <w:t xml:space="preserve">7软件系统</w:t>
      </w:r>
      <w:r/>
    </w:p>
    <w:p>
      <w:pPr>
        <w:contextualSpacing/>
        <w:spacing w:line="360" w:lineRule="auto"/>
        <w:rPr>
          <w:rFonts w:hint="eastAsia" w:ascii="宋体" w:hAnsi="宋体"/>
          <w:sz w:val="24"/>
        </w:rPr>
      </w:pPr>
      <w:r>
        <w:rPr>
          <w:rFonts w:hint="eastAsia" w:ascii="宋体" w:hAnsi="宋体"/>
          <w:sz w:val="24"/>
        </w:rPr>
        <w:t xml:space="preserve">7.1软件操作方便、直观，具有定性、半定量、定量分析功能。具有内标校正、标准加入法以及多种干扰校正方法和实时背景扣除功能；</w:t>
      </w:r>
      <w:r/>
    </w:p>
    <w:p>
      <w:pPr>
        <w:contextualSpacing/>
        <w:spacing w:line="360" w:lineRule="auto"/>
        <w:rPr>
          <w:rFonts w:hint="eastAsia" w:ascii="宋体" w:hAnsi="宋体"/>
          <w:sz w:val="24"/>
        </w:rPr>
      </w:pPr>
      <w:r>
        <w:rPr>
          <w:rFonts w:hint="eastAsia" w:ascii="宋体" w:hAnsi="宋体"/>
          <w:sz w:val="24"/>
        </w:rPr>
        <w:t xml:space="preserve">7.2具有仪器自诊断功能和网络通讯、数据再处理功能；</w:t>
      </w:r>
      <w:r/>
    </w:p>
    <w:p>
      <w:pPr>
        <w:contextualSpacing/>
        <w:spacing w:line="360" w:lineRule="auto"/>
        <w:rPr>
          <w:rFonts w:hint="eastAsia" w:ascii="宋体" w:hAnsi="宋体"/>
          <w:sz w:val="24"/>
        </w:rPr>
      </w:pPr>
      <w:r>
        <w:rPr>
          <w:rFonts w:hint="eastAsia" w:ascii="宋体" w:hAnsi="宋体"/>
          <w:sz w:val="24"/>
        </w:rPr>
        <w:t xml:space="preserve">7.3具有同时记录所有元素谱线的“摄谱”功能，并能存储和检索；</w:t>
      </w:r>
      <w:r/>
    </w:p>
    <w:p>
      <w:pPr>
        <w:contextualSpacing/>
        <w:spacing w:line="360" w:lineRule="auto"/>
        <w:rPr>
          <w:rFonts w:hint="eastAsia" w:ascii="宋体" w:hAnsi="宋体"/>
          <w:sz w:val="24"/>
        </w:rPr>
      </w:pPr>
      <w:r>
        <w:rPr>
          <w:rFonts w:hint="eastAsia" w:ascii="宋体" w:hAnsi="宋体"/>
          <w:sz w:val="24"/>
        </w:rPr>
        <w:t xml:space="preserve">▲7.4具备半定量分析功能，半定量分析无需建立标准曲线即可输出元素含量结果；软件可对分析结果给出置信度/可靠性提示，支持以图表形式直观展示各样品中各元素含量高低，便于快速筛查样品主要成分。（投标人须提供视频证明材料，视频应在仪器实际运行状态下拍摄。并完整展示所投型号仪器半定量整个测试过程和结果展现方式。）</w:t>
      </w:r>
      <w:r/>
    </w:p>
    <w:p>
      <w:pPr>
        <w:contextualSpacing/>
        <w:spacing w:line="360" w:lineRule="auto"/>
        <w:rPr>
          <w:rFonts w:hint="eastAsia" w:ascii="宋体" w:hAnsi="宋体"/>
          <w:sz w:val="24"/>
        </w:rPr>
      </w:pPr>
      <w:r>
        <w:rPr>
          <w:rFonts w:hint="eastAsia" w:ascii="宋体" w:hAnsi="宋体"/>
          <w:sz w:val="24"/>
        </w:rPr>
        <w:t xml:space="preserve">▲7.5 具有废液传感器，可在软件上定制化设置相关连锁选项，当废液排出异常时可以选择停止蠕动泵和载气流量、显示警告或初始化停止等多种连锁设置。（投标人提供软件截图证明，并加盖投标人公章）</w:t>
      </w:r>
      <w:r/>
    </w:p>
    <w:p>
      <w:pPr>
        <w:contextualSpacing/>
        <w:spacing w:line="360" w:lineRule="auto"/>
        <w:rPr>
          <w:rFonts w:hint="eastAsia" w:ascii="宋体" w:hAnsi="宋体"/>
          <w:sz w:val="24"/>
        </w:rPr>
      </w:pPr>
      <w:r>
        <w:rPr>
          <w:rFonts w:hint="eastAsia" w:ascii="宋体" w:hAnsi="宋体"/>
          <w:sz w:val="24"/>
        </w:rPr>
        <w:t xml:space="preserve">7.6 软件具备完整审计追踪、多用户分级权限管理，所有参数修改、样品测试、数据查看操作自动留痕，记录不可删除篡改；支持测试方法保存与调用；检测报告可输出 PDF 格式，原始光谱与原始数据同步归档；具备数据接口，可对接实验室 LIMS 系统。</w:t>
      </w:r>
      <w:r/>
    </w:p>
    <w:p>
      <w:pPr>
        <w:pStyle w:val="965"/>
        <w:rPr>
          <w:rFonts w:hint="eastAsia"/>
        </w:rPr>
      </w:pPr>
      <w:r>
        <w:rPr>
          <w:rFonts w:hint="eastAsia"/>
        </w:rPr>
        <w:t xml:space="preserve">8</w:t>
      </w:r>
      <w:r>
        <w:t xml:space="preserve"> </w:t>
      </w:r>
      <w:r>
        <w:rPr>
          <w:rFonts w:hint="eastAsia"/>
          <w:color w:val="121212"/>
        </w:rPr>
        <w:t xml:space="preserve">配置电脑</w:t>
      </w:r>
      <w:r>
        <w:rPr>
          <w:rFonts w:cs="Segoe UI Symbol"/>
          <w:b/>
          <w:bCs/>
        </w:rPr>
        <w:t xml:space="preserve">★</w:t>
      </w:r>
      <w:r>
        <w:rPr>
          <w:rFonts w:hint="eastAsia" w:cs="Segoe UI Symbol"/>
          <w:b/>
          <w:bCs/>
        </w:rPr>
        <w:t xml:space="preserve">提供节能认证证书</w:t>
      </w:r>
      <w:r>
        <w:rPr>
          <w:rFonts w:hint="eastAsia"/>
          <w:color w:val="121212"/>
        </w:rPr>
        <w:t xml:space="preserve">：</w:t>
      </w:r>
      <w:r>
        <w:rPr>
          <w:rFonts w:hint="eastAsia"/>
        </w:rPr>
        <w:t xml:space="preserve">配置</w:t>
      </w:r>
      <w:r>
        <w:rPr>
          <w:rFonts w:hint="eastAsia"/>
          <w:color w:val="000000" w:themeColor="text1"/>
        </w:rPr>
        <w:t xml:space="preserve">不低于处理器4核CPU, 16G 内存，1T SSD 硬盘，独立显卡，专业版正版软件，27寸及以上显示器。</w:t>
      </w:r>
      <w:r>
        <w:rPr>
          <w:rFonts w:ascii="Segoe UI" w:hAnsi="Segoe UI" w:eastAsia="Segoe UI" w:cs="Segoe UI"/>
          <w:color w:val="0f1115"/>
          <w:shd w:val="clear" w:color="auto" w:fill="ffffff"/>
        </w:rPr>
        <w:t xml:space="preserve">额外配置独立PCIe千兆有线网卡</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张</w:t>
      </w:r>
      <w:r>
        <w:rPr>
          <w:rFonts w:hint="eastAsia"/>
          <w:color w:val="000000" w:themeColor="text1"/>
        </w:rPr>
        <w:t xml:space="preserve">。</w:t>
      </w:r>
      <w:r/>
    </w:p>
    <w:p>
      <w:pPr>
        <w:contextualSpacing/>
        <w:spacing w:line="360" w:lineRule="auto"/>
        <w:rPr>
          <w:rFonts w:hint="eastAsia" w:ascii="宋体" w:hAnsi="宋体"/>
          <w:sz w:val="24"/>
        </w:rPr>
      </w:pPr>
      <w:r>
        <w:rPr>
          <w:rFonts w:hint="eastAsia" w:ascii="宋体" w:hAnsi="宋体"/>
          <w:sz w:val="24"/>
        </w:rPr>
        <w:t xml:space="preserve">（二）配置清单</w:t>
      </w:r>
      <w:r/>
    </w:p>
    <w:tbl>
      <w:tblPr>
        <w:tblStyle w:val="969"/>
        <w:tblW w:w="0" w:type="auto"/>
        <w:tblLook w:val="04A0" w:firstRow="1" w:lastRow="0" w:firstColumn="1" w:lastColumn="0" w:noHBand="0" w:noVBand="1"/>
      </w:tblPr>
      <w:tblGrid>
        <w:gridCol w:w="1129"/>
        <w:gridCol w:w="4401"/>
        <w:gridCol w:w="2766"/>
      </w:tblGrid>
      <w:tr>
        <w:trPr/>
        <w:tc>
          <w:tcPr>
            <w:tcW w:w="1129" w:type="dxa"/>
            <w:textDirection w:val="lrTb"/>
            <w:noWrap w:val="false"/>
          </w:tcPr>
          <w:p>
            <w:pPr>
              <w:contextualSpacing/>
              <w:spacing w:line="360" w:lineRule="auto"/>
              <w:rPr>
                <w:rFonts w:hint="eastAsia" w:ascii="宋体" w:hAnsi="宋体"/>
                <w:sz w:val="24"/>
              </w:rPr>
            </w:pPr>
            <w:r/>
            <w:bookmarkStart w:id="202" w:name="_Hlk239430376"/>
            <w:r>
              <w:rPr>
                <w:rFonts w:hint="eastAsia" w:ascii="宋体" w:hAnsi="宋体"/>
                <w:sz w:val="24"/>
              </w:rPr>
              <w:t xml:space="preserve">序号</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名称</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数量</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w:t>
            </w:r>
            <w:r/>
          </w:p>
        </w:tc>
        <w:tc>
          <w:tcPr>
            <w:tcW w:w="4401" w:type="dxa"/>
            <w:textDirection w:val="lrTb"/>
            <w:noWrap w:val="false"/>
          </w:tcPr>
          <w:p>
            <w:pPr>
              <w:contextualSpacing/>
              <w:spacing w:line="360" w:lineRule="auto"/>
              <w:rPr>
                <w:rFonts w:hint="eastAsia" w:ascii="宋体" w:hAnsi="宋体"/>
                <w:b/>
                <w:bCs/>
                <w:sz w:val="24"/>
              </w:rPr>
            </w:pPr>
            <w:r>
              <w:rPr>
                <w:rFonts w:hint="eastAsia" w:ascii="宋体" w:hAnsi="宋体"/>
                <w:sz w:val="24"/>
              </w:rPr>
              <w:t xml:space="preserve">ICPOES主机（包含进样系统、玻璃旋流雾化室、可拆卸矩管、带中心管、同心型雾化器）</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2</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循环冷却水系统</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3</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自动进样器系统</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4</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稳压电源</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5</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进样泵管</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6根</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6</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废液泵管</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6根</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7</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石英中心管</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1根</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8</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双向矩管</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1根</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9</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雾化器（可耐3%盐分）</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1个</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4401" w:type="dxa"/>
            <w:textDirection w:val="lrTb"/>
            <w:noWrap w:val="false"/>
          </w:tcPr>
          <w:p>
            <w:pPr>
              <w:contextualSpacing/>
              <w:spacing w:line="360" w:lineRule="auto"/>
              <w:rPr>
                <w:rFonts w:hint="eastAsia" w:ascii="宋体" w:hAnsi="宋体"/>
                <w:b/>
                <w:bCs/>
                <w:sz w:val="24"/>
              </w:rPr>
            </w:pPr>
            <w:r>
              <w:rPr>
                <w:rFonts w:hint="eastAsia" w:ascii="宋体" w:hAnsi="宋体"/>
                <w:sz w:val="24"/>
              </w:rPr>
              <w:t xml:space="preserve">矩管O型圈包</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进样系统O型圈包</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进样管件耗品包</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r/>
          </w:p>
        </w:tc>
      </w:tr>
      <w:tr>
        <w:trPr/>
        <w:tc>
          <w:tcPr>
            <w:tcW w:w="1129"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3</w:t>
            </w:r>
            <w:r/>
          </w:p>
        </w:tc>
        <w:tc>
          <w:tcPr>
            <w:tcW w:w="4401"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垂直矩管</w:t>
            </w:r>
            <w:r/>
          </w:p>
        </w:tc>
        <w:tc>
          <w:tcPr>
            <w:tcW w:w="2766" w:type="dxa"/>
            <w:textDirection w:val="lrTb"/>
            <w:noWrap w:val="false"/>
          </w:tcPr>
          <w:p>
            <w:pPr>
              <w:contextualSpacing/>
              <w:spacing w:line="360" w:lineRule="auto"/>
              <w:rPr>
                <w:rFonts w:hint="eastAsia" w:ascii="宋体" w:hAnsi="宋体"/>
                <w:sz w:val="24"/>
              </w:rPr>
            </w:pPr>
            <w:r>
              <w:rPr>
                <w:rFonts w:hint="eastAsia" w:ascii="宋体" w:hAnsi="宋体"/>
                <w:sz w:val="24"/>
              </w:rPr>
              <w:t xml:space="preserve">1套</w:t>
            </w:r>
            <w:bookmarkEnd w:id="201"/>
            <w:r/>
            <w:bookmarkEnd w:id="202"/>
            <w:r/>
            <w:r/>
          </w:p>
        </w:tc>
      </w:tr>
    </w:tbl>
    <w:p>
      <w:pPr>
        <w:contextualSpacing/>
        <w:spacing w:line="360" w:lineRule="auto"/>
        <w:rPr>
          <w:rFonts w:hint="eastAsia" w:ascii="宋体" w:hAnsi="宋体"/>
          <w:sz w:val="24"/>
        </w:rPr>
      </w:pPr>
      <w:r>
        <w:rPr>
          <w:rFonts w:hint="eastAsia" w:ascii="宋体" w:hAnsi="宋体"/>
          <w:sz w:val="24"/>
        </w:rPr>
      </w:r>
      <w:r/>
    </w:p>
    <w:p>
      <w:pPr>
        <w:contextualSpacing/>
        <w:ind w:firstLine="425"/>
        <w:jc w:val="left"/>
        <w:spacing w:line="360" w:lineRule="auto"/>
        <w:rPr>
          <w:sz w:val="24"/>
          <w:szCs w:val="24"/>
        </w:rPr>
      </w:pPr>
      <w:r>
        <w:rPr>
          <w:rFonts w:hint="eastAsia"/>
          <w:sz w:val="24"/>
          <w:szCs w:val="24"/>
        </w:rPr>
        <w:t xml:space="preserve">分包二</w:t>
      </w:r>
      <w:r>
        <w:rPr>
          <w:sz w:val="24"/>
          <w:szCs w:val="24"/>
        </w:rPr>
        <w:t xml:space="preserve"> </w:t>
      </w:r>
      <w:r/>
    </w:p>
    <w:p>
      <w:pPr>
        <w:pStyle w:val="968"/>
        <w:ind w:firstLine="240"/>
        <w:rPr>
          <w:sz w:val="24"/>
        </w:rPr>
      </w:pPr>
      <w:r>
        <w:rPr>
          <w:rFonts w:hint="eastAsia"/>
          <w:sz w:val="24"/>
        </w:rPr>
        <w:t xml:space="preserve">液相色谱仪</w:t>
      </w:r>
      <w:r/>
    </w:p>
    <w:p>
      <w:pPr>
        <w:pStyle w:val="968"/>
        <w:numPr>
          <w:ilvl w:val="0"/>
          <w:numId w:val="6"/>
        </w:numPr>
        <w:spacing w:line="360" w:lineRule="auto"/>
        <w:rPr>
          <w:sz w:val="24"/>
        </w:rPr>
      </w:pPr>
      <w:r>
        <w:rPr>
          <w:rFonts w:hint="eastAsia"/>
          <w:sz w:val="24"/>
        </w:rPr>
        <w:t xml:space="preserve">技术参数</w:t>
      </w:r>
      <w:r/>
    </w:p>
    <w:p>
      <w:pPr>
        <w:ind w:firstLine="482"/>
        <w:spacing w:line="360" w:lineRule="auto"/>
        <w:tabs>
          <w:tab w:val="left" w:pos="851" w:leader="none"/>
        </w:tabs>
        <w:rPr>
          <w:b/>
          <w:color w:val="121212"/>
          <w:sz w:val="24"/>
          <w:szCs w:val="24"/>
        </w:rPr>
      </w:pPr>
      <w:r>
        <w:rPr>
          <w:b/>
          <w:color w:val="121212"/>
          <w:sz w:val="24"/>
          <w:szCs w:val="24"/>
        </w:rPr>
        <w:t xml:space="preserve">1 </w:t>
      </w:r>
      <w:r>
        <w:rPr>
          <w:b/>
          <w:color w:val="121212"/>
          <w:sz w:val="24"/>
          <w:szCs w:val="24"/>
        </w:rPr>
        <w:t xml:space="preserve">四元梯度泵</w:t>
      </w:r>
      <w:r/>
    </w:p>
    <w:p>
      <w:pPr>
        <w:pStyle w:val="1051"/>
        <w:numPr>
          <w:ilvl w:val="1"/>
          <w:numId w:val="0"/>
        </w:numPr>
        <w:ind w:firstLine="480"/>
        <w:spacing w:line="360" w:lineRule="auto"/>
        <w:rPr>
          <w:sz w:val="24"/>
          <w:szCs w:val="24"/>
        </w:rPr>
      </w:pPr>
      <w:r>
        <w:rPr>
          <w:rFonts w:ascii="Times New Roman" w:hAnsi="Times New Roman"/>
          <w:sz w:val="24"/>
          <w:szCs w:val="24"/>
        </w:rPr>
        <w:t xml:space="preserve">▲</w:t>
      </w:r>
      <w:r>
        <w:rPr>
          <w:sz w:val="24"/>
          <w:szCs w:val="24"/>
        </w:rPr>
        <w:t xml:space="preserve">1.1</w:t>
      </w:r>
      <w:r>
        <w:rPr>
          <w:sz w:val="24"/>
          <w:szCs w:val="24"/>
        </w:rPr>
        <w:t xml:space="preserve">双柱塞往复泵，具有可变冲程驱动</w:t>
      </w:r>
      <w:r>
        <w:rPr>
          <w:rFonts w:hint="eastAsia"/>
          <w:sz w:val="24"/>
          <w:szCs w:val="24"/>
        </w:rPr>
        <w:t xml:space="preserve">、浮动活塞设计，自动连续可变冲程。保证泵的可靠性，有效防止高盐浓度流动相对柱塞</w:t>
      </w:r>
      <w:r>
        <w:rPr>
          <w:sz w:val="24"/>
          <w:szCs w:val="24"/>
        </w:rPr>
        <w:t xml:space="preserve">的磨损，实时维护泵的使用性能</w:t>
      </w:r>
      <w:r>
        <w:rPr>
          <w:rFonts w:hint="eastAsia"/>
          <w:sz w:val="24"/>
          <w:szCs w:val="24"/>
        </w:rPr>
        <w:t xml:space="preserve">。（需要提供软件界面的视频，体现能够设置可变冲程参数）</w:t>
      </w:r>
      <w:r/>
    </w:p>
    <w:p>
      <w:pPr>
        <w:ind w:firstLine="480"/>
        <w:jc w:val="left"/>
        <w:spacing w:line="360" w:lineRule="auto"/>
        <w:widowControl/>
        <w:tabs>
          <w:tab w:val="left" w:pos="851" w:leader="none"/>
        </w:tabs>
        <w:rPr>
          <w:sz w:val="24"/>
          <w:szCs w:val="24"/>
        </w:rPr>
      </w:pPr>
      <w:r>
        <w:rPr>
          <w:sz w:val="24"/>
          <w:szCs w:val="24"/>
        </w:rPr>
        <w:t xml:space="preserve">▲1.2</w:t>
      </w:r>
      <w:r>
        <w:rPr>
          <w:sz w:val="24"/>
          <w:szCs w:val="24"/>
        </w:rPr>
        <w:t xml:space="preserve">配置</w:t>
      </w:r>
      <w:r>
        <w:rPr>
          <w:rFonts w:hint="eastAsia"/>
          <w:sz w:val="24"/>
          <w:szCs w:val="24"/>
        </w:rPr>
        <w:t xml:space="preserve">电磁主动阀</w:t>
      </w:r>
      <w:r>
        <w:rPr>
          <w:sz w:val="24"/>
          <w:szCs w:val="24"/>
        </w:rPr>
        <w:t xml:space="preserve">，</w:t>
      </w:r>
      <w:r>
        <w:rPr>
          <w:color w:val="121212"/>
          <w:sz w:val="24"/>
          <w:szCs w:val="24"/>
        </w:rPr>
        <w:t xml:space="preserve">集成于泵头，</w:t>
      </w:r>
      <w:r>
        <w:rPr>
          <w:sz w:val="24"/>
          <w:szCs w:val="24"/>
        </w:rPr>
        <w:t xml:space="preserve">电控驱动阀芯主动启闭，防止高压回流。用于耐高缓冲盐，及防止纯乙</w:t>
      </w:r>
      <w:r>
        <w:rPr>
          <w:rFonts w:hint="eastAsia"/>
          <w:sz w:val="24"/>
          <w:szCs w:val="24"/>
        </w:rPr>
        <w:t xml:space="preserve">腈</w:t>
      </w:r>
      <w:r>
        <w:rPr>
          <w:sz w:val="24"/>
          <w:szCs w:val="24"/>
        </w:rPr>
        <w:t xml:space="preserve">粘黏，降低压力脉动，提升低流速与梯度切换时流量稳定性，改善分析重</w:t>
      </w:r>
      <w:r>
        <w:rPr>
          <w:rFonts w:hint="eastAsia"/>
          <w:sz w:val="24"/>
          <w:szCs w:val="24"/>
        </w:rPr>
        <w:t xml:space="preserve">现性（要求提供仪器泵头处包括主动阀的视频，配置清单需要有主动阀选项）。</w:t>
      </w:r>
      <w:r/>
    </w:p>
    <w:p>
      <w:pPr>
        <w:ind w:firstLine="480"/>
        <w:jc w:val="left"/>
        <w:spacing w:line="360" w:lineRule="auto"/>
        <w:widowControl/>
        <w:tabs>
          <w:tab w:val="left" w:pos="851" w:leader="none"/>
        </w:tabs>
        <w:rPr>
          <w:sz w:val="24"/>
          <w:szCs w:val="24"/>
        </w:rPr>
      </w:pPr>
      <w:r>
        <w:rPr>
          <w:sz w:val="24"/>
          <w:szCs w:val="24"/>
        </w:rPr>
        <w:t xml:space="preserve">1.3</w:t>
      </w:r>
      <w:r>
        <w:rPr>
          <w:sz w:val="24"/>
          <w:szCs w:val="24"/>
        </w:rPr>
        <w:t xml:space="preserve">流量范围：</w:t>
      </w:r>
      <w:r>
        <w:rPr>
          <w:sz w:val="24"/>
          <w:szCs w:val="24"/>
        </w:rPr>
        <w:t xml:space="preserve">0.001~10mL/min</w:t>
      </w:r>
      <w:r>
        <w:rPr>
          <w:sz w:val="24"/>
          <w:szCs w:val="24"/>
        </w:rPr>
        <w:t xml:space="preserve">，递增率</w:t>
      </w:r>
      <w:r>
        <w:rPr>
          <w:sz w:val="24"/>
          <w:szCs w:val="24"/>
        </w:rPr>
        <w:t xml:space="preserve">0.001mL/min</w:t>
      </w:r>
      <w:r>
        <w:rPr>
          <w:sz w:val="24"/>
          <w:szCs w:val="24"/>
        </w:rPr>
        <w:t xml:space="preserve">。</w:t>
      </w:r>
      <w:r/>
    </w:p>
    <w:p>
      <w:pPr>
        <w:ind w:firstLine="480"/>
        <w:jc w:val="left"/>
        <w:spacing w:line="360" w:lineRule="auto"/>
        <w:widowControl/>
        <w:tabs>
          <w:tab w:val="left" w:pos="851" w:leader="none"/>
        </w:tabs>
        <w:rPr>
          <w:sz w:val="24"/>
          <w:szCs w:val="24"/>
        </w:rPr>
      </w:pPr>
      <w:r>
        <w:rPr>
          <w:sz w:val="24"/>
          <w:szCs w:val="24"/>
        </w:rPr>
        <w:t xml:space="preserve">1.4</w:t>
      </w:r>
      <w:r>
        <w:rPr>
          <w:sz w:val="24"/>
          <w:szCs w:val="24"/>
        </w:rPr>
        <w:t xml:space="preserve">流量精度：</w:t>
      </w:r>
      <w:r>
        <w:rPr>
          <w:sz w:val="24"/>
          <w:szCs w:val="24"/>
        </w:rPr>
        <w:t xml:space="preserve">≤0.07%RSD</w:t>
      </w:r>
      <w:r>
        <w:rPr>
          <w:sz w:val="24"/>
          <w:szCs w:val="24"/>
        </w:rPr>
        <w:t xml:space="preserve">；</w:t>
      </w:r>
      <w:r>
        <w:rPr>
          <w:rFonts w:hint="eastAsia"/>
          <w:sz w:val="24"/>
          <w:szCs w:val="24"/>
        </w:rPr>
        <w:t xml:space="preserve">流速准确度：±</w:t>
      </w:r>
      <w:r>
        <w:rPr>
          <w:sz w:val="24"/>
          <w:szCs w:val="24"/>
        </w:rPr>
        <w:t xml:space="preserve">1%</w:t>
      </w:r>
      <w:r>
        <w:rPr>
          <w:rFonts w:hint="eastAsia"/>
          <w:sz w:val="24"/>
          <w:szCs w:val="24"/>
        </w:rPr>
        <w:t xml:space="preserve">；</w:t>
      </w:r>
      <w:r>
        <w:rPr>
          <w:sz w:val="24"/>
          <w:szCs w:val="24"/>
        </w:rPr>
        <w:t xml:space="preserve">梯度精度：</w:t>
      </w:r>
      <w:r>
        <w:rPr>
          <w:sz w:val="24"/>
          <w:szCs w:val="24"/>
        </w:rPr>
        <w:t xml:space="preserve">&lt; 0.2 % RSD</w:t>
      </w:r>
      <w:r>
        <w:rPr>
          <w:sz w:val="24"/>
          <w:szCs w:val="24"/>
        </w:rPr>
        <w:t xml:space="preserve">。</w:t>
      </w:r>
      <w:r/>
    </w:p>
    <w:p>
      <w:pPr>
        <w:ind w:firstLine="482"/>
        <w:spacing w:line="360" w:lineRule="auto"/>
        <w:rPr>
          <w:color w:val="000000" w:themeColor="text1"/>
          <w:sz w:val="24"/>
          <w:szCs w:val="24"/>
        </w:rPr>
      </w:pPr>
      <w:r>
        <w:rPr>
          <w:rFonts w:ascii="宋体" w:hAnsi="宋体" w:cs="Segoe UI Symbol"/>
          <w:b/>
          <w:bCs/>
          <w:sz w:val="24"/>
          <w:szCs w:val="24"/>
        </w:rPr>
        <w:t xml:space="preserve">★</w:t>
      </w:r>
      <w:r>
        <w:rPr>
          <w:sz w:val="24"/>
          <w:szCs w:val="24"/>
        </w:rPr>
        <w:t xml:space="preserve">1.</w:t>
      </w:r>
      <w:r>
        <w:rPr>
          <w:rFonts w:hint="eastAsia"/>
          <w:sz w:val="24"/>
          <w:szCs w:val="24"/>
        </w:rPr>
        <w:t xml:space="preserve">5</w:t>
      </w:r>
      <w:r>
        <w:rPr>
          <w:rFonts w:hint="eastAsia"/>
          <w:sz w:val="24"/>
          <w:szCs w:val="24"/>
        </w:rPr>
        <w:t xml:space="preserve">压力范围：压力最高能达到</w:t>
      </w:r>
      <w:r>
        <w:rPr>
          <w:rFonts w:hint="eastAsia"/>
          <w:sz w:val="24"/>
          <w:szCs w:val="24"/>
        </w:rPr>
        <w:t xml:space="preserve">600bar</w:t>
      </w:r>
      <w:r>
        <w:rPr>
          <w:rFonts w:hint="eastAsia"/>
          <w:sz w:val="24"/>
          <w:szCs w:val="24"/>
        </w:rPr>
        <w:t xml:space="preserve">。</w:t>
      </w:r>
      <w:r>
        <w:rPr>
          <w:rFonts w:hint="eastAsia"/>
          <w:color w:val="000000" w:themeColor="text1"/>
          <w:sz w:val="24"/>
          <w:szCs w:val="24"/>
        </w:rPr>
        <w:t xml:space="preserve">（整机系统耐压，包含泵、自动进样器、柱温箱及连接管路）（需提供软件截图或法定计量机构的检测报告，验收指标）</w:t>
      </w:r>
      <w:r/>
    </w:p>
    <w:p>
      <w:pPr>
        <w:ind w:firstLine="480"/>
        <w:jc w:val="left"/>
        <w:spacing w:line="360" w:lineRule="auto"/>
        <w:widowControl/>
        <w:tabs>
          <w:tab w:val="left" w:pos="851" w:leader="none"/>
        </w:tabs>
        <w:rPr>
          <w:sz w:val="24"/>
          <w:szCs w:val="24"/>
        </w:rPr>
      </w:pPr>
      <w:r>
        <w:rPr>
          <w:sz w:val="24"/>
          <w:szCs w:val="24"/>
        </w:rPr>
        <w:t xml:space="preserve">1.6</w:t>
      </w:r>
      <w:r>
        <w:rPr>
          <w:rFonts w:hint="eastAsia"/>
          <w:sz w:val="24"/>
          <w:szCs w:val="24"/>
        </w:rPr>
        <w:t xml:space="preserve">真空脱气机：流路数目不少于四路。</w:t>
      </w:r>
      <w:r/>
    </w:p>
    <w:p>
      <w:pPr>
        <w:ind w:firstLine="480"/>
        <w:jc w:val="left"/>
        <w:spacing w:line="360" w:lineRule="auto"/>
        <w:widowControl/>
        <w:tabs>
          <w:tab w:val="left" w:pos="851" w:leader="none"/>
        </w:tabs>
        <w:rPr>
          <w:sz w:val="24"/>
          <w:szCs w:val="24"/>
        </w:rPr>
      </w:pPr>
      <w:r>
        <w:rPr>
          <w:sz w:val="24"/>
          <w:szCs w:val="24"/>
        </w:rPr>
      </w:r>
      <w:r/>
    </w:p>
    <w:p>
      <w:pPr>
        <w:pStyle w:val="1051"/>
        <w:ind w:firstLine="482"/>
        <w:spacing w:line="360" w:lineRule="auto"/>
        <w:tabs>
          <w:tab w:val="left" w:pos="851" w:leader="none"/>
        </w:tabs>
        <w:rPr>
          <w:b/>
          <w:color w:val="121212"/>
          <w:sz w:val="24"/>
          <w:szCs w:val="24"/>
        </w:rPr>
      </w:pPr>
      <w:r>
        <w:rPr>
          <w:rFonts w:hint="eastAsia"/>
          <w:b/>
          <w:color w:val="121212"/>
          <w:sz w:val="24"/>
          <w:szCs w:val="24"/>
        </w:rPr>
        <w:t xml:space="preserve">2 </w:t>
      </w:r>
      <w:r>
        <w:rPr>
          <w:rFonts w:hint="eastAsia"/>
          <w:b/>
          <w:color w:val="121212"/>
          <w:sz w:val="24"/>
          <w:szCs w:val="24"/>
        </w:rPr>
        <w:t xml:space="preserve">自动进样器</w:t>
      </w:r>
      <w:r/>
    </w:p>
    <w:p>
      <w:pPr>
        <w:ind w:firstLine="480"/>
        <w:jc w:val="left"/>
        <w:spacing w:line="360" w:lineRule="auto"/>
        <w:widowControl/>
        <w:tabs>
          <w:tab w:val="left" w:pos="851" w:leader="none"/>
        </w:tabs>
        <w:rPr>
          <w:sz w:val="24"/>
          <w:szCs w:val="24"/>
        </w:rPr>
      </w:pPr>
      <w:r>
        <w:rPr>
          <w:rFonts w:hint="eastAsia"/>
          <w:sz w:val="24"/>
          <w:szCs w:val="24"/>
        </w:rPr>
        <w:t xml:space="preserve">▲</w:t>
      </w:r>
      <w:r>
        <w:rPr>
          <w:rFonts w:hint="eastAsia"/>
          <w:sz w:val="24"/>
          <w:szCs w:val="24"/>
        </w:rPr>
        <w:t xml:space="preserve">2.1</w:t>
      </w:r>
      <w:r>
        <w:rPr>
          <w:rFonts w:hint="eastAsia"/>
          <w:sz w:val="24"/>
          <w:szCs w:val="24"/>
        </w:rPr>
        <w:t xml:space="preserve">进样范围：涵盖</w:t>
      </w:r>
      <w:r>
        <w:rPr>
          <w:rFonts w:hint="eastAsia"/>
          <w:sz w:val="24"/>
          <w:szCs w:val="24"/>
        </w:rPr>
        <w:t xml:space="preserve">0.1-100uL</w:t>
      </w:r>
      <w:r>
        <w:rPr>
          <w:rFonts w:hint="eastAsia"/>
          <w:sz w:val="24"/>
          <w:szCs w:val="24"/>
        </w:rPr>
        <w:t xml:space="preserve">，增量为</w:t>
      </w:r>
      <w:r>
        <w:rPr>
          <w:rFonts w:hint="eastAsia"/>
          <w:sz w:val="24"/>
          <w:szCs w:val="24"/>
        </w:rPr>
        <w:t xml:space="preserve">0.1uL</w:t>
      </w:r>
      <w:r>
        <w:rPr>
          <w:rFonts w:hint="eastAsia"/>
          <w:sz w:val="24"/>
          <w:szCs w:val="24"/>
        </w:rPr>
        <w:t xml:space="preserve">。采用微型计量泵定量，全流通式设计，可变进样量，计量泵在高压流路里面，非旁路不易产生气泡。（提供技术说明，并提供计量泵进样视频）</w:t>
      </w:r>
      <w:r/>
    </w:p>
    <w:p>
      <w:pPr>
        <w:ind w:firstLine="480"/>
        <w:jc w:val="left"/>
        <w:spacing w:line="360" w:lineRule="auto"/>
        <w:widowControl/>
        <w:tabs>
          <w:tab w:val="left" w:pos="851" w:leader="none"/>
        </w:tabs>
        <w:rPr>
          <w:sz w:val="24"/>
          <w:szCs w:val="24"/>
        </w:rPr>
      </w:pPr>
      <w:r>
        <w:rPr>
          <w:rFonts w:hint="eastAsia"/>
          <w:sz w:val="24"/>
          <w:szCs w:val="24"/>
        </w:rPr>
        <w:t xml:space="preserve">2.2</w:t>
      </w:r>
      <w:r>
        <w:rPr>
          <w:rFonts w:hint="eastAsia"/>
          <w:sz w:val="24"/>
          <w:szCs w:val="24"/>
        </w:rPr>
        <w:t xml:space="preserve">进样器带控温模块，控温范围</w:t>
      </w:r>
      <w:r>
        <w:rPr>
          <w:rFonts w:hint="eastAsia"/>
          <w:sz w:val="24"/>
          <w:szCs w:val="24"/>
        </w:rPr>
        <w:t xml:space="preserve">4-40</w:t>
      </w:r>
      <w:r>
        <w:rPr>
          <w:rFonts w:hint="eastAsia"/>
          <w:sz w:val="24"/>
          <w:szCs w:val="24"/>
        </w:rPr>
        <w:t xml:space="preserve">℃（需提供官方盖章参数样本。）</w:t>
      </w:r>
      <w:r/>
    </w:p>
    <w:p>
      <w:pPr>
        <w:ind w:firstLine="480"/>
        <w:jc w:val="left"/>
        <w:spacing w:line="360" w:lineRule="auto"/>
        <w:widowControl/>
        <w:tabs>
          <w:tab w:val="left" w:pos="851" w:leader="none"/>
        </w:tabs>
        <w:rPr>
          <w:sz w:val="24"/>
          <w:szCs w:val="24"/>
        </w:rPr>
      </w:pPr>
      <w:r>
        <w:rPr>
          <w:rFonts w:hint="eastAsia"/>
          <w:sz w:val="24"/>
          <w:szCs w:val="24"/>
        </w:rPr>
        <w:t xml:space="preserve">▲</w:t>
      </w:r>
      <w:r>
        <w:rPr>
          <w:rFonts w:hint="eastAsia"/>
          <w:sz w:val="24"/>
          <w:szCs w:val="24"/>
        </w:rPr>
        <w:t xml:space="preserve">2.3</w:t>
      </w:r>
      <w:r>
        <w:rPr>
          <w:rFonts w:hint="eastAsia"/>
          <w:sz w:val="24"/>
          <w:szCs w:val="24"/>
        </w:rPr>
        <w:t xml:space="preserve">自动进样器具有程序进样功能，通过程序设定，实现氨基酸柱前衍生的功能。内置多种（至少包含</w:t>
      </w:r>
      <w:r>
        <w:rPr>
          <w:rFonts w:hint="eastAsia"/>
          <w:sz w:val="24"/>
          <w:szCs w:val="24"/>
        </w:rPr>
        <w:t xml:space="preserve">5</w:t>
      </w:r>
      <w:r>
        <w:rPr>
          <w:rFonts w:hint="eastAsia"/>
          <w:sz w:val="24"/>
          <w:szCs w:val="24"/>
        </w:rPr>
        <w:t xml:space="preserve">种）进样程序，包括母</w:t>
      </w:r>
      <w:r>
        <w:rPr>
          <w:sz w:val="24"/>
          <w:szCs w:val="24"/>
        </w:rPr>
        <w:t xml:space="preserve">液稀释、逐级稀释、氨基酸衍生、加标、混合</w:t>
      </w:r>
      <w:r>
        <w:rPr>
          <w:rFonts w:hint="eastAsia"/>
          <w:sz w:val="24"/>
          <w:szCs w:val="24"/>
        </w:rPr>
        <w:t xml:space="preserve">等</w:t>
      </w:r>
      <w:r>
        <w:rPr>
          <w:sz w:val="24"/>
          <w:szCs w:val="24"/>
        </w:rPr>
        <w:t xml:space="preserve">进样程序，无需人工编程。（提供</w:t>
      </w:r>
      <w:r>
        <w:rPr>
          <w:rFonts w:hint="eastAsia"/>
          <w:sz w:val="24"/>
          <w:szCs w:val="24"/>
        </w:rPr>
        <w:t xml:space="preserve">技术说明和</w:t>
      </w:r>
      <w:r>
        <w:rPr>
          <w:sz w:val="24"/>
          <w:szCs w:val="24"/>
        </w:rPr>
        <w:t xml:space="preserve">软件</w:t>
      </w:r>
      <w:r>
        <w:rPr>
          <w:rFonts w:hint="eastAsia"/>
          <w:sz w:val="24"/>
          <w:szCs w:val="24"/>
        </w:rPr>
        <w:t xml:space="preserve">操作</w:t>
      </w:r>
      <w:r>
        <w:rPr>
          <w:sz w:val="24"/>
          <w:szCs w:val="24"/>
        </w:rPr>
        <w:t xml:space="preserve">视频）</w:t>
      </w:r>
      <w:r/>
    </w:p>
    <w:p>
      <w:pPr>
        <w:pStyle w:val="1051"/>
        <w:numPr>
          <w:ilvl w:val="1"/>
          <w:numId w:val="0"/>
        </w:numPr>
        <w:ind w:firstLine="480"/>
        <w:spacing w:line="360" w:lineRule="auto"/>
        <w:rPr>
          <w:sz w:val="24"/>
          <w:szCs w:val="24"/>
        </w:rPr>
      </w:pPr>
      <w:r>
        <w:rPr>
          <w:rFonts w:ascii="Times New Roman" w:hAnsi="Times New Roman"/>
          <w:sz w:val="24"/>
          <w:szCs w:val="24"/>
        </w:rPr>
        <w:t xml:space="preserve">▲</w:t>
      </w:r>
      <w:r>
        <w:rPr>
          <w:sz w:val="24"/>
          <w:szCs w:val="24"/>
        </w:rPr>
        <w:t xml:space="preserve">2.4</w:t>
      </w:r>
      <w:r>
        <w:rPr>
          <w:sz w:val="24"/>
          <w:szCs w:val="24"/>
        </w:rPr>
        <w:t xml:space="preserve">进样位数：不少于</w:t>
      </w:r>
      <w:r>
        <w:rPr>
          <w:sz w:val="24"/>
          <w:szCs w:val="24"/>
        </w:rPr>
        <w:t xml:space="preserve">130</w:t>
      </w:r>
      <w:r>
        <w:rPr>
          <w:sz w:val="24"/>
          <w:szCs w:val="24"/>
        </w:rPr>
        <w:t xml:space="preserve">位（</w:t>
      </w:r>
      <w:r>
        <w:rPr>
          <w:sz w:val="24"/>
          <w:szCs w:val="24"/>
        </w:rPr>
        <w:t xml:space="preserve">2ml</w:t>
      </w:r>
      <w:r>
        <w:rPr>
          <w:sz w:val="24"/>
          <w:szCs w:val="24"/>
        </w:rPr>
        <w:t xml:space="preserve">样品瓶）。</w:t>
      </w:r>
      <w:r/>
    </w:p>
    <w:p>
      <w:pPr>
        <w:ind w:firstLine="480"/>
        <w:jc w:val="left"/>
        <w:spacing w:line="360" w:lineRule="auto"/>
        <w:widowControl/>
        <w:tabs>
          <w:tab w:val="left" w:pos="851" w:leader="none"/>
        </w:tabs>
        <w:rPr>
          <w:sz w:val="24"/>
          <w:szCs w:val="24"/>
        </w:rPr>
      </w:pPr>
      <w:r>
        <w:rPr>
          <w:sz w:val="24"/>
          <w:szCs w:val="24"/>
        </w:rPr>
        <w:t xml:space="preserve">2.5</w:t>
      </w:r>
      <w:r>
        <w:rPr>
          <w:sz w:val="24"/>
          <w:szCs w:val="24"/>
        </w:rPr>
        <w:t xml:space="preserve">进样精度：</w:t>
      </w:r>
      <w:r>
        <w:rPr>
          <w:sz w:val="24"/>
          <w:szCs w:val="24"/>
        </w:rPr>
        <w:t xml:space="preserve">&lt; 0.25 % RSD</w:t>
      </w:r>
      <w:r/>
    </w:p>
    <w:p>
      <w:pPr>
        <w:ind w:firstLine="480"/>
        <w:jc w:val="left"/>
        <w:spacing w:line="360" w:lineRule="auto"/>
        <w:widowControl/>
        <w:tabs>
          <w:tab w:val="left" w:pos="851" w:leader="none"/>
        </w:tabs>
        <w:rPr>
          <w:sz w:val="24"/>
          <w:szCs w:val="24"/>
        </w:rPr>
      </w:pPr>
      <w:r>
        <w:rPr>
          <w:sz w:val="24"/>
          <w:szCs w:val="24"/>
        </w:rPr>
        <w:t xml:space="preserve">2.6</w:t>
      </w:r>
      <w:r>
        <w:rPr>
          <w:sz w:val="24"/>
          <w:szCs w:val="24"/>
        </w:rPr>
        <w:t xml:space="preserve">进样循环时间：</w:t>
      </w:r>
      <w:r>
        <w:rPr>
          <w:sz w:val="24"/>
          <w:szCs w:val="24"/>
        </w:rPr>
        <w:t xml:space="preserve">≤18s</w:t>
      </w:r>
      <w:r>
        <w:rPr>
          <w:sz w:val="24"/>
          <w:szCs w:val="24"/>
        </w:rPr>
        <w:t xml:space="preserve">，最小样品体积：</w:t>
      </w:r>
      <w:r>
        <w:rPr>
          <w:sz w:val="24"/>
          <w:szCs w:val="24"/>
        </w:rPr>
        <w:t xml:space="preserve">1 </w:t>
      </w:r>
      <w:r>
        <w:rPr>
          <w:sz w:val="24"/>
          <w:szCs w:val="24"/>
        </w:rPr>
        <w:t xml:space="preserve">u</w:t>
      </w:r>
      <w:r>
        <w:rPr>
          <w:rFonts w:hint="eastAsia"/>
          <w:sz w:val="24"/>
          <w:szCs w:val="24"/>
        </w:rPr>
        <w:t xml:space="preserve">L</w:t>
      </w:r>
      <w:r/>
    </w:p>
    <w:p>
      <w:pPr>
        <w:ind w:firstLine="480"/>
        <w:jc w:val="left"/>
        <w:spacing w:line="360" w:lineRule="auto"/>
        <w:widowControl/>
        <w:tabs>
          <w:tab w:val="left" w:pos="851" w:leader="none"/>
        </w:tabs>
        <w:rPr>
          <w:sz w:val="24"/>
          <w:szCs w:val="24"/>
        </w:rPr>
      </w:pPr>
      <w:r>
        <w:rPr>
          <w:sz w:val="24"/>
          <w:szCs w:val="24"/>
        </w:rPr>
        <w:t xml:space="preserve">2.7</w:t>
      </w:r>
      <w:r>
        <w:rPr>
          <w:sz w:val="24"/>
          <w:szCs w:val="24"/>
        </w:rPr>
        <w:t xml:space="preserve">残留：</w:t>
      </w:r>
      <w:r>
        <w:rPr>
          <w:sz w:val="24"/>
          <w:szCs w:val="24"/>
        </w:rPr>
        <w:t xml:space="preserve">&lt; 0.004 % RSD</w:t>
      </w:r>
      <w:r/>
    </w:p>
    <w:p>
      <w:pPr>
        <w:ind w:firstLine="482"/>
        <w:spacing w:line="360" w:lineRule="auto"/>
        <w:tabs>
          <w:tab w:val="left" w:pos="851" w:leader="none"/>
        </w:tabs>
        <w:rPr>
          <w:b/>
          <w:color w:val="121212"/>
          <w:sz w:val="24"/>
          <w:szCs w:val="24"/>
        </w:rPr>
      </w:pPr>
      <w:r>
        <w:rPr>
          <w:b/>
          <w:color w:val="121212"/>
          <w:sz w:val="24"/>
          <w:szCs w:val="24"/>
        </w:rPr>
      </w:r>
      <w:r/>
    </w:p>
    <w:p>
      <w:pPr>
        <w:ind w:firstLine="482"/>
        <w:jc w:val="left"/>
        <w:spacing w:line="360" w:lineRule="auto"/>
        <w:widowControl/>
        <w:tabs>
          <w:tab w:val="left" w:pos="851" w:leader="none"/>
        </w:tabs>
        <w:rPr>
          <w:b/>
          <w:color w:val="121212"/>
          <w:sz w:val="24"/>
          <w:szCs w:val="24"/>
        </w:rPr>
      </w:pPr>
      <w:r>
        <w:rPr>
          <w:b/>
          <w:color w:val="121212"/>
          <w:sz w:val="24"/>
          <w:szCs w:val="24"/>
        </w:rPr>
        <w:t xml:space="preserve">3</w:t>
      </w:r>
      <w:r>
        <w:rPr>
          <w:b/>
          <w:color w:val="121212"/>
          <w:sz w:val="24"/>
          <w:szCs w:val="24"/>
        </w:rPr>
        <w:t xml:space="preserve">柱温箱</w:t>
      </w:r>
      <w:r/>
    </w:p>
    <w:p>
      <w:pPr>
        <w:ind w:firstLine="480"/>
        <w:jc w:val="left"/>
        <w:spacing w:line="360" w:lineRule="auto"/>
        <w:widowControl/>
        <w:tabs>
          <w:tab w:val="left" w:pos="851" w:leader="none"/>
        </w:tabs>
        <w:rPr>
          <w:sz w:val="24"/>
          <w:szCs w:val="24"/>
        </w:rPr>
      </w:pPr>
      <w:r>
        <w:rPr>
          <w:sz w:val="24"/>
          <w:szCs w:val="24"/>
        </w:rPr>
        <w:t xml:space="preserve">▲3.1</w:t>
      </w:r>
      <w:r>
        <w:rPr>
          <w:sz w:val="24"/>
          <w:szCs w:val="24"/>
        </w:rPr>
        <w:t xml:space="preserve">柱温范围：从低于室</w:t>
      </w:r>
      <w:r>
        <w:rPr>
          <w:rFonts w:hint="eastAsia"/>
          <w:sz w:val="24"/>
          <w:szCs w:val="24"/>
        </w:rPr>
        <w:t xml:space="preserve">温</w:t>
      </w:r>
      <w:r>
        <w:rPr>
          <w:rFonts w:hint="eastAsia"/>
          <w:sz w:val="24"/>
          <w:szCs w:val="24"/>
        </w:rPr>
        <w:t xml:space="preserve">10</w:t>
      </w:r>
      <w:r>
        <w:rPr>
          <w:rFonts w:hint="eastAsia"/>
          <w:sz w:val="24"/>
          <w:szCs w:val="24"/>
        </w:rPr>
        <w:t xml:space="preserve">至</w:t>
      </w:r>
      <w:r>
        <w:rPr>
          <w:rFonts w:hint="eastAsia"/>
          <w:sz w:val="24"/>
          <w:szCs w:val="24"/>
        </w:rPr>
        <w:t xml:space="preserve">85</w:t>
      </w:r>
      <w:r>
        <w:rPr>
          <w:sz w:val="24"/>
          <w:szCs w:val="24"/>
        </w:rPr>
        <w:t xml:space="preserve">˚C</w:t>
      </w:r>
      <w:r>
        <w:rPr>
          <w:rFonts w:hint="eastAsia"/>
          <w:sz w:val="24"/>
          <w:szCs w:val="24"/>
        </w:rPr>
        <w:t xml:space="preserve">，最低可降至</w:t>
      </w:r>
      <w:r>
        <w:rPr>
          <w:rFonts w:hint="eastAsia"/>
          <w:sz w:val="24"/>
          <w:szCs w:val="24"/>
        </w:rPr>
        <w:t xml:space="preserve">5</w:t>
      </w:r>
      <w:r>
        <w:rPr>
          <w:rFonts w:hint="eastAsia"/>
          <w:sz w:val="24"/>
          <w:szCs w:val="24"/>
        </w:rPr>
        <w:t xml:space="preserve">℃，支持高温精准控温。（必须提供官方盖章参数样本）。</w:t>
      </w:r>
      <w:r/>
    </w:p>
    <w:p>
      <w:pPr>
        <w:ind w:firstLine="480"/>
        <w:jc w:val="left"/>
        <w:spacing w:line="360" w:lineRule="auto"/>
        <w:widowControl/>
        <w:tabs>
          <w:tab w:val="left" w:pos="851" w:leader="none"/>
        </w:tabs>
        <w:rPr>
          <w:color w:val="121212"/>
          <w:sz w:val="24"/>
          <w:szCs w:val="24"/>
        </w:rPr>
      </w:pPr>
      <w:r>
        <w:rPr>
          <w:sz w:val="24"/>
          <w:szCs w:val="24"/>
        </w:rPr>
        <w:t xml:space="preserve">3.2</w:t>
      </w:r>
      <w:r>
        <w:rPr>
          <w:sz w:val="24"/>
          <w:szCs w:val="24"/>
        </w:rPr>
        <w:t xml:space="preserve">温度稳定性：</w:t>
      </w:r>
      <w:r>
        <w:rPr>
          <w:sz w:val="24"/>
          <w:szCs w:val="24"/>
        </w:rPr>
        <w:t xml:space="preserve">± 0.1˚C</w:t>
      </w:r>
      <w:r>
        <w:rPr>
          <w:sz w:val="24"/>
          <w:szCs w:val="24"/>
        </w:rPr>
        <w:t xml:space="preserve">；温度准确度：</w:t>
      </w:r>
      <w:r>
        <w:rPr>
          <w:sz w:val="24"/>
          <w:szCs w:val="24"/>
        </w:rPr>
        <w:t xml:space="preserve">± </w:t>
      </w:r>
      <w:bookmarkStart w:id="203" w:name="OLE_LINK2"/>
      <w:r>
        <w:rPr>
          <w:sz w:val="24"/>
          <w:szCs w:val="24"/>
        </w:rPr>
        <w:t xml:space="preserve">0.5 °C</w:t>
      </w:r>
      <w:bookmarkEnd w:id="203"/>
      <w:r>
        <w:rPr>
          <w:sz w:val="24"/>
          <w:szCs w:val="24"/>
        </w:rPr>
        <w:t xml:space="preserve">；温度精度：</w:t>
      </w:r>
      <w:r>
        <w:rPr>
          <w:sz w:val="24"/>
          <w:szCs w:val="24"/>
        </w:rPr>
        <w:t xml:space="preserve">0.05 °C</w:t>
      </w:r>
      <w:r>
        <w:rPr>
          <w:sz w:val="24"/>
          <w:szCs w:val="24"/>
        </w:rPr>
        <w:t xml:space="preserve">。</w:t>
      </w:r>
      <w:r/>
    </w:p>
    <w:p>
      <w:pPr>
        <w:ind w:firstLine="480"/>
        <w:jc w:val="left"/>
        <w:spacing w:line="360" w:lineRule="auto"/>
        <w:widowControl/>
        <w:tabs>
          <w:tab w:val="left" w:pos="851" w:leader="none"/>
        </w:tabs>
        <w:rPr>
          <w:sz w:val="24"/>
          <w:szCs w:val="24"/>
        </w:rPr>
      </w:pPr>
      <w:r>
        <w:rPr>
          <w:sz w:val="24"/>
          <w:szCs w:val="24"/>
        </w:rPr>
        <w:t xml:space="preserve">▲</w:t>
      </w:r>
      <w:r>
        <w:rPr>
          <w:rFonts w:hint="eastAsia"/>
          <w:sz w:val="24"/>
          <w:szCs w:val="24"/>
        </w:rPr>
        <w:t xml:space="preserve">3.3</w:t>
      </w:r>
      <w:r>
        <w:rPr>
          <w:sz w:val="24"/>
          <w:szCs w:val="24"/>
        </w:rPr>
        <w:t xml:space="preserve">柱容量：</w:t>
      </w:r>
      <w:r>
        <w:rPr>
          <w:rFonts w:hint="eastAsia"/>
          <w:sz w:val="24"/>
          <w:szCs w:val="24"/>
        </w:rPr>
        <w:t xml:space="preserve">不少于</w:t>
      </w:r>
      <w:r>
        <w:rPr>
          <w:rFonts w:hint="eastAsia"/>
          <w:sz w:val="24"/>
          <w:szCs w:val="24"/>
        </w:rPr>
        <w:t xml:space="preserve">4</w:t>
      </w:r>
      <w:r>
        <w:rPr>
          <w:sz w:val="24"/>
          <w:szCs w:val="24"/>
        </w:rPr>
        <w:t xml:space="preserve">根</w:t>
      </w:r>
      <w:r>
        <w:rPr>
          <w:sz w:val="24"/>
          <w:szCs w:val="24"/>
        </w:rPr>
        <w:t xml:space="preserve">30cm</w:t>
      </w:r>
      <w:r>
        <w:rPr>
          <w:sz w:val="24"/>
          <w:szCs w:val="24"/>
        </w:rPr>
        <w:t xml:space="preserve">色谱柱</w:t>
      </w:r>
      <w:r>
        <w:rPr>
          <w:rFonts w:hint="eastAsia"/>
          <w:sz w:val="24"/>
          <w:szCs w:val="24"/>
        </w:rPr>
        <w:t xml:space="preserve">的容量，且可通过加配柱切换阀来实现切换，方便多色谱柱使用免拆卸。（需提供柱温箱实物图片证明）</w:t>
      </w:r>
      <w:r/>
    </w:p>
    <w:p>
      <w:pPr>
        <w:ind w:firstLine="480"/>
        <w:jc w:val="left"/>
        <w:spacing w:line="360" w:lineRule="auto"/>
        <w:widowControl/>
        <w:tabs>
          <w:tab w:val="left" w:pos="851" w:leader="none"/>
        </w:tabs>
        <w:rPr>
          <w:sz w:val="24"/>
          <w:szCs w:val="24"/>
        </w:rPr>
      </w:pPr>
      <w:r>
        <w:rPr>
          <w:sz w:val="24"/>
          <w:szCs w:val="24"/>
        </w:rPr>
        <w:t xml:space="preserve">▲3.4</w:t>
      </w:r>
      <w:r>
        <w:rPr>
          <w:rFonts w:hint="eastAsia"/>
          <w:sz w:val="24"/>
          <w:szCs w:val="24"/>
        </w:rPr>
        <w:t xml:space="preserve">可降温柱温箱加热模式：双温区且静态柱温加热，</w:t>
      </w:r>
      <w:r>
        <w:rPr>
          <w:sz w:val="24"/>
          <w:szCs w:val="24"/>
        </w:rPr>
        <w:t xml:space="preserve">并可降温，温度下限</w:t>
      </w:r>
      <w:r>
        <w:rPr>
          <w:sz w:val="24"/>
          <w:szCs w:val="24"/>
        </w:rPr>
        <w:t xml:space="preserve">≤15˚C</w:t>
      </w:r>
      <w:r>
        <w:rPr>
          <w:rFonts w:hint="eastAsia"/>
          <w:sz w:val="24"/>
          <w:szCs w:val="24"/>
        </w:rPr>
        <w:t xml:space="preserve">。（</w:t>
      </w:r>
      <w:r>
        <w:rPr>
          <w:sz w:val="24"/>
          <w:szCs w:val="24"/>
        </w:rPr>
        <w:t xml:space="preserve">提供软件截图证明</w:t>
      </w:r>
      <w:r>
        <w:rPr>
          <w:rFonts w:hint="eastAsia"/>
          <w:sz w:val="24"/>
          <w:szCs w:val="24"/>
        </w:rPr>
        <w:t xml:space="preserve">）</w:t>
      </w:r>
      <w:r/>
    </w:p>
    <w:p>
      <w:pPr>
        <w:ind w:left="720"/>
        <w:jc w:val="left"/>
        <w:spacing w:line="360" w:lineRule="auto"/>
        <w:widowControl/>
        <w:tabs>
          <w:tab w:val="left" w:pos="720" w:leader="none"/>
          <w:tab w:val="left" w:pos="851" w:leader="none"/>
        </w:tabs>
        <w:rPr>
          <w:color w:val="121212"/>
          <w:sz w:val="24"/>
          <w:szCs w:val="24"/>
        </w:rPr>
      </w:pPr>
      <w:r>
        <w:rPr>
          <w:color w:val="121212"/>
          <w:sz w:val="24"/>
          <w:szCs w:val="24"/>
        </w:rPr>
      </w:r>
      <w:r/>
    </w:p>
    <w:p>
      <w:pPr>
        <w:ind w:firstLine="482"/>
        <w:jc w:val="left"/>
        <w:spacing w:line="360" w:lineRule="auto"/>
        <w:widowControl/>
        <w:tabs>
          <w:tab w:val="left" w:pos="851" w:leader="none"/>
        </w:tabs>
        <w:rPr>
          <w:b/>
          <w:color w:val="121212"/>
          <w:sz w:val="24"/>
          <w:szCs w:val="24"/>
        </w:rPr>
      </w:pPr>
      <w:r>
        <w:rPr>
          <w:rFonts w:hint="eastAsia"/>
          <w:b/>
          <w:color w:val="121212"/>
          <w:sz w:val="24"/>
          <w:szCs w:val="24"/>
        </w:rPr>
        <w:t xml:space="preserve">4</w:t>
      </w:r>
      <w:r>
        <w:rPr>
          <w:rFonts w:hint="eastAsia"/>
          <w:b/>
          <w:color w:val="121212"/>
          <w:sz w:val="24"/>
          <w:szCs w:val="24"/>
        </w:rPr>
        <w:t xml:space="preserve">二极管阵列检测器</w:t>
      </w:r>
      <w:r/>
    </w:p>
    <w:p>
      <w:pPr>
        <w:ind w:firstLine="480"/>
        <w:spacing w:line="360" w:lineRule="auto"/>
        <w:rPr>
          <w:b/>
          <w:bCs/>
          <w:color w:val="ff0000"/>
          <w:sz w:val="24"/>
          <w:szCs w:val="24"/>
          <w:highlight w:val="yellow"/>
        </w:rPr>
      </w:pPr>
      <w:r>
        <w:rPr>
          <w:sz w:val="24"/>
          <w:szCs w:val="24"/>
        </w:rPr>
        <w:t xml:space="preserve">▲4.1</w:t>
      </w:r>
      <w:r>
        <w:rPr>
          <w:sz w:val="24"/>
          <w:szCs w:val="24"/>
        </w:rPr>
        <w:t xml:space="preserve">波长范围：能覆盖</w:t>
      </w:r>
      <w:r>
        <w:rPr>
          <w:sz w:val="24"/>
          <w:szCs w:val="24"/>
        </w:rPr>
        <w:t xml:space="preserve">190</w:t>
      </w:r>
      <w:r>
        <w:rPr>
          <w:rFonts w:hint="eastAsia"/>
          <w:sz w:val="24"/>
          <w:szCs w:val="24"/>
        </w:rPr>
        <w:t xml:space="preserve">～</w:t>
      </w:r>
      <w:r>
        <w:rPr>
          <w:sz w:val="24"/>
          <w:szCs w:val="24"/>
        </w:rPr>
        <w:t xml:space="preserve">850nm</w:t>
      </w:r>
      <w:r>
        <w:rPr>
          <w:rFonts w:hint="eastAsia"/>
          <w:sz w:val="24"/>
          <w:szCs w:val="24"/>
        </w:rPr>
        <w:t xml:space="preserve">，配置氘灯和钨灯（提供软件截图和官方盖章参数样本）</w:t>
      </w:r>
      <w:r>
        <w:rPr>
          <w:sz w:val="24"/>
          <w:szCs w:val="24"/>
        </w:rPr>
        <w:t xml:space="preserve">。</w:t>
      </w:r>
      <w:r/>
    </w:p>
    <w:p>
      <w:pPr>
        <w:ind w:firstLine="480"/>
        <w:spacing w:line="360" w:lineRule="auto"/>
        <w:rPr>
          <w:color w:val="ff0000"/>
          <w:sz w:val="24"/>
          <w:szCs w:val="24"/>
          <w:highlight w:val="green"/>
        </w:rPr>
      </w:pPr>
      <w:r>
        <w:rPr>
          <w:sz w:val="24"/>
          <w:szCs w:val="24"/>
        </w:rPr>
        <w:t xml:space="preserve">4.2</w:t>
      </w:r>
      <w:r>
        <w:rPr>
          <w:sz w:val="24"/>
          <w:szCs w:val="24"/>
        </w:rPr>
        <w:t xml:space="preserve">二极管列数：</w:t>
      </w:r>
      <w:r>
        <w:rPr>
          <w:rFonts w:hint="eastAsia"/>
          <w:sz w:val="24"/>
          <w:szCs w:val="24"/>
        </w:rPr>
        <w:t xml:space="preserve">大于</w:t>
      </w:r>
      <w:r>
        <w:rPr>
          <w:rFonts w:hint="eastAsia"/>
          <w:sz w:val="24"/>
          <w:szCs w:val="24"/>
        </w:rPr>
        <w:t xml:space="preserve">1000</w:t>
      </w:r>
      <w:r>
        <w:rPr>
          <w:rFonts w:hint="eastAsia"/>
          <w:sz w:val="24"/>
          <w:szCs w:val="24"/>
        </w:rPr>
        <w:t xml:space="preserve">。</w:t>
      </w:r>
      <w:r/>
    </w:p>
    <w:p>
      <w:pPr>
        <w:ind w:firstLine="480"/>
        <w:spacing w:line="360" w:lineRule="auto"/>
        <w:widowControl/>
        <w:rPr>
          <w:color w:val="000000"/>
          <w:sz w:val="24"/>
          <w:szCs w:val="24"/>
        </w:rPr>
      </w:pPr>
      <w:r>
        <w:rPr>
          <w:sz w:val="24"/>
          <w:szCs w:val="24"/>
        </w:rPr>
        <w:t xml:space="preserve">▲4.3</w:t>
      </w:r>
      <w:r>
        <w:rPr>
          <w:sz w:val="24"/>
          <w:szCs w:val="24"/>
        </w:rPr>
        <w:t xml:space="preserve">噪音：</w:t>
      </w:r>
      <w:r>
        <w:rPr>
          <w:sz w:val="24"/>
          <w:szCs w:val="24"/>
        </w:rPr>
        <w:t xml:space="preserve">&lt; ± 0.7 x 10</w:t>
      </w:r>
      <w:r>
        <w:rPr>
          <w:sz w:val="24"/>
          <w:szCs w:val="24"/>
          <w:vertAlign w:val="superscript"/>
        </w:rPr>
        <w:t xml:space="preserve">-5</w:t>
      </w:r>
      <w:r>
        <w:rPr>
          <w:sz w:val="24"/>
          <w:szCs w:val="24"/>
        </w:rPr>
        <w:t xml:space="preserve"> AU /cm</w:t>
      </w:r>
      <w:r>
        <w:rPr>
          <w:sz w:val="24"/>
          <w:szCs w:val="24"/>
        </w:rPr>
        <w:t xml:space="preserve">（提供官方盖章参数样本）</w:t>
      </w:r>
      <w:r/>
    </w:p>
    <w:p>
      <w:pPr>
        <w:ind w:firstLine="480"/>
        <w:spacing w:line="360" w:lineRule="auto"/>
        <w:rPr>
          <w:sz w:val="24"/>
          <w:szCs w:val="24"/>
        </w:rPr>
      </w:pPr>
      <w:r>
        <w:rPr>
          <w:sz w:val="24"/>
          <w:szCs w:val="24"/>
        </w:rPr>
        <w:t xml:space="preserve">▲4.4 </w:t>
      </w:r>
      <w:r>
        <w:rPr>
          <w:sz w:val="24"/>
          <w:szCs w:val="24"/>
        </w:rPr>
        <w:t xml:space="preserve">漂移：在</w:t>
      </w:r>
      <w:r>
        <w:rPr>
          <w:sz w:val="24"/>
          <w:szCs w:val="24"/>
        </w:rPr>
        <w:t xml:space="preserve">230nm </w:t>
      </w:r>
      <w:r>
        <w:rPr>
          <w:sz w:val="24"/>
          <w:szCs w:val="24"/>
        </w:rPr>
        <w:t xml:space="preserve">处，</w:t>
      </w:r>
      <w:r>
        <w:rPr>
          <w:sz w:val="24"/>
          <w:szCs w:val="24"/>
        </w:rPr>
        <w:t xml:space="preserve">&lt; 0.9 x 10</w:t>
      </w:r>
      <w:r>
        <w:rPr>
          <w:sz w:val="24"/>
          <w:szCs w:val="24"/>
          <w:vertAlign w:val="superscript"/>
        </w:rPr>
        <w:t xml:space="preserve">-3</w:t>
      </w:r>
      <w:r>
        <w:rPr>
          <w:sz w:val="24"/>
          <w:szCs w:val="24"/>
        </w:rPr>
        <w:t xml:space="preserve"> AU/</w:t>
      </w:r>
      <w:r>
        <w:rPr>
          <w:sz w:val="24"/>
          <w:szCs w:val="24"/>
        </w:rPr>
        <w:t xml:space="preserve">小时</w:t>
      </w:r>
      <w:r/>
    </w:p>
    <w:p>
      <w:pPr>
        <w:pStyle w:val="965"/>
        <w:ind w:firstLine="480"/>
        <w:spacing w:before="0" w:beforeAutospacing="0" w:after="0" w:afterAutospacing="0" w:line="360" w:lineRule="auto"/>
        <w:shd w:val="clear" w:color="auto" w:fill="ffffff"/>
        <w:rPr>
          <w:rFonts w:hint="eastAsia"/>
        </w:rPr>
      </w:pPr>
      <w:r>
        <w:t xml:space="preserve">4.5 波长准确</w:t>
      </w:r>
      <w:r>
        <w:rPr>
          <w:rFonts w:hint="eastAsia"/>
        </w:rPr>
        <w:t xml:space="preserve">度：不大于</w:t>
      </w:r>
      <w:r>
        <w:t xml:space="preserve">±1nm</w:t>
      </w:r>
      <w:r/>
    </w:p>
    <w:p>
      <w:pPr>
        <w:ind w:firstLine="480"/>
        <w:spacing w:line="360" w:lineRule="auto"/>
        <w:rPr>
          <w:sz w:val="24"/>
          <w:szCs w:val="24"/>
        </w:rPr>
      </w:pPr>
      <w:r>
        <w:rPr>
          <w:sz w:val="24"/>
          <w:szCs w:val="24"/>
        </w:rPr>
        <w:t xml:space="preserve">4.6</w:t>
      </w:r>
      <w:r>
        <w:rPr>
          <w:sz w:val="24"/>
          <w:szCs w:val="24"/>
        </w:rPr>
        <w:t xml:space="preserve">采样速率：不小于</w:t>
      </w:r>
      <w:r>
        <w:rPr>
          <w:sz w:val="24"/>
          <w:szCs w:val="24"/>
        </w:rPr>
        <w:t xml:space="preserve">120Hz</w:t>
      </w:r>
      <w:r/>
    </w:p>
    <w:p>
      <w:pPr>
        <w:ind w:firstLine="480"/>
        <w:spacing w:line="360" w:lineRule="auto"/>
        <w:rPr>
          <w:sz w:val="24"/>
          <w:szCs w:val="24"/>
        </w:rPr>
      </w:pPr>
      <w:r>
        <w:rPr>
          <w:sz w:val="24"/>
          <w:szCs w:val="24"/>
        </w:rPr>
      </w:r>
      <w:r/>
    </w:p>
    <w:p>
      <w:pPr>
        <w:ind w:firstLine="482"/>
        <w:jc w:val="left"/>
        <w:spacing w:line="360" w:lineRule="auto"/>
        <w:widowControl/>
        <w:tabs>
          <w:tab w:val="left" w:pos="851" w:leader="none"/>
        </w:tabs>
        <w:rPr>
          <w:b/>
          <w:color w:val="121212"/>
          <w:sz w:val="24"/>
          <w:szCs w:val="24"/>
        </w:rPr>
      </w:pPr>
      <w:r>
        <w:rPr>
          <w:rFonts w:hint="eastAsia"/>
          <w:b/>
          <w:color w:val="121212"/>
          <w:sz w:val="24"/>
          <w:szCs w:val="24"/>
        </w:rPr>
        <w:t xml:space="preserve">5</w:t>
      </w:r>
      <w:r>
        <w:rPr>
          <w:rFonts w:hint="eastAsia"/>
          <w:b/>
          <w:color w:val="121212"/>
          <w:sz w:val="24"/>
          <w:szCs w:val="24"/>
        </w:rPr>
        <w:t xml:space="preserve">蒸发光散射检测器</w:t>
      </w:r>
      <w:r/>
    </w:p>
    <w:p>
      <w:pPr>
        <w:ind w:firstLine="480"/>
        <w:spacing w:line="360" w:lineRule="auto"/>
        <w:rPr>
          <w:sz w:val="24"/>
          <w:szCs w:val="24"/>
        </w:rPr>
      </w:pPr>
      <w:r>
        <w:rPr>
          <w:rFonts w:hint="eastAsia"/>
          <w:sz w:val="24"/>
          <w:szCs w:val="24"/>
        </w:rPr>
        <w:t xml:space="preserve">5.1</w:t>
      </w:r>
      <w:r>
        <w:rPr>
          <w:rFonts w:hint="eastAsia"/>
          <w:sz w:val="24"/>
          <w:szCs w:val="24"/>
        </w:rPr>
        <w:t xml:space="preserve">气体流量范围：</w:t>
      </w:r>
      <w:r>
        <w:rPr>
          <w:sz w:val="24"/>
          <w:szCs w:val="24"/>
        </w:rPr>
        <w:t xml:space="preserve">0.9 – 3.25 SLM</w:t>
      </w:r>
      <w:r/>
    </w:p>
    <w:p>
      <w:pPr>
        <w:ind w:firstLine="480"/>
        <w:spacing w:line="360" w:lineRule="auto"/>
        <w:rPr>
          <w:sz w:val="24"/>
          <w:szCs w:val="24"/>
        </w:rPr>
      </w:pPr>
      <w:r>
        <w:rPr>
          <w:rFonts w:hint="eastAsia"/>
          <w:sz w:val="24"/>
          <w:szCs w:val="24"/>
        </w:rPr>
        <w:t xml:space="preserve">5.2</w:t>
      </w:r>
      <w:r>
        <w:rPr>
          <w:rFonts w:hint="eastAsia"/>
          <w:sz w:val="24"/>
          <w:szCs w:val="24"/>
        </w:rPr>
        <w:t xml:space="preserve">光源：激光光源</w:t>
      </w:r>
      <w:r>
        <w:rPr>
          <w:sz w:val="24"/>
          <w:szCs w:val="24"/>
        </w:rPr>
        <w:t xml:space="preserve">405 nm, 10 </w:t>
      </w:r>
      <w:r>
        <w:rPr>
          <w:sz w:val="24"/>
          <w:szCs w:val="24"/>
        </w:rPr>
        <w:t xml:space="preserve">mW</w:t>
      </w:r>
      <w:r/>
    </w:p>
    <w:p>
      <w:pPr>
        <w:ind w:firstLine="480"/>
        <w:spacing w:line="360" w:lineRule="auto"/>
        <w:rPr>
          <w:sz w:val="24"/>
          <w:szCs w:val="24"/>
        </w:rPr>
      </w:pPr>
      <w:r>
        <w:rPr>
          <w:rFonts w:hint="eastAsia"/>
          <w:sz w:val="24"/>
          <w:szCs w:val="24"/>
        </w:rPr>
        <w:t xml:space="preserve">5.3</w:t>
      </w:r>
      <w:r>
        <w:rPr>
          <w:rFonts w:hint="eastAsia"/>
          <w:sz w:val="24"/>
          <w:szCs w:val="24"/>
        </w:rPr>
        <w:t xml:space="preserve">操作压力：</w:t>
      </w:r>
      <w:r>
        <w:rPr>
          <w:sz w:val="24"/>
          <w:szCs w:val="24"/>
        </w:rPr>
        <w:t xml:space="preserve">60 – 100 psi</w:t>
      </w:r>
      <w:r>
        <w:rPr>
          <w:rFonts w:hint="eastAsia"/>
          <w:sz w:val="24"/>
          <w:szCs w:val="24"/>
        </w:rPr>
        <w:t xml:space="preserve">，短期噪音＜</w:t>
      </w:r>
      <w:r>
        <w:rPr>
          <w:sz w:val="24"/>
          <w:szCs w:val="24"/>
        </w:rPr>
        <w:t xml:space="preserve">0.1 LSU/h</w:t>
      </w:r>
      <w:r>
        <w:rPr>
          <w:rFonts w:hint="eastAsia"/>
          <w:sz w:val="24"/>
          <w:szCs w:val="24"/>
        </w:rPr>
        <w:t xml:space="preserve">，漂移＜</w:t>
      </w:r>
      <w:r>
        <w:rPr>
          <w:sz w:val="24"/>
          <w:szCs w:val="24"/>
        </w:rPr>
        <w:t xml:space="preserve">1 LSU/h</w:t>
      </w:r>
      <w:r/>
    </w:p>
    <w:p>
      <w:pPr>
        <w:ind w:firstLine="480"/>
        <w:spacing w:line="360" w:lineRule="auto"/>
        <w:rPr>
          <w:sz w:val="24"/>
          <w:szCs w:val="24"/>
        </w:rPr>
      </w:pPr>
      <w:r>
        <w:rPr>
          <w:sz w:val="24"/>
          <w:szCs w:val="24"/>
        </w:rPr>
        <w:t xml:space="preserve">▲</w:t>
      </w:r>
      <w:r>
        <w:rPr>
          <w:rFonts w:hint="eastAsia"/>
          <w:sz w:val="24"/>
          <w:szCs w:val="24"/>
        </w:rPr>
        <w:t xml:space="preserve">5.4</w:t>
      </w:r>
      <w:r>
        <w:rPr>
          <w:sz w:val="24"/>
          <w:szCs w:val="24"/>
        </w:rPr>
        <w:t xml:space="preserve">流动相流速：</w:t>
      </w:r>
      <w:r>
        <w:rPr>
          <w:sz w:val="24"/>
          <w:szCs w:val="24"/>
        </w:rPr>
        <w:t xml:space="preserve">0.1-5 ml/min</w:t>
      </w:r>
      <w:r>
        <w:rPr>
          <w:sz w:val="24"/>
          <w:szCs w:val="24"/>
        </w:rPr>
        <w:t xml:space="preserve">，全流速范围不需更换喷头</w:t>
      </w:r>
      <w:r>
        <w:rPr>
          <w:rFonts w:hint="eastAsia"/>
          <w:sz w:val="24"/>
          <w:szCs w:val="24"/>
        </w:rPr>
        <w:t xml:space="preserve">。（需要视频证明）</w:t>
      </w:r>
      <w:r/>
    </w:p>
    <w:p>
      <w:pPr>
        <w:ind w:firstLine="480"/>
        <w:spacing w:line="360" w:lineRule="auto"/>
        <w:rPr>
          <w:sz w:val="24"/>
          <w:szCs w:val="24"/>
        </w:rPr>
      </w:pPr>
      <w:r>
        <w:rPr>
          <w:sz w:val="24"/>
          <w:szCs w:val="24"/>
        </w:rPr>
        <w:t xml:space="preserve">▲5.5</w:t>
      </w:r>
      <w:r>
        <w:rPr>
          <w:rFonts w:hint="eastAsia"/>
          <w:color w:val="000000" w:themeColor="text1"/>
          <w:sz w:val="24"/>
        </w:rPr>
        <w:t xml:space="preserve">投标所有模块须为同一厂家品牌，其售后服务也由授权制造商提供服务。（提供承诺函）</w:t>
      </w:r>
      <w:r/>
    </w:p>
    <w:p>
      <w:pPr>
        <w:jc w:val="left"/>
        <w:spacing w:line="360" w:lineRule="auto"/>
        <w:widowControl/>
        <w:tabs>
          <w:tab w:val="left" w:pos="851" w:leader="none"/>
        </w:tabs>
        <w:rPr>
          <w:b/>
          <w:color w:val="121212"/>
          <w:sz w:val="24"/>
          <w:szCs w:val="24"/>
        </w:rPr>
      </w:pPr>
      <w:r>
        <w:rPr>
          <w:b/>
          <w:color w:val="121212"/>
          <w:sz w:val="24"/>
          <w:szCs w:val="24"/>
        </w:rPr>
      </w:r>
      <w:r/>
    </w:p>
    <w:p>
      <w:pPr>
        <w:ind w:firstLine="482"/>
        <w:jc w:val="left"/>
        <w:spacing w:line="360" w:lineRule="auto"/>
        <w:widowControl/>
        <w:tabs>
          <w:tab w:val="left" w:pos="851" w:leader="none"/>
        </w:tabs>
        <w:rPr>
          <w:b/>
          <w:color w:val="121212"/>
          <w:sz w:val="24"/>
          <w:szCs w:val="24"/>
        </w:rPr>
      </w:pPr>
      <w:r>
        <w:rPr>
          <w:rFonts w:hint="eastAsia"/>
          <w:b/>
          <w:color w:val="121212"/>
          <w:sz w:val="24"/>
          <w:szCs w:val="24"/>
        </w:rPr>
        <w:t xml:space="preserve">6</w:t>
      </w:r>
      <w:r>
        <w:rPr>
          <w:rFonts w:hint="eastAsia"/>
          <w:b/>
          <w:color w:val="121212"/>
          <w:sz w:val="24"/>
          <w:szCs w:val="24"/>
        </w:rPr>
        <w:t xml:space="preserve">工作站软件</w:t>
      </w:r>
      <w:r/>
    </w:p>
    <w:p>
      <w:pPr>
        <w:ind w:firstLine="480"/>
        <w:spacing w:line="360" w:lineRule="auto"/>
        <w:rPr>
          <w:sz w:val="24"/>
          <w:szCs w:val="24"/>
        </w:rPr>
      </w:pPr>
      <w:r>
        <w:rPr>
          <w:rFonts w:hint="eastAsia"/>
          <w:sz w:val="24"/>
          <w:szCs w:val="24"/>
        </w:rPr>
        <w:t xml:space="preserve">6.1</w:t>
      </w:r>
      <w:r>
        <w:rPr>
          <w:rFonts w:hint="eastAsia"/>
          <w:sz w:val="24"/>
          <w:szCs w:val="24"/>
        </w:rPr>
        <w:t xml:space="preserve">仪器控制</w:t>
      </w:r>
      <w:r>
        <w:rPr>
          <w:rFonts w:hint="eastAsia"/>
          <w:sz w:val="24"/>
          <w:szCs w:val="24"/>
        </w:rPr>
        <w:t xml:space="preserve">6</w:t>
      </w:r>
      <w:r>
        <w:rPr>
          <w:sz w:val="24"/>
          <w:szCs w:val="24"/>
        </w:rPr>
        <w:t xml:space="preserve">4</w:t>
      </w:r>
      <w:r>
        <w:rPr>
          <w:rFonts w:hint="eastAsia"/>
          <w:sz w:val="24"/>
          <w:szCs w:val="24"/>
        </w:rPr>
        <w:t xml:space="preserve">位版本色谱工作站软件，支持</w:t>
      </w:r>
      <w:r>
        <w:rPr>
          <w:sz w:val="24"/>
          <w:szCs w:val="24"/>
        </w:rPr>
        <w:t xml:space="preserve">Windows</w:t>
      </w:r>
      <w:r>
        <w:rPr>
          <w:rFonts w:hint="eastAsia"/>
          <w:sz w:val="24"/>
          <w:szCs w:val="24"/>
        </w:rPr>
        <w:t xml:space="preserve">11 </w:t>
      </w:r>
      <w:r>
        <w:rPr>
          <w:rFonts w:hint="eastAsia"/>
          <w:sz w:val="24"/>
          <w:szCs w:val="24"/>
        </w:rPr>
        <w:t xml:space="preserve">专业版系统：支持多窗口、多任务的操作模式。参数输入：仪器控制参数，数据采集及计算处理参数的设定。</w:t>
      </w:r>
      <w:r/>
    </w:p>
    <w:p>
      <w:pPr>
        <w:ind w:firstLine="480"/>
        <w:jc w:val="left"/>
        <w:spacing w:line="360" w:lineRule="auto"/>
        <w:rPr>
          <w:rFonts w:hint="eastAsia" w:ascii="宋体" w:hAnsi="宋体" w:cs="宋体"/>
          <w:bCs/>
          <w:color w:val="ff0000"/>
          <w:sz w:val="24"/>
          <w:szCs w:val="24"/>
        </w:rPr>
      </w:pPr>
      <w:r>
        <w:rPr>
          <w:sz w:val="24"/>
          <w:szCs w:val="24"/>
        </w:rPr>
        <w:t xml:space="preserve">▲</w:t>
      </w:r>
      <w:r>
        <w:rPr>
          <w:rFonts w:hint="eastAsia"/>
          <w:sz w:val="24"/>
          <w:szCs w:val="24"/>
        </w:rPr>
        <w:t xml:space="preserve">6.2</w:t>
      </w:r>
      <w:r>
        <w:rPr>
          <w:rFonts w:hint="eastAsia"/>
          <w:sz w:val="24"/>
          <w:szCs w:val="24"/>
        </w:rPr>
        <w:t xml:space="preserve">色谱峰快速预览功能：可直观同时在一个界面比对多个色谱峰特征，</w:t>
      </w:r>
      <w:r>
        <w:rPr>
          <w:rFonts w:hint="eastAsia"/>
          <w:sz w:val="24"/>
          <w:szCs w:val="24"/>
        </w:rPr>
        <w:t xml:space="preserve">区分异常峰面积和峰高和异常杂质峰，避免假阳性判定；可实现批量图谱快速核查，提升食品检测数据准确性与图谱审核效率。（提供官网材料和官方详细技术文档证明材料）</w:t>
      </w:r>
      <w:r/>
    </w:p>
    <w:p>
      <w:pPr>
        <w:ind w:firstLine="480"/>
        <w:jc w:val="left"/>
        <w:spacing w:line="360" w:lineRule="auto"/>
        <w:rPr>
          <w:sz w:val="24"/>
          <w:szCs w:val="24"/>
        </w:rPr>
      </w:pPr>
      <w:r>
        <w:rPr>
          <w:rFonts w:ascii="宋体" w:hAnsi="宋体" w:cs="宋体"/>
          <w:bCs/>
          <w:color w:val="ff0000"/>
          <w:sz w:val="24"/>
          <w:szCs w:val="24"/>
        </w:rPr>
        <w:t xml:space="preserve"> </w:t>
      </w:r>
      <w:r>
        <w:rPr>
          <w:sz w:val="24"/>
          <w:szCs w:val="24"/>
        </w:rPr>
        <w:t xml:space="preserve">6.3 </w:t>
      </w:r>
      <w:r>
        <w:rPr>
          <w:rFonts w:hint="eastAsia"/>
          <w:sz w:val="24"/>
          <w:szCs w:val="24"/>
        </w:rPr>
        <w:t xml:space="preserve">数据管理功能：原始数据、仪器条件和处理参数等信息的关联由软件自动建立色谱峰的积分和标定，对色谱峰建立各种积分方式和积分事件，具有智能积分功能。</w:t>
      </w:r>
      <w:r/>
    </w:p>
    <w:p>
      <w:pPr>
        <w:ind w:firstLine="480"/>
        <w:spacing w:line="360" w:lineRule="auto"/>
        <w:rPr>
          <w:sz w:val="24"/>
          <w:szCs w:val="24"/>
        </w:rPr>
      </w:pPr>
      <w:r>
        <w:rPr>
          <w:sz w:val="24"/>
          <w:szCs w:val="24"/>
        </w:rPr>
        <w:t xml:space="preserve">▲</w:t>
      </w:r>
      <w:r>
        <w:rPr>
          <w:rFonts w:hint="eastAsia"/>
          <w:sz w:val="24"/>
          <w:szCs w:val="24"/>
        </w:rPr>
        <w:t xml:space="preserve">6.4</w:t>
      </w:r>
      <w:r>
        <w:rPr>
          <w:rFonts w:hint="eastAsia"/>
          <w:sz w:val="24"/>
          <w:szCs w:val="24"/>
        </w:rPr>
        <w:t xml:space="preserve">积分功能：工作站内置积分优化器，可自动优选积分参数，精准处理基线漂移、肩峰、簇峰与微量组分的积分，统一积分规则，降低人为操作偏差，提升定量结果重现性，减少手动积分，满足数据完整性管控要求。（需提供视频如下图所示</w:t>
      </w:r>
      <w:r>
        <w:rPr>
          <w:rFonts w:hint="eastAsia"/>
          <w:sz w:val="24"/>
          <w:szCs w:val="24"/>
        </w:rPr>
        <w:t xml:space="preserve">证明</w:t>
      </w:r>
      <w:r>
        <w:rPr>
          <w:rFonts w:hint="eastAsia"/>
          <w:sz w:val="24"/>
          <w:szCs w:val="24"/>
        </w:rPr>
        <w:t xml:space="preserve">)</w:t>
      </w:r>
      <w:r>
        <w:rPr>
          <w:rFonts w:hint="eastAsia"/>
          <w:sz w:val="24"/>
          <w:szCs w:val="24"/>
        </w:rPr>
        <w:t xml:space="preserve"> </w:t>
      </w:r>
      <w:r/>
    </w:p>
    <w:p>
      <w:pPr>
        <w:ind w:firstLine="480"/>
        <w:spacing w:line="360" w:lineRule="auto"/>
        <w:rPr>
          <w:sz w:val="24"/>
          <w:szCs w:val="24"/>
        </w:rPr>
      </w:pPr>
      <w:r>
        <w:rPr>
          <w:sz w:val="24"/>
          <w:szCs w:val="24"/>
        </w:rPr>
        <mc:AlternateContent>
          <mc:Choice Requires="wpg">
            <w:drawing>
              <wp:inline xmlns:wp="http://schemas.openxmlformats.org/drawingml/2006/wordprocessingDrawing" distT="0" distB="0" distL="0" distR="0">
                <wp:extent cx="3948430" cy="1821815"/>
                <wp:effectExtent l="0" t="0" r="0"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64520" name="图片 1"/>
                        <pic:cNvPicPr>
                          <a:picLocks noChangeAspect="1"/>
                        </pic:cNvPicPr>
                        <pic:nvPr/>
                      </pic:nvPicPr>
                      <pic:blipFill>
                        <a:blip r:embed="rId16"/>
                        <a:stretch/>
                      </pic:blipFill>
                      <pic:spPr bwMode="auto">
                        <a:xfrm>
                          <a:off x="0" y="0"/>
                          <a:ext cx="3948430" cy="182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0.9pt;height:143.4pt;mso-wrap-distance-left:0.0pt;mso-wrap-distance-top:0.0pt;mso-wrap-distance-right:0.0pt;mso-wrap-distance-bottom:0.0pt;" stroked="f">
                <v:path textboxrect="0,0,0,0"/>
                <v:imagedata r:id="rId16" o:title=""/>
              </v:shape>
            </w:pict>
          </mc:Fallback>
        </mc:AlternateConten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6.5</w:t>
      </w:r>
      <w:r>
        <w:rPr>
          <w:rFonts w:hint="eastAsia"/>
          <w:sz w:val="24"/>
          <w:szCs w:val="24"/>
        </w:rPr>
        <w:t xml:space="preserve">报告：内置多种报告格式，可自动生成系统适应性报告；用户也可编辑个性化的报告模板</w:t>
      </w:r>
      <w:r>
        <w:rPr>
          <w:rFonts w:hint="eastAsia"/>
          <w:sz w:val="24"/>
          <w:szCs w:val="24"/>
        </w:rPr>
        <w:t xml:space="preserve"> </w:t>
      </w:r>
      <w:r>
        <w:rPr>
          <w:rFonts w:hint="eastAsia"/>
          <w:sz w:val="24"/>
          <w:szCs w:val="24"/>
        </w:rPr>
        <w:t xml:space="preserve">，并具有维护预警功能。</w:t>
      </w:r>
      <w:r/>
    </w:p>
    <w:p>
      <w:pPr>
        <w:ind w:firstLine="480"/>
        <w:spacing w:line="360" w:lineRule="auto"/>
        <w:rPr>
          <w:sz w:val="24"/>
          <w:szCs w:val="24"/>
        </w:rPr>
      </w:pPr>
      <w:r>
        <w:rPr>
          <w:rFonts w:hint="eastAsia"/>
          <w:sz w:val="24"/>
          <w:szCs w:val="24"/>
        </w:rPr>
        <w:t xml:space="preserve">6.6 </w:t>
      </w:r>
      <w:r>
        <w:rPr>
          <w:rFonts w:hint="eastAsia"/>
          <w:sz w:val="24"/>
          <w:szCs w:val="24"/>
        </w:rPr>
        <w:t xml:space="preserve">工作站具备信噪比空白选取功能；可避开色谱峰区域选定基线噪声，精准计算信噪比，可靠开展检出限、定量限验证，降低人为选取基线带来的误差，保证方法学数据统一合规。</w:t>
      </w:r>
      <w:r/>
    </w:p>
    <w:p>
      <w:pPr>
        <w:ind w:firstLine="480"/>
        <w:spacing w:line="360" w:lineRule="auto"/>
        <w:rPr>
          <w:sz w:val="24"/>
          <w:szCs w:val="24"/>
        </w:rPr>
      </w:pPr>
      <w:r>
        <w:rPr>
          <w:sz w:val="24"/>
          <w:szCs w:val="24"/>
        </w:rPr>
        <w:t xml:space="preserve">6.7 </w:t>
      </w:r>
      <w:r>
        <w:rPr>
          <w:rFonts w:hint="eastAsia"/>
          <w:sz w:val="24"/>
          <w:szCs w:val="24"/>
        </w:rPr>
        <w:t xml:space="preserve">新建用户许可不少于</w:t>
      </w:r>
      <w:r>
        <w:rPr>
          <w:sz w:val="24"/>
          <w:szCs w:val="24"/>
        </w:rPr>
        <w:t xml:space="preserve">100</w:t>
      </w:r>
      <w:r>
        <w:rPr>
          <w:rFonts w:hint="eastAsia"/>
          <w:sz w:val="24"/>
          <w:szCs w:val="24"/>
        </w:rPr>
        <w:t xml:space="preserve">个，同时在线用户数不少于</w:t>
      </w:r>
      <w:r>
        <w:rPr>
          <w:sz w:val="24"/>
          <w:szCs w:val="24"/>
        </w:rPr>
        <w:t xml:space="preserve">50</w:t>
      </w:r>
      <w:r>
        <w:rPr>
          <w:rFonts w:hint="eastAsia"/>
          <w:sz w:val="24"/>
          <w:szCs w:val="24"/>
        </w:rPr>
        <w:t xml:space="preserve">个。</w:t>
      </w:r>
      <w:r/>
    </w:p>
    <w:p>
      <w:pPr>
        <w:ind w:firstLine="240"/>
        <w:spacing w:line="360" w:lineRule="auto"/>
        <w:rPr>
          <w:sz w:val="24"/>
          <w:szCs w:val="24"/>
        </w:rPr>
      </w:pPr>
      <w:r>
        <w:rPr>
          <w:sz w:val="24"/>
          <w:szCs w:val="24"/>
        </w:rPr>
        <w:t xml:space="preserve">▲</w:t>
      </w:r>
      <w:r>
        <w:rPr>
          <w:rFonts w:hint="eastAsia"/>
          <w:sz w:val="24"/>
          <w:szCs w:val="24"/>
        </w:rPr>
        <w:t xml:space="preserve">6.8</w:t>
      </w:r>
      <w:r>
        <w:rPr>
          <w:rFonts w:hint="eastAsia"/>
          <w:sz w:val="24"/>
          <w:szCs w:val="24"/>
        </w:rPr>
        <w:t xml:space="preserve">可在独立的显示面板上设置采样前的准备工作及采样后的冲洗工作，包含冲洗系统程序、平衡色谱柱等功能，仪器可以自动判断系统清洗的情况及色谱柱平衡情况，无需人为判断，测试样品前仪器准备工作完成后自动进入待机状态。（提供视频证明）</w:t>
      </w:r>
      <w:r/>
    </w:p>
    <w:p>
      <w:pPr>
        <w:ind w:firstLine="240"/>
        <w:spacing w:line="360" w:lineRule="auto"/>
        <w:rPr>
          <w:sz w:val="24"/>
          <w:szCs w:val="24"/>
        </w:rPr>
      </w:pPr>
      <w:r>
        <w:rPr>
          <w:sz w:val="24"/>
          <w:szCs w:val="24"/>
        </w:rPr>
        <w:t xml:space="preserve">▲</w:t>
      </w:r>
      <w:r>
        <w:rPr>
          <w:rFonts w:hint="eastAsia"/>
          <w:sz w:val="24"/>
          <w:szCs w:val="24"/>
        </w:rPr>
        <w:t xml:space="preserve">6.9 </w:t>
      </w:r>
      <w:r>
        <w:rPr>
          <w:rFonts w:hint="eastAsia"/>
          <w:sz w:val="24"/>
          <w:szCs w:val="24"/>
        </w:rPr>
        <w:t xml:space="preserve">具有流动相缓冲液自动配制功能，基于液相四元泵的硬件基础，利用高浓度缓冲液母液，可以通过软件功能快速、简便地创建想要的低浓度缓冲液或者</w:t>
      </w:r>
      <w:r>
        <w:rPr>
          <w:rFonts w:hint="eastAsia"/>
          <w:sz w:val="24"/>
          <w:szCs w:val="24"/>
        </w:rPr>
        <w:t xml:space="preserve">pH </w:t>
      </w:r>
      <w:r>
        <w:rPr>
          <w:rFonts w:hint="eastAsia"/>
          <w:sz w:val="24"/>
          <w:szCs w:val="24"/>
        </w:rPr>
        <w:t xml:space="preserve">梯度。（提供软件截图）</w:t>
      </w:r>
      <w:r/>
    </w:p>
    <w:p>
      <w:pPr>
        <w:pStyle w:val="965"/>
        <w:rPr>
          <w:rFonts w:hint="eastAsia"/>
        </w:rPr>
      </w:pPr>
      <w:r>
        <w:rPr>
          <w:color w:val="121212"/>
        </w:rPr>
        <w:t xml:space="preserve">6</w:t>
      </w:r>
      <w:r>
        <w:rPr>
          <w:rFonts w:hint="eastAsia"/>
          <w:color w:val="121212"/>
        </w:rPr>
        <w:t xml:space="preserve">.10 电脑</w:t>
      </w:r>
      <w:r>
        <w:rPr>
          <w:rFonts w:cs="Segoe UI Symbol"/>
          <w:b/>
          <w:bCs/>
        </w:rPr>
        <w:t xml:space="preserve">★</w:t>
      </w:r>
      <w:r>
        <w:rPr>
          <w:rFonts w:hint="eastAsia" w:cs="Segoe UI Symbol"/>
          <w:b/>
          <w:bCs/>
        </w:rPr>
        <w:t xml:space="preserve">提供节能认证证书</w:t>
      </w:r>
      <w:r>
        <w:rPr>
          <w:rFonts w:hint="eastAsia"/>
          <w:color w:val="121212"/>
        </w:rPr>
        <w:t xml:space="preserve">：</w:t>
      </w:r>
      <w:r>
        <w:rPr>
          <w:rFonts w:hint="eastAsia"/>
        </w:rPr>
        <w:t xml:space="preserve">配置</w:t>
      </w:r>
      <w:r>
        <w:rPr>
          <w:rFonts w:hint="eastAsia"/>
          <w:color w:val="000000" w:themeColor="text1"/>
        </w:rPr>
        <w:t xml:space="preserve">不低于处理器4核CPU, 16G 内存，1T SSD 硬盘，独立显卡，专业版正版软件，27寸及以上显示器。</w:t>
      </w:r>
      <w:r>
        <w:rPr>
          <w:rFonts w:ascii="Segoe UI" w:hAnsi="Segoe UI" w:eastAsia="Segoe UI" w:cs="Segoe UI"/>
          <w:color w:val="0f1115"/>
          <w:shd w:val="clear" w:color="auto" w:fill="ffffff"/>
        </w:rPr>
        <w:t xml:space="preserve">额外配置独立PCIe千兆有线网卡</w:t>
      </w:r>
      <w:r>
        <w:rPr>
          <w:rFonts w:hint="eastAsia" w:ascii="Segoe UI" w:hAnsi="Segoe UI" w:cs="Segoe UI"/>
          <w:color w:val="0f1115"/>
          <w:shd w:val="clear" w:color="auto" w:fill="ffffff"/>
        </w:rPr>
        <w:t xml:space="preserve">1</w:t>
      </w:r>
      <w:r>
        <w:rPr>
          <w:rFonts w:hint="eastAsia" w:ascii="Segoe UI" w:hAnsi="Segoe UI" w:cs="Segoe UI"/>
          <w:color w:val="0f1115"/>
          <w:shd w:val="clear" w:color="auto" w:fill="ffffff"/>
        </w:rPr>
        <w:t xml:space="preserve">张</w:t>
      </w:r>
      <w:r>
        <w:rPr>
          <w:rFonts w:hint="eastAsia"/>
          <w:color w:val="000000" w:themeColor="text1"/>
        </w:rPr>
        <w:t xml:space="preserve">。</w:t>
      </w:r>
      <w:r/>
    </w:p>
    <w:p>
      <w:pPr>
        <w:ind w:firstLine="480"/>
        <w:jc w:val="left"/>
        <w:spacing w:line="360" w:lineRule="auto"/>
        <w:widowControl/>
        <w:tabs>
          <w:tab w:val="left" w:pos="851" w:leader="none"/>
        </w:tabs>
        <w:rPr>
          <w:rFonts w:hint="eastAsia" w:ascii="宋体" w:hAnsi="宋体" w:cs="宋体"/>
          <w:sz w:val="24"/>
          <w:szCs w:val="24"/>
        </w:rPr>
      </w:pPr>
      <w:r>
        <w:rPr>
          <w:rFonts w:ascii="宋体" w:hAnsi="宋体" w:cs="宋体"/>
          <w:sz w:val="24"/>
          <w:szCs w:val="24"/>
        </w:rPr>
        <w:t xml:space="preserve">7 </w:t>
      </w:r>
      <w:r>
        <w:rPr>
          <w:rFonts w:hint="eastAsia" w:ascii="宋体" w:hAnsi="宋体" w:cs="宋体"/>
          <w:sz w:val="24"/>
          <w:szCs w:val="24"/>
        </w:rPr>
        <w:t xml:space="preserve">氮气发生器</w:t>
      </w:r>
      <w:r/>
    </w:p>
    <w:p>
      <w:pPr>
        <w:ind w:firstLine="480"/>
        <w:jc w:val="left"/>
        <w:spacing w:line="360" w:lineRule="auto"/>
        <w:widowControl/>
        <w:tabs>
          <w:tab w:val="left" w:pos="851" w:leader="none"/>
        </w:tabs>
        <w:rPr>
          <w:rFonts w:hint="eastAsia" w:ascii="宋体" w:hAnsi="宋体" w:cs="宋体"/>
          <w:sz w:val="24"/>
          <w:szCs w:val="24"/>
        </w:rPr>
      </w:pPr>
      <w:r>
        <w:rPr>
          <w:rFonts w:ascii="宋体" w:hAnsi="宋体" w:cs="宋体"/>
          <w:sz w:val="24"/>
          <w:szCs w:val="24"/>
        </w:rPr>
        <w:t xml:space="preserve">7.1 </w:t>
      </w:r>
      <w:r>
        <w:rPr>
          <w:rFonts w:hint="eastAsia" w:ascii="宋体" w:hAnsi="宋体" w:cs="宋体"/>
          <w:sz w:val="24"/>
          <w:szCs w:val="24"/>
        </w:rPr>
        <w:t xml:space="preserve">膜分离技术的氮气发生器，方便后续维护，内置二级除水系统，氮气露点可低至 &lt;－30℃。</w:t>
      </w:r>
      <w:r/>
    </w:p>
    <w:p>
      <w:pPr>
        <w:ind w:firstLine="480"/>
        <w:jc w:val="left"/>
        <w:spacing w:line="360" w:lineRule="auto"/>
        <w:widowControl/>
        <w:tabs>
          <w:tab w:val="left" w:pos="851" w:leader="none"/>
        </w:tabs>
        <w:rPr>
          <w:rFonts w:hint="eastAsia" w:ascii="宋体" w:hAnsi="宋体" w:cs="宋体"/>
          <w:sz w:val="24"/>
          <w:szCs w:val="24"/>
        </w:rPr>
      </w:pPr>
      <w:r>
        <w:rPr>
          <w:rFonts w:ascii="宋体" w:hAnsi="宋体" w:cs="宋体"/>
          <w:sz w:val="24"/>
          <w:szCs w:val="24"/>
        </w:rPr>
        <w:t xml:space="preserve">7.2 </w:t>
      </w:r>
      <w:r>
        <w:rPr>
          <w:rFonts w:hint="eastAsia" w:ascii="宋体" w:hAnsi="宋体" w:cs="宋体"/>
          <w:sz w:val="24"/>
          <w:szCs w:val="24"/>
        </w:rPr>
        <w:t xml:space="preserve">氮气产量：不小于</w:t>
      </w:r>
      <w:r>
        <w:rPr>
          <w:rFonts w:ascii="宋体" w:hAnsi="宋体" w:cs="宋体"/>
          <w:sz w:val="24"/>
          <w:szCs w:val="24"/>
        </w:rPr>
        <w:t xml:space="preserve">4NL/min</w:t>
      </w:r>
      <w:r/>
    </w:p>
    <w:p>
      <w:pPr>
        <w:ind w:firstLine="480"/>
        <w:jc w:val="left"/>
        <w:spacing w:line="360" w:lineRule="auto"/>
        <w:widowControl/>
        <w:tabs>
          <w:tab w:val="left" w:pos="851" w:leader="none"/>
        </w:tabs>
        <w:rPr>
          <w:rFonts w:hint="eastAsia" w:ascii="宋体" w:hAnsi="宋体" w:cs="宋体"/>
          <w:sz w:val="24"/>
          <w:szCs w:val="24"/>
        </w:rPr>
      </w:pPr>
      <w:r>
        <w:rPr>
          <w:rFonts w:ascii="宋体" w:hAnsi="宋体" w:cs="宋体"/>
          <w:sz w:val="24"/>
          <w:szCs w:val="24"/>
        </w:rPr>
        <w:t xml:space="preserve">7.3 </w:t>
      </w:r>
      <w:r>
        <w:rPr>
          <w:rFonts w:hint="eastAsia" w:ascii="宋体" w:hAnsi="宋体" w:cs="宋体"/>
          <w:sz w:val="24"/>
          <w:szCs w:val="24"/>
        </w:rPr>
        <w:t xml:space="preserve">氮气压力：不小于</w:t>
      </w:r>
      <w:r>
        <w:rPr>
          <w:rFonts w:ascii="宋体" w:hAnsi="宋体" w:cs="宋体"/>
          <w:sz w:val="24"/>
          <w:szCs w:val="24"/>
        </w:rPr>
        <w:t xml:space="preserve">70psi</w:t>
      </w:r>
      <w:r/>
    </w:p>
    <w:p>
      <w:pPr>
        <w:pStyle w:val="968"/>
        <w:ind w:left="210" w:firstLine="0"/>
        <w:spacing w:line="360" w:lineRule="auto"/>
        <w:rPr>
          <w:sz w:val="24"/>
        </w:rPr>
      </w:pPr>
      <w:r>
        <w:rPr>
          <w:sz w:val="24"/>
        </w:rPr>
      </w:r>
      <w:r/>
    </w:p>
    <w:p>
      <w:pPr>
        <w:pStyle w:val="968"/>
        <w:ind w:left="210" w:firstLine="0"/>
        <w:spacing w:line="360" w:lineRule="auto"/>
        <w:rPr>
          <w:sz w:val="24"/>
        </w:rPr>
      </w:pPr>
      <w:r>
        <w:rPr>
          <w:rFonts w:hint="eastAsia"/>
          <w:sz w:val="24"/>
        </w:rPr>
        <w:t xml:space="preserve">（二）配置清单</w:t>
      </w:r>
      <w:r/>
    </w:p>
    <w:tbl>
      <w:tblPr>
        <w:tblStyle w:val="969"/>
        <w:tblW w:w="0" w:type="auto"/>
        <w:tblLook w:val="04A0" w:firstRow="1" w:lastRow="0" w:firstColumn="1" w:lastColumn="0" w:noHBand="0" w:noVBand="1"/>
      </w:tblPr>
      <w:tblGrid>
        <w:gridCol w:w="1129"/>
        <w:gridCol w:w="4401"/>
        <w:gridCol w:w="2766"/>
      </w:tblGrid>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序号</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名称</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p>
        </w:tc>
        <w:tc>
          <w:tcPr>
            <w:tcW w:w="4401" w:type="dxa"/>
            <w:textDirection w:val="lrTb"/>
            <w:noWrap w:val="false"/>
          </w:tcPr>
          <w:p>
            <w:pPr>
              <w:contextualSpacing/>
              <w:spacing w:line="360" w:lineRule="auto"/>
              <w:rPr>
                <w:rFonts w:hint="eastAsia" w:ascii="宋体" w:hAnsi="宋体"/>
                <w:b/>
                <w:bCs/>
                <w:sz w:val="24"/>
                <w:szCs w:val="24"/>
              </w:rPr>
            </w:pPr>
            <w:r>
              <w:rPr>
                <w:rFonts w:hint="eastAsia"/>
                <w:sz w:val="24"/>
                <w:szCs w:val="24"/>
              </w:rPr>
              <w:t xml:space="preserve">四元输液泵（含真空脱气机、主动阀）</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自动进样器（带温控模块）</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柱温箱</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4</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二极管阵列检测器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5</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蒸发光检测器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6</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数据处理软件</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7</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配套电脑和打印机</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各1套</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8</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氮气发生器</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1台</w:t>
            </w:r>
            <w:r/>
          </w:p>
        </w:tc>
      </w:tr>
      <w:tr>
        <w:trPr/>
        <w:tc>
          <w:tcPr>
            <w:tcW w:w="1129" w:type="dxa"/>
            <w:textDirection w:val="lrTb"/>
            <w:noWrap w:val="false"/>
          </w:tcPr>
          <w:p>
            <w:pPr>
              <w:contextualSpacing/>
              <w:spacing w:line="360" w:lineRule="auto"/>
              <w:rPr>
                <w:rFonts w:hint="eastAsia" w:ascii="宋体" w:hAnsi="宋体"/>
                <w:sz w:val="24"/>
                <w:szCs w:val="24"/>
              </w:rPr>
            </w:pPr>
            <w:r>
              <w:rPr>
                <w:rFonts w:ascii="宋体" w:hAnsi="宋体"/>
                <w:sz w:val="24"/>
                <w:szCs w:val="24"/>
              </w:rPr>
              <w:t xml:space="preserve">9</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稳压电源</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1台</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4401"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流动相瓶（0</w:t>
            </w:r>
            <w:r>
              <w:rPr>
                <w:rFonts w:ascii="宋体" w:hAnsi="宋体"/>
                <w:sz w:val="24"/>
                <w:szCs w:val="24"/>
              </w:rPr>
              <w:t xml:space="preserve">.5L</w:t>
            </w:r>
            <w:r>
              <w:rPr>
                <w:rFonts w:hint="eastAsia" w:ascii="宋体" w:hAnsi="宋体"/>
                <w:sz w:val="24"/>
                <w:szCs w:val="24"/>
              </w:rPr>
              <w:t xml:space="preserve">、1</w:t>
            </w:r>
            <w:r>
              <w:rPr>
                <w:rFonts w:ascii="宋体" w:hAnsi="宋体"/>
                <w:sz w:val="24"/>
                <w:szCs w:val="24"/>
              </w:rPr>
              <w:t xml:space="preserve">L</w:t>
            </w:r>
            <w:r>
              <w:rPr>
                <w:rFonts w:hint="eastAsia" w:ascii="宋体" w:hAnsi="宋体"/>
                <w:sz w:val="24"/>
                <w:szCs w:val="24"/>
              </w:rPr>
              <w:t xml:space="preserve">、2</w:t>
            </w:r>
            <w:r>
              <w:rPr>
                <w:rFonts w:ascii="宋体" w:hAnsi="宋体"/>
                <w:sz w:val="24"/>
                <w:szCs w:val="24"/>
              </w:rPr>
              <w:t xml:space="preserve">L</w:t>
            </w:r>
            <w:r>
              <w:rPr>
                <w:rFonts w:hint="eastAsia" w:ascii="宋体" w:hAnsi="宋体"/>
                <w:sz w:val="24"/>
                <w:szCs w:val="24"/>
              </w:rPr>
              <w:t xml:space="preserve">）</w:t>
            </w:r>
            <w:r/>
          </w:p>
        </w:tc>
        <w:tc>
          <w:tcPr>
            <w:tcW w:w="2766"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各4个</w:t>
            </w:r>
            <w:r/>
          </w:p>
        </w:tc>
      </w:tr>
    </w:tbl>
    <w:p>
      <w:pPr>
        <w:pStyle w:val="968"/>
        <w:ind w:left="210" w:firstLine="0"/>
        <w:rPr>
          <w:sz w:val="24"/>
        </w:rPr>
      </w:pPr>
      <w:r>
        <w:rPr>
          <w:sz w:val="24"/>
        </w:rPr>
      </w:r>
      <w:r/>
    </w:p>
    <w:p>
      <w:pPr>
        <w:pStyle w:val="968"/>
        <w:ind w:left="210" w:firstLine="0"/>
        <w:rPr>
          <w:sz w:val="24"/>
        </w:rPr>
      </w:pPr>
      <w:r>
        <w:rPr>
          <w:rFonts w:hint="eastAsia"/>
          <w:sz w:val="24"/>
        </w:rPr>
        <w:t xml:space="preserve">分包三</w:t>
      </w:r>
      <w:r/>
    </w:p>
    <w:p>
      <w:pPr>
        <w:pStyle w:val="968"/>
        <w:ind w:left="210" w:firstLine="0"/>
        <w:spacing w:line="360" w:lineRule="auto"/>
        <w:rPr>
          <w:sz w:val="24"/>
        </w:rPr>
      </w:pPr>
      <w:r>
        <w:rPr>
          <w:rFonts w:hint="eastAsia"/>
          <w:sz w:val="24"/>
        </w:rPr>
        <w:t xml:space="preserve">定氮仪</w:t>
      </w:r>
      <w:r/>
    </w:p>
    <w:p>
      <w:pPr>
        <w:pStyle w:val="968"/>
        <w:numPr>
          <w:ilvl w:val="0"/>
          <w:numId w:val="7"/>
        </w:numPr>
        <w:spacing w:line="360" w:lineRule="auto"/>
        <w:rPr>
          <w:sz w:val="24"/>
        </w:rPr>
      </w:pPr>
      <w:r>
        <w:rPr>
          <w:rFonts w:hint="eastAsia"/>
          <w:sz w:val="24"/>
        </w:rPr>
        <w:t xml:space="preserve">技术参数</w:t>
      </w:r>
      <w:r/>
    </w:p>
    <w:p>
      <w:pPr>
        <w:jc w:val="left"/>
        <w:spacing w:line="360" w:lineRule="auto"/>
        <w:rPr>
          <w:rFonts w:hint="eastAsia" w:ascii="宋体" w:hAnsi="宋体" w:cs="宋体"/>
          <w:sz w:val="24"/>
          <w:szCs w:val="24"/>
        </w:rPr>
      </w:pPr>
      <w:r>
        <w:rPr>
          <w:rFonts w:hint="eastAsia" w:ascii="宋体" w:hAnsi="宋体" w:cs="宋体"/>
          <w:sz w:val="24"/>
          <w:szCs w:val="24"/>
        </w:rPr>
        <w:t xml:space="preserve">★1 需包括</w:t>
      </w:r>
      <w:bookmarkStart w:id="204" w:name="_Hlk241482059"/>
      <w:r>
        <w:rPr>
          <w:rFonts w:hint="eastAsia" w:ascii="宋体" w:hAnsi="宋体" w:cs="宋体"/>
          <w:sz w:val="24"/>
          <w:szCs w:val="24"/>
        </w:rPr>
        <w:t xml:space="preserve">蒸馏滴定一体机、自动进样器、自动消解仪、废气吸收装置、冷却循环器</w:t>
      </w:r>
      <w:bookmarkEnd w:id="204"/>
      <w:r>
        <w:rPr>
          <w:rFonts w:hint="eastAsia" w:ascii="宋体" w:hAnsi="宋体" w:cs="宋体"/>
          <w:sz w:val="24"/>
          <w:szCs w:val="24"/>
        </w:rPr>
        <w:t xml:space="preserve">等，实现</w:t>
      </w:r>
      <w:r>
        <w:rPr>
          <w:rFonts w:hint="eastAsia" w:ascii="宋体" w:hAnsi="宋体" w:cs="宋体"/>
          <w:sz w:val="24"/>
          <w:szCs w:val="24"/>
        </w:rPr>
        <w:t xml:space="preserve">浓硫酸环境消解样品、自动滴定、碱性环境蒸汽蒸馏、硼酸吸</w:t>
      </w:r>
      <w:r>
        <w:rPr>
          <w:rFonts w:hint="eastAsia" w:ascii="宋体" w:hAnsi="宋体" w:cs="宋体"/>
          <w:sz w:val="24"/>
          <w:szCs w:val="24"/>
        </w:rPr>
        <w:t xml:space="preserve">收、指示剂滴定终点颜色判定，</w:t>
      </w:r>
      <w:r>
        <w:rPr>
          <w:rFonts w:hint="eastAsia" w:ascii="宋体" w:hAnsi="宋体" w:cs="宋体"/>
          <w:sz w:val="24"/>
          <w:szCs w:val="24"/>
        </w:rPr>
        <w:t xml:space="preserve">可实现</w:t>
      </w:r>
      <w:r>
        <w:rPr>
          <w:rFonts w:hint="eastAsia" w:ascii="宋体" w:hAnsi="宋体" w:cs="宋体"/>
          <w:sz w:val="24"/>
          <w:szCs w:val="24"/>
        </w:rPr>
        <w:t xml:space="preserve">全自动加碱加酸加稀释剂、全自动蒸馏滴定、</w:t>
      </w:r>
      <w:r>
        <w:rPr>
          <w:rFonts w:hint="eastAsia" w:ascii="宋体" w:hAnsi="宋体" w:cs="宋体"/>
          <w:sz w:val="24"/>
          <w:szCs w:val="24"/>
        </w:rPr>
        <w:t xml:space="preserve">全自动排废、全自动清洗、全自动校正、全自动消化管排空、全自动进样、全自动故障检测、全自动溶液液位监测、全自动超温监测、全自动计算结果、输出（需提供视频资料证明，视频需体现所投品牌型号，且能反映蒸馏滴定一体机、自动进样器、自动消解仪、废气吸收装置、冷却循环器等功能模块）；</w:t>
      </w:r>
      <w:r/>
    </w:p>
    <w:p>
      <w:pPr>
        <w:jc w:val="left"/>
        <w:spacing w:line="360" w:lineRule="auto"/>
        <w:rPr>
          <w:rFonts w:hint="eastAsia" w:ascii="宋体" w:hAnsi="宋体" w:cs="宋体"/>
          <w:sz w:val="24"/>
          <w:szCs w:val="24"/>
        </w:rPr>
      </w:pPr>
      <w:r>
        <w:rPr>
          <w:rFonts w:hint="eastAsia" w:ascii="宋体" w:hAnsi="宋体" w:cs="宋体"/>
          <w:sz w:val="24"/>
          <w:szCs w:val="24"/>
        </w:rPr>
        <w:t xml:space="preserve">2 检测范围：0.1-210mgN；</w:t>
      </w:r>
      <w:r/>
    </w:p>
    <w:p>
      <w:pPr>
        <w:jc w:val="left"/>
        <w:spacing w:line="360" w:lineRule="auto"/>
        <w:rPr>
          <w:rFonts w:hint="eastAsia" w:ascii="宋体" w:hAnsi="宋体" w:cs="宋体"/>
          <w:sz w:val="24"/>
          <w:szCs w:val="24"/>
        </w:rPr>
      </w:pPr>
      <w:r>
        <w:rPr>
          <w:rFonts w:hint="eastAsia" w:ascii="宋体" w:hAnsi="宋体" w:cs="宋体"/>
          <w:b/>
          <w:bCs/>
          <w:color w:val="000000" w:themeColor="text1"/>
          <w:sz w:val="24"/>
          <w:szCs w:val="24"/>
        </w:rPr>
        <w:t xml:space="preserve">▲</w:t>
      </w:r>
      <w:r>
        <w:rPr>
          <w:rFonts w:hint="eastAsia" w:ascii="宋体" w:hAnsi="宋体" w:cs="宋体"/>
          <w:color w:val="000000" w:themeColor="text1"/>
          <w:sz w:val="24"/>
          <w:szCs w:val="24"/>
        </w:rPr>
        <w:t xml:space="preserve">3 回</w:t>
      </w:r>
      <w:r>
        <w:rPr>
          <w:rFonts w:hint="eastAsia" w:ascii="宋体" w:hAnsi="宋体" w:cs="宋体"/>
          <w:sz w:val="24"/>
          <w:szCs w:val="24"/>
        </w:rPr>
        <w:t xml:space="preserve">收率≥99.5%（0.7-210mgN）（提供法定检测机构出具的检测报告，投标人盖章）；</w:t>
      </w:r>
      <w:r/>
    </w:p>
    <w:p>
      <w:pPr>
        <w:jc w:val="left"/>
        <w:spacing w:line="360" w:lineRule="auto"/>
        <w:rPr>
          <w:rFonts w:hint="eastAsia" w:ascii="宋体" w:hAnsi="宋体" w:cs="宋体"/>
          <w:sz w:val="24"/>
          <w:szCs w:val="24"/>
        </w:rPr>
      </w:pPr>
      <w:r>
        <w:rPr>
          <w:rFonts w:hint="eastAsia" w:ascii="宋体" w:hAnsi="宋体" w:cs="宋体"/>
          <w:sz w:val="24"/>
          <w:szCs w:val="24"/>
        </w:rPr>
        <w:t xml:space="preserve">4 重复性误差：RSD≤0.5%（1-210mgN），测定样品重量：固体≤5g，液体≤20mL；</w:t>
      </w:r>
      <w:r/>
    </w:p>
    <w:p>
      <w:pPr>
        <w:jc w:val="left"/>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5 滴定精度：具备0.2μL/步至1.0μL/步不少于三个滴定精度可选（提供法定检测机构出具的检测报告，投标人盖章）；</w:t>
      </w:r>
      <w:r/>
    </w:p>
    <w:p>
      <w:pPr>
        <w:jc w:val="left"/>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6 一机多用，仪器内置阳离子交换量测试方案，可一键调用（需提供仪器操作界面截图或彩页，投标人盖章）；</w:t>
      </w:r>
      <w:r/>
    </w:p>
    <w:p>
      <w:pPr>
        <w:jc w:val="left"/>
        <w:spacing w:line="360" w:lineRule="auto"/>
        <w:rPr>
          <w:rFonts w:hint="eastAsia" w:ascii="宋体" w:hAnsi="宋体" w:cs="宋体"/>
          <w:sz w:val="24"/>
          <w:szCs w:val="24"/>
        </w:rPr>
      </w:pPr>
      <w:r>
        <w:rPr>
          <w:rFonts w:hint="eastAsia" w:ascii="宋体" w:hAnsi="宋体" w:cs="宋体"/>
          <w:sz w:val="24"/>
          <w:szCs w:val="24"/>
        </w:rPr>
        <w:t xml:space="preserve">7  </w:t>
      </w:r>
      <w:r>
        <w:rPr>
          <w:rFonts w:hint="eastAsia" w:ascii="宋体" w:hAnsi="宋体" w:cs="宋体"/>
          <w:sz w:val="24"/>
          <w:szCs w:val="24"/>
        </w:rPr>
        <w:t xml:space="preserve">需</w:t>
      </w:r>
      <w:r>
        <w:rPr>
          <w:rFonts w:hint="eastAsia" w:ascii="宋体" w:hAnsi="宋体" w:cs="宋体"/>
          <w:sz w:val="24"/>
          <w:szCs w:val="24"/>
        </w:rPr>
        <w:t xml:space="preserve">具备边蒸馏边滴定和变速度变体积滴定技术</w:t>
      </w:r>
      <w:r>
        <w:rPr>
          <w:rFonts w:hint="eastAsia" w:ascii="宋体" w:hAnsi="宋体" w:cs="宋体"/>
          <w:sz w:val="24"/>
          <w:szCs w:val="24"/>
        </w:rPr>
        <w:t xml:space="preserve">，滴定采用正压式进液，避免滴定过程气泡产生；</w:t>
      </w:r>
      <w:r/>
    </w:p>
    <w:p>
      <w:pPr>
        <w:jc w:val="left"/>
        <w:spacing w:line="360" w:lineRule="auto"/>
        <w:rPr>
          <w:rFonts w:hint="eastAsia" w:ascii="宋体" w:hAnsi="宋体" w:cs="宋体"/>
          <w:sz w:val="24"/>
          <w:szCs w:val="24"/>
        </w:rPr>
      </w:pPr>
      <w:r>
        <w:rPr>
          <w:rFonts w:hint="eastAsia" w:ascii="宋体" w:hAnsi="宋体" w:cs="宋体"/>
          <w:sz w:val="24"/>
          <w:szCs w:val="24"/>
        </w:rPr>
        <w:t xml:space="preserve">▲8 滴定试剂溶液桶具有液位感应功能，测试</w:t>
      </w:r>
      <w:r>
        <w:rPr>
          <w:rFonts w:hint="eastAsia" w:ascii="宋体" w:hAnsi="宋体" w:cs="宋体"/>
          <w:sz w:val="24"/>
          <w:szCs w:val="24"/>
        </w:rPr>
        <w:t xml:space="preserve">结果高低限报警功能，及时提示实验人员结果异常，避免批次结果受损（需提供操作界面截图或彩页，投标人盖章）；</w:t>
      </w:r>
      <w:r/>
    </w:p>
    <w:p>
      <w:pPr>
        <w:jc w:val="left"/>
        <w:spacing w:line="360" w:lineRule="auto"/>
        <w:rPr>
          <w:rFonts w:hint="eastAsia" w:ascii="宋体" w:hAnsi="宋体" w:cs="宋体"/>
          <w:sz w:val="24"/>
          <w:szCs w:val="24"/>
        </w:rPr>
      </w:pPr>
      <w:r>
        <w:rPr>
          <w:rFonts w:hint="eastAsia" w:ascii="宋体" w:hAnsi="宋体" w:cs="宋体"/>
          <w:sz w:val="24"/>
          <w:szCs w:val="24"/>
        </w:rPr>
        <w:t xml:space="preserve">▲9 具有</w:t>
      </w:r>
      <w:r>
        <w:rPr>
          <w:rFonts w:hint="eastAsia" w:ascii="宋体" w:hAnsi="宋体" w:cs="宋体"/>
          <w:sz w:val="24"/>
          <w:szCs w:val="24"/>
        </w:rPr>
        <w:t xml:space="preserve">三级用户名密码形式登录，并可对密码进行老化设置，内置用户权限分级规则，仪器操作可溯源，使仪器的实验数据更加的真实，安全。可以连接LIMS数据管理平台，数据统一管理（需提供操作界面截图或彩页，投标人盖章）；</w:t>
      </w:r>
      <w:r/>
    </w:p>
    <w:p>
      <w:pPr>
        <w:jc w:val="left"/>
        <w:spacing w:line="360" w:lineRule="auto"/>
        <w:rPr>
          <w:rFonts w:hint="eastAsia" w:ascii="宋体" w:hAnsi="宋体" w:cs="宋体"/>
          <w:sz w:val="24"/>
          <w:szCs w:val="24"/>
        </w:rPr>
      </w:pPr>
      <w:r>
        <w:rPr>
          <w:rFonts w:hint="eastAsia" w:ascii="宋体" w:hAnsi="宋体" w:cs="宋体"/>
          <w:sz w:val="24"/>
          <w:szCs w:val="24"/>
        </w:rPr>
        <w:t xml:space="preserve">10 机身具备</w:t>
      </w:r>
      <w:r>
        <w:rPr>
          <w:rFonts w:hint="eastAsia" w:ascii="宋体" w:hAnsi="宋体" w:cs="宋体"/>
          <w:sz w:val="24"/>
          <w:szCs w:val="24"/>
        </w:rPr>
        <w:t xml:space="preserve">不小于8GB的内存空间，满足各类规范中关于文件、记录保存时限的要求，机器具有PDF和XML两种输出方式，</w:t>
      </w:r>
      <w:r>
        <w:rPr>
          <w:rFonts w:hint="eastAsia" w:ascii="宋体" w:hAnsi="宋体" w:cs="宋体"/>
          <w:sz w:val="24"/>
          <w:szCs w:val="24"/>
        </w:rPr>
        <w:t xml:space="preserve">符合FDA 21 CFR Part 11的要求</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蒸汽流量0-100%可调，</w:t>
      </w:r>
      <w:r>
        <w:rPr>
          <w:rFonts w:hint="eastAsia" w:ascii="宋体" w:hAnsi="宋体" w:cs="宋体"/>
          <w:sz w:val="24"/>
          <w:szCs w:val="24"/>
        </w:rPr>
        <w:t xml:space="preserve">蒸馏模式：加碱前蒸馏和加碱后蒸馏二种模式可选，蒸馏时间：0-6000S连续可调，</w:t>
      </w:r>
      <w:r>
        <w:rPr>
          <w:rFonts w:hint="eastAsia" w:ascii="宋体" w:hAnsi="宋体" w:cs="宋体"/>
          <w:sz w:val="24"/>
          <w:szCs w:val="24"/>
        </w:rPr>
        <w:t xml:space="preserve">仪器实时监测馏出液温度，并可根据温度自动调节冷凝水流量；</w:t>
      </w:r>
      <w:r/>
    </w:p>
    <w:p>
      <w:pPr>
        <w:spacing w:line="360" w:lineRule="auto"/>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sz w:val="24"/>
          <w:szCs w:val="24"/>
        </w:rPr>
        <w:t xml:space="preserve">冷凝器</w:t>
      </w:r>
      <w:r>
        <w:rPr>
          <w:rFonts w:hint="eastAsia" w:ascii="宋体" w:hAnsi="宋体" w:cs="宋体"/>
          <w:sz w:val="24"/>
          <w:szCs w:val="24"/>
        </w:rPr>
        <w:t xml:space="preserve">采用金属冷凝材质。</w:t>
      </w:r>
      <w:r>
        <w:rPr>
          <w:rFonts w:hint="eastAsia" w:ascii="宋体" w:hAnsi="宋体" w:cs="宋体"/>
          <w:sz w:val="24"/>
          <w:szCs w:val="24"/>
        </w:rPr>
        <w:t xml:space="preserve">防溅瓶采用耐高温及碱液腐蚀的高分子材质，非玻璃材质。蒸馏发生器采用金属材质，具有压力传感器、温度传感器、温度保护开关、分离式液位监测等多重保护，（需提供视频资料证明，视频需体现品牌型号并与所投品牌型号一致）；</w:t>
      </w:r>
      <w:r/>
    </w:p>
    <w:p>
      <w:pPr>
        <w:jc w:val="left"/>
        <w:spacing w:line="360" w:lineRule="auto"/>
        <w:rPr>
          <w:rFonts w:hint="eastAsia" w:ascii="宋体" w:hAnsi="宋体" w:cs="宋体"/>
          <w:sz w:val="24"/>
          <w:szCs w:val="24"/>
        </w:rPr>
      </w:pPr>
      <w:r>
        <w:rPr>
          <w:rFonts w:hint="eastAsia" w:ascii="宋体" w:hAnsi="宋体" w:cs="宋体"/>
          <w:sz w:val="24"/>
          <w:szCs w:val="24"/>
        </w:rPr>
        <w:t xml:space="preserve">▲13 具有</w:t>
      </w:r>
      <w:r>
        <w:rPr>
          <w:rFonts w:hint="eastAsia" w:ascii="宋体" w:hAnsi="宋体" w:cs="宋体"/>
          <w:sz w:val="24"/>
          <w:szCs w:val="24"/>
        </w:rPr>
        <w:t xml:space="preserve">滴定颜色微调功能，具有红变蓝、黄变蓝和绿变蓝共</w:t>
      </w:r>
      <w:r>
        <w:rPr>
          <w:rFonts w:hint="eastAsia" w:ascii="宋体" w:hAnsi="宋体" w:cs="宋体"/>
          <w:sz w:val="24"/>
          <w:szCs w:val="24"/>
        </w:rPr>
        <w:t xml:space="preserve">三种颜色判定，可支持凯氏定氮各指示剂种类及配比，满足各类标准需要（</w:t>
      </w:r>
      <w:r>
        <w:rPr>
          <w:rFonts w:hint="eastAsia" w:ascii="宋体" w:hAnsi="宋体" w:cs="宋体"/>
          <w:strike/>
          <w:sz w:val="24"/>
          <w:szCs w:val="24"/>
        </w:rPr>
        <w:t xml:space="preserve">需</w:t>
      </w:r>
      <w:r>
        <w:rPr>
          <w:rFonts w:hint="eastAsia" w:ascii="宋体" w:hAnsi="宋体" w:cs="宋体"/>
          <w:sz w:val="24"/>
          <w:szCs w:val="24"/>
        </w:rPr>
        <w:t xml:space="preserve">提供操作界面截图或彩页，投标人盖章）；</w:t>
      </w:r>
      <w:r/>
    </w:p>
    <w:p>
      <w:pPr>
        <w:jc w:val="left"/>
        <w:spacing w:line="360" w:lineRule="auto"/>
        <w:rPr>
          <w:rFonts w:hint="eastAsia" w:ascii="宋体" w:hAnsi="宋体" w:cs="宋体"/>
          <w:sz w:val="24"/>
          <w:szCs w:val="24"/>
        </w:rPr>
      </w:pPr>
      <w:r>
        <w:rPr>
          <w:rFonts w:hint="eastAsia" w:ascii="宋体" w:hAnsi="宋体" w:cs="宋体"/>
          <w:b/>
          <w:bCs/>
          <w:sz w:val="24"/>
          <w:szCs w:val="24"/>
        </w:rPr>
        <w:t xml:space="preserve">1</w:t>
      </w:r>
      <w:r>
        <w:rPr>
          <w:rFonts w:ascii="宋体" w:hAnsi="宋体" w:cs="宋体"/>
          <w:b/>
          <w:bCs/>
          <w:sz w:val="24"/>
          <w:szCs w:val="24"/>
        </w:rPr>
        <w:t xml:space="preserve">4 </w:t>
      </w:r>
      <w:r>
        <w:rPr>
          <w:rFonts w:hint="eastAsia" w:ascii="宋体" w:hAnsi="宋体" w:cs="宋体"/>
          <w:b/>
          <w:bCs/>
          <w:sz w:val="24"/>
          <w:szCs w:val="24"/>
        </w:rPr>
        <w:t xml:space="preserve">自动进样器参数要求：</w:t>
      </w:r>
      <w:r/>
    </w:p>
    <w:p>
      <w:pPr>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4.1</w:t>
      </w:r>
      <w:r>
        <w:rPr>
          <w:rFonts w:hint="eastAsia" w:ascii="宋体" w:hAnsi="宋体" w:cs="宋体"/>
          <w:sz w:val="24"/>
          <w:szCs w:val="24"/>
        </w:rPr>
        <w:t xml:space="preserve"> 自动进样器位数≥24位，</w:t>
      </w:r>
      <w:r>
        <w:rPr>
          <w:rFonts w:hint="eastAsia" w:ascii="宋体" w:hAnsi="宋体" w:cs="宋体"/>
          <w:sz w:val="24"/>
          <w:szCs w:val="24"/>
        </w:rPr>
        <w:t xml:space="preserve">一次可连续进行不少于24个样品进样测试，实现无人值守工作</w:t>
      </w:r>
      <w:r>
        <w:rPr>
          <w:rFonts w:hint="eastAsia" w:ascii="宋体" w:hAnsi="宋体" w:cs="宋体"/>
          <w:sz w:val="24"/>
          <w:szCs w:val="24"/>
        </w:rPr>
        <w:t xml:space="preserve">。（</w:t>
      </w:r>
      <w:r>
        <w:rPr>
          <w:rFonts w:hint="eastAsia" w:ascii="宋体" w:hAnsi="宋体" w:cs="宋体"/>
          <w:strike/>
          <w:sz w:val="24"/>
          <w:szCs w:val="24"/>
        </w:rPr>
        <w:t xml:space="preserve">需</w:t>
      </w:r>
      <w:r>
        <w:rPr>
          <w:rFonts w:hint="eastAsia" w:ascii="宋体" w:hAnsi="宋体" w:cs="宋体"/>
          <w:sz w:val="24"/>
          <w:szCs w:val="24"/>
        </w:rPr>
        <w:t xml:space="preserve">提供操作界面截图或彩页，投标人盖章）；</w:t>
      </w:r>
      <w:r/>
    </w:p>
    <w:p>
      <w:pPr>
        <w:jc w:val="left"/>
        <w:spacing w:line="360" w:lineRule="auto"/>
        <w:rPr>
          <w:rFonts w:hint="eastAsia"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2 </w:t>
      </w:r>
      <w:r>
        <w:rPr>
          <w:rFonts w:hint="eastAsia" w:ascii="宋体" w:hAnsi="宋体" w:cs="宋体"/>
          <w:sz w:val="24"/>
          <w:szCs w:val="24"/>
        </w:rPr>
        <w:t xml:space="preserve">可直接与凯氏定氮仪连接，无需其他外界电源，进样器内置溶液桶容积：4个≥15L溶液桶</w:t>
      </w:r>
      <w:r>
        <w:rPr>
          <w:rFonts w:hint="eastAsia" w:ascii="宋体" w:hAnsi="宋体" w:cs="宋体"/>
          <w:sz w:val="24"/>
          <w:szCs w:val="24"/>
        </w:rPr>
        <w:t xml:space="preserve">（</w:t>
      </w:r>
      <w:r>
        <w:rPr>
          <w:rFonts w:hint="eastAsia" w:ascii="宋体" w:hAnsi="宋体" w:cs="宋体"/>
          <w:strike/>
          <w:sz w:val="24"/>
          <w:szCs w:val="24"/>
        </w:rPr>
        <w:t xml:space="preserve">需</w:t>
      </w:r>
      <w:r>
        <w:rPr>
          <w:rFonts w:hint="eastAsia" w:ascii="宋体" w:hAnsi="宋体" w:cs="宋体"/>
          <w:sz w:val="24"/>
          <w:szCs w:val="24"/>
        </w:rPr>
        <w:t xml:space="preserve">提供操作界面截图或彩页，投标人盖章）；</w:t>
      </w:r>
      <w:r/>
    </w:p>
    <w:p>
      <w:pPr>
        <w:ind w:left="19" w:hanging="19"/>
        <w:spacing w:line="360" w:lineRule="auto"/>
        <w:rPr>
          <w:rFonts w:hint="eastAsia" w:ascii="宋体" w:hAnsi="宋体" w:cs="宋体"/>
          <w:b/>
          <w:bCs/>
          <w:sz w:val="24"/>
          <w:szCs w:val="24"/>
        </w:rPr>
      </w:pPr>
      <w:r>
        <w:rPr>
          <w:rFonts w:ascii="宋体" w:hAnsi="宋体" w:cs="宋体"/>
          <w:b/>
          <w:bCs/>
          <w:sz w:val="24"/>
          <w:szCs w:val="24"/>
        </w:rPr>
        <w:t xml:space="preserve">15 </w:t>
      </w:r>
      <w:r>
        <w:rPr>
          <w:rFonts w:hint="eastAsia" w:ascii="宋体" w:hAnsi="宋体" w:cs="宋体"/>
          <w:b/>
          <w:bCs/>
          <w:sz w:val="24"/>
          <w:szCs w:val="24"/>
        </w:rPr>
        <w:t xml:space="preserve">自动消解仪参数要求：</w:t>
      </w:r>
      <w:r/>
    </w:p>
    <w:p>
      <w:pPr>
        <w:ind w:left="19" w:hanging="19"/>
        <w:spacing w:line="360" w:lineRule="auto"/>
        <w:rPr>
          <w:sz w:val="24"/>
          <w:szCs w:val="24"/>
        </w:rPr>
      </w:pPr>
      <w:r>
        <w:rPr>
          <w:sz w:val="24"/>
          <w:szCs w:val="24"/>
        </w:rPr>
        <w:t xml:space="preserve">15.1 </w:t>
      </w:r>
      <w:r>
        <w:rPr>
          <w:sz w:val="24"/>
          <w:szCs w:val="24"/>
        </w:rPr>
        <w:t xml:space="preserve">自动消解仪处理能力：不少于</w:t>
      </w:r>
      <w:r>
        <w:rPr>
          <w:sz w:val="24"/>
          <w:szCs w:val="24"/>
        </w:rPr>
        <w:t xml:space="preserve">20</w:t>
      </w:r>
      <w:r>
        <w:rPr>
          <w:sz w:val="24"/>
          <w:szCs w:val="24"/>
        </w:rPr>
        <w:t xml:space="preserve">个样品</w:t>
      </w:r>
      <w:r>
        <w:rPr>
          <w:sz w:val="24"/>
          <w:szCs w:val="24"/>
        </w:rPr>
        <w:t xml:space="preserve">/</w:t>
      </w:r>
      <w:r>
        <w:rPr>
          <w:sz w:val="24"/>
          <w:szCs w:val="24"/>
        </w:rPr>
        <w:t xml:space="preserve">批，孔深：</w:t>
      </w:r>
      <w:r>
        <w:rPr>
          <w:sz w:val="24"/>
          <w:szCs w:val="24"/>
        </w:rPr>
        <w:t xml:space="preserve">≥55mm</w:t>
      </w:r>
      <w:r>
        <w:rPr>
          <w:sz w:val="24"/>
          <w:szCs w:val="24"/>
        </w:rPr>
        <w:t xml:space="preserve">；</w:t>
      </w:r>
      <w:r/>
    </w:p>
    <w:p>
      <w:pPr>
        <w:ind w:left="19" w:hanging="19"/>
        <w:spacing w:line="360" w:lineRule="auto"/>
        <w:rPr>
          <w:sz w:val="24"/>
          <w:szCs w:val="24"/>
        </w:rPr>
      </w:pPr>
      <w:r>
        <w:rPr>
          <w:sz w:val="24"/>
          <w:szCs w:val="24"/>
        </w:rPr>
        <w:t xml:space="preserve">15.2 </w:t>
      </w:r>
      <w:r>
        <w:rPr>
          <w:sz w:val="24"/>
          <w:szCs w:val="24"/>
        </w:rPr>
        <w:t xml:space="preserve">控温范围：室温</w:t>
      </w:r>
      <w:r>
        <w:rPr>
          <w:sz w:val="24"/>
          <w:szCs w:val="24"/>
        </w:rPr>
        <w:t xml:space="preserve">+5℃</w:t>
      </w:r>
      <w:r>
        <w:rPr>
          <w:sz w:val="24"/>
          <w:szCs w:val="24"/>
        </w:rPr>
        <w:t xml:space="preserve">～</w:t>
      </w:r>
      <w:r>
        <w:rPr>
          <w:sz w:val="24"/>
          <w:szCs w:val="24"/>
        </w:rPr>
        <w:t xml:space="preserve">450℃</w:t>
      </w:r>
      <w:r>
        <w:rPr>
          <w:sz w:val="24"/>
          <w:szCs w:val="24"/>
        </w:rPr>
        <w:t xml:space="preserve">，控温精度：</w:t>
      </w:r>
      <w:r>
        <w:rPr>
          <w:sz w:val="24"/>
          <w:szCs w:val="24"/>
        </w:rPr>
        <w:t xml:space="preserve">±1℃</w:t>
      </w:r>
      <w:r>
        <w:rPr>
          <w:sz w:val="24"/>
          <w:szCs w:val="24"/>
        </w:rPr>
        <w:t xml:space="preserve">；</w:t>
      </w:r>
      <w:r/>
    </w:p>
    <w:p>
      <w:pPr>
        <w:ind w:left="19" w:hanging="19"/>
        <w:spacing w:line="360" w:lineRule="auto"/>
        <w:rPr>
          <w:sz w:val="24"/>
          <w:szCs w:val="24"/>
        </w:rPr>
      </w:pPr>
      <w:r>
        <w:rPr>
          <w:sz w:val="24"/>
          <w:szCs w:val="24"/>
        </w:rPr>
        <w:t xml:space="preserve">15.3 </w:t>
      </w:r>
      <w:r>
        <w:rPr>
          <w:sz w:val="24"/>
          <w:szCs w:val="24"/>
        </w:rPr>
        <w:t xml:space="preserve">表面处理方式：外壳整体采用防腐耐磨涂层，仪器可实时显示并记录升温曲线，了解实验过程变化；</w:t>
      </w:r>
      <w:r/>
    </w:p>
    <w:p>
      <w:pPr>
        <w:ind w:left="19" w:hanging="19"/>
        <w:spacing w:line="360" w:lineRule="auto"/>
        <w:rPr>
          <w:sz w:val="24"/>
          <w:szCs w:val="24"/>
        </w:rPr>
      </w:pPr>
      <w:r>
        <w:rPr>
          <w:sz w:val="24"/>
          <w:szCs w:val="24"/>
        </w:rPr>
        <w:t xml:space="preserve">15.4 </w:t>
      </w:r>
      <w:r>
        <w:rPr>
          <w:sz w:val="24"/>
          <w:szCs w:val="24"/>
        </w:rPr>
        <w:t xml:space="preserve">仪器需符合</w:t>
      </w:r>
      <w:r>
        <w:rPr>
          <w:sz w:val="24"/>
          <w:szCs w:val="24"/>
        </w:rPr>
        <w:t xml:space="preserve">21CFR Part11</w:t>
      </w:r>
      <w:r>
        <w:rPr>
          <w:sz w:val="24"/>
          <w:szCs w:val="24"/>
        </w:rPr>
        <w:t xml:space="preserve">要求，可进行权限管理及操作日志存储；</w:t>
      </w:r>
      <w:r/>
    </w:p>
    <w:p>
      <w:pPr>
        <w:ind w:left="19" w:hanging="19"/>
        <w:spacing w:line="360" w:lineRule="auto"/>
        <w:rPr>
          <w:sz w:val="24"/>
          <w:szCs w:val="24"/>
        </w:rPr>
      </w:pPr>
      <w:r>
        <w:rPr>
          <w:sz w:val="24"/>
          <w:szCs w:val="24"/>
        </w:rPr>
        <w:t xml:space="preserve">15.5 </w:t>
      </w:r>
      <w:r>
        <w:rPr>
          <w:sz w:val="24"/>
          <w:szCs w:val="24"/>
        </w:rPr>
        <w:t xml:space="preserve">具有消化管架自动升降装置，并由消解仪主机统一控制，可随实验过程进行位置的调节</w:t>
      </w:r>
      <w:r>
        <w:rPr>
          <w:sz w:val="24"/>
          <w:szCs w:val="24"/>
        </w:rPr>
        <w:t xml:space="preserve">（</w:t>
      </w:r>
      <w:r>
        <w:rPr>
          <w:strike/>
          <w:sz w:val="24"/>
          <w:szCs w:val="24"/>
        </w:rPr>
        <w:t xml:space="preserve">需</w:t>
      </w:r>
      <w:r>
        <w:rPr>
          <w:sz w:val="24"/>
          <w:szCs w:val="24"/>
        </w:rPr>
        <w:t xml:space="preserve">提供操作界面截图或彩页，投标人盖章）；</w:t>
      </w:r>
      <w:r/>
    </w:p>
    <w:p>
      <w:pPr>
        <w:ind w:left="19" w:hanging="19"/>
        <w:spacing w:line="360" w:lineRule="auto"/>
        <w:rPr>
          <w:sz w:val="24"/>
          <w:szCs w:val="24"/>
        </w:rPr>
      </w:pPr>
      <w:r>
        <w:rPr>
          <w:sz w:val="24"/>
          <w:szCs w:val="24"/>
        </w:rPr>
        <w:t xml:space="preserve">▲15.6 </w:t>
      </w:r>
      <w:r>
        <w:rPr>
          <w:sz w:val="24"/>
          <w:szCs w:val="24"/>
        </w:rPr>
        <w:t xml:space="preserve">仪器内置</w:t>
      </w:r>
      <w:r>
        <w:rPr>
          <w:sz w:val="24"/>
          <w:szCs w:val="24"/>
        </w:rPr>
        <w:t xml:space="preserve">8G</w:t>
      </w:r>
      <w:r>
        <w:rPr>
          <w:sz w:val="24"/>
          <w:szCs w:val="24"/>
        </w:rPr>
        <w:t xml:space="preserve">以上存储空间，可查询历史消解方案及升温曲线，具有</w:t>
      </w:r>
      <w:r>
        <w:rPr>
          <w:sz w:val="24"/>
          <w:szCs w:val="24"/>
        </w:rPr>
        <w:t xml:space="preserve">WiFi</w:t>
      </w:r>
      <w:r>
        <w:rPr>
          <w:sz w:val="24"/>
          <w:szCs w:val="24"/>
        </w:rPr>
        <w:t xml:space="preserve">及</w:t>
      </w:r>
      <w:r>
        <w:rPr>
          <w:sz w:val="24"/>
          <w:szCs w:val="24"/>
        </w:rPr>
        <w:t xml:space="preserve">USB</w:t>
      </w:r>
      <w:r>
        <w:rPr>
          <w:sz w:val="24"/>
          <w:szCs w:val="24"/>
        </w:rPr>
        <w:t xml:space="preserve">等两种或以上的数据传输方式</w:t>
      </w:r>
      <w:r>
        <w:rPr>
          <w:sz w:val="24"/>
          <w:szCs w:val="24"/>
        </w:rPr>
        <w:t xml:space="preserve">（</w:t>
      </w:r>
      <w:r>
        <w:rPr>
          <w:strike/>
          <w:sz w:val="24"/>
          <w:szCs w:val="24"/>
        </w:rPr>
        <w:t xml:space="preserve">需</w:t>
      </w:r>
      <w:r>
        <w:rPr>
          <w:sz w:val="24"/>
          <w:szCs w:val="24"/>
        </w:rPr>
        <w:t xml:space="preserve">提供操作界面截图或彩页，投标人盖章）</w:t>
      </w:r>
      <w:r>
        <w:rPr>
          <w:sz w:val="24"/>
          <w:szCs w:val="24"/>
        </w:rPr>
        <w:t xml:space="preserve">；</w:t>
      </w:r>
      <w:r/>
    </w:p>
    <w:p>
      <w:pPr>
        <w:ind w:left="19" w:hanging="19"/>
        <w:spacing w:line="360" w:lineRule="auto"/>
        <w:rPr>
          <w:sz w:val="24"/>
          <w:szCs w:val="24"/>
        </w:rPr>
      </w:pPr>
      <w:r>
        <w:rPr>
          <w:sz w:val="24"/>
          <w:szCs w:val="24"/>
        </w:rPr>
        <w:t xml:space="preserve">15.7 </w:t>
      </w:r>
      <w:r>
        <w:rPr>
          <w:sz w:val="24"/>
          <w:szCs w:val="24"/>
        </w:rPr>
        <w:t xml:space="preserve">采用</w:t>
      </w:r>
      <w:r>
        <w:rPr>
          <w:sz w:val="24"/>
          <w:szCs w:val="24"/>
        </w:rPr>
        <w:t xml:space="preserve">PID </w:t>
      </w:r>
      <w:r>
        <w:rPr>
          <w:sz w:val="24"/>
          <w:szCs w:val="24"/>
        </w:rPr>
        <w:t xml:space="preserve">控温；嵌入式软件控温技术，具备过流、过热等多重保护及超温报警功能；</w:t>
      </w:r>
      <w:r/>
    </w:p>
    <w:p>
      <w:pPr>
        <w:ind w:left="19" w:hanging="19"/>
        <w:spacing w:line="360" w:lineRule="auto"/>
        <w:rPr>
          <w:sz w:val="24"/>
          <w:szCs w:val="24"/>
        </w:rPr>
      </w:pPr>
      <w:r>
        <w:rPr>
          <w:sz w:val="24"/>
          <w:szCs w:val="24"/>
        </w:rPr>
        <w:t xml:space="preserve">▲15.8 </w:t>
      </w:r>
      <w:r>
        <w:rPr>
          <w:sz w:val="24"/>
          <w:szCs w:val="24"/>
        </w:rPr>
        <w:t xml:space="preserve">废气吸收装置可与主机相连，并由主机统一调控，废气吸收过程中采用冷却及化学吸收两种方式进行废气的回收，提高废气回收效率</w:t>
      </w:r>
      <w:r>
        <w:rPr>
          <w:sz w:val="24"/>
          <w:szCs w:val="24"/>
        </w:rPr>
        <w:t xml:space="preserve">（</w:t>
      </w:r>
      <w:r>
        <w:rPr>
          <w:strike/>
          <w:sz w:val="24"/>
          <w:szCs w:val="24"/>
        </w:rPr>
        <w:t xml:space="preserve">需</w:t>
      </w:r>
      <w:r>
        <w:rPr>
          <w:sz w:val="24"/>
          <w:szCs w:val="24"/>
        </w:rPr>
        <w:t xml:space="preserve">提供操作界面截图或彩页，投标人盖章）</w:t>
      </w:r>
      <w:r>
        <w:rPr>
          <w:sz w:val="24"/>
          <w:szCs w:val="24"/>
        </w:rPr>
        <w:t xml:space="preserve">；</w:t>
      </w:r>
      <w:r/>
    </w:p>
    <w:p>
      <w:pPr>
        <w:jc w:val="left"/>
        <w:spacing w:line="360" w:lineRule="auto"/>
        <w:rPr>
          <w:sz w:val="24"/>
          <w:szCs w:val="24"/>
        </w:rPr>
      </w:pPr>
      <w:r>
        <w:rPr>
          <w:b/>
          <w:bCs/>
          <w:sz w:val="24"/>
          <w:szCs w:val="24"/>
        </w:rPr>
        <w:t xml:space="preserve">16 </w:t>
      </w:r>
      <w:r>
        <w:rPr>
          <w:b/>
          <w:bCs/>
          <w:sz w:val="24"/>
          <w:szCs w:val="24"/>
        </w:rPr>
        <w:t xml:space="preserve">冷却水循环器参数要求：</w:t>
      </w:r>
      <w:r/>
    </w:p>
    <w:p>
      <w:pPr>
        <w:jc w:val="left"/>
        <w:spacing w:line="360" w:lineRule="auto"/>
        <w:rPr>
          <w:sz w:val="24"/>
          <w:szCs w:val="24"/>
        </w:rPr>
      </w:pPr>
      <w:r>
        <w:rPr>
          <w:sz w:val="24"/>
          <w:szCs w:val="24"/>
        </w:rPr>
        <w:t xml:space="preserve">16.1 </w:t>
      </w:r>
      <w:r>
        <w:rPr>
          <w:sz w:val="24"/>
          <w:szCs w:val="24"/>
        </w:rPr>
        <w:t xml:space="preserve">冷却水循环器控温范围：</w:t>
      </w:r>
      <w:r>
        <w:rPr>
          <w:sz w:val="24"/>
          <w:szCs w:val="24"/>
        </w:rPr>
        <w:t xml:space="preserve">-5℃-</w:t>
      </w:r>
      <w:r>
        <w:rPr>
          <w:sz w:val="24"/>
          <w:szCs w:val="24"/>
        </w:rPr>
        <w:t xml:space="preserve">室温，控温稳定度：</w:t>
      </w:r>
      <w:r>
        <w:rPr>
          <w:sz w:val="24"/>
          <w:szCs w:val="24"/>
        </w:rPr>
        <w:t xml:space="preserve">±2℃</w:t>
      </w:r>
      <w:r>
        <w:rPr>
          <w:sz w:val="24"/>
          <w:szCs w:val="24"/>
        </w:rPr>
        <w:t xml:space="preserve">；</w:t>
      </w:r>
      <w:r/>
    </w:p>
    <w:p>
      <w:pPr>
        <w:jc w:val="left"/>
        <w:spacing w:line="360" w:lineRule="auto"/>
        <w:rPr>
          <w:sz w:val="24"/>
          <w:szCs w:val="24"/>
        </w:rPr>
      </w:pPr>
      <w:r>
        <w:rPr>
          <w:sz w:val="24"/>
          <w:szCs w:val="24"/>
        </w:rPr>
        <w:t xml:space="preserve">▲16.2 </w:t>
      </w:r>
      <w:r>
        <w:rPr>
          <w:sz w:val="24"/>
          <w:szCs w:val="24"/>
        </w:rPr>
        <w:t xml:space="preserve">水流量：</w:t>
      </w:r>
      <w:r>
        <w:rPr>
          <w:sz w:val="24"/>
          <w:szCs w:val="24"/>
        </w:rPr>
        <w:t xml:space="preserve">20L/min</w:t>
      </w:r>
      <w:r>
        <w:rPr>
          <w:sz w:val="24"/>
          <w:szCs w:val="24"/>
        </w:rPr>
        <w:t xml:space="preserve">，循环泵压力：</w:t>
      </w:r>
      <w:r>
        <w:rPr>
          <w:sz w:val="24"/>
          <w:szCs w:val="24"/>
        </w:rPr>
        <w:t xml:space="preserve">0-1.5bar</w:t>
      </w:r>
      <w:r>
        <w:rPr>
          <w:sz w:val="24"/>
          <w:szCs w:val="24"/>
        </w:rPr>
        <w:t xml:space="preserve">可调，扬程：</w:t>
      </w:r>
      <w:r>
        <w:rPr>
          <w:sz w:val="24"/>
          <w:szCs w:val="24"/>
        </w:rPr>
        <w:t xml:space="preserve">15m</w:t>
      </w:r>
      <w:r>
        <w:rPr>
          <w:sz w:val="24"/>
          <w:szCs w:val="24"/>
        </w:rPr>
        <w:t xml:space="preserve">，制冷功率：</w:t>
      </w:r>
      <w:r>
        <w:rPr>
          <w:sz w:val="24"/>
          <w:szCs w:val="24"/>
        </w:rPr>
        <w:t xml:space="preserve">1200w</w:t>
      </w:r>
      <w:r>
        <w:rPr>
          <w:sz w:val="24"/>
          <w:szCs w:val="24"/>
        </w:rPr>
        <w:t xml:space="preserve">；</w:t>
      </w:r>
      <w:r/>
    </w:p>
    <w:p>
      <w:pPr>
        <w:contextualSpacing/>
        <w:spacing w:line="360" w:lineRule="auto"/>
        <w:rPr>
          <w:rFonts w:hint="eastAsia" w:ascii="宋体" w:hAnsi="宋体"/>
          <w:sz w:val="24"/>
          <w:szCs w:val="24"/>
        </w:rPr>
      </w:pPr>
      <w:r>
        <w:rPr>
          <w:rFonts w:hint="eastAsia" w:ascii="宋体" w:hAnsi="宋体"/>
          <w:sz w:val="24"/>
          <w:szCs w:val="24"/>
        </w:rPr>
        <w:t xml:space="preserve">（二）配置清单</w:t>
      </w:r>
      <w:r/>
    </w:p>
    <w:tbl>
      <w:tblPr>
        <w:tblStyle w:val="969"/>
        <w:tblW w:w="0" w:type="auto"/>
        <w:tblLook w:val="04A0" w:firstRow="1" w:lastRow="0" w:firstColumn="1" w:lastColumn="0" w:noHBand="0" w:noVBand="1"/>
      </w:tblPr>
      <w:tblGrid>
        <w:gridCol w:w="1129"/>
        <w:gridCol w:w="5529"/>
        <w:gridCol w:w="1638"/>
      </w:tblGrid>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序号</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名称</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数量</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p>
        </w:tc>
        <w:tc>
          <w:tcPr>
            <w:tcW w:w="5529" w:type="dxa"/>
            <w:textDirection w:val="lrTb"/>
            <w:noWrap w:val="false"/>
          </w:tcPr>
          <w:p>
            <w:pPr>
              <w:contextualSpacing/>
              <w:spacing w:line="360" w:lineRule="auto"/>
              <w:rPr>
                <w:rFonts w:hint="eastAsia" w:ascii="宋体" w:hAnsi="宋体"/>
                <w:b/>
                <w:bCs/>
                <w:sz w:val="24"/>
                <w:szCs w:val="24"/>
              </w:rPr>
            </w:pPr>
            <w:r>
              <w:rPr>
                <w:rFonts w:hint="eastAsia" w:ascii="宋体" w:hAnsi="宋体" w:cs="宋体"/>
                <w:sz w:val="24"/>
                <w:szCs w:val="24"/>
              </w:rPr>
              <w:t xml:space="preserve">全自动凯氏定氮仪主机（包含蒸馏模块、滴定模块、操作系统、进样模块）</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消解仪主机（包含自动升降模块、操作系统）</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排废模块</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4</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废气吸收模块</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5</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自动进样器</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6</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冷水机</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1套</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7</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300 mL消化管</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60支</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8</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100 mL密封管</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20支</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9</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定氮催化片</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1300片</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消化管夹</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1件</w:t>
            </w:r>
            <w:r/>
          </w:p>
        </w:tc>
      </w:tr>
      <w:tr>
        <w:trPr/>
        <w:tc>
          <w:tcPr>
            <w:tcW w:w="11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5529"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消化管架</w:t>
            </w:r>
            <w:r/>
          </w:p>
        </w:tc>
        <w:tc>
          <w:tcPr>
            <w:tcW w:w="1638" w:type="dxa"/>
            <w:textDirection w:val="lrTb"/>
            <w:noWrap w:val="false"/>
          </w:tcPr>
          <w:p>
            <w:pPr>
              <w:contextualSpacing/>
              <w:spacing w:line="360" w:lineRule="auto"/>
              <w:rPr>
                <w:rFonts w:hint="eastAsia" w:ascii="宋体" w:hAnsi="宋体"/>
                <w:sz w:val="24"/>
                <w:szCs w:val="24"/>
              </w:rPr>
            </w:pPr>
            <w:r>
              <w:rPr>
                <w:rFonts w:hint="eastAsia" w:ascii="宋体" w:hAnsi="宋体"/>
                <w:sz w:val="24"/>
                <w:szCs w:val="24"/>
              </w:rPr>
              <w:t xml:space="preserve">1件</w:t>
            </w:r>
            <w:r/>
          </w:p>
        </w:tc>
      </w:tr>
    </w:tbl>
    <w:p>
      <w:pPr>
        <w:pStyle w:val="968"/>
        <w:ind w:left="210" w:firstLine="0"/>
        <w:rPr>
          <w:sz w:val="24"/>
        </w:rPr>
      </w:pPr>
      <w:r>
        <w:rPr>
          <w:sz w:val="24"/>
        </w:rPr>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
          <w:sz w:val="24"/>
        </w:rPr>
      </w:pPr>
      <w:r>
        <w:rPr>
          <w:rFonts w:hint="eastAsia"/>
          <w:b/>
          <w:sz w:val="24"/>
        </w:rPr>
        <w:t xml:space="preserve">1.</w:t>
      </w:r>
      <w:r>
        <w:rPr>
          <w:rFonts w:hint="eastAsia"/>
          <w:b/>
          <w:sz w:val="24"/>
        </w:rPr>
        <w:t xml:space="preserve">产品必须是全新、未使用过的原装合格正品，完全符合招标文件规定的质量、规格和性能的要求，达到国家或行业规定的标准。</w:t>
      </w:r>
      <w:r/>
    </w:p>
    <w:p>
      <w:pPr>
        <w:contextualSpacing/>
        <w:ind w:firstLine="482"/>
        <w:spacing w:line="360" w:lineRule="auto"/>
        <w:widowControl/>
        <w:rPr>
          <w:b/>
          <w:sz w:val="24"/>
        </w:rPr>
      </w:pPr>
      <w:r>
        <w:rPr>
          <w:rFonts w:hint="eastAsia"/>
          <w:b/>
          <w:sz w:val="24"/>
        </w:rPr>
        <w:t xml:space="preserve">2.</w:t>
      </w:r>
      <w:r>
        <w:rPr>
          <w:rFonts w:hint="eastAsia"/>
          <w:b/>
          <w:sz w:val="24"/>
        </w:rPr>
        <w:t xml:space="preserve">投标人提供的产品必须能够满足规范及招标文件的要求，同时还必须满足使用要求；产品必须能通过采购人的质量验收等各类验收。</w:t>
      </w:r>
      <w:r/>
    </w:p>
    <w:p>
      <w:pPr>
        <w:spacing w:line="0" w:lineRule="atLeast"/>
        <w:rPr>
          <w:i/>
          <w:sz w:val="28"/>
          <w:szCs w:val="28"/>
          <w:u w:val="single"/>
        </w:rPr>
      </w:pPr>
      <w:r>
        <w:rPr>
          <w:i/>
          <w:sz w:val="28"/>
          <w:szCs w:val="28"/>
          <w:u w:val="single"/>
        </w:rPr>
      </w:r>
      <w:r/>
    </w:p>
    <w:p>
      <w:pPr>
        <w:numPr>
          <w:ilvl w:val="0"/>
          <w:numId w:val="8"/>
        </w:numPr>
        <w:spacing w:line="0" w:lineRule="atLeast"/>
        <w:rPr>
          <w:b/>
          <w:sz w:val="28"/>
          <w:szCs w:val="28"/>
        </w:rPr>
      </w:pPr>
      <w:r>
        <w:rPr>
          <w:rFonts w:hint="eastAsia"/>
          <w:b/>
          <w:sz w:val="28"/>
          <w:szCs w:val="28"/>
        </w:rPr>
        <w:t xml:space="preserve">实质性要求</w:t>
      </w:r>
      <w:r/>
    </w:p>
    <w:p>
      <w:pPr>
        <w:ind w:firstLine="274"/>
        <w:spacing w:line="0" w:lineRule="atLeast"/>
        <w:rPr>
          <w:bCs/>
          <w:iCs/>
          <w:sz w:val="28"/>
          <w:szCs w:val="28"/>
        </w:rPr>
      </w:pPr>
      <w:r>
        <w:rPr>
          <w:rFonts w:hint="eastAsia"/>
          <w:bCs/>
          <w:iCs/>
          <w:sz w:val="28"/>
          <w:szCs w:val="28"/>
        </w:rPr>
        <w:t xml:space="preserve">分包一：</w:t>
      </w:r>
      <w:r/>
    </w:p>
    <w:tbl>
      <w:tblPr>
        <w:tblStyle w:val="969"/>
        <w:tblW w:w="5000" w:type="pct"/>
        <w:tblLook w:val="04A0" w:firstRow="1" w:lastRow="0" w:firstColumn="1" w:lastColumn="0" w:noHBand="0" w:noVBand="1"/>
      </w:tblPr>
      <w:tblGrid>
        <w:gridCol w:w="666"/>
        <w:gridCol w:w="2306"/>
        <w:gridCol w:w="5324"/>
      </w:tblGrid>
      <w:tr>
        <w:trPr/>
        <w:tc>
          <w:tcPr>
            <w:tcW w:w="401" w:type="pct"/>
            <w:vAlign w:val="center"/>
            <w:textDirection w:val="lrTb"/>
            <w:noWrap w:val="false"/>
          </w:tcPr>
          <w:p>
            <w:pPr>
              <w:spacing w:line="0" w:lineRule="atLeast"/>
              <w:rPr>
                <w:sz w:val="24"/>
              </w:rPr>
            </w:pPr>
            <w:r>
              <w:rPr>
                <w:rFonts w:hint="eastAsia"/>
                <w:sz w:val="24"/>
              </w:rPr>
              <w:t xml:space="preserve">序号</w:t>
            </w:r>
            <w:r/>
          </w:p>
        </w:tc>
        <w:tc>
          <w:tcPr>
            <w:tcW w:w="1390" w:type="pct"/>
            <w:vAlign w:val="center"/>
            <w:textDirection w:val="lrTb"/>
            <w:noWrap w:val="false"/>
          </w:tcPr>
          <w:p>
            <w:pPr>
              <w:spacing w:line="0" w:lineRule="atLeast"/>
              <w:rPr>
                <w:sz w:val="24"/>
              </w:rPr>
            </w:pPr>
            <w:r>
              <w:rPr>
                <w:rFonts w:hint="eastAsia"/>
                <w:sz w:val="24"/>
              </w:rPr>
              <w:t xml:space="preserve">仪器名称</w:t>
            </w:r>
            <w:r/>
          </w:p>
        </w:tc>
        <w:tc>
          <w:tcPr>
            <w:tcW w:w="3209" w:type="pct"/>
            <w:vAlign w:val="center"/>
            <w:textDirection w:val="lrTb"/>
            <w:noWrap w:val="false"/>
          </w:tcPr>
          <w:p>
            <w:pPr>
              <w:spacing w:line="0" w:lineRule="atLeast"/>
              <w:rPr>
                <w:sz w:val="24"/>
              </w:rPr>
            </w:pPr>
            <w:r>
              <w:rPr>
                <w:rFonts w:hint="eastAsia"/>
                <w:sz w:val="24"/>
              </w:rPr>
              <w:t xml:space="preserve">实质性要求及证明材料</w:t>
            </w:r>
            <w:r/>
          </w:p>
        </w:tc>
      </w:tr>
      <w:tr>
        <w:trPr/>
        <w:tc>
          <w:tcPr>
            <w:tcW w:w="401" w:type="pct"/>
            <w:vAlign w:val="center"/>
            <w:textDirection w:val="lrTb"/>
            <w:noWrap w:val="false"/>
          </w:tcPr>
          <w:p>
            <w:pPr>
              <w:spacing w:line="0" w:lineRule="atLeast"/>
              <w:rPr>
                <w:sz w:val="24"/>
              </w:rPr>
            </w:pPr>
            <w:r>
              <w:rPr>
                <w:rFonts w:hint="eastAsia"/>
                <w:sz w:val="24"/>
              </w:rPr>
              <w:t xml:space="preserve">1</w:t>
            </w:r>
            <w:r/>
          </w:p>
        </w:tc>
        <w:tc>
          <w:tcPr>
            <w:tcW w:w="1390" w:type="pct"/>
            <w:vAlign w:val="center"/>
            <w:textDirection w:val="lrTb"/>
            <w:noWrap w:val="false"/>
          </w:tcPr>
          <w:p>
            <w:pPr>
              <w:contextualSpacing/>
              <w:spacing w:line="360" w:lineRule="auto"/>
              <w:rPr>
                <w:sz w:val="24"/>
              </w:rPr>
            </w:pPr>
            <w:r>
              <w:rPr>
                <w:rFonts w:hint="eastAsia" w:ascii="宋体" w:hAnsi="宋体"/>
                <w:sz w:val="24"/>
              </w:rPr>
              <w:t xml:space="preserve">电感耦合等离子体发射光谱仪</w:t>
            </w:r>
            <w:r/>
          </w:p>
        </w:tc>
        <w:tc>
          <w:tcPr>
            <w:tcW w:w="3209" w:type="pct"/>
            <w:vAlign w:val="center"/>
            <w:textDirection w:val="lrTb"/>
            <w:noWrap w:val="false"/>
          </w:tcPr>
          <w:p>
            <w:pPr>
              <w:spacing w:line="0" w:lineRule="atLeast"/>
              <w:rPr>
                <w:sz w:val="24"/>
              </w:rPr>
            </w:pPr>
            <w:r>
              <w:rPr>
                <w:rFonts w:hint="eastAsia" w:ascii="宋体" w:hAnsi="宋体"/>
                <w:sz w:val="24"/>
              </w:rPr>
              <w:t xml:space="preserve">中阶梯光栅，交叉色散系统，</w:t>
            </w:r>
            <w:r>
              <w:rPr>
                <w:rFonts w:hint="eastAsia" w:ascii="宋体" w:hAnsi="宋体"/>
                <w:color w:val="000000" w:themeColor="text1"/>
                <w:sz w:val="24"/>
              </w:rPr>
              <w:t xml:space="preserve">全谱直读型光谱仪</w:t>
            </w:r>
            <w:r>
              <w:rPr>
                <w:rFonts w:hint="eastAsia" w:ascii="宋体" w:hAnsi="宋体"/>
                <w:sz w:val="24"/>
              </w:rPr>
              <w:t xml:space="preserve">，非顺序扫描</w:t>
            </w:r>
            <w:r>
              <w:rPr>
                <w:rFonts w:hint="eastAsia" w:ascii="宋体" w:hAnsi="宋体"/>
                <w:sz w:val="24"/>
              </w:rPr>
              <w:t xml:space="preserve">型,</w:t>
            </w:r>
            <w:r>
              <w:rPr>
                <w:rFonts w:hint="eastAsia" w:ascii="宋体" w:hAnsi="宋体"/>
                <w:sz w:val="24"/>
              </w:rPr>
              <w:t xml:space="preserve">光栅和棱镜的位置在检测过程中保持固定不变。（投标人提供出厂产品说明书，并加盖投标人公章）</w:t>
            </w:r>
            <w:r/>
          </w:p>
        </w:tc>
      </w:tr>
      <w:tr>
        <w:trPr/>
        <w:tc>
          <w:tcPr>
            <w:tcW w:w="401" w:type="pct"/>
            <w:vAlign w:val="center"/>
            <w:textDirection w:val="lrTb"/>
            <w:noWrap w:val="false"/>
          </w:tcPr>
          <w:p>
            <w:pPr>
              <w:spacing w:line="0" w:lineRule="atLeast"/>
              <w:rPr>
                <w:sz w:val="24"/>
              </w:rPr>
            </w:pPr>
            <w:r>
              <w:rPr>
                <w:rFonts w:hint="eastAsia"/>
                <w:sz w:val="24"/>
              </w:rPr>
              <w:t xml:space="preserve">2</w:t>
            </w:r>
            <w:r/>
          </w:p>
        </w:tc>
        <w:tc>
          <w:tcPr>
            <w:tcW w:w="1390" w:type="pct"/>
            <w:vAlign w:val="center"/>
            <w:textDirection w:val="lrTb"/>
            <w:noWrap w:val="false"/>
          </w:tcPr>
          <w:p>
            <w:pPr>
              <w:contextualSpacing/>
              <w:spacing w:line="360" w:lineRule="auto"/>
              <w:rPr>
                <w:rFonts w:hint="eastAsia" w:ascii="宋体" w:hAnsi="宋体"/>
                <w:sz w:val="24"/>
              </w:rPr>
            </w:pPr>
            <w:r>
              <w:rPr>
                <w:rFonts w:hint="eastAsia"/>
                <w:sz w:val="24"/>
              </w:rPr>
              <w:t xml:space="preserve">电脑计算机显示器</w:t>
            </w:r>
            <w:r/>
          </w:p>
        </w:tc>
        <w:tc>
          <w:tcPr>
            <w:tcW w:w="3209" w:type="pct"/>
            <w:vAlign w:val="center"/>
            <w:textDirection w:val="lrTb"/>
            <w:noWrap w:val="false"/>
          </w:tcPr>
          <w:p>
            <w:pPr>
              <w:spacing w:line="0" w:lineRule="atLeast"/>
              <w:rPr>
                <w:rFonts w:hint="eastAsia" w:ascii="宋体" w:hAnsi="宋体"/>
                <w:sz w:val="24"/>
              </w:rPr>
            </w:pPr>
            <w:r>
              <w:rPr>
                <w:sz w:val="24"/>
              </w:rPr>
              <w:t xml:space="preserve">提供节能认证证书</w:t>
            </w:r>
            <w:r/>
          </w:p>
        </w:tc>
      </w:tr>
    </w:tbl>
    <w:p>
      <w:pPr>
        <w:spacing w:line="0" w:lineRule="atLeast"/>
        <w:rPr>
          <w:b/>
          <w:sz w:val="28"/>
          <w:szCs w:val="28"/>
        </w:rPr>
      </w:pPr>
      <w:r>
        <w:rPr>
          <w:b/>
          <w:sz w:val="28"/>
          <w:szCs w:val="28"/>
        </w:rPr>
      </w:r>
      <w:r/>
    </w:p>
    <w:p>
      <w:pPr>
        <w:ind w:firstLine="274"/>
        <w:spacing w:line="0" w:lineRule="atLeast"/>
        <w:rPr>
          <w:bCs/>
          <w:iCs/>
          <w:sz w:val="28"/>
          <w:szCs w:val="28"/>
        </w:rPr>
      </w:pPr>
      <w:r>
        <w:rPr>
          <w:rFonts w:hint="eastAsia"/>
          <w:bCs/>
          <w:iCs/>
          <w:sz w:val="28"/>
          <w:szCs w:val="28"/>
        </w:rPr>
        <w:t xml:space="preserve">分包二：</w:t>
      </w:r>
      <w:r/>
    </w:p>
    <w:tbl>
      <w:tblPr>
        <w:tblStyle w:val="969"/>
        <w:tblW w:w="5000" w:type="pct"/>
        <w:tblLook w:val="04A0" w:firstRow="1" w:lastRow="0" w:firstColumn="1" w:lastColumn="0" w:noHBand="0" w:noVBand="1"/>
      </w:tblPr>
      <w:tblGrid>
        <w:gridCol w:w="666"/>
        <w:gridCol w:w="2306"/>
        <w:gridCol w:w="5324"/>
      </w:tblGrid>
      <w:tr>
        <w:trPr/>
        <w:tc>
          <w:tcPr>
            <w:tcW w:w="401" w:type="pct"/>
            <w:vAlign w:val="center"/>
            <w:textDirection w:val="lrTb"/>
            <w:noWrap w:val="false"/>
          </w:tcPr>
          <w:p>
            <w:pPr>
              <w:spacing w:line="0" w:lineRule="atLeast"/>
              <w:rPr>
                <w:sz w:val="24"/>
              </w:rPr>
            </w:pPr>
            <w:r>
              <w:rPr>
                <w:rFonts w:hint="eastAsia"/>
                <w:sz w:val="24"/>
              </w:rPr>
              <w:t xml:space="preserve">序号</w:t>
            </w:r>
            <w:r/>
          </w:p>
        </w:tc>
        <w:tc>
          <w:tcPr>
            <w:tcW w:w="1390" w:type="pct"/>
            <w:vAlign w:val="center"/>
            <w:textDirection w:val="lrTb"/>
            <w:noWrap w:val="false"/>
          </w:tcPr>
          <w:p>
            <w:pPr>
              <w:spacing w:line="0" w:lineRule="atLeast"/>
              <w:rPr>
                <w:sz w:val="24"/>
              </w:rPr>
            </w:pPr>
            <w:r>
              <w:rPr>
                <w:rFonts w:hint="eastAsia"/>
                <w:sz w:val="24"/>
              </w:rPr>
              <w:t xml:space="preserve">仪器名称</w:t>
            </w:r>
            <w:r/>
          </w:p>
        </w:tc>
        <w:tc>
          <w:tcPr>
            <w:tcW w:w="3209" w:type="pct"/>
            <w:vAlign w:val="center"/>
            <w:textDirection w:val="lrTb"/>
            <w:noWrap w:val="false"/>
          </w:tcPr>
          <w:p>
            <w:pPr>
              <w:spacing w:line="0" w:lineRule="atLeast"/>
              <w:rPr>
                <w:sz w:val="24"/>
              </w:rPr>
            </w:pPr>
            <w:r>
              <w:rPr>
                <w:rFonts w:hint="eastAsia"/>
                <w:sz w:val="24"/>
              </w:rPr>
              <w:t xml:space="preserve">实质性要求及证明材料</w:t>
            </w:r>
            <w:r/>
          </w:p>
        </w:tc>
      </w:tr>
      <w:tr>
        <w:trPr/>
        <w:tc>
          <w:tcPr>
            <w:tcW w:w="401" w:type="pct"/>
            <w:vAlign w:val="center"/>
            <w:textDirection w:val="lrTb"/>
            <w:noWrap w:val="false"/>
          </w:tcPr>
          <w:p>
            <w:pPr>
              <w:spacing w:line="0" w:lineRule="atLeast"/>
              <w:rPr>
                <w:sz w:val="24"/>
              </w:rPr>
            </w:pPr>
            <w:r>
              <w:rPr>
                <w:rFonts w:hint="eastAsia"/>
                <w:sz w:val="24"/>
              </w:rPr>
              <w:t xml:space="preserve">1</w:t>
            </w:r>
            <w:r/>
          </w:p>
        </w:tc>
        <w:tc>
          <w:tcPr>
            <w:tcW w:w="1390" w:type="pct"/>
            <w:vAlign w:val="center"/>
            <w:textDirection w:val="lrTb"/>
            <w:noWrap w:val="false"/>
          </w:tcPr>
          <w:p>
            <w:pPr>
              <w:spacing w:line="0" w:lineRule="atLeast"/>
              <w:rPr>
                <w:sz w:val="24"/>
              </w:rPr>
            </w:pPr>
            <w:r>
              <w:rPr>
                <w:rFonts w:hint="eastAsia"/>
                <w:sz w:val="24"/>
              </w:rPr>
              <w:t xml:space="preserve">高效液相色谱仪</w:t>
            </w:r>
            <w:r/>
          </w:p>
        </w:tc>
        <w:tc>
          <w:tcPr>
            <w:tcW w:w="3209" w:type="pct"/>
            <w:vAlign w:val="center"/>
            <w:textDirection w:val="lrTb"/>
            <w:noWrap w:val="false"/>
          </w:tcPr>
          <w:p>
            <w:pPr>
              <w:spacing w:line="0" w:lineRule="atLeast"/>
              <w:rPr>
                <w:sz w:val="24"/>
              </w:rPr>
            </w:pPr>
            <w:r>
              <w:rPr>
                <w:rFonts w:hint="eastAsia"/>
                <w:sz w:val="24"/>
              </w:rPr>
              <w:t xml:space="preserve">压力范围：压力最高能达到</w:t>
            </w:r>
            <w:r>
              <w:rPr>
                <w:rFonts w:hint="eastAsia"/>
                <w:sz w:val="24"/>
              </w:rPr>
              <w:t xml:space="preserve">600bar</w:t>
            </w:r>
            <w:r>
              <w:rPr>
                <w:rFonts w:hint="eastAsia"/>
                <w:sz w:val="24"/>
              </w:rPr>
              <w:t xml:space="preserve">。</w:t>
            </w:r>
            <w:r>
              <w:rPr>
                <w:rFonts w:hint="eastAsia"/>
                <w:color w:val="000000" w:themeColor="text1"/>
                <w:sz w:val="24"/>
              </w:rPr>
              <w:t xml:space="preserve">（整机系统耐压，包含泵、自动进样器、柱温箱及连接管路）（需提供软件截图或法定计量机构的检测报告，验收指标）</w:t>
            </w:r>
            <w:r/>
          </w:p>
        </w:tc>
      </w:tr>
      <w:tr>
        <w:trPr/>
        <w:tc>
          <w:tcPr>
            <w:tcW w:w="401" w:type="pct"/>
            <w:vAlign w:val="center"/>
            <w:textDirection w:val="lrTb"/>
            <w:noWrap w:val="false"/>
          </w:tcPr>
          <w:p>
            <w:pPr>
              <w:spacing w:line="0" w:lineRule="atLeast"/>
              <w:rPr>
                <w:sz w:val="24"/>
              </w:rPr>
            </w:pPr>
            <w:r>
              <w:rPr>
                <w:rFonts w:hint="eastAsia"/>
                <w:sz w:val="24"/>
              </w:rPr>
              <w:t xml:space="preserve">2</w:t>
            </w:r>
            <w:r/>
          </w:p>
        </w:tc>
        <w:tc>
          <w:tcPr>
            <w:tcW w:w="1390" w:type="pct"/>
            <w:vAlign w:val="center"/>
            <w:textDirection w:val="lrTb"/>
            <w:noWrap w:val="false"/>
          </w:tcPr>
          <w:p>
            <w:pPr>
              <w:spacing w:line="0" w:lineRule="atLeast"/>
              <w:rPr>
                <w:sz w:val="24"/>
              </w:rPr>
            </w:pPr>
            <w:r>
              <w:rPr>
                <w:rFonts w:hint="eastAsia"/>
                <w:sz w:val="24"/>
              </w:rPr>
              <w:t xml:space="preserve">电脑计算机显示器</w:t>
            </w:r>
            <w:r/>
          </w:p>
        </w:tc>
        <w:tc>
          <w:tcPr>
            <w:tcW w:w="3209" w:type="pct"/>
            <w:vAlign w:val="center"/>
            <w:textDirection w:val="lrTb"/>
            <w:noWrap w:val="false"/>
          </w:tcPr>
          <w:p>
            <w:pPr>
              <w:spacing w:line="0" w:lineRule="atLeast"/>
              <w:rPr>
                <w:sz w:val="24"/>
              </w:rPr>
            </w:pPr>
            <w:r>
              <w:rPr>
                <w:sz w:val="24"/>
              </w:rPr>
              <w:t xml:space="preserve">提供节能认证证书</w:t>
            </w:r>
            <w:r/>
          </w:p>
        </w:tc>
      </w:tr>
    </w:tbl>
    <w:p>
      <w:pPr>
        <w:ind w:firstLine="274"/>
        <w:spacing w:line="0" w:lineRule="atLeast"/>
        <w:rPr>
          <w:bCs/>
          <w:iCs/>
          <w:sz w:val="28"/>
          <w:szCs w:val="28"/>
        </w:rPr>
      </w:pPr>
      <w:r>
        <w:rPr>
          <w:rFonts w:hint="eastAsia"/>
          <w:bCs/>
          <w:iCs/>
          <w:sz w:val="28"/>
          <w:szCs w:val="28"/>
        </w:rPr>
        <w:t xml:space="preserve">分包三：</w:t>
      </w:r>
      <w:r/>
    </w:p>
    <w:tbl>
      <w:tblPr>
        <w:tblStyle w:val="969"/>
        <w:tblW w:w="5000" w:type="pct"/>
        <w:tblLook w:val="04A0" w:firstRow="1" w:lastRow="0" w:firstColumn="1" w:lastColumn="0" w:noHBand="0" w:noVBand="1"/>
      </w:tblPr>
      <w:tblGrid>
        <w:gridCol w:w="665"/>
        <w:gridCol w:w="2008"/>
        <w:gridCol w:w="5623"/>
      </w:tblGrid>
      <w:tr>
        <w:trPr/>
        <w:tc>
          <w:tcPr>
            <w:tcW w:w="401" w:type="pct"/>
            <w:vAlign w:val="center"/>
            <w:textDirection w:val="lrTb"/>
            <w:noWrap w:val="false"/>
          </w:tcPr>
          <w:p>
            <w:pPr>
              <w:spacing w:line="0" w:lineRule="atLeast"/>
              <w:rPr>
                <w:sz w:val="24"/>
              </w:rPr>
            </w:pPr>
            <w:r>
              <w:rPr>
                <w:rFonts w:hint="eastAsia"/>
                <w:sz w:val="24"/>
              </w:rPr>
              <w:t xml:space="preserve">序号</w:t>
            </w:r>
            <w:r/>
          </w:p>
        </w:tc>
        <w:tc>
          <w:tcPr>
            <w:tcW w:w="1210" w:type="pct"/>
            <w:vAlign w:val="center"/>
            <w:textDirection w:val="lrTb"/>
            <w:noWrap w:val="false"/>
          </w:tcPr>
          <w:p>
            <w:pPr>
              <w:spacing w:line="0" w:lineRule="atLeast"/>
              <w:rPr>
                <w:sz w:val="24"/>
              </w:rPr>
            </w:pPr>
            <w:r>
              <w:rPr>
                <w:rFonts w:hint="eastAsia"/>
                <w:sz w:val="24"/>
              </w:rPr>
              <w:t xml:space="preserve">仪器名称</w:t>
            </w:r>
            <w:r/>
          </w:p>
        </w:tc>
        <w:tc>
          <w:tcPr>
            <w:tcW w:w="3389" w:type="pct"/>
            <w:vAlign w:val="center"/>
            <w:textDirection w:val="lrTb"/>
            <w:noWrap w:val="false"/>
          </w:tcPr>
          <w:p>
            <w:pPr>
              <w:spacing w:line="0" w:lineRule="atLeast"/>
              <w:rPr>
                <w:sz w:val="24"/>
              </w:rPr>
            </w:pPr>
            <w:r>
              <w:rPr>
                <w:rFonts w:hint="eastAsia"/>
                <w:sz w:val="24"/>
              </w:rPr>
              <w:t xml:space="preserve">实质性要求及证明材料</w:t>
            </w:r>
            <w:r/>
          </w:p>
        </w:tc>
      </w:tr>
      <w:tr>
        <w:trPr/>
        <w:tc>
          <w:tcPr>
            <w:tcW w:w="401" w:type="pct"/>
            <w:vAlign w:val="center"/>
            <w:textDirection w:val="lrTb"/>
            <w:noWrap w:val="false"/>
          </w:tcPr>
          <w:p>
            <w:pPr>
              <w:spacing w:line="0" w:lineRule="atLeast"/>
              <w:rPr>
                <w:sz w:val="24"/>
              </w:rPr>
            </w:pPr>
            <w:r>
              <w:rPr>
                <w:rFonts w:hint="eastAsia"/>
                <w:sz w:val="24"/>
              </w:rPr>
              <w:t xml:space="preserve">1</w:t>
            </w:r>
            <w:r/>
          </w:p>
        </w:tc>
        <w:tc>
          <w:tcPr>
            <w:tcW w:w="1210" w:type="pct"/>
            <w:vAlign w:val="center"/>
            <w:textDirection w:val="lrTb"/>
            <w:noWrap w:val="false"/>
          </w:tcPr>
          <w:p>
            <w:pPr>
              <w:spacing w:line="0" w:lineRule="atLeast"/>
              <w:rPr>
                <w:sz w:val="24"/>
              </w:rPr>
            </w:pPr>
            <w:r>
              <w:rPr>
                <w:rFonts w:hint="eastAsia"/>
                <w:sz w:val="24"/>
              </w:rPr>
              <w:t xml:space="preserve">定氮仪</w:t>
            </w:r>
            <w:r/>
          </w:p>
        </w:tc>
        <w:tc>
          <w:tcPr>
            <w:tcW w:w="3389" w:type="pct"/>
            <w:vAlign w:val="center"/>
            <w:textDirection w:val="lrTb"/>
            <w:noWrap w:val="false"/>
          </w:tcPr>
          <w:p>
            <w:pPr>
              <w:spacing w:line="0" w:lineRule="atLeast"/>
              <w:rPr>
                <w:sz w:val="24"/>
                <w:szCs w:val="24"/>
                <w:highlight w:val="yellow"/>
              </w:rPr>
            </w:pPr>
            <w:r>
              <w:rPr>
                <w:rFonts w:hint="eastAsia" w:ascii="宋体" w:hAnsi="宋体" w:cs="宋体"/>
                <w:sz w:val="24"/>
                <w:szCs w:val="24"/>
              </w:rPr>
              <w:t xml:space="preserve">需包括蒸馏滴定一体机、自动进样器、自动消解仪、废气吸收装置、冷却循环器等，实现</w:t>
            </w:r>
            <w:r>
              <w:rPr>
                <w:rFonts w:hint="eastAsia" w:ascii="宋体" w:hAnsi="宋体" w:cs="宋体"/>
                <w:sz w:val="24"/>
                <w:szCs w:val="24"/>
              </w:rPr>
              <w:t xml:space="preserve">浓硫酸环境消解样品、自动滴定、碱性环境蒸汽蒸馏、硼酸吸收、指示剂滴定终点颜色判定，</w:t>
            </w:r>
            <w:r>
              <w:rPr>
                <w:rFonts w:hint="eastAsia" w:ascii="宋体" w:hAnsi="宋体" w:cs="宋体"/>
                <w:sz w:val="24"/>
                <w:szCs w:val="24"/>
              </w:rPr>
              <w:t xml:space="preserve">可实现</w:t>
            </w:r>
            <w:r>
              <w:rPr>
                <w:rFonts w:hint="eastAsia" w:ascii="宋体" w:hAnsi="宋体" w:cs="宋体"/>
                <w:sz w:val="24"/>
                <w:szCs w:val="24"/>
              </w:rPr>
              <w:t xml:space="preserve">全自动加碱加酸加稀释剂、全自动蒸馏滴定、</w:t>
            </w:r>
            <w:r>
              <w:rPr>
                <w:rFonts w:hint="eastAsia" w:ascii="宋体" w:hAnsi="宋体" w:cs="宋体"/>
                <w:sz w:val="24"/>
                <w:szCs w:val="24"/>
              </w:rPr>
              <w:t xml:space="preserve">全自动排废、全自动清洗、全自动校正、全自动消化管排空、全自动进样、全自动故障检测、全自动溶液液位监测、全自动超温监测、全自动计算结果、输出（需提供视频资料证明，视频需体现所投品牌型号，且能反映蒸馏滴定一体机、自动进样器、自动消解仪、废气吸收装置、冷却循环器功能模块，视频中间无剪辑）</w:t>
            </w:r>
            <w:r/>
          </w:p>
        </w:tc>
      </w:tr>
    </w:tbl>
    <w:p>
      <w:pPr>
        <w:spacing w:line="0" w:lineRule="atLeast"/>
        <w:rPr>
          <w:sz w:val="24"/>
          <w:highlight w:val="yellow"/>
        </w:rPr>
      </w:pPr>
      <w:r>
        <w:rPr>
          <w:sz w:val="24"/>
          <w:highlight w:val="yellow"/>
        </w:rPr>
      </w:r>
      <w:r/>
    </w:p>
    <w:p>
      <w:pPr>
        <w:spacing w:line="500" w:lineRule="exact"/>
        <w:rPr>
          <w:rFonts w:hint="eastAsia" w:ascii="宋体" w:hAnsi="宋体"/>
          <w:sz w:val="24"/>
        </w:rPr>
      </w:pPr>
      <w:r>
        <w:rPr>
          <w:rFonts w:hint="eastAsia" w:ascii="宋体" w:hAnsi="宋体"/>
          <w:sz w:val="24"/>
        </w:rPr>
        <w:t xml:space="preserve">5.采购标的对应的中小企业划分标准所属行业一览表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电感耦合等离子体发射光谱仪</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35"/>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液相色谱仪</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22"/>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定氮仪</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bl>
    <w:p>
      <w:r/>
      <w:r/>
    </w:p>
    <w:p>
      <w:r/>
      <w:r/>
    </w:p>
    <w:p>
      <w:r/>
      <w:r/>
    </w:p>
    <w:p>
      <w:r/>
      <w:r/>
    </w:p>
    <w:p>
      <w:r/>
      <w:r/>
    </w:p>
    <w:p>
      <w:r/>
      <w:r/>
    </w:p>
    <w:p>
      <w:r/>
      <w:r/>
    </w:p>
    <w:p>
      <w:r/>
      <w:r/>
    </w:p>
    <w:p>
      <w:r/>
      <w:r/>
    </w:p>
    <w:p>
      <w:r/>
      <w:r/>
    </w:p>
    <w:p>
      <w:r>
        <w:br w:type="page" w:clear="all"/>
      </w:r>
      <w:r/>
    </w:p>
    <w:p>
      <w:pPr>
        <w:pStyle w:val="933"/>
        <w:rPr>
          <w:rFonts w:ascii="黑体" w:eastAsia="黑体"/>
          <w:bCs/>
          <w:sz w:val="44"/>
        </w:rPr>
      </w:pPr>
      <w:r/>
      <w:bookmarkStart w:id="205" w:name="_Toc175731540"/>
      <w:r>
        <w:rPr>
          <w:rFonts w:hint="eastAsia" w:ascii="黑体" w:eastAsia="黑体"/>
          <w:bCs/>
          <w:sz w:val="44"/>
        </w:rPr>
        <w:t xml:space="preserve">第五章  评标方法与评标标准</w:t>
      </w:r>
      <w:bookmarkEnd w:id="205"/>
      <w:r/>
      <w:r/>
    </w:p>
    <w:p>
      <w:r/>
      <w:r/>
    </w:p>
    <w:p>
      <w:pPr>
        <w:pStyle w:val="102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投标文件满足招标文件全部实质性要求，且按照评审因素的量化指标评审得分最高的投标人为中标候选人。本项目各分包分别选取一名中标候选人。</w:t>
      </w:r>
      <w:r/>
    </w:p>
    <w:p>
      <w:pPr>
        <w:pStyle w:val="1022"/>
        <w:ind w:firstLine="441"/>
        <w:rPr>
          <w:rFonts w:cs="Arial"/>
          <w:b/>
          <w:bCs/>
        </w:rPr>
      </w:pPr>
      <w:r>
        <w:rPr>
          <w:rFonts w:hint="eastAsia" w:cs="Arial"/>
          <w:b/>
          <w:bCs/>
        </w:rPr>
        <w:t xml:space="preserve">本项目共分</w:t>
      </w:r>
      <w:r>
        <w:rPr>
          <w:rFonts w:hint="eastAsia" w:cs="Arial"/>
          <w:b/>
          <w:bCs/>
        </w:rPr>
        <w:t xml:space="preserve">3</w:t>
      </w:r>
      <w:r>
        <w:rPr>
          <w:rFonts w:hint="eastAsia" w:cs="Arial"/>
          <w:b/>
          <w:bCs/>
        </w:rPr>
        <w:t xml:space="preserve">个采购包，可兼投，不兼中。投标人可对本次采购的单个采购包或全部采购包进行投标，在投标文件中注明所投采购包并响应该采购包全部内容。每个投标人仅限中标一个采购包。</w:t>
      </w:r>
      <w:r>
        <w:rPr>
          <w:rFonts w:hint="eastAsia" w:cs="Arial"/>
          <w:b/>
          <w:bCs/>
        </w:rPr>
        <w:t xml:space="preserve">3</w:t>
      </w:r>
      <w:r>
        <w:rPr>
          <w:rFonts w:hint="eastAsia" w:cs="Arial"/>
          <w:b/>
          <w:bCs/>
        </w:rPr>
        <w:t xml:space="preserve">个采购包同时评审，按采购包</w:t>
      </w:r>
      <w:r>
        <w:rPr>
          <w:rFonts w:hint="eastAsia" w:cs="Arial"/>
          <w:b/>
          <w:bCs/>
        </w:rPr>
        <w:t xml:space="preserve">1</w:t>
      </w:r>
      <w:r>
        <w:rPr>
          <w:rFonts w:hint="eastAsia" w:cs="Arial"/>
          <w:b/>
          <w:bCs/>
        </w:rPr>
        <w:t xml:space="preserve">、采购包</w:t>
      </w:r>
      <w:r>
        <w:rPr>
          <w:rFonts w:hint="eastAsia" w:cs="Arial"/>
          <w:b/>
          <w:bCs/>
        </w:rPr>
        <w:t xml:space="preserve">2</w:t>
      </w:r>
      <w:r>
        <w:rPr>
          <w:rFonts w:hint="eastAsia" w:cs="Arial"/>
          <w:b/>
          <w:bCs/>
        </w:rPr>
        <w:t xml:space="preserve">、采购包</w:t>
      </w:r>
      <w:r>
        <w:rPr>
          <w:rFonts w:hint="eastAsia" w:cs="Arial"/>
          <w:b/>
          <w:bCs/>
        </w:rPr>
        <w:t xml:space="preserve">3</w:t>
      </w:r>
      <w:r>
        <w:rPr>
          <w:rFonts w:hint="eastAsia" w:cs="Arial"/>
          <w:b/>
          <w:bCs/>
        </w:rPr>
        <w:t xml:space="preserve">的顺序依次各确定</w:t>
      </w:r>
      <w:r>
        <w:rPr>
          <w:rFonts w:hint="eastAsia" w:cs="Arial"/>
          <w:b/>
          <w:bCs/>
        </w:rPr>
        <w:t xml:space="preserve">1</w:t>
      </w:r>
      <w:r>
        <w:rPr>
          <w:rFonts w:hint="eastAsia" w:cs="Arial"/>
          <w:b/>
          <w:bCs/>
        </w:rPr>
        <w:t xml:space="preserve">名中标候选人，采购包</w:t>
      </w:r>
      <w:r>
        <w:rPr>
          <w:rFonts w:hint="eastAsia" w:cs="Arial"/>
          <w:b/>
          <w:bCs/>
        </w:rPr>
        <w:t xml:space="preserve">1</w:t>
      </w:r>
      <w:r>
        <w:rPr>
          <w:rFonts w:hint="eastAsia" w:cs="Arial"/>
          <w:b/>
          <w:bCs/>
        </w:rPr>
        <w:t xml:space="preserve">确定的中标候选人不再列为采购包</w:t>
      </w:r>
      <w:r>
        <w:rPr>
          <w:rFonts w:hint="eastAsia" w:cs="Arial"/>
          <w:b/>
          <w:bCs/>
        </w:rPr>
        <w:t xml:space="preserve">2</w:t>
      </w:r>
      <w:r>
        <w:rPr>
          <w:rFonts w:hint="eastAsia" w:cs="Arial"/>
          <w:b/>
          <w:bCs/>
        </w:rPr>
        <w:t xml:space="preserve">的中标候选人，以此类推。</w:t>
      </w:r>
      <w:r/>
    </w:p>
    <w:p>
      <w:pPr>
        <w:pStyle w:val="1022"/>
        <w:ind w:firstLine="441"/>
        <w:rPr>
          <w:rFonts w:cs="Arial"/>
          <w:b/>
          <w:bCs/>
        </w:rPr>
      </w:pPr>
      <w:r>
        <w:rPr>
          <w:rFonts w:hint="eastAsia" w:cs="Arial"/>
          <w:b/>
          <w:bCs/>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pStyle w:val="1022"/>
        <w:ind w:firstLine="441"/>
        <w:rPr>
          <w:rFonts w:cs="Arial"/>
          <w:b/>
          <w:bCs/>
        </w:rPr>
      </w:pPr>
      <w:r>
        <w:rPr>
          <w:rFonts w:hint="eastAsia" w:cs="Arial"/>
          <w:b/>
          <w:bCs/>
        </w:rPr>
        <w:t xml:space="preserve">政府采购政策功能落实</w:t>
      </w:r>
      <w:r/>
    </w:p>
    <w:p>
      <w:pPr>
        <w:pStyle w:val="1022"/>
        <w:ind w:firstLine="439"/>
        <w:rPr>
          <w:rFonts w:cs="Arial"/>
        </w:rPr>
      </w:pPr>
      <w:r>
        <w:rPr>
          <w:rFonts w:hint="eastAsia" w:cs="Arial"/>
        </w:rPr>
        <w:t xml:space="preserve">1</w:t>
      </w:r>
      <w:r>
        <w:rPr>
          <w:rFonts w:hint="eastAsia" w:cs="Arial"/>
        </w:rPr>
        <w:t xml:space="preserve">、小微型企业价格扣除</w:t>
      </w:r>
      <w:r/>
    </w:p>
    <w:p>
      <w:pPr>
        <w:pStyle w:val="1022"/>
        <w:ind w:firstLine="439"/>
        <w:rPr>
          <w:rFonts w:cs="Arial"/>
        </w:rPr>
      </w:pPr>
      <w:r>
        <w:rPr>
          <w:rFonts w:hint="eastAsia" w:cs="Arial"/>
        </w:rPr>
        <w:t xml:space="preserve">（</w:t>
      </w:r>
      <w:r>
        <w:rPr>
          <w:rFonts w:hint="eastAsia" w:cs="Arial"/>
        </w:rPr>
        <w:t xml:space="preserve">1</w:t>
      </w:r>
      <w:r>
        <w:rPr>
          <w:rFonts w:hint="eastAsia" w:cs="Arial"/>
        </w:rPr>
        <w:t xml:space="preserve">）本项目对全部采用小型和微型企业产品投标的给予</w:t>
      </w:r>
      <w:r>
        <w:rPr>
          <w:rFonts w:hint="eastAsia" w:cs="Arial"/>
        </w:rPr>
        <w:t xml:space="preserve">20%</w:t>
      </w:r>
      <w:r>
        <w:rPr>
          <w:rFonts w:hint="eastAsia" w:cs="Arial"/>
        </w:rPr>
        <w:t xml:space="preserve">的扣除价格，用扣除后的价格参与评审。如果供应商提供的货物既有小、微企业制造货物，也有大、中型企业制造货物的，不享受小微型企业价格扣除政策。</w:t>
      </w:r>
      <w:r/>
    </w:p>
    <w:p>
      <w:pPr>
        <w:pStyle w:val="1022"/>
        <w:ind w:firstLine="439"/>
        <w:rPr>
          <w:rFonts w:cs="Arial"/>
        </w:rPr>
      </w:pPr>
      <w:r>
        <w:rPr>
          <w:rFonts w:hint="eastAsia" w:cs="Arial"/>
        </w:rPr>
        <w:t xml:space="preserve">（</w:t>
      </w:r>
      <w:r>
        <w:rPr>
          <w:rFonts w:hint="eastAsia" w:cs="Arial"/>
        </w:rPr>
        <w:t xml:space="preserve">2</w:t>
      </w:r>
      <w:r>
        <w:rPr>
          <w:rFonts w:hint="eastAsia" w:cs="Arial"/>
        </w:rPr>
        <w:t xml:space="preserve">）供应商需按照采购文件的要求提供相应的《小微企业声明函》。</w:t>
      </w:r>
      <w:r/>
    </w:p>
    <w:p>
      <w:pPr>
        <w:pStyle w:val="1022"/>
        <w:ind w:firstLine="439"/>
        <w:rPr>
          <w:rFonts w:cs="Arial"/>
        </w:rPr>
      </w:pPr>
      <w:r>
        <w:rPr>
          <w:rFonts w:hint="eastAsia" w:cs="Arial"/>
        </w:rPr>
        <w:t xml:space="preserve">（</w:t>
      </w:r>
      <w:r>
        <w:rPr>
          <w:rFonts w:hint="eastAsia" w:cs="Arial"/>
        </w:rPr>
        <w:t xml:space="preserve">3</w:t>
      </w:r>
      <w:r>
        <w:rPr>
          <w:rFonts w:hint="eastAsia" w:cs="Arial"/>
        </w:rPr>
        <w:t xml:space="preserve">）企业标准请参照《关于印发中小企业划型标准规定的通知》（工信部联企业</w:t>
      </w:r>
      <w:r>
        <w:rPr>
          <w:rFonts w:hint="eastAsia" w:cs="Arial"/>
        </w:rPr>
        <w:t xml:space="preserve">[2011]300</w:t>
      </w:r>
      <w:r>
        <w:rPr>
          <w:rFonts w:hint="eastAsia" w:cs="Arial"/>
        </w:rPr>
        <w:t xml:space="preserve">号）文件规定自行填写。</w:t>
      </w:r>
      <w:r/>
    </w:p>
    <w:p>
      <w:pPr>
        <w:pStyle w:val="1022"/>
        <w:ind w:firstLine="439"/>
        <w:rPr>
          <w:rFonts w:cs="Arial"/>
        </w:rPr>
      </w:pPr>
      <w:r>
        <w:rPr>
          <w:rFonts w:hint="eastAsia" w:cs="Arial"/>
        </w:rPr>
        <w:t xml:space="preserve">2</w:t>
      </w:r>
      <w:r>
        <w:rPr>
          <w:rFonts w:hint="eastAsia" w:cs="Arial"/>
        </w:rPr>
        <w:t xml:space="preserve">、残疾人福利单位价格扣除</w:t>
      </w:r>
      <w:r/>
    </w:p>
    <w:p>
      <w:pPr>
        <w:pStyle w:val="1022"/>
        <w:ind w:firstLine="439"/>
        <w:rPr>
          <w:rFonts w:cs="Arial"/>
        </w:rPr>
      </w:pPr>
      <w:r>
        <w:rPr>
          <w:rFonts w:hint="eastAsia" w:cs="Arial"/>
        </w:rPr>
        <w:t xml:space="preserve">（</w:t>
      </w:r>
      <w:r>
        <w:rPr>
          <w:rFonts w:hint="eastAsia" w:cs="Arial"/>
        </w:rPr>
        <w:t xml:space="preserve">1</w:t>
      </w:r>
      <w:r>
        <w:rPr>
          <w:rFonts w:hint="eastAsia" w:cs="Arial"/>
        </w:rPr>
        <w:t xml:space="preserve">）本项目对残疾人福利性单位视同小型、微型企业，给予</w:t>
      </w:r>
      <w:r>
        <w:rPr>
          <w:rFonts w:hint="eastAsia" w:cs="Arial"/>
        </w:rPr>
        <w:t xml:space="preserve">20%</w:t>
      </w:r>
      <w:r>
        <w:rPr>
          <w:rFonts w:hint="eastAsia" w:cs="Arial"/>
        </w:rPr>
        <w:t xml:space="preserve">的价格</w:t>
      </w:r>
      <w:r>
        <w:rPr>
          <w:rFonts w:hint="eastAsia" w:cs="Arial"/>
        </w:rPr>
        <w:t xml:space="preserve">扣除，用扣除后的价格参与评审。</w:t>
      </w:r>
      <w:r/>
    </w:p>
    <w:p>
      <w:pPr>
        <w:pStyle w:val="1022"/>
        <w:ind w:firstLine="439"/>
        <w:rPr>
          <w:rFonts w:cs="Arial"/>
        </w:rPr>
      </w:pPr>
      <w:r>
        <w:rPr>
          <w:rFonts w:hint="eastAsia" w:cs="Arial"/>
        </w:rPr>
        <w:t xml:space="preserve">（</w:t>
      </w:r>
      <w:r>
        <w:rPr>
          <w:rFonts w:hint="eastAsia" w:cs="Arial"/>
        </w:rPr>
        <w:t xml:space="preserve">2</w:t>
      </w:r>
      <w:r>
        <w:rPr>
          <w:rFonts w:hint="eastAsia" w:cs="Arial"/>
        </w:rPr>
        <w:t xml:space="preserve">）残疾人福利单位需按照采购文件的要求提供《残疾人福利性单位声明函》。</w:t>
      </w:r>
      <w:r/>
    </w:p>
    <w:p>
      <w:pPr>
        <w:pStyle w:val="1022"/>
        <w:ind w:firstLine="439"/>
        <w:rPr>
          <w:rFonts w:cs="Arial"/>
        </w:rPr>
      </w:pPr>
      <w:r>
        <w:rPr>
          <w:rFonts w:hint="eastAsia" w:cs="Arial"/>
        </w:rPr>
        <w:t xml:space="preserve">（</w:t>
      </w:r>
      <w:r>
        <w:rPr>
          <w:rFonts w:hint="eastAsia" w:cs="Arial"/>
        </w:rPr>
        <w:t xml:space="preserve">3</w:t>
      </w:r>
      <w:r>
        <w:rPr>
          <w:rFonts w:hint="eastAsia" w:cs="Arial"/>
        </w:rPr>
        <w:t xml:space="preserve">）残疾人福利单位标准请参照《关于促进残疾人就业政府采购政策的通知》（财库〔</w:t>
      </w:r>
      <w:r>
        <w:rPr>
          <w:rFonts w:hint="eastAsia" w:cs="Arial"/>
        </w:rPr>
        <w:t xml:space="preserve">2017</w:t>
      </w:r>
      <w:r>
        <w:rPr>
          <w:rFonts w:hint="eastAsia" w:cs="Arial"/>
        </w:rPr>
        <w:t xml:space="preserve">〕</w:t>
      </w:r>
      <w:r>
        <w:rPr>
          <w:rFonts w:hint="eastAsia" w:cs="Arial"/>
        </w:rPr>
        <w:t xml:space="preserve">141</w:t>
      </w:r>
      <w:r>
        <w:rPr>
          <w:rFonts w:hint="eastAsia" w:cs="Arial"/>
        </w:rPr>
        <w:t xml:space="preserve">号）。</w:t>
      </w:r>
      <w:r/>
    </w:p>
    <w:p>
      <w:pPr>
        <w:pStyle w:val="1022"/>
        <w:ind w:firstLine="439"/>
        <w:rPr>
          <w:rFonts w:cs="Arial"/>
        </w:rPr>
      </w:pPr>
      <w:r>
        <w:rPr>
          <w:rFonts w:hint="eastAsia" w:cs="Arial"/>
        </w:rPr>
        <w:t xml:space="preserve">3</w:t>
      </w:r>
      <w:r>
        <w:rPr>
          <w:rFonts w:hint="eastAsia" w:cs="Arial"/>
        </w:rPr>
        <w:t xml:space="preserve">、监狱和戒毒企业价格扣除</w:t>
      </w:r>
      <w:r/>
    </w:p>
    <w:p>
      <w:pPr>
        <w:pStyle w:val="1022"/>
        <w:ind w:firstLine="439"/>
        <w:rPr>
          <w:rFonts w:cs="Arial"/>
        </w:rPr>
      </w:pPr>
      <w:r>
        <w:rPr>
          <w:rFonts w:hint="eastAsia" w:cs="Arial"/>
        </w:rPr>
        <w:t xml:space="preserve">（</w:t>
      </w:r>
      <w:r>
        <w:rPr>
          <w:rFonts w:hint="eastAsia" w:cs="Arial"/>
        </w:rPr>
        <w:t xml:space="preserve">1</w:t>
      </w:r>
      <w:r>
        <w:rPr>
          <w:rFonts w:hint="eastAsia" w:cs="Arial"/>
        </w:rPr>
        <w:t xml:space="preserve">）本项目对监狱和戒毒企业（简称监狱企业）视同小型、微型企业，给予</w:t>
      </w:r>
      <w:r>
        <w:rPr>
          <w:rFonts w:hint="eastAsia" w:cs="Arial"/>
        </w:rPr>
        <w:t xml:space="preserve">20%</w:t>
      </w:r>
      <w:r>
        <w:rPr>
          <w:rFonts w:hint="eastAsia" w:cs="Arial"/>
        </w:rPr>
        <w:t xml:space="preserve">的价格扣除，用扣除后的价格参与评审。</w:t>
      </w:r>
      <w:r/>
    </w:p>
    <w:p>
      <w:pPr>
        <w:pStyle w:val="1022"/>
        <w:ind w:firstLine="439"/>
        <w:rPr>
          <w:rFonts w:cs="Arial"/>
        </w:rPr>
      </w:pPr>
      <w:r>
        <w:rPr>
          <w:rFonts w:hint="eastAsia" w:cs="Arial"/>
        </w:rPr>
        <w:t xml:space="preserve">（</w:t>
      </w:r>
      <w:r>
        <w:rPr>
          <w:rFonts w:hint="eastAsia" w:cs="Arial"/>
        </w:rPr>
        <w:t xml:space="preserve">2</w:t>
      </w:r>
      <w:r>
        <w:rPr>
          <w:rFonts w:hint="eastAsia" w:cs="Arial"/>
        </w:rPr>
        <w:t xml:space="preserve">）监狱企业参加政府采购活动时，需提供由省级以上监狱管理局、戒毒管理局</w:t>
      </w:r>
      <w:r>
        <w:rPr>
          <w:rFonts w:hint="eastAsia" w:cs="Arial"/>
        </w:rPr>
        <w:t xml:space="preserve">(</w:t>
      </w:r>
      <w:r>
        <w:rPr>
          <w:rFonts w:hint="eastAsia" w:cs="Arial"/>
        </w:rPr>
        <w:t xml:space="preserve">含新疆生产建设兵团</w:t>
      </w:r>
      <w:r>
        <w:rPr>
          <w:rFonts w:hint="eastAsia" w:cs="Arial"/>
        </w:rPr>
        <w:t xml:space="preserve">)</w:t>
      </w:r>
      <w:r>
        <w:rPr>
          <w:rFonts w:hint="eastAsia" w:cs="Arial"/>
        </w:rPr>
        <w:t xml:space="preserve">出具的属于监狱企业的证明文件。供应商如不提供上述证明文件，价格将不做相应扣除。</w:t>
      </w:r>
      <w:r/>
    </w:p>
    <w:p>
      <w:pPr>
        <w:pStyle w:val="1022"/>
        <w:ind w:firstLine="439"/>
        <w:rPr>
          <w:rFonts w:cs="Arial"/>
        </w:rPr>
      </w:pPr>
      <w:r>
        <w:rPr>
          <w:rFonts w:hint="eastAsia" w:cs="Arial"/>
        </w:rPr>
        <w:t xml:space="preserve">（</w:t>
      </w:r>
      <w:r>
        <w:rPr>
          <w:rFonts w:hint="eastAsia" w:cs="Arial"/>
        </w:rPr>
        <w:t xml:space="preserve">3</w:t>
      </w:r>
      <w:r>
        <w:rPr>
          <w:rFonts w:hint="eastAsia" w:cs="Arial"/>
        </w:rPr>
        <w:t xml:space="preserve">）监狱企业标准请参照《关于政府采购支持监狱企业发展有关问题的通知》（</w:t>
      </w:r>
      <w:r>
        <w:rPr>
          <w:rFonts w:cs="Arial"/>
        </w:rPr>
        <w:t xml:space="preserve">财库</w:t>
      </w:r>
      <w:r>
        <w:rPr>
          <w:rFonts w:cs="Arial"/>
        </w:rPr>
        <w:t xml:space="preserve">[2014]68</w:t>
      </w:r>
      <w:r>
        <w:rPr>
          <w:rFonts w:cs="Arial"/>
        </w:rPr>
        <w:t xml:space="preserve">号</w:t>
      </w:r>
      <w:r>
        <w:rPr>
          <w:rFonts w:hint="eastAsia" w:cs="Arial"/>
        </w:rPr>
        <w:t xml:space="preserve">）。</w:t>
      </w:r>
      <w:r/>
    </w:p>
    <w:p>
      <w:pPr>
        <w:pStyle w:val="1022"/>
        <w:ind w:firstLine="439"/>
        <w:rPr>
          <w:rFonts w:cs="Arial"/>
        </w:rPr>
      </w:pPr>
      <w:r>
        <w:rPr>
          <w:rFonts w:hint="eastAsia" w:cs="Arial"/>
        </w:rPr>
        <w:t xml:space="preserve">4</w:t>
      </w:r>
      <w:r>
        <w:rPr>
          <w:rFonts w:hint="eastAsia" w:cs="Arial"/>
        </w:rPr>
        <w:t xml:space="preserve">、残疾人福利单位、监狱企业属于小型、微型企业的，不重复享受政策。</w:t>
      </w:r>
      <w:r/>
    </w:p>
    <w:p>
      <w:pPr>
        <w:pStyle w:val="1022"/>
        <w:ind w:firstLine="439"/>
        <w:rPr>
          <w:rFonts w:cs="Arial"/>
        </w:rPr>
      </w:pPr>
      <w:r>
        <w:rPr>
          <w:rFonts w:hint="eastAsia" w:cs="Arial"/>
        </w:rPr>
        <w:t xml:space="preserve">5</w:t>
      </w:r>
      <w:r>
        <w:rPr>
          <w:rFonts w:hint="eastAsia" w:cs="Arial"/>
        </w:rPr>
        <w:t xml:space="preserve">、如果本项目同意联合体投标或同意分包履行合同</w:t>
      </w:r>
      <w:r>
        <w:rPr>
          <w:rFonts w:hint="eastAsia" w:cs="Arial"/>
        </w:rPr>
        <w:t xml:space="preserve">的</w:t>
      </w:r>
      <w:r>
        <w:rPr>
          <w:rFonts w:hint="eastAsia" w:cs="Arial"/>
        </w:rPr>
        <w:t xml:space="preserve">,</w:t>
      </w:r>
      <w:r>
        <w:rPr>
          <w:rFonts w:hint="eastAsia" w:cs="Aria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Arial"/>
        </w:rPr>
        <w:t xml:space="preserve">30%</w:t>
      </w:r>
      <w:r>
        <w:rPr>
          <w:rFonts w:hint="eastAsia" w:cs="Arial"/>
        </w:rPr>
        <w:t xml:space="preserve">以上的，给予联合体或者大中型企业</w:t>
      </w:r>
      <w:r>
        <w:rPr>
          <w:rFonts w:hint="eastAsia" w:cs="Arial"/>
        </w:rPr>
        <w:t xml:space="preserve">6%</w:t>
      </w:r>
      <w:r>
        <w:rPr>
          <w:rFonts w:hint="eastAsia" w:cs="Arial"/>
        </w:rPr>
        <w:t xml:space="preserve">的价格扣除，用扣除后的价格参与评审。</w:t>
      </w:r>
      <w:r/>
    </w:p>
    <w:p>
      <w:pPr>
        <w:pStyle w:val="1022"/>
        <w:ind w:firstLine="439"/>
        <w:rPr>
          <w:rFonts w:cs="Arial"/>
        </w:rPr>
      </w:pPr>
      <w:r>
        <w:rPr>
          <w:rFonts w:hint="eastAsia" w:cs="Arial"/>
        </w:rPr>
        <w:t xml:space="preserve">6</w:t>
      </w:r>
      <w:r>
        <w:rPr>
          <w:rFonts w:hint="eastAsia" w:cs="Arial"/>
        </w:rPr>
        <w:t xml:space="preserve">、联合体各方均为小型、微型企业（残疾人福利单位、监狱企业）的，联合体享受</w:t>
      </w:r>
      <w:r>
        <w:rPr>
          <w:rFonts w:hint="eastAsia" w:cs="Arial"/>
        </w:rPr>
        <w:t xml:space="preserve">20%</w:t>
      </w:r>
      <w:r>
        <w:rPr>
          <w:rFonts w:hint="eastAsia" w:cs="Arial"/>
        </w:rPr>
        <w:t xml:space="preserve">价格扣除，用扣除后的价格参与评审。</w:t>
      </w:r>
      <w:r/>
    </w:p>
    <w:p>
      <w:pPr>
        <w:pStyle w:val="1022"/>
        <w:ind w:firstLine="439"/>
        <w:rPr>
          <w:rFonts w:cs="Arial"/>
        </w:rPr>
      </w:pPr>
      <w:r>
        <w:rPr>
          <w:rFonts w:hint="eastAsia" w:cs="Arial"/>
        </w:rPr>
        <w:t xml:space="preserve">7</w:t>
      </w:r>
      <w:r>
        <w:rPr>
          <w:rFonts w:hint="eastAsia" w:cs="Arial"/>
        </w:rPr>
        <w:t xml:space="preserve">、采购本国产品的支持政策</w:t>
      </w:r>
      <w:r/>
    </w:p>
    <w:p>
      <w:pPr>
        <w:pStyle w:val="1022"/>
        <w:ind w:firstLine="439"/>
        <w:rPr>
          <w:rFonts w:cs="Arial"/>
        </w:rPr>
      </w:pPr>
      <w:r>
        <w:rPr>
          <w:rFonts w:hint="eastAsia" w:cs="Arial"/>
        </w:rPr>
        <w:t xml:space="preserve">7.1 </w:t>
      </w:r>
      <w:r>
        <w:rPr>
          <w:rFonts w:hint="eastAsia" w:cs="Arial"/>
        </w:rPr>
        <w:t xml:space="preserve">本项目政府采购活动中既有本国产品又有非本国产品参与竞争的，依法对本国产品给予价格评审优惠，对本国产品的报价给予</w:t>
      </w:r>
      <w:r>
        <w:rPr>
          <w:rFonts w:hint="eastAsia" w:cs="Arial"/>
        </w:rPr>
        <w:t xml:space="preserve">20%</w:t>
      </w:r>
      <w:r>
        <w:rPr>
          <w:rFonts w:hint="eastAsia" w:cs="Arial"/>
        </w:rPr>
        <w:t xml:space="preserve">的价格扣除，用扣除后的价格参与评审。</w:t>
      </w:r>
      <w:r/>
    </w:p>
    <w:p>
      <w:pPr>
        <w:pStyle w:val="1022"/>
        <w:ind w:firstLine="439"/>
        <w:rPr>
          <w:rFonts w:cs="Arial"/>
        </w:rPr>
      </w:pPr>
      <w:r>
        <w:rPr>
          <w:rFonts w:hint="eastAsia" w:cs="Arial"/>
        </w:rPr>
        <w:t xml:space="preserve">7.2 </w:t>
      </w:r>
      <w:r>
        <w:rPr>
          <w:rFonts w:hint="eastAsia" w:cs="Arial"/>
        </w:rPr>
        <w:t xml:space="preserve">当采购项目或者采购包中含有多种产品，供应商为该采购项目或者采</w:t>
      </w:r>
      <w:r>
        <w:rPr>
          <w:rFonts w:hint="eastAsia" w:cs="Arial"/>
        </w:rPr>
        <w:t xml:space="preserve">购包提供的符合本国产品标准的产品成本之和占该供应商提供的全部产品成本之和的比例达到</w:t>
      </w:r>
      <w:r>
        <w:rPr>
          <w:rFonts w:hint="eastAsia" w:cs="Arial"/>
        </w:rPr>
        <w:t xml:space="preserve">80%</w:t>
      </w:r>
      <w:r>
        <w:rPr>
          <w:rFonts w:hint="eastAsia" w:cs="Arial"/>
        </w:rPr>
        <w:t xml:space="preserve">以上时（供应商需在“第六章</w:t>
      </w:r>
      <w:r>
        <w:rPr>
          <w:rFonts w:hint="eastAsia" w:cs="Arial"/>
        </w:rPr>
        <w:t xml:space="preserve"> </w:t>
      </w:r>
      <w:r>
        <w:rPr>
          <w:rFonts w:hint="eastAsia" w:cs="Arial"/>
        </w:rPr>
        <w:t xml:space="preserve">投标文件格式”的“附件</w:t>
      </w:r>
      <w:r>
        <w:rPr>
          <w:rFonts w:hint="eastAsia" w:cs="Arial"/>
        </w:rPr>
        <w:t xml:space="preserve">2 </w:t>
      </w:r>
      <w:r>
        <w:rPr>
          <w:rFonts w:hint="eastAsia" w:cs="Arial"/>
        </w:rPr>
        <w:t xml:space="preserve">投标分项报价表”中填写比例数值），依法对该供应商提供的全部产品给予价格评审优惠，即对该供应商提供的全部产品的总报价给予</w:t>
      </w:r>
      <w:r>
        <w:rPr>
          <w:rFonts w:hint="eastAsia" w:cs="Arial"/>
        </w:rPr>
        <w:t xml:space="preserve">20%</w:t>
      </w:r>
      <w:r>
        <w:rPr>
          <w:rFonts w:hint="eastAsia" w:cs="Arial"/>
        </w:rPr>
        <w:t xml:space="preserve">的价格扣除，用扣除后的价格参与评审。供应商未填写比例数值，或比例数值未达到</w:t>
      </w:r>
      <w:r>
        <w:rPr>
          <w:rFonts w:hint="eastAsia" w:cs="Arial"/>
        </w:rPr>
        <w:t xml:space="preserve">80%</w:t>
      </w:r>
      <w:r>
        <w:rPr>
          <w:rFonts w:hint="eastAsia" w:cs="Arial"/>
        </w:rPr>
        <w:t xml:space="preserve">的，将不享受本国产品价格评审优惠。</w:t>
      </w:r>
      <w:r/>
    </w:p>
    <w:p>
      <w:pPr>
        <w:pStyle w:val="1022"/>
        <w:ind w:firstLine="439"/>
        <w:rPr>
          <w:rFonts w:cs="Arial"/>
        </w:rPr>
      </w:pPr>
      <w:r>
        <w:rPr>
          <w:rFonts w:hint="eastAsia" w:cs="Arial"/>
        </w:rPr>
        <w:t xml:space="preserve">7.3 </w:t>
      </w:r>
      <w:r>
        <w:rPr>
          <w:rFonts w:hint="eastAsia" w:cs="Arial"/>
        </w:rPr>
        <w:t xml:space="preserve">供应商需按照招标文件的要求提供《关于符合本国产品标准的声明函》（以下简称《声明函》），如不提供将不享受本国产品价格评审优惠。</w:t>
      </w:r>
      <w:r/>
    </w:p>
    <w:p>
      <w:pPr>
        <w:pStyle w:val="1022"/>
        <w:ind w:firstLine="439"/>
        <w:rPr>
          <w:rFonts w:cs="Arial"/>
        </w:rPr>
      </w:pPr>
      <w:r>
        <w:rPr>
          <w:rFonts w:hint="eastAsia" w:cs="Arial"/>
        </w:rPr>
        <w:t xml:space="preserve">7.4 </w:t>
      </w:r>
      <w:r>
        <w:rPr>
          <w:rFonts w:hint="eastAsia" w:cs="Arial"/>
        </w:rPr>
        <w:t xml:space="preserve">供应商需在《声明函》中逐一、</w:t>
      </w:r>
      <w:r>
        <w:rPr>
          <w:rFonts w:cs="Arial"/>
        </w:rPr>
        <w:t xml:space="preserve">准确</w:t>
      </w:r>
      <w:r>
        <w:rPr>
          <w:rFonts w:hint="eastAsia" w:cs="Arial"/>
        </w:rPr>
        <w:t xml:space="preserve">填写产品名称、厂名、生产厂址三项信息（《声明函》中用斜线划除的地方无需填写），三</w:t>
      </w:r>
      <w:r>
        <w:rPr>
          <w:rFonts w:cs="Arial"/>
        </w:rPr>
        <w:t xml:space="preserve">项信息中</w:t>
      </w:r>
      <w:r>
        <w:rPr>
          <w:rFonts w:hint="eastAsia" w:cs="Arial"/>
        </w:rPr>
        <w:t xml:space="preserve">任意一项未填写的视为该项产品不符合本国产品标准，不享受本国产品价格评审优惠。</w:t>
      </w:r>
      <w:r/>
    </w:p>
    <w:p>
      <w:pPr>
        <w:pStyle w:val="1022"/>
        <w:ind w:firstLine="439"/>
        <w:rPr>
          <w:rFonts w:cs="Arial"/>
        </w:rPr>
      </w:pPr>
      <w:r>
        <w:rPr>
          <w:rFonts w:hint="eastAsia" w:cs="Arial"/>
        </w:rPr>
        <w:t xml:space="preserve">7.5 </w:t>
      </w:r>
      <w:r>
        <w:rPr>
          <w:rFonts w:hint="eastAsia" w:cs="Arial"/>
        </w:rPr>
        <w:t xml:space="preserve">评标过程中，如发现供应商在《声明函》内容</w:t>
      </w:r>
      <w:r>
        <w:rPr>
          <w:rFonts w:cs="Arial"/>
        </w:rPr>
        <w:t xml:space="preserve">含义不明确、同类事项与投</w:t>
      </w:r>
      <w:r>
        <w:rPr>
          <w:rFonts w:hint="eastAsia" w:cs="Arial"/>
        </w:rPr>
        <w:t xml:space="preserve">标</w:t>
      </w:r>
      <w:r>
        <w:rPr>
          <w:rFonts w:cs="Arial"/>
        </w:rPr>
        <w:t xml:space="preserve">（</w:t>
      </w:r>
      <w:r>
        <w:rPr>
          <w:rFonts w:hint="eastAsia" w:cs="Arial"/>
        </w:rPr>
        <w:t xml:space="preserve">响应</w:t>
      </w:r>
      <w:r>
        <w:rPr>
          <w:rFonts w:cs="Arial"/>
        </w:rPr>
        <w:t xml:space="preserve">）</w:t>
      </w:r>
      <w:r>
        <w:rPr>
          <w:rFonts w:hint="eastAsia" w:cs="Arial"/>
        </w:rPr>
        <w:t xml:space="preserve">文件</w:t>
      </w:r>
      <w:r>
        <w:rPr>
          <w:rFonts w:cs="Arial"/>
        </w:rPr>
        <w:t xml:space="preserve">表述不一致或者有</w:t>
      </w:r>
      <w:r>
        <w:rPr>
          <w:rFonts w:hint="eastAsia" w:cs="Arial"/>
        </w:rPr>
        <w:t xml:space="preserve">明显</w:t>
      </w:r>
      <w:r>
        <w:rPr>
          <w:rFonts w:cs="Arial"/>
        </w:rPr>
        <w:t xml:space="preserve">文字错误等情况的</w:t>
      </w:r>
      <w:r>
        <w:rPr>
          <w:rFonts w:hint="eastAsia" w:cs="Arial"/>
        </w:rPr>
        <w:t xml:space="preserve">，评标委员会应当以书面形式要求供应商作出必要的澄清、说明或者补正。经澄清、说明或者补正的《声明函》仍然不符合《国务院办公厅关于在政府采购中实施本国产品标准及相关政策的通知》（国办发〔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cs="Arial"/>
        </w:rPr>
        <w:t xml:space="preserve">2025</w:t>
      </w:r>
      <w:r>
        <w:rPr>
          <w:rFonts w:hint="eastAsia" w:cs="Arial"/>
        </w:rPr>
        <w:t xml:space="preserve">〕</w:t>
      </w:r>
      <w:r>
        <w:rPr>
          <w:rFonts w:hint="eastAsia" w:cs="Arial"/>
        </w:rPr>
        <w:t xml:space="preserve">34</w:t>
      </w:r>
      <w:r>
        <w:rPr>
          <w:rFonts w:hint="eastAsia" w:cs="Arial"/>
        </w:rPr>
        <w:t xml:space="preserve">号）和招标文件规定的，供应商提供的相关产品视为不符合本国产品标准。</w:t>
      </w:r>
      <w:r/>
    </w:p>
    <w:p>
      <w:pPr>
        <w:pStyle w:val="1022"/>
        <w:spacing w:line="0" w:lineRule="atLeast"/>
        <w:rPr>
          <w:rFonts w:hint="eastAsia" w:ascii="宋体" w:hAnsi="宋体"/>
        </w:rPr>
      </w:pPr>
      <w:r>
        <w:rPr>
          <w:rFonts w:hint="eastAsia" w:ascii="宋体" w:hAnsi="宋体"/>
        </w:rPr>
      </w:r>
      <w:r/>
    </w:p>
    <w:p>
      <w:pPr>
        <w:pStyle w:val="1022"/>
        <w:ind w:firstLine="482"/>
        <w:spacing w:line="0" w:lineRule="atLeast"/>
        <w:rPr>
          <w:rFonts w:hint="eastAsia" w:ascii="宋体" w:hAnsi="宋体"/>
          <w:b/>
          <w:highlight w:val="yellow"/>
        </w:rPr>
      </w:pPr>
      <w:r>
        <w:rPr>
          <w:rFonts w:hint="eastAsia" w:ascii="宋体" w:hAnsi="宋体"/>
          <w:b/>
        </w:rPr>
        <w:t xml:space="preserve">评标方法与评标标准</w:t>
      </w:r>
      <w:r/>
    </w:p>
    <w:p>
      <w:pPr>
        <w:ind w:firstLine="480"/>
        <w:spacing w:before="120" w:after="120" w:line="300" w:lineRule="exact"/>
        <w:rPr>
          <w:rFonts w:hint="eastAsia" w:ascii="宋体" w:hAnsi="宋体"/>
          <w:sz w:val="24"/>
        </w:rPr>
      </w:pPr>
      <w:r>
        <w:rPr>
          <w:rFonts w:hint="eastAsia" w:ascii="宋体" w:hAnsi="宋体"/>
          <w:sz w:val="24"/>
        </w:rPr>
        <w:t xml:space="preserve">分包一：</w:t>
      </w:r>
      <w:r/>
    </w:p>
    <w:tbl>
      <w:tblPr>
        <w:tblW w:w="5000" w:type="pct"/>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w:t>
            </w:r>
            <w:r/>
          </w:p>
          <w:p>
            <w:pPr>
              <w:jc w:val="left"/>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下列（2.1，2.2，2.3）评分项属于暗标评审项属于暗标评审项目，各投标人（供应商）提供评审材料（含样品）中</w:t>
            </w:r>
            <w:r>
              <w:rPr>
                <w:rFonts w:ascii="宋体" w:hAnsi="宋体" w:cs="宋体"/>
                <w:b/>
                <w:bCs/>
                <w:sz w:val="20"/>
                <w:szCs w:val="20"/>
              </w:rPr>
              <w:t xml:space="preserve">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w:t>
            </w:r>
            <w:r>
              <w:rPr>
                <w:rFonts w:ascii="宋体" w:hAnsi="宋体" w:cs="宋体"/>
                <w:b/>
                <w:bCs/>
                <w:sz w:val="20"/>
                <w:szCs w:val="20"/>
              </w:rPr>
              <w:t xml:space="preserve">5</w:t>
            </w:r>
            <w:r>
              <w:rPr>
                <w:rFonts w:hint="eastAsia" w:ascii="宋体" w:hAnsi="宋体" w:cs="宋体"/>
                <w:b/>
                <w:bCs/>
                <w:sz w:val="20"/>
                <w:szCs w:val="20"/>
              </w:rPr>
              <w:t xml:space="preserve">1分；带“▲”的参数每有一项负偏离的，扣</w:t>
            </w:r>
            <w:r>
              <w:rPr>
                <w:rFonts w:ascii="宋体" w:hAnsi="宋体" w:cs="宋体"/>
                <w:b/>
                <w:bCs/>
                <w:sz w:val="20"/>
                <w:szCs w:val="20"/>
              </w:rPr>
              <w:t xml:space="preserve">3</w:t>
            </w:r>
            <w:r>
              <w:rPr>
                <w:rFonts w:hint="eastAsia" w:ascii="宋体" w:hAnsi="宋体" w:cs="宋体"/>
                <w:b/>
                <w:bCs/>
                <w:sz w:val="20"/>
                <w:szCs w:val="20"/>
              </w:rPr>
              <w:t xml:space="preserve">分；其他参数每有一项负偏离的，扣</w:t>
            </w:r>
            <w:r>
              <w:rPr>
                <w:rFonts w:ascii="宋体" w:hAnsi="宋体" w:cs="宋体"/>
                <w:b/>
                <w:bCs/>
                <w:sz w:val="20"/>
                <w:szCs w:val="20"/>
              </w:rPr>
              <w:t xml:space="preserve">0.5</w:t>
            </w:r>
            <w:r>
              <w:rPr>
                <w:rFonts w:hint="eastAsia" w:ascii="宋体" w:hAnsi="宋体" w:cs="宋体"/>
                <w:b/>
                <w:bCs/>
                <w:sz w:val="20"/>
                <w:szCs w:val="20"/>
              </w:rPr>
              <w:t xml:space="preserve">分；扣完为止。</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5</w:t>
            </w: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投标人或所投品牌制造商自2023年1月1日以来（以合同签订时间为准），具有与本项目所投产品同品牌同型号的产品销售业绩及安装验收单，每提供一份有效业绩合同得</w:t>
            </w:r>
            <w:r>
              <w:rPr>
                <w:rFonts w:ascii="宋体" w:hAnsi="宋体" w:cs="宋体"/>
                <w:b/>
                <w:bCs/>
                <w:sz w:val="20"/>
                <w:szCs w:val="20"/>
              </w:rPr>
              <w:t xml:space="preserve">1</w:t>
            </w:r>
            <w:r>
              <w:rPr>
                <w:rFonts w:hint="eastAsia" w:ascii="宋体" w:hAnsi="宋体" w:cs="宋体"/>
                <w:b/>
                <w:bCs/>
                <w:sz w:val="20"/>
                <w:szCs w:val="20"/>
              </w:rPr>
              <w:t xml:space="preserve">分，最高得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注：提供相关业绩合同、安装验收单及发票复印件等证明材料加盖投标人公章。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w:t>
            </w: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节能环保2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pStyle w:val="949"/>
              <w:rPr>
                <w:rFonts w:hint="eastAsia" w:ascii="宋体" w:hAnsi="宋体" w:cs="宋体"/>
                <w:b/>
                <w:bCs/>
                <w:sz w:val="20"/>
                <w:szCs w:val="20"/>
              </w:rPr>
            </w:pPr>
            <w:r>
              <w:rPr>
                <w:rFonts w:hint="eastAsia" w:ascii="宋体" w:hAnsi="宋体" w:cs="宋体"/>
                <w:b/>
                <w:bCs/>
                <w:sz w:val="20"/>
                <w:szCs w:val="20"/>
              </w:rPr>
              <w:t xml:space="preserve">2.投标产品属于财政部、生态环境部公布的“环境标志产品品目清单”范围内的，投标人提供国家确定的认证机构出具的、处于有效期内的该环境标志产品认证证书复印件的，有1个得0.5分，最多得0.5分。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注：投标文件中提供证书的原件或</w:t>
            </w:r>
            <w:r>
              <w:rPr>
                <w:rFonts w:hint="eastAsia" w:ascii="宋体" w:hAnsi="宋体" w:cs="宋体"/>
                <w:b/>
                <w:bCs/>
                <w:sz w:val="20"/>
                <w:szCs w:val="20"/>
              </w:rPr>
              <w:t xml:space="preserve">复印件,</w:t>
            </w:r>
            <w:r>
              <w:rPr>
                <w:rFonts w:hint="eastAsia" w:ascii="宋体" w:hAnsi="宋体" w:cs="宋体"/>
                <w:b/>
                <w:bCs/>
                <w:sz w:val="20"/>
                <w:szCs w:val="20"/>
              </w:rPr>
              <w:t xml:space="preserve">扫描形成的电子文档，并加盖投标人公章，否则不得分。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ind w:firstLine="480"/>
        <w:spacing w:before="120" w:after="120" w:line="300" w:lineRule="exact"/>
        <w:rPr>
          <w:rFonts w:hint="eastAsia" w:ascii="宋体" w:hAnsi="宋体"/>
          <w:sz w:val="24"/>
          <w:highlight w:val="yellow"/>
        </w:rPr>
      </w:pPr>
      <w:r>
        <w:rPr>
          <w:rFonts w:hint="eastAsia" w:ascii="宋体" w:hAnsi="宋体"/>
          <w:sz w:val="24"/>
          <w:highlight w:val="yellow"/>
        </w:rPr>
      </w:r>
      <w:r/>
    </w:p>
    <w:p>
      <w:pPr>
        <w:ind w:firstLine="480"/>
        <w:spacing w:before="120" w:after="120" w:line="300" w:lineRule="exact"/>
        <w:rPr>
          <w:rFonts w:hint="eastAsia" w:ascii="宋体" w:hAnsi="宋体"/>
          <w:sz w:val="24"/>
        </w:rPr>
      </w:pPr>
      <w:r>
        <w:rPr>
          <w:rFonts w:hint="eastAsia" w:ascii="宋体" w:hAnsi="宋体"/>
          <w:sz w:val="24"/>
        </w:rPr>
        <w:t xml:space="preserve">分包二：</w:t>
      </w:r>
      <w:r/>
    </w:p>
    <w:tbl>
      <w:tblPr>
        <w:tblW w:w="5000" w:type="pct"/>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w:t>
            </w:r>
            <w:r/>
          </w:p>
          <w:p>
            <w:pPr>
              <w:jc w:val="left"/>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w:t>
            </w:r>
            <w:r>
              <w:rPr>
                <w:rFonts w:ascii="宋体" w:hAnsi="宋体" w:cs="宋体"/>
                <w:b/>
                <w:bCs/>
                <w:sz w:val="20"/>
                <w:szCs w:val="20"/>
              </w:rPr>
              <w:t xml:space="preserve">5</w:t>
            </w:r>
            <w:r>
              <w:rPr>
                <w:rFonts w:hint="eastAsia" w:ascii="宋体" w:hAnsi="宋体" w:cs="宋体"/>
                <w:b/>
                <w:bCs/>
                <w:sz w:val="20"/>
                <w:szCs w:val="20"/>
              </w:rPr>
              <w:t xml:space="preserve">1分；带“★”项为实质性技术参数，不满足视为无效响应；带“▲”的参数每有一项负偏离的，扣</w:t>
            </w:r>
            <w:r>
              <w:rPr>
                <w:rFonts w:ascii="宋体" w:hAnsi="宋体" w:cs="宋体"/>
                <w:b/>
                <w:bCs/>
                <w:sz w:val="20"/>
                <w:szCs w:val="20"/>
              </w:rPr>
              <w:t xml:space="preserve">3</w:t>
            </w:r>
            <w:r>
              <w:rPr>
                <w:rFonts w:hint="eastAsia" w:ascii="宋体" w:hAnsi="宋体" w:cs="宋体"/>
                <w:b/>
                <w:bCs/>
                <w:sz w:val="20"/>
                <w:szCs w:val="20"/>
              </w:rPr>
              <w:t xml:space="preserve">分；其他参数每有一项负偏离的，扣</w:t>
            </w:r>
            <w:r>
              <w:rPr>
                <w:rFonts w:ascii="宋体" w:hAnsi="宋体" w:cs="宋体"/>
                <w:b/>
                <w:bCs/>
                <w:sz w:val="20"/>
                <w:szCs w:val="20"/>
              </w:rPr>
              <w:t xml:space="preserve">0.1</w:t>
            </w:r>
            <w:r>
              <w:rPr>
                <w:rFonts w:hint="eastAsia" w:ascii="宋体" w:hAnsi="宋体" w:cs="宋体"/>
                <w:b/>
                <w:bCs/>
                <w:sz w:val="20"/>
                <w:szCs w:val="20"/>
              </w:rPr>
              <w:t xml:space="preserve">分；扣完为止。</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5</w:t>
            </w: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投标人或所投品牌制造商自2023年1月1日以来（以合同签订时间为准），具有与本项目所投产品同品牌的产品销售业绩 ，每提供一份有效业绩合同得</w:t>
            </w:r>
            <w:r>
              <w:rPr>
                <w:rFonts w:ascii="宋体" w:hAnsi="宋体" w:cs="宋体"/>
                <w:b/>
                <w:bCs/>
                <w:sz w:val="20"/>
                <w:szCs w:val="20"/>
              </w:rPr>
              <w:t xml:space="preserve">0.5</w:t>
            </w:r>
            <w:r>
              <w:rPr>
                <w:rFonts w:hint="eastAsia" w:ascii="宋体" w:hAnsi="宋体" w:cs="宋体"/>
                <w:b/>
                <w:bCs/>
                <w:sz w:val="20"/>
                <w:szCs w:val="20"/>
              </w:rPr>
              <w:t xml:space="preserve">分，最高得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注：提供相关业绩合同及发票复印件等证明材料加盖投标人公章。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bookmarkStart w:id="206" w:name="_Hlk240808724"/>
            <w:r>
              <w:rPr>
                <w:rFonts w:hint="eastAsia" w:ascii="宋体" w:hAnsi="宋体"/>
                <w:b/>
                <w:bCs/>
                <w:sz w:val="20"/>
                <w:szCs w:val="20"/>
              </w:rPr>
              <w:t xml:space="preserve">3.</w:t>
            </w:r>
            <w:r>
              <w:rPr>
                <w:rFonts w:ascii="宋体" w:hAnsi="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权威认证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b/>
                <w:bCs/>
                <w:sz w:val="20"/>
                <w:szCs w:val="20"/>
              </w:rPr>
              <w:t xml:space="preserve">投标人或所投产品制造商具有有效期内的质量管理体系证书，凭相关证书复印件</w:t>
            </w:r>
            <w:r>
              <w:rPr>
                <w:rFonts w:hint="eastAsia" w:ascii="宋体" w:hAnsi="宋体"/>
                <w:b/>
                <w:bCs/>
                <w:sz w:val="20"/>
                <w:szCs w:val="20"/>
              </w:rPr>
              <w:t xml:space="preserve">得</w:t>
            </w:r>
            <w:r>
              <w:rPr>
                <w:rFonts w:ascii="宋体" w:hAnsi="宋体"/>
                <w:b/>
                <w:bCs/>
                <w:sz w:val="20"/>
                <w:szCs w:val="20"/>
              </w:rPr>
              <w:t xml:space="preserve">2</w:t>
            </w:r>
            <w:r>
              <w:rPr>
                <w:rFonts w:hint="eastAsia" w:ascii="宋体" w:hAnsi="宋体"/>
                <w:b/>
                <w:bCs/>
                <w:sz w:val="20"/>
                <w:szCs w:val="20"/>
              </w:rPr>
              <w:t xml:space="preserve">分。（投标时提供证书原件扫描件并加盖投标人公章上传至投标文件中）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节能环保</w:t>
            </w: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jc w:val="left"/>
              <w:widowControl/>
              <w:rPr>
                <w:rFonts w:hint="eastAsia" w:ascii="宋体" w:hAnsi="宋体"/>
                <w:b/>
                <w:bCs/>
                <w:sz w:val="20"/>
                <w:szCs w:val="20"/>
              </w:rPr>
            </w:pPr>
            <w:r>
              <w:rPr>
                <w:rFonts w:hint="eastAsia" w:ascii="宋体" w:hAnsi="宋体" w:cs="宋体"/>
                <w:b/>
                <w:bCs/>
                <w:sz w:val="20"/>
                <w:szCs w:val="20"/>
              </w:rPr>
              <w:t xml:space="preserve">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742" w:type="dxa"/>
            <w:vAlign w:val="center"/>
            <w:textDirection w:val="lrTb"/>
            <w:noWrap w:val="false"/>
          </w:tcPr>
          <w:p>
            <w:pPr>
              <w:jc w:val="center"/>
              <w:widowControl/>
              <w:rPr>
                <w:rFonts w:hint="eastAsia" w:ascii="宋体" w:hAnsi="宋体"/>
                <w:b/>
                <w:bCs/>
                <w:sz w:val="20"/>
                <w:szCs w:val="20"/>
              </w:rPr>
            </w:pPr>
            <w:r>
              <w:rPr>
                <w:rFonts w:hint="eastAsia" w:ascii="宋体" w:hAnsi="宋体"/>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58"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节能环保2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0" w:type="dxa"/>
            <w:vAlign w:val="center"/>
            <w:textDirection w:val="lrTb"/>
            <w:noWrap w:val="false"/>
          </w:tcPr>
          <w:p>
            <w:pPr>
              <w:pStyle w:val="949"/>
              <w:rPr>
                <w:rFonts w:hint="eastAsia" w:ascii="宋体" w:hAnsi="宋体" w:cs="宋体"/>
                <w:b/>
                <w:bCs/>
                <w:sz w:val="20"/>
                <w:szCs w:val="20"/>
              </w:rPr>
            </w:pPr>
            <w:r>
              <w:rPr>
                <w:rFonts w:hint="eastAsia" w:ascii="宋体" w:hAnsi="宋体" w:cs="宋体"/>
                <w:b/>
                <w:bCs/>
                <w:sz w:val="20"/>
                <w:szCs w:val="20"/>
              </w:rPr>
              <w:t xml:space="preserve">2.投标产品属于财政部、生态环境部公布的“环境标志产品品目清单”范围内的，投标人提供国家确定的认证机构出具的、处于有效期内的该环境标志产品认证证书复印件的，有1个得0.5分，最多得0.5分。</w:t>
            </w:r>
            <w:r/>
          </w:p>
          <w:p>
            <w:pPr>
              <w:jc w:val="left"/>
              <w:widowControl/>
              <w:rPr>
                <w:rFonts w:hint="eastAsia" w:ascii="宋体" w:hAnsi="宋体"/>
                <w:b/>
                <w:bCs/>
                <w:sz w:val="20"/>
                <w:szCs w:val="20"/>
              </w:rPr>
            </w:pPr>
            <w:r>
              <w:rPr>
                <w:rFonts w:hint="eastAsia" w:ascii="宋体" w:hAnsi="宋体" w:cs="宋体"/>
                <w:b/>
                <w:bCs/>
                <w:sz w:val="20"/>
                <w:szCs w:val="20"/>
              </w:rPr>
              <w:t xml:space="preserve">注：投标文件中提供证书的原件或</w:t>
            </w:r>
            <w:r>
              <w:rPr>
                <w:rFonts w:hint="eastAsia" w:ascii="宋体" w:hAnsi="宋体" w:cs="宋体"/>
                <w:b/>
                <w:bCs/>
                <w:sz w:val="20"/>
                <w:szCs w:val="20"/>
              </w:rPr>
              <w:t xml:space="preserve">复印件,</w:t>
            </w:r>
            <w:r>
              <w:rPr>
                <w:rFonts w:hint="eastAsia" w:ascii="宋体" w:hAnsi="宋体" w:cs="宋体"/>
                <w:b/>
                <w:bCs/>
                <w:sz w:val="20"/>
                <w:szCs w:val="20"/>
              </w:rPr>
              <w:t xml:space="preserve">扫描形成的电子文档，并加盖投标人公章，否则不得分。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539"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0.5</w:t>
            </w:r>
            <w:r/>
          </w:p>
        </w:tc>
        <w:tc>
          <w:tcPr>
            <w:tcBorders>
              <w:top w:val="single" w:color="auto" w:sz="8" w:space="0"/>
              <w:left w:val="single" w:color="auto" w:sz="8" w:space="0"/>
              <w:bottom w:val="single" w:color="auto" w:sz="8" w:space="0"/>
              <w:right w:val="single" w:color="auto" w:sz="8" w:space="0"/>
            </w:tcBorders>
            <w:tcW w:w="645"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widowControl/>
              <w:rPr>
                <w:rFonts w:hint="eastAsia" w:ascii="宋体" w:hAnsi="宋体"/>
                <w:b/>
                <w:bCs/>
                <w:sz w:val="20"/>
                <w:szCs w:val="20"/>
              </w:rPr>
            </w:pPr>
            <w:r>
              <w:rPr>
                <w:rFonts w:hint="eastAsia" w:ascii="宋体" w:hAnsi="宋体" w:cs="宋体"/>
                <w:b/>
                <w:bCs/>
                <w:sz w:val="20"/>
                <w:szCs w:val="20"/>
              </w:rPr>
              <w:t xml:space="preserve">是</w:t>
            </w:r>
            <w:bookmarkEnd w:id="206"/>
            <w:r/>
            <w:r/>
          </w:p>
        </w:tc>
      </w:tr>
    </w:tbl>
    <w:p>
      <w:pPr>
        <w:ind w:firstLine="480"/>
        <w:spacing w:before="120" w:after="120" w:line="300" w:lineRule="exact"/>
        <w:rPr>
          <w:rFonts w:hint="eastAsia" w:ascii="宋体" w:hAnsi="宋体"/>
          <w:sz w:val="24"/>
          <w:highlight w:val="yellow"/>
        </w:rPr>
      </w:pPr>
      <w:r>
        <w:rPr>
          <w:rFonts w:hint="eastAsia" w:ascii="宋体" w:hAnsi="宋体"/>
          <w:sz w:val="24"/>
          <w:highlight w:val="yellow"/>
        </w:rPr>
      </w:r>
      <w:r/>
    </w:p>
    <w:p>
      <w:pPr>
        <w:ind w:firstLine="480"/>
        <w:spacing w:before="120" w:after="120" w:line="300" w:lineRule="exact"/>
        <w:rPr>
          <w:rFonts w:hint="eastAsia" w:ascii="宋体" w:hAnsi="宋体"/>
          <w:sz w:val="24"/>
        </w:rPr>
      </w:pPr>
      <w:r>
        <w:rPr>
          <w:rFonts w:hint="eastAsia" w:ascii="宋体" w:hAnsi="宋体"/>
          <w:sz w:val="24"/>
        </w:rPr>
        <w:t xml:space="preserve">分包三</w:t>
      </w:r>
      <w:r/>
    </w:p>
    <w:tbl>
      <w:tblPr>
        <w:tblW w:w="5000" w:type="pct"/>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满足招标文件要求且报价最低的投标报价为评标基准价，其价格分为满分30分。其他投标人的价格分统一按照下列公式计算（计算结果四舍五入保留两位小数）：</w:t>
            </w:r>
            <w:r/>
          </w:p>
          <w:p>
            <w:pPr>
              <w:jc w:val="left"/>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项属于暗标评审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15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w:t>
            </w:r>
            <w:r/>
          </w:p>
          <w:p>
            <w:pPr>
              <w:jc w:val="center"/>
              <w:widowControl/>
              <w:rPr>
                <w:rFonts w:hint="eastAsia" w:ascii="宋体" w:hAnsi="宋体" w:cs="宋体"/>
                <w:b/>
                <w:bCs/>
                <w:sz w:val="20"/>
                <w:szCs w:val="20"/>
              </w:rPr>
            </w:pPr>
            <w:r>
              <w:rPr>
                <w:rFonts w:hint="eastAsia" w:ascii="宋体" w:hAnsi="宋体" w:cs="宋体"/>
                <w:b/>
                <w:bCs/>
                <w:sz w:val="20"/>
                <w:szCs w:val="20"/>
              </w:rPr>
              <w:t xml:space="preserve">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投标人针对本项目制定售后服务管理方案，包括质保期内、质保期外的投标产品的售后服务人员、服务机制、响应时间、故障解决、维修保障等内容，由评委根据其合理性和可行性进行打分：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1.售后服务管理方案内容完整、售后管理安排合理、维修方面保障完善，满足采购人需求的得5分；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2.售后服务管理方案内容较完整、售后管理安排较合理、维修方面保障基本采购人需求的得3分；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3.售后服务管理方案内容一般、售后管理安排一般、维修方面有一些保障机制，但保障力明显不足得1分；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4.不提供不得分。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评委根据投标人针对本项目制定的培训方案（包括但不限于系统的培训内容、时间、地点、人次、安装维护、调试、配置及使用技能、业务人员培训、应用操作及使用等内容）进行打分：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1.培训方案内容完整、培训计划安排合理，满足采购人需求的得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2.培训方案内容较完整、培训计划安排较合理、基本采购人需求的得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3.培训方案内容差，培训计划安排粗略、不能满足采购人需求的得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评委根据投标人针对本项目提供的项目实施方案内容的完整性及进度计划安排的合理性进行打分，包括但不限于技术和人员力量、按时保质地完成供货、安装、调试、验收等内容：</w:t>
            </w:r>
            <w:r/>
          </w:p>
          <w:p>
            <w:pPr>
              <w:jc w:val="left"/>
              <w:widowControl/>
              <w:rPr>
                <w:rFonts w:hint="eastAsia" w:ascii="宋体" w:hAnsi="宋体" w:cs="宋体"/>
                <w:b/>
                <w:bCs/>
                <w:sz w:val="20"/>
                <w:szCs w:val="20"/>
              </w:rPr>
            </w:pPr>
            <w:r>
              <w:rPr>
                <w:rFonts w:hint="eastAsia" w:ascii="宋体" w:hAnsi="宋体" w:cs="宋体"/>
                <w:b/>
                <w:bCs/>
                <w:sz w:val="20"/>
                <w:szCs w:val="20"/>
              </w:rPr>
              <w:t xml:space="preserve">1.项目实施方案内容完整、进度计划安排合理、满足采购人需求的得</w:t>
            </w:r>
            <w:r>
              <w:rPr>
                <w:rFonts w:ascii="宋体" w:hAnsi="宋体" w:cs="宋体"/>
                <w:b/>
                <w:bCs/>
                <w:sz w:val="20"/>
                <w:szCs w:val="20"/>
              </w:rPr>
              <w:t xml:space="preserve">5</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2.项目实施方案内容较完整、进度计划安排较合理、基本采购人需求的得</w:t>
            </w:r>
            <w:r>
              <w:rPr>
                <w:rFonts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3.项目实施方案内容一般、进度计划安排一般、较能满足采购人需求的得</w:t>
            </w:r>
            <w:r>
              <w:rPr>
                <w:rFonts w:ascii="宋体" w:hAnsi="宋体" w:cs="宋体"/>
                <w:b/>
                <w:bCs/>
                <w:sz w:val="20"/>
                <w:szCs w:val="20"/>
              </w:rPr>
              <w:t xml:space="preserve">1</w:t>
            </w:r>
            <w:r>
              <w:rPr>
                <w:rFonts w:hint="eastAsia" w:ascii="宋体" w:hAnsi="宋体" w:cs="宋体"/>
                <w:b/>
                <w:bCs/>
                <w:sz w:val="20"/>
                <w:szCs w:val="20"/>
              </w:rPr>
              <w:t xml:space="preserve">分；</w:t>
            </w:r>
            <w:r/>
          </w:p>
          <w:p>
            <w:pPr>
              <w:jc w:val="left"/>
              <w:widowControl/>
              <w:rPr>
                <w:rFonts w:hint="eastAsia" w:ascii="宋体" w:hAnsi="宋体" w:cs="宋体"/>
                <w:b/>
                <w:bCs/>
                <w:sz w:val="20"/>
                <w:szCs w:val="20"/>
              </w:rPr>
            </w:pPr>
            <w:r>
              <w:rPr>
                <w:rFonts w:hint="eastAsia" w:ascii="宋体" w:hAnsi="宋体" w:cs="宋体"/>
                <w:b/>
                <w:bCs/>
                <w:sz w:val="20"/>
                <w:szCs w:val="20"/>
              </w:rPr>
              <w:t xml:space="preserve">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技术要求的符合性，即对提供货物的技术参数、配置、性能是否符合或优于采购文件要求进行评价。符合技术参数要求的得</w:t>
            </w:r>
            <w:r>
              <w:rPr>
                <w:rFonts w:ascii="宋体" w:hAnsi="宋体" w:cs="宋体"/>
                <w:b/>
                <w:bCs/>
                <w:sz w:val="20"/>
                <w:szCs w:val="20"/>
              </w:rPr>
              <w:t xml:space="preserve">51</w:t>
            </w:r>
            <w:r>
              <w:rPr>
                <w:rFonts w:hint="eastAsia" w:ascii="宋体" w:hAnsi="宋体" w:cs="宋体"/>
                <w:b/>
                <w:bCs/>
                <w:sz w:val="20"/>
                <w:szCs w:val="20"/>
              </w:rPr>
              <w:t xml:space="preserve">分；带“★”项为实质性技术参数，不满足视为无效响应；带“▲”的参数每有一项负偏离的，扣</w:t>
            </w:r>
            <w:r>
              <w:rPr>
                <w:rFonts w:ascii="宋体" w:hAnsi="宋体" w:cs="宋体"/>
                <w:b/>
                <w:bCs/>
                <w:sz w:val="20"/>
                <w:szCs w:val="20"/>
              </w:rPr>
              <w:t xml:space="preserve">4</w:t>
            </w:r>
            <w:r>
              <w:rPr>
                <w:rFonts w:hint="eastAsia" w:ascii="宋体" w:hAnsi="宋体" w:cs="宋体"/>
                <w:b/>
                <w:bCs/>
                <w:sz w:val="20"/>
                <w:szCs w:val="20"/>
              </w:rPr>
              <w:t xml:space="preserve">分；其</w:t>
            </w:r>
            <w:r>
              <w:rPr>
                <w:rFonts w:hint="eastAsia" w:ascii="宋体" w:hAnsi="宋体" w:cs="宋体"/>
                <w:b/>
                <w:bCs/>
                <w:sz w:val="20"/>
                <w:szCs w:val="20"/>
              </w:rPr>
              <w:t xml:space="preserve">他参数每有一项负偏离的，扣</w:t>
            </w:r>
            <w:r>
              <w:rPr>
                <w:rFonts w:ascii="宋体" w:hAnsi="宋体" w:cs="宋体"/>
                <w:b/>
                <w:bCs/>
                <w:sz w:val="20"/>
                <w:szCs w:val="20"/>
              </w:rPr>
              <w:t xml:space="preserve">0.5</w:t>
            </w:r>
            <w:r>
              <w:rPr>
                <w:rFonts w:hint="eastAsia" w:ascii="宋体" w:hAnsi="宋体" w:cs="宋体"/>
                <w:b/>
                <w:bCs/>
                <w:sz w:val="20"/>
                <w:szCs w:val="20"/>
              </w:rPr>
              <w:t xml:space="preserve">分；扣完为止。</w:t>
            </w:r>
            <w:r/>
          </w:p>
          <w:p>
            <w:pPr>
              <w:jc w:val="left"/>
              <w:widowControl/>
              <w:rPr>
                <w:rFonts w:hint="eastAsia" w:ascii="宋体" w:hAnsi="宋体" w:cs="宋体"/>
                <w:b/>
                <w:bCs/>
                <w:sz w:val="20"/>
                <w:szCs w:val="20"/>
              </w:rPr>
            </w:pPr>
            <w:r>
              <w:rPr>
                <w:rFonts w:hint="eastAsia" w:ascii="宋体" w:hAnsi="宋体" w:cs="宋体"/>
                <w:b/>
                <w:bCs/>
                <w:sz w:val="20"/>
                <w:szCs w:val="20"/>
              </w:rPr>
              <w:t xml:space="preserve">注：投标文件中所有参数均需提供相关证明材料，如：注册证附页或制造商公开发行的技术白皮书、产品彩页、原厂产品说明书或检测/检验报告或功能截图或视频说明等技术支持性文件资料及采购文件要求的证明材料，未提供或提供的证明材料不符合要求视为负偏离，评标委员会有权视响应技术参数不响应采购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51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或所投品牌制造商自2023年1月1日以来（以合同签订时间为准），具有与本项目所投产品（至少包括自动凯氏定氮仪、自动进样器）同品牌同型号的产品销售业绩及安装验收单，每提供一份有效业绩合同得1分，最高得</w:t>
            </w:r>
            <w:r>
              <w:rPr>
                <w:rFonts w:ascii="宋体" w:hAnsi="宋体" w:cs="宋体"/>
                <w:b/>
                <w:bCs/>
                <w:sz w:val="20"/>
                <w:szCs w:val="20"/>
              </w:rPr>
              <w:t xml:space="preserve">2</w:t>
            </w:r>
            <w:r>
              <w:rPr>
                <w:rFonts w:hint="eastAsia" w:ascii="宋体" w:hAnsi="宋体" w:cs="宋体"/>
                <w:b/>
                <w:bCs/>
                <w:sz w:val="20"/>
                <w:szCs w:val="20"/>
              </w:rPr>
              <w:t xml:space="preserve">分。</w:t>
            </w:r>
            <w:r/>
          </w:p>
          <w:p>
            <w:pPr>
              <w:widowControl/>
              <w:rPr>
                <w:rFonts w:hint="eastAsia" w:ascii="宋体" w:hAnsi="宋体" w:cs="宋体"/>
                <w:b/>
                <w:bCs/>
                <w:sz w:val="20"/>
                <w:szCs w:val="20"/>
              </w:rPr>
            </w:pPr>
            <w:r>
              <w:rPr>
                <w:rFonts w:hint="eastAsia" w:ascii="宋体" w:hAnsi="宋体" w:cs="宋体"/>
                <w:b/>
                <w:bCs/>
                <w:sz w:val="20"/>
                <w:szCs w:val="20"/>
              </w:rPr>
              <w:t xml:space="preserve">注：提供相关业绩合同、安装验收单及发票复印件等证明材料加盖投标人公章。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3.</w:t>
            </w:r>
            <w:r>
              <w:rPr>
                <w:rFonts w:ascii="宋体" w:hAnsi="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权威认证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hint="eastAsia" w:ascii="宋体" w:hAnsi="宋体"/>
                <w:b/>
                <w:bCs/>
                <w:sz w:val="20"/>
                <w:szCs w:val="20"/>
              </w:rPr>
              <w:t xml:space="preserve">投标人或所投产品制造商具有有效期内的质量管理体系、环境认证体系证书，凭相关证书复印件每项得1分。本项最高得2分。（投标时提供证书原件扫描件并加盖投标人公章上传至投标文件中）</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b/>
                <w:bCs/>
                <w:sz w:val="20"/>
                <w:szCs w:val="20"/>
              </w:rPr>
              <w:t xml:space="preserve">是</w:t>
            </w:r>
            <w:r/>
          </w:p>
        </w:tc>
      </w:tr>
    </w:tbl>
    <w:p>
      <w:pPr>
        <w:ind w:firstLine="480"/>
        <w:spacing w:before="120" w:after="120" w:line="300" w:lineRule="exact"/>
        <w:rPr>
          <w:rFonts w:hint="eastAsia" w:ascii="宋体" w:hAnsi="宋体"/>
          <w:sz w:val="24"/>
          <w:highlight w:val="yellow"/>
        </w:rPr>
      </w:pPr>
      <w:r>
        <w:rPr>
          <w:rFonts w:hint="eastAsia" w:ascii="宋体" w:hAnsi="宋体"/>
          <w:sz w:val="24"/>
          <w:highlight w:val="yellow"/>
        </w:rPr>
      </w:r>
      <w:r/>
    </w:p>
    <w:p>
      <w:r/>
      <w:r/>
    </w:p>
    <w:p>
      <w:r>
        <w:br w:type="page" w:clear="all"/>
      </w:r>
      <w:r/>
    </w:p>
    <w:p>
      <w:pPr>
        <w:pStyle w:val="933"/>
        <w:rPr>
          <w:rFonts w:ascii="黑体" w:eastAsia="黑体"/>
          <w:bCs/>
          <w:sz w:val="44"/>
        </w:rPr>
      </w:pPr>
      <w:r/>
      <w:bookmarkStart w:id="207"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7"/>
      <w:r>
        <w:rPr>
          <w:rFonts w:hint="eastAsia" w:ascii="黑体" w:eastAsia="黑体"/>
          <w:bCs/>
          <w:sz w:val="44"/>
        </w:rPr>
        <w:t xml:space="preserve"> </w:t>
      </w:r>
      <w:r/>
    </w:p>
    <w:p>
      <w:pPr>
        <w:jc w:val="center"/>
        <w:rPr>
          <w:rFonts w:hint="eastAsia" w:ascii="宋体" w:hAnsi="宋体"/>
          <w:b/>
          <w:sz w:val="72"/>
        </w:rPr>
      </w:pPr>
      <w:r/>
      <w:bookmarkStart w:id="208" w:name="_Hlt26955039"/>
      <w:r/>
      <w:bookmarkStart w:id="209" w:name="_Hlt26671244"/>
      <w:r/>
      <w:bookmarkStart w:id="210" w:name="_Toc26554094"/>
      <w:r/>
      <w:bookmarkStart w:id="211" w:name="_Toc49090576"/>
      <w:r/>
      <w:bookmarkStart w:id="212" w:name="_Toc120614282"/>
      <w:r/>
      <w:bookmarkEnd w:id="208"/>
      <w:r/>
      <w:bookmarkEnd w:id="209"/>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br w:type="page" w:clear="all"/>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sz w:val="24"/>
        </w:rPr>
      </w:pPr>
      <w:r>
        <w:rPr>
          <w:rFonts w:hint="eastAsia" w:ascii="宋体" w:hAnsi="宋体"/>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br w:type="page" w:clear="all"/>
      </w:r>
      <w:r/>
    </w:p>
    <w:p>
      <w:pPr>
        <w:rPr>
          <w:rFonts w:hint="eastAsia" w:ascii="黑体" w:hAnsi="黑体" w:eastAsia="黑体"/>
          <w:i/>
          <w:sz w:val="32"/>
          <w:szCs w:val="32"/>
          <w:u w:val="single"/>
        </w:rPr>
      </w:pPr>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45"/>
        <w:ind w:firstLine="480"/>
        <w:spacing w:line="460" w:lineRule="exact"/>
      </w:pPr>
      <w:r>
        <w:rPr>
          <w:rFonts w:hint="eastAsia"/>
        </w:rPr>
        <w:t xml:space="preserve">致：常州市政府采购中心</w:t>
      </w:r>
      <w:r/>
    </w:p>
    <w:p>
      <w:pPr>
        <w:pStyle w:val="945"/>
        <w:ind w:firstLine="840"/>
        <w:spacing w:line="460" w:lineRule="exact"/>
        <w:rPr>
          <w:u w:val="single"/>
        </w:rPr>
      </w:pPr>
      <w:r>
        <w:rPr>
          <w:rFonts w:hint="eastAsia"/>
          <w:u w:val="single"/>
        </w:rPr>
        <w:t xml:space="preserve">（采购人名称）</w:t>
      </w:r>
      <w:r/>
    </w:p>
    <w:p>
      <w:pPr>
        <w:pStyle w:val="945"/>
        <w:ind w:firstLine="480"/>
        <w:spacing w:line="460" w:lineRule="exact"/>
      </w:pPr>
      <w:r>
        <w:rPr>
          <w:rFonts w:hint="eastAsia"/>
        </w:rPr>
        <w:t xml:space="preserve">按照《中华人民共和国政府采购法》第二十二条和招标文件的规定，我单位郑重声明如下：</w:t>
      </w:r>
      <w:r/>
    </w:p>
    <w:p>
      <w:pPr>
        <w:pStyle w:val="9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5"/>
        <w:ind w:firstLine="480"/>
        <w:spacing w:line="460" w:lineRule="exact"/>
      </w:pPr>
      <w:r>
        <w:rPr>
          <w:rFonts w:hint="eastAsia"/>
        </w:rPr>
        <w:t xml:space="preserve">二、我单位具有良好的商业信誉（指投标人经营状况良好，无本资格声明第十条情形）和健全的财务会计制度。</w:t>
      </w:r>
      <w:r/>
    </w:p>
    <w:p>
      <w:pPr>
        <w:pStyle w:val="945"/>
        <w:ind w:firstLine="480"/>
        <w:spacing w:line="460" w:lineRule="exact"/>
      </w:pPr>
      <w:r>
        <w:rPr>
          <w:rFonts w:hint="eastAsia"/>
        </w:rPr>
        <w:t xml:space="preserve">三、我单位依法进行纳税和社会保险申报并实际履行了义务。</w:t>
      </w:r>
      <w:r/>
    </w:p>
    <w:p>
      <w:pPr>
        <w:pStyle w:val="9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945"/>
        <w:ind w:firstLine="480"/>
        <w:spacing w:line="460" w:lineRule="exact"/>
      </w:pPr>
      <w:r>
        <w:rPr>
          <w:rFonts w:hint="eastAsia"/>
        </w:rPr>
        <w:t xml:space="preserve">主要设备有：</w:t>
      </w:r>
      <w:r>
        <w:rPr>
          <w:u w:val="single"/>
        </w:rPr>
        <w:t xml:space="preserve">            </w:t>
      </w:r>
      <w:r/>
    </w:p>
    <w:p>
      <w:pPr>
        <w:pStyle w:val="945"/>
        <w:ind w:firstLine="480"/>
        <w:spacing w:line="460" w:lineRule="exact"/>
      </w:pPr>
      <w:r>
        <w:rPr>
          <w:rFonts w:hint="eastAsia"/>
        </w:rPr>
        <w:t xml:space="preserve">主要专业技术能力有</w:t>
      </w:r>
      <w:r>
        <w:rPr>
          <w:rFonts w:hint="eastAsia"/>
          <w:u w:val="single"/>
        </w:rPr>
        <w:t xml:space="preserve">                 </w:t>
      </w:r>
      <w:r/>
    </w:p>
    <w:p>
      <w:pPr>
        <w:pStyle w:val="9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45"/>
        <w:ind w:firstLine="480"/>
        <w:spacing w:line="460" w:lineRule="exact"/>
      </w:pPr>
      <w:r>
        <w:rPr>
          <w:rFonts w:hint="eastAsia"/>
        </w:rPr>
        <w:t xml:space="preserve">六、我单位具备法律、行政法规规定的其他条件。</w:t>
      </w:r>
      <w:r/>
    </w:p>
    <w:p>
      <w:pPr>
        <w:pStyle w:val="9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5"/>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5"/>
        <w:ind w:firstLine="480"/>
        <w:spacing w:line="460" w:lineRule="exact"/>
      </w:pPr>
      <w:r>
        <w:rPr>
          <w:rFonts w:hint="eastAsia"/>
        </w:rPr>
        <w:t xml:space="preserve">九、</w:t>
      </w:r>
      <w:r>
        <w:t xml:space="preserve">我单位无以下不良信用记录情形：</w:t>
      </w:r>
      <w:r/>
    </w:p>
    <w:p>
      <w:pPr>
        <w:pStyle w:val="945"/>
        <w:ind w:firstLine="480"/>
        <w:spacing w:line="460" w:lineRule="exact"/>
      </w:pPr>
      <w:r>
        <w:t xml:space="preserve">1</w:t>
      </w:r>
      <w:r>
        <w:rPr>
          <w:rFonts w:hint="eastAsia"/>
        </w:rPr>
        <w:t xml:space="preserve">、在“信用中国”网站被列入失信被执行人和重大税收违法案件当事人名单；</w:t>
      </w:r>
      <w:r/>
    </w:p>
    <w:p>
      <w:pPr>
        <w:pStyle w:val="945"/>
        <w:ind w:firstLine="480"/>
        <w:spacing w:line="460" w:lineRule="exact"/>
      </w:pPr>
      <w:r>
        <w:t xml:space="preserve">2</w:t>
      </w:r>
      <w:r>
        <w:rPr>
          <w:rFonts w:hint="eastAsia"/>
        </w:rPr>
        <w:t xml:space="preserve">、在“中国政府采购网”网站被列入政府采购严重违法失信行为记录名单；</w:t>
      </w:r>
      <w:r/>
    </w:p>
    <w:p>
      <w:pPr>
        <w:pStyle w:val="945"/>
        <w:ind w:firstLine="480"/>
        <w:spacing w:line="460" w:lineRule="exact"/>
      </w:pPr>
      <w:r>
        <w:t xml:space="preserve">3</w:t>
      </w:r>
      <w:r>
        <w:rPr>
          <w:rFonts w:hint="eastAsia"/>
        </w:rPr>
        <w:t xml:space="preserve">、</w:t>
      </w:r>
      <w:r>
        <w:t xml:space="preserve">不符合《政府采购法》第二十二条规定的条件。</w:t>
      </w:r>
      <w:r/>
    </w:p>
    <w:p>
      <w:pPr>
        <w:pStyle w:val="945"/>
        <w:ind w:firstLine="480"/>
        <w:spacing w:line="460" w:lineRule="exact"/>
      </w:pPr>
      <w:r/>
      <w:r/>
    </w:p>
    <w:p>
      <w:pPr>
        <w:pStyle w:val="9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5"/>
        <w:ind w:firstLine="480"/>
        <w:spacing w:line="460" w:lineRule="exact"/>
      </w:pPr>
      <w:r/>
      <w:r/>
    </w:p>
    <w:p>
      <w:pPr>
        <w:pStyle w:val="945"/>
        <w:ind w:firstLine="480"/>
        <w:spacing w:line="460" w:lineRule="exact"/>
      </w:pPr>
      <w:r/>
      <w:r/>
    </w:p>
    <w:p>
      <w:pPr>
        <w:pStyle w:val="945"/>
        <w:ind w:firstLine="480"/>
        <w:spacing w:line="460" w:lineRule="exact"/>
      </w:pPr>
      <w:r>
        <w:rPr>
          <w:rFonts w:hint="eastAsia"/>
        </w:rPr>
        <w:t xml:space="preserve">                                            </w:t>
      </w:r>
      <w:r>
        <w:rPr>
          <w:rFonts w:hint="eastAsia"/>
        </w:rPr>
        <w:t xml:space="preserve">投标人：（加盖公章）</w:t>
      </w:r>
      <w:r/>
    </w:p>
    <w:p>
      <w:pPr>
        <w:pStyle w:val="945"/>
        <w:ind w:firstLine="480"/>
        <w:spacing w:line="460" w:lineRule="exact"/>
      </w:pPr>
      <w:r>
        <w:rPr>
          <w:rFonts w:hint="eastAsia"/>
        </w:rPr>
        <w:t xml:space="preserve">                                           </w:t>
      </w:r>
      <w:r>
        <w:rPr>
          <w:rFonts w:hint="eastAsia"/>
        </w:rPr>
        <w:t xml:space="preserve">法定代表人（或单位负责人）签字或盖章：</w:t>
      </w:r>
      <w:r/>
    </w:p>
    <w:p>
      <w:pPr>
        <w:pStyle w:val="945"/>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20"/>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0"/>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20"/>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20"/>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20"/>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20"/>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20"/>
        <w:ind w:firstLine="480"/>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pStyle w:val="945"/>
        <w:rPr>
          <w:i/>
          <w:sz w:val="24"/>
          <w:szCs w:val="24"/>
          <w:u w:val="single"/>
        </w:rPr>
      </w:pPr>
      <w:r>
        <w:rPr>
          <w:i/>
          <w:sz w:val="24"/>
          <w:szCs w:val="24"/>
          <w:u w:val="single"/>
        </w:rPr>
      </w:r>
      <w:r/>
    </w:p>
    <w:p>
      <w:pPr>
        <w:pStyle w:val="945"/>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1022"/>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2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102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2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102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2"/>
        <w:ind w:left="420"/>
        <w:spacing w:before="0" w:after="0" w:line="420" w:lineRule="exact"/>
        <w:rPr>
          <w:rFonts w:hint="eastAsia" w:ascii="宋体" w:hAnsi="宋体"/>
          <w:szCs w:val="21"/>
        </w:rPr>
      </w:pPr>
      <w:r>
        <w:rPr>
          <w:rFonts w:hint="eastAsia" w:ascii="宋体" w:hAnsi="宋体"/>
          <w:szCs w:val="21"/>
        </w:rPr>
        <w:t xml:space="preserve">地          址：</w:t>
      </w:r>
      <w:r/>
    </w:p>
    <w:p>
      <w:pPr>
        <w:pStyle w:val="1022"/>
        <w:ind w:left="420"/>
        <w:spacing w:before="0" w:after="0" w:line="420" w:lineRule="exact"/>
        <w:rPr>
          <w:rFonts w:hint="eastAsia" w:ascii="宋体" w:hAnsi="宋体"/>
          <w:szCs w:val="21"/>
        </w:rPr>
      </w:pPr>
      <w:r>
        <w:rPr>
          <w:rFonts w:hint="eastAsia" w:ascii="宋体" w:hAnsi="宋体"/>
          <w:szCs w:val="21"/>
        </w:rPr>
        <w:t xml:space="preserve">邮          编：</w:t>
      </w:r>
      <w:r/>
    </w:p>
    <w:p>
      <w:pPr>
        <w:pStyle w:val="1022"/>
        <w:ind w:left="420"/>
        <w:spacing w:before="0" w:after="0" w:line="420" w:lineRule="exact"/>
        <w:rPr>
          <w:rFonts w:hint="eastAsia" w:ascii="宋体" w:hAnsi="宋体"/>
          <w:szCs w:val="21"/>
        </w:rPr>
      </w:pPr>
      <w:r>
        <w:rPr>
          <w:rFonts w:hint="eastAsia" w:ascii="宋体" w:hAnsi="宋体"/>
          <w:szCs w:val="21"/>
        </w:rPr>
        <w:t xml:space="preserve">电          话：</w:t>
      </w:r>
      <w:r/>
    </w:p>
    <w:p>
      <w:pPr>
        <w:pStyle w:val="1022"/>
        <w:ind w:left="420"/>
        <w:spacing w:before="0" w:after="0" w:line="420" w:lineRule="exact"/>
        <w:rPr>
          <w:rFonts w:hint="eastAsia" w:ascii="宋体" w:hAnsi="宋体"/>
          <w:szCs w:val="21"/>
        </w:rPr>
      </w:pPr>
      <w:r>
        <w:rPr>
          <w:rFonts w:hint="eastAsia" w:ascii="宋体" w:hAnsi="宋体"/>
          <w:szCs w:val="21"/>
        </w:rPr>
        <w:t xml:space="preserve">传          真：</w:t>
      </w:r>
      <w:r/>
    </w:p>
    <w:p>
      <w:pPr>
        <w:pStyle w:val="102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22"/>
        <w:ind w:left="420"/>
        <w:spacing w:before="0" w:after="0" w:line="420" w:lineRule="exact"/>
        <w:rPr>
          <w:rFonts w:hint="eastAsia" w:ascii="宋体" w:hAnsi="宋体"/>
          <w:szCs w:val="21"/>
        </w:rPr>
      </w:pPr>
      <w:r>
        <w:rPr>
          <w:rFonts w:hint="eastAsia" w:ascii="宋体" w:hAnsi="宋体"/>
          <w:szCs w:val="21"/>
        </w:rPr>
        <w:t xml:space="preserve">账          号： </w:t>
      </w:r>
      <w:r/>
    </w:p>
    <w:p>
      <w:pPr>
        <w:pStyle w:val="102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信部联企业[2011]300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Segoe UI Emoji" w:hAnsi="Segoe UI Emoji" w:eastAsia="黑体" w:cs="Segoe UI Emoji"/>
          <w:b/>
          <w:sz w:val="32"/>
          <w:szCs w:val="32"/>
        </w:rPr>
        <w:t xml:space="preserve">五</w:t>
      </w:r>
      <w:r>
        <w:rPr>
          <w:rFonts w:hint="eastAsia" w:ascii="黑体" w:hAnsi="黑体" w:eastAsia="黑体"/>
          <w:b/>
          <w:sz w:val="32"/>
          <w:szCs w:val="32"/>
        </w:rPr>
        <w:t xml:space="preserve">、残疾人福利性单位声明函（分包号：**）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4"/>
        <w:gridCol w:w="959"/>
        <w:gridCol w:w="894"/>
        <w:gridCol w:w="1309"/>
        <w:gridCol w:w="1145"/>
        <w:gridCol w:w="757"/>
        <w:gridCol w:w="673"/>
        <w:gridCol w:w="678"/>
        <w:gridCol w:w="860"/>
        <w:gridCol w:w="1154"/>
      </w:tblGrid>
      <w:tr>
        <w:trPr>
          <w:cantSplit/>
          <w:jc w:val="center"/>
          <w:trHeight w:val="54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435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5000" w:type="pct"/>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rPr>
          <w:rFonts w:hint="eastAsia" w:asciiTheme="minorEastAsia" w:hAnsiTheme="minorEastAsia"/>
          <w:sz w:val="24"/>
          <w:szCs w:val="24"/>
        </w:rPr>
      </w:pPr>
      <w:r>
        <w:rPr>
          <w:rFonts w:hint="eastAsia" w:asciiTheme="minorEastAsia" w:hAnsiTheme="minorEastAsia"/>
          <w:sz w:val="24"/>
          <w:szCs w:val="24"/>
        </w:rPr>
        <w:t xml:space="preserve">备注：</w:t>
      </w:r>
      <w:r/>
    </w:p>
    <w:p>
      <w:pPr>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rPr>
          <w:rFonts w:hint="eastAsia" w:asciiTheme="minorEastAsia" w:hAnsiTheme="minorEastAsia"/>
          <w:sz w:val="24"/>
          <w:szCs w:val="24"/>
        </w:rPr>
      </w:pPr>
      <w:r>
        <w:rPr>
          <w:rFonts w:hint="eastAsia" w:cs="方正魏碑_GBK" w:asciiTheme="minorEastAsia" w:hAnsiTheme="minorEastAsia"/>
          <w:sz w:val="24"/>
          <w:szCs w:val="24"/>
        </w:rPr>
        <w:t xml:space="preserve">3</w:t>
      </w:r>
      <w:r>
        <w:rPr>
          <w:rFonts w:cs="方正魏碑_GBK" w:asciiTheme="minorEastAsia" w:hAnsiTheme="minorEastAsia"/>
          <w:sz w:val="24"/>
          <w:szCs w:val="24"/>
        </w:rPr>
        <w:t xml:space="preserve">.</w:t>
      </w:r>
      <w:r>
        <w:rPr>
          <w:rFonts w:hint="eastAsia" w:cs="方正魏碑_GBK"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sz w:val="24"/>
          <w:szCs w:val="24"/>
        </w:rPr>
        <w:t xml:space="preserve">80%</w:t>
      </w:r>
      <w:r>
        <w:rPr>
          <w:rFonts w:hint="eastAsia" w:cs="方正魏碑_GBK" w:asciiTheme="minorEastAsia" w:hAnsiTheme="minorEastAsia"/>
          <w:sz w:val="24"/>
          <w:szCs w:val="24"/>
        </w:rPr>
        <w:t xml:space="preserve">的，将不享受本国产品价格评审优惠。</w:t>
      </w:r>
      <w:r/>
    </w:p>
    <w:p>
      <w:pPr>
        <w:rPr>
          <w:rFonts w:hint="eastAsia"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45"/>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71508930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76585346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563831806"/>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33230818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779156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63872503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205706158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10352153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1432706845"/>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111809664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6599621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65740893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r/>
    </w:p>
    <w:p>
      <w:pPr>
        <w:ind w:firstLine="480"/>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i/>
          <w:sz w:val="24"/>
          <w:u w:val="single"/>
        </w:rPr>
      </w:pPr>
      <w:r>
        <w:rPr>
          <w:rFonts w:hint="eastAsia" w:ascii="宋体" w:hAnsi="宋体"/>
          <w:i/>
          <w:sz w:val="24"/>
          <w:u w:val="single"/>
        </w:rPr>
      </w:r>
      <w:bookmarkEnd w:id="199"/>
      <w:r/>
      <w:bookmarkEnd w:id="200"/>
      <w:r/>
      <w:bookmarkEnd w:id="210"/>
      <w:r/>
      <w:bookmarkEnd w:id="211"/>
      <w:r/>
      <w:bookmarkEnd w:id="212"/>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2268"/>
        <w:gridCol w:w="6067"/>
      </w:tblGrid>
      <w:tr>
        <w:trPr>
          <w:trHeight w:val="405"/>
        </w:trPr>
        <w:tc>
          <w:tcPr>
            <w:tcW w:w="10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26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06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216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68"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268"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见《投标（响应）文件格式》) </w:t>
            </w:r>
            <w:r/>
          </w:p>
        </w:tc>
      </w:tr>
      <w:tr>
        <w:trPr>
          <w:trHeight w:val="81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trHeight w:val="81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108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6067"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21"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68"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21"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68"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21"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68"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6067"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6067"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26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45"/>
        <w:rPr>
          <w:sz w:val="24"/>
          <w:szCs w:val="24"/>
        </w:rPr>
      </w:pPr>
      <w:r>
        <w:rPr>
          <w:sz w:val="24"/>
          <w:szCs w:val="24"/>
        </w:rPr>
      </w:r>
      <w:r/>
    </w:p>
    <w:p>
      <w:pPr>
        <w:pStyle w:val="945"/>
        <w:rPr>
          <w:sz w:val="24"/>
          <w:szCs w:val="24"/>
        </w:rPr>
      </w:pPr>
      <w:r>
        <w:rPr>
          <w:sz w:val="24"/>
          <w:szCs w:val="24"/>
        </w:rPr>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egoe UI">
    <w:panose1 w:val="020B0502040204020203"/>
  </w:font>
  <w:font w:name="Segoe UI Symbol">
    <w:panose1 w:val="020B0502040204020203"/>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2605405</wp:posOffset>
              </wp:positionH>
              <wp:positionV relativeFrom="paragraph">
                <wp:posOffset>-43815</wp:posOffset>
              </wp:positionV>
              <wp:extent cx="208915" cy="1816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8915" cy="1816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5.1pt;mso-position-horizontal:absolute;mso-position-vertical-relative:text;margin-top:-3.4pt;mso-position-vertical:absolute;width:16.4pt;height:14.3pt;mso-wrap-distance-left:9.0pt;mso-wrap-distance-top:0.0pt;mso-wrap-distance-right:9.0pt;mso-wrap-distance-bottom:0.0pt;v-text-anchor:top;visibility:visible;" filled="f" stroked="f" strokeweight="0.50pt">
              <v:textbox inset="0,0,0,0">
                <w:txbxContent>
                  <w:p>
                    <w:pPr>
                      <w:pStyle w:val="9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58"/>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930" w:hanging="72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5">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8"/>
      <w:isLgl w:val="false"/>
      <w:suff w:val="nothing"/>
      <w:lvlText w:val=""/>
      <w:lvlJc w:val="left"/>
      <w:pPr>
        <w:ind w:left="0" w:firstLine="0"/>
      </w:pPr>
      <w:rPr>
        <w:rFonts w:hint="eastAsia"/>
      </w:rPr>
    </w:lvl>
    <w:lvl w:ilvl="6">
      <w:start w:val="1"/>
      <w:numFmt w:val="none"/>
      <w:pStyle w:val="939"/>
      <w:isLgl w:val="false"/>
      <w:suff w:val="nothing"/>
      <w:lvlText w:val=""/>
      <w:lvlJc w:val="left"/>
      <w:pPr>
        <w:ind w:left="0" w:firstLine="0"/>
      </w:pPr>
      <w:rPr>
        <w:rFonts w:hint="eastAsia"/>
      </w:rPr>
    </w:lvl>
    <w:lvl w:ilvl="7">
      <w:start w:val="1"/>
      <w:numFmt w:val="none"/>
      <w:pStyle w:val="940"/>
      <w:isLgl w:val="false"/>
      <w:suff w:val="nothing"/>
      <w:lvlText w:val=""/>
      <w:lvlJc w:val="left"/>
      <w:pPr>
        <w:ind w:left="0" w:firstLine="0"/>
      </w:pPr>
      <w:rPr>
        <w:rFonts w:hint="eastAsia"/>
      </w:rPr>
    </w:lvl>
    <w:lvl w:ilvl="8">
      <w:start w:val="1"/>
      <w:numFmt w:val="none"/>
      <w:pStyle w:val="941"/>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930" w:hanging="72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num w:numId="1">
    <w:abstractNumId w:val="6"/>
  </w:num>
  <w:num w:numId="2">
    <w:abstractNumId w:val="1"/>
  </w:num>
  <w:num w:numId="3">
    <w:abstractNumId w:val="5"/>
  </w:num>
  <w:num w:numId="4">
    <w:abstractNumId w:val="2"/>
  </w:num>
  <w:num w:numId="5">
    <w:abstractNumId w:val="3"/>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42"/>
    <w:link w:val="933"/>
    <w:uiPriority w:val="9"/>
    <w:rPr>
      <w:rFonts w:ascii="Arial" w:hAnsi="Arial" w:eastAsia="Arial" w:cs="Arial"/>
      <w:sz w:val="40"/>
      <w:szCs w:val="40"/>
    </w:rPr>
  </w:style>
  <w:style w:type="character" w:styleId="772">
    <w:name w:val="Heading 2 Char"/>
    <w:basedOn w:val="942"/>
    <w:link w:val="934"/>
    <w:uiPriority w:val="9"/>
    <w:rPr>
      <w:rFonts w:ascii="Arial" w:hAnsi="Arial" w:eastAsia="Arial" w:cs="Arial"/>
      <w:sz w:val="34"/>
    </w:rPr>
  </w:style>
  <w:style w:type="character" w:styleId="773">
    <w:name w:val="Heading 3 Char"/>
    <w:basedOn w:val="942"/>
    <w:link w:val="935"/>
    <w:uiPriority w:val="9"/>
    <w:rPr>
      <w:rFonts w:ascii="Arial" w:hAnsi="Arial" w:eastAsia="Arial" w:cs="Arial"/>
      <w:sz w:val="30"/>
      <w:szCs w:val="30"/>
    </w:rPr>
  </w:style>
  <w:style w:type="character" w:styleId="774">
    <w:name w:val="Heading 4 Char"/>
    <w:basedOn w:val="942"/>
    <w:link w:val="936"/>
    <w:uiPriority w:val="9"/>
    <w:rPr>
      <w:rFonts w:ascii="Arial" w:hAnsi="Arial" w:eastAsia="Arial" w:cs="Arial"/>
      <w:b/>
      <w:bCs/>
      <w:sz w:val="26"/>
      <w:szCs w:val="26"/>
    </w:rPr>
  </w:style>
  <w:style w:type="character" w:styleId="775">
    <w:name w:val="Heading 5 Char"/>
    <w:basedOn w:val="942"/>
    <w:link w:val="937"/>
    <w:uiPriority w:val="9"/>
    <w:rPr>
      <w:rFonts w:ascii="Arial" w:hAnsi="Arial" w:eastAsia="Arial" w:cs="Arial"/>
      <w:b/>
      <w:bCs/>
      <w:sz w:val="24"/>
      <w:szCs w:val="24"/>
    </w:rPr>
  </w:style>
  <w:style w:type="character" w:styleId="776">
    <w:name w:val="Heading 6 Char"/>
    <w:basedOn w:val="942"/>
    <w:link w:val="938"/>
    <w:uiPriority w:val="9"/>
    <w:rPr>
      <w:rFonts w:ascii="Arial" w:hAnsi="Arial" w:eastAsia="Arial" w:cs="Arial"/>
      <w:b/>
      <w:bCs/>
      <w:sz w:val="22"/>
      <w:szCs w:val="22"/>
    </w:rPr>
  </w:style>
  <w:style w:type="character" w:styleId="777">
    <w:name w:val="Heading 7 Char"/>
    <w:basedOn w:val="942"/>
    <w:link w:val="939"/>
    <w:uiPriority w:val="9"/>
    <w:rPr>
      <w:rFonts w:ascii="Arial" w:hAnsi="Arial" w:eastAsia="Arial" w:cs="Arial"/>
      <w:b/>
      <w:bCs/>
      <w:i/>
      <w:iCs/>
      <w:sz w:val="22"/>
      <w:szCs w:val="22"/>
    </w:rPr>
  </w:style>
  <w:style w:type="character" w:styleId="778">
    <w:name w:val="Heading 8 Char"/>
    <w:basedOn w:val="942"/>
    <w:link w:val="940"/>
    <w:uiPriority w:val="9"/>
    <w:rPr>
      <w:rFonts w:ascii="Arial" w:hAnsi="Arial" w:eastAsia="Arial" w:cs="Arial"/>
      <w:i/>
      <w:iCs/>
      <w:sz w:val="22"/>
      <w:szCs w:val="22"/>
    </w:rPr>
  </w:style>
  <w:style w:type="character" w:styleId="779">
    <w:name w:val="Heading 9 Char"/>
    <w:basedOn w:val="942"/>
    <w:link w:val="941"/>
    <w:uiPriority w:val="9"/>
    <w:rPr>
      <w:rFonts w:ascii="Arial" w:hAnsi="Arial" w:eastAsia="Arial" w:cs="Arial"/>
      <w:i/>
      <w:iCs/>
      <w:sz w:val="21"/>
      <w:szCs w:val="21"/>
    </w:rPr>
  </w:style>
  <w:style w:type="paragraph" w:styleId="780">
    <w:name w:val="Title"/>
    <w:basedOn w:val="932"/>
    <w:next w:val="932"/>
    <w:link w:val="781"/>
    <w:uiPriority w:val="10"/>
    <w:qFormat/>
    <w:pPr>
      <w:contextualSpacing/>
      <w:spacing w:before="300" w:after="200"/>
    </w:pPr>
    <w:rPr>
      <w:sz w:val="48"/>
      <w:szCs w:val="48"/>
    </w:rPr>
  </w:style>
  <w:style w:type="character" w:styleId="781">
    <w:name w:val="Title Char"/>
    <w:basedOn w:val="942"/>
    <w:link w:val="780"/>
    <w:uiPriority w:val="10"/>
    <w:rPr>
      <w:sz w:val="48"/>
      <w:szCs w:val="48"/>
    </w:rPr>
  </w:style>
  <w:style w:type="paragraph" w:styleId="782">
    <w:name w:val="Subtitle"/>
    <w:basedOn w:val="932"/>
    <w:next w:val="932"/>
    <w:link w:val="783"/>
    <w:uiPriority w:val="11"/>
    <w:qFormat/>
    <w:pPr>
      <w:spacing w:before="200" w:after="200"/>
    </w:pPr>
    <w:rPr>
      <w:sz w:val="24"/>
      <w:szCs w:val="24"/>
    </w:rPr>
  </w:style>
  <w:style w:type="character" w:styleId="783">
    <w:name w:val="Subtitle Char"/>
    <w:basedOn w:val="942"/>
    <w:link w:val="782"/>
    <w:uiPriority w:val="11"/>
    <w:rPr>
      <w:sz w:val="24"/>
      <w:szCs w:val="24"/>
    </w:rPr>
  </w:style>
  <w:style w:type="paragraph" w:styleId="784">
    <w:name w:val="Quote"/>
    <w:basedOn w:val="932"/>
    <w:next w:val="932"/>
    <w:link w:val="785"/>
    <w:uiPriority w:val="29"/>
    <w:qFormat/>
    <w:pPr>
      <w:ind w:left="720" w:right="720"/>
    </w:pPr>
    <w:rPr>
      <w:i/>
    </w:rPr>
  </w:style>
  <w:style w:type="character" w:styleId="785">
    <w:name w:val="Quote Char"/>
    <w:link w:val="784"/>
    <w:uiPriority w:val="29"/>
    <w:rPr>
      <w:i/>
    </w:rPr>
  </w:style>
  <w:style w:type="paragraph" w:styleId="786">
    <w:name w:val="Intense Quote"/>
    <w:basedOn w:val="932"/>
    <w:next w:val="93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42"/>
    <w:link w:val="959"/>
    <w:uiPriority w:val="99"/>
  </w:style>
  <w:style w:type="character" w:styleId="789">
    <w:name w:val="Footer Char"/>
    <w:basedOn w:val="942"/>
    <w:link w:val="958"/>
    <w:uiPriority w:val="99"/>
  </w:style>
  <w:style w:type="paragraph" w:styleId="790">
    <w:name w:val="Caption"/>
    <w:basedOn w:val="932"/>
    <w:next w:val="932"/>
    <w:uiPriority w:val="35"/>
    <w:semiHidden/>
    <w:unhideWhenUsed/>
    <w:qFormat/>
    <w:pPr>
      <w:spacing w:line="276" w:lineRule="auto"/>
    </w:pPr>
    <w:rPr>
      <w:b/>
      <w:bCs/>
      <w:color w:val="4f81bd" w:themeColor="accent1"/>
      <w:sz w:val="18"/>
      <w:szCs w:val="18"/>
    </w:rPr>
  </w:style>
  <w:style w:type="character" w:styleId="791">
    <w:name w:val="Caption Char"/>
    <w:basedOn w:val="790"/>
    <w:link w:val="958"/>
    <w:uiPriority w:val="99"/>
  </w:style>
  <w:style w:type="table" w:styleId="792">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8">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9">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0">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1">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2">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3">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0">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3">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4">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5">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6">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7">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8">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0">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1">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2">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3">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4">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5">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4">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5">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6">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7">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8">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9">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1">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2">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3">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4">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5">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6">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8">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9">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0">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1">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2">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3">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5">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6">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7">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8">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9">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0">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7">
    <w:name w:val="footnote text"/>
    <w:basedOn w:val="932"/>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basedOn w:val="942"/>
    <w:uiPriority w:val="99"/>
    <w:unhideWhenUsed/>
    <w:rPr>
      <w:vertAlign w:val="superscript"/>
    </w:rPr>
  </w:style>
  <w:style w:type="paragraph" w:styleId="920">
    <w:name w:val="endnote text"/>
    <w:basedOn w:val="932"/>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42"/>
    <w:uiPriority w:val="99"/>
    <w:semiHidden/>
    <w:unhideWhenUsed/>
    <w:rPr>
      <w:vertAlign w:val="superscript"/>
    </w:rPr>
  </w:style>
  <w:style w:type="paragraph" w:styleId="923">
    <w:name w:val="toc 2"/>
    <w:basedOn w:val="932"/>
    <w:next w:val="932"/>
    <w:uiPriority w:val="39"/>
    <w:unhideWhenUsed/>
    <w:pPr>
      <w:ind w:left="283" w:right="0" w:firstLine="0"/>
      <w:spacing w:after="57"/>
    </w:pPr>
  </w:style>
  <w:style w:type="paragraph" w:styleId="924">
    <w:name w:val="toc 3"/>
    <w:basedOn w:val="932"/>
    <w:next w:val="932"/>
    <w:uiPriority w:val="39"/>
    <w:unhideWhenUsed/>
    <w:pPr>
      <w:ind w:left="567" w:right="0" w:firstLine="0"/>
      <w:spacing w:after="57"/>
    </w:pPr>
  </w:style>
  <w:style w:type="paragraph" w:styleId="925">
    <w:name w:val="toc 4"/>
    <w:basedOn w:val="932"/>
    <w:next w:val="932"/>
    <w:uiPriority w:val="39"/>
    <w:unhideWhenUsed/>
    <w:pPr>
      <w:ind w:left="850" w:right="0" w:firstLine="0"/>
      <w:spacing w:after="57"/>
    </w:pPr>
  </w:style>
  <w:style w:type="paragraph" w:styleId="926">
    <w:name w:val="toc 5"/>
    <w:basedOn w:val="932"/>
    <w:next w:val="932"/>
    <w:uiPriority w:val="39"/>
    <w:unhideWhenUsed/>
    <w:pPr>
      <w:ind w:left="1134" w:right="0" w:firstLine="0"/>
      <w:spacing w:after="57"/>
    </w:pPr>
  </w:style>
  <w:style w:type="paragraph" w:styleId="927">
    <w:name w:val="toc 6"/>
    <w:basedOn w:val="932"/>
    <w:next w:val="932"/>
    <w:uiPriority w:val="39"/>
    <w:unhideWhenUsed/>
    <w:pPr>
      <w:ind w:left="1417" w:right="0" w:firstLine="0"/>
      <w:spacing w:after="57"/>
    </w:pPr>
  </w:style>
  <w:style w:type="paragraph" w:styleId="928">
    <w:name w:val="toc 7"/>
    <w:basedOn w:val="932"/>
    <w:next w:val="932"/>
    <w:uiPriority w:val="39"/>
    <w:unhideWhenUsed/>
    <w:pPr>
      <w:ind w:left="1701" w:right="0" w:firstLine="0"/>
      <w:spacing w:after="57"/>
    </w:pPr>
  </w:style>
  <w:style w:type="paragraph" w:styleId="929">
    <w:name w:val="toc 8"/>
    <w:basedOn w:val="932"/>
    <w:next w:val="932"/>
    <w:uiPriority w:val="39"/>
    <w:unhideWhenUsed/>
    <w:pPr>
      <w:ind w:left="1984" w:right="0" w:firstLine="0"/>
      <w:spacing w:after="57"/>
    </w:pPr>
  </w:style>
  <w:style w:type="paragraph" w:styleId="930">
    <w:name w:val="toc 9"/>
    <w:basedOn w:val="932"/>
    <w:next w:val="932"/>
    <w:uiPriority w:val="39"/>
    <w:unhideWhenUsed/>
    <w:pPr>
      <w:ind w:left="2268" w:right="0" w:firstLine="0"/>
      <w:spacing w:after="57"/>
    </w:pPr>
  </w:style>
  <w:style w:type="paragraph" w:styleId="931">
    <w:name w:val="TOC Heading"/>
    <w:uiPriority w:val="39"/>
    <w:unhideWhenUsed/>
  </w:style>
  <w:style w:type="paragraph" w:styleId="932" w:default="1">
    <w:name w:val="Normal"/>
    <w:qFormat/>
    <w:pPr>
      <w:jc w:val="both"/>
      <w:widowControl w:val="off"/>
    </w:pPr>
    <w:rPr>
      <w:rFonts w:ascii="Times New Roman" w:hAnsi="Times New Roman"/>
      <w:sz w:val="21"/>
      <w:szCs w:val="21"/>
    </w:rPr>
  </w:style>
  <w:style w:type="paragraph" w:styleId="933">
    <w:name w:val="Heading 1"/>
    <w:basedOn w:val="932"/>
    <w:next w:val="932"/>
    <w:link w:val="975"/>
    <w:qFormat/>
    <w:pPr>
      <w:jc w:val="center"/>
      <w:keepNext/>
      <w:outlineLvl w:val="0"/>
    </w:pPr>
    <w:rPr>
      <w:rFonts w:ascii="楷体_GB2312" w:eastAsia="楷体_GB2312"/>
      <w:sz w:val="28"/>
      <w:szCs w:val="28"/>
    </w:rPr>
  </w:style>
  <w:style w:type="paragraph" w:styleId="934">
    <w:name w:val="Heading 2"/>
    <w:basedOn w:val="932"/>
    <w:next w:val="945"/>
    <w:link w:val="976"/>
    <w:qFormat/>
    <w:pPr>
      <w:jc w:val="center"/>
      <w:keepLines/>
      <w:keepNext/>
      <w:spacing w:before="260" w:after="260" w:line="416" w:lineRule="auto"/>
      <w:outlineLvl w:val="1"/>
    </w:pPr>
    <w:rPr>
      <w:rFonts w:ascii="Arial" w:hAnsi="Arial" w:eastAsia="幼圆" w:cs="Arial"/>
      <w:b/>
      <w:bCs/>
      <w:sz w:val="44"/>
      <w:szCs w:val="44"/>
    </w:rPr>
  </w:style>
  <w:style w:type="paragraph" w:styleId="935">
    <w:name w:val="Heading 3"/>
    <w:basedOn w:val="932"/>
    <w:next w:val="945"/>
    <w:link w:val="977"/>
    <w:qFormat/>
    <w:pPr>
      <w:keepLines/>
      <w:keepNext/>
      <w:spacing w:before="260" w:after="260" w:line="416" w:lineRule="auto"/>
      <w:outlineLvl w:val="2"/>
    </w:pPr>
    <w:rPr>
      <w:b/>
      <w:bCs/>
      <w:sz w:val="32"/>
      <w:szCs w:val="32"/>
    </w:rPr>
  </w:style>
  <w:style w:type="paragraph" w:styleId="936">
    <w:name w:val="Heading 4"/>
    <w:basedOn w:val="932"/>
    <w:next w:val="945"/>
    <w:link w:val="978"/>
    <w:qFormat/>
    <w:pPr>
      <w:keepLines/>
      <w:keepNext/>
      <w:spacing w:before="280" w:after="290" w:line="376" w:lineRule="auto"/>
      <w:outlineLvl w:val="3"/>
    </w:pPr>
    <w:rPr>
      <w:rFonts w:ascii="Arial" w:hAnsi="Arial" w:eastAsia="黑体" w:cs="Arial"/>
      <w:b/>
      <w:bCs/>
      <w:sz w:val="28"/>
      <w:szCs w:val="28"/>
    </w:rPr>
  </w:style>
  <w:style w:type="paragraph" w:styleId="937">
    <w:name w:val="Heading 5"/>
    <w:basedOn w:val="932"/>
    <w:next w:val="945"/>
    <w:link w:val="979"/>
    <w:qFormat/>
    <w:pPr>
      <w:keepNext/>
      <w:outlineLvl w:val="4"/>
    </w:pPr>
    <w:rPr>
      <w:rFonts w:ascii="宋体"/>
      <w:color w:val="000000"/>
      <w:sz w:val="28"/>
      <w:szCs w:val="28"/>
    </w:rPr>
  </w:style>
  <w:style w:type="paragraph" w:styleId="938">
    <w:name w:val="Heading 6"/>
    <w:basedOn w:val="932"/>
    <w:next w:val="932"/>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Heading 7"/>
    <w:basedOn w:val="932"/>
    <w:next w:val="932"/>
    <w:link w:val="981"/>
    <w:qFormat/>
    <w:pPr>
      <w:numPr>
        <w:ilvl w:val="6"/>
        <w:numId w:val="1"/>
      </w:numPr>
      <w:keepLines/>
      <w:keepNext/>
      <w:spacing w:before="240" w:after="64" w:line="320" w:lineRule="auto"/>
      <w:outlineLvl w:val="6"/>
    </w:pPr>
    <w:rPr>
      <w:b/>
      <w:bCs/>
      <w:sz w:val="24"/>
      <w:szCs w:val="24"/>
    </w:rPr>
  </w:style>
  <w:style w:type="paragraph" w:styleId="940">
    <w:name w:val="Heading 8"/>
    <w:basedOn w:val="932"/>
    <w:next w:val="932"/>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Heading 9"/>
    <w:basedOn w:val="932"/>
    <w:next w:val="932"/>
    <w:link w:val="983"/>
    <w:qFormat/>
    <w:pPr>
      <w:numPr>
        <w:ilvl w:val="8"/>
        <w:numId w:val="1"/>
      </w:numPr>
      <w:keepLines/>
      <w:keepNext/>
      <w:spacing w:before="240" w:after="64" w:line="320" w:lineRule="auto"/>
      <w:outlineLvl w:val="8"/>
    </w:pPr>
    <w:rPr>
      <w:rFonts w:ascii="Arial" w:hAnsi="Arial" w:eastAsia="黑体"/>
    </w:rPr>
  </w:style>
  <w:style w:type="character" w:styleId="942" w:default="1">
    <w:name w:val="Default Paragraph Font"/>
    <w:uiPriority w:val="1"/>
    <w:semiHidden/>
    <w:unhideWhenUsed/>
  </w:style>
  <w:style w:type="table" w:styleId="943" w:default="1">
    <w:name w:val="Normal Table"/>
    <w:uiPriority w:val="99"/>
    <w:semiHidden/>
    <w:unhideWhenUsed/>
    <w:tblPr>
      <w:tblInd w:w="0" w:type="dxa"/>
      <w:tblCellMar>
        <w:left w:w="108" w:type="dxa"/>
        <w:top w:w="0" w:type="dxa"/>
        <w:right w:w="108" w:type="dxa"/>
        <w:bottom w:w="0" w:type="dxa"/>
      </w:tblCellMar>
    </w:tblPr>
  </w:style>
  <w:style w:type="numbering" w:styleId="944" w:default="1">
    <w:name w:val="No List"/>
    <w:uiPriority w:val="99"/>
    <w:semiHidden/>
    <w:unhideWhenUsed/>
  </w:style>
  <w:style w:type="paragraph" w:styleId="945">
    <w:name w:val="Normal Indent"/>
    <w:basedOn w:val="932"/>
    <w:link w:val="984"/>
    <w:uiPriority w:val="99"/>
    <w:qFormat/>
    <w:pPr>
      <w:ind w:firstLine="420"/>
    </w:pPr>
  </w:style>
  <w:style w:type="paragraph" w:styleId="946">
    <w:name w:val="List 3"/>
    <w:basedOn w:val="932"/>
    <w:qFormat/>
    <w:pPr>
      <w:ind w:left="100" w:hanging="200"/>
    </w:pPr>
  </w:style>
  <w:style w:type="paragraph" w:styleId="947">
    <w:name w:val="Note Heading"/>
    <w:basedOn w:val="932"/>
    <w:next w:val="932"/>
    <w:link w:val="1053"/>
    <w:qFormat/>
    <w:pPr>
      <w:widowControl/>
    </w:pPr>
    <w:rPr>
      <w:rFonts w:ascii="Verdana" w:hAnsi="Verdana"/>
      <w:szCs w:val="20"/>
    </w:rPr>
  </w:style>
  <w:style w:type="paragraph" w:styleId="948">
    <w:name w:val="Document Map"/>
    <w:basedOn w:val="932"/>
    <w:link w:val="986"/>
    <w:semiHidden/>
    <w:qFormat/>
    <w:pPr>
      <w:shd w:val="clear" w:color="auto" w:fill="000080"/>
    </w:pPr>
  </w:style>
  <w:style w:type="paragraph" w:styleId="949">
    <w:name w:val="annotation text"/>
    <w:basedOn w:val="932"/>
    <w:link w:val="987"/>
    <w:uiPriority w:val="99"/>
    <w:qFormat/>
    <w:pPr>
      <w:jc w:val="left"/>
    </w:pPr>
  </w:style>
  <w:style w:type="paragraph" w:styleId="950">
    <w:name w:val="Body Text 3"/>
    <w:basedOn w:val="932"/>
    <w:link w:val="988"/>
    <w:qFormat/>
    <w:rPr>
      <w:rFonts w:ascii="仿宋_GB2312" w:hAnsi="Arial" w:eastAsia="仿宋_GB2312"/>
      <w:sz w:val="32"/>
      <w:szCs w:val="32"/>
    </w:rPr>
  </w:style>
  <w:style w:type="paragraph" w:styleId="951">
    <w:name w:val="Body Text"/>
    <w:basedOn w:val="932"/>
    <w:link w:val="989"/>
    <w:qFormat/>
    <w:rPr>
      <w:rFonts w:ascii="楷体_GB2312" w:hAnsi="Arial" w:eastAsia="楷体_GB2312"/>
      <w:sz w:val="28"/>
      <w:szCs w:val="28"/>
    </w:rPr>
  </w:style>
  <w:style w:type="paragraph" w:styleId="952">
    <w:name w:val="Body Text Indent"/>
    <w:basedOn w:val="932"/>
    <w:link w:val="990"/>
    <w:qFormat/>
    <w:pPr>
      <w:ind w:firstLine="645"/>
    </w:pPr>
    <w:rPr>
      <w:rFonts w:ascii="楷体_GB2312" w:eastAsia="楷体_GB2312"/>
      <w:sz w:val="32"/>
      <w:szCs w:val="32"/>
    </w:rPr>
  </w:style>
  <w:style w:type="paragraph" w:styleId="953">
    <w:name w:val="List 2"/>
    <w:basedOn w:val="932"/>
    <w:qFormat/>
    <w:pPr>
      <w:ind w:left="100" w:hanging="200"/>
    </w:pPr>
  </w:style>
  <w:style w:type="paragraph" w:styleId="954">
    <w:name w:val="Plain Text"/>
    <w:basedOn w:val="932"/>
    <w:link w:val="993"/>
    <w:qFormat/>
    <w:rPr>
      <w:rFonts w:ascii="宋体" w:hAnsi="Courier New" w:cs="Courier New"/>
    </w:rPr>
  </w:style>
  <w:style w:type="paragraph" w:styleId="955">
    <w:name w:val="Date"/>
    <w:basedOn w:val="932"/>
    <w:next w:val="932"/>
    <w:link w:val="995"/>
    <w:qFormat/>
    <w:rPr>
      <w:sz w:val="24"/>
      <w:szCs w:val="24"/>
    </w:rPr>
  </w:style>
  <w:style w:type="paragraph" w:styleId="956">
    <w:name w:val="Body Text Indent 2"/>
    <w:basedOn w:val="932"/>
    <w:link w:val="996"/>
    <w:qFormat/>
    <w:pPr>
      <w:ind w:left="630" w:firstLine="645"/>
    </w:pPr>
    <w:rPr>
      <w:rFonts w:ascii="Arial" w:hAnsi="Arial" w:eastAsia="仿宋_GB2312" w:cs="Arial"/>
      <w:sz w:val="32"/>
      <w:szCs w:val="32"/>
    </w:rPr>
  </w:style>
  <w:style w:type="paragraph" w:styleId="957">
    <w:name w:val="Balloon Text"/>
    <w:basedOn w:val="932"/>
    <w:link w:val="997"/>
    <w:semiHidden/>
    <w:qFormat/>
    <w:rPr>
      <w:sz w:val="18"/>
      <w:szCs w:val="18"/>
    </w:rPr>
  </w:style>
  <w:style w:type="paragraph" w:styleId="958">
    <w:name w:val="Footer"/>
    <w:basedOn w:val="932"/>
    <w:link w:val="998"/>
    <w:uiPriority w:val="99"/>
    <w:qFormat/>
    <w:pPr>
      <w:jc w:val="left"/>
      <w:tabs>
        <w:tab w:val="center" w:pos="4153" w:leader="none"/>
        <w:tab w:val="right" w:pos="8306" w:leader="none"/>
      </w:tabs>
    </w:pPr>
    <w:rPr>
      <w:sz w:val="18"/>
      <w:szCs w:val="18"/>
    </w:rPr>
  </w:style>
  <w:style w:type="paragraph" w:styleId="959">
    <w:name w:val="Header"/>
    <w:basedOn w:val="932"/>
    <w:link w:val="999"/>
    <w:qFormat/>
    <w:pPr>
      <w:jc w:val="center"/>
      <w:tabs>
        <w:tab w:val="center" w:pos="4153" w:leader="none"/>
        <w:tab w:val="right" w:pos="8306" w:leader="none"/>
      </w:tabs>
      <w:pBdr>
        <w:bottom w:val="single" w:color="auto" w:sz="6" w:space="1"/>
      </w:pBdr>
    </w:pPr>
    <w:rPr>
      <w:sz w:val="18"/>
      <w:szCs w:val="18"/>
    </w:rPr>
  </w:style>
  <w:style w:type="paragraph" w:styleId="960">
    <w:name w:val="toc 1"/>
    <w:basedOn w:val="932"/>
    <w:next w:val="932"/>
    <w:uiPriority w:val="39"/>
    <w:unhideWhenUsed/>
    <w:qFormat/>
    <w:pPr>
      <w:spacing w:line="360" w:lineRule="auto"/>
      <w:tabs>
        <w:tab w:val="right" w:pos="9016" w:leader="dot"/>
      </w:tabs>
    </w:pPr>
  </w:style>
  <w:style w:type="paragraph" w:styleId="961">
    <w:name w:val="List"/>
    <w:basedOn w:val="932"/>
    <w:qFormat/>
    <w:pPr>
      <w:ind w:left="200" w:hanging="200"/>
    </w:pPr>
  </w:style>
  <w:style w:type="paragraph" w:styleId="962">
    <w:name w:val="Body Text Indent 3"/>
    <w:basedOn w:val="932"/>
    <w:link w:val="1003"/>
    <w:qFormat/>
    <w:pPr>
      <w:ind w:left="645" w:firstLine="645"/>
    </w:pPr>
    <w:rPr>
      <w:rFonts w:ascii="Arial" w:hAnsi="Arial" w:eastAsia="仿宋_GB2312" w:cs="Arial"/>
      <w:color w:val="ffff00"/>
      <w:sz w:val="32"/>
      <w:szCs w:val="32"/>
    </w:rPr>
  </w:style>
  <w:style w:type="paragraph" w:styleId="963">
    <w:name w:val="table of figures"/>
    <w:basedOn w:val="932"/>
    <w:next w:val="932"/>
    <w:semiHidden/>
    <w:qFormat/>
    <w:pPr>
      <w:ind w:left="840" w:hanging="420"/>
    </w:pPr>
  </w:style>
  <w:style w:type="paragraph" w:styleId="964">
    <w:name w:val="Body Text 2"/>
    <w:basedOn w:val="932"/>
    <w:link w:val="1006"/>
    <w:qFormat/>
    <w:pPr>
      <w:jc w:val="center"/>
      <w:widowControl/>
    </w:pPr>
    <w:rPr>
      <w:rFonts w:ascii="楷体_GB2312" w:eastAsia="楷体_GB2312"/>
      <w:sz w:val="28"/>
      <w:szCs w:val="28"/>
    </w:rPr>
  </w:style>
  <w:style w:type="paragraph" w:styleId="965">
    <w:name w:val="Normal (Web)"/>
    <w:basedOn w:val="932"/>
    <w:qFormat/>
    <w:pPr>
      <w:jc w:val="left"/>
      <w:spacing w:before="100" w:beforeAutospacing="1" w:after="100" w:afterAutospacing="1"/>
      <w:widowControl/>
    </w:pPr>
    <w:rPr>
      <w:rFonts w:ascii="宋体" w:hAnsi="宋体" w:cs="宋体"/>
      <w:sz w:val="24"/>
      <w:szCs w:val="24"/>
    </w:rPr>
  </w:style>
  <w:style w:type="paragraph" w:styleId="966">
    <w:name w:val="index 1"/>
    <w:basedOn w:val="932"/>
    <w:next w:val="932"/>
    <w:semiHidden/>
    <w:qFormat/>
    <w:pPr>
      <w:spacing w:line="240" w:lineRule="atLeast"/>
    </w:pPr>
    <w:rPr>
      <w:b/>
      <w:bCs/>
    </w:rPr>
  </w:style>
  <w:style w:type="paragraph" w:styleId="967">
    <w:name w:val="annotation subject"/>
    <w:basedOn w:val="949"/>
    <w:next w:val="949"/>
    <w:link w:val="1007"/>
    <w:semiHidden/>
    <w:qFormat/>
    <w:rPr>
      <w:b/>
      <w:bCs/>
    </w:rPr>
  </w:style>
  <w:style w:type="paragraph" w:styleId="968">
    <w:name w:val="Body Text First Indent"/>
    <w:basedOn w:val="951"/>
    <w:link w:val="1052"/>
    <w:uiPriority w:val="99"/>
    <w:semiHidden/>
    <w:unhideWhenUsed/>
    <w:qFormat/>
    <w:pPr>
      <w:ind w:firstLine="420"/>
      <w:spacing w:after="120"/>
    </w:pPr>
    <w:rPr>
      <w:rFonts w:ascii="Calibri" w:hAnsi="Calibri" w:eastAsia="宋体"/>
      <w:sz w:val="21"/>
      <w:szCs w:val="24"/>
    </w:rPr>
  </w:style>
  <w:style w:type="table" w:styleId="969">
    <w:name w:val="Table Grid"/>
    <w:basedOn w:val="943"/>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qFormat/>
    <w:rPr>
      <w:b/>
      <w:bCs/>
    </w:rPr>
  </w:style>
  <w:style w:type="character" w:styleId="971">
    <w:name w:val="page number"/>
    <w:qFormat/>
  </w:style>
  <w:style w:type="character" w:styleId="972">
    <w:name w:val="FollowedHyperlink"/>
    <w:qFormat/>
    <w:rPr>
      <w:color w:val="800080"/>
      <w:u w:val="single"/>
    </w:rPr>
  </w:style>
  <w:style w:type="character" w:styleId="973">
    <w:name w:val="Hyperlink"/>
    <w:uiPriority w:val="99"/>
    <w:qFormat/>
    <w:rPr>
      <w:color w:val="0000ff"/>
      <w:u w:val="single"/>
    </w:rPr>
  </w:style>
  <w:style w:type="character" w:styleId="974">
    <w:name w:val="annotation reference"/>
    <w:qFormat/>
    <w:rPr>
      <w:sz w:val="21"/>
      <w:szCs w:val="21"/>
    </w:rPr>
  </w:style>
  <w:style w:type="character" w:styleId="975" w:customStyle="1">
    <w:name w:val="标题 1 字符"/>
    <w:link w:val="933"/>
    <w:qFormat/>
    <w:rPr>
      <w:rFonts w:ascii="楷体_GB2312" w:hAnsi="Times New Roman" w:eastAsia="楷体_GB2312" w:cs="Times New Roman"/>
      <w:sz w:val="28"/>
      <w:szCs w:val="28"/>
    </w:rPr>
  </w:style>
  <w:style w:type="character" w:styleId="976" w:customStyle="1">
    <w:name w:val="标题 2 字符"/>
    <w:link w:val="934"/>
    <w:qFormat/>
    <w:rPr>
      <w:rFonts w:ascii="Arial" w:hAnsi="Arial" w:eastAsia="幼圆" w:cs="Arial"/>
      <w:b/>
      <w:bCs/>
      <w:sz w:val="44"/>
      <w:szCs w:val="44"/>
    </w:rPr>
  </w:style>
  <w:style w:type="character" w:styleId="977" w:customStyle="1">
    <w:name w:val="标题 3 字符"/>
    <w:link w:val="935"/>
    <w:qFormat/>
    <w:rPr>
      <w:rFonts w:ascii="Times New Roman" w:hAnsi="Times New Roman" w:eastAsia="宋体" w:cs="Times New Roman"/>
      <w:b/>
      <w:bCs/>
      <w:sz w:val="32"/>
      <w:szCs w:val="32"/>
    </w:rPr>
  </w:style>
  <w:style w:type="character" w:styleId="978" w:customStyle="1">
    <w:name w:val="标题 4 字符"/>
    <w:link w:val="936"/>
    <w:qFormat/>
    <w:rPr>
      <w:rFonts w:ascii="Arial" w:hAnsi="Arial" w:eastAsia="黑体" w:cs="Arial"/>
      <w:b/>
      <w:bCs/>
      <w:sz w:val="28"/>
      <w:szCs w:val="28"/>
    </w:rPr>
  </w:style>
  <w:style w:type="character" w:styleId="979" w:customStyle="1">
    <w:name w:val="标题 5 字符"/>
    <w:link w:val="937"/>
    <w:qFormat/>
    <w:rPr>
      <w:rFonts w:ascii="宋体" w:hAnsi="Times New Roman" w:eastAsia="宋体" w:cs="Times New Roman"/>
      <w:color w:val="000000"/>
      <w:sz w:val="28"/>
      <w:szCs w:val="28"/>
    </w:rPr>
  </w:style>
  <w:style w:type="character" w:styleId="980" w:customStyle="1">
    <w:name w:val="标题 6 字符"/>
    <w:link w:val="938"/>
    <w:qFormat/>
    <w:rPr>
      <w:rFonts w:ascii="Arial" w:hAnsi="Arial" w:eastAsia="黑体" w:cs="Times New Roman"/>
      <w:b/>
      <w:bCs/>
      <w:sz w:val="24"/>
      <w:szCs w:val="24"/>
    </w:rPr>
  </w:style>
  <w:style w:type="character" w:styleId="981" w:customStyle="1">
    <w:name w:val="标题 7 字符"/>
    <w:link w:val="939"/>
    <w:qFormat/>
    <w:rPr>
      <w:rFonts w:ascii="Times New Roman" w:hAnsi="Times New Roman" w:eastAsia="宋体" w:cs="Times New Roman"/>
      <w:b/>
      <w:bCs/>
      <w:sz w:val="24"/>
      <w:szCs w:val="24"/>
    </w:rPr>
  </w:style>
  <w:style w:type="character" w:styleId="982" w:customStyle="1">
    <w:name w:val="标题 8 字符"/>
    <w:link w:val="940"/>
    <w:qFormat/>
    <w:rPr>
      <w:rFonts w:ascii="Arial" w:hAnsi="Arial" w:eastAsia="黑体" w:cs="Times New Roman"/>
      <w:sz w:val="24"/>
      <w:szCs w:val="24"/>
    </w:rPr>
  </w:style>
  <w:style w:type="character" w:styleId="983" w:customStyle="1">
    <w:name w:val="标题 9 字符"/>
    <w:link w:val="941"/>
    <w:qFormat/>
    <w:rPr>
      <w:rFonts w:ascii="Arial" w:hAnsi="Arial" w:eastAsia="黑体" w:cs="Times New Roman"/>
      <w:szCs w:val="21"/>
    </w:rPr>
  </w:style>
  <w:style w:type="character" w:styleId="984" w:customStyle="1">
    <w:name w:val="正文缩进 字符"/>
    <w:link w:val="945"/>
    <w:qFormat/>
    <w:rPr>
      <w:rFonts w:ascii="Times New Roman" w:hAnsi="Times New Roman" w:eastAsia="宋体" w:cs="Times New Roman"/>
      <w:szCs w:val="21"/>
    </w:rPr>
  </w:style>
  <w:style w:type="paragraph" w:styleId="985" w:customStyle="1">
    <w:name w:val="目录 71"/>
    <w:basedOn w:val="932"/>
    <w:next w:val="932"/>
    <w:semiHidden/>
    <w:qFormat/>
    <w:pPr>
      <w:ind w:left="1260"/>
      <w:jc w:val="left"/>
    </w:pPr>
  </w:style>
  <w:style w:type="character" w:styleId="986" w:customStyle="1">
    <w:name w:val="文档结构图 字符"/>
    <w:link w:val="948"/>
    <w:semiHidden/>
    <w:qFormat/>
    <w:rPr>
      <w:rFonts w:ascii="Times New Roman" w:hAnsi="Times New Roman" w:eastAsia="宋体" w:cs="Times New Roman"/>
      <w:szCs w:val="21"/>
      <w:shd w:val="clear" w:color="auto" w:fill="000080"/>
    </w:rPr>
  </w:style>
  <w:style w:type="character" w:styleId="987" w:customStyle="1">
    <w:name w:val="批注文字 字符"/>
    <w:link w:val="949"/>
    <w:uiPriority w:val="99"/>
    <w:qFormat/>
    <w:rPr>
      <w:rFonts w:ascii="Times New Roman" w:hAnsi="Times New Roman" w:eastAsia="宋体" w:cs="Times New Roman"/>
      <w:szCs w:val="21"/>
    </w:rPr>
  </w:style>
  <w:style w:type="character" w:styleId="988" w:customStyle="1">
    <w:name w:val="正文文本 3 字符"/>
    <w:link w:val="950"/>
    <w:qFormat/>
    <w:rPr>
      <w:rFonts w:ascii="仿宋_GB2312" w:hAnsi="Arial" w:eastAsia="仿宋_GB2312" w:cs="Times New Roman"/>
      <w:sz w:val="32"/>
      <w:szCs w:val="32"/>
    </w:rPr>
  </w:style>
  <w:style w:type="character" w:styleId="989" w:customStyle="1">
    <w:name w:val="正文文本 字符"/>
    <w:link w:val="951"/>
    <w:qFormat/>
    <w:rPr>
      <w:rFonts w:ascii="楷体_GB2312" w:hAnsi="Arial" w:eastAsia="楷体_GB2312" w:cs="Times New Roman"/>
      <w:sz w:val="28"/>
      <w:szCs w:val="28"/>
    </w:rPr>
  </w:style>
  <w:style w:type="character" w:styleId="990" w:customStyle="1">
    <w:name w:val="正文文本缩进 字符"/>
    <w:link w:val="952"/>
    <w:qFormat/>
    <w:rPr>
      <w:rFonts w:ascii="楷体_GB2312" w:hAnsi="Times New Roman" w:eastAsia="楷体_GB2312" w:cs="Times New Roman"/>
      <w:sz w:val="32"/>
      <w:szCs w:val="32"/>
    </w:rPr>
  </w:style>
  <w:style w:type="paragraph" w:styleId="991" w:customStyle="1">
    <w:name w:val="目录 51"/>
    <w:basedOn w:val="932"/>
    <w:next w:val="932"/>
    <w:semiHidden/>
    <w:qFormat/>
    <w:pPr>
      <w:ind w:left="840"/>
      <w:jc w:val="left"/>
    </w:pPr>
  </w:style>
  <w:style w:type="paragraph" w:styleId="992" w:customStyle="1">
    <w:name w:val="目录 31"/>
    <w:basedOn w:val="932"/>
    <w:next w:val="932"/>
    <w:semiHidden/>
    <w:qFormat/>
    <w:pPr>
      <w:ind w:left="420"/>
      <w:jc w:val="left"/>
    </w:pPr>
    <w:rPr>
      <w:i/>
      <w:iCs/>
      <w:szCs w:val="24"/>
    </w:rPr>
  </w:style>
  <w:style w:type="character" w:styleId="993" w:customStyle="1">
    <w:name w:val="纯文本 字符"/>
    <w:link w:val="954"/>
    <w:qFormat/>
    <w:rPr>
      <w:rFonts w:ascii="宋体" w:hAnsi="Courier New" w:eastAsia="宋体" w:cs="Courier New"/>
      <w:szCs w:val="21"/>
    </w:rPr>
  </w:style>
  <w:style w:type="paragraph" w:styleId="994" w:customStyle="1">
    <w:name w:val="目录 81"/>
    <w:basedOn w:val="932"/>
    <w:next w:val="932"/>
    <w:semiHidden/>
    <w:qFormat/>
    <w:pPr>
      <w:ind w:left="1470"/>
      <w:jc w:val="left"/>
    </w:pPr>
  </w:style>
  <w:style w:type="character" w:styleId="995" w:customStyle="1">
    <w:name w:val="日期 字符"/>
    <w:link w:val="955"/>
    <w:qFormat/>
    <w:rPr>
      <w:rFonts w:ascii="Times New Roman" w:hAnsi="Times New Roman" w:eastAsia="宋体" w:cs="Times New Roman"/>
      <w:sz w:val="24"/>
      <w:szCs w:val="24"/>
    </w:rPr>
  </w:style>
  <w:style w:type="character" w:styleId="996" w:customStyle="1">
    <w:name w:val="正文文本缩进 2 字符"/>
    <w:link w:val="956"/>
    <w:qFormat/>
    <w:rPr>
      <w:rFonts w:ascii="Arial" w:hAnsi="Arial" w:eastAsia="仿宋_GB2312" w:cs="Arial"/>
      <w:sz w:val="32"/>
      <w:szCs w:val="32"/>
    </w:rPr>
  </w:style>
  <w:style w:type="character" w:styleId="997" w:customStyle="1">
    <w:name w:val="批注框文本 字符"/>
    <w:link w:val="957"/>
    <w:semiHidden/>
    <w:qFormat/>
    <w:rPr>
      <w:rFonts w:ascii="Times New Roman" w:hAnsi="Times New Roman" w:eastAsia="宋体" w:cs="Times New Roman"/>
      <w:sz w:val="18"/>
      <w:szCs w:val="18"/>
    </w:rPr>
  </w:style>
  <w:style w:type="character" w:styleId="998" w:customStyle="1">
    <w:name w:val="页脚 字符"/>
    <w:link w:val="958"/>
    <w:uiPriority w:val="99"/>
    <w:qFormat/>
    <w:rPr>
      <w:rFonts w:ascii="Times New Roman" w:hAnsi="Times New Roman" w:eastAsia="宋体" w:cs="Times New Roman"/>
      <w:sz w:val="18"/>
      <w:szCs w:val="18"/>
    </w:rPr>
  </w:style>
  <w:style w:type="character" w:styleId="999" w:customStyle="1">
    <w:name w:val="页眉 字符"/>
    <w:link w:val="959"/>
    <w:qFormat/>
    <w:rPr>
      <w:rFonts w:ascii="Times New Roman" w:hAnsi="Times New Roman" w:eastAsia="宋体" w:cs="Times New Roman"/>
      <w:sz w:val="18"/>
      <w:szCs w:val="18"/>
    </w:rPr>
  </w:style>
  <w:style w:type="paragraph" w:styleId="1000" w:customStyle="1">
    <w:name w:val="目录 11"/>
    <w:basedOn w:val="932"/>
    <w:next w:val="932"/>
    <w:uiPriority w:val="39"/>
    <w:qFormat/>
    <w:pPr>
      <w:jc w:val="left"/>
      <w:spacing w:before="120" w:after="120" w:line="400" w:lineRule="exact"/>
      <w:tabs>
        <w:tab w:val="right" w:pos="8720" w:leader="dot"/>
      </w:tabs>
    </w:pPr>
    <w:rPr>
      <w:rFonts w:ascii="宋体" w:hAnsi="宋体"/>
      <w:caps/>
      <w:sz w:val="24"/>
      <w:szCs w:val="24"/>
    </w:rPr>
  </w:style>
  <w:style w:type="paragraph" w:styleId="1001" w:customStyle="1">
    <w:name w:val="目录 41"/>
    <w:basedOn w:val="932"/>
    <w:next w:val="932"/>
    <w:semiHidden/>
    <w:qFormat/>
    <w:pPr>
      <w:ind w:left="630"/>
      <w:jc w:val="left"/>
    </w:pPr>
  </w:style>
  <w:style w:type="paragraph" w:styleId="1002" w:customStyle="1">
    <w:name w:val="目录 61"/>
    <w:basedOn w:val="932"/>
    <w:next w:val="932"/>
    <w:semiHidden/>
    <w:qFormat/>
    <w:pPr>
      <w:ind w:left="1050"/>
      <w:jc w:val="left"/>
    </w:pPr>
  </w:style>
  <w:style w:type="character" w:styleId="1003" w:customStyle="1">
    <w:name w:val="正文文本缩进 3 字符"/>
    <w:link w:val="962"/>
    <w:qFormat/>
    <w:rPr>
      <w:rFonts w:ascii="Arial" w:hAnsi="Arial" w:eastAsia="仿宋_GB2312" w:cs="Arial"/>
      <w:color w:val="ffff00"/>
      <w:sz w:val="32"/>
      <w:szCs w:val="32"/>
    </w:rPr>
  </w:style>
  <w:style w:type="paragraph" w:styleId="1004" w:customStyle="1">
    <w:name w:val="目录 21"/>
    <w:basedOn w:val="932"/>
    <w:next w:val="932"/>
    <w:semiHidden/>
    <w:qFormat/>
    <w:pPr>
      <w:ind w:left="210"/>
      <w:jc w:val="left"/>
    </w:pPr>
    <w:rPr>
      <w:smallCaps/>
      <w:szCs w:val="24"/>
    </w:rPr>
  </w:style>
  <w:style w:type="paragraph" w:styleId="1005" w:customStyle="1">
    <w:name w:val="目录 91"/>
    <w:basedOn w:val="932"/>
    <w:next w:val="932"/>
    <w:semiHidden/>
    <w:qFormat/>
    <w:pPr>
      <w:ind w:left="1680"/>
      <w:jc w:val="left"/>
    </w:pPr>
  </w:style>
  <w:style w:type="character" w:styleId="1006" w:customStyle="1">
    <w:name w:val="正文文本 2 字符"/>
    <w:link w:val="964"/>
    <w:qFormat/>
    <w:rPr>
      <w:rFonts w:ascii="楷体_GB2312" w:hAnsi="Times New Roman" w:eastAsia="楷体_GB2312" w:cs="Times New Roman"/>
      <w:sz w:val="28"/>
      <w:szCs w:val="28"/>
    </w:rPr>
  </w:style>
  <w:style w:type="character" w:styleId="1007" w:customStyle="1">
    <w:name w:val="批注主题 字符"/>
    <w:link w:val="967"/>
    <w:semiHidden/>
    <w:qFormat/>
    <w:rPr>
      <w:rFonts w:ascii="Times New Roman" w:hAnsi="Times New Roman" w:eastAsia="宋体" w:cs="Times New Roman"/>
      <w:b/>
      <w:bCs/>
      <w:szCs w:val="21"/>
    </w:rPr>
  </w:style>
  <w:style w:type="paragraph" w:styleId="1008" w:customStyle="1">
    <w:name w:val="正文首行缩进1"/>
    <w:basedOn w:val="932"/>
    <w:link w:val="1009"/>
    <w:qFormat/>
    <w:pPr>
      <w:ind w:firstLine="200"/>
      <w:spacing w:line="360" w:lineRule="auto"/>
    </w:pPr>
    <w:rPr>
      <w:rFonts w:ascii="仿宋_GB2312" w:eastAsia="仿宋_GB2312"/>
      <w:sz w:val="30"/>
      <w:szCs w:val="30"/>
    </w:rPr>
  </w:style>
  <w:style w:type="character" w:styleId="1009" w:customStyle="1">
    <w:name w:val="正文首行缩进 Char"/>
    <w:link w:val="1008"/>
    <w:qFormat/>
    <w:rPr>
      <w:rFonts w:ascii="仿宋_GB2312" w:hAnsi="Times New Roman" w:eastAsia="仿宋_GB2312" w:cs="Times New Roman"/>
      <w:sz w:val="30"/>
      <w:szCs w:val="30"/>
    </w:rPr>
  </w:style>
  <w:style w:type="paragraph" w:styleId="1010" w:customStyle="1">
    <w:name w:val="正文首行缩进 21"/>
    <w:basedOn w:val="952"/>
    <w:link w:val="1011"/>
    <w:qFormat/>
    <w:pPr>
      <w:ind w:firstLine="420"/>
      <w:spacing w:line="360" w:lineRule="auto"/>
    </w:pPr>
    <w:rPr>
      <w:rFonts w:ascii="宋体" w:hAnsi="宋体" w:eastAsia="宋体"/>
      <w:sz w:val="21"/>
      <w:szCs w:val="20"/>
    </w:rPr>
  </w:style>
  <w:style w:type="character" w:styleId="1011" w:customStyle="1">
    <w:name w:val="正文首行缩进 2 Char"/>
    <w:link w:val="1010"/>
    <w:qFormat/>
    <w:rPr>
      <w:rFonts w:ascii="宋体" w:hAnsi="宋体" w:eastAsia="宋体" w:cs="Times New Roman"/>
      <w:sz w:val="32"/>
      <w:szCs w:val="20"/>
    </w:rPr>
  </w:style>
  <w:style w:type="character" w:styleId="1012" w:customStyle="1">
    <w:name w:val="font5 Char"/>
    <w:qFormat/>
    <w:rPr>
      <w:rFonts w:ascii="宋体" w:hAnsi="宋体" w:eastAsia="宋体"/>
      <w:sz w:val="28"/>
      <w:szCs w:val="28"/>
      <w:lang w:val="en-US" w:eastAsia="zh-CN" w:bidi="ar-SA"/>
    </w:rPr>
  </w:style>
  <w:style w:type="character" w:styleId="1013" w:customStyle="1">
    <w:name w:val="二级目录 Char"/>
    <w:link w:val="1014"/>
    <w:qFormat/>
    <w:rPr>
      <w:b/>
      <w:sz w:val="30"/>
      <w:szCs w:val="28"/>
    </w:rPr>
  </w:style>
  <w:style w:type="paragraph" w:styleId="1014" w:customStyle="1">
    <w:name w:val="二级目录"/>
    <w:next w:val="932"/>
    <w:link w:val="1013"/>
    <w:qFormat/>
    <w:pPr>
      <w:ind w:left="907" w:hanging="907"/>
      <w:tabs>
        <w:tab w:val="left" w:pos="907" w:leader="none"/>
        <w:tab w:val="left" w:pos="1145" w:leader="none"/>
      </w:tabs>
      <w:outlineLvl w:val="1"/>
    </w:pPr>
    <w:rPr>
      <w:b/>
      <w:sz w:val="30"/>
      <w:szCs w:val="28"/>
    </w:rPr>
  </w:style>
  <w:style w:type="character" w:styleId="1015" w:customStyle="1">
    <w:name w:val="列出段落 Char"/>
    <w:link w:val="1016"/>
    <w:qFormat/>
    <w:rPr>
      <w:rFonts w:ascii="Calibri" w:hAnsi="Calibri"/>
      <w:sz w:val="24"/>
      <w:szCs w:val="24"/>
      <w:lang w:eastAsia="en-US" w:bidi="en-US"/>
    </w:rPr>
  </w:style>
  <w:style w:type="paragraph" w:styleId="1016" w:customStyle="1">
    <w:name w:val="列出段落1"/>
    <w:basedOn w:val="932"/>
    <w:link w:val="1015"/>
    <w:qFormat/>
    <w:pPr>
      <w:contextualSpacing/>
      <w:ind w:left="720"/>
      <w:jc w:val="left"/>
      <w:widowControl/>
    </w:pPr>
    <w:rPr>
      <w:rFonts w:ascii="Calibri" w:hAnsi="Calibri"/>
      <w:sz w:val="24"/>
      <w:szCs w:val="24"/>
      <w:lang w:eastAsia="en-US" w:bidi="en-US"/>
    </w:rPr>
  </w:style>
  <w:style w:type="paragraph" w:styleId="1017" w:customStyle="1">
    <w:name w:val="Body Text(ch)"/>
    <w:basedOn w:val="932"/>
    <w:next w:val="951"/>
    <w:qFormat/>
    <w:pPr>
      <w:spacing w:after="120"/>
    </w:pPr>
    <w:rPr>
      <w:rFonts w:ascii="宋体" w:hAnsi="Arial"/>
      <w:bCs/>
      <w:iCs/>
      <w:szCs w:val="24"/>
    </w:rPr>
  </w:style>
  <w:style w:type="paragraph" w:styleId="1018" w:customStyle="1">
    <w:name w:val="xl27"/>
    <w:basedOn w:val="93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9" w:customStyle="1">
    <w:name w:val="xl26"/>
    <w:basedOn w:val="9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0" w:customStyle="1">
    <w:name w:val="Char"/>
    <w:basedOn w:val="932"/>
    <w:qFormat/>
    <w:pPr>
      <w:ind w:firstLine="200"/>
      <w:tabs>
        <w:tab w:val="left" w:pos="360" w:leader="none"/>
      </w:tabs>
    </w:pPr>
    <w:rPr>
      <w:sz w:val="28"/>
      <w:szCs w:val="30"/>
    </w:rPr>
  </w:style>
  <w:style w:type="paragraph" w:styleId="1021" w:customStyle="1">
    <w:name w:val="Char1"/>
    <w:basedOn w:val="948"/>
    <w:qFormat/>
    <w:rPr>
      <w:rFonts w:ascii="Tahoma" w:hAnsi="Tahoma"/>
      <w:sz w:val="24"/>
      <w:szCs w:val="24"/>
    </w:rPr>
  </w:style>
  <w:style w:type="paragraph" w:styleId="1022" w:customStyle="1">
    <w:name w:val="普通正文"/>
    <w:basedOn w:val="932"/>
    <w:qFormat/>
    <w:pPr>
      <w:ind w:firstLine="480"/>
      <w:jc w:val="left"/>
      <w:spacing w:before="120" w:after="120" w:line="360" w:lineRule="auto"/>
    </w:pPr>
    <w:rPr>
      <w:rFonts w:ascii="Arial" w:hAnsi="Arial"/>
      <w:sz w:val="24"/>
      <w:szCs w:val="24"/>
    </w:rPr>
  </w:style>
  <w:style w:type="paragraph" w:styleId="1023" w:customStyle="1">
    <w:name w:val="table_lines"/>
    <w:basedOn w:val="932"/>
    <w:qFormat/>
    <w:pPr>
      <w:jc w:val="left"/>
      <w:widowControl/>
    </w:pPr>
    <w:rPr>
      <w:sz w:val="20"/>
      <w:szCs w:val="20"/>
      <w:lang w:val="de-DE" w:eastAsia="de-DE"/>
    </w:rPr>
  </w:style>
  <w:style w:type="paragraph" w:styleId="1024" w:customStyle="1">
    <w:name w:val="附录1"/>
    <w:qFormat/>
    <w:pPr>
      <w:numPr>
        <w:numId w:val="2"/>
      </w:numPr>
      <w:spacing w:before="240" w:line="600" w:lineRule="atLeast"/>
    </w:pPr>
    <w:rPr>
      <w:rFonts w:ascii="Times New Roman" w:hAnsi="Times New Roman"/>
      <w:b/>
      <w:i/>
      <w:sz w:val="28"/>
    </w:rPr>
  </w:style>
  <w:style w:type="paragraph" w:styleId="1025" w:customStyle="1">
    <w:name w:val="font7"/>
    <w:basedOn w:val="932"/>
    <w:qFormat/>
    <w:pPr>
      <w:jc w:val="left"/>
      <w:spacing w:before="100" w:beforeAutospacing="1" w:after="100" w:afterAutospacing="1"/>
      <w:widowControl/>
    </w:pPr>
    <w:rPr>
      <w:rFonts w:hint="eastAsia" w:ascii="宋体" w:hAnsi="宋体"/>
      <w:sz w:val="18"/>
      <w:szCs w:val="18"/>
    </w:rPr>
  </w:style>
  <w:style w:type="paragraph" w:styleId="1026" w:customStyle="1">
    <w:name w:val="Char Char Char Char"/>
    <w:basedOn w:val="948"/>
    <w:qFormat/>
    <w:pPr>
      <w:spacing w:line="360" w:lineRule="auto"/>
    </w:pPr>
    <w:rPr>
      <w:rFonts w:ascii="Tahoma" w:hAnsi="Tahoma"/>
      <w:sz w:val="24"/>
      <w:szCs w:val="24"/>
    </w:rPr>
  </w:style>
  <w:style w:type="paragraph" w:styleId="1027" w:customStyle="1">
    <w:name w:val="列出段落"/>
    <w:basedOn w:val="932"/>
    <w:link w:val="1048"/>
    <w:uiPriority w:val="34"/>
    <w:qFormat/>
    <w:pPr>
      <w:contextualSpacing/>
      <w:ind w:left="720"/>
      <w:jc w:val="left"/>
      <w:widowControl/>
    </w:pPr>
    <w:rPr>
      <w:rFonts w:ascii="Calibri" w:hAnsi="Calibri"/>
      <w:sz w:val="24"/>
      <w:szCs w:val="24"/>
      <w:lang w:eastAsia="en-US" w:bidi="en-US"/>
    </w:rPr>
  </w:style>
  <w:style w:type="paragraph" w:styleId="1028" w:customStyle="1">
    <w:name w:val="4"/>
    <w:basedOn w:val="932"/>
    <w:next w:val="962"/>
    <w:qFormat/>
    <w:pPr>
      <w:ind w:firstLine="420"/>
      <w:spacing w:line="360" w:lineRule="auto"/>
    </w:pPr>
    <w:rPr>
      <w:color w:val="ff0000"/>
      <w:sz w:val="24"/>
      <w:szCs w:val="24"/>
    </w:rPr>
  </w:style>
  <w:style w:type="paragraph" w:styleId="1029" w:customStyle="1">
    <w:name w:val="普通 (Web)"/>
    <w:basedOn w:val="932"/>
    <w:qFormat/>
    <w:pPr>
      <w:jc w:val="left"/>
      <w:spacing w:before="100" w:beforeAutospacing="1" w:after="100" w:afterAutospacing="1"/>
      <w:widowControl/>
    </w:pPr>
    <w:rPr>
      <w:rFonts w:ascii="宋体" w:hAnsi="宋体"/>
      <w:sz w:val="24"/>
      <w:szCs w:val="24"/>
    </w:rPr>
  </w:style>
  <w:style w:type="paragraph" w:styleId="1030" w:customStyle="1">
    <w:name w:val="Char Char Char Char Char Char Char Char Char Char"/>
    <w:basedOn w:val="932"/>
    <w:qFormat/>
    <w:pPr>
      <w:spacing w:line="360" w:lineRule="auto"/>
    </w:pPr>
    <w:rPr>
      <w:sz w:val="24"/>
      <w:szCs w:val="20"/>
    </w:rPr>
  </w:style>
  <w:style w:type="paragraph" w:styleId="1031" w:customStyle="1">
    <w:name w:val="样式1"/>
    <w:basedOn w:val="932"/>
    <w:qFormat/>
    <w:pPr>
      <w:numPr>
        <w:numId w:val="3"/>
      </w:numPr>
    </w:pPr>
    <w:rPr>
      <w:rFonts w:ascii="宋体" w:hAnsi="宋体"/>
    </w:rPr>
  </w:style>
  <w:style w:type="paragraph" w:styleId="1032" w:customStyle="1">
    <w:name w:val="font6"/>
    <w:basedOn w:val="932"/>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9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932"/>
    <w:next w:val="9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标题3"/>
    <w:basedOn w:val="932"/>
    <w:next w:val="932"/>
    <w:qFormat/>
    <w:pPr>
      <w:ind w:firstLine="624"/>
      <w:spacing w:line="590" w:lineRule="atLeast"/>
    </w:pPr>
    <w:rPr>
      <w:rFonts w:ascii="方正黑体_GBK" w:eastAsia="方正黑体_GBK"/>
      <w:sz w:val="32"/>
      <w:szCs w:val="32"/>
    </w:rPr>
  </w:style>
  <w:style w:type="paragraph" w:styleId="1036" w:customStyle="1">
    <w:name w:val="xl24"/>
    <w:basedOn w:val="93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7" w:customStyle="1">
    <w:name w:val="xl29"/>
    <w:basedOn w:val="93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8" w:customStyle="1">
    <w:name w:val="Char Char Char Char Char Char Char Char"/>
    <w:basedOn w:val="932"/>
    <w:qFormat/>
    <w:pPr>
      <w:jc w:val="left"/>
      <w:spacing w:after="160" w:line="240" w:lineRule="exact"/>
      <w:widowControl/>
    </w:pPr>
    <w:rPr>
      <w:rFonts w:ascii="Verdana" w:hAnsi="Verdana"/>
      <w:sz w:val="20"/>
      <w:szCs w:val="20"/>
      <w:lang w:eastAsia="en-US"/>
    </w:rPr>
  </w:style>
  <w:style w:type="paragraph" w:styleId="1039" w:customStyle="1">
    <w:name w:val="xl28"/>
    <w:basedOn w:val="93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0" w:customStyle="1">
    <w:name w:val="Char Char Char Char Char Char Char Char1"/>
    <w:basedOn w:val="932"/>
    <w:qFormat/>
    <w:pPr>
      <w:jc w:val="left"/>
      <w:spacing w:after="160" w:line="240" w:lineRule="exact"/>
      <w:widowControl/>
    </w:pPr>
    <w:rPr>
      <w:rFonts w:ascii="Verdana" w:hAnsi="Verdana"/>
      <w:sz w:val="20"/>
      <w:szCs w:val="20"/>
      <w:lang w:eastAsia="en-US"/>
    </w:rPr>
  </w:style>
  <w:style w:type="paragraph" w:styleId="1041" w:customStyle="1">
    <w:name w:val="xl30"/>
    <w:basedOn w:val="932"/>
    <w:qFormat/>
    <w:pPr>
      <w:jc w:val="center"/>
      <w:spacing w:before="100" w:beforeAutospacing="1" w:after="100" w:afterAutospacing="1"/>
      <w:widowControl/>
    </w:pPr>
    <w:rPr>
      <w:rFonts w:ascii="宋体" w:hAnsi="宋体"/>
      <w:b/>
      <w:bCs/>
      <w:sz w:val="36"/>
      <w:szCs w:val="36"/>
    </w:rPr>
  </w:style>
  <w:style w:type="paragraph" w:styleId="1042" w:customStyle="1">
    <w:name w:val="Char Char Char Char1"/>
    <w:basedOn w:val="948"/>
    <w:qFormat/>
    <w:pPr>
      <w:spacing w:line="360" w:lineRule="auto"/>
    </w:pPr>
    <w:rPr>
      <w:rFonts w:ascii="Tahoma" w:hAnsi="Tahoma"/>
      <w:sz w:val="24"/>
      <w:szCs w:val="24"/>
    </w:rPr>
  </w:style>
  <w:style w:type="paragraph" w:styleId="1043" w:customStyle="1">
    <w:name w:val="table_1stline"/>
    <w:basedOn w:val="932"/>
    <w:qFormat/>
    <w:pPr>
      <w:jc w:val="left"/>
      <w:spacing w:before="120"/>
      <w:widowControl/>
    </w:pPr>
    <w:rPr>
      <w:bCs/>
      <w:sz w:val="20"/>
      <w:szCs w:val="20"/>
      <w:lang w:val="de-DE" w:eastAsia="de-DE"/>
    </w:rPr>
  </w:style>
  <w:style w:type="paragraph" w:styleId="1044" w:customStyle="1">
    <w:name w:val="font5"/>
    <w:basedOn w:val="932"/>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932"/>
    <w:next w:val="9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1"/>
    <w:uiPriority w:val="99"/>
    <w:semiHidden/>
    <w:qFormat/>
    <w:rPr>
      <w:rFonts w:ascii="Times New Roman" w:hAnsi="Times New Roman"/>
      <w:sz w:val="21"/>
      <w:szCs w:val="21"/>
    </w:rPr>
  </w:style>
  <w:style w:type="paragraph" w:styleId="1047">
    <w:name w:val="No Spacing"/>
    <w:uiPriority w:val="99"/>
    <w:qFormat/>
    <w:pPr>
      <w:jc w:val="both"/>
      <w:widowControl w:val="off"/>
    </w:pPr>
    <w:rPr>
      <w:rFonts w:ascii="Times New Roman" w:hAnsi="Times New Roman"/>
      <w:sz w:val="21"/>
      <w:szCs w:val="21"/>
    </w:rPr>
  </w:style>
  <w:style w:type="character" w:styleId="1048" w:customStyle="1">
    <w:name w:val="列出段落 Char1"/>
    <w:link w:val="1027"/>
    <w:uiPriority w:val="34"/>
    <w:qFormat/>
    <w:rPr>
      <w:sz w:val="24"/>
      <w:szCs w:val="24"/>
      <w:lang w:eastAsia="en-US" w:bidi="en-US"/>
    </w:rPr>
  </w:style>
  <w:style w:type="paragraph" w:styleId="1049" w:customStyle="1">
    <w:name w:val="AONormal"/>
    <w:qFormat/>
    <w:pPr>
      <w:ind w:firstLine="440"/>
      <w:spacing w:line="400" w:lineRule="exact"/>
    </w:pPr>
    <w:rPr>
      <w:rFonts w:ascii="华文楷体" w:hAnsi="华文楷体" w:eastAsia="华文楷体" w:cs="华文楷体"/>
      <w:sz w:val="22"/>
      <w:szCs w:val="21"/>
    </w:rPr>
  </w:style>
  <w:style w:type="character" w:styleId="1050" w:customStyle="1">
    <w:name w:val="列表段落 字符"/>
    <w:link w:val="1051"/>
    <w:uiPriority w:val="34"/>
    <w:qFormat/>
    <w:rPr>
      <w:sz w:val="21"/>
      <w:szCs w:val="22"/>
    </w:rPr>
  </w:style>
  <w:style w:type="paragraph" w:styleId="1051">
    <w:name w:val="List Paragraph"/>
    <w:basedOn w:val="932"/>
    <w:link w:val="1050"/>
    <w:uiPriority w:val="34"/>
    <w:qFormat/>
    <w:pPr>
      <w:ind w:firstLine="420"/>
    </w:pPr>
    <w:rPr>
      <w:rFonts w:ascii="Calibri" w:hAnsi="Calibri"/>
      <w:szCs w:val="22"/>
    </w:rPr>
  </w:style>
  <w:style w:type="character" w:styleId="1052" w:customStyle="1">
    <w:name w:val="正文文本首行缩进 字符"/>
    <w:basedOn w:val="989"/>
    <w:link w:val="968"/>
    <w:uiPriority w:val="99"/>
    <w:semiHidden/>
    <w:qFormat/>
    <w:rPr>
      <w:rFonts w:ascii="楷体_GB2312" w:hAnsi="Arial" w:eastAsia="楷体_GB2312" w:cs="Times New Roman"/>
      <w:sz w:val="21"/>
      <w:szCs w:val="24"/>
    </w:rPr>
  </w:style>
  <w:style w:type="character" w:styleId="1053" w:customStyle="1">
    <w:name w:val="注释标题 字符"/>
    <w:basedOn w:val="942"/>
    <w:link w:val="947"/>
    <w:qFormat/>
    <w:rPr>
      <w:rFonts w:ascii="Verdana" w:hAnsi="Verdana"/>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7ED1C93-2450-4D12-AF52-C8E900C7E11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109</cp:revision>
  <dcterms:created xsi:type="dcterms:W3CDTF">2024-08-28T01:24:00Z</dcterms:created>
  <dcterms:modified xsi:type="dcterms:W3CDTF">2026-10-10T08:15:03Z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F044A9F0AD1946218D407EAD7B4CA610_13</vt:lpwstr>
  </property>
  <property fmtid="{D5CDD505-2E9C-101B-9397-08002B2CF9AE}" pid="4" name="KSOTemplateDocerSaveRecord">
    <vt:lpwstr>eyJoZGlkIjoiMzVhZTg0MTE2OGQ3OTljNDM1ZTA0Y2Y2ODk4YmY5NDYiLCJ1c2VySWQiOiIzNDM5NTQ1MjMifQ==</vt:lpwstr>
  </property>
</Properties>
</file>