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48"/>
          <w:szCs w:val="48"/>
          <w:highlight w:val="none"/>
        </w:rPr>
      </w:pPr>
      <w:r>
        <w:rPr>
          <w:rFonts w:ascii="宋体" w:hAnsi="宋体"/>
          <w:b/>
          <w:color w:val="auto"/>
          <w:sz w:val="48"/>
          <w:szCs w:val="48"/>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auto"/>
          <w:sz w:val="52"/>
          <w:highlight w:val="none"/>
        </w:rPr>
        <w:t xml:space="preserve">太仓市政府采购</w:t>
      </w:r>
      <w:r/>
    </w:p>
    <w:p>
      <w:pPr>
        <w:pStyle w:val="76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color w:val="auto"/>
          <w:sz w:val="52"/>
          <w:highlight w:val="none"/>
        </w:rPr>
        <w:t xml:space="preserve">招 标 文 件</w:t>
      </w:r>
      <w:r/>
    </w:p>
    <w:p>
      <w:pPr>
        <w:ind w:left="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r>
      <w:r/>
    </w:p>
    <w:p>
      <w:pPr>
        <w:ind w:left="2884" w:hanging="1800"/>
        <w:jc w:val="left"/>
        <w:spacing w:before="1120"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highlight w:val="none"/>
        </w:rPr>
        <w:t xml:space="preserve">项目编号：JSZC-320585-JZCG-G2026-0092</w:t>
      </w:r>
      <w:r/>
    </w:p>
    <w:p>
      <w:pPr>
        <w:ind w:left="2884" w:hanging="1800"/>
        <w:jc w:val="left"/>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highlight w:val="none"/>
        </w:rPr>
        <w:t xml:space="preserve">项目名称：2026年苏州线上教育太仓分中心综合</w:t>
      </w:r>
      <w:r/>
    </w:p>
    <w:p>
      <w:pPr>
        <w:ind w:left="2884"/>
        <w:jc w:val="left"/>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highlight w:val="none"/>
        </w:rPr>
        <w:t xml:space="preserve">服务</w:t>
      </w:r>
      <w:r/>
    </w:p>
    <w:p>
      <w:pPr>
        <w:ind w:left="2884" w:hanging="1800"/>
        <w:jc w:val="left"/>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highlight w:val="none"/>
        </w:rPr>
        <w:t xml:space="preserve">采购单位：太仓市教育信息化中心</w:t>
      </w:r>
      <w:r/>
    </w:p>
    <w:p>
      <w:pPr>
        <w:ind w:left="3604" w:hanging="2520"/>
        <w:jc w:val="left"/>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szCs w:val="36"/>
          <w:highlight w:val="none"/>
        </w:rPr>
        <w:t xml:space="preserve">采购项目类别：服务类</w:t>
      </w:r>
      <w:r/>
    </w:p>
    <w:p>
      <w:pPr>
        <w:ind w:left="3604" w:hanging="2520"/>
        <w:jc w:val="left"/>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cs="宋体"/>
          <w:b/>
          <w:color w:val="auto"/>
          <w:sz w:val="36"/>
          <w:highlight w:val="none"/>
        </w:rPr>
        <w:t xml:space="preserve">标的所属行业：软件和信息技术服务业</w:t>
      </w:r>
      <w:r/>
    </w:p>
    <w:p>
      <w:pPr>
        <w:rPr>
          <w:color w:val="auto"/>
          <w:highlight w:val="none"/>
        </w:rPr>
      </w:pPr>
      <w:r>
        <w:rPr>
          <w:color w:val="auto"/>
          <w:highlight w:val="none"/>
        </w:rPr>
      </w:r>
      <w:r/>
    </w:p>
    <w:p>
      <w:pPr>
        <w:jc w:val="center"/>
        <w:spacing w:before="296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44"/>
          <w:szCs w:val="32"/>
          <w:highlight w:val="none"/>
          <w:u w:val="single"/>
        </w:rPr>
        <w:t xml:space="preserve">苏州市公共资源交易中心太仓分中心</w:t>
      </w:r>
      <w:r/>
    </w:p>
    <w:p>
      <w:pPr>
        <w:jc w:val="center"/>
        <w:spacing w:line="85"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cs="宋体"/>
          <w:color w:val="auto"/>
          <w:sz w:val="44"/>
          <w:highlight w:val="none"/>
        </w:rPr>
        <w:t xml:space="preserve">2026年</w:t>
      </w:r>
      <w:r>
        <w:rPr>
          <w:rFonts w:hint="eastAsia" w:cs="宋体"/>
          <w:color w:val="auto"/>
          <w:sz w:val="44"/>
          <w:highlight w:val="none"/>
          <w:lang w:val="en-US" w:eastAsia="zh-CN"/>
        </w:rPr>
        <w:t xml:space="preserve">10</w:t>
      </w:r>
      <w:r>
        <w:rPr>
          <w:rFonts w:hint="eastAsia" w:cs="宋体"/>
          <w:color w:val="auto"/>
          <w:sz w:val="44"/>
          <w:highlight w:val="none"/>
        </w:rPr>
        <w:t xml:space="preserve">月</w:t>
      </w:r>
      <w:r/>
    </w:p>
    <w:p>
      <w:pPr>
        <w:pStyle w:val="701"/>
        <w:pageBreakBefore/>
        <w:spacing w:line="480" w:lineRule="auto"/>
        <w:rPr>
          <w:rFonts w:ascii="仿宋" w:hAnsi="仿宋" w:eastAsia="仿宋" w:cs="仿宋"/>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cs="宋体"/>
          <w:bCs/>
          <w:color w:val="auto"/>
          <w:sz w:val="36"/>
          <w:szCs w:val="36"/>
          <w:highlight w:val="none"/>
        </w:rPr>
        <w:t xml:space="preserve">目录</w:t>
      </w:r>
      <w:r/>
    </w:p>
    <w:p>
      <w:pPr>
        <w:ind w:firstLine="600"/>
        <w:spacing w:line="480" w:lineRule="auto"/>
        <w:rPr>
          <w:rFonts w:cs="仿宋"/>
          <w:color w:val="auto"/>
          <w:sz w:val="30"/>
          <w:highlight w:val="none"/>
        </w:rPr>
        <w:pBdr>
          <w:top w:val="none" w:color="000000" w:sz="0" w:space="0"/>
          <w:left w:val="none" w:color="000000" w:sz="0" w:space="0"/>
          <w:bottom w:val="none" w:color="000000" w:sz="0" w:space="0"/>
          <w:right w:val="none" w:color="000000" w:sz="0" w:space="0"/>
        </w:pBdr>
      </w:pPr>
      <w:r>
        <w:rPr>
          <w:rFonts w:cs="仿宋"/>
          <w:color w:val="auto"/>
          <w:sz w:val="30"/>
          <w:highlight w:val="none"/>
        </w:rPr>
      </w:r>
      <w:r/>
    </w:p>
    <w:p>
      <w:pPr>
        <w:pStyle w:val="701"/>
        <w:jc w:val="left"/>
        <w:spacing w:line="480" w:lineRule="auto"/>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第一部分：招标公告</w:t>
      </w:r>
      <w:r/>
    </w:p>
    <w:p>
      <w:pPr>
        <w:pStyle w:val="701"/>
        <w:jc w:val="left"/>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第二部分：投标人须知</w:t>
      </w:r>
      <w:r/>
    </w:p>
    <w:p>
      <w:pPr>
        <w:pStyle w:val="701"/>
        <w:jc w:val="left"/>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第三部分：项目需求</w:t>
      </w:r>
      <w:r/>
    </w:p>
    <w:p>
      <w:pPr>
        <w:pStyle w:val="701"/>
        <w:jc w:val="left"/>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第四部分：投标文件格式</w:t>
      </w:r>
      <w:r/>
    </w:p>
    <w:p>
      <w:pPr>
        <w:pStyle w:val="701"/>
        <w:jc w:val="left"/>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第五部分：评标方法与评标标准</w:t>
      </w:r>
      <w:r/>
    </w:p>
    <w:p>
      <w:pPr>
        <w:pStyle w:val="701"/>
        <w:jc w:val="left"/>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第六部分：合同格式</w:t>
      </w:r>
      <w:r/>
    </w:p>
    <w:p>
      <w:pPr>
        <w:ind w:firstLine="480"/>
        <w:spacing w:before="240" w:after="240"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cols w:num="1" w:sep="0" w:space="720" w:equalWidth="1"/>
          <w:docGrid w:linePitch="360"/>
        </w:sectPr>
      </w:pPr>
      <w:r>
        <w:rPr>
          <w:rFonts w:hint="eastAsia" w:cs="宋体"/>
          <w:color w:val="auto"/>
          <w:szCs w:val="24"/>
          <w:highlight w:val="none"/>
        </w:rPr>
        <w:t xml:space="preserve"> </w:t>
      </w:r>
      <w:r/>
    </w:p>
    <w:p>
      <w:pPr>
        <w:pStyle w:val="701"/>
        <w:spacing w:line="480" w:lineRule="auto"/>
        <w:rPr>
          <w:rFonts w:ascii="仿宋" w:hAnsi="仿宋" w:eastAsia="仿宋" w:cs="仿宋"/>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cs="宋体"/>
          <w:bCs/>
          <w:color w:val="auto"/>
          <w:szCs w:val="44"/>
          <w:highlight w:val="none"/>
        </w:rPr>
        <w:t xml:space="preserve">第一部分  招标公告</w:t>
      </w:r>
      <w:r/>
    </w:p>
    <w:p>
      <w:pPr>
        <w:ind w:left="440"/>
        <w:rPr>
          <w:rFonts w:cs="仿宋"/>
          <w:color w:val="auto"/>
          <w:highlight w:val="none"/>
        </w:rPr>
      </w:pPr>
      <w:r>
        <w:rPr>
          <w:rFonts w:cs="仿宋"/>
          <w:color w:val="auto"/>
          <w:highlight w:val="none"/>
        </w:rPr>
      </w:r>
      <w:r/>
    </w:p>
    <w:tbl>
      <w:tblPr>
        <w:tblStyle w:val="764"/>
        <w:tblW w:w="9733" w:type="dxa"/>
        <w:tblInd w:w="-1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blHeader/>
        </w:trPr>
        <w:tc>
          <w:tcPr>
            <w:shd w:val="clear" w:color="auto" w:fill="ffffff"/>
            <w:tcBorders>
              <w:top w:val="single" w:color="000000" w:sz="6" w:space="0"/>
              <w:left w:val="single" w:color="000000" w:sz="6" w:space="0"/>
              <w:bottom w:val="single" w:color="000000" w:sz="6" w:space="0"/>
              <w:right w:val="single" w:color="000000" w:sz="6" w:space="0"/>
            </w:tcBorders>
            <w:tcW w:w="9733" w:type="dxa"/>
            <w:vAlign w:val="center"/>
            <w:textDirection w:val="lrTb"/>
            <w:noWrap w:val="false"/>
          </w:tcPr>
          <w:p>
            <w:pPr>
              <w:pStyle w:val="758"/>
              <w:spacing w:line="15" w:lineRule="atLeast"/>
              <w:rPr>
                <w:rFonts w:ascii="仿宋" w:hAnsi="仿宋" w:eastAsia="仿宋" w:cs="仿宋"/>
                <w:color w:val="auto"/>
                <w:highlight w:val="none"/>
              </w:rPr>
            </w:pPr>
            <w:r>
              <w:rPr>
                <w:rFonts w:hint="eastAsia" w:ascii="仿宋" w:hAnsi="仿宋" w:eastAsia="仿宋"/>
                <w:b/>
                <w:color w:val="auto"/>
                <w:sz w:val="21"/>
                <w:highlight w:val="none"/>
              </w:rPr>
              <w:t xml:space="preserve">项目概况</w:t>
            </w:r>
            <w:r/>
          </w:p>
          <w:p>
            <w:pPr>
              <w:spacing w:line="360" w:lineRule="auto"/>
              <w:rPr>
                <w:color w:val="auto"/>
                <w:highlight w:val="none"/>
              </w:rPr>
            </w:pPr>
            <w:r>
              <w:rPr>
                <w:rFonts w:hint="eastAsia" w:cs="宋体"/>
                <w:b/>
                <w:color w:val="auto"/>
                <w:sz w:val="21"/>
                <w:highlight w:val="none"/>
              </w:rPr>
              <w:t xml:space="preserve">2026年苏州线上教育太仓分中心综合服务采购JSZC-320585-JZCG-G2026-0092招标项目的潜在投标人应在“苏采云”系统（网址：http://jszfcg.jsczt.cn/）自行下载获取招标文件，并于2026-1</w:t>
            </w:r>
            <w:r>
              <w:rPr>
                <w:rFonts w:hint="eastAsia" w:cs="宋体"/>
                <w:b/>
                <w:color w:val="auto"/>
                <w:sz w:val="21"/>
                <w:highlight w:val="none"/>
                <w:lang w:val="en-US" w:eastAsia="zh-CN"/>
              </w:rPr>
              <w:t xml:space="preserve">1</w:t>
            </w:r>
            <w:r>
              <w:rPr>
                <w:rFonts w:hint="eastAsia" w:cs="宋体"/>
                <w:b/>
                <w:color w:val="auto"/>
                <w:sz w:val="21"/>
                <w:highlight w:val="none"/>
              </w:rPr>
              <w:t xml:space="preserve">-</w:t>
            </w:r>
            <w:r>
              <w:rPr>
                <w:rFonts w:hint="eastAsia" w:cs="宋体"/>
                <w:b/>
                <w:color w:val="auto"/>
                <w:sz w:val="21"/>
                <w:highlight w:val="none"/>
                <w:lang w:val="en-US" w:eastAsia="zh-CN"/>
              </w:rPr>
              <w:t xml:space="preserve">3</w:t>
            </w:r>
            <w:r>
              <w:rPr>
                <w:rFonts w:hint="eastAsia" w:cs="宋体"/>
                <w:b/>
                <w:color w:val="auto"/>
                <w:sz w:val="21"/>
                <w:highlight w:val="none"/>
              </w:rPr>
              <w:t xml:space="preserve"> </w:t>
            </w:r>
            <w:r>
              <w:rPr>
                <w:rFonts w:hint="eastAsia" w:cs="宋体"/>
                <w:b/>
                <w:color w:val="auto"/>
                <w:sz w:val="21"/>
                <w:highlight w:val="none"/>
                <w:lang w:val="en-US" w:eastAsia="zh-CN"/>
              </w:rPr>
              <w:t xml:space="preserve">9</w:t>
            </w:r>
            <w:r>
              <w:rPr>
                <w:rFonts w:hint="eastAsia" w:cs="宋体"/>
                <w:b/>
                <w:color w:val="auto"/>
                <w:sz w:val="21"/>
                <w:highlight w:val="none"/>
              </w:rPr>
              <w:t xml:space="preserve">:30 （北京时间）前递交投标文件。</w:t>
            </w:r>
            <w:r/>
          </w:p>
        </w:tc>
      </w:tr>
    </w:tbl>
    <w:p>
      <w:pPr>
        <w:pStyle w:val="702"/>
        <w:numPr>
          <w:ilvl w:val="1"/>
          <w:numId w:val="0"/>
        </w:numPr>
        <w:ind w:left="480"/>
        <w:jc w:val="left"/>
        <w:spacing w:line="560" w:lineRule="exact"/>
        <w:shd w:val="clear" w:color="auto" w:fill="ffffff"/>
        <w:rPr>
          <w:rFonts w:cs="仿宋"/>
          <w:color w:val="auto"/>
          <w:highlight w:val="none"/>
        </w:rPr>
      </w:pPr>
      <w:r>
        <w:rPr>
          <w:rStyle w:val="765"/>
          <w:rFonts w:hint="eastAsia" w:cs="宋体"/>
          <w:b/>
          <w:bCs/>
          <w:color w:val="auto"/>
          <w:highlight w:val="none"/>
          <w:shd w:val="clear" w:color="auto" w:fill="ffffff"/>
        </w:rPr>
        <w:t xml:space="preserve">一、项目基本情况</w:t>
      </w:r>
      <w:r/>
    </w:p>
    <w:p>
      <w:pPr>
        <w:ind w:firstLine="480"/>
        <w:spacing w:line="360" w:lineRule="auto"/>
        <w:rPr>
          <w:rFonts w:cs="仿宋"/>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项目编号：JSZC-320585-JZCG-G2026-0092</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项目名称：2026年苏州线上教育太仓分中心综合服务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预算金额：119.1万元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最高限价（如有）：无</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采购方式：公开招标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采购需求：</w:t>
      </w:r>
      <w:r/>
    </w:p>
    <w:p>
      <w:pPr>
        <w:ind w:firstLine="480"/>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本次招标的标的是2026年苏州线上教育太仓分中心综合服务。</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1、区域直播推流服务，提供本市教育系统直播服务；</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2、跟随市级线上教育中心平台的平滑升级；</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3、AI课堂评价服务；</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4、技术运维服务；</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5、客服服务；</w:t>
      </w:r>
      <w:r/>
    </w:p>
    <w:p>
      <w:pPr>
        <w:ind w:firstLine="905"/>
        <w:spacing w:line="360" w:lineRule="auto"/>
        <w:rPr>
          <w:rFonts w:hint="eastAsia"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6、宣传推广服务；</w:t>
      </w:r>
      <w:r/>
    </w:p>
    <w:p>
      <w:pPr>
        <w:ind w:firstLine="905"/>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7、学生成长空间二期定制化升级服务；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具体内容及要求以采购文件项目需求为准。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合同履行期限：1年，自合同签订之日起一年。</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本项目不接受联合体投标。</w:t>
      </w:r>
      <w:r/>
    </w:p>
    <w:p>
      <w:pPr>
        <w:pStyle w:val="702"/>
        <w:numPr>
          <w:ilvl w:val="1"/>
          <w:numId w:val="0"/>
        </w:numPr>
        <w:ind w:left="480"/>
        <w:jc w:val="left"/>
        <w:spacing w:line="560" w:lineRule="exact"/>
        <w:shd w:val="clear" w:color="auto" w:fill="ffffff"/>
        <w:rPr>
          <w:rFonts w:ascii="仿宋" w:hAnsi="仿宋" w:eastAsia="仿宋" w:cs="仿宋"/>
          <w:color w:val="auto"/>
          <w:highlight w:val="none"/>
        </w:rPr>
      </w:pPr>
      <w:r>
        <w:rPr>
          <w:rStyle w:val="765"/>
          <w:rFonts w:hint="eastAsia" w:cs="宋体"/>
          <w:b/>
          <w:bCs/>
          <w:color w:val="auto"/>
          <w:highlight w:val="none"/>
          <w:shd w:val="clear" w:color="auto" w:fill="ffffff"/>
        </w:rPr>
        <w:t xml:space="preserve">二、申请人的资格要求</w:t>
      </w:r>
      <w:r/>
    </w:p>
    <w:p>
      <w:pPr>
        <w:pStyle w:val="703"/>
        <w:jc w:val="left"/>
        <w:spacing w:line="560" w:lineRule="exact"/>
        <w:rPr>
          <w:rFonts w:cs="仿宋"/>
          <w:color w:val="auto"/>
          <w:highlight w:val="none"/>
        </w:rPr>
      </w:pPr>
      <w:r>
        <w:rPr>
          <w:rFonts w:hint="eastAsia" w:cs="宋体"/>
          <w:color w:val="auto"/>
          <w:highlight w:val="none"/>
          <w:shd w:val="clear" w:color="auto" w:fill="ffffff"/>
        </w:rPr>
        <w:t xml:space="preserve">（一）满足《中华人民共和国政府采购法》第二十二条规定；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1.具有独立承担民事责任的能力证明。包括法人或者其他组织的营业执照等证明文件，自然人的身份证明；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2.具有良好的商业信誉和健全的财务会计制度证明；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3.具备履行合同所必需的设备和专业技术能力的证明材料或承诺；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4.依法缴纳税收和社会保障资金的相关资料；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5.参加政府采购活动前三年内在经营活动中没有重大违法记录的书面声明函；</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6.法律、行政法规规定的其他条件</w:t>
      </w:r>
      <w:r/>
    </w:p>
    <w:p>
      <w:pPr>
        <w:jc w:val="left"/>
        <w:spacing w:line="360" w:lineRule="auto"/>
        <w:rPr>
          <w:rFonts w:cs="仿宋"/>
          <w:color w:val="auto"/>
          <w:highlight w:val="none"/>
          <w:shd w:val="clear" w:color="auto" w:fill="ffffff"/>
        </w:rPr>
        <w:outlineLvl w:val="2"/>
      </w:pPr>
      <w:r>
        <w:rPr>
          <w:rFonts w:hint="eastAsia" w:cs="宋体"/>
          <w:color w:val="auto"/>
          <w:highlight w:val="none"/>
        </w:rPr>
        <w:t xml:space="preserve">（二）落实政府采购政策需满足的资格要求：</w:t>
      </w:r>
      <w:r/>
    </w:p>
    <w:p>
      <w:pPr>
        <w:ind w:firstLine="480"/>
        <w:jc w:val="left"/>
        <w:spacing w:line="360" w:lineRule="auto"/>
        <w:rPr>
          <w:rFonts w:cs="仿宋"/>
          <w:color w:val="auto"/>
          <w:highlight w:val="none"/>
          <w:shd w:val="clear" w:color="auto" w:fill="ffffff"/>
        </w:rPr>
        <w:outlineLvl w:val="2"/>
      </w:pPr>
      <w:r>
        <w:rPr>
          <w:rFonts w:hint="eastAsia" w:cs="宋体"/>
          <w:color w:val="auto"/>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703"/>
        <w:numPr>
          <w:ilvl w:val="0"/>
          <w:numId w:val="2"/>
        </w:numPr>
        <w:jc w:val="left"/>
        <w:spacing w:line="560" w:lineRule="exact"/>
        <w:rPr>
          <w:rFonts w:hint="eastAsia" w:ascii="黑体" w:hAnsi="黑体" w:eastAsia="黑体" w:cs="宋体"/>
          <w:color w:val="auto"/>
          <w:highlight w:val="none"/>
        </w:rPr>
      </w:pPr>
      <w:r>
        <w:rPr>
          <w:rFonts w:hint="eastAsia" w:ascii="黑体" w:hAnsi="黑体" w:eastAsia="黑体" w:cs="宋体"/>
          <w:color w:val="auto"/>
          <w:highlight w:val="none"/>
        </w:rPr>
        <w:t xml:space="preserve">本项目的特定资格要求：</w:t>
      </w:r>
      <w:r/>
    </w:p>
    <w:p>
      <w:pPr>
        <w:ind w:firstLine="480"/>
        <w:jc w:val="left"/>
        <w:spacing w:line="360" w:lineRule="auto"/>
        <w:rPr>
          <w:rFonts w:hint="eastAsia" w:cs="宋体"/>
          <w:color w:val="auto"/>
          <w:highlight w:val="none"/>
        </w:rPr>
        <w:outlineLvl w:val="2"/>
      </w:pPr>
      <w:r>
        <w:rPr>
          <w:rFonts w:hint="eastAsia" w:cs="宋体"/>
          <w:color w:val="auto"/>
          <w:highlight w:val="none"/>
        </w:rPr>
        <w:t xml:space="preserve">全部拟投人员应当是具备《劳动合同》的或者供应商承诺中标后聘请签订《劳动合同》的服务人员参与本项目，请按要求提供证明材料（承诺函格式自拟），否则视为无效投标。</w:t>
      </w:r>
      <w:r/>
    </w:p>
    <w:p>
      <w:pPr>
        <w:pStyle w:val="703"/>
        <w:jc w:val="left"/>
        <w:spacing w:line="560" w:lineRule="exact"/>
        <w:rPr>
          <w:rFonts w:cs="仿宋"/>
          <w:color w:val="auto"/>
          <w:highlight w:val="none"/>
          <w:shd w:val="clear" w:color="auto" w:fill="ffffff"/>
        </w:rPr>
      </w:pPr>
      <w:r>
        <w:rPr>
          <w:rFonts w:hint="eastAsia" w:cs="宋体"/>
          <w:color w:val="auto"/>
          <w:highlight w:val="none"/>
          <w:shd w:val="clear" w:color="auto" w:fill="ffffff"/>
        </w:rPr>
        <w:t xml:space="preserve">（四）拒绝下述供应商参加本次采购活动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3、法人的分支机构不得参加投标（除银行、保险、石油石化、电力、电信等行业特殊情况外）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02"/>
        <w:numPr>
          <w:ilvl w:val="1"/>
          <w:numId w:val="0"/>
        </w:numPr>
        <w:ind w:left="480"/>
        <w:jc w:val="left"/>
        <w:spacing w:line="560" w:lineRule="exact"/>
        <w:shd w:val="clear" w:color="auto" w:fill="ffffff"/>
        <w:rPr>
          <w:rStyle w:val="765"/>
          <w:rFonts w:cs="仿宋"/>
          <w:b/>
          <w:bCs/>
          <w:color w:val="auto"/>
          <w:highlight w:val="none"/>
          <w:shd w:val="clear" w:color="auto" w:fill="ffffff"/>
        </w:rPr>
      </w:pPr>
      <w:r>
        <w:rPr>
          <w:rStyle w:val="765"/>
          <w:rFonts w:hint="eastAsia" w:cs="宋体"/>
          <w:b/>
          <w:bCs/>
          <w:color w:val="auto"/>
          <w:highlight w:val="none"/>
          <w:shd w:val="clear" w:color="auto" w:fill="ffffff"/>
        </w:rPr>
        <w:t xml:space="preserve">三、获取招标文件</w:t>
      </w:r>
      <w:r/>
    </w:p>
    <w:p>
      <w:pPr>
        <w:numPr>
          <w:ilvl w:val="1"/>
          <w:numId w:val="0"/>
        </w:numPr>
        <w:ind w:left="480"/>
        <w:spacing w:line="360" w:lineRule="auto"/>
        <w:shd w:val="clear" w:color="auto" w:fill="ffffff"/>
        <w:rPr>
          <w:color w:val="auto"/>
          <w:highlight w:val="none"/>
        </w:rPr>
      </w:pPr>
      <w:r>
        <w:rPr>
          <w:rFonts w:hint="eastAsia" w:cs="宋体"/>
          <w:color w:val="auto"/>
          <w:szCs w:val="24"/>
          <w:highlight w:val="none"/>
          <w:shd w:val="clear" w:color="auto" w:fill="ffffff"/>
        </w:rPr>
        <w:t xml:space="preserve">时间：自招标文件公告发布之日起5个工作日</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地点：“苏采云”系统（网址：http://jszfcg.jsczt.cn/）自行下载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方式：自行下载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售价：0.00元 </w:t>
      </w:r>
      <w:r/>
    </w:p>
    <w:p>
      <w:pPr>
        <w:pStyle w:val="702"/>
        <w:numPr>
          <w:ilvl w:val="1"/>
          <w:numId w:val="0"/>
        </w:numPr>
        <w:ind w:left="480"/>
        <w:jc w:val="left"/>
        <w:spacing w:line="560" w:lineRule="exact"/>
        <w:shd w:val="clear" w:color="auto" w:fill="ffffff"/>
        <w:rPr>
          <w:rFonts w:ascii="仿宋" w:hAnsi="仿宋" w:eastAsia="仿宋" w:cs="仿宋"/>
          <w:color w:val="auto"/>
          <w:highlight w:val="none"/>
        </w:rPr>
      </w:pPr>
      <w:r>
        <w:rPr>
          <w:rStyle w:val="765"/>
          <w:rFonts w:hint="eastAsia" w:cs="宋体"/>
          <w:b/>
          <w:bCs/>
          <w:color w:val="auto"/>
          <w:highlight w:val="none"/>
          <w:shd w:val="clear" w:color="auto" w:fill="ffffff"/>
        </w:rPr>
        <w:t xml:space="preserve">四、提交投标文件截止时间、开标时间和地点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2026-1</w:t>
      </w:r>
      <w:r>
        <w:rPr>
          <w:rFonts w:hint="eastAsia" w:cs="宋体"/>
          <w:color w:val="auto"/>
          <w:highlight w:val="none"/>
          <w:lang w:val="en-US" w:eastAsia="zh-CN"/>
        </w:rPr>
        <w:t xml:space="preserve">1</w:t>
      </w:r>
      <w:r>
        <w:rPr>
          <w:rFonts w:hint="eastAsia" w:cs="宋体"/>
          <w:color w:val="auto"/>
          <w:highlight w:val="none"/>
        </w:rPr>
        <w:t xml:space="preserve">-</w:t>
      </w:r>
      <w:r>
        <w:rPr>
          <w:rFonts w:hint="eastAsia" w:cs="宋体"/>
          <w:color w:val="auto"/>
          <w:highlight w:val="none"/>
          <w:lang w:val="en-US" w:eastAsia="zh-CN"/>
        </w:rPr>
        <w:t xml:space="preserve">3</w:t>
      </w:r>
      <w:r>
        <w:rPr>
          <w:rFonts w:hint="eastAsia" w:cs="宋体"/>
          <w:color w:val="auto"/>
          <w:highlight w:val="none"/>
        </w:rPr>
        <w:t xml:space="preserve"> </w:t>
      </w:r>
      <w:r>
        <w:rPr>
          <w:rFonts w:hint="eastAsia" w:cs="宋体"/>
          <w:color w:val="auto"/>
          <w:highlight w:val="none"/>
          <w:lang w:val="en-US" w:eastAsia="zh-CN"/>
        </w:rPr>
        <w:t xml:space="preserve">9</w:t>
      </w:r>
      <w:r>
        <w:rPr>
          <w:rFonts w:hint="eastAsia" w:cs="宋体"/>
          <w:color w:val="auto"/>
          <w:highlight w:val="none"/>
        </w:rPr>
        <w:t xml:space="preserve">:30 （北京时间）</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地点：苏采云系统 </w:t>
      </w:r>
      <w:r/>
    </w:p>
    <w:p>
      <w:pPr>
        <w:pStyle w:val="702"/>
        <w:numPr>
          <w:ilvl w:val="1"/>
          <w:numId w:val="0"/>
        </w:numPr>
        <w:ind w:left="480"/>
        <w:jc w:val="left"/>
        <w:spacing w:line="560" w:lineRule="exact"/>
        <w:shd w:val="clear" w:color="auto" w:fill="ffffff"/>
        <w:rPr>
          <w:rStyle w:val="765"/>
          <w:b/>
          <w:bCs/>
          <w:color w:val="auto"/>
          <w:highlight w:val="none"/>
          <w:shd w:val="clear" w:color="auto" w:fill="ffffff"/>
        </w:rPr>
      </w:pPr>
      <w:r>
        <w:rPr>
          <w:rStyle w:val="765"/>
          <w:rFonts w:hint="eastAsia" w:cs="宋体"/>
          <w:b/>
          <w:bCs/>
          <w:color w:val="auto"/>
          <w:highlight w:val="none"/>
          <w:shd w:val="clear" w:color="auto" w:fill="ffffff"/>
        </w:rPr>
        <w:t xml:space="preserve">五、公告期限</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自本公告发布之日起5个工作日。</w:t>
      </w:r>
      <w:r/>
    </w:p>
    <w:p>
      <w:pPr>
        <w:pStyle w:val="702"/>
        <w:numPr>
          <w:ilvl w:val="1"/>
          <w:numId w:val="0"/>
        </w:numPr>
        <w:ind w:left="480"/>
        <w:jc w:val="left"/>
        <w:spacing w:line="560" w:lineRule="exact"/>
        <w:shd w:val="clear" w:color="auto" w:fill="ffffff"/>
        <w:rPr>
          <w:rStyle w:val="765"/>
          <w:b/>
          <w:bCs/>
          <w:color w:val="auto"/>
          <w:highlight w:val="none"/>
          <w:shd w:val="clear" w:color="auto" w:fill="ffffff"/>
        </w:rPr>
      </w:pPr>
      <w:r>
        <w:rPr>
          <w:rStyle w:val="765"/>
          <w:rFonts w:hint="eastAsia" w:cs="宋体"/>
          <w:b/>
          <w:bCs/>
          <w:color w:val="auto"/>
          <w:highlight w:val="none"/>
          <w:shd w:val="clear" w:color="auto" w:fill="ffffff"/>
        </w:rPr>
        <w:t xml:space="preserve">六、其他补充事宜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1、本项目需要使用CA数字证书制作、上传电子投标文件完成电子投标，请供应商在参加投标活动前办理好CA数字证书申领及电子签章等操作。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3、本项目采用不见面开标，投标人开标时无需到开标现场进行解密，采取网上开标大厅解密电子投标文件，投标人远程解密要求如下：</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2）投标人登录苏采云系统，点击开标大厅，选择开标项目，完成不见面开标流程。</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3）投标截止时间后根据系统提示解密电子投标文件。解密时间为15分钟，未在规定时间内完成解密，其投标文件将被拒绝，不参与后续投标流程。</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5、有关供应商注册、报名、下载电子招标文件、制作上传电子投标文件、不见面开标及其他注意事项登录苏州政府采购网，在“下载中心”栏目下载“苏采云系统供应商操作</w:t>
      </w:r>
      <w:r>
        <w:rPr>
          <w:rFonts w:hint="eastAsia" w:cs="宋体"/>
          <w:bCs/>
          <w:color w:val="auto"/>
          <w:szCs w:val="24"/>
          <w:highlight w:val="none"/>
        </w:rPr>
        <w:t xml:space="preserve">手册</w:t>
      </w:r>
      <w:r>
        <w:rPr>
          <w:rFonts w:hint="eastAsia" w:cs="宋体"/>
          <w:color w:val="auto"/>
          <w:szCs w:val="24"/>
          <w:highlight w:val="none"/>
        </w:rPr>
        <w:t xml:space="preserve">”查阅。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7、有关电子投标制作技术疑问，请咨询苏采云软件公司客服：13913190747、0519-86722802</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8、政府采购监督电话：0512-53890318</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9、本次招标投标保证金：本项目无须缴纳投标保证金。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10、政府采购信用融资政策：中标供应商可凭政府采购合同办理融资贷款，详情请见江苏政府采购网“政采贷”专栏。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02"/>
        <w:numPr>
          <w:ilvl w:val="1"/>
          <w:numId w:val="0"/>
        </w:numPr>
        <w:ind w:left="480"/>
        <w:jc w:val="left"/>
        <w:spacing w:line="560" w:lineRule="exact"/>
        <w:shd w:val="clear" w:color="auto" w:fill="ffffff"/>
        <w:rPr>
          <w:rStyle w:val="765"/>
          <w:b/>
          <w:bCs/>
          <w:color w:val="auto"/>
          <w:highlight w:val="none"/>
          <w:shd w:val="clear" w:color="auto" w:fill="ffffff"/>
        </w:rPr>
      </w:pPr>
      <w:r>
        <w:rPr>
          <w:rStyle w:val="765"/>
          <w:rFonts w:hint="eastAsia" w:cs="宋体"/>
          <w:b/>
          <w:bCs/>
          <w:color w:val="auto"/>
          <w:highlight w:val="none"/>
          <w:shd w:val="clear" w:color="auto" w:fill="ffffff"/>
        </w:rPr>
        <w:t xml:space="preserve">七、对本次招标提出询问，请按以下方式联系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1.采购人信息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单位名称：太仓市教育信息化中心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单位地址：太仓市扬州路99号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联系人：王宇清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联系电话 ：0512-53831371</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2.采购代理机构信息（如有）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单位名称：苏州市公共资源交易中心太仓分中心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单位地址：太仓市陆渡街道万金北路88号3栋2楼</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联系人：冯晔</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联系电话：0512-53890639</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3.项目联系方式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项目联系人：冯晔</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电话：0512-53890639</w:t>
      </w:r>
      <w:r/>
    </w:p>
    <w:p>
      <w:pPr>
        <w:pStyle w:val="701"/>
        <w:pageBreakBefore/>
        <w:spacing w:line="480" w:lineRule="auto"/>
        <w:rPr>
          <w:rFonts w:ascii="仿宋" w:hAnsi="仿宋" w:eastAsia="仿宋" w:cs="仿宋"/>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cs="宋体"/>
          <w:bCs/>
          <w:color w:val="auto"/>
          <w:szCs w:val="44"/>
          <w:highlight w:val="none"/>
        </w:rPr>
        <w:t xml:space="preserve">第二部分  投标人须知</w:t>
      </w:r>
      <w:r/>
    </w:p>
    <w:p>
      <w:pPr>
        <w:ind w:firstLine="883"/>
        <w:jc w:val="center"/>
        <w:spacing w:line="360" w:lineRule="auto"/>
        <w:rPr>
          <w:rFonts w:cs="仿宋"/>
          <w:b/>
          <w:color w:val="auto"/>
          <w:szCs w:val="24"/>
          <w:highlight w:val="none"/>
        </w:rPr>
        <w:pBdr>
          <w:top w:val="none" w:color="000000" w:sz="0" w:space="0"/>
          <w:left w:val="none" w:color="000000" w:sz="0" w:space="0"/>
          <w:bottom w:val="none" w:color="000000" w:sz="0" w:space="0"/>
          <w:right w:val="none" w:color="000000" w:sz="0" w:space="0"/>
        </w:pBdr>
      </w:pPr>
      <w:r>
        <w:rPr>
          <w:rFonts w:cs="仿宋"/>
          <w:b/>
          <w:color w:val="auto"/>
          <w:szCs w:val="24"/>
          <w:highlight w:val="none"/>
        </w:rPr>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一、说明和释义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 说明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1.1本招标文件仅适用于苏州市公共资源交易中心太仓分中心组织的招标活动。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1.2本次招标活动及因本次招标产生的合同受中国法律制约和保护。</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1.3本招标文件的解释权属于采购人。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 词语释义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2.1采购代理机构：具体组织实施招标活动的法人。本项目采购代理机构是苏州市公共资源交易中心太仓分中心。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2.2投标人：经认定有资格响应招标，参加投标竞争的法人或其他组织和自然人。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2.3响应：投标人根据采购人或采购代理机构发布的招标文件，编制投标文件并按规定投标的行为。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2.5甲方（采购方）：合同中明确规定的实际购买货物和服务的法人或其他组织和自然人（采购人）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2.6乙方（供应商）：合同中规定的向采购方提供货物和服务的法人或其他组织和自然人（中标人）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2.7货物：系指乙方按招标采购文件规定，应向甲方提供的一切设备、备品、备件、工具、手册及其它有关技术资料和材料。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2.9知识产权：指专利权、商标权、著作权等无形财产专有权的统称。</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2.10天：日历日。</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2.11交货地点：合同中明确约定的乙方提交的货物和服务最终到达地点。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2.12合同价款：根据合同规定，乙方在正确地履行合同义务后甲方应支付乙方的价款。</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2.13产地：货物开采、生长、生产、最终制造、加工或提供服务的来源地。</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2.14不可抗力：不能预见、不能避免并且不能克服的客观情况。</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2.15实质性响应：满足有关本次采购标的、数量、质量、价款或者报酬、履行期限、履行地点和方式、违约责任和解决争议方法等要求。</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2.17进口产品：指通过中国海关报关验收进入中国境内且产自境外的产品。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2.18书面形式：指书面文字、合同书、信件和传真等可以有形地表现所载内容的形式。</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二、 投标人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 合格投标人的基本条件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3.1符合《中华人民共和国政府采购法》第二十二条第一款之规定；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3.2满足本文件实质性条款的规定。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4．合格投标人的特定条件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4.1按招标公告规定。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5. 投标人代表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5.1指全权代表投标人参加投标活动并签署投标文件的人，如果投标人代表不是法人代表，须持有《法人代表授权委托书》（详见统一格式）。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6. 联合投标及转包、分包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6.1本项目不接受联合体投标。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6.2本项目不接受转包。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6.3本项目不接受分包。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7. 投标费用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7.1投标人应自行承担所有准备及参加投标的相关费用。不论投标结果如何，采购代理机构在任何情况下均无义务也无责任承担这些费用。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7.2本次招标项目不收取标书费及中标服务费，请投标人在投标时充分考虑这一因素。</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三、招标文件说明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8. 招标文件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8.2招标文件及其更正文件不是直接从采购代理机构或指定媒体获得的，采购代理机构对招标文件及其补遗的真实性、完整性不承担任何责任。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9. 招标文件的澄清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9.1投标人在获取招标文件后，若有疑问，应于投标截止时间之前，向采购代理机构提出，采购代理机构将予以解答。</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9.2如有必要，问题答复将以“变更公告”形式由采购代理机构按照本须知第10条的规定发出。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10.招标文件的修改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10.1采购代理机构无论出于自己的考虑，还是出于对投标人提问的澄清，均可对已发出的招标文件用补充文件的方式进行必要澄清或者修改。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10.3招标文件的更正（含澄清、修改等）内容与原招标文件在同一内容上表述不一致时，以发出日期最接近开标时间的公告为准。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10.5招标文件若有最新的答疑文件，投标供应商必须下载并使用该文件制作新的电子投标文件，否则将无法完成电子投标文件的上传及投标。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11.质疑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11.3上述应知其权益受到损害之日是指：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11.3.1对采购文件提出质疑的，为获取采购文件或者采购文件公告期限届满之日起计算；</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11.3.2对采购过程提出质疑的，自采购程序环节结束之日起计算；</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11.3.3对中标结果提出质疑的，自中标结果公告期限届满之日起计算。</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11.4供应商提出质疑应当提交质疑函和必要的证明材料。质疑函应当包括下列内容：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11.4.1供应商的姓名或者名称、地址、邮编、联系人及联系电话；</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11.4.2质疑项目的名称、编号；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11.4.3具体、明确的质疑事项和与质疑事项相关的请求；</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11.4.4事实依据；</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11.4.5必要的法律依据；</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11.4.6提出质疑的日期。</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11.5质疑函的格式和内容应当符合财政部《政府采购供应商质疑函范本》要求，质疑函范本在财政部官网上提供下载。</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11.6提交质疑函同时应当附如下证明材料：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11.6.1对采购文件提出质疑的供应商提供参加本项目的《投标供应商确认函》；</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11.6.2质疑供应商的营业执照复印件加盖单位公章；</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11.6.3质疑供应商法定代表人（负责人）身份证复印件加盖单位公章；</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11.7供应商为自然人的，应当由本人签字；供应商为法人或者其他组织的，应当由法定代表人（负责人）、主要负责人，或者其授权代表签字或者盖章，并加盖公章；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11.9供应商如对本项目提出质疑须在法定质疑期内一次性提出针对同一采购程序环节的质疑。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11.11接受质疑函联系方式见采购公告联系事项。</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四、 投标文件说明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12、提示与要求</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12.2无论是否递交投标文件，投标人都应将招标文件及以后的所有通知、文件等视为保密文件。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13. 投标文件计量单位和使用文字</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13.1投标文件中所使用的计量单位，除招标文件中有特殊要求外，均应使用中华人民共和国法定计量单位。</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14. 知识产权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15. 投标文件的组成</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15.1报价部分（详见投标文件格式）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15.1.1封面；</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15.1.2《开标一览表》(统一格式)；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15.1.3公开分项报价表；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highlight w:val="none"/>
        </w:rPr>
        <w:t xml:space="preserve">15.2投标正文部分（包含资质证明和技术部分）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15.2.1资质证明文件部分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15.2.1.1关于资格文件的声明函（详见文件格式）；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15.2.1.2投标承诺函（详见文件格式）；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15.2.1.3投标人基本情况表（详见文件格式）；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15.2.1.4投标人法定代表人（负责人）身份证复印件；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15.2.1.5投标人法定代表人（负责人）授权委托书原件（如有授权）（详见文件格式）；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15.2.1.6投标人授权代理人身份证复印件（如有授权）；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15.2.1.7投标单位营业执照副本或三证合一营业执照复印件；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15.2.1.8投标人参加本次政府采购活动前的财务状况报告或者银行出具的资信证明；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15.2.1.9投标人根据项目需求提供履行合同所必需的设备和专业技术能力的证明材料；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15.2.1.10投标人参加本次政府采购活动前半年（至少一个月）依法缴纳税收和社会保障资金的证明材料；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15.2.1.11投标人参加政府采购活动前三年在经营活动中没有重大违法记录的书面申明（详见投标文件格式）；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15.2.1.12投标人证明其符合招标文件规定的投标人特定资格条件的证书、证明和文件材料；（如有）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15.2.1.13中小企业声明函；</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15.2.1.14残疾人福利性单位声明函（如有）；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15.2.2技术部分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15.2.2.1服务要求偏离表（详见文件格式）；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15.2.2.2商务要求偏离表（详见文件格式）；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15.2.2.3项目的技术及服务方案；</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15.2.2.4类似项目业绩一览表及相关证明材料（详见文件格式）；</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15.2.2.5投入本项目技术（服务）人员一览表及相关证明材料；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15.2.2.6其他投标人认为需要提供的材料；</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15.3投标文件由15.1、15.2款规定的内容共同组成。</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16. 投标文件编制要求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电子投标文件编制要求：投标人应使用招标文件要求的投标文件制作软件制作电子投标文件，电子投标文件按招标文件规定的格式制作，如果未按要求制作上传，可能导致投标无效。</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17. 投标报价（编制）要求的说明</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17.3一项投标内容只允许一个报价，采购代理机构不接受任何有选择性的投标报价。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17.4投标文件报价中的单价和总价全部采用人民币表示，除非合同的特殊条款另有规定。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17.5最低的投标报价或最高的优惠比例是中标的重要条件，但不是中标的唯一条件。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18. 投标保证金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本项目无须缴纳投标保证金。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19. 投标文件的有效期</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19.1在本招标文件规定的开标之日起九十（90）天内，投标人所提交的投标文件应保持有效。有效期短于这个规定期限的投标文件，将被认定为未实质性响应招标文件要求。</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五、 投标文件的提交、撤回和修改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20. 投标文件的上传、提交</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20.1投标人应将制作好的加密电子投标文件按要求在投标截止时间前上传到交易系统平台中。</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21. 投标截止时间</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21.1电子投标文件必须按招标公告中规定的网上投标截止时间前提交，否则投标无效。</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21.3在投标截止时间止，采购代理机构于本项目（或标段）收到的电子投标文件少于三份的，采购代理机构有权宣布本项目（或标段）招标失败。</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22. 投标文件的修改和撤回</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22.1投标人在提交投标文件截止时间前，可对其投标文件进行撤回或修改。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23.2开标后投标人不得撤回投标。</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六、开标和评标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23. 开标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23.1采购代理机构按采购公告规定的时间、地点主持不见面开标活动。开标仪式由采购代理机构、采购人等主持。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23.2参加开标的投标法定代表人（负责人）或授权代理人须在项目开标前登录苏采云不见面开标系统，进入苏采云网上不见面开标大厅，做好相关准备工作。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23.3本项目开标后在规定的解密时间内，投标人须自行登录网上开标大厅解密投标文件，解密时间为15分钟，因自身原因导致解密失败的，由投标人自行承担相关责任。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23.4采购代理机构在开标仪式上，将公布投标人的名称、投标价格，并将作唱标记录。</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24. 评标委员会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24.1评标委员会由采购人或委托采购代理机构依法组建，负责本项目的评标事务。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24.2评标委员会独立履行下列职责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24.2.1审查投标文件是否符合招标文件的要求，并作出评价；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24.2.2可以要求投标供应商对投标文件有关事项作出解释或澄清；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24.2.3推荐中标候选供应商名单，或者受采购人委托按照事先确定的办法直接确定中标供应商；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24.2.4向采购代理机构或者有关部门报告非法干预评标工作的行为；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24.3评标委员会成员应当履行下列义务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24.3.1遵纪守法，客观、公正、廉洁地履行职责；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24.3.2按照招标文件规定的评标办法和评标标准进行评标，对评审意见承担个人责任；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24.3.3对评标过程和结果，以及投标人的商业秘密保密；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24.3.4参与评标报告的起草；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24.3.5配合采购代理机构答复投标供应商提出的质疑；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24.3.6配合相关部门的投诉处理工作；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25. 评标内容的保密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25.2在投标文件的审查、澄清、评价和比较以及授予合同的过程中，投标人对采购代理机构和评标委员会成员施加影响的任何行为，都将取消其投标资格。</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25.3在评标期间，采购代理机构将通过指定联络人与投标人进行联系。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26.对投标文件初审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26.1投标文件初审分为资格性检查和符合性检查。</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highlight w:val="none"/>
        </w:rPr>
        <w:t xml:space="preserve">26.1.2关于信用记录查询：</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26.1.2.1查询时间：评标阶段。</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26.1.2.2查询渠道：通过“信用中国”网站、中国政府采购网等渠道查询相关主体信用记录。</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26.1.2.4信用记录使用规则：评审小组在对供应商进行资格性审查时，应根据查询结果对供应商的不良信用记录逐项甄别确认。</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26.2.1不同投标人的投标文件由同一单位或者个人编制；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26.2.2不同投标人委托同一单位或者个人办理投标事宜；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26.2.3不同投标人的投标文件载明的项目管理成员或者联系人员为同一人；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26.2.4不同投标人的投标文件异常一致或者投标报价呈规律性差异；</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26.2.5不同投标人的投标文件相互混装；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26.6评标委员会将对确定为实质性响应的投标进行审核，看其是否有计算上或累加上的算术错误，修正错误的原则如下：</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26.6.1投标文件中开标一览表（报价表）内容与投标文件中相应内容不一致的，以开标一览表（报价表）为准；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26.6.2大写金额和小写金额不一致的，以大写金额为准；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26.6.3单价金额小数点或者百分比有明显错位的，以开标一览表的总价为准，并修改单价；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26.6.4总价金额与按单价汇总金额不一致的，以单价金额计算结果为准。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同时出现两种以上不一致的，按照前款规定的顺序修正。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26.6条规定经投标人确认后产生约束力，投标人不确认的，其投标无效。</w:t>
      </w:r>
      <w:r/>
    </w:p>
    <w:p>
      <w:pPr>
        <w:ind w:firstLine="480"/>
        <w:spacing w:line="360" w:lineRule="auto"/>
        <w:rPr>
          <w:rFonts w:asciiTheme="minorEastAsia" w:hAnsiTheme="minorEastAsia" w:eastAsiaTheme="minorEastAsia"/>
          <w:b/>
          <w:color w:val="auto"/>
          <w:highlight w:val="none"/>
        </w:rPr>
      </w:pPr>
      <w:r>
        <w:rPr>
          <w:rFonts w:hint="eastAsia" w:cs="宋体"/>
          <w:color w:val="auto"/>
          <w:highlight w:val="none"/>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80"/>
        <w:spacing w:line="360" w:lineRule="auto"/>
        <w:rPr>
          <w:rFonts w:asciiTheme="minorEastAsia" w:hAnsiTheme="minorEastAsia" w:eastAsiaTheme="minorEastAsia"/>
          <w:b/>
          <w:color w:val="auto"/>
          <w:highlight w:val="none"/>
        </w:rPr>
      </w:pPr>
      <w:r>
        <w:rPr>
          <w:rFonts w:hint="eastAsia" w:cs="宋体"/>
          <w:color w:val="auto"/>
          <w:highlight w:val="none"/>
        </w:rPr>
        <w:t xml:space="preserve">异常低价投标（响应）审查的情形和具体要求如下：</w:t>
      </w:r>
      <w:r/>
    </w:p>
    <w:p>
      <w:pPr>
        <w:ind w:firstLine="480"/>
        <w:spacing w:line="360" w:lineRule="auto"/>
        <w:rPr>
          <w:rFonts w:cs="微软雅黑" w:asciiTheme="minorEastAsia" w:hAnsiTheme="minorEastAsia" w:eastAsiaTheme="minorEastAsia"/>
          <w:b/>
          <w:color w:val="auto"/>
          <w:highlight w:val="none"/>
        </w:rPr>
      </w:pPr>
      <w:r>
        <w:rPr>
          <w:rFonts w:hint="eastAsia" w:cs="宋体"/>
          <w:color w:val="auto"/>
          <w:highlight w:val="none"/>
        </w:rPr>
        <w:t xml:space="preserve">26.7.1投标（响应）报价低于全部通过符合性审查供应商投标（响应）报价平均值50%的，即投标（响应）报价&lt;全部通过符合性审查供应商投标（响应）报价平均值×50%；</w:t>
      </w:r>
      <w:r/>
    </w:p>
    <w:p>
      <w:pPr>
        <w:ind w:firstLine="480"/>
        <w:spacing w:line="360" w:lineRule="auto"/>
        <w:rPr>
          <w:rFonts w:cs="微软雅黑" w:asciiTheme="minorEastAsia" w:hAnsiTheme="minorEastAsia" w:eastAsiaTheme="minorEastAsia"/>
          <w:b/>
          <w:color w:val="auto"/>
          <w:highlight w:val="none"/>
        </w:rPr>
      </w:pPr>
      <w:r>
        <w:rPr>
          <w:rFonts w:hint="eastAsia" w:cs="宋体"/>
          <w:color w:val="auto"/>
          <w:highlight w:val="none"/>
        </w:rPr>
        <w:t xml:space="preserve">26.7.2投标（响应）报价低于通过符合性审查的次低报价供应商投标（响应）报价50%的，即投标（响应）报价&lt;通过符合性审查的次低报价供应商投标（响应）报价×50%；</w:t>
      </w:r>
      <w:r/>
    </w:p>
    <w:p>
      <w:pPr>
        <w:ind w:firstLine="480"/>
        <w:spacing w:line="360" w:lineRule="auto"/>
        <w:rPr>
          <w:rFonts w:cs="微软雅黑" w:asciiTheme="minorEastAsia" w:hAnsiTheme="minorEastAsia" w:eastAsiaTheme="minorEastAsia"/>
          <w:b/>
          <w:color w:val="auto"/>
          <w:highlight w:val="none"/>
        </w:rPr>
      </w:pPr>
      <w:r>
        <w:rPr>
          <w:rFonts w:hint="eastAsia" w:cs="宋体"/>
          <w:color w:val="auto"/>
          <w:highlight w:val="none"/>
        </w:rPr>
        <w:t xml:space="preserve">26.7.3投标（响应）报价低于采购项目预算金额45%的，即投标（响应）报价&lt;采购项目预算金额×45%；</w:t>
      </w:r>
      <w:r/>
    </w:p>
    <w:p>
      <w:pPr>
        <w:ind w:firstLine="480"/>
        <w:spacing w:line="360" w:lineRule="auto"/>
        <w:rPr>
          <w:rFonts w:cs="微软雅黑" w:asciiTheme="minorEastAsia" w:hAnsiTheme="minorEastAsia" w:eastAsiaTheme="minorEastAsia"/>
          <w:b/>
          <w:color w:val="auto"/>
          <w:highlight w:val="none"/>
        </w:rPr>
      </w:pPr>
      <w:r>
        <w:rPr>
          <w:rFonts w:hint="eastAsia" w:cs="宋体"/>
          <w:color w:val="auto"/>
          <w:highlight w:val="none"/>
        </w:rPr>
        <w:t xml:space="preserve">26.7.4评审委员会基于专业判断，认为供应商报价过低，有可能影响产品质量或者不能诚信履约的其他情形。</w:t>
      </w:r>
      <w:r/>
    </w:p>
    <w:p>
      <w:pPr>
        <w:ind w:firstLine="480"/>
        <w:spacing w:line="360" w:lineRule="auto"/>
        <w:rPr>
          <w:rFonts w:asciiTheme="minorEastAsia" w:hAnsiTheme="minorEastAsia" w:eastAsiaTheme="minorEastAsia"/>
          <w:b/>
          <w:color w:val="auto"/>
          <w:highlight w:val="none"/>
        </w:rPr>
      </w:pPr>
      <w:r>
        <w:rPr>
          <w:rFonts w:hint="eastAsia" w:cs="宋体"/>
          <w:color w:val="auto"/>
          <w:highlight w:val="none"/>
        </w:rPr>
        <w:t xml:space="preserve">26.8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Theme="minorEastAsia" w:hAnsiTheme="minorEastAsia" w:eastAsiaTheme="minorEastAsia"/>
          <w:b/>
          <w:color w:val="auto"/>
          <w:highlight w:val="none"/>
        </w:rPr>
      </w:pPr>
      <w:r>
        <w:rPr>
          <w:rFonts w:hint="eastAsia" w:cs="宋体"/>
          <w:color w:val="auto"/>
          <w:highlight w:val="none"/>
        </w:rPr>
        <w:t xml:space="preserve"> 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27.投标的澄清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28.无效投标和废标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28.1无效投标的具体情形有：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28.1.1投标文件未按招标文件要求签署、盖章或电子签章的；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28.1.2不具备招标文件中规定的资格要求的；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28.1.3报价超过招标文件中规定的预算金额或者最高限价的；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28.1.4不同投标人的投标文件使用同一台电脑编制的；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28.1.5投标文件含有采购人不能接受的附加条件的；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28.1.6法律、法规和招标文件规定的其他无效情形。</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highlight w:val="none"/>
        </w:rPr>
        <w:t xml:space="preserve">28.2在招标采购中，出现下列情形之一的，应予废标：</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28.2.1符合专业条件的供应商或者对招标文件作实质响应的供应商不足三家的；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28.2.2出现影响采购公正的违法、违规行为的；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28.2.3投标人的报价均超过了采购预算，采购人不能支付的；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28.2.4因重大变故，采购任务取消的。</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highlight w:val="none"/>
        </w:rPr>
        <w:t xml:space="preserve">28.3废标后，采购人应当将废标理由通知所有投标人。</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29. 投标文件的评价和比较</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29.1评标委员会按招标文件规定的评标方法和标准，仅对资格性检查和符合性检查合格的投标文件进行商务和技术评估，综合比较与评价。</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29.2.1服务的质量保证（保障）内容；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29.2.2服务配备的人员；</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29.2.3投标者的资信情况和履约能力；</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29.2.4投标者提供的其他优惠条件；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29.2.5参与本项目政府采购工作的态度及信誉；</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29.2.6最低的投标报价或最高的优惠比例是中标的重要条件，但不是唯一条件。</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七、授予合同</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30. 中标供应商的确认          </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30.2经评标委员会评审并确定中标供应商后，采购人或授权采购代理机构将在规定的时间内将中标结果在相关媒体上予以公告。</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负责人）或参加投标的代理人签署的书面质疑后七个工作日内，对质疑内容作出答复。在此期限后向采购人或采购代理机构提出质疑或质疑未经投标人法定代表人（负责人）或参加投标的代理人签署和盖公章（原件），采购人或采购代理机构有权对该质疑不予答复。</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30.4质疑函递交地点及联系方式详见公告内容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31. 合同授予标准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32. 中标通知书</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32.3因系统存储空间有限，自中标结果公告届满之日起30日后，“苏采云”系统不再保证提供下载中标通知书服务,因未及时下载而造成的不利后果由中标供应商自行承担。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32.4中标通知书将成为合同的组成部分。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32.5采购代理机构对未中标供应商不承担解释未中标原因的义务。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33.履约保证金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33.1中标供应商按合同约定要求提交履约保证金。</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33.2履约保证金用以约束供应商在合同履行中的行为，弥补合同执行中由于自身行为可能给采购人带来的各种损失。</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33.3履约保证金（无息）将在中标供应商履约期满且评价合格后，采购人在五个工作日内退返中标供应商。</w:t>
      </w:r>
      <w:r/>
    </w:p>
    <w:p>
      <w:pPr>
        <w:spacing w:line="360" w:lineRule="auto"/>
        <w:rPr>
          <w:color w:val="auto"/>
          <w:szCs w:val="24"/>
          <w:highlight w:val="none"/>
        </w:rPr>
      </w:pPr>
      <w:r>
        <w:rPr>
          <w:rFonts w:hint="eastAsia" w:cs="宋体"/>
          <w:color w:val="auto"/>
          <w:highlight w:val="none"/>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34. 合同的签订</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34.2中标供应商应按中标通知书中中规定，由法定代表人（负责人）或授权代理人与采购人代表签订合同，否则按放弃中标权处理。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34.3签订合同及合同条款应以招标文件和中标供应商的投标文件及其澄清文件为依据。</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34.5签订合同后，中标人不得将未在投标时声明的货物及其他相关服务进行转包。未经采购人同意，中标人也不得采用分包的形式履行合同，否则采购人有权终止合同。转包或分包造成采购人损失的，中标人应承担相应赔偿责任。</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八、政府采购相关政策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35.节能产品和环境标志产品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36.中小企业相关政策：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根据《政府采购促进中小企业发展管理办法》（财库〔2020〕46号）有关规定：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中小企业投标人应当提供中小企业声明函或残疾人福利性单位声明函或省级以上监狱管理局、戒毒管理局（含新疆生产建设兵团）出具的属于监狱企业的证明文件。</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36.1.1中小企业划分：</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（1）符合中小企业划分标准的个体工商户，在政府采购活动中视同中小企业。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（2）中小企业划分标准详见“工信部联企业〔2011〕300号通知”</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36.1.2残疾人福利性单位政策：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36.1.3监狱企业发展政策：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36.1.4中标、成交供应商享受规定的中小企业扶持政策的，其声明函及相关证明材料应当随中标、成交结果同时公告，接受社会监督。</w:t>
      </w:r>
      <w:r/>
    </w:p>
    <w:p>
      <w:pPr>
        <w:ind w:firstLine="480"/>
        <w:spacing w:line="36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outlineLvl w:val="4"/>
      </w:pPr>
      <w:r>
        <w:rPr>
          <w:rFonts w:hint="eastAsia" w:cs="宋体"/>
          <w:color w:val="auto"/>
          <w:szCs w:val="24"/>
          <w:highlight w:val="none"/>
        </w:rPr>
        <w:t xml:space="preserve">36.2价格评审优惠的扶持政策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3"/>
      </w:pPr>
      <w:r>
        <w:rPr>
          <w:rFonts w:hint="eastAsia" w:cs="宋体"/>
          <w:color w:val="auto"/>
          <w:szCs w:val="24"/>
          <w:highlight w:val="none"/>
        </w:rPr>
        <w:t xml:space="preserve">36.2.1非专门面向中小企业的标段</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根据《政府采购促进中小企业发展管理办法》（财库﹝2020﹞46号）的规定：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1)在货物采购项目中，货物由小、微企业制造，即货物由小、微企业生产且使用该小、微企业商号或者注册商标。对其报价给予20%的扣除，扣除后的价格参与价格评审。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3)在货物采购项目中，供应商提供的货物既有小、微企业制造货物，也有中、大型企业制造货物的，不享受本办法规定的小、微企业价格扶持政策。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5)符合中小企业划分标准的个体工商户，在政府采购活动中视同中小企业。</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6)残疾人福利性单位及监狱企业视同小型企业。本项目专门面向中小企业采购，不再执行价格扣除等价格评审优惠政策。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7)供应商按照本办法规定提供声明函内容不实的，属于提供虚假材料谋取中标、 成交， 依照《中华人民  共和国政府采购法》 等国家有关规定追究相应责任。</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36.2.2属于专门面向中小企业预留采购的标段，不再执行价格评审优惠的扶持政策。</w:t>
      </w:r>
      <w:r/>
    </w:p>
    <w:p>
      <w:pPr>
        <w:ind w:firstLine="480"/>
        <w:spacing w:line="360" w:lineRule="auto"/>
        <w:rPr>
          <w:rFonts w:cs="仿宋"/>
          <w:b/>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37. 绿色数据中心政策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37.1依据《绿色数据中心政府采购需求标准（试行）》（财办库〔2023〕7 号）文件精神，采购</w:t>
      </w:r>
      <w:r>
        <w:rPr>
          <w:rFonts w:hint="eastAsia" w:cs="宋体"/>
          <w:color w:val="auto"/>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cs="仿宋"/>
          <w:b/>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38.商品包装、快递包装政策</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38.1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39.采购本国产品的支持政策</w:t>
      </w:r>
      <w:r/>
    </w:p>
    <w:p>
      <w:pPr>
        <w:ind w:firstLine="480"/>
        <w:spacing w:line="360" w:lineRule="auto"/>
        <w:rPr>
          <w:rFonts w:cs="仿宋"/>
          <w:color w:val="auto"/>
          <w:highlight w:val="none"/>
        </w:rPr>
      </w:pPr>
      <w:r>
        <w:rPr>
          <w:rFonts w:hint="eastAsia" w:cs="宋体"/>
          <w:color w:val="auto"/>
          <w:highlight w:val="none"/>
        </w:rPr>
        <w:t xml:space="preserve">39.1本节政策适用于本项目采购标的含有货物（产品）的情形。若本项目采购标的包含货物（产品），供应商拟提供本国产品的，应当遵循本节规定，并按照“第四部分 投标文件格式”中的《关于符合本国产品标准的声明函》样表，如实填报产品名称、厂名、生产厂址等内容，随投标文件一并提交；未按要求填报或填报不完整的，不享受本国产品价格评审优惠。若本项目为不含货物（产品）类标的的纯服务项目，本节政策及《关于符合本国产品标准的声明函》样表不适用，投标人无需提供。</w:t>
      </w:r>
      <w:r/>
    </w:p>
    <w:p>
      <w:pPr>
        <w:ind w:firstLine="480"/>
        <w:spacing w:line="360" w:lineRule="auto"/>
        <w:rPr>
          <w:rFonts w:cs="仿宋"/>
          <w:color w:val="auto"/>
          <w:highlight w:val="none"/>
        </w:rPr>
      </w:pPr>
      <w:r>
        <w:rPr>
          <w:rFonts w:hint="eastAsia" w:cs="宋体"/>
          <w:color w:val="auto"/>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cs="仿宋"/>
          <w:color w:val="auto"/>
          <w:highlight w:val="none"/>
        </w:rPr>
      </w:pPr>
      <w:r>
        <w:rPr>
          <w:rFonts w:hint="eastAsia" w:cs="宋体"/>
          <w:color w:val="auto"/>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仿宋"/>
          <w:b/>
          <w:color w:val="auto"/>
          <w:highlight w:val="none"/>
        </w:rPr>
      </w:pPr>
      <w:r>
        <w:rPr>
          <w:rFonts w:hint="eastAsia" w:cs="宋体"/>
          <w:color w:val="auto"/>
          <w:highlight w:val="none"/>
        </w:rPr>
        <w:t xml:space="preserve">39.4本项目政府采购活动中既有本国产品又有非本国产品参与竞争的，依法对本国产品给予价格评审优惠，对本国产品的报价给予20%的价格扣除，用扣除后的价格参与评审。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cs="仿宋"/>
          <w:color w:val="auto"/>
          <w:highlight w:val="none"/>
        </w:rPr>
      </w:pPr>
      <w:r>
        <w:rPr>
          <w:rFonts w:hint="eastAsia" w:cs="宋体"/>
          <w:color w:val="auto"/>
          <w:highlight w:val="none"/>
        </w:rPr>
        <w:t xml:space="preserve">39.5当采购项目或者采购包中含有多种产品，供应商为该采购项目或者采购包提供的符合本国产品标准的产品成本之和占该供应商提供的全部产品成本之和的比例达到80%以上时（供应商需在“第四部分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360" w:lineRule="auto"/>
        <w:rPr>
          <w:rFonts w:cs="仿宋"/>
          <w:color w:val="auto"/>
          <w:highlight w:val="none"/>
        </w:rPr>
      </w:pPr>
      <w:r>
        <w:rPr>
          <w:rFonts w:hint="eastAsia" w:cs="宋体"/>
          <w:color w:val="auto"/>
          <w:highlight w:val="none"/>
        </w:rPr>
        <w:t xml:space="preserve">39.6供应商需按照招标文件的要求提供《关于符合本国产品标准的声明函》（以下简称《声明函》），如不提供将不享受本国产品价格评审优惠。</w:t>
      </w:r>
      <w:r/>
    </w:p>
    <w:p>
      <w:pPr>
        <w:ind w:firstLine="480"/>
        <w:spacing w:line="360" w:lineRule="auto"/>
        <w:rPr>
          <w:rFonts w:cs="仿宋"/>
          <w:b/>
          <w:color w:val="auto"/>
          <w:highlight w:val="none"/>
        </w:rPr>
      </w:pPr>
      <w:r>
        <w:rPr>
          <w:rFonts w:hint="eastAsia" w:cs="宋体"/>
          <w:color w:val="auto"/>
          <w:highlight w:val="none"/>
        </w:rPr>
        <w:t xml:space="preserve">39.7供应商需在《声明函》中逐一、准确填写产品名称、厂名、生产厂址三项信息（《声明函》中标注“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line="360" w:lineRule="auto"/>
        <w:rPr>
          <w:rFonts w:cs="仿宋"/>
          <w:color w:val="auto"/>
          <w:highlight w:val="none"/>
        </w:rPr>
      </w:pPr>
      <w:r>
        <w:rPr>
          <w:rFonts w:hint="eastAsia" w:cs="宋体"/>
          <w:color w:val="auto"/>
          <w:highlight w:val="none"/>
        </w:rPr>
        <w:t xml:space="preserve">39.8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2"/>
        <w:jc w:val="left"/>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九、其他事项</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40. 监督和公证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40.1政府有关监督部门将对招投标全过程进行监督。</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40.2采购代理机构的招标过程将通过公证机关进行公证。</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outlineLvl w:val="2"/>
      </w:pPr>
      <w:r>
        <w:rPr>
          <w:rFonts w:hint="eastAsia" w:cs="宋体"/>
          <w:color w:val="auto"/>
          <w:szCs w:val="24"/>
          <w:highlight w:val="none"/>
        </w:rPr>
        <w:t xml:space="preserve">41.未尽事宜</w:t>
      </w:r>
      <w:r/>
    </w:p>
    <w:p>
      <w:pPr>
        <w:ind w:firstLine="480"/>
        <w:spacing w:line="360" w:lineRule="auto"/>
        <w:rPr>
          <w:rFonts w:cs="仿宋"/>
          <w:color w:val="auto"/>
          <w:szCs w:val="24"/>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850" w:bottom="1134" w:left="1701" w:header="709" w:footer="709" w:gutter="0"/>
          <w:pgNumType w:start="1"/>
          <w:cols w:num="1" w:sep="0" w:space="720" w:equalWidth="1"/>
          <w:docGrid w:linePitch="360"/>
        </w:sectPr>
      </w:pPr>
      <w:r>
        <w:rPr>
          <w:rFonts w:hint="eastAsia" w:cs="宋体"/>
          <w:color w:val="auto"/>
          <w:szCs w:val="24"/>
          <w:highlight w:val="none"/>
        </w:rPr>
        <w:t xml:space="preserve">41.1按《中华人民共和国政府采购法》及其他有关法律法规的规定执行。</w:t>
      </w:r>
      <w:r/>
    </w:p>
    <w:p>
      <w:pPr>
        <w:pStyle w:val="701"/>
        <w:numPr>
          <w:ilvl w:val="0"/>
          <w:numId w:val="3"/>
        </w:numPr>
        <w:pageBreakBefore/>
        <w:spacing w:line="480" w:lineRule="auto"/>
        <w:rPr>
          <w:rFonts w:hint="eastAsia" w:cs="宋体"/>
          <w:bCs/>
          <w:color w:val="auto"/>
          <w:szCs w:val="44"/>
          <w:highlight w:val="none"/>
        </w:rPr>
        <w:pBdr>
          <w:top w:val="none" w:color="000000" w:sz="0" w:space="0"/>
          <w:left w:val="none" w:color="000000" w:sz="0" w:space="0"/>
          <w:bottom w:val="none" w:color="000000" w:sz="0" w:space="0"/>
          <w:right w:val="none" w:color="000000" w:sz="0" w:space="0"/>
        </w:pBdr>
      </w:pPr>
      <w:r>
        <w:rPr>
          <w:rFonts w:hint="eastAsia" w:cs="宋体"/>
          <w:bCs/>
          <w:color w:val="auto"/>
          <w:szCs w:val="44"/>
          <w:highlight w:val="none"/>
        </w:rPr>
        <w:t xml:space="preserve">项目需求</w:t>
      </w:r>
      <w:r/>
    </w:p>
    <w:p>
      <w:pPr>
        <w:numPr>
          <w:ilvl w:val="0"/>
          <w:numId w:val="0"/>
        </w:numPr>
        <w:jc w:val="both"/>
        <w:widowControl w:val="off"/>
        <w:rPr>
          <w:rFonts w:hint="default" w:eastAsia="仿宋"/>
          <w:b/>
          <w:bCs/>
          <w:color w:val="auto"/>
          <w:highlight w:val="none"/>
          <w:lang w:val="en-US" w:eastAsia="zh-CN"/>
        </w:rPr>
      </w:pPr>
      <w:r>
        <w:rPr>
          <w:rFonts w:hint="eastAsia"/>
          <w:b/>
          <w:bCs/>
          <w:color w:val="auto"/>
          <w:highlight w:val="none"/>
          <w:lang w:val="en-US" w:eastAsia="zh-CN"/>
        </w:rPr>
        <w:t xml:space="preserve">说明：</w:t>
      </w:r>
      <w:r>
        <w:rPr>
          <w:rFonts w:hint="eastAsia" w:cs="宋体"/>
          <w:b/>
          <w:bCs/>
          <w:color w:val="auto"/>
          <w:highlight w:val="none"/>
        </w:rPr>
        <w:t xml:space="preserve">★</w:t>
      </w:r>
      <w:r>
        <w:rPr>
          <w:rFonts w:hint="eastAsia" w:cs="宋体"/>
          <w:b/>
          <w:bCs/>
          <w:color w:val="auto"/>
          <w:highlight w:val="none"/>
          <w:lang w:val="en-US" w:eastAsia="zh-CN"/>
        </w:rPr>
        <w:t xml:space="preserve">项属于实质性响应条款，投标单位必须通过偏离表的方式明确是否响应（有注明需要提供证明材料的则需提供对应材料），否则视为无效投标</w:t>
      </w:r>
      <w:r/>
    </w:p>
    <w:p>
      <w:pPr>
        <w:pStyle w:val="712"/>
        <w:rPr>
          <w:color w:val="auto"/>
          <w:highlight w:val="none"/>
        </w:rPr>
      </w:pPr>
      <w:r>
        <w:rPr>
          <w:color w:val="auto"/>
          <w:highlight w:val="none"/>
        </w:rPr>
      </w:r>
      <w:r/>
    </w:p>
    <w:p>
      <w:pPr>
        <w:spacing w:line="360" w:lineRule="auto"/>
        <w:rPr>
          <w:color w:val="auto"/>
          <w:highlight w:val="none"/>
        </w:rPr>
      </w:pPr>
      <w:r>
        <w:rPr>
          <w:rFonts w:hint="eastAsia" w:ascii="黑体" w:hAnsi="黑体" w:eastAsia="黑体" w:cs="宋体"/>
          <w:b/>
          <w:color w:val="auto"/>
          <w:sz w:val="30"/>
          <w:szCs w:val="30"/>
          <w:highlight w:val="none"/>
        </w:rPr>
        <w:t xml:space="preserve">一、采购内容及要求：</w:t>
      </w:r>
      <w:r/>
    </w:p>
    <w:p>
      <w:pPr>
        <w:spacing w:line="360" w:lineRule="auto"/>
        <w:rPr>
          <w:color w:val="auto"/>
          <w:highlight w:val="none"/>
        </w:rPr>
      </w:pPr>
      <w:r>
        <w:rPr>
          <w:rFonts w:hint="eastAsia" w:ascii="黑体" w:hAnsi="黑体" w:eastAsia="黑体" w:cs="宋体"/>
          <w:b/>
          <w:color w:val="auto"/>
          <w:sz w:val="28"/>
          <w:szCs w:val="28"/>
          <w:highlight w:val="none"/>
        </w:rPr>
        <w:t xml:space="preserve">（一）项目背景</w:t>
      </w:r>
      <w:r/>
    </w:p>
    <w:p>
      <w:pPr>
        <w:ind w:firstLine="480"/>
        <w:spacing w:line="360" w:lineRule="auto"/>
        <w:rPr>
          <w:color w:val="auto"/>
          <w:highlight w:val="none"/>
        </w:rPr>
      </w:pPr>
      <w:r>
        <w:rPr>
          <w:rFonts w:hint="eastAsia" w:cs="宋体"/>
          <w:color w:val="auto"/>
          <w:szCs w:val="24"/>
          <w:highlight w:val="none"/>
        </w:rPr>
        <w:t xml:space="preserve">苏州线上教育中心是以“苏州名师全过程全免费”为核心理念，统筹全市名优教师资源并贯通线上线下与课内外的高度信息化、智能化、个性化网络学习平台。中心采用分布式部署，通过手机、个人电脑、平板电脑、电视等多种途径，向全市师生和家长提供名师课程资源、名师网络答疑、名师在线直播、在线学习行为数据分析等4大类教育服务，建成时时处处可学习的课外教学系统，让全市中小学生平等便捷地享受更优质公益在线教育资源。</w:t>
      </w:r>
      <w:r/>
    </w:p>
    <w:p>
      <w:pPr>
        <w:ind w:firstLine="480"/>
        <w:spacing w:line="360" w:lineRule="auto"/>
        <w:rPr>
          <w:color w:val="auto"/>
          <w:highlight w:val="none"/>
        </w:rPr>
      </w:pPr>
      <w:r>
        <w:rPr>
          <w:rFonts w:hint="eastAsia" w:cs="宋体"/>
          <w:color w:val="auto"/>
          <w:szCs w:val="24"/>
          <w:highlight w:val="none"/>
        </w:rPr>
        <w:t xml:space="preserve">同时，线上教育中心平台是结合太仓市学生和家长的实际，为切实减轻作业负担，提升太仓市中小学生学习的效率和质量而做出的落地举措。为进一步推动“双减”政策落地，我市将鼓励更多的学校通过活力课堂资源库、开设针对性教学课程、互动答疑等途径，减少无效刷题和低质量家庭作业，提高学习效率，减轻学生负担。</w:t>
      </w:r>
      <w:r/>
    </w:p>
    <w:p>
      <w:pPr>
        <w:ind w:firstLine="480"/>
        <w:spacing w:line="360" w:lineRule="auto"/>
        <w:rPr>
          <w:color w:val="auto"/>
          <w:highlight w:val="none"/>
        </w:rPr>
      </w:pPr>
      <w:r>
        <w:rPr>
          <w:rFonts w:hint="eastAsia" w:cs="宋体"/>
          <w:color w:val="auto"/>
          <w:szCs w:val="24"/>
          <w:highlight w:val="none"/>
        </w:rPr>
        <w:t xml:space="preserve">太仓市已全面建成智慧教育硬件底座与数字化平台，具备AI课堂评价落地基础，传统人工评价主观性强、评价维度单一、数据碎片化且应用浅层、多场景数据未打通等问题，难以适配区域教育数字化提质与优质均衡发展需求。因此，采购专业化AI课堂评价服务十分必要，可统一全域评价标准与数据口径，实现课堂全流程智能精准评价，以客观数据支撑精准教研与分层教学，打通教学、教研、育人数据壁垒，完善区域智慧教育生态，同时降低教师数字化应用门槛，赋能教师专业能力提升，推动太仓教育信息化从硬件普及向数据赋能、质量提质深度转型升级。</w:t>
      </w:r>
      <w:r/>
    </w:p>
    <w:p>
      <w:pPr>
        <w:ind w:firstLine="480"/>
        <w:spacing w:line="360" w:lineRule="auto"/>
        <w:rPr>
          <w:color w:val="auto"/>
          <w:highlight w:val="none"/>
        </w:rPr>
      </w:pPr>
      <w:r>
        <w:rPr>
          <w:rFonts w:hint="eastAsia" w:cs="宋体"/>
          <w:color w:val="auto"/>
          <w:szCs w:val="24"/>
          <w:highlight w:val="none"/>
        </w:rPr>
        <w:t xml:space="preserve">太仓市已推进学生成长空间建设并且已常态化落地，初步搭建了学生成长空间体系，但目前系统存在成长数据归集维度不全、动态更新不足、素养评价场景覆盖有限、综合研判智能化程度偏低等问题，难以全面、客观、精准呈现学生阶段性成长特质与综合素养发展全貌，无法充分满足新时代五育并举、个性化育人、精准化综合素质评价的工作要求，亟须深化学生成长空间二期体系建设，完善学生综合素质数据归集、报告生成功能，健全科学化、数字化、常态化的学生综合素质评价机制，全面支撑区域学生全面发展与个性化育人工作落地。</w:t>
      </w:r>
      <w:r/>
    </w:p>
    <w:p>
      <w:pPr>
        <w:spacing w:line="360" w:lineRule="auto"/>
        <w:rPr>
          <w:color w:val="auto"/>
          <w:highlight w:val="none"/>
        </w:rPr>
      </w:pPr>
      <w:r>
        <w:rPr>
          <w:rFonts w:hint="eastAsia" w:ascii="黑体" w:hAnsi="黑体" w:eastAsia="黑体" w:cs="宋体"/>
          <w:b/>
          <w:color w:val="auto"/>
          <w:sz w:val="28"/>
          <w:szCs w:val="28"/>
          <w:highlight w:val="none"/>
        </w:rPr>
        <w:t xml:space="preserve">（二）服务范围</w:t>
      </w:r>
      <w:r/>
    </w:p>
    <w:p>
      <w:pPr>
        <w:ind w:firstLine="480"/>
        <w:spacing w:line="360" w:lineRule="auto"/>
        <w:rPr>
          <w:color w:val="auto"/>
          <w:highlight w:val="none"/>
        </w:rPr>
      </w:pPr>
      <w:r>
        <w:rPr>
          <w:rFonts w:hint="eastAsia" w:cs="宋体"/>
          <w:color w:val="auto"/>
          <w:szCs w:val="24"/>
          <w:highlight w:val="none"/>
        </w:rPr>
        <w:t xml:space="preserve">苏州线上教育中心为市、区两级架构，秉承“市级建设、区级应用、各展所长、共建共享”原则，由市教育局统一进行平台的开发与建设，各区级板块进行分布式独立部署，并自成体系独立运行。</w:t>
      </w:r>
      <w:r/>
    </w:p>
    <w:p>
      <w:pPr>
        <w:ind w:firstLine="480"/>
        <w:spacing w:line="360" w:lineRule="auto"/>
        <w:rPr>
          <w:rFonts w:hint="eastAsia" w:cs="宋体"/>
          <w:color w:val="auto"/>
          <w:highlight w:val="none"/>
        </w:rPr>
      </w:pPr>
      <w:r>
        <w:rPr>
          <w:rFonts w:hint="eastAsia" w:cs="宋体"/>
          <w:color w:val="auto"/>
          <w:szCs w:val="24"/>
          <w:highlight w:val="none"/>
        </w:rPr>
        <w:t xml:space="preserve">为保障通过苏州线上教育太仓分中心平台所开展的名师资源共享、名师在线直播、名师在线答疑等活动的顺利进行，同时达到创新教学环境，提高学生学习效率，完善学生成长空间，提高教育公平度，降低获取教育成本的目的，2026年苏州线上教育太仓分中心综合服务主要内容如下：</w:t>
      </w:r>
      <w:r>
        <w:rPr>
          <w:color w:val="auto"/>
          <w:highlight w:val="none"/>
        </w:rPr>
      </w:r>
    </w:p>
    <w:p>
      <w:pPr>
        <w:ind w:firstLine="480"/>
        <w:spacing w:line="360" w:lineRule="auto"/>
        <w:rPr>
          <w:color w:val="auto"/>
          <w:highlight w:val="none"/>
        </w:rPr>
      </w:pPr>
      <w:r>
        <w:rPr>
          <w:rFonts w:hint="eastAsia" w:cs="宋体"/>
          <w:color w:val="auto"/>
          <w:szCs w:val="24"/>
          <w:highlight w:val="none"/>
        </w:rPr>
      </w:r>
      <w:r>
        <w:rPr>
          <w:rFonts w:hint="eastAsia" w:cs="宋体"/>
          <w:color w:val="auto"/>
          <w:szCs w:val="24"/>
          <w:highlight w:val="none"/>
        </w:rPr>
        <w:t xml:space="preserve">1、区域直播推流服务，提供本市教育系统直播服务</w:t>
      </w:r>
      <w:r>
        <w:rPr>
          <w:rFonts w:ascii="FangSong" w:hAnsi="FangSong" w:eastAsia="FangSong" w:cs="FangSong"/>
          <w:color w:val="000000"/>
          <w:sz w:val="24"/>
        </w:rPr>
        <w:t xml:space="preserve">（</w:t>
      </w:r>
      <w:r>
        <w:rPr>
          <w:rFonts w:ascii="FangSong" w:hAnsi="FangSong" w:eastAsia="FangSong" w:cs="FangSong"/>
          <w:b/>
          <w:color w:val="000000"/>
          <w:sz w:val="24"/>
        </w:rPr>
        <w:t xml:space="preserve">本项目涉及的互联网接入服务及CDN分发服务另行采购</w:t>
      </w:r>
      <w:r>
        <w:rPr>
          <w:rFonts w:ascii="FangSong" w:hAnsi="FangSong" w:eastAsia="FangSong" w:cs="FangSong"/>
          <w:color w:val="000000"/>
          <w:sz w:val="24"/>
        </w:rPr>
        <w:t xml:space="preserve">）</w:t>
      </w:r>
      <w:r>
        <w:rPr>
          <w:rFonts w:hint="eastAsia" w:cs="宋体"/>
          <w:color w:val="auto"/>
          <w:szCs w:val="24"/>
          <w:highlight w:val="none"/>
        </w:rPr>
        <w:t xml:space="preserve">；</w:t>
      </w:r>
      <w:r>
        <w:rPr>
          <w:color w:val="auto"/>
          <w:highlight w:val="none"/>
        </w:rPr>
      </w:r>
      <w:r/>
    </w:p>
    <w:p>
      <w:pPr>
        <w:ind w:firstLine="480"/>
        <w:spacing w:line="360" w:lineRule="auto"/>
        <w:rPr>
          <w:color w:val="auto"/>
          <w:highlight w:val="none"/>
        </w:rPr>
      </w:pPr>
      <w:r>
        <w:rPr>
          <w:rFonts w:hint="eastAsia" w:cs="宋体"/>
          <w:color w:val="auto"/>
          <w:szCs w:val="24"/>
          <w:highlight w:val="none"/>
        </w:rPr>
        <w:t xml:space="preserve">2、跟随市级线上教育中心平台的平滑升级；</w:t>
      </w:r>
      <w:r/>
    </w:p>
    <w:p>
      <w:pPr>
        <w:ind w:firstLine="480"/>
        <w:spacing w:line="360" w:lineRule="auto"/>
        <w:rPr>
          <w:color w:val="auto"/>
          <w:highlight w:val="none"/>
        </w:rPr>
      </w:pPr>
      <w:r>
        <w:rPr>
          <w:rFonts w:hint="eastAsia" w:cs="宋体"/>
          <w:color w:val="auto"/>
          <w:szCs w:val="24"/>
          <w:highlight w:val="none"/>
        </w:rPr>
        <w:t xml:space="preserve">3、AI课堂评价服务；</w:t>
      </w:r>
      <w:r/>
    </w:p>
    <w:p>
      <w:pPr>
        <w:ind w:firstLine="480"/>
        <w:spacing w:line="360" w:lineRule="auto"/>
        <w:rPr>
          <w:color w:val="auto"/>
          <w:highlight w:val="none"/>
        </w:rPr>
      </w:pPr>
      <w:r>
        <w:rPr>
          <w:rFonts w:hint="eastAsia" w:cs="宋体"/>
          <w:color w:val="auto"/>
          <w:szCs w:val="24"/>
          <w:highlight w:val="none"/>
        </w:rPr>
        <w:t xml:space="preserve">4、技术运维服务；</w:t>
      </w:r>
      <w:r/>
    </w:p>
    <w:p>
      <w:pPr>
        <w:ind w:firstLine="480"/>
        <w:spacing w:line="360" w:lineRule="auto"/>
        <w:rPr>
          <w:color w:val="auto"/>
          <w:highlight w:val="none"/>
        </w:rPr>
      </w:pPr>
      <w:r>
        <w:rPr>
          <w:rFonts w:hint="eastAsia" w:cs="宋体"/>
          <w:color w:val="auto"/>
          <w:szCs w:val="24"/>
          <w:highlight w:val="none"/>
        </w:rPr>
        <w:t xml:space="preserve">5、客服服务；</w:t>
      </w:r>
      <w:r/>
    </w:p>
    <w:p>
      <w:pPr>
        <w:ind w:firstLine="480"/>
        <w:spacing w:line="360" w:lineRule="auto"/>
        <w:rPr>
          <w:color w:val="auto"/>
          <w:highlight w:val="none"/>
        </w:rPr>
      </w:pPr>
      <w:r>
        <w:rPr>
          <w:rFonts w:hint="eastAsia" w:cs="宋体"/>
          <w:color w:val="auto"/>
          <w:szCs w:val="24"/>
          <w:highlight w:val="none"/>
        </w:rPr>
        <w:t xml:space="preserve">6、宣传推广服务；</w:t>
      </w:r>
      <w:r/>
    </w:p>
    <w:p>
      <w:pPr>
        <w:ind w:firstLine="480"/>
        <w:spacing w:line="360" w:lineRule="auto"/>
        <w:rPr>
          <w:color w:val="auto"/>
          <w:highlight w:val="none"/>
        </w:rPr>
      </w:pPr>
      <w:r>
        <w:rPr>
          <w:rFonts w:hint="eastAsia" w:cs="宋体"/>
          <w:color w:val="auto"/>
          <w:szCs w:val="24"/>
          <w:highlight w:val="none"/>
        </w:rPr>
        <w:t xml:space="preserve">7、学生成长空间二期定制化升级服务；</w:t>
      </w:r>
      <w:r/>
    </w:p>
    <w:p>
      <w:pPr>
        <w:spacing w:line="360" w:lineRule="auto"/>
        <w:rPr>
          <w:color w:val="auto"/>
          <w:highlight w:val="none"/>
        </w:rPr>
      </w:pPr>
      <w:r>
        <w:rPr>
          <w:rFonts w:hint="eastAsia" w:ascii="黑体" w:hAnsi="黑体" w:eastAsia="黑体" w:cs="宋体"/>
          <w:b/>
          <w:color w:val="auto"/>
          <w:sz w:val="28"/>
          <w:szCs w:val="28"/>
          <w:highlight w:val="none"/>
        </w:rPr>
        <w:t xml:space="preserve">（三）项目建设需求</w:t>
      </w:r>
      <w:r/>
    </w:p>
    <w:p>
      <w:pPr>
        <w:ind w:firstLine="480"/>
        <w:spacing w:line="360" w:lineRule="auto"/>
        <w:rPr>
          <w:color w:val="auto"/>
          <w:highlight w:val="none"/>
        </w:rPr>
      </w:pPr>
      <w:r>
        <w:rPr>
          <w:rFonts w:hint="eastAsia" w:cs="宋体"/>
          <w:color w:val="auto"/>
          <w:szCs w:val="24"/>
          <w:highlight w:val="none"/>
        </w:rPr>
        <w:t xml:space="preserve">1、区域直播推流服务，提供本市教育系统直播服务；</w:t>
      </w:r>
      <w:r/>
    </w:p>
    <w:p>
      <w:pPr>
        <w:ind w:firstLine="480"/>
        <w:spacing w:line="360" w:lineRule="auto"/>
        <w:rPr>
          <w:color w:val="auto"/>
          <w:highlight w:val="none"/>
        </w:rPr>
      </w:pPr>
      <w:r>
        <w:rPr>
          <w:rFonts w:hint="eastAsia" w:cs="宋体"/>
          <w:color w:val="auto"/>
          <w:szCs w:val="24"/>
          <w:highlight w:val="none"/>
        </w:rPr>
        <w:t xml:space="preserve">目前太仓市线上教育中心内有10万余有效用户，根据调查结果显示，98.</w:t>
      </w:r>
      <w:r>
        <w:rPr>
          <w:rFonts w:cs="宋体"/>
          <w:color w:val="auto"/>
          <w:szCs w:val="24"/>
          <w:highlight w:val="none"/>
        </w:rPr>
        <w:t xml:space="preserve">6</w:t>
      </w:r>
      <w:r>
        <w:rPr>
          <w:rFonts w:hint="eastAsia" w:cs="宋体"/>
          <w:color w:val="auto"/>
          <w:szCs w:val="24"/>
          <w:highlight w:val="none"/>
        </w:rPr>
        <w:t xml:space="preserve">%的受访学生参加在线学习，根据苏州市教育局推广应用要求标准，太仓计划采购同时支持300人峰值的在线直播推流服务。主要用于本区域学生参与市级直播课程，组织本区域直播课程，组织学校内部直播课程等提供支撑，为太仓市线上教育中心更深层次的应用提供保障。</w:t>
      </w:r>
      <w:r/>
    </w:p>
    <w:p>
      <w:pPr>
        <w:ind w:firstLine="480"/>
        <w:spacing w:line="360" w:lineRule="auto"/>
        <w:rPr>
          <w:color w:val="auto"/>
          <w:highlight w:val="none"/>
        </w:rPr>
      </w:pPr>
      <w:r>
        <w:rPr>
          <w:rFonts w:hint="eastAsia" w:cs="宋体"/>
          <w:color w:val="auto"/>
          <w:szCs w:val="24"/>
          <w:highlight w:val="none"/>
        </w:rPr>
        <w:t xml:space="preserve">采用互联网直播方式，提供对名师任意时间、任意地点直播讲课的支持，支持教师直播端基于家庭宽带的直播，支持苏州地区常见的运营商，包括：</w:t>
      </w:r>
      <w:r/>
    </w:p>
    <w:p>
      <w:pPr>
        <w:ind w:firstLine="480"/>
        <w:spacing w:line="360" w:lineRule="auto"/>
        <w:rPr>
          <w:color w:val="auto"/>
          <w:highlight w:val="none"/>
        </w:rPr>
      </w:pPr>
      <w:r>
        <w:rPr>
          <w:rFonts w:hint="eastAsia" w:cs="宋体"/>
          <w:color w:val="auto"/>
          <w:szCs w:val="24"/>
          <w:highlight w:val="none"/>
        </w:rPr>
        <w:t xml:space="preserve">①支持电信宽带</w:t>
      </w:r>
      <w:r/>
    </w:p>
    <w:p>
      <w:pPr>
        <w:ind w:firstLine="480"/>
        <w:spacing w:line="360" w:lineRule="auto"/>
        <w:rPr>
          <w:color w:val="auto"/>
          <w:highlight w:val="none"/>
        </w:rPr>
      </w:pPr>
      <w:r>
        <w:rPr>
          <w:rFonts w:hint="eastAsia" w:cs="宋体"/>
          <w:color w:val="auto"/>
          <w:szCs w:val="24"/>
          <w:highlight w:val="none"/>
        </w:rPr>
        <w:t xml:space="preserve">②支持联通宽带</w:t>
      </w:r>
      <w:r/>
    </w:p>
    <w:p>
      <w:pPr>
        <w:ind w:firstLine="480"/>
        <w:spacing w:line="360" w:lineRule="auto"/>
        <w:rPr>
          <w:color w:val="auto"/>
          <w:highlight w:val="none"/>
        </w:rPr>
      </w:pPr>
      <w:r>
        <w:rPr>
          <w:rFonts w:hint="eastAsia" w:cs="宋体"/>
          <w:color w:val="auto"/>
          <w:szCs w:val="24"/>
          <w:highlight w:val="none"/>
        </w:rPr>
        <w:t xml:space="preserve">③支持移动宽带</w:t>
      </w:r>
      <w:r/>
    </w:p>
    <w:p>
      <w:pPr>
        <w:ind w:firstLine="480"/>
        <w:spacing w:line="360" w:lineRule="auto"/>
        <w:rPr>
          <w:color w:val="auto"/>
          <w:highlight w:val="none"/>
        </w:rPr>
      </w:pPr>
      <w:r>
        <w:rPr>
          <w:rFonts w:hint="eastAsia" w:cs="宋体"/>
          <w:color w:val="auto"/>
          <w:szCs w:val="24"/>
          <w:highlight w:val="none"/>
        </w:rPr>
        <w:t xml:space="preserve">直播观看客户端支持使用网页，也支持客户端定制化开发，客户端网络支持苏州地区常见的运营商，包括：</w:t>
      </w:r>
      <w:r/>
    </w:p>
    <w:p>
      <w:pPr>
        <w:ind w:firstLine="480"/>
        <w:spacing w:line="360" w:lineRule="auto"/>
        <w:rPr>
          <w:color w:val="auto"/>
          <w:highlight w:val="none"/>
        </w:rPr>
      </w:pPr>
      <w:r>
        <w:rPr>
          <w:rFonts w:hint="eastAsia" w:cs="宋体"/>
          <w:color w:val="auto"/>
          <w:szCs w:val="24"/>
          <w:highlight w:val="none"/>
        </w:rPr>
        <w:t xml:space="preserve">①支持电信宽带</w:t>
      </w:r>
      <w:r/>
    </w:p>
    <w:p>
      <w:pPr>
        <w:ind w:firstLine="480"/>
        <w:spacing w:line="360" w:lineRule="auto"/>
        <w:rPr>
          <w:color w:val="auto"/>
          <w:highlight w:val="none"/>
        </w:rPr>
      </w:pPr>
      <w:r>
        <w:rPr>
          <w:rFonts w:hint="eastAsia" w:cs="宋体"/>
          <w:color w:val="auto"/>
          <w:szCs w:val="24"/>
          <w:highlight w:val="none"/>
        </w:rPr>
        <w:t xml:space="preserve">②支持联通宽带</w:t>
      </w:r>
      <w:r/>
    </w:p>
    <w:p>
      <w:pPr>
        <w:ind w:firstLine="480"/>
        <w:spacing w:line="360" w:lineRule="auto"/>
        <w:rPr>
          <w:color w:val="auto"/>
          <w:highlight w:val="none"/>
        </w:rPr>
      </w:pPr>
      <w:r>
        <w:rPr>
          <w:rFonts w:hint="eastAsia" w:cs="宋体"/>
          <w:color w:val="auto"/>
          <w:szCs w:val="24"/>
          <w:highlight w:val="none"/>
        </w:rPr>
        <w:t xml:space="preserve">③支持移动宽带</w:t>
      </w:r>
      <w:r/>
    </w:p>
    <w:p>
      <w:pPr>
        <w:ind w:firstLine="480"/>
        <w:spacing w:line="360" w:lineRule="auto"/>
        <w:rPr>
          <w:rFonts w:hint="eastAsia" w:cs="宋体"/>
          <w:color w:val="auto"/>
          <w:highlight w:val="none"/>
        </w:rPr>
      </w:pPr>
      <w:r>
        <w:rPr>
          <w:rFonts w:hint="eastAsia" w:cs="宋体"/>
          <w:color w:val="auto"/>
          <w:szCs w:val="24"/>
          <w:highlight w:val="none"/>
        </w:rPr>
        <w:t xml:space="preserve">使用的第三方底层直播推流服务需与当前太仓市线上教育中心及市级线上教育中心直播功能模块深入打通，包括直播的创建、编辑、直播的状态、直播观看的页面对接、移动端SDK的接入与联调、直播管理、审核、直播巡视员管理等的设置，以及各维度统计数据的对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FangSong" w:hAnsi="FangSong" w:eastAsia="FangSong" w:cs="FangSong"/>
          <w:b/>
          <w:color w:val="000000"/>
          <w:sz w:val="24"/>
        </w:rPr>
        <w:t xml:space="preserve">注：</w:t>
      </w:r>
      <w:r>
        <w:rPr>
          <w:rFonts w:ascii="KaiTi" w:hAnsi="KaiTi" w:eastAsia="KaiTi" w:cs="KaiTi"/>
          <w:color w:val="000000"/>
          <w:sz w:val="28"/>
        </w:rPr>
        <w:t xml:space="preserve">★ </w:t>
      </w:r>
      <w:r>
        <w:rPr>
          <w:rFonts w:ascii="FangSong" w:hAnsi="FangSong" w:eastAsia="FangSong" w:cs="FangSong"/>
          <w:b/>
          <w:color w:val="000000"/>
          <w:sz w:val="24"/>
        </w:rPr>
        <w:t xml:space="preserve">本项目涉及的互联网接入服务及内容分发服务另行采购，项目供应商须承诺能够与采购人已采购的 CDN 分发业务完成对接适配，合同签订5个工作日内完成直播应用与现有 CDN 分发服务之间的接口开发、联调适配工作。提供承诺函格式自拟，否则视为无效投标</w:t>
      </w:r>
      <w:r>
        <w:rPr>
          <w:rFonts w:ascii="FangSong" w:hAnsi="FangSong" w:eastAsia="FangSong" w:cs="FangSong"/>
          <w:color w:val="000000"/>
          <w:sz w:val="24"/>
        </w:rPr>
        <w:t xml:space="preserve">）</w:t>
      </w:r>
      <w:r/>
      <w:r>
        <w:rPr>
          <w:rFonts w:hint="eastAsia" w:cs="宋体"/>
          <w:color w:val="auto"/>
          <w:szCs w:val="24"/>
          <w:highlight w:val="none"/>
        </w:rPr>
      </w:r>
      <w:r>
        <w:rPr>
          <w:rFonts w:hint="eastAsia" w:cs="宋体"/>
          <w:color w:val="auto"/>
          <w:szCs w:val="24"/>
          <w:highlight w:val="none"/>
        </w:rPr>
      </w:r>
      <w:r>
        <w:rPr>
          <w:rFonts w:ascii="KaiTi" w:hAnsi="KaiTi" w:eastAsia="KaiTi" w:cs="KaiTi"/>
          <w:sz w:val="28"/>
        </w:rPr>
      </w:r>
    </w:p>
    <w:p>
      <w:pPr>
        <w:ind w:firstLine="480"/>
        <w:spacing w:line="360" w:lineRule="auto"/>
        <w:rPr>
          <w:color w:val="auto"/>
          <w:highlight w:val="none"/>
        </w:rPr>
      </w:pPr>
      <w:r>
        <w:rPr>
          <w:rFonts w:hint="eastAsia" w:cs="宋体"/>
          <w:color w:val="auto"/>
          <w:szCs w:val="24"/>
          <w:highlight w:val="none"/>
        </w:rPr>
        <w:t xml:space="preserve">2、太仓线上教育平台跟随市级升级服务</w:t>
      </w:r>
      <w:r/>
    </w:p>
    <w:p>
      <w:pPr>
        <w:ind w:firstLine="480"/>
        <w:spacing w:line="360" w:lineRule="auto"/>
        <w:rPr>
          <w:color w:val="auto"/>
          <w:highlight w:val="none"/>
        </w:rPr>
      </w:pPr>
      <w:r>
        <w:rPr>
          <w:rFonts w:hint="eastAsia" w:cs="宋体"/>
          <w:color w:val="auto"/>
          <w:szCs w:val="24"/>
          <w:highlight w:val="none"/>
        </w:rPr>
        <w:t xml:space="preserve">苏州线上教育中心还在不断的迭代开发，服务期间需跟随市级平台同步升级，每次升级需要实现不停服务更新，系统升级频次和时间应依据具体需求灵活变更。2023年，通过系统补丁的形式进行局部功能更新40次。2024年，通过系统补丁的形式进行局部功能更新50次。2025年，通过系统补丁的形式进行局部功能更新45次。2026年，截止8月底，通过系统补丁的形式进行局部功能更新20次。本项目服务期内用户无感知平台升级次数、通过系统补丁的形式进行局部功能更新次数以2021年度至2026年度工作量为参考，预计不低于往年频次。</w:t>
      </w:r>
      <w:r/>
    </w:p>
    <w:p>
      <w:pPr>
        <w:ind w:firstLine="480"/>
        <w:spacing w:line="360" w:lineRule="auto"/>
        <w:rPr>
          <w:color w:val="auto"/>
          <w:highlight w:val="none"/>
        </w:rPr>
      </w:pPr>
      <w:r>
        <w:rPr>
          <w:rFonts w:hint="eastAsia" w:cs="宋体"/>
          <w:color w:val="auto"/>
          <w:szCs w:val="24"/>
          <w:highlight w:val="none"/>
        </w:rPr>
        <w:t xml:space="preserve">每次升级涉及到PC网页端，iOS平板教师端，iOS平板学生端，iOS手机教师端，iOS手机学生端，Android平板教师端，Android平板学生端，Android手机学生端，Android手机教师端。</w:t>
      </w:r>
      <w:r/>
    </w:p>
    <w:p>
      <w:pPr>
        <w:ind w:firstLine="480"/>
        <w:spacing w:line="360" w:lineRule="auto"/>
        <w:rPr>
          <w:color w:val="auto"/>
          <w:highlight w:val="none"/>
        </w:rPr>
      </w:pPr>
      <w:r>
        <w:rPr>
          <w:rFonts w:hint="eastAsia" w:cs="宋体"/>
          <w:color w:val="auto"/>
          <w:szCs w:val="24"/>
          <w:highlight w:val="none"/>
        </w:rPr>
        <w:t xml:space="preserve">升级后，需要及时对各终端各模块进行功能验证，验证的终端，包括PC网页端，iOS平板教师端，iOS平板学生端，iOS手机教师端，iOS手机学生端，Android平板教师端，Android平板学生端，Android手机学生、Android手机教师端。验证的模块包括登录，直播，资源，答疑，作业，课程等，全功能验证，确保上线的功能准确无误。</w:t>
      </w:r>
      <w:r/>
    </w:p>
    <w:p>
      <w:pPr>
        <w:ind w:firstLine="480"/>
        <w:spacing w:line="360" w:lineRule="auto"/>
        <w:rPr>
          <w:color w:val="auto"/>
          <w:highlight w:val="none"/>
        </w:rPr>
      </w:pPr>
      <w:r>
        <w:rPr>
          <w:rFonts w:hint="eastAsia" w:cs="宋体"/>
          <w:color w:val="auto"/>
          <w:szCs w:val="24"/>
          <w:highlight w:val="none"/>
        </w:rPr>
        <w:t xml:space="preserve">具体工作内容：</w:t>
      </w:r>
      <w:r/>
    </w:p>
    <w:p>
      <w:pPr>
        <w:ind w:firstLine="480"/>
        <w:spacing w:line="360" w:lineRule="auto"/>
        <w:rPr>
          <w:color w:val="auto"/>
          <w:highlight w:val="none"/>
        </w:rPr>
      </w:pPr>
      <w:r>
        <w:rPr>
          <w:rFonts w:hint="eastAsia" w:cs="宋体"/>
          <w:color w:val="auto"/>
          <w:szCs w:val="24"/>
          <w:highlight w:val="none"/>
        </w:rPr>
        <w:t xml:space="preserve">①平台升级协调，通知管理：随着市级平台的不断迭代，为确保分中心能正常使用，需要停机升级，停机前，平台上会挂出公告提前通知用户；</w:t>
      </w:r>
      <w:r/>
    </w:p>
    <w:p>
      <w:pPr>
        <w:ind w:firstLine="480"/>
        <w:spacing w:line="360" w:lineRule="auto"/>
        <w:rPr>
          <w:color w:val="auto"/>
          <w:highlight w:val="none"/>
        </w:rPr>
      </w:pPr>
      <w:r>
        <w:rPr>
          <w:rFonts w:hint="eastAsia" w:cs="宋体"/>
          <w:color w:val="auto"/>
          <w:szCs w:val="24"/>
          <w:highlight w:val="none"/>
        </w:rPr>
        <w:t xml:space="preserve">②版本升级与调试：停机后，由于涉及到几十台服务器进行调整，需要对每台服务器进行服务的更新及配置修改调整；</w:t>
      </w:r>
      <w:r/>
    </w:p>
    <w:p>
      <w:pPr>
        <w:ind w:firstLine="480"/>
        <w:spacing w:line="360" w:lineRule="auto"/>
        <w:rPr>
          <w:color w:val="auto"/>
          <w:highlight w:val="none"/>
        </w:rPr>
      </w:pPr>
      <w:r>
        <w:rPr>
          <w:rFonts w:hint="eastAsia" w:cs="宋体"/>
          <w:color w:val="auto"/>
          <w:szCs w:val="24"/>
          <w:highlight w:val="none"/>
        </w:rPr>
        <w:t xml:space="preserve">③新版功能验证与修改：根据升级流程进行操作，运维人员更新服务，测试人员验证功能，发现问题，由开发人员进行及时修改调整，确保升级后系统功能正常使用；</w:t>
      </w:r>
      <w:r/>
    </w:p>
    <w:p>
      <w:pPr>
        <w:ind w:firstLine="480"/>
        <w:spacing w:line="360" w:lineRule="auto"/>
        <w:rPr>
          <w:color w:val="auto"/>
          <w:highlight w:val="none"/>
        </w:rPr>
      </w:pPr>
      <w:r>
        <w:rPr>
          <w:rFonts w:hint="eastAsia" w:cs="宋体"/>
          <w:color w:val="auto"/>
          <w:szCs w:val="24"/>
          <w:highlight w:val="none"/>
        </w:rPr>
        <w:t xml:space="preserve">④上线后的紧急应对：升级后的新功能，需做好应对措施，如出现版本紧急退回，同时包括通知用户，功能讲解与培训，用户手册的修正等。</w:t>
      </w:r>
      <w:r/>
    </w:p>
    <w:p>
      <w:pPr>
        <w:ind w:firstLine="480"/>
        <w:spacing w:line="360" w:lineRule="auto"/>
        <w:rPr>
          <w:color w:val="auto"/>
          <w:highlight w:val="none"/>
        </w:rPr>
      </w:pPr>
      <w:r>
        <w:rPr>
          <w:rFonts w:hint="eastAsia" w:cs="宋体"/>
          <w:color w:val="auto"/>
          <w:szCs w:val="24"/>
          <w:highlight w:val="none"/>
        </w:rPr>
        <w:t xml:space="preserve">3、AI课堂评价服务</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1)教学设计分析</w:t>
      </w:r>
      <w:r/>
    </w:p>
    <w:p>
      <w:pPr>
        <w:ind w:firstLine="480"/>
        <w:spacing w:line="360" w:lineRule="auto"/>
        <w:rPr>
          <w:color w:val="auto"/>
          <w:highlight w:val="none"/>
        </w:rPr>
      </w:pPr>
      <w:r>
        <w:rPr>
          <w:rFonts w:hint="eastAsia" w:cs="宋体"/>
          <w:color w:val="auto"/>
          <w:szCs w:val="24"/>
          <w:highlight w:val="none"/>
        </w:rPr>
        <w:t xml:space="preserve">教学设计分析通过理解教学内容与教学法、理解学生、设计学习目标、选择学习资源等维度对教师教学设计能力进行分析。每个能力分析维度支持提供个性化的评价理由、建议及设计示例。可根据师生在课堂的各项表现时长、次数，以及数据间的交叉关联等识别出课堂风格，如：教师主导型、师生互动型、自主探究型等。</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2)教学目标达成分析</w:t>
      </w:r>
      <w:r/>
    </w:p>
    <w:p>
      <w:pPr>
        <w:ind w:firstLine="480"/>
        <w:spacing w:line="360" w:lineRule="auto"/>
        <w:rPr>
          <w:color w:val="auto"/>
          <w:highlight w:val="none"/>
        </w:rPr>
      </w:pPr>
      <w:r>
        <w:rPr>
          <w:rFonts w:hint="eastAsia" w:cs="宋体"/>
          <w:color w:val="auto"/>
          <w:szCs w:val="24"/>
          <w:highlight w:val="none"/>
        </w:rPr>
        <w:t xml:space="preserve">教学目标达成分析通过教学目标合理性、教学过程与方法、教学评价落实等维度对于教学目标达成情况进行分析，并提供个性化的分析结论和建议。</w:t>
      </w:r>
      <w:r/>
    </w:p>
    <w:p>
      <w:pPr>
        <w:ind w:firstLine="480"/>
        <w:spacing w:line="360" w:lineRule="auto"/>
        <w:rPr>
          <w:color w:val="auto"/>
          <w:highlight w:val="none"/>
        </w:rPr>
      </w:pPr>
      <w:r>
        <w:rPr>
          <w:rFonts w:hint="eastAsia" w:cs="宋体"/>
          <w:color w:val="auto"/>
          <w:szCs w:val="24"/>
          <w:highlight w:val="none"/>
        </w:rPr>
        <w:t xml:space="preserve">提供教师教学目标合理性分析，需包含课标、教材、学生学情等分析内容。</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3)课程问题链设计推荐</w:t>
      </w:r>
      <w:r/>
    </w:p>
    <w:p>
      <w:pPr>
        <w:ind w:firstLine="480"/>
        <w:spacing w:line="360" w:lineRule="auto"/>
        <w:rPr>
          <w:color w:val="auto"/>
          <w:highlight w:val="none"/>
        </w:rPr>
      </w:pPr>
      <w:r>
        <w:rPr>
          <w:rFonts w:hint="eastAsia" w:cs="宋体"/>
          <w:color w:val="auto"/>
          <w:szCs w:val="24"/>
          <w:highlight w:val="none"/>
        </w:rPr>
        <w:t xml:space="preserve">课程问题链设计推荐支持根据教师教学设计内容，自动生成相关问题链设计思路，可自动分析出教师设计中主问题，并支持根据系统生成的问题链设计思路进行问题链设计合理性评估，问题链逻辑关系和递进性分析，问题链设计综合建议等内容供教师参考。</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4)教学设计与课堂实施相关度分析</w:t>
      </w:r>
      <w:r/>
    </w:p>
    <w:p>
      <w:pPr>
        <w:ind w:firstLine="480"/>
        <w:spacing w:line="360" w:lineRule="auto"/>
        <w:rPr>
          <w:color w:val="auto"/>
          <w:highlight w:val="none"/>
        </w:rPr>
      </w:pPr>
      <w:r>
        <w:rPr>
          <w:rFonts w:hint="eastAsia" w:cs="宋体"/>
          <w:color w:val="auto"/>
          <w:szCs w:val="24"/>
          <w:highlight w:val="none"/>
        </w:rPr>
        <w:t xml:space="preserve">提供教学设计与课堂实施相关度分析，支持自动识别切分教师教学设计中的教学设计步骤，并分析出每个教学环节的相关百分比，可通过时间轴的形式展示出教师课堂实施相关环节的相关度、参与度、起止时间、执行时长、语音转录摘要等内容，并可得出课堂教学实施情况百分比。</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5)学生参与度与教学结构关联分析</w:t>
      </w:r>
      <w:r/>
    </w:p>
    <w:p>
      <w:pPr>
        <w:ind w:firstLine="480"/>
        <w:spacing w:line="360" w:lineRule="auto"/>
        <w:rPr>
          <w:color w:val="auto"/>
          <w:highlight w:val="none"/>
        </w:rPr>
      </w:pPr>
      <w:r>
        <w:rPr>
          <w:rFonts w:hint="eastAsia" w:cs="宋体"/>
          <w:color w:val="auto"/>
          <w:szCs w:val="24"/>
          <w:highlight w:val="none"/>
        </w:rPr>
        <w:t xml:space="preserve">提供学生参与度与教学结构关联分析，支持通过折线图的方式交叉分析学生参与度和抬头度对应的课堂活动情况及发生时间点，可根据时间点进行课堂片段回顾，并支持提供诊断说明。</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6)学生学习行为数据分析</w:t>
      </w:r>
      <w:r/>
    </w:p>
    <w:p>
      <w:pPr>
        <w:ind w:firstLine="480"/>
        <w:spacing w:line="360" w:lineRule="auto"/>
        <w:rPr>
          <w:color w:val="auto"/>
          <w:highlight w:val="none"/>
        </w:rPr>
      </w:pPr>
      <w:r>
        <w:rPr>
          <w:rFonts w:hint="eastAsia" w:cs="宋体"/>
          <w:color w:val="auto"/>
          <w:szCs w:val="24"/>
          <w:highlight w:val="none"/>
        </w:rPr>
        <w:t xml:space="preserve">依据AI分析能力，识别出在课堂中学生主动学习和被动学习行为时间及百分比情况，其中学生主动学习需包括学生反馈、合作学习、自主学习、展示汇报等维度；被动学习需包含：学生听讲、教师主导等分析维度。支持通过环形图的形式显示各分类行为的总体实施时间和占比情况。</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7)学生学习深度数据分析</w:t>
      </w:r>
      <w:r/>
    </w:p>
    <w:p>
      <w:pPr>
        <w:ind w:firstLine="480"/>
        <w:spacing w:line="360" w:lineRule="auto"/>
        <w:rPr>
          <w:color w:val="auto"/>
          <w:highlight w:val="none"/>
        </w:rPr>
      </w:pPr>
      <w:r>
        <w:rPr>
          <w:rFonts w:hint="eastAsia" w:cs="宋体"/>
          <w:color w:val="auto"/>
          <w:szCs w:val="24"/>
          <w:highlight w:val="none"/>
        </w:rPr>
        <w:t xml:space="preserve">依据DOK理论统计各等级学生学习深度数据的分布次数与占比，并支持汇总统计出浅层学习和深度学习的次数和占比；可支持通过学习任务起止时间，学习任务，学习任务描述，学习任务设计等级，学习任务执行要求，学习任务实际执行情况，学习任务执行建议等维度查看统计汇总的学生学习深度数据详情。</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8)课堂师生问答评价统计</w:t>
      </w:r>
      <w:r/>
    </w:p>
    <w:p>
      <w:pPr>
        <w:ind w:firstLine="480"/>
        <w:spacing w:line="360" w:lineRule="auto"/>
        <w:rPr>
          <w:color w:val="auto"/>
          <w:highlight w:val="none"/>
        </w:rPr>
      </w:pPr>
      <w:r>
        <w:rPr>
          <w:rFonts w:hint="eastAsia" w:cs="宋体"/>
          <w:color w:val="auto"/>
          <w:szCs w:val="24"/>
          <w:highlight w:val="none"/>
        </w:rPr>
        <w:t xml:space="preserve">提供学生个体回答思考时长统计，支持按照高阶思维问题和初阶思维问题的维度查看学生的平均思考时长。通过IRE理论，对于课堂上教师与学生个体问答的问题数据进行统计分析，并通过教师提问、学生个体应答、教师反馈、是否追问/反问、无反馈等维度查看学生应对思考数据详情。</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9)教学结构分析</w:t>
      </w:r>
      <w:r/>
    </w:p>
    <w:p>
      <w:pPr>
        <w:ind w:firstLine="480"/>
        <w:spacing w:line="360" w:lineRule="auto"/>
        <w:rPr>
          <w:color w:val="auto"/>
          <w:highlight w:val="none"/>
        </w:rPr>
      </w:pPr>
      <w:r>
        <w:rPr>
          <w:rFonts w:hint="eastAsia" w:cs="宋体"/>
          <w:color w:val="auto"/>
          <w:szCs w:val="24"/>
          <w:highlight w:val="none"/>
        </w:rPr>
        <w:t xml:space="preserve">按照教师讲授、师生互动、合作学习、自主学习、展示汇报等课堂教学活动分类进行教学结构分析统计，并可按照时序图进行展示，点击相应行为切片可定位展示对应的视频片段。</w:t>
      </w:r>
      <w:r/>
    </w:p>
    <w:p>
      <w:pPr>
        <w:ind w:firstLine="480"/>
        <w:spacing w:line="360" w:lineRule="auto"/>
        <w:rPr>
          <w:color w:val="auto"/>
          <w:highlight w:val="none"/>
        </w:rPr>
      </w:pPr>
      <w:r>
        <w:rPr>
          <w:rFonts w:hint="eastAsia" w:cs="宋体"/>
          <w:color w:val="auto"/>
          <w:szCs w:val="24"/>
          <w:highlight w:val="none"/>
        </w:rPr>
        <w:t xml:space="preserve">对于教学结构时长分布进行统计，支持按照教师讲授、师生互动、合作学习、自主学习、展示汇报及其他等分类通过圆环图的形式展示各分类时长及占比情况，并支持点击对应分类查看该分类的视频切片。</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10)教学步态与教学活动</w:t>
      </w:r>
      <w:r/>
    </w:p>
    <w:p>
      <w:pPr>
        <w:ind w:firstLine="480"/>
        <w:spacing w:line="360" w:lineRule="auto"/>
        <w:rPr>
          <w:color w:val="auto"/>
          <w:highlight w:val="none"/>
        </w:rPr>
      </w:pPr>
      <w:r>
        <w:rPr>
          <w:rFonts w:hint="eastAsia" w:cs="宋体"/>
          <w:color w:val="auto"/>
          <w:szCs w:val="24"/>
          <w:highlight w:val="none"/>
        </w:rPr>
        <w:t xml:space="preserve">提供热力图查看教师步态与教学活动情况，可查看教师在课堂的活动区域及对应的课堂活动类型。并支持统计显示教师在课堂上讲台区域停留时长、教师巡视时长、教师在学生区域停留时长等信息。</w:t>
      </w:r>
      <w:r/>
    </w:p>
    <w:p>
      <w:pPr>
        <w:ind w:firstLine="480"/>
        <w:spacing w:line="360" w:lineRule="auto"/>
        <w:rPr>
          <w:color w:val="auto"/>
          <w:highlight w:val="none"/>
        </w:rPr>
      </w:pPr>
      <w:r>
        <w:rPr>
          <w:rFonts w:hint="eastAsia" w:cs="宋体"/>
          <w:color w:val="auto"/>
          <w:szCs w:val="24"/>
          <w:highlight w:val="none"/>
          <w:lang w:val="en-US" w:eastAsia="zh-CN"/>
        </w:rPr>
        <w:t xml:space="preserve">(</w:t>
      </w:r>
      <w:r>
        <w:rPr>
          <w:rFonts w:hint="eastAsia" w:cs="宋体"/>
          <w:color w:val="auto"/>
          <w:szCs w:val="24"/>
          <w:highlight w:val="none"/>
        </w:rPr>
        <w:t xml:space="preserve">11)课堂问答分析</w:t>
      </w:r>
      <w:r/>
    </w:p>
    <w:p>
      <w:pPr>
        <w:ind w:firstLine="480"/>
        <w:spacing w:line="360" w:lineRule="auto"/>
        <w:rPr>
          <w:color w:val="auto"/>
          <w:highlight w:val="none"/>
        </w:rPr>
      </w:pPr>
      <w:r>
        <w:rPr>
          <w:rFonts w:hint="eastAsia" w:cs="宋体"/>
          <w:color w:val="auto"/>
          <w:szCs w:val="24"/>
          <w:highlight w:val="none"/>
        </w:rPr>
        <w:t xml:space="preserve">依据布鲁姆教学目标分层理论，按照记忆-理解-应用-分析-评价-创新等分类按照对教师课堂提问进行统计并以不同颜色进行展示，并可显示各分类问题的提问次数；支持将各分类按照初阶思维和高阶思维问题的维度进行统计，并展示初/高阶思维问题的次数和占比，并提供诊断说明。可按折线图的方式，按照布鲁姆教学目标分层理论所标注的每个课堂问题的提问时间和内容，每个问题所标注的颜色支持课堂提问统计所标注的各问题颜色相对应，点击可回溯各问题的视频切片。</w:t>
      </w:r>
      <w:r/>
    </w:p>
    <w:p>
      <w:pPr>
        <w:ind w:firstLine="480"/>
        <w:spacing w:line="360" w:lineRule="auto"/>
        <w:rPr>
          <w:color w:val="auto"/>
          <w:highlight w:val="none"/>
        </w:rPr>
      </w:pPr>
      <w:r>
        <w:rPr>
          <w:rFonts w:hint="eastAsia" w:cs="宋体"/>
          <w:color w:val="auto"/>
          <w:szCs w:val="24"/>
          <w:highlight w:val="none"/>
        </w:rPr>
        <w:t xml:space="preserve">4、技术运维服务</w:t>
      </w:r>
      <w:r/>
    </w:p>
    <w:p>
      <w:pPr>
        <w:ind w:firstLine="480"/>
        <w:spacing w:line="360" w:lineRule="auto"/>
        <w:rPr>
          <w:color w:val="auto"/>
          <w:highlight w:val="none"/>
        </w:rPr>
      </w:pPr>
      <w:r>
        <w:rPr>
          <w:rFonts w:hint="eastAsia" w:cs="宋体"/>
          <w:color w:val="auto"/>
          <w:szCs w:val="24"/>
          <w:highlight w:val="none"/>
        </w:rPr>
        <w:t xml:space="preserve">（1）服务内容</w:t>
      </w:r>
      <w:r/>
    </w:p>
    <w:p>
      <w:pPr>
        <w:ind w:firstLine="480"/>
        <w:spacing w:line="360" w:lineRule="auto"/>
        <w:rPr>
          <w:color w:val="auto"/>
          <w:highlight w:val="none"/>
        </w:rPr>
      </w:pPr>
      <w:r>
        <w:rPr>
          <w:rFonts w:hint="eastAsia" w:cs="宋体"/>
          <w:color w:val="auto"/>
          <w:szCs w:val="24"/>
          <w:highlight w:val="none"/>
        </w:rPr>
        <w:t xml:space="preserve">维护模式</w:t>
      </w:r>
      <w:r/>
    </w:p>
    <w:p>
      <w:pPr>
        <w:ind w:firstLine="480"/>
        <w:spacing w:line="360" w:lineRule="auto"/>
        <w:rPr>
          <w:color w:val="auto"/>
          <w:highlight w:val="none"/>
        </w:rPr>
      </w:pPr>
      <w:r>
        <w:rPr>
          <w:rFonts w:hint="eastAsia" w:cs="宋体"/>
          <w:color w:val="auto"/>
          <w:szCs w:val="24"/>
          <w:highlight w:val="none"/>
        </w:rPr>
        <w:t xml:space="preserve">现场服务</w:t>
      </w:r>
      <w:r/>
    </w:p>
    <w:p>
      <w:pPr>
        <w:ind w:firstLine="480"/>
        <w:spacing w:line="360" w:lineRule="auto"/>
        <w:rPr>
          <w:color w:val="auto"/>
          <w:highlight w:val="none"/>
        </w:rPr>
      </w:pPr>
      <w:r>
        <w:rPr>
          <w:rFonts w:hint="eastAsia" w:cs="宋体"/>
          <w:color w:val="auto"/>
          <w:szCs w:val="24"/>
          <w:highlight w:val="none"/>
        </w:rPr>
        <w:t xml:space="preserve">对太仓线上教育平台系统进行现场维护和巡检，技术运维工程师对各个应用系统完成定期巡检，同时输出巡检报告提交给管理部门，技术工程师需提供7×24小时的故障响应电话支持。</w:t>
      </w:r>
      <w:r/>
    </w:p>
    <w:p>
      <w:pPr>
        <w:ind w:firstLine="480"/>
        <w:spacing w:line="360" w:lineRule="auto"/>
        <w:rPr>
          <w:color w:val="auto"/>
          <w:highlight w:val="none"/>
        </w:rPr>
      </w:pPr>
      <w:r>
        <w:rPr>
          <w:rFonts w:hint="eastAsia" w:cs="宋体"/>
          <w:color w:val="auto"/>
          <w:szCs w:val="24"/>
          <w:highlight w:val="none"/>
        </w:rPr>
        <w:t xml:space="preserve">远程技术支持服务</w:t>
      </w:r>
      <w:r/>
    </w:p>
    <w:p>
      <w:pPr>
        <w:ind w:firstLine="480"/>
        <w:spacing w:line="360" w:lineRule="auto"/>
        <w:rPr>
          <w:color w:val="auto"/>
          <w:highlight w:val="none"/>
        </w:rPr>
      </w:pPr>
      <w:r>
        <w:rPr>
          <w:rFonts w:hint="eastAsia" w:cs="宋体"/>
          <w:color w:val="auto"/>
          <w:szCs w:val="24"/>
          <w:highlight w:val="none"/>
        </w:rPr>
        <w:t xml:space="preserve">远程技术服务主要是通过电话或其他方式受理用户的疑难问题，通过沟通来指导用户解决问题，同时技术运维工程师还需通过电话或者其他方式与用户主动沟通来提高用户管理和运维能力。</w:t>
      </w:r>
      <w:r/>
    </w:p>
    <w:p>
      <w:pPr>
        <w:ind w:firstLine="480"/>
        <w:spacing w:line="360" w:lineRule="auto"/>
        <w:rPr>
          <w:color w:val="auto"/>
          <w:highlight w:val="none"/>
        </w:rPr>
      </w:pPr>
      <w:r>
        <w:rPr>
          <w:rFonts w:hint="eastAsia" w:cs="宋体"/>
          <w:color w:val="auto"/>
          <w:szCs w:val="24"/>
          <w:highlight w:val="none"/>
        </w:rPr>
        <w:t xml:space="preserve">技术培训服务</w:t>
      </w:r>
      <w:r/>
    </w:p>
    <w:p>
      <w:pPr>
        <w:ind w:firstLine="480"/>
        <w:spacing w:line="360" w:lineRule="auto"/>
        <w:rPr>
          <w:color w:val="auto"/>
          <w:highlight w:val="none"/>
        </w:rPr>
      </w:pPr>
      <w:r>
        <w:rPr>
          <w:rFonts w:hint="eastAsia" w:cs="宋体"/>
          <w:color w:val="auto"/>
          <w:szCs w:val="24"/>
          <w:highlight w:val="none"/>
        </w:rPr>
        <w:t xml:space="preserve">为提高用户的运维人员的技术水平及运维管理能力，需派遣具有丰富实施经验的技术专家定期对用户的运维人员进行相关系统运维的培训，培训可以采用灵活多样的方式如面对面交流、课堂授课、邮件沟通等。</w:t>
      </w:r>
      <w:r/>
    </w:p>
    <w:p>
      <w:pPr>
        <w:ind w:firstLine="480"/>
        <w:spacing w:line="360" w:lineRule="auto"/>
        <w:rPr>
          <w:color w:val="auto"/>
          <w:highlight w:val="none"/>
        </w:rPr>
      </w:pPr>
      <w:r>
        <w:rPr>
          <w:rFonts w:hint="eastAsia" w:cs="宋体"/>
          <w:color w:val="auto"/>
          <w:szCs w:val="24"/>
          <w:highlight w:val="none"/>
        </w:rPr>
        <w:t xml:space="preserve">服务级别及响应标准</w:t>
      </w:r>
      <w:r/>
    </w:p>
    <w:p>
      <w:pPr>
        <w:ind w:firstLine="480"/>
        <w:spacing w:line="360" w:lineRule="auto"/>
        <w:rPr>
          <w:color w:val="auto"/>
          <w:highlight w:val="none"/>
        </w:rPr>
      </w:pPr>
      <w:r>
        <w:rPr>
          <w:rFonts w:hint="eastAsia" w:cs="宋体"/>
          <w:color w:val="auto"/>
          <w:szCs w:val="24"/>
          <w:highlight w:val="none"/>
        </w:rPr>
        <w:t xml:space="preserve">各级故障事件服务响应时间：</w:t>
      </w:r>
      <w:r/>
    </w:p>
    <w:tbl>
      <w:tblPr>
        <w:tblStyle w:val="764"/>
        <w:tblW w:w="8448"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474"/>
        <w:gridCol w:w="4139"/>
        <w:gridCol w:w="2835"/>
      </w:tblGrid>
      <w:tr>
        <w:trPr/>
        <w:tc>
          <w:tcPr>
            <w:tcBorders>
              <w:top w:val="single" w:color="auto" w:sz="8" w:space="0"/>
              <w:left w:val="single" w:color="auto" w:sz="8" w:space="0"/>
              <w:bottom w:val="single" w:color="auto" w:sz="8" w:space="0"/>
              <w:right w:val="single" w:color="auto" w:sz="8" w:space="0"/>
            </w:tcBorders>
            <w:tcW w:w="1474"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故障级别</w:t>
            </w:r>
            <w:r/>
          </w:p>
        </w:tc>
        <w:tc>
          <w:tcPr>
            <w:tcBorders>
              <w:top w:val="single" w:color="auto" w:sz="8" w:space="0"/>
              <w:left w:val="single" w:color="auto" w:sz="8" w:space="0"/>
              <w:bottom w:val="single" w:color="auto" w:sz="8" w:space="0"/>
              <w:right w:val="single" w:color="auto" w:sz="8" w:space="0"/>
            </w:tcBorders>
            <w:tcW w:w="4139"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响应时间</w:t>
            </w:r>
            <w:r/>
          </w:p>
        </w:tc>
        <w:tc>
          <w:tcPr>
            <w:tcBorders>
              <w:top w:val="single" w:color="auto" w:sz="8" w:space="0"/>
              <w:left w:val="single" w:color="auto" w:sz="8" w:space="0"/>
              <w:bottom w:val="single" w:color="auto" w:sz="8" w:space="0"/>
              <w:right w:val="single" w:color="auto" w:sz="8" w:space="0"/>
            </w:tcBorders>
            <w:tcW w:w="2835"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故障解决时间</w:t>
            </w:r>
            <w:r/>
          </w:p>
        </w:tc>
      </w:tr>
      <w:tr>
        <w:trPr/>
        <w:tc>
          <w:tcPr>
            <w:tcW w:w="1474" w:type="dxa"/>
            <w:vAlign w:val="center"/>
            <w:textDirection w:val="lrTb"/>
            <w:noWrap w:val="false"/>
          </w:tcPr>
          <w:p>
            <w:pPr>
              <w:rPr>
                <w:color w:val="auto"/>
                <w:highlight w:val="none"/>
              </w:rPr>
            </w:pPr>
            <w:r>
              <w:rPr>
                <w:rFonts w:hint="eastAsia" w:cs="宋体"/>
                <w:color w:val="auto"/>
                <w:sz w:val="21"/>
                <w:highlight w:val="none"/>
              </w:rPr>
              <w:t xml:space="preserve">一级故障</w:t>
            </w:r>
            <w:r/>
          </w:p>
        </w:tc>
        <w:tc>
          <w:tcPr>
            <w:tcW w:w="4139" w:type="dxa"/>
            <w:vAlign w:val="center"/>
            <w:textDirection w:val="lrTb"/>
            <w:noWrap w:val="false"/>
          </w:tcPr>
          <w:p>
            <w:pPr>
              <w:rPr>
                <w:color w:val="auto"/>
                <w:highlight w:val="none"/>
              </w:rPr>
            </w:pPr>
            <w:r>
              <w:rPr>
                <w:rFonts w:hint="eastAsia" w:cs="宋体"/>
                <w:color w:val="auto"/>
                <w:sz w:val="21"/>
                <w:highlight w:val="none"/>
              </w:rPr>
              <w:t xml:space="preserve">30分钟响应，2小时内提交故障处理方案</w:t>
            </w:r>
            <w:r/>
          </w:p>
        </w:tc>
        <w:tc>
          <w:tcPr>
            <w:tcW w:w="2835" w:type="dxa"/>
            <w:vAlign w:val="center"/>
            <w:textDirection w:val="lrTb"/>
            <w:noWrap w:val="false"/>
          </w:tcPr>
          <w:p>
            <w:pPr>
              <w:rPr>
                <w:color w:val="auto"/>
                <w:highlight w:val="none"/>
              </w:rPr>
            </w:pPr>
            <w:r>
              <w:rPr>
                <w:rFonts w:hint="eastAsia" w:cs="宋体"/>
                <w:color w:val="auto"/>
                <w:sz w:val="21"/>
                <w:highlight w:val="none"/>
              </w:rPr>
              <w:t xml:space="preserve">4小时内</w:t>
            </w:r>
            <w:r/>
          </w:p>
        </w:tc>
      </w:tr>
      <w:tr>
        <w:trPr/>
        <w:tc>
          <w:tcPr>
            <w:tcW w:w="1474" w:type="dxa"/>
            <w:vAlign w:val="center"/>
            <w:textDirection w:val="lrTb"/>
            <w:noWrap w:val="false"/>
          </w:tcPr>
          <w:p>
            <w:pPr>
              <w:rPr>
                <w:color w:val="auto"/>
                <w:highlight w:val="none"/>
              </w:rPr>
            </w:pPr>
            <w:r>
              <w:rPr>
                <w:rFonts w:hint="eastAsia" w:cs="宋体"/>
                <w:color w:val="auto"/>
                <w:sz w:val="21"/>
                <w:highlight w:val="none"/>
              </w:rPr>
              <w:t xml:space="preserve">二级故障</w:t>
            </w:r>
            <w:r/>
          </w:p>
        </w:tc>
        <w:tc>
          <w:tcPr>
            <w:tcW w:w="4139" w:type="dxa"/>
            <w:vAlign w:val="center"/>
            <w:textDirection w:val="lrTb"/>
            <w:noWrap w:val="false"/>
          </w:tcPr>
          <w:p>
            <w:pPr>
              <w:rPr>
                <w:color w:val="auto"/>
                <w:highlight w:val="none"/>
              </w:rPr>
            </w:pPr>
            <w:r>
              <w:rPr>
                <w:rFonts w:hint="eastAsia" w:cs="宋体"/>
                <w:color w:val="auto"/>
                <w:sz w:val="21"/>
                <w:highlight w:val="none"/>
              </w:rPr>
              <w:t xml:space="preserve">30分钟响应，2小时内提交故障处理方案</w:t>
            </w:r>
            <w:r/>
          </w:p>
        </w:tc>
        <w:tc>
          <w:tcPr>
            <w:tcW w:w="2835" w:type="dxa"/>
            <w:vAlign w:val="center"/>
            <w:textDirection w:val="lrTb"/>
            <w:noWrap w:val="false"/>
          </w:tcPr>
          <w:p>
            <w:pPr>
              <w:rPr>
                <w:color w:val="auto"/>
                <w:highlight w:val="none"/>
              </w:rPr>
            </w:pPr>
            <w:r>
              <w:rPr>
                <w:rFonts w:hint="eastAsia" w:cs="宋体"/>
                <w:color w:val="auto"/>
                <w:sz w:val="21"/>
                <w:highlight w:val="none"/>
              </w:rPr>
              <w:t xml:space="preserve">4小时内</w:t>
            </w:r>
            <w:r/>
          </w:p>
        </w:tc>
      </w:tr>
      <w:tr>
        <w:trPr/>
        <w:tc>
          <w:tcPr>
            <w:tcW w:w="1474" w:type="dxa"/>
            <w:vAlign w:val="center"/>
            <w:textDirection w:val="lrTb"/>
            <w:noWrap w:val="false"/>
          </w:tcPr>
          <w:p>
            <w:pPr>
              <w:rPr>
                <w:color w:val="auto"/>
                <w:highlight w:val="none"/>
              </w:rPr>
            </w:pPr>
            <w:r>
              <w:rPr>
                <w:rFonts w:hint="eastAsia" w:cs="宋体"/>
                <w:color w:val="auto"/>
                <w:sz w:val="21"/>
                <w:highlight w:val="none"/>
              </w:rPr>
              <w:t xml:space="preserve">三级故障</w:t>
            </w:r>
            <w:r/>
          </w:p>
        </w:tc>
        <w:tc>
          <w:tcPr>
            <w:tcW w:w="4139" w:type="dxa"/>
            <w:vAlign w:val="center"/>
            <w:textDirection w:val="lrTb"/>
            <w:noWrap w:val="false"/>
          </w:tcPr>
          <w:p>
            <w:pPr>
              <w:rPr>
                <w:color w:val="auto"/>
                <w:highlight w:val="none"/>
              </w:rPr>
            </w:pPr>
            <w:r>
              <w:rPr>
                <w:rFonts w:hint="eastAsia" w:cs="宋体"/>
                <w:color w:val="auto"/>
                <w:sz w:val="21"/>
                <w:highlight w:val="none"/>
              </w:rPr>
              <w:t xml:space="preserve">30分钟响应，4小时内提交故障处理方案</w:t>
            </w:r>
            <w:r/>
          </w:p>
        </w:tc>
        <w:tc>
          <w:tcPr>
            <w:tcW w:w="2835" w:type="dxa"/>
            <w:vAlign w:val="center"/>
            <w:textDirection w:val="lrTb"/>
            <w:noWrap w:val="false"/>
          </w:tcPr>
          <w:p>
            <w:pPr>
              <w:rPr>
                <w:color w:val="auto"/>
                <w:highlight w:val="none"/>
              </w:rPr>
            </w:pPr>
            <w:r>
              <w:rPr>
                <w:rFonts w:hint="eastAsia" w:cs="宋体"/>
                <w:color w:val="auto"/>
                <w:sz w:val="21"/>
                <w:highlight w:val="none"/>
              </w:rPr>
              <w:t xml:space="preserve">12小时内</w:t>
            </w:r>
            <w:r/>
          </w:p>
        </w:tc>
      </w:tr>
      <w:tr>
        <w:trPr/>
        <w:tc>
          <w:tcPr>
            <w:tcW w:w="1474" w:type="dxa"/>
            <w:vAlign w:val="center"/>
            <w:textDirection w:val="lrTb"/>
            <w:noWrap w:val="false"/>
          </w:tcPr>
          <w:p>
            <w:pPr>
              <w:rPr>
                <w:color w:val="auto"/>
                <w:highlight w:val="none"/>
              </w:rPr>
            </w:pPr>
            <w:r>
              <w:rPr>
                <w:rFonts w:hint="eastAsia" w:cs="宋体"/>
                <w:color w:val="auto"/>
                <w:sz w:val="21"/>
                <w:highlight w:val="none"/>
              </w:rPr>
              <w:t xml:space="preserve">四级故障</w:t>
            </w:r>
            <w:r/>
          </w:p>
        </w:tc>
        <w:tc>
          <w:tcPr>
            <w:tcW w:w="4139" w:type="dxa"/>
            <w:vAlign w:val="center"/>
            <w:textDirection w:val="lrTb"/>
            <w:noWrap w:val="false"/>
          </w:tcPr>
          <w:p>
            <w:pPr>
              <w:rPr>
                <w:color w:val="auto"/>
                <w:highlight w:val="none"/>
              </w:rPr>
            </w:pPr>
            <w:r>
              <w:rPr>
                <w:rFonts w:hint="eastAsia" w:cs="宋体"/>
                <w:color w:val="auto"/>
                <w:sz w:val="21"/>
                <w:highlight w:val="none"/>
              </w:rPr>
              <w:t xml:space="preserve">30分钟响应，4小时内提交故障处理方案</w:t>
            </w:r>
            <w:r/>
          </w:p>
        </w:tc>
        <w:tc>
          <w:tcPr>
            <w:tcW w:w="2835" w:type="dxa"/>
            <w:vAlign w:val="center"/>
            <w:textDirection w:val="lrTb"/>
            <w:noWrap w:val="false"/>
          </w:tcPr>
          <w:p>
            <w:pPr>
              <w:rPr>
                <w:color w:val="auto"/>
                <w:highlight w:val="none"/>
              </w:rPr>
            </w:pPr>
            <w:r>
              <w:rPr>
                <w:rFonts w:hint="eastAsia" w:cs="宋体"/>
                <w:color w:val="auto"/>
                <w:sz w:val="21"/>
                <w:highlight w:val="none"/>
              </w:rPr>
              <w:t xml:space="preserve">24小时内</w:t>
            </w:r>
            <w:r/>
          </w:p>
        </w:tc>
      </w:tr>
    </w:tbl>
    <w:p>
      <w:pPr>
        <w:ind w:firstLine="480"/>
        <w:spacing w:line="360" w:lineRule="auto"/>
        <w:rPr>
          <w:color w:val="auto"/>
          <w:highlight w:val="none"/>
        </w:rPr>
      </w:pPr>
      <w:r>
        <w:rPr>
          <w:rFonts w:hint="eastAsia" w:cs="宋体"/>
          <w:color w:val="auto"/>
          <w:szCs w:val="24"/>
          <w:highlight w:val="none"/>
        </w:rPr>
        <w:t xml:space="preserve">故障事件等级划分如下：</w:t>
      </w:r>
      <w:r/>
    </w:p>
    <w:p>
      <w:pPr>
        <w:ind w:firstLine="480"/>
        <w:spacing w:line="360" w:lineRule="auto"/>
        <w:rPr>
          <w:color w:val="auto"/>
          <w:highlight w:val="none"/>
        </w:rPr>
      </w:pPr>
      <w:r>
        <w:rPr>
          <w:rFonts w:hint="eastAsia" w:cs="宋体"/>
          <w:color w:val="auto"/>
          <w:szCs w:val="24"/>
          <w:highlight w:val="none"/>
        </w:rPr>
        <w:t xml:space="preserve">一级故障事件：现有的网络或系统停机，或遭到严重攻击行为或安全事件，对系统的业务运作有重大影响；</w:t>
      </w:r>
      <w:r/>
    </w:p>
    <w:p>
      <w:pPr>
        <w:ind w:firstLine="480"/>
        <w:spacing w:line="360" w:lineRule="auto"/>
        <w:rPr>
          <w:color w:val="auto"/>
          <w:highlight w:val="none"/>
        </w:rPr>
      </w:pPr>
      <w:r>
        <w:rPr>
          <w:rFonts w:hint="eastAsia" w:cs="宋体"/>
          <w:color w:val="auto"/>
          <w:szCs w:val="24"/>
          <w:highlight w:val="none"/>
        </w:rPr>
        <w:t xml:space="preserve">二级故障事件：现有网络或系统的操作性能严重降级，或由于网络性能失常或安全事件严重影响系统用户业务运作；</w:t>
      </w:r>
      <w:r/>
    </w:p>
    <w:p>
      <w:pPr>
        <w:ind w:firstLine="480"/>
        <w:spacing w:line="360" w:lineRule="auto"/>
        <w:rPr>
          <w:color w:val="auto"/>
          <w:highlight w:val="none"/>
        </w:rPr>
      </w:pPr>
      <w:r>
        <w:rPr>
          <w:rFonts w:hint="eastAsia" w:cs="宋体"/>
          <w:color w:val="auto"/>
          <w:szCs w:val="24"/>
          <w:highlight w:val="none"/>
        </w:rPr>
        <w:t xml:space="preserve">三级故障事件：网络或系统的操作性能受损，安全事件（例如病毒在小范围内发作），但大部分业务运作仍可正常工作；</w:t>
      </w:r>
      <w:r/>
    </w:p>
    <w:p>
      <w:pPr>
        <w:ind w:firstLine="480"/>
        <w:spacing w:line="360" w:lineRule="auto"/>
        <w:rPr>
          <w:color w:val="auto"/>
          <w:highlight w:val="none"/>
        </w:rPr>
      </w:pPr>
      <w:r>
        <w:rPr>
          <w:rFonts w:hint="eastAsia" w:cs="宋体"/>
          <w:color w:val="auto"/>
          <w:szCs w:val="24"/>
          <w:highlight w:val="none"/>
        </w:rPr>
        <w:t xml:space="preserve">四级故障事件：在网络、服务器、存储、安全设备功能、安装或配置方面需要调整或优化。本级故障事件对信息系统的业务运作几乎无影响，或影响很小。</w:t>
      </w:r>
      <w:r/>
    </w:p>
    <w:p>
      <w:pPr>
        <w:ind w:firstLine="480"/>
        <w:spacing w:line="360" w:lineRule="auto"/>
        <w:rPr>
          <w:color w:val="auto"/>
          <w:highlight w:val="none"/>
        </w:rPr>
      </w:pPr>
      <w:r>
        <w:rPr>
          <w:rFonts w:hint="eastAsia" w:cs="宋体"/>
          <w:color w:val="auto"/>
          <w:szCs w:val="24"/>
          <w:highlight w:val="none"/>
        </w:rPr>
        <w:t xml:space="preserve">依据重要性和紧急性原则，一级故障和二级故障处理过程中，要及时考虑替代恢复方案，最大限度的保护好数据，并迅速将问题向相关上级进行反映，一方面须快速判断问题和收集事故信息，涉及到具体产品提供商或服务商的，及时告知用户协调相关厂商现场支持。为保障业务平台的正常运行，除对突发故障的应急支持外，要充分保障日常对业务系统软硬件的应急灾备恢复预案，并通过定期的演练加强应对突发事故的意识和流程。</w:t>
      </w:r>
      <w:r/>
    </w:p>
    <w:p>
      <w:pPr>
        <w:ind w:firstLine="480"/>
        <w:spacing w:line="360" w:lineRule="auto"/>
        <w:rPr>
          <w:color w:val="auto"/>
          <w:highlight w:val="none"/>
        </w:rPr>
      </w:pPr>
      <w:r>
        <w:rPr>
          <w:rFonts w:hint="eastAsia" w:cs="宋体"/>
          <w:color w:val="auto"/>
          <w:szCs w:val="24"/>
          <w:highlight w:val="none"/>
        </w:rPr>
        <w:t xml:space="preserve">其他运维工作</w:t>
      </w:r>
      <w:r/>
    </w:p>
    <w:p>
      <w:pPr>
        <w:ind w:firstLine="480"/>
        <w:spacing w:line="360" w:lineRule="auto"/>
        <w:rPr>
          <w:color w:val="auto"/>
          <w:highlight w:val="none"/>
        </w:rPr>
      </w:pPr>
      <w:r>
        <w:rPr>
          <w:rFonts w:hint="eastAsia" w:cs="宋体"/>
          <w:color w:val="auto"/>
          <w:szCs w:val="24"/>
          <w:highlight w:val="none"/>
        </w:rPr>
        <w:t xml:space="preserve">保障太仓线上教育平台系统7*24小时稳定运行，提供不间断正常服务的蓝绿部署发布</w:t>
      </w:r>
      <w:r/>
    </w:p>
    <w:p>
      <w:pPr>
        <w:ind w:firstLine="480"/>
        <w:spacing w:line="360" w:lineRule="auto"/>
        <w:rPr>
          <w:color w:val="auto"/>
          <w:highlight w:val="none"/>
        </w:rPr>
      </w:pPr>
      <w:r>
        <w:rPr>
          <w:rFonts w:hint="eastAsia" w:cs="宋体"/>
          <w:color w:val="auto"/>
          <w:szCs w:val="24"/>
          <w:highlight w:val="none"/>
        </w:rPr>
        <w:t xml:space="preserve">针对信息安全风险提供妥善解决方案。</w:t>
      </w:r>
      <w:r/>
    </w:p>
    <w:p>
      <w:pPr>
        <w:ind w:firstLine="480"/>
        <w:spacing w:line="360" w:lineRule="auto"/>
        <w:rPr>
          <w:color w:val="auto"/>
          <w:highlight w:val="none"/>
        </w:rPr>
      </w:pPr>
      <w:r>
        <w:rPr>
          <w:rFonts w:hint="eastAsia" w:cs="宋体"/>
          <w:color w:val="auto"/>
          <w:szCs w:val="24"/>
          <w:highlight w:val="none"/>
        </w:rPr>
        <w:t xml:space="preserve">优化各项维护工作流程，不断降低系统风险。</w:t>
      </w:r>
      <w:r/>
    </w:p>
    <w:p>
      <w:pPr>
        <w:ind w:firstLine="480"/>
        <w:spacing w:line="360" w:lineRule="auto"/>
        <w:rPr>
          <w:color w:val="auto"/>
          <w:highlight w:val="none"/>
        </w:rPr>
      </w:pPr>
      <w:r>
        <w:rPr>
          <w:rFonts w:hint="eastAsia" w:cs="宋体"/>
          <w:color w:val="auto"/>
          <w:szCs w:val="24"/>
          <w:highlight w:val="none"/>
        </w:rPr>
        <w:t xml:space="preserve">定期汇报系统运行情况。</w:t>
      </w:r>
      <w:r/>
    </w:p>
    <w:p>
      <w:pPr>
        <w:ind w:firstLine="480"/>
        <w:spacing w:line="360" w:lineRule="auto"/>
        <w:rPr>
          <w:color w:val="auto"/>
          <w:highlight w:val="none"/>
        </w:rPr>
      </w:pPr>
      <w:r>
        <w:rPr>
          <w:rFonts w:hint="eastAsia" w:cs="宋体"/>
          <w:color w:val="auto"/>
          <w:szCs w:val="24"/>
          <w:highlight w:val="none"/>
        </w:rPr>
        <w:t xml:space="preserve">重大活动提供现场支持。</w:t>
      </w:r>
      <w:r/>
    </w:p>
    <w:p>
      <w:pPr>
        <w:ind w:firstLine="480"/>
        <w:spacing w:line="360" w:lineRule="auto"/>
        <w:rPr>
          <w:color w:val="auto"/>
          <w:highlight w:val="none"/>
        </w:rPr>
      </w:pPr>
      <w:r>
        <w:rPr>
          <w:rFonts w:hint="eastAsia" w:cs="宋体"/>
          <w:color w:val="auto"/>
          <w:szCs w:val="24"/>
          <w:highlight w:val="none"/>
        </w:rPr>
        <w:t xml:space="preserve">协助完成太仓线上教育平台其他服务工作。</w:t>
      </w:r>
      <w:r/>
    </w:p>
    <w:p>
      <w:pPr>
        <w:ind w:firstLine="480"/>
        <w:spacing w:line="360" w:lineRule="auto"/>
        <w:rPr>
          <w:color w:val="auto"/>
          <w:highlight w:val="none"/>
        </w:rPr>
      </w:pPr>
      <w:r>
        <w:rPr>
          <w:rFonts w:hint="eastAsia" w:cs="宋体"/>
          <w:color w:val="auto"/>
          <w:szCs w:val="24"/>
          <w:highlight w:val="none"/>
        </w:rPr>
        <w:t xml:space="preserve">（2）人工技能标准</w:t>
      </w:r>
      <w:r/>
    </w:p>
    <w:p>
      <w:pPr>
        <w:ind w:firstLine="480"/>
        <w:spacing w:line="360" w:lineRule="auto"/>
        <w:rPr>
          <w:color w:val="auto"/>
          <w:highlight w:val="none"/>
        </w:rPr>
      </w:pPr>
      <w:r>
        <w:rPr>
          <w:rFonts w:hint="eastAsia" w:cs="宋体"/>
          <w:color w:val="auto"/>
          <w:szCs w:val="24"/>
          <w:highlight w:val="none"/>
        </w:rPr>
        <w:t xml:space="preserve">技术运维服务人员2名，负责太仓线上教育系统的技术运维服务，具备软件运维服务经验。</w:t>
      </w:r>
      <w:r/>
    </w:p>
    <w:p>
      <w:pPr>
        <w:ind w:firstLine="480"/>
        <w:spacing w:line="360" w:lineRule="auto"/>
        <w:rPr>
          <w:color w:val="auto"/>
          <w:highlight w:val="none"/>
        </w:rPr>
      </w:pPr>
      <w:r>
        <w:rPr>
          <w:rFonts w:hint="eastAsia" w:cs="宋体"/>
          <w:color w:val="auto"/>
          <w:szCs w:val="24"/>
          <w:highlight w:val="none"/>
        </w:rPr>
        <w:t xml:space="preserve">5、客服服务</w:t>
      </w:r>
      <w:r/>
    </w:p>
    <w:p>
      <w:pPr>
        <w:ind w:firstLine="480"/>
        <w:spacing w:line="360" w:lineRule="auto"/>
        <w:rPr>
          <w:color w:val="auto"/>
          <w:highlight w:val="none"/>
        </w:rPr>
      </w:pPr>
      <w:r>
        <w:rPr>
          <w:rFonts w:hint="eastAsia" w:cs="宋体"/>
          <w:color w:val="auto"/>
          <w:szCs w:val="24"/>
          <w:highlight w:val="none"/>
        </w:rPr>
        <w:t xml:space="preserve">（1）服务内容</w:t>
      </w:r>
      <w:r/>
    </w:p>
    <w:p>
      <w:pPr>
        <w:ind w:firstLine="480"/>
        <w:spacing w:line="360" w:lineRule="auto"/>
        <w:rPr>
          <w:color w:val="auto"/>
          <w:highlight w:val="none"/>
        </w:rPr>
      </w:pPr>
      <w:r>
        <w:rPr>
          <w:rFonts w:hint="eastAsia" w:cs="宋体"/>
          <w:color w:val="auto"/>
          <w:szCs w:val="24"/>
          <w:highlight w:val="none"/>
        </w:rPr>
        <w:t xml:space="preserve">1）建立完备的客户服务体系。包括客户服务的内容、管理制度、客户服务流程，以及进行客户服务可能会遇到的风险，并根据发生可能性、影响大小等因素针对性地提出各项风险的处理预案。</w:t>
      </w:r>
      <w:r/>
    </w:p>
    <w:p>
      <w:pPr>
        <w:ind w:firstLine="480"/>
        <w:spacing w:line="360" w:lineRule="auto"/>
        <w:rPr>
          <w:color w:val="auto"/>
          <w:highlight w:val="none"/>
        </w:rPr>
      </w:pPr>
      <w:r>
        <w:rPr>
          <w:rFonts w:hint="eastAsia" w:cs="宋体"/>
          <w:color w:val="auto"/>
          <w:szCs w:val="24"/>
          <w:highlight w:val="none"/>
        </w:rPr>
        <w:t xml:space="preserve">2）提供学校基础信息采集与维护管理工作。</w:t>
      </w:r>
      <w:r/>
    </w:p>
    <w:p>
      <w:pPr>
        <w:ind w:firstLine="480"/>
        <w:spacing w:line="360" w:lineRule="auto"/>
        <w:rPr>
          <w:color w:val="auto"/>
          <w:highlight w:val="none"/>
        </w:rPr>
      </w:pPr>
      <w:r>
        <w:rPr>
          <w:rFonts w:hint="eastAsia" w:cs="宋体"/>
          <w:color w:val="auto"/>
          <w:szCs w:val="24"/>
          <w:highlight w:val="none"/>
        </w:rPr>
        <w:t xml:space="preserve">3）提供新学生、新入职教师关于线上教育的技术培训。</w:t>
      </w:r>
      <w:r/>
    </w:p>
    <w:p>
      <w:pPr>
        <w:ind w:firstLine="480"/>
        <w:spacing w:line="360" w:lineRule="auto"/>
        <w:rPr>
          <w:color w:val="auto"/>
          <w:highlight w:val="none"/>
        </w:rPr>
      </w:pPr>
      <w:r>
        <w:rPr>
          <w:rFonts w:hint="eastAsia" w:cs="宋体"/>
          <w:color w:val="auto"/>
          <w:szCs w:val="24"/>
          <w:highlight w:val="none"/>
        </w:rPr>
        <w:t xml:space="preserve">4）提供平台用户电话咨询并回复处理服务，5*8小时提供服务。</w:t>
      </w:r>
      <w:r/>
    </w:p>
    <w:p>
      <w:pPr>
        <w:ind w:firstLine="480"/>
        <w:spacing w:line="360" w:lineRule="auto"/>
        <w:rPr>
          <w:color w:val="auto"/>
          <w:highlight w:val="none"/>
        </w:rPr>
      </w:pPr>
      <w:r>
        <w:rPr>
          <w:rFonts w:hint="eastAsia" w:cs="宋体"/>
          <w:color w:val="auto"/>
          <w:szCs w:val="24"/>
          <w:highlight w:val="none"/>
        </w:rPr>
        <w:t xml:space="preserve">5）提供客服平台并在线解答用户问题，7*14小时提供服务。</w:t>
      </w:r>
      <w:r/>
    </w:p>
    <w:p>
      <w:pPr>
        <w:ind w:firstLine="480"/>
        <w:spacing w:line="360" w:lineRule="auto"/>
        <w:rPr>
          <w:color w:val="auto"/>
          <w:highlight w:val="none"/>
        </w:rPr>
      </w:pPr>
      <w:r>
        <w:rPr>
          <w:rFonts w:hint="eastAsia" w:cs="宋体"/>
          <w:color w:val="auto"/>
          <w:szCs w:val="24"/>
          <w:highlight w:val="none"/>
        </w:rPr>
        <w:t xml:space="preserve">6）提供内容安全人工审核服务，包含笔记、头像、评论审核等。</w:t>
      </w:r>
      <w:r/>
    </w:p>
    <w:p>
      <w:pPr>
        <w:ind w:firstLine="480"/>
        <w:spacing w:line="360" w:lineRule="auto"/>
        <w:rPr>
          <w:color w:val="auto"/>
          <w:highlight w:val="none"/>
        </w:rPr>
      </w:pPr>
      <w:r>
        <w:rPr>
          <w:rFonts w:hint="eastAsia" w:cs="宋体"/>
          <w:color w:val="auto"/>
          <w:szCs w:val="24"/>
          <w:highlight w:val="none"/>
        </w:rPr>
        <w:t xml:space="preserve">7）发布名师直播课表到各学校服务群和微信群。</w:t>
      </w:r>
      <w:r/>
    </w:p>
    <w:p>
      <w:pPr>
        <w:ind w:firstLine="480"/>
        <w:spacing w:line="360" w:lineRule="auto"/>
        <w:rPr>
          <w:color w:val="auto"/>
          <w:highlight w:val="none"/>
        </w:rPr>
      </w:pPr>
      <w:r>
        <w:rPr>
          <w:rFonts w:hint="eastAsia" w:cs="宋体"/>
          <w:color w:val="auto"/>
          <w:szCs w:val="24"/>
          <w:highlight w:val="none"/>
        </w:rPr>
        <w:t xml:space="preserve">8）提供区级、校级直播现场支持，开课设置、课件管理、录播资源编辑等服务。</w:t>
      </w:r>
      <w:r/>
    </w:p>
    <w:p>
      <w:pPr>
        <w:ind w:firstLine="480"/>
        <w:spacing w:line="360" w:lineRule="auto"/>
        <w:rPr>
          <w:color w:val="auto"/>
          <w:highlight w:val="none"/>
        </w:rPr>
      </w:pPr>
      <w:r>
        <w:rPr>
          <w:rFonts w:hint="eastAsia" w:cs="宋体"/>
          <w:color w:val="auto"/>
          <w:szCs w:val="24"/>
          <w:highlight w:val="none"/>
        </w:rPr>
        <w:t xml:space="preserve">9）提供定期平台功能巡检服务。</w:t>
      </w:r>
      <w:r/>
    </w:p>
    <w:p>
      <w:pPr>
        <w:ind w:firstLine="480"/>
        <w:spacing w:line="360" w:lineRule="auto"/>
        <w:rPr>
          <w:color w:val="auto"/>
          <w:highlight w:val="none"/>
        </w:rPr>
      </w:pPr>
      <w:r>
        <w:rPr>
          <w:rFonts w:hint="eastAsia" w:cs="宋体"/>
          <w:color w:val="auto"/>
          <w:szCs w:val="24"/>
          <w:highlight w:val="none"/>
        </w:rPr>
        <w:t xml:space="preserve">10）记录用户反馈的系统瑕疵和改善建议并及时将处理结果反馈给用户。</w:t>
      </w:r>
      <w:r/>
    </w:p>
    <w:p>
      <w:pPr>
        <w:ind w:firstLine="480"/>
        <w:spacing w:line="360" w:lineRule="auto"/>
        <w:rPr>
          <w:color w:val="auto"/>
          <w:highlight w:val="none"/>
        </w:rPr>
      </w:pPr>
      <w:r>
        <w:rPr>
          <w:rFonts w:hint="eastAsia" w:cs="宋体"/>
          <w:color w:val="auto"/>
          <w:szCs w:val="24"/>
          <w:highlight w:val="none"/>
        </w:rPr>
        <w:t xml:space="preserve">11）平台资源纠错处理。</w:t>
      </w:r>
      <w:r/>
    </w:p>
    <w:p>
      <w:pPr>
        <w:ind w:firstLine="480"/>
        <w:spacing w:line="360" w:lineRule="auto"/>
        <w:rPr>
          <w:color w:val="auto"/>
          <w:highlight w:val="none"/>
        </w:rPr>
      </w:pPr>
      <w:r>
        <w:rPr>
          <w:rFonts w:hint="eastAsia" w:cs="宋体"/>
          <w:color w:val="auto"/>
          <w:szCs w:val="24"/>
          <w:highlight w:val="none"/>
        </w:rPr>
        <w:t xml:space="preserve">12）协助完成线上教育其他服务工作。</w:t>
      </w:r>
      <w:r/>
    </w:p>
    <w:p>
      <w:pPr>
        <w:ind w:firstLine="480"/>
        <w:spacing w:line="360" w:lineRule="auto"/>
        <w:rPr>
          <w:color w:val="auto"/>
          <w:highlight w:val="none"/>
        </w:rPr>
      </w:pPr>
      <w:r>
        <w:rPr>
          <w:rFonts w:hint="eastAsia" w:cs="宋体"/>
          <w:color w:val="auto"/>
          <w:szCs w:val="24"/>
          <w:highlight w:val="none"/>
        </w:rPr>
        <w:t xml:space="preserve">（2）人工技能标准</w:t>
      </w:r>
      <w:r/>
    </w:p>
    <w:p>
      <w:pPr>
        <w:ind w:firstLine="480"/>
        <w:spacing w:line="360" w:lineRule="auto"/>
        <w:rPr>
          <w:color w:val="auto"/>
          <w:highlight w:val="none"/>
        </w:rPr>
      </w:pPr>
      <w:r>
        <w:rPr>
          <w:rFonts w:hint="eastAsia" w:cs="宋体"/>
          <w:color w:val="auto"/>
          <w:szCs w:val="24"/>
          <w:highlight w:val="none"/>
        </w:rPr>
        <w:t xml:space="preserve">客户服务团队不少于3人，其中驻场客户服务人员不少于2人，远程客户服务人员不少于1人，客服团队要求2年及以上类似项目客服服务经验。</w:t>
      </w:r>
      <w:r/>
    </w:p>
    <w:p>
      <w:pPr>
        <w:ind w:firstLine="480"/>
        <w:spacing w:line="360" w:lineRule="auto"/>
        <w:rPr>
          <w:color w:val="auto"/>
          <w:highlight w:val="none"/>
        </w:rPr>
      </w:pPr>
      <w:r>
        <w:rPr>
          <w:rFonts w:hint="eastAsia" w:cs="宋体"/>
          <w:color w:val="auto"/>
          <w:szCs w:val="24"/>
          <w:highlight w:val="none"/>
        </w:rPr>
        <w:t xml:space="preserve">6、宣传推广服务</w:t>
      </w:r>
      <w:r/>
    </w:p>
    <w:p>
      <w:pPr>
        <w:ind w:firstLine="480"/>
        <w:spacing w:line="360" w:lineRule="auto"/>
        <w:rPr>
          <w:color w:val="auto"/>
          <w:highlight w:val="none"/>
        </w:rPr>
      </w:pPr>
      <w:r>
        <w:rPr>
          <w:rFonts w:hint="eastAsia" w:cs="宋体"/>
          <w:color w:val="auto"/>
          <w:szCs w:val="24"/>
          <w:highlight w:val="none"/>
        </w:rPr>
        <w:t xml:space="preserve">在教育局的统筹规划下，协同教育局各单位利用各种技术手段或媒介推广平台的功能，并使用平台提供的功能策划区级活动，并组织设置、运营相关服务等。</w:t>
      </w:r>
      <w:r/>
    </w:p>
    <w:p>
      <w:pPr>
        <w:ind w:firstLine="480"/>
        <w:spacing w:line="360" w:lineRule="auto"/>
        <w:rPr>
          <w:color w:val="auto"/>
          <w:highlight w:val="none"/>
        </w:rPr>
      </w:pPr>
      <w:r>
        <w:rPr>
          <w:rFonts w:hint="eastAsia" w:cs="宋体"/>
          <w:color w:val="auto"/>
          <w:szCs w:val="24"/>
          <w:highlight w:val="none"/>
        </w:rPr>
        <w:t xml:space="preserve">（1）服务内容</w:t>
      </w:r>
      <w:r/>
    </w:p>
    <w:p>
      <w:pPr>
        <w:ind w:firstLine="480"/>
        <w:spacing w:line="360" w:lineRule="auto"/>
        <w:rPr>
          <w:color w:val="auto"/>
          <w:highlight w:val="none"/>
        </w:rPr>
      </w:pPr>
      <w:r>
        <w:rPr>
          <w:rFonts w:hint="eastAsia" w:cs="宋体"/>
          <w:color w:val="auto"/>
          <w:szCs w:val="24"/>
          <w:highlight w:val="none"/>
        </w:rPr>
        <w:t xml:space="preserve">1）制定平台宣传推广方案，利用各种技术手段或媒介推广平台应用，策划相关系列活动，组织教师参与活动评审，为学生提供相关运营服务配套等。</w:t>
      </w:r>
      <w:r/>
    </w:p>
    <w:p>
      <w:pPr>
        <w:ind w:firstLine="480"/>
        <w:spacing w:line="360" w:lineRule="auto"/>
        <w:rPr>
          <w:color w:val="auto"/>
          <w:highlight w:val="none"/>
        </w:rPr>
      </w:pPr>
      <w:r>
        <w:rPr>
          <w:rFonts w:hint="eastAsia" w:cs="宋体"/>
          <w:color w:val="auto"/>
          <w:szCs w:val="24"/>
          <w:highlight w:val="none"/>
        </w:rPr>
        <w:t xml:space="preserve">2）定期抽取并汇总线上教育中心平台运行数据，通过整理与分析，提供平台运行周报、月报。</w:t>
      </w:r>
      <w:r/>
    </w:p>
    <w:p>
      <w:pPr>
        <w:ind w:firstLine="480"/>
        <w:spacing w:line="360" w:lineRule="auto"/>
        <w:rPr>
          <w:color w:val="auto"/>
          <w:highlight w:val="none"/>
        </w:rPr>
      </w:pPr>
      <w:r>
        <w:rPr>
          <w:rFonts w:hint="eastAsia" w:cs="宋体"/>
          <w:color w:val="auto"/>
          <w:szCs w:val="24"/>
          <w:highlight w:val="none"/>
        </w:rPr>
        <w:t xml:space="preserve">3）设计平台每一期的名师直播课表，或通过新媒体技术手段发放给学生，确保教师、学生、家长及时了解名师课程计划。</w:t>
      </w:r>
      <w:r/>
    </w:p>
    <w:p>
      <w:pPr>
        <w:ind w:firstLine="480"/>
        <w:spacing w:line="360" w:lineRule="auto"/>
        <w:rPr>
          <w:color w:val="auto"/>
          <w:highlight w:val="none"/>
        </w:rPr>
      </w:pPr>
      <w:r>
        <w:rPr>
          <w:rFonts w:hint="eastAsia" w:cs="宋体"/>
          <w:color w:val="auto"/>
          <w:szCs w:val="24"/>
          <w:highlight w:val="none"/>
        </w:rPr>
        <w:t xml:space="preserve">4）定期撰写宣传推文宣传平台最新动态，如运营活动、课程安排等。</w:t>
      </w:r>
      <w:r/>
    </w:p>
    <w:p>
      <w:pPr>
        <w:ind w:firstLine="480"/>
        <w:spacing w:line="360" w:lineRule="auto"/>
        <w:rPr>
          <w:color w:val="auto"/>
          <w:highlight w:val="none"/>
        </w:rPr>
      </w:pPr>
      <w:r>
        <w:rPr>
          <w:rFonts w:hint="eastAsia" w:cs="宋体"/>
          <w:color w:val="auto"/>
          <w:szCs w:val="24"/>
          <w:highlight w:val="none"/>
        </w:rPr>
        <w:t xml:space="preserve">5）寒暑假和特殊节日，需在假期和节日前15天做好宣传准备工作。</w:t>
      </w:r>
      <w:r/>
    </w:p>
    <w:p>
      <w:pPr>
        <w:ind w:firstLine="480"/>
        <w:spacing w:line="360" w:lineRule="auto"/>
        <w:rPr>
          <w:color w:val="auto"/>
          <w:highlight w:val="none"/>
        </w:rPr>
      </w:pPr>
      <w:r>
        <w:rPr>
          <w:rFonts w:hint="eastAsia" w:cs="宋体"/>
          <w:color w:val="auto"/>
          <w:szCs w:val="24"/>
          <w:highlight w:val="none"/>
        </w:rPr>
        <w:t xml:space="preserve">6）定期进行用户调研，获取用户真实反馈并了解用户满意。</w:t>
      </w:r>
      <w:r/>
    </w:p>
    <w:p>
      <w:pPr>
        <w:ind w:firstLine="480"/>
        <w:spacing w:line="360" w:lineRule="auto"/>
        <w:rPr>
          <w:color w:val="auto"/>
          <w:highlight w:val="none"/>
        </w:rPr>
      </w:pPr>
      <w:r>
        <w:rPr>
          <w:rFonts w:hint="eastAsia" w:cs="宋体"/>
          <w:color w:val="auto"/>
          <w:szCs w:val="24"/>
          <w:highlight w:val="none"/>
        </w:rPr>
        <w:t xml:space="preserve">7）整合媒体资源，提升苏州线上教育中心知名度，塑造良好的公众形象。</w:t>
      </w:r>
      <w:r/>
    </w:p>
    <w:p>
      <w:pPr>
        <w:ind w:firstLine="480"/>
        <w:spacing w:line="360" w:lineRule="auto"/>
        <w:rPr>
          <w:color w:val="auto"/>
          <w:highlight w:val="none"/>
        </w:rPr>
      </w:pPr>
      <w:r>
        <w:rPr>
          <w:rFonts w:hint="eastAsia" w:cs="宋体"/>
          <w:color w:val="auto"/>
          <w:szCs w:val="24"/>
          <w:highlight w:val="none"/>
        </w:rPr>
        <w:t xml:space="preserve">8）协助完成线上教育其他服务工作。</w:t>
      </w:r>
      <w:r/>
    </w:p>
    <w:p>
      <w:pPr>
        <w:ind w:firstLine="480"/>
        <w:spacing w:line="360" w:lineRule="auto"/>
        <w:rPr>
          <w:color w:val="auto"/>
          <w:highlight w:val="none"/>
        </w:rPr>
      </w:pPr>
      <w:r>
        <w:rPr>
          <w:rFonts w:hint="eastAsia" w:cs="宋体"/>
          <w:color w:val="auto"/>
          <w:szCs w:val="24"/>
          <w:highlight w:val="none"/>
        </w:rPr>
        <w:t xml:space="preserve">（2）人工技能标准</w:t>
      </w:r>
      <w:r/>
    </w:p>
    <w:p>
      <w:pPr>
        <w:ind w:firstLine="480"/>
        <w:spacing w:line="360" w:lineRule="auto"/>
        <w:rPr>
          <w:color w:val="auto"/>
          <w:highlight w:val="none"/>
        </w:rPr>
      </w:pPr>
      <w:r>
        <w:rPr>
          <w:rFonts w:hint="eastAsia" w:cs="宋体"/>
          <w:color w:val="auto"/>
          <w:szCs w:val="24"/>
          <w:highlight w:val="none"/>
        </w:rPr>
        <w:t xml:space="preserve">宣传及推广服务团队人员不少于1人，拥有运营推广经验。</w:t>
      </w:r>
      <w:r/>
    </w:p>
    <w:p>
      <w:pPr>
        <w:ind w:firstLine="480"/>
        <w:spacing w:line="360" w:lineRule="auto"/>
        <w:rPr>
          <w:color w:val="auto"/>
          <w:highlight w:val="none"/>
        </w:rPr>
      </w:pPr>
      <w:r>
        <w:rPr>
          <w:rFonts w:hint="eastAsia" w:cs="宋体"/>
          <w:color w:val="auto"/>
          <w:szCs w:val="24"/>
          <w:highlight w:val="none"/>
        </w:rPr>
        <w:t xml:space="preserve">7、学生成长空间二期定制化升级服务</w:t>
      </w:r>
      <w:r/>
    </w:p>
    <w:p>
      <w:pPr>
        <w:ind w:firstLine="480"/>
        <w:spacing w:line="360" w:lineRule="auto"/>
        <w:rPr>
          <w:color w:val="auto"/>
          <w:highlight w:val="none"/>
        </w:rPr>
      </w:pPr>
      <w:r>
        <w:rPr>
          <w:rFonts w:hint="eastAsia" w:cs="宋体"/>
          <w:color w:val="auto"/>
          <w:szCs w:val="24"/>
          <w:highlight w:val="none"/>
        </w:rPr>
        <w:t xml:space="preserve">太仓市已推进学生成长空间建设并且已常态化落地，初步搭建了学生成长空间体系，但目前系统存在成长数据归集维度不全、动态更新不足、素养评价场景覆盖有限、综合研判智能化程度偏低等问题，难以全面、客观、精准呈现学生阶段性成长特质与综合素养发展全貌，无法充分满足新时代五育并举、个性化育人、精准化综合素质评价的工作要求，亟需深化学生成长空间二期体系建设，完善学生综合素质数据归集、报告生成功能，健全科学化、数字化、常态化的学生综合素质评价机制，全面支撑区域学生全面发展与个性化育人工作落地。</w:t>
      </w:r>
      <w:r/>
    </w:p>
    <w:p>
      <w:pPr>
        <w:ind w:firstLine="480"/>
        <w:spacing w:line="360" w:lineRule="auto"/>
        <w:rPr>
          <w:color w:val="auto"/>
          <w:highlight w:val="none"/>
        </w:rPr>
      </w:pPr>
      <w:r>
        <w:rPr>
          <w:rFonts w:hint="eastAsia" w:cs="宋体"/>
          <w:color w:val="auto"/>
          <w:szCs w:val="24"/>
          <w:highlight w:val="none"/>
        </w:rPr>
        <w:t xml:space="preserve">学生成长空间在应用过程中通过用户反馈，系统部分功能需要优化，对此需要进行以下系统功能升级：</w:t>
      </w:r>
      <w:r/>
    </w:p>
    <w:p>
      <w:pPr>
        <w:ind w:firstLine="480"/>
        <w:spacing w:line="360" w:lineRule="auto"/>
        <w:rPr>
          <w:color w:val="auto"/>
          <w:highlight w:val="none"/>
        </w:rPr>
      </w:pPr>
      <w:r>
        <w:rPr>
          <w:rFonts w:hint="eastAsia" w:cs="宋体"/>
          <w:color w:val="auto"/>
          <w:szCs w:val="24"/>
          <w:highlight w:val="none"/>
          <w:lang w:val="en-US" w:eastAsia="zh-CN"/>
        </w:rPr>
        <w:t xml:space="preserve">(1)</w:t>
      </w:r>
      <w:r>
        <w:rPr>
          <w:rFonts w:hint="eastAsia" w:cs="宋体"/>
          <w:color w:val="auto"/>
          <w:szCs w:val="24"/>
          <w:highlight w:val="none"/>
        </w:rPr>
        <w:t xml:space="preserve">下载毕业生登记表：规范毕业生登记表线上填报，实现毕业生学籍信息、学业信息、奖惩信息的精准关联与统一核验，完善毕业生档案电子化归集管理体；</w:t>
      </w:r>
      <w:r/>
    </w:p>
    <w:p>
      <w:pPr>
        <w:ind w:firstLine="480"/>
        <w:spacing w:line="360" w:lineRule="auto"/>
        <w:rPr>
          <w:color w:val="auto"/>
          <w:highlight w:val="none"/>
        </w:rPr>
      </w:pPr>
      <w:r>
        <w:rPr>
          <w:rFonts w:hint="eastAsia" w:cs="宋体"/>
          <w:color w:val="auto"/>
          <w:szCs w:val="24"/>
          <w:highlight w:val="none"/>
          <w:lang w:val="en-US" w:eastAsia="zh-CN"/>
        </w:rPr>
        <w:t xml:space="preserve">(2)</w:t>
      </w:r>
      <w:r>
        <w:rPr>
          <w:rFonts w:hint="eastAsia" w:cs="宋体"/>
          <w:color w:val="auto"/>
          <w:szCs w:val="24"/>
          <w:highlight w:val="none"/>
        </w:rPr>
        <w:t xml:space="preserve">电子学籍卡：实现学籍数据动态更新、精准管控，全面提升中小学学籍电子化管理规范化、精细化水平；</w:t>
      </w:r>
      <w:r/>
    </w:p>
    <w:p>
      <w:pPr>
        <w:ind w:firstLine="480"/>
        <w:spacing w:line="360" w:lineRule="auto"/>
        <w:rPr>
          <w:color w:val="auto"/>
          <w:highlight w:val="none"/>
        </w:rPr>
      </w:pPr>
      <w:r>
        <w:rPr>
          <w:rFonts w:hint="eastAsia" w:cs="宋体"/>
          <w:color w:val="auto"/>
          <w:szCs w:val="24"/>
          <w:highlight w:val="none"/>
          <w:lang w:val="en-US" w:eastAsia="zh-CN"/>
        </w:rPr>
        <w:t xml:space="preserve">(3)</w:t>
      </w:r>
      <w:r>
        <w:rPr>
          <w:rFonts w:hint="eastAsia" w:cs="宋体"/>
          <w:color w:val="auto"/>
          <w:szCs w:val="24"/>
          <w:highlight w:val="none"/>
        </w:rPr>
        <w:t xml:space="preserve">幼儿园托班学段适配：拓展幼儿园学段管理范围，新增托班幼儿信息录入、日常管理、数据统计等功能，补齐学前教育低龄学段信息化管理短板；</w:t>
      </w:r>
      <w:r/>
    </w:p>
    <w:p>
      <w:pPr>
        <w:ind w:firstLine="480"/>
        <w:spacing w:line="360" w:lineRule="auto"/>
        <w:rPr>
          <w:color w:val="auto"/>
          <w:highlight w:val="none"/>
        </w:rPr>
      </w:pPr>
      <w:r>
        <w:rPr>
          <w:rFonts w:hint="eastAsia" w:cs="宋体"/>
          <w:color w:val="auto"/>
          <w:szCs w:val="24"/>
          <w:highlight w:val="none"/>
          <w:lang w:val="en-US" w:eastAsia="zh-CN"/>
        </w:rPr>
        <w:t xml:space="preserve">(4)</w:t>
      </w:r>
      <w:r>
        <w:rPr>
          <w:rFonts w:hint="eastAsia" w:cs="宋体"/>
          <w:color w:val="auto"/>
          <w:szCs w:val="24"/>
          <w:highlight w:val="none"/>
        </w:rPr>
        <w:t xml:space="preserve">中高职学段适配支撑：全面适配中等职业教育、高等职业教育学段管理需求，优化中高职学生学籍管理、数据统计等核心功能；</w:t>
      </w:r>
      <w:r/>
    </w:p>
    <w:p>
      <w:pPr>
        <w:ind w:firstLine="480"/>
        <w:spacing w:line="360" w:lineRule="auto"/>
        <w:rPr>
          <w:color w:val="auto"/>
          <w:highlight w:val="none"/>
        </w:rPr>
      </w:pPr>
      <w:r>
        <w:rPr>
          <w:rFonts w:hint="eastAsia" w:cs="宋体"/>
          <w:color w:val="auto"/>
          <w:szCs w:val="24"/>
          <w:highlight w:val="none"/>
          <w:lang w:val="en-US" w:eastAsia="zh-CN"/>
        </w:rPr>
        <w:t xml:space="preserve">(5)</w:t>
      </w:r>
      <w:r>
        <w:rPr>
          <w:rFonts w:hint="eastAsia" w:cs="宋体"/>
          <w:color w:val="auto"/>
          <w:szCs w:val="24"/>
          <w:highlight w:val="none"/>
        </w:rPr>
        <w:t xml:space="preserve">历史素质报告单数据规整清洗：开展历史学生素质评价报告单数据专项清洗规整工作，批量梳理、校验、修正历史数据，剔除无效、错误、重复数据，补齐缺失信息，规范历史素质评价数据标准；</w:t>
      </w:r>
      <w:r/>
    </w:p>
    <w:p>
      <w:pPr>
        <w:ind w:firstLine="480"/>
        <w:spacing w:line="360" w:lineRule="auto"/>
        <w:rPr>
          <w:color w:val="auto"/>
          <w:highlight w:val="none"/>
        </w:rPr>
      </w:pPr>
      <w:r>
        <w:rPr>
          <w:rFonts w:hint="eastAsia" w:cs="宋体"/>
          <w:color w:val="auto"/>
          <w:szCs w:val="24"/>
          <w:highlight w:val="none"/>
          <w:lang w:val="en-US" w:eastAsia="zh-CN"/>
        </w:rPr>
        <w:t xml:space="preserve">(6)</w:t>
      </w:r>
      <w:r>
        <w:rPr>
          <w:rFonts w:hint="eastAsia" w:cs="宋体"/>
          <w:color w:val="auto"/>
          <w:szCs w:val="24"/>
          <w:highlight w:val="none"/>
        </w:rPr>
        <w:t xml:space="preserve">学生素质报告单：优化升级学生综合素质报告单电子化管理功能，支持各学段素质评价结果线上填报、生成、导出与归档。</w:t>
      </w:r>
      <w:r/>
    </w:p>
    <w:p>
      <w:pPr>
        <w:spacing w:line="360" w:lineRule="auto"/>
        <w:rPr>
          <w:color w:val="auto"/>
          <w:highlight w:val="none"/>
        </w:rPr>
      </w:pPr>
      <w:r>
        <w:rPr>
          <w:rFonts w:hint="eastAsia" w:ascii="黑体" w:hAnsi="黑体" w:eastAsia="黑体" w:cs="宋体"/>
          <w:b/>
          <w:color w:val="auto"/>
          <w:sz w:val="28"/>
          <w:szCs w:val="28"/>
          <w:highlight w:val="none"/>
        </w:rPr>
        <w:t xml:space="preserve">（四）产出物</w:t>
      </w:r>
      <w:r/>
    </w:p>
    <w:tbl>
      <w:tblPr>
        <w:tblStyle w:val="764"/>
        <w:tblW w:w="8448"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041"/>
        <w:gridCol w:w="1588"/>
        <w:gridCol w:w="2438"/>
        <w:gridCol w:w="2381"/>
      </w:tblGrid>
      <w:tr>
        <w:trPr/>
        <w:tc>
          <w:tcPr>
            <w:tcBorders>
              <w:top w:val="single" w:color="auto" w:sz="8" w:space="0"/>
              <w:left w:val="single" w:color="auto" w:sz="8" w:space="0"/>
              <w:bottom w:val="single" w:color="auto" w:sz="8" w:space="0"/>
              <w:right w:val="single" w:color="auto" w:sz="8" w:space="0"/>
            </w:tcBorders>
            <w:tcW w:w="2041"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588"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指标名称</w:t>
            </w:r>
            <w:r/>
          </w:p>
        </w:tc>
        <w:tc>
          <w:tcPr>
            <w:tcBorders>
              <w:top w:val="single" w:color="auto" w:sz="8" w:space="0"/>
              <w:left w:val="single" w:color="auto" w:sz="8" w:space="0"/>
              <w:bottom w:val="single" w:color="auto" w:sz="8" w:space="0"/>
              <w:right w:val="single" w:color="auto" w:sz="8" w:space="0"/>
            </w:tcBorders>
            <w:tcW w:w="2438"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指标目标值</w:t>
            </w:r>
            <w:r/>
          </w:p>
        </w:tc>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指标目标值来源</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区域直播推流服务</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直播推流租用</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不低于300并发</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提供直播峰值证明材料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太仓市线上教育中心升级服务</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跟随市级平滑升级</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按照市级升级频次</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提供平台升级记录证明材料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AI课堂评价服务</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AI课堂评价报告</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不少于50份课堂评价报告</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提供记录证明材料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系统运维服务</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系统运维服务</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系统故障次数低于10次</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项目验收资料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驻点客服</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客户服务</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完成</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项目验收资料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宣传推广</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平台宣传推广</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完成</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项目实施单位平台宣传推广的过程资料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运营活动</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运营推广活动</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不低于4次</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项目实施单位运营活动过程资料</w:t>
            </w:r>
            <w:r/>
          </w:p>
        </w:tc>
      </w:tr>
      <w:tr>
        <w:trPr/>
        <w:tc>
          <w:tcPr>
            <w:tcW w:w="2041" w:type="dxa"/>
            <w:vAlign w:val="center"/>
            <w:textDirection w:val="lrTb"/>
            <w:noWrap w:val="false"/>
          </w:tcPr>
          <w:p>
            <w:pPr>
              <w:rPr>
                <w:color w:val="auto"/>
                <w:highlight w:val="none"/>
              </w:rPr>
            </w:pPr>
            <w:r>
              <w:rPr>
                <w:rFonts w:hint="eastAsia" w:cs="宋体"/>
                <w:color w:val="auto"/>
                <w:sz w:val="21"/>
                <w:highlight w:val="none"/>
              </w:rPr>
              <w:t xml:space="preserve">学生成长空间二期定制化升级服务</w:t>
            </w:r>
            <w:r/>
          </w:p>
        </w:tc>
        <w:tc>
          <w:tcPr>
            <w:tcW w:w="1588" w:type="dxa"/>
            <w:vAlign w:val="center"/>
            <w:textDirection w:val="lrTb"/>
            <w:noWrap w:val="false"/>
          </w:tcPr>
          <w:p>
            <w:pPr>
              <w:rPr>
                <w:color w:val="auto"/>
                <w:highlight w:val="none"/>
              </w:rPr>
            </w:pPr>
            <w:r>
              <w:rPr>
                <w:rFonts w:hint="eastAsia" w:cs="宋体"/>
                <w:color w:val="auto"/>
                <w:sz w:val="21"/>
                <w:highlight w:val="none"/>
              </w:rPr>
              <w:t xml:space="preserve">定制化升级</w:t>
            </w:r>
            <w:r/>
          </w:p>
        </w:tc>
        <w:tc>
          <w:tcPr>
            <w:tcW w:w="2438" w:type="dxa"/>
            <w:vAlign w:val="center"/>
            <w:textDirection w:val="lrTb"/>
            <w:noWrap w:val="false"/>
          </w:tcPr>
          <w:p>
            <w:pPr>
              <w:rPr>
                <w:color w:val="auto"/>
                <w:highlight w:val="none"/>
              </w:rPr>
            </w:pPr>
            <w:r>
              <w:rPr>
                <w:rFonts w:hint="eastAsia" w:cs="宋体"/>
                <w:color w:val="auto"/>
                <w:sz w:val="21"/>
                <w:highlight w:val="none"/>
              </w:rPr>
              <w:t xml:space="preserve">系统可用性、易用性提升</w:t>
            </w:r>
            <w:r/>
          </w:p>
        </w:tc>
        <w:tc>
          <w:tcPr>
            <w:tcW w:w="2381" w:type="dxa"/>
            <w:vAlign w:val="center"/>
            <w:textDirection w:val="lrTb"/>
            <w:noWrap w:val="false"/>
          </w:tcPr>
          <w:p>
            <w:pPr>
              <w:rPr>
                <w:color w:val="auto"/>
                <w:highlight w:val="none"/>
              </w:rPr>
            </w:pPr>
            <w:r>
              <w:rPr>
                <w:rFonts w:hint="eastAsia" w:cs="宋体"/>
                <w:color w:val="auto"/>
                <w:sz w:val="21"/>
                <w:highlight w:val="none"/>
              </w:rPr>
              <w:t xml:space="preserve">提供平台升级记录证明材料</w:t>
            </w:r>
            <w:r/>
          </w:p>
        </w:tc>
      </w:tr>
    </w:tbl>
    <w:p>
      <w:pPr>
        <w:spacing w:line="360" w:lineRule="auto"/>
        <w:rPr>
          <w:color w:val="auto"/>
          <w:highlight w:val="none"/>
        </w:rPr>
      </w:pPr>
      <w:r>
        <w:rPr>
          <w:rFonts w:hint="eastAsia" w:ascii="黑体" w:hAnsi="黑体" w:eastAsia="黑体" w:cs="宋体"/>
          <w:b/>
          <w:color w:val="auto"/>
          <w:sz w:val="30"/>
          <w:szCs w:val="30"/>
          <w:highlight w:val="none"/>
        </w:rPr>
        <w:t xml:space="preserve">二、综合说明及其他要求：</w:t>
      </w:r>
      <w:r/>
    </w:p>
    <w:p>
      <w:pPr>
        <w:ind w:firstLine="480"/>
        <w:spacing w:line="360" w:lineRule="auto"/>
        <w:rPr>
          <w:color w:val="auto"/>
          <w:highlight w:val="none"/>
        </w:rPr>
      </w:pPr>
      <w:r>
        <w:rPr>
          <w:rFonts w:hint="eastAsia" w:cs="宋体"/>
          <w:color w:val="auto"/>
          <w:szCs w:val="24"/>
          <w:highlight w:val="none"/>
        </w:rPr>
        <w:t xml:space="preserve">1、项目质量必须严格按照国家规范及江苏省、苏州市、太仓市相应地方规范、招标文件的有关要求执行。</w:t>
      </w:r>
      <w:r/>
    </w:p>
    <w:p>
      <w:pPr>
        <w:ind w:firstLine="480"/>
        <w:spacing w:line="360" w:lineRule="auto"/>
        <w:rPr>
          <w:color w:val="auto"/>
          <w:highlight w:val="none"/>
        </w:rPr>
      </w:pPr>
      <w:r>
        <w:rPr>
          <w:rFonts w:hint="eastAsia" w:cs="宋体"/>
          <w:color w:val="auto"/>
          <w:szCs w:val="24"/>
          <w:highlight w:val="none"/>
        </w:rPr>
        <w:t xml:space="preserve">2、中标人须按照招标要求和技术标准实施，不得擅自修改。</w:t>
      </w:r>
      <w:r/>
    </w:p>
    <w:p>
      <w:pPr>
        <w:ind w:firstLine="480"/>
        <w:spacing w:line="360" w:lineRule="auto"/>
        <w:rPr>
          <w:color w:val="auto"/>
          <w:highlight w:val="none"/>
        </w:rPr>
      </w:pPr>
      <w:r>
        <w:rPr>
          <w:rFonts w:hint="eastAsia" w:cs="宋体"/>
          <w:color w:val="auto"/>
          <w:szCs w:val="24"/>
          <w:highlight w:val="none"/>
        </w:rPr>
        <w:t xml:space="preserve">3、投标人必须说明其是否响应招标文件中提出的全部服务内容与要求，如果以其中某些条款不响应时，应在投标文件中逐条列出，未列出的视同响应。</w:t>
      </w:r>
      <w:r/>
    </w:p>
    <w:p>
      <w:pPr>
        <w:ind w:firstLine="480"/>
        <w:spacing w:line="360" w:lineRule="auto"/>
        <w:rPr>
          <w:color w:val="auto"/>
          <w:highlight w:val="none"/>
        </w:rPr>
      </w:pPr>
      <w:r>
        <w:rPr>
          <w:rFonts w:hint="eastAsia" w:cs="宋体"/>
          <w:color w:val="auto"/>
          <w:szCs w:val="24"/>
          <w:highlight w:val="none"/>
        </w:rPr>
        <w:t xml:space="preserve">4、中标人必须承诺对其提供的服务和产品不会侵犯任何第三方知识产权和其他合法权益，不会对采购人造成任何损害，由此而引起的法律纠纷以及费用中标人须全部承担。</w:t>
      </w:r>
      <w:r/>
    </w:p>
    <w:p>
      <w:pPr>
        <w:ind w:firstLine="480"/>
        <w:spacing w:line="360" w:lineRule="auto"/>
        <w:rPr>
          <w:color w:val="auto"/>
          <w:highlight w:val="none"/>
        </w:rPr>
      </w:pPr>
      <w:r>
        <w:rPr>
          <w:rFonts w:hint="eastAsia" w:cs="宋体"/>
          <w:color w:val="auto"/>
          <w:szCs w:val="24"/>
          <w:highlight w:val="none"/>
        </w:rPr>
        <w:t xml:space="preserve">5、凡涉及采购公告的补充说明和修改，均以江苏省政府采购网、苏州市政府采购网发布的补充通知为准。</w:t>
      </w:r>
      <w:r/>
    </w:p>
    <w:p>
      <w:pPr>
        <w:ind w:firstLine="480"/>
        <w:spacing w:line="360" w:lineRule="auto"/>
        <w:rPr>
          <w:color w:val="auto"/>
          <w:highlight w:val="none"/>
        </w:rPr>
      </w:pPr>
      <w:r>
        <w:rPr>
          <w:rFonts w:hint="eastAsia" w:cs="宋体"/>
          <w:color w:val="auto"/>
          <w:szCs w:val="24"/>
          <w:highlight w:val="none"/>
        </w:rPr>
        <w:t xml:space="preserve">6、具体履约验收标准按照附件1《服务类项目履约验收方案》验收，服务考核办法见附件2。</w:t>
      </w:r>
      <w:r/>
    </w:p>
    <w:p>
      <w:pPr>
        <w:ind w:left="709"/>
        <w:spacing w:before="120" w:after="120" w:line="288" w:lineRule="auto"/>
        <w:widowControl/>
        <w:rPr>
          <w:color w:val="auto"/>
          <w:highlight w:val="none"/>
        </w:rPr>
        <w:sectPr>
          <w:footerReference w:type="default" r:id="rId11"/>
          <w:footnotePr/>
          <w:endnotePr/>
          <w:type w:val="nextPage"/>
          <w:pgSz w:w="11906" w:h="16838" w:orient="portrait"/>
          <w:pgMar w:top="1134" w:right="1610" w:bottom="1134" w:left="1474" w:header="851" w:footer="765" w:gutter="0"/>
          <w:cols w:num="1" w:sep="0" w:space="720" w:equalWidth="1"/>
          <w:docGrid w:linePitch="360"/>
        </w:sectPr>
      </w:pPr>
      <w:r>
        <w:rPr>
          <w:color w:val="auto"/>
          <w:highlight w:val="none"/>
        </w:rPr>
      </w:r>
      <w:r/>
    </w:p>
    <w:p>
      <w:pPr>
        <w:pStyle w:val="702"/>
        <w:jc w:val="left"/>
        <w:spacing w:line="460" w:lineRule="exact"/>
        <w:rPr>
          <w:rFonts w:asciiTheme="minorEastAsia" w:hAnsiTheme="minorEastAsia" w:eastAsiaTheme="minorEastAsia"/>
          <w:color w:val="auto"/>
          <w:highlight w:val="none"/>
        </w:rPr>
      </w:pPr>
      <w:r>
        <w:rPr>
          <w:rFonts w:hint="eastAsia" w:cs="宋体"/>
          <w:color w:val="auto"/>
          <w:highlight w:val="none"/>
        </w:rPr>
        <w:t xml:space="preserve">三、商务要求</w:t>
      </w:r>
      <w:r/>
    </w:p>
    <w:p>
      <w:pPr>
        <w:pStyle w:val="703"/>
        <w:jc w:val="left"/>
        <w:spacing w:line="460" w:lineRule="exact"/>
        <w:rPr>
          <w:rFonts w:asciiTheme="minorEastAsia" w:hAnsiTheme="minorEastAsia" w:eastAsiaTheme="minorEastAsia"/>
          <w:bCs/>
          <w:color w:val="auto"/>
          <w:highlight w:val="none"/>
        </w:rPr>
      </w:pPr>
      <w:r/>
      <w:bookmarkStart w:id="0" w:name="_Toc197425251"/>
      <w:r>
        <w:rPr>
          <w:rFonts w:hint="eastAsia" w:cs="宋体"/>
          <w:color w:val="auto"/>
          <w:highlight w:val="none"/>
        </w:rPr>
        <w:t xml:space="preserve">（一）★ </w:t>
      </w:r>
      <w:r>
        <w:rPr>
          <w:rFonts w:hint="eastAsia" w:cs="宋体"/>
          <w:bCs/>
          <w:color w:val="auto"/>
          <w:highlight w:val="none"/>
        </w:rPr>
        <w:t xml:space="preserve">项目工期要求</w:t>
      </w:r>
      <w:bookmarkEnd w:id="0"/>
      <w:r/>
      <w:r/>
    </w:p>
    <w:p>
      <w:pPr>
        <w:ind w:firstLine="480"/>
        <w:spacing w:line="360" w:lineRule="auto"/>
        <w:rPr>
          <w:rFonts w:hint="eastAsia" w:cs="宋体"/>
          <w:color w:val="auto"/>
          <w:highlight w:val="none"/>
        </w:rPr>
      </w:pPr>
      <w:r>
        <w:rPr>
          <w:rFonts w:hint="eastAsia" w:cs="宋体"/>
          <w:color w:val="auto"/>
          <w:highlight w:val="none"/>
        </w:rPr>
        <w:t xml:space="preserve">合同履行期限：1年，自合同签订之日起一年。服务期内中标人须按项目需求持续提供各项服务，保障太仓线上教育平台7×24小时稳定运行。</w:t>
      </w:r>
      <w:r/>
    </w:p>
    <w:p>
      <w:pPr>
        <w:pStyle w:val="703"/>
        <w:jc w:val="left"/>
        <w:spacing w:line="460" w:lineRule="exact"/>
        <w:rPr>
          <w:rFonts w:asciiTheme="minorEastAsia" w:hAnsiTheme="minorEastAsia" w:eastAsiaTheme="minorEastAsia"/>
          <w:bCs/>
          <w:color w:val="auto"/>
          <w:highlight w:val="none"/>
        </w:rPr>
      </w:pPr>
      <w:r>
        <w:rPr>
          <w:rFonts w:hint="eastAsia" w:cs="宋体"/>
          <w:bCs/>
          <w:color w:val="auto"/>
          <w:highlight w:val="none"/>
        </w:rPr>
        <w:t xml:space="preserve">（二）</w:t>
      </w:r>
      <w:r>
        <w:rPr>
          <w:rFonts w:hint="eastAsia" w:cs="宋体"/>
          <w:color w:val="auto"/>
          <w:highlight w:val="none"/>
        </w:rPr>
        <w:t xml:space="preserve">★</w:t>
      </w:r>
      <w:r>
        <w:rPr>
          <w:rFonts w:hint="eastAsia" w:cs="宋体"/>
          <w:bCs/>
          <w:color w:val="auto"/>
          <w:highlight w:val="none"/>
        </w:rPr>
        <w:t xml:space="preserve">项目人员要求</w:t>
      </w:r>
      <w:r/>
    </w:p>
    <w:p>
      <w:pPr>
        <w:ind w:firstLine="480"/>
        <w:spacing w:line="360" w:lineRule="auto"/>
        <w:rPr>
          <w:rFonts w:asciiTheme="minorEastAsia" w:hAnsiTheme="minorEastAsia" w:eastAsiaTheme="minorEastAsia"/>
          <w:color w:val="auto"/>
          <w:highlight w:val="none"/>
        </w:rPr>
      </w:pPr>
      <w:r>
        <w:rPr>
          <w:rFonts w:hint="eastAsia" w:cs="宋体"/>
          <w:color w:val="auto"/>
          <w:highlight w:val="none"/>
        </w:rPr>
        <w:t xml:space="preserve">1、投标人应组织由资深项目经理带领的经验丰富、技术服务能力强的项目团队，项目团队至少包含项目经理、技术负责人及建设需求中要求的开发人员、测试人员、技术运维人员、驻场客服人员、宣传推广服务人员，并确保在项目服务的各个阶段项目团队的稳定性。</w:t>
      </w:r>
      <w:r/>
    </w:p>
    <w:p>
      <w:pPr>
        <w:ind w:firstLine="480"/>
        <w:spacing w:line="360" w:lineRule="auto"/>
        <w:rPr>
          <w:rFonts w:asciiTheme="minorEastAsia" w:hAnsiTheme="minorEastAsia" w:eastAsiaTheme="minorEastAsia"/>
          <w:color w:val="auto"/>
          <w:highlight w:val="none"/>
        </w:rPr>
      </w:pPr>
      <w:r>
        <w:rPr>
          <w:rFonts w:hint="eastAsia" w:cs="宋体"/>
          <w:color w:val="auto"/>
          <w:highlight w:val="none"/>
        </w:rPr>
        <w:t xml:space="preserve">2、技术运维服务人员2名，负责太仓线上教育系统的技术运维服务，具备软件运维服务经验。</w:t>
      </w:r>
      <w:r/>
    </w:p>
    <w:p>
      <w:pPr>
        <w:ind w:firstLine="480"/>
        <w:spacing w:line="360" w:lineRule="auto"/>
        <w:rPr>
          <w:rFonts w:asciiTheme="minorEastAsia" w:hAnsiTheme="minorEastAsia" w:eastAsiaTheme="minorEastAsia"/>
          <w:color w:val="auto"/>
          <w:highlight w:val="none"/>
        </w:rPr>
      </w:pPr>
      <w:r>
        <w:rPr>
          <w:rFonts w:hint="eastAsia" w:cs="宋体"/>
          <w:color w:val="auto"/>
          <w:highlight w:val="none"/>
        </w:rPr>
        <w:t xml:space="preserve">3、客户服务团队不少于3人，其中驻场客户服务人员不少于2人，远程客户服务人员不少于1人，客服团队要求2年及以上类似项目客服服务经验。</w:t>
      </w:r>
      <w:r/>
    </w:p>
    <w:p>
      <w:pPr>
        <w:ind w:firstLine="480"/>
        <w:spacing w:line="360" w:lineRule="auto"/>
        <w:rPr>
          <w:rFonts w:asciiTheme="minorEastAsia" w:hAnsiTheme="minorEastAsia" w:eastAsiaTheme="minorEastAsia"/>
          <w:color w:val="auto"/>
          <w:highlight w:val="none"/>
        </w:rPr>
      </w:pPr>
      <w:r>
        <w:rPr>
          <w:rFonts w:hint="eastAsia" w:cs="宋体"/>
          <w:color w:val="auto"/>
          <w:highlight w:val="none"/>
        </w:rPr>
        <w:t xml:space="preserve">4、宣传及推广服务团队人员不少于1人，拥有运营推广经验。</w:t>
      </w:r>
      <w:r/>
    </w:p>
    <w:p>
      <w:pPr>
        <w:ind w:firstLine="480"/>
        <w:spacing w:line="360" w:lineRule="auto"/>
        <w:rPr>
          <w:rFonts w:hint="eastAsia" w:cs="宋体"/>
          <w:color w:val="auto"/>
          <w:highlight w:val="none"/>
        </w:rPr>
      </w:pPr>
      <w:r>
        <w:rPr>
          <w:rFonts w:hint="eastAsia" w:cs="宋体"/>
          <w:color w:val="auto"/>
          <w:highlight w:val="none"/>
        </w:rPr>
        <w:t xml:space="preserve">5、投标人更换项目经理和主要技术人员（即技术负责人、开发人员和实施人员），须报告采购人，经同意后方可更换；投标人出现资源、进度、质量协调控制不力的，采购人有权要求更换相关责任人，投标人必须予以配合。</w:t>
      </w:r>
      <w:r/>
    </w:p>
    <w:p>
      <w:pPr>
        <w:pStyle w:val="712"/>
        <w:ind w:firstLine="425"/>
        <w:rPr>
          <w:rFonts w:hint="default" w:ascii="仿宋" w:hAnsi="仿宋" w:eastAsia="仿宋" w:cs="宋体"/>
          <w:b/>
          <w:bCs/>
          <w:color w:val="auto"/>
          <w:sz w:val="24"/>
          <w:highlight w:val="none"/>
          <w:lang w:val="en-US" w:eastAsia="zh-CN" w:bidi="ar-SA"/>
        </w:rPr>
      </w:pPr>
      <w:r>
        <w:rPr>
          <w:rFonts w:hint="eastAsia" w:ascii="仿宋" w:hAnsi="仿宋" w:eastAsia="仿宋" w:cs="宋体"/>
          <w:b/>
          <w:bCs/>
          <w:color w:val="auto"/>
          <w:sz w:val="24"/>
          <w:highlight w:val="none"/>
          <w:lang w:val="en-US" w:eastAsia="zh-CN" w:bidi="ar-SA"/>
        </w:rPr>
        <w:t xml:space="preserve">提供承诺函承诺以上事项，否则视为无效投标。</w:t>
      </w:r>
      <w:r/>
    </w:p>
    <w:p>
      <w:pPr>
        <w:pStyle w:val="703"/>
        <w:jc w:val="left"/>
        <w:spacing w:line="460" w:lineRule="exact"/>
        <w:rPr>
          <w:rFonts w:asciiTheme="minorEastAsia" w:hAnsiTheme="minorEastAsia" w:eastAsiaTheme="minorEastAsia"/>
          <w:bCs/>
          <w:color w:val="auto"/>
          <w:highlight w:val="none"/>
        </w:rPr>
      </w:pPr>
      <w:r/>
      <w:bookmarkStart w:id="1" w:name="_Toc197425253"/>
      <w:r>
        <w:rPr>
          <w:rFonts w:hint="eastAsia" w:cs="宋体"/>
          <w:color w:val="auto"/>
          <w:highlight w:val="none"/>
        </w:rPr>
        <w:t xml:space="preserve">（三）★ </w:t>
      </w:r>
      <w:r>
        <w:rPr>
          <w:rFonts w:hint="eastAsia" w:cs="宋体"/>
          <w:bCs/>
          <w:color w:val="auto"/>
          <w:highlight w:val="none"/>
        </w:rPr>
        <w:t xml:space="preserve">项目验收要求</w:t>
      </w:r>
      <w:bookmarkEnd w:id="1"/>
      <w:r/>
      <w:r/>
    </w:p>
    <w:p>
      <w:pPr>
        <w:ind w:firstLine="480"/>
        <w:spacing w:line="360" w:lineRule="auto"/>
        <w:rPr>
          <w:rFonts w:cs="宋体"/>
          <w:color w:val="auto"/>
          <w:highlight w:val="none"/>
        </w:rPr>
      </w:pPr>
      <w:r>
        <w:rPr>
          <w:rFonts w:hint="eastAsia" w:cs="宋体"/>
          <w:color w:val="auto"/>
          <w:highlight w:val="none"/>
        </w:rPr>
        <w:t xml:space="preserve">1、本项目履约验收按照《江苏省政府采购履约验收管理办法》（苏财规〔2024〕7号）及附件1《服务类项目履约验收方案》执行，政府采购文件、供应商投标文件、政府采购合同是履约验收工作的基本依据。</w:t>
      </w:r>
      <w:r/>
    </w:p>
    <w:p>
      <w:pPr>
        <w:ind w:firstLine="480"/>
        <w:spacing w:line="360" w:lineRule="auto"/>
        <w:rPr>
          <w:rFonts w:cs="宋体"/>
          <w:color w:val="auto"/>
          <w:highlight w:val="none"/>
        </w:rPr>
      </w:pPr>
      <w:r>
        <w:rPr>
          <w:rFonts w:hint="eastAsia" w:cs="宋体"/>
          <w:color w:val="auto"/>
          <w:highlight w:val="none"/>
        </w:rPr>
        <w:t xml:space="preserve">2、采购人是履约验收工作的责任主体。服务期内采购人对供应商服务实施情况进行日常考核、分段验收，考核或验收结果与付款金额、付款进度安排等挂钩。</w:t>
      </w:r>
      <w:r/>
    </w:p>
    <w:p>
      <w:pPr>
        <w:ind w:firstLine="480"/>
        <w:spacing w:line="360" w:lineRule="auto"/>
        <w:rPr>
          <w:rFonts w:cs="宋体"/>
          <w:color w:val="auto"/>
          <w:highlight w:val="none"/>
        </w:rPr>
      </w:pPr>
      <w:r>
        <w:rPr>
          <w:rFonts w:hint="eastAsia" w:cs="宋体"/>
          <w:color w:val="auto"/>
          <w:highlight w:val="none"/>
        </w:rPr>
        <w:t xml:space="preserve">3、服务期满，供应商应向采购人发出项目验收申请，采购人组织验收小组按合同约定进行最终验收并出具《政府采购履约验收书》；服务考核办法见附件2。</w:t>
      </w:r>
      <w:r/>
    </w:p>
    <w:p>
      <w:pPr>
        <w:pStyle w:val="703"/>
        <w:jc w:val="left"/>
        <w:spacing w:line="460" w:lineRule="exact"/>
        <w:rPr>
          <w:rFonts w:asciiTheme="minorEastAsia" w:hAnsiTheme="minorEastAsia" w:eastAsiaTheme="minorEastAsia"/>
          <w:color w:val="auto"/>
          <w:highlight w:val="none"/>
        </w:rPr>
      </w:pPr>
      <w:r>
        <w:rPr>
          <w:rFonts w:hint="eastAsia" w:cs="宋体"/>
          <w:color w:val="auto"/>
          <w:highlight w:val="none"/>
        </w:rPr>
        <w:t xml:space="preserve">（四）★ 付款方式</w:t>
      </w:r>
      <w:r/>
    </w:p>
    <w:p>
      <w:pPr>
        <w:ind w:firstLine="480"/>
        <w:spacing w:line="360" w:lineRule="auto"/>
        <w:rPr>
          <w:rFonts w:cs="宋体"/>
          <w:color w:val="auto"/>
          <w:highlight w:val="none"/>
        </w:rPr>
      </w:pPr>
      <w:r>
        <w:rPr>
          <w:rFonts w:hint="eastAsia" w:cs="宋体"/>
          <w:color w:val="auto"/>
          <w:highlight w:val="none"/>
        </w:rPr>
        <w:t xml:space="preserve">1、付款步骤：合同签订后，甲方支付合同款项的45%；服务期满并经甲方验收合格后的七个工作日内支付剩余55%尾款，尾款需按照服务考核条款，根据考核结果按比例进行支付，支付前需提供服务考核报告。</w:t>
      </w:r>
      <w:r/>
    </w:p>
    <w:p>
      <w:pPr>
        <w:ind w:firstLine="480"/>
        <w:spacing w:line="360" w:lineRule="auto"/>
        <w:rPr>
          <w:rFonts w:cs="宋体"/>
          <w:color w:val="auto"/>
          <w:highlight w:val="none"/>
        </w:rPr>
      </w:pPr>
      <w:r>
        <w:rPr>
          <w:rFonts w:hint="eastAsia" w:cs="宋体"/>
          <w:color w:val="auto"/>
          <w:highlight w:val="none"/>
        </w:rPr>
        <w:t xml:space="preserve">2、付款方式：银行转账。</w:t>
      </w:r>
      <w:r/>
    </w:p>
    <w:p>
      <w:pPr>
        <w:ind w:firstLine="480"/>
        <w:spacing w:line="360" w:lineRule="auto"/>
        <w:rPr>
          <w:rFonts w:cs="宋体"/>
          <w:color w:val="auto"/>
          <w:highlight w:val="none"/>
        </w:rPr>
      </w:pPr>
      <w:r>
        <w:rPr>
          <w:rFonts w:hint="eastAsia" w:cs="宋体"/>
          <w:color w:val="auto"/>
          <w:highlight w:val="none"/>
        </w:rPr>
        <w:t xml:space="preserve">3、服务考核分数在90（含）分以上的为优秀，采购人在服务期满后支付100%尾款；考核结果在80（含）-90（不含）分为基本合格，采购人在服务期满后支付80%尾款；若考核分数在80（不含）分以下的为不合格，则视为违约，采购人有权拒绝支付尾款。</w:t>
      </w:r>
      <w:r/>
    </w:p>
    <w:p>
      <w:pPr>
        <w:ind w:firstLine="480"/>
        <w:spacing w:line="360" w:lineRule="auto"/>
        <w:rPr>
          <w:rFonts w:cs="宋体"/>
          <w:color w:val="auto"/>
          <w:highlight w:val="none"/>
        </w:rPr>
      </w:pPr>
      <w:r>
        <w:rPr>
          <w:rFonts w:hint="eastAsia" w:cs="宋体"/>
          <w:color w:val="auto"/>
          <w:highlight w:val="none"/>
        </w:rPr>
        <w:t xml:space="preserve">4、服务考核办法见附件2。</w:t>
      </w:r>
      <w:r/>
    </w:p>
    <w:p>
      <w:pPr>
        <w:spacing w:line="460" w:lineRule="exact"/>
        <w:rPr>
          <w:rFonts w:cs="MicrosoftYaHei"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r>
      <w:r/>
    </w:p>
    <w:p>
      <w:pPr>
        <w:pStyle w:val="702"/>
        <w:jc w:val="left"/>
        <w:spacing w:line="460" w:lineRule="exact"/>
        <w:rPr>
          <w:rFonts w:cs="宋体" w:asciiTheme="minorEastAsia" w:hAnsiTheme="minorEastAsia" w:eastAsiaTheme="minorEastAsia"/>
          <w:color w:val="auto"/>
          <w:highlight w:val="none"/>
        </w:rPr>
      </w:pPr>
      <w:r>
        <w:rPr>
          <w:rFonts w:hint="eastAsia" w:cs="宋体"/>
          <w:color w:val="auto"/>
          <w:highlight w:val="none"/>
        </w:rPr>
        <w:t xml:space="preserve">四、★ 报价要求：</w:t>
      </w:r>
      <w:r/>
    </w:p>
    <w:p>
      <w:pPr>
        <w:ind w:firstLine="480"/>
        <w:spacing w:line="360" w:lineRule="auto"/>
        <w:rPr>
          <w:rFonts w:cs="宋体" w:asciiTheme="minorEastAsia" w:hAnsiTheme="minorEastAsia" w:eastAsiaTheme="minorEastAsia"/>
          <w:color w:val="auto"/>
          <w:highlight w:val="none"/>
          <w:lang w:val="zh-CN"/>
        </w:rPr>
      </w:pPr>
      <w:r>
        <w:rPr>
          <w:rFonts w:hint="eastAsia" w:cs="宋体"/>
          <w:color w:val="auto"/>
          <w:highlight w:val="none"/>
        </w:rPr>
        <w:t xml:space="preserve">1、投标报价一次报定，投标总价不高于采购预算的为有效投标报价，否则为无效投标报价</w:t>
      </w:r>
      <w:r>
        <w:rPr>
          <w:rFonts w:hint="eastAsia" w:cs="宋体"/>
          <w:color w:val="auto"/>
          <w:highlight w:val="none"/>
          <w:lang w:val="zh-CN"/>
        </w:rPr>
        <w:t xml:space="preserve">。</w:t>
      </w:r>
      <w:r>
        <w:rPr>
          <w:rFonts w:hint="eastAsia" w:cs="宋体"/>
          <w:color w:val="auto"/>
          <w:highlight w:val="none"/>
        </w:rPr>
        <w:t xml:space="preserve">无效投标报价的投标文件不进行评审，也不得标。</w:t>
      </w:r>
      <w:r/>
    </w:p>
    <w:p>
      <w:pPr>
        <w:ind w:firstLine="480"/>
        <w:spacing w:line="360" w:lineRule="auto"/>
        <w:rPr>
          <w:rFonts w:cs="宋体" w:asciiTheme="minorEastAsia" w:hAnsiTheme="minorEastAsia" w:eastAsiaTheme="minorEastAsia"/>
          <w:color w:val="auto"/>
          <w:highlight w:val="none"/>
          <w:lang w:val="zh-CN"/>
        </w:rPr>
      </w:pPr>
      <w:r>
        <w:rPr>
          <w:rFonts w:hint="eastAsia" w:cs="宋体"/>
          <w:color w:val="auto"/>
          <w:highlight w:val="none"/>
        </w:rPr>
        <w:t xml:space="preserve">2、投标人应以人民币对全部采购项目进行报价，只对其中部分内容或出现选择性报价者，其报价将被拒绝。</w:t>
      </w:r>
      <w:r>
        <w:rPr>
          <w:rFonts w:hint="eastAsia" w:cs="宋体"/>
          <w:color w:val="auto"/>
          <w:highlight w:val="none"/>
          <w:lang w:val="zh-CN"/>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ind w:firstLine="480"/>
        <w:spacing w:line="360" w:lineRule="auto"/>
        <w:rPr>
          <w:rFonts w:cs="宋体" w:asciiTheme="minorEastAsia" w:hAnsiTheme="minorEastAsia" w:eastAsiaTheme="minorEastAsia"/>
          <w:color w:val="auto"/>
          <w:highlight w:val="none"/>
        </w:rPr>
      </w:pPr>
      <w:r>
        <w:rPr>
          <w:rFonts w:hint="eastAsia" w:cs="宋体"/>
          <w:color w:val="auto"/>
          <w:highlight w:val="none"/>
        </w:rPr>
        <w:t xml:space="preserve">3、</w:t>
      </w:r>
      <w:r>
        <w:rPr>
          <w:rFonts w:hint="eastAsia" w:cs="宋体"/>
          <w:color w:val="auto"/>
          <w:highlight w:val="none"/>
          <w:lang w:val="zh-CN"/>
        </w:rPr>
        <w:t xml:space="preserve">投标人报价已充分考虑项目完成的政策性调整、各种市场价格的浮动等因素造成的价格变动，项目完成期内的合同价格不作调整。</w:t>
      </w:r>
      <w:r/>
    </w:p>
    <w:p>
      <w:pPr>
        <w:ind w:firstLine="480"/>
        <w:spacing w:line="360" w:lineRule="auto"/>
        <w:rPr>
          <w:rFonts w:ascii="黑体" w:hAnsi="黑体" w:eastAsia="黑体" w:cs="黑体"/>
          <w:bCs/>
          <w:color w:val="auto"/>
          <w:highlight w:val="none"/>
        </w:rPr>
      </w:pPr>
      <w:r>
        <w:rPr>
          <w:rFonts w:hint="eastAsia" w:cs="宋体"/>
          <w:bCs/>
          <w:color w:val="auto"/>
          <w:highlight w:val="none"/>
        </w:rPr>
        <w:br w:type="page" w:clear="all"/>
      </w:r>
      <w:r>
        <w:rPr>
          <w:rFonts w:hint="eastAsia" w:cs="宋体"/>
          <w:bCs/>
          <w:color w:val="auto"/>
          <w:highlight w:val="none"/>
        </w:rPr>
        <w:t xml:space="preserve">附件1：服务类项目履约验收方案</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一、项目概况</w:t>
      </w:r>
      <w:r/>
    </w:p>
    <w:p>
      <w:pPr>
        <w:ind w:firstLine="480"/>
        <w:spacing w:line="360" w:lineRule="auto"/>
        <w:rPr>
          <w:rFonts w:hAnsi="宋体" w:eastAsia="宋体" w:cs="MS Gothic"/>
          <w:color w:val="auto"/>
          <w:szCs w:val="24"/>
          <w:highlight w:val="none"/>
        </w:rPr>
      </w:pPr>
      <w:r>
        <w:rPr>
          <w:rFonts w:hint="eastAsia" w:cs="宋体"/>
          <w:color w:val="auto"/>
          <w:highlight w:val="none"/>
        </w:rPr>
        <w:t xml:space="preserve">项目编号：JSZC-320585-JZCG-G2026-0092</w:t>
      </w:r>
      <w:r/>
    </w:p>
    <w:p>
      <w:pPr>
        <w:ind w:firstLine="480"/>
        <w:spacing w:line="360" w:lineRule="auto"/>
        <w:rPr>
          <w:rFonts w:hAnsi="宋体" w:eastAsia="宋体" w:cs="微软雅黑"/>
          <w:color w:val="auto"/>
          <w:szCs w:val="24"/>
          <w:highlight w:val="none"/>
        </w:rPr>
      </w:pPr>
      <w:r>
        <w:rPr>
          <w:rFonts w:hint="eastAsia" w:cs="宋体"/>
          <w:color w:val="auto"/>
          <w:highlight w:val="none"/>
        </w:rPr>
        <w:t xml:space="preserve">项目名称：2026年苏州线上教育太仓分中心综合服务</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供应商名称：</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合同金额：</w:t>
      </w:r>
      <w:r/>
    </w:p>
    <w:p>
      <w:pPr>
        <w:ind w:firstLine="480"/>
        <w:spacing w:line="360" w:lineRule="auto"/>
        <w:rPr>
          <w:rFonts w:hAnsi="宋体" w:eastAsia="宋体"/>
          <w:color w:val="auto"/>
          <w:szCs w:val="24"/>
          <w:highlight w:val="none"/>
        </w:rPr>
      </w:pPr>
      <w:r>
        <w:rPr>
          <w:rFonts w:hint="eastAsia" w:cs="宋体"/>
          <w:color w:val="auto"/>
          <w:highlight w:val="none"/>
        </w:rPr>
        <w:t xml:space="preserve">验收主体：太仓市教育信息化中心</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二、验收目的</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三、验收依据</w:t>
      </w:r>
      <w:r/>
    </w:p>
    <w:p>
      <w:pPr>
        <w:ind w:firstLine="480"/>
        <w:spacing w:line="360" w:lineRule="auto"/>
        <w:rPr>
          <w:rFonts w:hAnsi="宋体" w:eastAsia="宋体" w:cs="MS Gothic"/>
          <w:color w:val="auto"/>
          <w:szCs w:val="24"/>
          <w:highlight w:val="none"/>
        </w:rPr>
      </w:pPr>
      <w:r>
        <w:rPr>
          <w:rFonts w:hint="eastAsia" w:cs="宋体"/>
          <w:color w:val="auto"/>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四、验收责任主体</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五、验收方式(形式)</w:t>
      </w:r>
      <w:r/>
    </w:p>
    <w:p>
      <w:pPr>
        <w:ind w:firstLine="480"/>
        <w:spacing w:line="360" w:lineRule="auto"/>
        <w:rPr>
          <w:rFonts w:hAnsi="宋体" w:eastAsia="宋体"/>
          <w:b/>
          <w:bCs/>
          <w:color w:val="auto"/>
          <w:szCs w:val="24"/>
          <w:highlight w:val="none"/>
        </w:rPr>
      </w:pPr>
      <w:r>
        <w:rPr>
          <w:rFonts w:hint="eastAsia" w:cs="宋体"/>
          <w:bCs/>
          <w:color w:val="auto"/>
          <w:szCs w:val="24"/>
          <w:highlight w:val="none"/>
        </w:rPr>
        <w:t xml:space="preserve">5.1日常考核、分段验收</w:t>
      </w:r>
      <w:r/>
    </w:p>
    <w:p>
      <w:pPr>
        <w:ind w:firstLine="480"/>
        <w:spacing w:line="360" w:lineRule="auto"/>
        <w:rPr>
          <w:rFonts w:hAnsi="宋体" w:eastAsia="宋体" w:cs="MS Gothic"/>
          <w:color w:val="auto"/>
          <w:szCs w:val="24"/>
          <w:highlight w:val="none"/>
        </w:rPr>
      </w:pPr>
      <w:r>
        <w:rPr>
          <w:rFonts w:hint="eastAsia" w:cs="宋体"/>
          <w:color w:val="auto"/>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0"/>
        <w:spacing w:line="360" w:lineRule="auto"/>
        <w:rPr>
          <w:rFonts w:hAnsi="宋体" w:eastAsia="宋体"/>
          <w:color w:val="auto"/>
          <w:szCs w:val="24"/>
          <w:highlight w:val="none"/>
        </w:rPr>
      </w:pPr>
      <w:r>
        <w:rPr>
          <w:rFonts w:hint="eastAsia" w:cs="宋体"/>
          <w:bCs/>
          <w:color w:val="auto"/>
          <w:szCs w:val="24"/>
          <w:highlight w:val="none"/>
        </w:rPr>
        <w:t xml:space="preserve">5.2最终验收</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六、验收内容：</w:t>
      </w:r>
      <w:r/>
    </w:p>
    <w:p>
      <w:pPr>
        <w:ind w:firstLine="480"/>
        <w:spacing w:line="360" w:lineRule="auto"/>
        <w:rPr>
          <w:rFonts w:hAnsi="宋体" w:eastAsia="宋体" w:cs="MS Gothic"/>
          <w:color w:val="auto"/>
          <w:szCs w:val="24"/>
          <w:highlight w:val="none"/>
        </w:rPr>
      </w:pPr>
      <w:r>
        <w:rPr>
          <w:rFonts w:hint="eastAsia" w:cs="宋体"/>
          <w:color w:val="auto"/>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七、验收程序：</w:t>
      </w:r>
      <w:r/>
    </w:p>
    <w:p>
      <w:pPr>
        <w:ind w:firstLine="480"/>
        <w:spacing w:line="360" w:lineRule="auto"/>
        <w:rPr>
          <w:rFonts w:hAnsi="宋体" w:eastAsia="宋体"/>
          <w:b/>
          <w:bCs/>
          <w:color w:val="auto"/>
          <w:szCs w:val="24"/>
          <w:highlight w:val="none"/>
        </w:rPr>
      </w:pPr>
      <w:r>
        <w:rPr>
          <w:rFonts w:hint="eastAsia" w:cs="宋体"/>
          <w:bCs/>
          <w:color w:val="auto"/>
          <w:szCs w:val="24"/>
          <w:highlight w:val="none"/>
        </w:rPr>
        <w:t xml:space="preserve">7.1验收准备</w:t>
      </w:r>
      <w:r/>
    </w:p>
    <w:p>
      <w:pPr>
        <w:ind w:firstLine="480"/>
        <w:spacing w:line="360" w:lineRule="auto"/>
        <w:rPr>
          <w:rFonts w:hAnsi="宋体" w:eastAsia="宋体" w:cs="MS Gothic"/>
          <w:b/>
          <w:bCs/>
          <w:color w:val="auto"/>
          <w:szCs w:val="24"/>
          <w:highlight w:val="none"/>
        </w:rPr>
      </w:pPr>
      <w:r>
        <w:rPr>
          <w:rFonts w:hint="eastAsia" w:cs="宋体"/>
          <w:color w:val="auto"/>
          <w:szCs w:val="24"/>
          <w:highlight w:val="none"/>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cs="宋体"/>
          <w:bCs/>
          <w:color w:val="auto"/>
          <w:szCs w:val="24"/>
          <w:highlight w:val="none"/>
        </w:rPr>
        <w:t xml:space="preserve">供应商在收到催告后五个工作日内拒不配合的，采购人应依照合同约定追究其责任。</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spacing w:line="360" w:lineRule="auto"/>
        <w:rPr>
          <w:rFonts w:hAnsi="宋体" w:eastAsia="宋体"/>
          <w:b/>
          <w:bCs/>
          <w:color w:val="auto"/>
          <w:szCs w:val="24"/>
          <w:highlight w:val="none"/>
        </w:rPr>
      </w:pPr>
      <w:r>
        <w:rPr>
          <w:rFonts w:hint="eastAsia" w:cs="宋体"/>
          <w:color w:val="auto"/>
          <w:szCs w:val="24"/>
          <w:highlight w:val="none"/>
        </w:rPr>
        <w:t xml:space="preserve">7.1.3采购人应及时全面准备验收，自收到验收</w:t>
      </w:r>
      <w:r>
        <w:rPr>
          <w:rFonts w:hint="eastAsia" w:cs="宋体"/>
          <w:bCs/>
          <w:color w:val="auto"/>
          <w:szCs w:val="24"/>
          <w:highlight w:val="none"/>
        </w:rPr>
        <w:t xml:space="preserve">申请之日起五个工作日内</w:t>
      </w:r>
      <w:r>
        <w:rPr>
          <w:rFonts w:hint="eastAsia" w:cs="宋体"/>
          <w:color w:val="auto"/>
          <w:szCs w:val="24"/>
          <w:highlight w:val="none"/>
        </w:rPr>
        <w:t xml:space="preserve">做好通水、通电、准备验收工具等必要的验收准备工作、启动项目验收、通知供应商。</w:t>
      </w:r>
      <w:r/>
    </w:p>
    <w:p>
      <w:pPr>
        <w:ind w:firstLine="480"/>
        <w:spacing w:line="360" w:lineRule="auto"/>
        <w:rPr>
          <w:rFonts w:hAnsi="宋体" w:eastAsia="宋体"/>
          <w:b/>
          <w:bCs/>
          <w:color w:val="auto"/>
          <w:szCs w:val="24"/>
          <w:highlight w:val="none"/>
        </w:rPr>
      </w:pPr>
      <w:r>
        <w:rPr>
          <w:rFonts w:hint="eastAsia" w:cs="宋体"/>
          <w:bCs/>
          <w:color w:val="auto"/>
          <w:szCs w:val="24"/>
          <w:highlight w:val="none"/>
        </w:rPr>
        <w:t xml:space="preserve">7.2验收小组</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spacing w:line="360" w:lineRule="auto"/>
        <w:rPr>
          <w:rFonts w:hAnsi="宋体" w:eastAsia="宋体" w:cs="微软雅黑"/>
          <w:b/>
          <w:bCs/>
          <w:color w:val="auto"/>
          <w:szCs w:val="24"/>
          <w:highlight w:val="none"/>
        </w:rPr>
      </w:pPr>
      <w:r>
        <w:rPr>
          <w:rFonts w:hint="eastAsia" w:cs="宋体"/>
          <w:bCs/>
          <w:color w:val="auto"/>
          <w:szCs w:val="24"/>
          <w:highlight w:val="none"/>
        </w:rPr>
        <w:t xml:space="preserve">7.3参与验收人员</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7.3.1技术复杂或专业性强的政府采购项目，可以邀请有资质的第三方专业机构参加验收并出具专业意见。</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7.3.2对于采购人和使用人分离的采购项目，采购人或其委托的采购代理机构应当邀请实际使用人参与验收。</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7.3.3政府向社会公众提供的公共服务项目，验收时应当邀请服务对象进行公共服务项目满意度评价，评价结果作为履约验收的参考依据。</w:t>
      </w:r>
      <w:r/>
    </w:p>
    <w:p>
      <w:pPr>
        <w:ind w:firstLine="480"/>
        <w:spacing w:line="360" w:lineRule="auto"/>
        <w:rPr>
          <w:rFonts w:hAnsi="宋体" w:eastAsia="宋体" w:cs="微软雅黑"/>
          <w:b/>
          <w:bCs/>
          <w:color w:val="auto"/>
          <w:szCs w:val="24"/>
          <w:highlight w:val="none"/>
        </w:rPr>
      </w:pPr>
      <w:r>
        <w:rPr>
          <w:rFonts w:hint="eastAsia" w:cs="宋体"/>
          <w:bCs/>
          <w:color w:val="auto"/>
          <w:szCs w:val="24"/>
          <w:highlight w:val="none"/>
        </w:rPr>
        <w:t xml:space="preserve">7.4验收原则</w:t>
      </w:r>
      <w:r/>
    </w:p>
    <w:p>
      <w:pPr>
        <w:ind w:firstLine="480"/>
        <w:spacing w:line="360" w:lineRule="auto"/>
        <w:rPr>
          <w:rFonts w:hAnsi="宋体" w:eastAsia="宋体" w:cs="微软雅黑"/>
          <w:color w:val="auto"/>
          <w:szCs w:val="24"/>
          <w:highlight w:val="none"/>
        </w:rPr>
      </w:pPr>
      <w:r>
        <w:rPr>
          <w:rFonts w:hint="eastAsia" w:cs="宋体"/>
          <w:color w:val="auto"/>
          <w:szCs w:val="24"/>
          <w:highlight w:val="none"/>
        </w:rPr>
        <w:t xml:space="preserve">政府采购履约验收应当遵循全面完整、客观真实、诚实信用的原则，坚持公开透明、应验必验、验收必严、违约必究。</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7.4.2项目验收范围应当完整，与采购合同一致，不得省略、遗漏和缺失，也不得擅自扩大范围。</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7.4.3项目验收方式应当符合项目特点，不能明确客观标准、涉及主观判断的，可以通过在采购人、使用人中开展问卷调查等方式予以客观、量化。</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7.4.5项目验收意见应当客观真实。验收小组成员意见不一致时，按照少数服从多数的原则作出验收意见。</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7.4.6验收方法主要包括全部查验核对和抽查核对。</w:t>
      </w:r>
      <w:r/>
    </w:p>
    <w:p>
      <w:pPr>
        <w:ind w:firstLine="480"/>
        <w:spacing w:line="360" w:lineRule="auto"/>
        <w:rPr>
          <w:rFonts w:hAnsi="宋体" w:eastAsia="宋体"/>
          <w:b/>
          <w:bCs/>
          <w:color w:val="auto"/>
          <w:szCs w:val="24"/>
          <w:highlight w:val="none"/>
        </w:rPr>
      </w:pPr>
      <w:r>
        <w:rPr>
          <w:rFonts w:hint="eastAsia" w:cs="宋体"/>
          <w:bCs/>
          <w:color w:val="auto"/>
          <w:szCs w:val="24"/>
          <w:highlight w:val="none"/>
        </w:rPr>
        <w:t xml:space="preserve">7.5验收记录</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7.5.1验收小组应当要求参与验收的供应商、专业机构、专家和服务对象等出具书面意见，作为验收书的重要组成部分。</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八、验收结果</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360" w:lineRule="auto"/>
        <w:rPr>
          <w:rFonts w:hAnsi="宋体" w:eastAsia="宋体"/>
          <w:color w:val="auto"/>
          <w:szCs w:val="24"/>
          <w:highlight w:val="none"/>
        </w:rPr>
      </w:pPr>
      <w:r>
        <w:rPr>
          <w:rFonts w:hint="eastAsia" w:cs="宋体"/>
          <w:color w:val="auto"/>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Ansi="宋体" w:eastAsia="宋体"/>
          <w:b/>
          <w:bCs/>
          <w:color w:val="auto"/>
          <w:szCs w:val="24"/>
          <w:highlight w:val="none"/>
        </w:rPr>
      </w:pPr>
      <w:r>
        <w:rPr>
          <w:rFonts w:hint="eastAsia" w:ascii="黑体" w:hAnsi="黑体" w:eastAsia="黑体" w:cs="宋体"/>
          <w:b/>
          <w:bCs/>
          <w:color w:val="auto"/>
          <w:sz w:val="30"/>
          <w:szCs w:val="24"/>
          <w:highlight w:val="none"/>
        </w:rPr>
        <w:t xml:space="preserve">九、验收资料归档</w:t>
      </w:r>
      <w:r/>
    </w:p>
    <w:p>
      <w:pPr>
        <w:ind w:firstLine="480"/>
        <w:spacing w:line="360" w:lineRule="auto"/>
        <w:rPr>
          <w:rFonts w:hAnsi="宋体" w:eastAsia="宋体" w:cs="宋体"/>
          <w:b/>
          <w:color w:val="auto"/>
          <w:szCs w:val="24"/>
          <w:highlight w:val="none"/>
        </w:rPr>
      </w:pPr>
      <w:r>
        <w:rPr>
          <w:rFonts w:hint="eastAsia" w:cs="宋体"/>
          <w:color w:val="auto"/>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480"/>
        <w:jc w:val="center"/>
        <w:pageBreakBefore/>
        <w:spacing w:before="240" w:after="240" w:line="360" w:lineRule="auto"/>
        <w:rPr>
          <w:rFonts w:ascii="宋体" w:hAnsi="宋体" w:cs="宋体"/>
          <w:b/>
          <w:color w:val="auto"/>
          <w:szCs w:val="24"/>
          <w:highlight w:val="none"/>
        </w:rPr>
        <w:pBdr>
          <w:top w:val="none" w:color="000000" w:sz="0" w:space="0"/>
          <w:left w:val="none" w:color="000000" w:sz="0" w:space="0"/>
          <w:bottom w:val="none" w:color="000000" w:sz="0" w:space="0"/>
          <w:right w:val="none" w:color="000000" w:sz="0" w:space="0"/>
        </w:pBdr>
      </w:pPr>
      <w:r>
        <w:rPr>
          <w:rFonts w:hint="eastAsia" w:eastAsia="黑体" w:cs="宋体"/>
          <w:color w:val="auto"/>
          <w:sz w:val="28"/>
          <w:highlight w:val="none"/>
        </w:rPr>
        <w:t xml:space="preserve">政府采购履约验收书（服务类）</w:t>
      </w:r>
      <w:r/>
    </w:p>
    <w:tbl>
      <w:tblPr>
        <w:tblStyle w:val="764"/>
        <w:tblW w:w="8822"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8"/>
        <w:gridCol w:w="1168"/>
        <w:gridCol w:w="1427"/>
        <w:gridCol w:w="1297"/>
        <w:gridCol w:w="300"/>
        <w:gridCol w:w="1038"/>
        <w:gridCol w:w="1038"/>
        <w:gridCol w:w="1386"/>
      </w:tblGrid>
      <w:tr>
        <w:trPr>
          <w:trHeight w:val="372"/>
          <w:tblHeader/>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b/>
                <w:color w:val="auto"/>
                <w:sz w:val="21"/>
                <w:szCs w:val="24"/>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b/>
                <w:color w:val="auto"/>
                <w:sz w:val="21"/>
                <w:szCs w:val="24"/>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97"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376"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b/>
                <w:color w:val="auto"/>
                <w:sz w:val="21"/>
                <w:szCs w:val="24"/>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386"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97"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376"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386"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059"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97"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376"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386"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□自行简易验收</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□验收小组验收</w:t>
            </w:r>
            <w:r/>
          </w:p>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□采购代理机构验收</w:t>
            </w:r>
            <w:r/>
          </w:p>
        </w:tc>
      </w:tr>
      <w:tr>
        <w:trPr>
          <w:trHeight w:val="395"/>
        </w:trPr>
        <w:tc>
          <w:tcPr>
            <w:tcW w:w="1168" w:type="dxa"/>
            <w:vAlign w:val="center"/>
            <w:vMerge w:val="restart"/>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97"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33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03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386"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合同履约时间、 地点、方式</w:t>
            </w:r>
            <w:r/>
          </w:p>
        </w:tc>
      </w:tr>
      <w:tr>
        <w:trPr>
          <w:trHeight w:val="828"/>
        </w:trPr>
        <w:tc>
          <w:tcPr>
            <w:tcW w:w="1168" w:type="dxa"/>
            <w:vAlign w:val="center"/>
            <w:vMerge w:val="continue"/>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427"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按  时□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97"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338"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038"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386"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w:t>
            </w:r>
            <w:r/>
          </w:p>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7654"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存在问题</w:t>
            </w:r>
            <w:r/>
          </w:p>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7654"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7654"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验收小组成员</w:t>
            </w:r>
            <w:r/>
          </w:p>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7654" w:type="dxa"/>
            <w:vAlign w:val="center"/>
            <w:textDirection w:val="lrTb"/>
            <w:noWrap w:val="false"/>
          </w:tcPr>
          <w:p>
            <w:pPr>
              <w:jc w:val="center"/>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360" w:type="dxa"/>
            <w:vAlign w:val="center"/>
            <w:textDirection w:val="lrTb"/>
            <w:noWrap w:val="false"/>
          </w:tcPr>
          <w:p>
            <w:pP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462" w:type="dxa"/>
            <w:vAlign w:val="center"/>
            <w:textDirection w:val="lrTb"/>
            <w:noWrap w:val="false"/>
          </w:tcPr>
          <w:p>
            <w:pPr>
              <w:jc w:val="center"/>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360" w:type="dxa"/>
            <w:textDirection w:val="lrTb"/>
            <w:noWrap w:val="false"/>
          </w:tcPr>
          <w:p>
            <w:pPr>
              <w:jc w:val="left"/>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p>
            <w:pPr>
              <w:jc w:val="left"/>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462" w:type="dxa"/>
            <w:textDirection w:val="lrTb"/>
            <w:noWrap w:val="false"/>
          </w:tcPr>
          <w:p>
            <w:pPr>
              <w:jc w:val="left"/>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p>
            <w:pPr>
              <w:jc w:val="left"/>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8822" w:type="dxa"/>
            <w:textDirection w:val="lrTb"/>
            <w:noWrap w:val="false"/>
          </w:tcPr>
          <w:p>
            <w:pPr>
              <w:jc w:val="left"/>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供应商确认：</w:t>
            </w:r>
            <w:r/>
          </w:p>
          <w:p>
            <w:pPr>
              <w:jc w:val="left"/>
              <w:spacing w:line="360" w:lineRule="auto"/>
              <w:rPr>
                <w:rFonts w:ascii="宋体" w:hAnsi="宋体" w:cs="宋体"/>
                <w:color w:val="auto"/>
                <w:szCs w:val="24"/>
                <w:highlight w:val="none"/>
                <w:lang w:bidi="ar"/>
              </w:rPr>
            </w:pPr>
            <w:r>
              <w:rPr>
                <w:rFonts w:ascii="宋体" w:hAnsi="宋体" w:cs="宋体"/>
                <w:color w:val="auto"/>
                <w:szCs w:val="24"/>
                <w:highlight w:val="none"/>
                <w:lang w:bidi="ar"/>
              </w:rPr>
            </w:r>
            <w:r/>
          </w:p>
          <w:p>
            <w:pPr>
              <w:jc w:val="left"/>
              <w:spacing w:line="360" w:lineRule="auto"/>
              <w:rPr>
                <w:rFonts w:ascii="宋体" w:hAnsi="宋体" w:cs="宋体"/>
                <w:color w:val="auto"/>
                <w:szCs w:val="24"/>
                <w:highlight w:val="none"/>
                <w:lang w:bidi="ar"/>
              </w:rPr>
            </w:pPr>
            <w:r>
              <w:rPr>
                <w:rFonts w:hint="eastAsia" w:cs="宋体"/>
                <w:color w:val="auto"/>
                <w:sz w:val="21"/>
                <w:szCs w:val="24"/>
                <w:highlight w:val="none"/>
                <w:lang w:bidi="ar"/>
              </w:rPr>
              <w:t xml:space="preserve">（单位公章或授权代表签字）</w:t>
            </w:r>
            <w:r/>
          </w:p>
        </w:tc>
      </w:tr>
    </w:tbl>
    <w:p>
      <w:pPr>
        <w:pageBreakBefore/>
        <w:rPr>
          <w:color w:val="auto"/>
          <w:sz w:val="2"/>
          <w:szCs w:val="2"/>
          <w:highlight w:val="none"/>
        </w:rPr>
      </w:pPr>
      <w:r>
        <w:rPr>
          <w:color w:val="auto"/>
          <w:sz w:val="2"/>
          <w:szCs w:val="2"/>
          <w:highlight w:val="none"/>
        </w:rPr>
      </w:r>
      <w:r/>
    </w:p>
    <w:tbl>
      <w:tblPr>
        <w:tblStyle w:val="764"/>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319"/>
        <w:gridCol w:w="2200"/>
        <w:gridCol w:w="2319"/>
      </w:tblGrid>
      <w:tr>
        <w:trPr>
          <w:trHeight w:val="1180"/>
          <w:tblHeader/>
        </w:trPr>
        <w:tc>
          <w:tcPr>
            <w:gridSpan w:val="4"/>
            <w:tcW w:w="9038" w:type="dxa"/>
            <w:vAlign w:val="center"/>
            <w:textDirection w:val="lrTb"/>
            <w:noWrap/>
          </w:tcPr>
          <w:p>
            <w:pPr>
              <w:jc w:val="center"/>
              <w:spacing w:line="360" w:lineRule="auto"/>
              <w:rPr>
                <w:rFonts w:ascii="方正小标宋_GBK" w:hAnsi="方正小标宋_GBK" w:eastAsia="方正小标宋_GBK" w:cs="方正小标宋_GBK"/>
                <w:color w:val="auto"/>
                <w:szCs w:val="24"/>
                <w:highlight w:val="none"/>
              </w:rPr>
            </w:pPr>
            <w:r>
              <w:rPr>
                <w:rFonts w:hint="eastAsia" w:cs="宋体"/>
                <w:b/>
                <w:color w:val="auto"/>
                <w:sz w:val="21"/>
                <w:szCs w:val="24"/>
                <w:highlight w:val="none"/>
                <w:lang w:bidi="ar"/>
              </w:rPr>
              <w:t xml:space="preserve">政府采购履约验收通知单</w:t>
            </w:r>
            <w:r/>
          </w:p>
        </w:tc>
      </w:tr>
      <w:tr>
        <w:trPr>
          <w:trHeight w:val="600"/>
        </w:trPr>
        <w:tc>
          <w:tcPr>
            <w:tcW w:w="2200" w:type="dxa"/>
            <w:vAlign w:val="center"/>
            <w:textDirection w:val="lrTb"/>
            <w:noWrap/>
          </w:tcPr>
          <w:p>
            <w:pP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供应商：</w:t>
            </w:r>
            <w:r/>
          </w:p>
        </w:tc>
        <w:tc>
          <w:tcPr>
            <w:gridSpan w:val="3"/>
            <w:tcW w:w="6838"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6838"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6838"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highlight w:val="none"/>
              </w:rPr>
              <w:t xml:space="preserve">2026年苏州线上教育太仓分中心综合服务</w:t>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项目编号</w:t>
            </w:r>
            <w:r/>
          </w:p>
        </w:tc>
        <w:tc>
          <w:tcPr>
            <w:gridSpan w:val="3"/>
            <w:tcBorders>
              <w:top w:val="single" w:color="000000" w:sz="4" w:space="0"/>
              <w:left w:val="single" w:color="000000" w:sz="4" w:space="0"/>
              <w:bottom w:val="single" w:color="000000" w:sz="4" w:space="0"/>
              <w:right w:val="single" w:color="000000" w:sz="4" w:space="0"/>
            </w:tcBorders>
            <w:tcW w:w="6838"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highlight w:val="none"/>
              </w:rPr>
              <w:t xml:space="preserve">JSZC-320585-JZCG-G2026-0092</w:t>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6838"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038" w:type="dxa"/>
            <w:vAlign w:val="center"/>
            <w:textDirection w:val="lrTb"/>
            <w:noWrap/>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jc w:val="center"/>
              <w:spacing w:line="360" w:lineRule="auto"/>
              <w:rPr>
                <w:rFonts w:ascii="宋体" w:hAnsi="宋体" w:cs="宋体"/>
                <w:color w:val="auto"/>
                <w:szCs w:val="24"/>
                <w:highlight w:val="none"/>
              </w:rPr>
            </w:pPr>
            <w:r>
              <w:rPr>
                <w:rFonts w:hint="eastAsia" w:cs="宋体"/>
                <w:color w:val="auto"/>
                <w:sz w:val="21"/>
                <w:szCs w:val="24"/>
                <w:highlight w:val="none"/>
                <w:lang w:bidi="ar"/>
              </w:rPr>
              <w:t xml:space="preserve">        单位公章</w:t>
            </w:r>
            <w:r>
              <w:rPr>
                <w:rFonts w:hint="eastAsia" w:cs="宋体"/>
                <w:color w:val="auto"/>
                <w:sz w:val="21"/>
                <w:szCs w:val="24"/>
                <w:highlight w:val="none"/>
                <w:lang w:bidi="ar"/>
              </w:rPr>
              <w:br/>
            </w:r>
            <w:r>
              <w:rPr>
                <w:rFonts w:hint="eastAsia" w:cs="宋体"/>
                <w:color w:val="auto"/>
                <w:sz w:val="21"/>
                <w:szCs w:val="24"/>
                <w:highlight w:val="none"/>
                <w:lang w:bidi="ar"/>
              </w:rPr>
              <w:t xml:space="preserve">         年 月 日</w:t>
            </w:r>
            <w:r/>
          </w:p>
        </w:tc>
      </w:tr>
    </w:tbl>
    <w:p>
      <w:pPr>
        <w:rPr>
          <w:color w:val="auto"/>
          <w:highlight w:val="none"/>
        </w:rPr>
      </w:pPr>
      <w:r>
        <w:rPr>
          <w:color w:val="auto"/>
          <w:highlight w:val="none"/>
        </w:rPr>
      </w:r>
      <w:r/>
    </w:p>
    <w:p>
      <w:pPr>
        <w:pageBreakBefore/>
        <w:spacing w:line="360" w:lineRule="auto"/>
        <w:rPr>
          <w:color w:val="auto"/>
          <w:highlight w:val="none"/>
        </w:rPr>
      </w:pPr>
      <w:r>
        <w:rPr>
          <w:rFonts w:hint="eastAsia" w:cs="宋体"/>
          <w:color w:val="auto"/>
          <w:highlight w:val="none"/>
        </w:rPr>
        <w:t xml:space="preserve">附件2：服务考核办法</w:t>
      </w:r>
      <w:r/>
    </w:p>
    <w:tbl>
      <w:tblPr>
        <w:tblStyle w:val="764"/>
        <w:tblW w:w="8448"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0"/>
        <w:gridCol w:w="1928"/>
        <w:gridCol w:w="4876"/>
        <w:gridCol w:w="964"/>
      </w:tblGrid>
      <w:tr>
        <w:trPr/>
        <w:tc>
          <w:tcPr>
            <w:tcBorders>
              <w:top w:val="single" w:color="auto" w:sz="8" w:space="0"/>
              <w:left w:val="single" w:color="auto" w:sz="8" w:space="0"/>
              <w:bottom w:val="single" w:color="auto" w:sz="8" w:space="0"/>
              <w:right w:val="single" w:color="auto" w:sz="8" w:space="0"/>
            </w:tcBorders>
            <w:tcW w:w="680"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序号</w:t>
            </w:r>
            <w:r/>
          </w:p>
        </w:tc>
        <w:tc>
          <w:tcPr>
            <w:tcBorders>
              <w:top w:val="single" w:color="auto" w:sz="8" w:space="0"/>
              <w:left w:val="single" w:color="auto" w:sz="8" w:space="0"/>
              <w:bottom w:val="single" w:color="auto" w:sz="8" w:space="0"/>
              <w:right w:val="single" w:color="auto" w:sz="8" w:space="0"/>
            </w:tcBorders>
            <w:tcW w:w="1928"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服务考核内容</w:t>
            </w:r>
            <w:r/>
          </w:p>
        </w:tc>
        <w:tc>
          <w:tcPr>
            <w:tcBorders>
              <w:top w:val="single" w:color="auto" w:sz="8" w:space="0"/>
              <w:left w:val="single" w:color="auto" w:sz="8" w:space="0"/>
              <w:bottom w:val="single" w:color="auto" w:sz="8" w:space="0"/>
              <w:right w:val="single" w:color="auto" w:sz="8" w:space="0"/>
            </w:tcBorders>
            <w:tcW w:w="4876"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考核标准</w:t>
            </w:r>
            <w:r/>
          </w:p>
        </w:tc>
        <w:tc>
          <w:tcPr>
            <w:tcBorders>
              <w:top w:val="single" w:color="auto" w:sz="8" w:space="0"/>
              <w:left w:val="single" w:color="auto" w:sz="8" w:space="0"/>
              <w:bottom w:val="single" w:color="auto" w:sz="8" w:space="0"/>
              <w:right w:val="single" w:color="auto" w:sz="8" w:space="0"/>
            </w:tcBorders>
            <w:tcW w:w="964" w:type="dxa"/>
            <w:vAlign w:val="center"/>
            <w:textDirection w:val="lrTb"/>
            <w:noWrap w:val="false"/>
          </w:tcPr>
          <w:p>
            <w:pPr>
              <w:rPr>
                <w:color w:val="auto"/>
                <w:highlight w:val="none"/>
              </w:rPr>
            </w:pPr>
            <w:r>
              <w:rPr>
                <w:rFonts w:hint="eastAsia" w:ascii="黑体" w:hAnsi="黑体" w:eastAsia="黑体" w:cs="宋体"/>
                <w:b/>
                <w:color w:val="auto"/>
                <w:sz w:val="21"/>
                <w:highlight w:val="none"/>
              </w:rPr>
              <w:t xml:space="preserve">分数</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1</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直播推流服务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未按要求的峰值数量提供直播推流服务，导致影响用户使用的，每出现1次扣5分，扣完为止。</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10</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2</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太仓线上教育中心跟随市级升级服务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跟随市级平台同步升级，若出现市级升级，太仓线上教育中心未及时同步升级或新版本升级时，导致系统出现故障影响用户使用的，每出现一次扣5分，扣完为止。</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15</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3</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AI课堂评价服务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未按要求的课程数量提供分析报告，导致影响用户使用的，每出现1次扣5分，扣完为止。</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15</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4</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技术运维服务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1）安全技术保障，如发生故障、宕机等未在30分钟内响应，4小时以内提出问题解决方案并采取相应措施保障用户正常使用的，每出现一次扣5分，扣完为止；</w:t>
            </w:r>
            <w:r>
              <w:rPr>
                <w:rFonts w:hint="eastAsia" w:cs="宋体"/>
                <w:color w:val="auto"/>
                <w:sz w:val="21"/>
                <w:highlight w:val="none"/>
              </w:rPr>
              <w:br/>
            </w:r>
            <w:r>
              <w:rPr>
                <w:rFonts w:hint="eastAsia" w:cs="宋体"/>
                <w:color w:val="auto"/>
                <w:sz w:val="21"/>
                <w:highlight w:val="none"/>
              </w:rPr>
              <w:t xml:space="preserve">2）重大活动期间，未提供足够的人员进行现场保障，导致系统出现故障不能及时解决的，每次扣5分，扣完为止。</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15</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5</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客户服务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客服人员遭到投诉经查实的，每次扣2分，扣完为止；</w:t>
            </w:r>
            <w:r>
              <w:rPr>
                <w:rFonts w:hint="eastAsia" w:cs="宋体"/>
                <w:color w:val="auto"/>
                <w:sz w:val="21"/>
                <w:highlight w:val="none"/>
              </w:rPr>
              <w:br/>
            </w:r>
            <w:r>
              <w:rPr>
                <w:rFonts w:hint="eastAsia" w:cs="宋体"/>
                <w:color w:val="auto"/>
                <w:sz w:val="21"/>
                <w:highlight w:val="none"/>
              </w:rPr>
              <w:t xml:space="preserve">提供客服人员工作量及工作内容；</w:t>
            </w:r>
            <w:r>
              <w:rPr>
                <w:rFonts w:hint="eastAsia" w:cs="宋体"/>
                <w:color w:val="auto"/>
                <w:sz w:val="21"/>
                <w:highlight w:val="none"/>
              </w:rPr>
              <w:br/>
            </w:r>
            <w:r>
              <w:rPr>
                <w:rFonts w:hint="eastAsia" w:cs="宋体"/>
                <w:color w:val="auto"/>
                <w:sz w:val="21"/>
                <w:highlight w:val="none"/>
              </w:rPr>
              <w:t xml:space="preserve">客服人员未遵守保密条款，致使保密信息泄露的，本月考核不合格，并追究相关责任。</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15</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6</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宣传推广服务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1）需要在微信公众号、头条号上发表项目相关推广文章、未按照甲方要求，在规定时间内发表的，每出现1次扣2分，扣完为止；</w:t>
            </w:r>
            <w:r>
              <w:rPr>
                <w:rFonts w:hint="eastAsia" w:cs="宋体"/>
                <w:color w:val="auto"/>
                <w:sz w:val="21"/>
                <w:highlight w:val="none"/>
              </w:rPr>
              <w:br/>
            </w:r>
            <w:r>
              <w:rPr>
                <w:rFonts w:hint="eastAsia" w:cs="宋体"/>
                <w:color w:val="auto"/>
                <w:sz w:val="21"/>
                <w:highlight w:val="none"/>
              </w:rPr>
              <w:t xml:space="preserve">2）计划组织的推广活动，未按时组织的，每出现1次扣2分，扣完为止；</w:t>
            </w:r>
            <w:r>
              <w:rPr>
                <w:rFonts w:hint="eastAsia" w:cs="宋体"/>
                <w:color w:val="auto"/>
                <w:sz w:val="21"/>
                <w:highlight w:val="none"/>
              </w:rPr>
              <w:br/>
            </w:r>
            <w:r>
              <w:rPr>
                <w:rFonts w:hint="eastAsia" w:cs="宋体"/>
                <w:color w:val="auto"/>
                <w:sz w:val="21"/>
                <w:highlight w:val="none"/>
              </w:rPr>
              <w:t xml:space="preserve">3）甲方需要的运营分析数据，未在24小时以内提供的，每出现1次扣2分，扣完为止。</w:t>
            </w:r>
            <w:r>
              <w:rPr>
                <w:rFonts w:hint="eastAsia" w:cs="宋体"/>
                <w:color w:val="auto"/>
                <w:sz w:val="21"/>
                <w:highlight w:val="none"/>
              </w:rPr>
              <w:br/>
            </w:r>
            <w:r>
              <w:rPr>
                <w:rFonts w:hint="eastAsia" w:cs="宋体"/>
                <w:color w:val="auto"/>
                <w:sz w:val="21"/>
                <w:highlight w:val="none"/>
              </w:rPr>
              <w:t xml:space="preserve">推广人员未遵守保密条款，致使保密信息泄露的，本月考核不合格，并追究相关责任。</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10</w:t>
            </w:r>
            <w:r/>
          </w:p>
        </w:tc>
      </w:tr>
      <w:tr>
        <w:trPr/>
        <w:tc>
          <w:tcPr>
            <w:tcW w:w="680" w:type="dxa"/>
            <w:vAlign w:val="center"/>
            <w:textDirection w:val="lrTb"/>
            <w:noWrap w:val="false"/>
          </w:tcPr>
          <w:p>
            <w:pPr>
              <w:rPr>
                <w:color w:val="auto"/>
                <w:highlight w:val="none"/>
              </w:rPr>
            </w:pPr>
            <w:r>
              <w:rPr>
                <w:rFonts w:hint="eastAsia" w:cs="宋体"/>
                <w:color w:val="auto"/>
                <w:sz w:val="21"/>
                <w:highlight w:val="none"/>
              </w:rPr>
              <w:t xml:space="preserve">7</w:t>
            </w:r>
            <w:r/>
          </w:p>
        </w:tc>
        <w:tc>
          <w:tcPr>
            <w:tcW w:w="1928" w:type="dxa"/>
            <w:vAlign w:val="center"/>
            <w:textDirection w:val="lrTb"/>
            <w:noWrap w:val="false"/>
          </w:tcPr>
          <w:p>
            <w:pPr>
              <w:rPr>
                <w:color w:val="auto"/>
                <w:highlight w:val="none"/>
              </w:rPr>
            </w:pPr>
            <w:r>
              <w:rPr>
                <w:rFonts w:hint="eastAsia" w:cs="宋体"/>
                <w:color w:val="auto"/>
                <w:sz w:val="21"/>
                <w:highlight w:val="none"/>
              </w:rPr>
              <w:t xml:space="preserve">学生成长空间二期定制化升级服务</w:t>
            </w:r>
            <w:r/>
          </w:p>
        </w:tc>
        <w:tc>
          <w:tcPr>
            <w:tcW w:w="4876" w:type="dxa"/>
            <w:vAlign w:val="center"/>
            <w:textDirection w:val="lrTb"/>
            <w:noWrap w:val="false"/>
          </w:tcPr>
          <w:p>
            <w:pPr>
              <w:rPr>
                <w:color w:val="auto"/>
                <w:highlight w:val="none"/>
              </w:rPr>
            </w:pPr>
            <w:r>
              <w:rPr>
                <w:rFonts w:hint="eastAsia" w:cs="宋体"/>
                <w:color w:val="auto"/>
                <w:sz w:val="21"/>
                <w:highlight w:val="none"/>
              </w:rPr>
              <w:t xml:space="preserve">未按要求进行功能升级的，未完成一项功能一次扣5分，扣完为止；</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20</w:t>
            </w:r>
            <w:r/>
          </w:p>
        </w:tc>
      </w:tr>
      <w:tr>
        <w:trPr/>
        <w:tc>
          <w:tcPr>
            <w:gridSpan w:val="3"/>
            <w:tcW w:w="7484" w:type="dxa"/>
            <w:vAlign w:val="center"/>
            <w:textDirection w:val="lrTb"/>
            <w:noWrap w:val="false"/>
          </w:tcPr>
          <w:p>
            <w:pPr>
              <w:rPr>
                <w:color w:val="auto"/>
                <w:highlight w:val="none"/>
              </w:rPr>
            </w:pPr>
            <w:r>
              <w:rPr>
                <w:rFonts w:hint="eastAsia" w:cs="宋体"/>
                <w:color w:val="auto"/>
                <w:sz w:val="21"/>
                <w:highlight w:val="none"/>
              </w:rPr>
              <w:t xml:space="preserve">考核总分：</w:t>
            </w:r>
            <w:r/>
          </w:p>
        </w:tc>
        <w:tc>
          <w:tcPr>
            <w:tcW w:w="964" w:type="dxa"/>
            <w:vAlign w:val="center"/>
            <w:textDirection w:val="lrTb"/>
            <w:noWrap w:val="false"/>
          </w:tcPr>
          <w:p>
            <w:pPr>
              <w:rPr>
                <w:color w:val="auto"/>
                <w:highlight w:val="none"/>
              </w:rPr>
            </w:pPr>
            <w:r>
              <w:rPr>
                <w:rFonts w:hint="eastAsia" w:cs="宋体"/>
                <w:color w:val="auto"/>
                <w:sz w:val="21"/>
                <w:highlight w:val="none"/>
              </w:rPr>
              <w:t xml:space="preserve">100</w:t>
            </w:r>
            <w:r/>
          </w:p>
        </w:tc>
      </w:tr>
    </w:tbl>
    <w:p>
      <w:pPr>
        <w:pStyle w:val="701"/>
        <w:pageBreakBefore/>
        <w:spacing w:line="48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bCs/>
          <w:color w:val="auto"/>
          <w:szCs w:val="44"/>
          <w:highlight w:val="none"/>
        </w:rPr>
        <w:t xml:space="preserve">第四部分 投标文件格式</w:t>
      </w:r>
      <w:r/>
    </w:p>
    <w:p>
      <w:pPr>
        <w:spacing w:line="360" w:lineRule="auto"/>
        <w:rPr>
          <w:rFonts w:ascii="宋体" w:hAnsi="宋体"/>
          <w:color w:val="auto"/>
          <w:szCs w:val="24"/>
          <w:highlight w:val="none"/>
        </w:rPr>
      </w:pPr>
      <w:r>
        <w:rPr>
          <w:rFonts w:ascii="宋体" w:hAnsi="宋体"/>
          <w:color w:val="auto"/>
          <w:szCs w:val="24"/>
          <w:highlight w:val="none"/>
        </w:rPr>
      </w:r>
      <w:r/>
    </w:p>
    <w:p>
      <w:pPr>
        <w:jc w:val="left"/>
        <w:spacing w:line="360" w:lineRule="auto"/>
        <w:rPr>
          <w:rFonts w:ascii="宋体" w:hAnsi="宋体"/>
          <w:color w:val="auto"/>
          <w:szCs w:val="24"/>
          <w:highlight w:val="none"/>
        </w:rPr>
      </w:pPr>
      <w:r>
        <w:rPr>
          <w:rFonts w:hint="eastAsia" w:cs="宋体"/>
          <w:color w:val="auto"/>
          <w:szCs w:val="24"/>
          <w:highlight w:val="none"/>
        </w:rPr>
        <w:t xml:space="preserve">说明：</w:t>
      </w:r>
      <w:r/>
    </w:p>
    <w:p>
      <w:pPr>
        <w:jc w:val="left"/>
        <w:spacing w:line="360" w:lineRule="auto"/>
        <w:rPr>
          <w:rFonts w:ascii="宋体" w:hAnsi="宋体"/>
          <w:color w:val="auto"/>
          <w:szCs w:val="24"/>
          <w:highlight w:val="none"/>
        </w:rPr>
      </w:pPr>
      <w:r>
        <w:rPr>
          <w:rFonts w:hint="eastAsia" w:cs="宋体"/>
          <w:color w:val="auto"/>
          <w:szCs w:val="24"/>
          <w:highlight w:val="none"/>
        </w:rPr>
        <w:t xml:space="preserve">对本章所有的投标书格式，投标方可根据自身情况进行补充和修改，但补充和修改不得造成与本格式内容有实质性的违背。</w:t>
      </w:r>
      <w:r/>
    </w:p>
    <w:p>
      <w:pPr>
        <w:ind w:firstLine="480"/>
        <w:pageBreakBefore/>
        <w:spacing w:line="360" w:lineRule="auto"/>
        <w:rPr>
          <w:rFonts w:ascii="宋体" w:hAnsi="宋体"/>
          <w:b/>
          <w:color w:val="auto"/>
          <w:szCs w:val="24"/>
          <w:highlight w:val="none"/>
        </w:rPr>
        <w:outlineLvl w:val="1"/>
      </w:pPr>
      <w:r>
        <w:rPr>
          <w:rFonts w:hint="eastAsia" w:ascii="黑体" w:hAnsi="黑体" w:eastAsia="黑体" w:cs="宋体"/>
          <w:b/>
          <w:color w:val="auto"/>
          <w:szCs w:val="24"/>
          <w:highlight w:val="none"/>
        </w:rPr>
        <w:t xml:space="preserve">1、关于资格文件的声明函</w:t>
      </w:r>
      <w:r/>
    </w:p>
    <w:p>
      <w:pPr>
        <w:ind w:left="1260"/>
        <w:spacing w:line="360" w:lineRule="auto"/>
        <w:rPr>
          <w:rFonts w:ascii="宋体" w:hAnsi="宋体"/>
          <w:color w:val="auto"/>
          <w:szCs w:val="24"/>
          <w:highlight w:val="none"/>
        </w:rPr>
      </w:pPr>
      <w:r>
        <w:rPr>
          <w:rFonts w:ascii="宋体" w:hAnsi="宋体"/>
          <w:color w:val="auto"/>
          <w:szCs w:val="24"/>
          <w:highlight w:val="none"/>
        </w:rPr>
      </w:r>
      <w:r/>
    </w:p>
    <w:p>
      <w:pPr>
        <w:ind w:left="1440" w:firstLine="480"/>
        <w:spacing w:line="360" w:lineRule="auto"/>
        <w:rPr>
          <w:rFonts w:ascii="宋体" w:hAnsi="宋体"/>
          <w:color w:val="auto"/>
          <w:szCs w:val="24"/>
          <w:highlight w:val="none"/>
        </w:rPr>
      </w:pPr>
      <w:r>
        <w:rPr>
          <w:rFonts w:hint="eastAsia" w:ascii="黑体" w:hAnsi="黑体" w:eastAsia="黑体" w:cs="宋体"/>
          <w:b/>
          <w:color w:val="auto"/>
          <w:szCs w:val="24"/>
          <w:highlight w:val="none"/>
        </w:rPr>
        <w:t xml:space="preserve">关于资格文件的声明函</w:t>
      </w:r>
      <w:r/>
    </w:p>
    <w:p>
      <w:pPr>
        <w:ind w:left="1260"/>
        <w:jc w:val="center"/>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szCs w:val="24"/>
          <w:highlight w:val="none"/>
          <w:u w:val="single"/>
        </w:rPr>
        <w:t xml:space="preserve"> 苏州市公共资源交易中心太仓分中心  </w:t>
      </w:r>
      <w:r>
        <w:rPr>
          <w:rFonts w:hint="eastAsia" w:cs="宋体"/>
          <w:color w:val="auto"/>
          <w:szCs w:val="24"/>
          <w:highlight w:val="none"/>
        </w:rPr>
        <w:t xml:space="preserve">：</w:t>
      </w:r>
      <w:r/>
    </w:p>
    <w:p>
      <w:pPr>
        <w:ind w:right="508" w:firstLine="480"/>
        <w:jc w:val="left"/>
        <w:spacing w:line="360" w:lineRule="auto"/>
        <w:rPr>
          <w:rFonts w:ascii="宋体" w:hAnsi="宋体"/>
          <w:color w:val="auto"/>
          <w:szCs w:val="24"/>
          <w:highlight w:val="none"/>
        </w:rPr>
      </w:pPr>
      <w:r>
        <w:rPr>
          <w:rFonts w:hint="eastAsia" w:cs="宋体"/>
          <w:color w:val="auto"/>
          <w:highlight w:val="none"/>
        </w:rPr>
        <w:t xml:space="preserve">本公司愿就由贵单位组织实施的编号为</w:t>
      </w:r>
      <w:r>
        <w:rPr>
          <w:rFonts w:hint="eastAsia" w:cs="宋体"/>
          <w:color w:val="auto"/>
          <w:highlight w:val="none"/>
          <w:u w:val="single"/>
        </w:rPr>
        <w:t xml:space="preserve">JSZC-320585-JZCG-G2026-0092号</w:t>
      </w:r>
      <w:r>
        <w:rPr>
          <w:rFonts w:hint="eastAsia" w:cs="宋体"/>
          <w:color w:val="auto"/>
          <w:highlight w:val="none"/>
        </w:rPr>
        <w:t xml:space="preserve">的招标活动进行投标。本公司所提交的投标文件中所有关于投标资格的文件、证明和陈述均是真实的、准确的。若与真实情况不符，本公司愿意承担由此而产生的一切后果。</w:t>
      </w:r>
      <w:r/>
    </w:p>
    <w:p>
      <w:pPr>
        <w:ind w:left="1259" w:firstLine="426"/>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投标单位（单位盖章）：</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法定代表人（负责人）或授权代理人（签字或盖章）：</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投标日期：     年  </w:t>
      </w:r>
      <w:r>
        <w:rPr>
          <w:rFonts w:hint="eastAsia" w:cs="宋体"/>
          <w:color w:val="auto"/>
          <w:szCs w:val="24"/>
          <w:highlight w:val="none"/>
        </w:rPr>
        <w:tab/>
      </w:r>
      <w:r>
        <w:rPr>
          <w:rFonts w:hint="eastAsia" w:cs="宋体"/>
          <w:color w:val="auto"/>
          <w:szCs w:val="24"/>
          <w:highlight w:val="none"/>
        </w:rPr>
        <w:t xml:space="preserve">月</w:t>
      </w:r>
      <w:r>
        <w:rPr>
          <w:rFonts w:hint="eastAsia" w:cs="宋体"/>
          <w:color w:val="auto"/>
          <w:szCs w:val="24"/>
          <w:highlight w:val="none"/>
        </w:rPr>
        <w:tab/>
      </w:r>
      <w:r>
        <w:rPr>
          <w:rFonts w:hint="eastAsia" w:cs="宋体"/>
          <w:color w:val="auto"/>
          <w:szCs w:val="24"/>
          <w:highlight w:val="none"/>
        </w:rPr>
        <w:t xml:space="preserve">日</w:t>
      </w:r>
      <w:r/>
    </w:p>
    <w:p>
      <w:pPr>
        <w:pageBreakBefore/>
        <w:spacing w:line="360" w:lineRule="auto"/>
        <w:rPr>
          <w:rFonts w:ascii="宋体" w:hAnsi="宋体"/>
          <w:b/>
          <w:color w:val="auto"/>
          <w:szCs w:val="24"/>
          <w:highlight w:val="none"/>
        </w:rPr>
        <w:outlineLvl w:val="1"/>
      </w:pPr>
      <w:r>
        <w:rPr>
          <w:rFonts w:hint="eastAsia" w:ascii="黑体" w:hAnsi="黑体" w:eastAsia="黑体" w:cs="宋体"/>
          <w:b/>
          <w:color w:val="auto"/>
          <w:szCs w:val="24"/>
          <w:highlight w:val="none"/>
        </w:rPr>
        <w:t xml:space="preserve">2、投标承诺函</w:t>
      </w:r>
      <w:r/>
    </w:p>
    <w:p>
      <w:pPr>
        <w:jc w:val="left"/>
        <w:spacing w:line="360" w:lineRule="auto"/>
        <w:tabs>
          <w:tab w:val="left" w:pos="3633" w:leader="none"/>
          <w:tab w:val="center" w:pos="4723" w:leader="none"/>
        </w:tabs>
        <w:rPr>
          <w:rFonts w:ascii="宋体" w:hAnsi="宋体"/>
          <w:b/>
          <w:color w:val="auto"/>
          <w:szCs w:val="24"/>
          <w:highlight w:val="none"/>
        </w:rPr>
      </w:pPr>
      <w:r>
        <w:rPr>
          <w:rFonts w:hint="eastAsia" w:ascii="黑体" w:hAnsi="黑体" w:eastAsia="黑体" w:cs="宋体"/>
          <w:b/>
          <w:color w:val="auto"/>
          <w:szCs w:val="24"/>
          <w:highlight w:val="none"/>
        </w:rPr>
        <w:tab/>
      </w:r>
      <w:r>
        <w:rPr>
          <w:rFonts w:hint="eastAsia" w:ascii="黑体" w:hAnsi="黑体" w:eastAsia="黑体" w:cs="宋体"/>
          <w:b/>
          <w:color w:val="auto"/>
          <w:szCs w:val="24"/>
          <w:highlight w:val="none"/>
        </w:rPr>
        <w:tab/>
      </w:r>
      <w:r>
        <w:rPr>
          <w:rFonts w:hint="eastAsia" w:ascii="黑体" w:hAnsi="黑体" w:eastAsia="黑体" w:cs="宋体"/>
          <w:b/>
          <w:color w:val="auto"/>
          <w:szCs w:val="24"/>
          <w:highlight w:val="none"/>
        </w:rPr>
        <w:t xml:space="preserve">投标承诺函</w:t>
      </w:r>
      <w:r/>
    </w:p>
    <w:p>
      <w:pPr>
        <w:spacing w:line="360" w:lineRule="auto"/>
        <w:rPr>
          <w:rFonts w:ascii="宋体" w:hAnsi="宋体"/>
          <w:color w:val="auto"/>
          <w:szCs w:val="24"/>
          <w:highlight w:val="none"/>
        </w:rPr>
      </w:pPr>
      <w:r>
        <w:rPr>
          <w:rFonts w:hint="eastAsia" w:cs="宋体"/>
          <w:color w:val="auto"/>
          <w:szCs w:val="24"/>
          <w:highlight w:val="none"/>
          <w:u w:val="single"/>
        </w:rPr>
        <w:t xml:space="preserve">苏州市公共资源交易中心太仓分中心 </w:t>
      </w:r>
      <w:r>
        <w:rPr>
          <w:rFonts w:hint="eastAsia" w:cs="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highlight w:val="none"/>
        </w:rPr>
        <w:t xml:space="preserve">我们收到贵单位</w:t>
      </w:r>
      <w:r>
        <w:rPr>
          <w:rFonts w:hint="eastAsia" w:cs="宋体"/>
          <w:color w:val="auto"/>
          <w:highlight w:val="none"/>
          <w:u w:val="single"/>
        </w:rPr>
        <w:t xml:space="preserve">2026年苏州线上教育太仓分中心综合服务</w:t>
      </w:r>
      <w:r>
        <w:rPr>
          <w:rFonts w:hint="eastAsia" w:cs="宋体"/>
          <w:color w:val="auto"/>
          <w:highlight w:val="none"/>
        </w:rPr>
        <w:t xml:space="preserve"> 招标文件（项目编号：</w:t>
      </w:r>
      <w:r>
        <w:rPr>
          <w:rFonts w:hint="eastAsia" w:cs="宋体"/>
          <w:color w:val="auto"/>
          <w:highlight w:val="none"/>
          <w:u w:val="single"/>
        </w:rPr>
        <w:t xml:space="preserve">JSZC-320585-JZCG-G2026-0092</w:t>
      </w:r>
      <w:r>
        <w:rPr>
          <w:rFonts w:hint="eastAsia" w:cs="宋体"/>
          <w:color w:val="auto"/>
          <w:highlight w:val="none"/>
        </w:rPr>
        <w:t xml:space="preserve">），经仔细阅读和研究，我们决定参加投标。</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  1、我们愿意按照招标文件的一切要求，提供包括完成该项目全部内容的设备、材料及人工、机械、保险、劳保、各种税费以及质保期间的一切费用。</w:t>
      </w:r>
      <w:r/>
    </w:p>
    <w:p>
      <w:pPr>
        <w:spacing w:line="360" w:lineRule="auto"/>
        <w:rPr>
          <w:rFonts w:ascii="宋体" w:hAnsi="宋体"/>
          <w:color w:val="auto"/>
          <w:szCs w:val="24"/>
          <w:highlight w:val="none"/>
        </w:rPr>
      </w:pPr>
      <w:r>
        <w:rPr>
          <w:rFonts w:hint="eastAsia" w:cs="宋体"/>
          <w:color w:val="auto"/>
          <w:szCs w:val="24"/>
          <w:highlight w:val="none"/>
        </w:rPr>
        <w:t xml:space="preserve">    2、如果我们的投标书被接受，我们将严格履行招标文件中规定的每一项要求，按期、按质、按量履行合同的义务。</w:t>
      </w:r>
      <w:r/>
    </w:p>
    <w:p>
      <w:pPr>
        <w:spacing w:line="360" w:lineRule="auto"/>
        <w:rPr>
          <w:rFonts w:ascii="宋体" w:hAnsi="宋体"/>
          <w:color w:val="auto"/>
          <w:szCs w:val="24"/>
          <w:highlight w:val="none"/>
        </w:rPr>
      </w:pPr>
      <w:r>
        <w:rPr>
          <w:rFonts w:hint="eastAsia" w:cs="宋体"/>
          <w:color w:val="auto"/>
          <w:szCs w:val="24"/>
          <w:highlight w:val="none"/>
        </w:rPr>
        <w:t xml:space="preserve">    3、我们同意按招标文件中的规定，本投标书的有效期限为开标后</w:t>
      </w:r>
      <w:r>
        <w:rPr>
          <w:rFonts w:hint="eastAsia" w:cs="宋体"/>
          <w:color w:val="auto"/>
          <w:szCs w:val="24"/>
          <w:highlight w:val="none"/>
          <w:u w:val="single"/>
        </w:rPr>
        <w:t xml:space="preserve">90</w:t>
      </w:r>
      <w:r>
        <w:rPr>
          <w:rFonts w:hint="eastAsia" w:cs="宋体"/>
          <w:color w:val="auto"/>
          <w:szCs w:val="24"/>
          <w:highlight w:val="none"/>
        </w:rPr>
        <w:t xml:space="preserve">天。</w:t>
      </w:r>
      <w:r/>
    </w:p>
    <w:p>
      <w:pPr>
        <w:spacing w:line="360" w:lineRule="auto"/>
        <w:rPr>
          <w:rFonts w:ascii="宋体" w:hAnsi="宋体"/>
          <w:color w:val="auto"/>
          <w:szCs w:val="24"/>
          <w:highlight w:val="none"/>
        </w:rPr>
        <w:outlineLvl w:val="1"/>
      </w:pPr>
      <w:r>
        <w:rPr>
          <w:rFonts w:hint="eastAsia" w:cs="宋体"/>
          <w:color w:val="auto"/>
          <w:szCs w:val="24"/>
          <w:highlight w:val="none"/>
        </w:rPr>
        <w:t xml:space="preserve">    4、我们愿意提供招标方在招标文件中要求的所有资料。</w:t>
      </w:r>
      <w:r/>
    </w:p>
    <w:p>
      <w:pPr>
        <w:spacing w:line="360" w:lineRule="auto"/>
        <w:rPr>
          <w:rFonts w:ascii="宋体" w:hAnsi="宋体"/>
          <w:color w:val="auto"/>
          <w:szCs w:val="24"/>
          <w:highlight w:val="none"/>
        </w:rPr>
      </w:pPr>
      <w:r>
        <w:rPr>
          <w:rFonts w:hint="eastAsia" w:cs="宋体"/>
          <w:color w:val="auto"/>
          <w:szCs w:val="24"/>
          <w:highlight w:val="none"/>
        </w:rPr>
        <w:t xml:space="preserve">    5、我们认为你们有权决定中标者，还认为你们有权接受或拒绝所有的投标者。</w:t>
      </w:r>
      <w:r/>
    </w:p>
    <w:p>
      <w:pPr>
        <w:spacing w:line="360" w:lineRule="auto"/>
        <w:rPr>
          <w:rFonts w:ascii="宋体" w:hAnsi="宋体"/>
          <w:color w:val="auto"/>
          <w:szCs w:val="24"/>
          <w:highlight w:val="none"/>
        </w:rPr>
      </w:pPr>
      <w:r>
        <w:rPr>
          <w:rFonts w:hint="eastAsia" w:cs="宋体"/>
          <w:color w:val="auto"/>
          <w:szCs w:val="24"/>
          <w:highlight w:val="none"/>
        </w:rPr>
        <w:t xml:space="preserve">    6、我们完全理解贵方不一定要接受最低报价的投标或收到的任何投标。</w:t>
      </w:r>
      <w:r/>
    </w:p>
    <w:p>
      <w:pPr>
        <w:spacing w:line="360" w:lineRule="auto"/>
        <w:rPr>
          <w:rFonts w:ascii="宋体" w:hAnsi="宋体"/>
          <w:color w:val="auto"/>
          <w:szCs w:val="24"/>
          <w:highlight w:val="none"/>
        </w:rPr>
      </w:pPr>
      <w:r>
        <w:rPr>
          <w:rFonts w:hint="eastAsia" w:cs="宋体"/>
          <w:color w:val="auto"/>
          <w:szCs w:val="24"/>
          <w:highlight w:val="none"/>
        </w:rPr>
        <w:t xml:space="preserve">    7、我们承诺该项投标在开标后的全过程中保持有效，不作任何更改和变动。</w:t>
      </w:r>
      <w:r/>
    </w:p>
    <w:p>
      <w:pPr>
        <w:ind w:firstLine="480"/>
        <w:spacing w:line="360" w:lineRule="auto"/>
        <w:rPr>
          <w:rFonts w:ascii="宋体" w:hAnsi="宋体"/>
          <w:b/>
          <w:bCs/>
          <w:color w:val="auto"/>
          <w:szCs w:val="24"/>
          <w:highlight w:val="none"/>
        </w:rPr>
      </w:pPr>
      <w:r>
        <w:rPr>
          <w:rFonts w:hint="eastAsia" w:cs="宋体"/>
          <w:color w:val="auto"/>
          <w:szCs w:val="24"/>
          <w:highlight w:val="none"/>
        </w:rPr>
        <w:t xml:space="preserve">8、</w:t>
      </w:r>
      <w:r>
        <w:rPr>
          <w:rFonts w:hint="eastAsia" w:cs="宋体"/>
          <w:bCs/>
          <w:color w:val="auto"/>
          <w:szCs w:val="24"/>
          <w:highlight w:val="none"/>
        </w:rPr>
        <w:t xml:space="preserve">如果中标，我们同意并知晓中标通知书发出方式及发出时间，遵守招标文件和中标通知书规定，在指定时间和地点和采购人签订合同。</w:t>
      </w:r>
      <w:r/>
    </w:p>
    <w:p>
      <w:pPr>
        <w:ind w:firstLine="480"/>
        <w:spacing w:line="360" w:lineRule="auto"/>
        <w:rPr>
          <w:rFonts w:ascii="宋体" w:hAnsi="宋体"/>
          <w:color w:val="auto"/>
          <w:szCs w:val="24"/>
          <w:highlight w:val="none"/>
        </w:rPr>
        <w:outlineLvl w:val="1"/>
      </w:pPr>
      <w:r>
        <w:rPr>
          <w:rFonts w:hint="eastAsia" w:cs="宋体"/>
          <w:color w:val="auto"/>
          <w:szCs w:val="24"/>
          <w:highlight w:val="none"/>
        </w:rPr>
        <w:t xml:space="preserve">9、综合说明：</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（1）伴随服务及配合措施；</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（2）要求甲方提供的配合；</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（3）对招标文件有不同意见的偏离说明；</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（4）其它说明。</w:t>
      </w:r>
      <w:r/>
    </w:p>
    <w:p>
      <w:pPr>
        <w:spacing w:line="360" w:lineRule="auto"/>
        <w:rPr>
          <w:rFonts w:ascii="宋体" w:hAnsi="宋体"/>
          <w:color w:val="auto"/>
          <w:szCs w:val="24"/>
          <w:highlight w:val="none"/>
        </w:rPr>
      </w:pPr>
      <w:r>
        <w:rPr>
          <w:rFonts w:hint="eastAsia" w:cs="宋体"/>
          <w:color w:val="auto"/>
          <w:szCs w:val="24"/>
          <w:highlight w:val="none"/>
        </w:rPr>
        <w:t xml:space="preserve">所有有关标书的函电，请按下列地址联系：</w:t>
      </w:r>
      <w:r/>
    </w:p>
    <w:p>
      <w:pPr>
        <w:spacing w:line="360" w:lineRule="auto"/>
        <w:rPr>
          <w:rFonts w:ascii="宋体" w:hAnsi="宋体"/>
          <w:color w:val="auto"/>
          <w:szCs w:val="24"/>
          <w:highlight w:val="none"/>
        </w:rPr>
      </w:pPr>
      <w:r>
        <w:rPr>
          <w:rFonts w:hint="eastAsia" w:cs="宋体"/>
          <w:color w:val="auto"/>
          <w:szCs w:val="24"/>
          <w:highlight w:val="none"/>
        </w:rPr>
        <w:t xml:space="preserve">单位：                         联系人：</w:t>
      </w:r>
      <w:r/>
    </w:p>
    <w:p>
      <w:pPr>
        <w:spacing w:line="360" w:lineRule="auto"/>
        <w:rPr>
          <w:rFonts w:ascii="宋体" w:hAnsi="宋体"/>
          <w:color w:val="auto"/>
          <w:szCs w:val="24"/>
          <w:highlight w:val="none"/>
        </w:rPr>
      </w:pPr>
      <w:r>
        <w:rPr>
          <w:rFonts w:hint="eastAsia" w:cs="宋体"/>
          <w:color w:val="auto"/>
          <w:szCs w:val="24"/>
          <w:highlight w:val="none"/>
        </w:rPr>
        <w:t xml:space="preserve">地址：                         邮政编码：</w:t>
      </w:r>
      <w:r/>
    </w:p>
    <w:p>
      <w:pPr>
        <w:spacing w:line="360" w:lineRule="auto"/>
        <w:rPr>
          <w:rFonts w:ascii="宋体" w:hAnsi="宋体"/>
          <w:color w:val="auto"/>
          <w:szCs w:val="24"/>
          <w:highlight w:val="none"/>
        </w:rPr>
      </w:pPr>
      <w:r>
        <w:rPr>
          <w:rFonts w:hint="eastAsia" w:cs="宋体"/>
          <w:color w:val="auto"/>
          <w:szCs w:val="24"/>
          <w:highlight w:val="none"/>
        </w:rPr>
        <w:t xml:space="preserve">联系电话：                     传真：</w:t>
      </w:r>
      <w:r/>
    </w:p>
    <w:p>
      <w:pPr>
        <w:spacing w:line="360" w:lineRule="auto"/>
        <w:rPr>
          <w:rFonts w:ascii="宋体" w:hAnsi="宋体"/>
          <w:color w:val="auto"/>
          <w:szCs w:val="24"/>
          <w:highlight w:val="none"/>
        </w:rPr>
      </w:pPr>
      <w:r>
        <w:rPr>
          <w:rFonts w:hint="eastAsia" w:cs="宋体"/>
          <w:color w:val="auto"/>
          <w:szCs w:val="24"/>
          <w:highlight w:val="none"/>
        </w:rPr>
        <w:t xml:space="preserve">投标单位：（单位盖章）</w:t>
      </w:r>
      <w:r/>
    </w:p>
    <w:p>
      <w:pPr>
        <w:spacing w:line="360" w:lineRule="auto"/>
        <w:rPr>
          <w:rFonts w:ascii="宋体" w:hAnsi="宋体"/>
          <w:color w:val="auto"/>
          <w:szCs w:val="24"/>
          <w:highlight w:val="none"/>
        </w:rPr>
      </w:pPr>
      <w:r>
        <w:rPr>
          <w:rFonts w:hint="eastAsia" w:cs="宋体"/>
          <w:color w:val="auto"/>
          <w:szCs w:val="24"/>
          <w:highlight w:val="none"/>
        </w:rPr>
        <w:t xml:space="preserve">法定代表人（负责人）或授权代理人（签字或盖章）</w:t>
      </w:r>
      <w:r/>
    </w:p>
    <w:p>
      <w:pPr>
        <w:spacing w:line="360" w:lineRule="auto"/>
        <w:rPr>
          <w:rFonts w:ascii="宋体" w:hAnsi="宋体"/>
          <w:b/>
          <w:color w:val="auto"/>
          <w:szCs w:val="24"/>
          <w:highlight w:val="none"/>
        </w:rPr>
      </w:pPr>
      <w:r>
        <w:rPr>
          <w:rFonts w:hint="eastAsia" w:cs="宋体"/>
          <w:color w:val="auto"/>
          <w:szCs w:val="24"/>
          <w:highlight w:val="none"/>
        </w:rPr>
        <w:t xml:space="preserve">投标日期：  年  月  日</w:t>
      </w:r>
      <w:r/>
    </w:p>
    <w:p>
      <w:pPr>
        <w:ind w:right="-240"/>
        <w:pageBreakBefore/>
        <w:spacing w:line="360" w:lineRule="auto"/>
        <w:rPr>
          <w:rFonts w:ascii="宋体" w:hAnsi="宋体"/>
          <w:b/>
          <w:color w:val="auto"/>
          <w:szCs w:val="24"/>
          <w:highlight w:val="none"/>
        </w:rPr>
        <w:outlineLvl w:val="1"/>
      </w:pPr>
      <w:r>
        <w:rPr>
          <w:rFonts w:hint="eastAsia" w:eastAsia="黑体" w:cs="宋体"/>
          <w:b/>
          <w:color w:val="auto"/>
          <w:szCs w:val="24"/>
          <w:highlight w:val="none"/>
        </w:rPr>
        <w:t xml:space="preserve">3、参加政府采购活动前三年内，在经营活动中没有重大违法记录声明</w:t>
      </w:r>
      <w:r/>
    </w:p>
    <w:p>
      <w:pPr>
        <w:ind w:left="-240" w:right="-240"/>
        <w:spacing w:line="360" w:lineRule="auto"/>
        <w:rPr>
          <w:rFonts w:ascii="宋体" w:hAnsi="宋体" w:cs="宋体"/>
          <w:b/>
          <w:color w:val="auto"/>
          <w:szCs w:val="24"/>
          <w:highlight w:val="none"/>
        </w:rPr>
      </w:pPr>
      <w:r>
        <w:rPr>
          <w:rFonts w:ascii="宋体" w:hAnsi="宋体" w:cs="宋体"/>
          <w:b/>
          <w:color w:val="auto"/>
          <w:szCs w:val="24"/>
          <w:highlight w:val="none"/>
        </w:rPr>
      </w:r>
      <w:r/>
    </w:p>
    <w:p>
      <w:pPr>
        <w:jc w:val="center"/>
        <w:spacing w:line="360" w:lineRule="auto"/>
        <w:rPr>
          <w:rFonts w:ascii="宋体" w:hAnsi="宋体"/>
          <w:color w:val="auto"/>
          <w:szCs w:val="24"/>
          <w:highlight w:val="none"/>
        </w:rPr>
        <w:outlineLvl w:val="2"/>
      </w:pPr>
      <w:r>
        <w:rPr>
          <w:rFonts w:hint="eastAsia" w:cs="宋体"/>
          <w:color w:val="auto"/>
          <w:szCs w:val="24"/>
          <w:highlight w:val="none"/>
        </w:rPr>
        <w:t xml:space="preserve">参加政府采购活动前三年内，在经营活动中没有重大违法记录声明</w:t>
      </w:r>
      <w:r/>
    </w:p>
    <w:p>
      <w:pPr>
        <w:spacing w:line="360" w:lineRule="auto"/>
        <w:rPr>
          <w:rFonts w:ascii="宋体" w:hAnsi="宋体"/>
          <w:color w:val="auto"/>
          <w:szCs w:val="24"/>
          <w:highlight w:val="none"/>
        </w:rPr>
      </w:pPr>
      <w:r>
        <w:rPr>
          <w:rFonts w:ascii="宋体" w:hAnsi="宋体"/>
          <w:color w:val="auto"/>
          <w:szCs w:val="24"/>
          <w:highlight w:val="none"/>
        </w:rPr>
      </w:r>
      <w:r/>
    </w:p>
    <w:p>
      <w:pPr>
        <w:spacing w:line="360" w:lineRule="auto"/>
        <w:rPr>
          <w:rFonts w:ascii="宋体" w:hAnsi="宋体"/>
          <w:color w:val="auto"/>
          <w:szCs w:val="24"/>
          <w:highlight w:val="none"/>
        </w:rPr>
      </w:pPr>
      <w:r>
        <w:rPr>
          <w:rFonts w:hint="eastAsia" w:cs="宋体"/>
          <w:color w:val="auto"/>
          <w:szCs w:val="24"/>
          <w:highlight w:val="none"/>
        </w:rPr>
        <w:t xml:space="preserve">致：苏州市公共资源交易中心太仓分中心：</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我单位</w:t>
      </w:r>
      <w:r>
        <w:rPr>
          <w:rFonts w:hint="eastAsia" w:cs="宋体"/>
          <w:color w:val="auto"/>
          <w:szCs w:val="24"/>
          <w:highlight w:val="none"/>
          <w:u w:val="single"/>
        </w:rPr>
        <w:t xml:space="preserve">         </w:t>
      </w:r>
      <w:r>
        <w:rPr>
          <w:rFonts w:hint="eastAsia" w:cs="宋体"/>
          <w:color w:val="auto"/>
          <w:szCs w:val="24"/>
          <w:highlight w:val="none"/>
        </w:rPr>
        <w:t xml:space="preserve">（供应商名称）         在参加政府采购活动前三年内，没有重大违法记录，特此声明。</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若采购代理机构在本项目采购过程中发现我单位近三年内在经营活动中有重大违法记录，我单位将无条件退出本项目的招标，并承担因此引起的一起后果。</w:t>
      </w:r>
      <w:r/>
    </w:p>
    <w:p>
      <w:pPr>
        <w:rPr>
          <w:color w:val="auto"/>
          <w:highlight w:val="none"/>
        </w:rPr>
      </w:pPr>
      <w:r>
        <w:rPr>
          <w:color w:val="auto"/>
          <w:highlight w:val="none"/>
        </w:rPr>
      </w:r>
      <w:r/>
    </w:p>
    <w:p>
      <w:pPr>
        <w:spacing w:line="360" w:lineRule="auto"/>
        <w:rPr>
          <w:rFonts w:ascii="宋体" w:hAnsi="宋体"/>
          <w:color w:val="auto"/>
          <w:szCs w:val="24"/>
          <w:highlight w:val="none"/>
        </w:rPr>
      </w:pPr>
      <w:r>
        <w:rPr>
          <w:rFonts w:hint="eastAsia" w:cs="宋体"/>
          <w:color w:val="auto"/>
          <w:szCs w:val="24"/>
          <w:highlight w:val="none"/>
        </w:rPr>
        <w:t xml:space="preserve">供应商名称（单位公章）：</w:t>
      </w:r>
      <w:r/>
    </w:p>
    <w:p>
      <w:pPr>
        <w:spacing w:line="360" w:lineRule="auto"/>
        <w:rPr>
          <w:rFonts w:ascii="宋体" w:hAnsi="宋体"/>
          <w:color w:val="auto"/>
          <w:szCs w:val="24"/>
          <w:highlight w:val="none"/>
        </w:rPr>
      </w:pPr>
      <w:r>
        <w:rPr>
          <w:rFonts w:hint="eastAsia" w:cs="宋体"/>
          <w:color w:val="auto"/>
          <w:szCs w:val="24"/>
          <w:highlight w:val="none"/>
        </w:rPr>
        <w:t xml:space="preserve">法定代表人（负责人）或代理人（签字或盖章）：</w:t>
      </w:r>
      <w:r/>
    </w:p>
    <w:p>
      <w:pPr>
        <w:spacing w:line="360" w:lineRule="auto"/>
        <w:rPr>
          <w:rFonts w:ascii="宋体" w:hAnsi="宋体"/>
          <w:color w:val="auto"/>
          <w:szCs w:val="24"/>
          <w:highlight w:val="none"/>
        </w:rPr>
      </w:pPr>
      <w:r>
        <w:rPr>
          <w:rFonts w:hint="eastAsia" w:cs="宋体"/>
          <w:color w:val="auto"/>
          <w:szCs w:val="24"/>
          <w:highlight w:val="none"/>
        </w:rPr>
        <w:t xml:space="preserve">投标日期：  年   月   日</w:t>
      </w:r>
      <w:r/>
    </w:p>
    <w:p>
      <w:pPr>
        <w:ind w:firstLine="480"/>
        <w:pageBreakBefore/>
        <w:spacing w:line="360" w:lineRule="auto"/>
        <w:rPr>
          <w:rFonts w:ascii="宋体" w:hAnsi="宋体"/>
          <w:color w:val="auto"/>
          <w:szCs w:val="24"/>
          <w:highlight w:val="none"/>
        </w:rPr>
        <w:outlineLvl w:val="1"/>
      </w:pPr>
      <w:r>
        <w:rPr>
          <w:rFonts w:hint="eastAsia" w:ascii="黑体" w:hAnsi="黑体" w:eastAsia="黑体" w:cs="宋体"/>
          <w:b/>
          <w:color w:val="auto"/>
          <w:szCs w:val="24"/>
          <w:highlight w:val="none"/>
        </w:rPr>
        <w:t xml:space="preserve">4、投标单位情况表</w:t>
      </w:r>
      <w:r/>
    </w:p>
    <w:p>
      <w:pPr>
        <w:ind w:left="1440" w:firstLine="480"/>
        <w:spacing w:line="360" w:lineRule="auto"/>
        <w:rPr>
          <w:rFonts w:ascii="宋体" w:hAnsi="宋体"/>
          <w:color w:val="auto"/>
          <w:szCs w:val="24"/>
          <w:highlight w:val="none"/>
        </w:rPr>
      </w:pPr>
      <w:r>
        <w:rPr>
          <w:rFonts w:hint="eastAsia" w:ascii="黑体" w:hAnsi="黑体" w:eastAsia="黑体" w:cs="宋体"/>
          <w:b/>
          <w:color w:val="auto"/>
          <w:szCs w:val="24"/>
          <w:highlight w:val="none"/>
        </w:rPr>
        <w:t xml:space="preserve">投标单位情况表</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单位名称（盖章）：</w:t>
      </w:r>
      <w:r/>
    </w:p>
    <w:tbl>
      <w:tblPr>
        <w:tblStyle w:val="764"/>
        <w:tblW w:w="8528"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blHeader/>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b/>
                <w:color w:val="auto"/>
                <w:sz w:val="21"/>
                <w:szCs w:val="24"/>
                <w:highlight w:val="none"/>
              </w:rPr>
              <w:t xml:space="preserve">法定代表人（负责人）</w:t>
            </w:r>
            <w:r/>
          </w:p>
        </w:tc>
        <w:tc>
          <w:tcPr>
            <w:tcW w:w="1845"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c>
          <w:tcPr>
            <w:tcW w:w="1344" w:type="dxa"/>
            <w:textDirection w:val="lrTb"/>
            <w:noWrap w:val="false"/>
          </w:tcPr>
          <w:p>
            <w:pPr>
              <w:pStyle w:val="718"/>
              <w:ind w:firstLine="0"/>
              <w:spacing w:line="340" w:lineRule="exact"/>
              <w:rPr>
                <w:rFonts w:ascii="宋体" w:hAnsi="宋体"/>
                <w:color w:val="auto"/>
                <w:szCs w:val="24"/>
                <w:highlight w:val="none"/>
              </w:rPr>
            </w:pPr>
            <w:r>
              <w:rPr>
                <w:rFonts w:hint="eastAsia" w:cs="宋体"/>
                <w:b/>
                <w:color w:val="auto"/>
                <w:sz w:val="21"/>
                <w:szCs w:val="24"/>
                <w:highlight w:val="none"/>
              </w:rPr>
              <w:t xml:space="preserve">成立日期</w:t>
            </w:r>
            <w:r/>
          </w:p>
        </w:tc>
        <w:tc>
          <w:tcPr>
            <w:gridSpan w:val="2"/>
            <w:tcW w:w="3030"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企业地址</w:t>
            </w:r>
            <w:r/>
          </w:p>
        </w:tc>
        <w:tc>
          <w:tcPr>
            <w:tcW w:w="1845"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c>
          <w:tcPr>
            <w:tcW w:w="1344"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注册资本</w:t>
            </w:r>
            <w:r/>
          </w:p>
        </w:tc>
        <w:tc>
          <w:tcPr>
            <w:gridSpan w:val="2"/>
            <w:tcW w:w="3030"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经营范围</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职工人数</w:t>
            </w:r>
            <w:r/>
          </w:p>
        </w:tc>
        <w:tc>
          <w:tcPr>
            <w:tcW w:w="1845" w:type="dxa"/>
            <w:textDirection w:val="lrTb"/>
            <w:noWrap w:val="false"/>
          </w:tcPr>
          <w:p>
            <w:pPr>
              <w:pStyle w:val="718"/>
              <w:ind w:firstLine="0"/>
              <w:spacing w:line="340" w:lineRule="exact"/>
              <w:rPr>
                <w:rFonts w:ascii="宋体" w:hAnsi="宋体"/>
                <w:color w:val="auto"/>
                <w:szCs w:val="24"/>
                <w:highlight w:val="none"/>
              </w:rPr>
            </w:pPr>
            <w:r>
              <w:rPr>
                <w:rFonts w:ascii="宋体" w:hAnsi="宋体"/>
                <w:color w:val="auto"/>
                <w:szCs w:val="24"/>
                <w:highlight w:val="none"/>
              </w:rPr>
            </w:r>
            <w:r/>
          </w:p>
        </w:tc>
        <w:tc>
          <w:tcPr>
            <w:gridSpan w:val="2"/>
            <w:tcW w:w="3236"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其中：有中高级以上职称的人数</w:t>
            </w:r>
            <w:r/>
          </w:p>
        </w:tc>
        <w:tc>
          <w:tcPr>
            <w:tcW w:w="1138"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资产总计</w:t>
            </w:r>
            <w:r/>
          </w:p>
        </w:tc>
        <w:tc>
          <w:tcPr>
            <w:tcW w:w="1845" w:type="dxa"/>
            <w:vAlign w:val="center"/>
            <w:textDirection w:val="lrTb"/>
            <w:noWrap w:val="false"/>
          </w:tcPr>
          <w:p>
            <w:pPr>
              <w:pStyle w:val="718"/>
              <w:ind w:firstLine="105"/>
              <w:spacing w:line="340" w:lineRule="exact"/>
              <w:rPr>
                <w:rFonts w:ascii="宋体" w:hAnsi="宋体"/>
                <w:color w:val="auto"/>
                <w:szCs w:val="24"/>
                <w:highlight w:val="none"/>
              </w:rPr>
            </w:pP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c>
          <w:tcPr>
            <w:tcW w:w="1344"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净资产</w:t>
            </w:r>
            <w:r/>
          </w:p>
        </w:tc>
        <w:tc>
          <w:tcPr>
            <w:gridSpan w:val="2"/>
            <w:tcW w:w="3030" w:type="dxa"/>
            <w:vAlign w:val="center"/>
            <w:textDirection w:val="lrTb"/>
            <w:noWrap w:val="false"/>
          </w:tcPr>
          <w:p>
            <w:pPr>
              <w:pStyle w:val="718"/>
              <w:ind w:left="1260" w:firstLine="0"/>
              <w:jc w:val="center"/>
              <w:spacing w:line="340" w:lineRule="exact"/>
              <w:rPr>
                <w:rFonts w:ascii="宋体" w:hAnsi="宋体"/>
                <w:color w:val="auto"/>
                <w:szCs w:val="24"/>
                <w:highlight w:val="none"/>
              </w:rPr>
            </w:pP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r>
      <w:tr>
        <w:trPr>
          <w:cantSplit/>
        </w:trPr>
        <w:tc>
          <w:tcPr>
            <w:tcW w:w="2309"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股东权益</w:t>
            </w:r>
            <w:r/>
          </w:p>
        </w:tc>
        <w:tc>
          <w:tcPr>
            <w:tcW w:w="1845" w:type="dxa"/>
            <w:vAlign w:val="center"/>
            <w:textDirection w:val="lrTb"/>
            <w:noWrap w:val="false"/>
          </w:tcPr>
          <w:p>
            <w:pPr>
              <w:pStyle w:val="718"/>
              <w:ind w:firstLine="840"/>
              <w:spacing w:line="340" w:lineRule="exact"/>
              <w:rPr>
                <w:rFonts w:ascii="宋体" w:hAnsi="宋体"/>
                <w:color w:val="auto"/>
                <w:szCs w:val="24"/>
                <w:highlight w:val="none"/>
              </w:rPr>
            </w:pP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c>
          <w:tcPr>
            <w:tcW w:w="1344"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销售收入</w:t>
            </w:r>
            <w:r/>
          </w:p>
        </w:tc>
        <w:tc>
          <w:tcPr>
            <w:gridSpan w:val="2"/>
            <w:tcW w:w="3030" w:type="dxa"/>
            <w:vAlign w:val="center"/>
            <w:textDirection w:val="lrTb"/>
            <w:noWrap w:val="false"/>
          </w:tcPr>
          <w:p>
            <w:pPr>
              <w:pStyle w:val="718"/>
              <w:ind w:firstLine="0"/>
              <w:spacing w:line="340" w:lineRule="exact"/>
              <w:rPr>
                <w:rFonts w:ascii="宋体" w:hAnsi="宋体"/>
                <w:b/>
                <w:color w:val="auto"/>
                <w:szCs w:val="24"/>
                <w:highlight w:val="none"/>
              </w:rPr>
            </w:pPr>
            <w:r>
              <w:rPr>
                <w:rFonts w:hint="eastAsia" w:cs="宋体"/>
                <w:color w:val="auto"/>
                <w:sz w:val="21"/>
                <w:szCs w:val="24"/>
                <w:highlight w:val="none"/>
              </w:rPr>
              <w:t xml:space="preserve">2025年</w:t>
            </w: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实现利润</w:t>
            </w:r>
            <w:r/>
          </w:p>
        </w:tc>
        <w:tc>
          <w:tcPr>
            <w:tcW w:w="1845" w:type="dxa"/>
            <w:textDirection w:val="lrTb"/>
            <w:noWrap w:val="false"/>
          </w:tcPr>
          <w:p>
            <w:pPr>
              <w:pStyle w:val="718"/>
              <w:ind w:firstLine="0"/>
              <w:spacing w:line="340" w:lineRule="exact"/>
              <w:rPr>
                <w:rFonts w:ascii="宋体" w:hAnsi="宋体"/>
                <w:b/>
                <w:color w:val="auto"/>
                <w:szCs w:val="24"/>
                <w:highlight w:val="none"/>
              </w:rPr>
            </w:pPr>
            <w:r>
              <w:rPr>
                <w:rFonts w:hint="eastAsia" w:cs="宋体"/>
                <w:color w:val="auto"/>
                <w:sz w:val="21"/>
                <w:szCs w:val="24"/>
                <w:highlight w:val="none"/>
              </w:rPr>
              <w:t xml:space="preserve">2025年</w:t>
            </w:r>
            <w:r>
              <w:rPr>
                <w:rFonts w:hint="eastAsia" w:cs="宋体"/>
                <w:color w:val="auto"/>
                <w:sz w:val="21"/>
                <w:szCs w:val="24"/>
                <w:highlight w:val="none"/>
                <w:u w:val="single"/>
              </w:rPr>
              <w:t xml:space="preserve">       </w:t>
            </w:r>
            <w:r>
              <w:rPr>
                <w:rFonts w:hint="eastAsia" w:cs="宋体"/>
                <w:color w:val="auto"/>
                <w:sz w:val="21"/>
                <w:szCs w:val="24"/>
                <w:highlight w:val="none"/>
              </w:rPr>
              <w:t xml:space="preserve">万元</w:t>
            </w:r>
            <w:r/>
          </w:p>
        </w:tc>
        <w:tc>
          <w:tcPr>
            <w:tcW w:w="1344"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c>
          <w:tcPr>
            <w:gridSpan w:val="2"/>
            <w:tcW w:w="3030"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营业面积（含厂房面积）</w:t>
            </w:r>
            <w:r/>
          </w:p>
        </w:tc>
        <w:tc>
          <w:tcPr>
            <w:tcW w:w="1845"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u w:val="single"/>
              </w:rPr>
              <w:t xml:space="preserve">       </w:t>
            </w:r>
            <w:r>
              <w:rPr>
                <w:rFonts w:hint="eastAsia" w:cs="宋体"/>
                <w:color w:val="auto"/>
                <w:sz w:val="21"/>
                <w:szCs w:val="24"/>
                <w:highlight w:val="none"/>
              </w:rPr>
              <w:t xml:space="preserve">平方米</w:t>
            </w:r>
            <w:r/>
          </w:p>
        </w:tc>
        <w:tc>
          <w:tcPr>
            <w:tcW w:w="1344"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其中</w:t>
            </w:r>
            <w:r/>
          </w:p>
        </w:tc>
        <w:tc>
          <w:tcPr>
            <w:gridSpan w:val="2"/>
            <w:tcW w:w="3030"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自有面积</w:t>
            </w:r>
            <w:r>
              <w:rPr>
                <w:rFonts w:hint="eastAsia" w:cs="宋体"/>
                <w:color w:val="auto"/>
                <w:sz w:val="21"/>
                <w:szCs w:val="24"/>
                <w:highlight w:val="none"/>
                <w:u w:val="single"/>
              </w:rPr>
              <w:t xml:space="preserve">     </w:t>
            </w:r>
            <w:r>
              <w:rPr>
                <w:rFonts w:hint="eastAsia" w:cs="宋体"/>
                <w:color w:val="auto"/>
                <w:sz w:val="21"/>
                <w:szCs w:val="24"/>
                <w:highlight w:val="none"/>
              </w:rPr>
              <w:t xml:space="preserve">平方米</w:t>
            </w:r>
            <w:r/>
          </w:p>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承租面积</w:t>
            </w:r>
            <w:r>
              <w:rPr>
                <w:rFonts w:hint="eastAsia" w:cs="宋体"/>
                <w:color w:val="auto"/>
                <w:sz w:val="21"/>
                <w:szCs w:val="24"/>
                <w:highlight w:val="none"/>
                <w:u w:val="single"/>
              </w:rPr>
              <w:t xml:space="preserve">     </w:t>
            </w:r>
            <w:r>
              <w:rPr>
                <w:rFonts w:hint="eastAsia" w:cs="宋体"/>
                <w:color w:val="auto"/>
                <w:sz w:val="21"/>
                <w:szCs w:val="24"/>
                <w:highlight w:val="none"/>
              </w:rPr>
              <w:t xml:space="preserve">平方米</w:t>
            </w:r>
            <w:r/>
          </w:p>
        </w:tc>
      </w:tr>
      <w:tr>
        <w:trPr>
          <w:cantSplit/>
          <w:trHeight w:val="926"/>
        </w:trPr>
        <w:tc>
          <w:tcPr>
            <w:tcW w:w="2309"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单位简历及内设机构情况</w:t>
            </w:r>
            <w:r/>
          </w:p>
        </w:tc>
        <w:tc>
          <w:tcPr>
            <w:gridSpan w:val="4"/>
            <w:tcW w:w="6219" w:type="dxa"/>
            <w:textDirection w:val="lrTb"/>
            <w:noWrap w:val="false"/>
          </w:tcPr>
          <w:p>
            <w:pPr>
              <w:pStyle w:val="718"/>
              <w:ind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Height w:val="668"/>
        </w:trPr>
        <w:tc>
          <w:tcPr>
            <w:tcW w:w="2309" w:type="dxa"/>
            <w:vAlign w:val="center"/>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单位优势及特长</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近两年来完成或正在履行的重大合同情况</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最近2年内在经营过程中受到何种奖励或处分（包括情况和结果）</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最近3年内有无因售假、售劣或是其他原因被消费者投诉或起诉的情况及说明（包括解决方式和结果）</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最近3年内主要负责人有无因经济犯罪被司法机关追究的情况及说明</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获得技术认证的工程师及简介</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r>
        <w:trPr>
          <w:cantSplit/>
          <w:trHeight w:val="560"/>
        </w:trPr>
        <w:tc>
          <w:tcPr>
            <w:tcW w:w="2309" w:type="dxa"/>
            <w:textDirection w:val="lrTb"/>
            <w:noWrap w:val="false"/>
          </w:tcPr>
          <w:p>
            <w:pPr>
              <w:pStyle w:val="718"/>
              <w:ind w:firstLine="0"/>
              <w:spacing w:line="340" w:lineRule="exact"/>
              <w:rPr>
                <w:rFonts w:ascii="宋体" w:hAnsi="宋体"/>
                <w:color w:val="auto"/>
                <w:szCs w:val="24"/>
                <w:highlight w:val="none"/>
              </w:rPr>
            </w:pPr>
            <w:r>
              <w:rPr>
                <w:rFonts w:hint="eastAsia" w:cs="宋体"/>
                <w:color w:val="auto"/>
                <w:sz w:val="21"/>
                <w:szCs w:val="24"/>
                <w:highlight w:val="none"/>
              </w:rPr>
              <w:t xml:space="preserve">其他需要说明的情况</w:t>
            </w:r>
            <w:r/>
          </w:p>
        </w:tc>
        <w:tc>
          <w:tcPr>
            <w:gridSpan w:val="4"/>
            <w:tcW w:w="6219" w:type="dxa"/>
            <w:textDirection w:val="lrTb"/>
            <w:noWrap w:val="false"/>
          </w:tcPr>
          <w:p>
            <w:pPr>
              <w:pStyle w:val="718"/>
              <w:ind w:left="1260" w:firstLine="0"/>
              <w:spacing w:line="340" w:lineRule="exact"/>
              <w:rPr>
                <w:rFonts w:ascii="宋体" w:hAnsi="宋体"/>
                <w:color w:val="auto"/>
                <w:szCs w:val="24"/>
                <w:highlight w:val="none"/>
              </w:rPr>
            </w:pPr>
            <w:r>
              <w:rPr>
                <w:rFonts w:ascii="宋体" w:hAnsi="宋体"/>
                <w:color w:val="auto"/>
                <w:szCs w:val="24"/>
                <w:highlight w:val="none"/>
              </w:rPr>
            </w:r>
            <w:r/>
          </w:p>
        </w:tc>
      </w:tr>
    </w:tbl>
    <w:p>
      <w:pPr>
        <w:pageBreakBefore/>
        <w:spacing w:line="360" w:lineRule="auto"/>
        <w:rPr>
          <w:rFonts w:ascii="宋体" w:hAnsi="宋体"/>
          <w:b/>
          <w:color w:val="auto"/>
          <w:szCs w:val="24"/>
          <w:highlight w:val="none"/>
        </w:rPr>
        <w:outlineLvl w:val="1"/>
      </w:pPr>
      <w:r>
        <w:rPr>
          <w:rFonts w:hint="eastAsia" w:eastAsia="黑体" w:cs="宋体"/>
          <w:b/>
          <w:color w:val="auto"/>
          <w:szCs w:val="24"/>
          <w:highlight w:val="none"/>
        </w:rPr>
        <w:t xml:space="preserve">5、法定代表人（负责人）授权委托书 （如有）</w:t>
      </w:r>
      <w:r/>
    </w:p>
    <w:p>
      <w:pPr>
        <w:ind w:firstLine="420"/>
        <w:jc w:val="center"/>
        <w:spacing w:line="360" w:lineRule="auto"/>
        <w:rPr>
          <w:rFonts w:ascii="宋体" w:hAnsi="宋体"/>
          <w:color w:val="auto"/>
          <w:szCs w:val="24"/>
          <w:highlight w:val="none"/>
        </w:rPr>
      </w:pPr>
      <w:r>
        <w:rPr>
          <w:rFonts w:ascii="宋体" w:hAnsi="宋体"/>
          <w:color w:val="auto"/>
          <w:szCs w:val="24"/>
          <w:highlight w:val="none"/>
        </w:rPr>
      </w:r>
      <w:r/>
    </w:p>
    <w:p>
      <w:pPr>
        <w:ind w:firstLine="480"/>
        <w:jc w:val="center"/>
        <w:spacing w:line="360" w:lineRule="auto"/>
        <w:rPr>
          <w:rFonts w:ascii="宋体" w:hAnsi="宋体"/>
          <w:color w:val="auto"/>
          <w:szCs w:val="24"/>
          <w:highlight w:val="none"/>
        </w:rPr>
        <w:outlineLvl w:val="2"/>
      </w:pPr>
      <w:r>
        <w:rPr>
          <w:rFonts w:hint="eastAsia" w:cs="宋体"/>
          <w:color w:val="auto"/>
          <w:szCs w:val="24"/>
          <w:highlight w:val="none"/>
        </w:rPr>
        <w:t xml:space="preserve">授权委托书</w:t>
      </w:r>
      <w:r/>
    </w:p>
    <w:p>
      <w:pPr>
        <w:ind w:firstLine="420"/>
        <w:jc w:val="left"/>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highlight w:val="none"/>
        </w:rPr>
        <w:t xml:space="preserve">本授权委托书声明：我</w:t>
      </w:r>
      <w:r>
        <w:rPr>
          <w:rFonts w:hint="eastAsia" w:cs="宋体"/>
          <w:color w:val="auto"/>
          <w:highlight w:val="none"/>
          <w:u w:val="single"/>
        </w:rPr>
        <w:t xml:space="preserve">（姓名）</w:t>
      </w:r>
      <w:r>
        <w:rPr>
          <w:rFonts w:hint="eastAsia" w:cs="宋体"/>
          <w:color w:val="auto"/>
          <w:highlight w:val="none"/>
        </w:rPr>
        <w:t xml:space="preserve">系</w:t>
      </w:r>
      <w:r>
        <w:rPr>
          <w:rFonts w:hint="eastAsia" w:cs="宋体"/>
          <w:color w:val="auto"/>
          <w:highlight w:val="none"/>
          <w:u w:val="single"/>
        </w:rPr>
        <w:t xml:space="preserve">（投标单位名称）</w:t>
      </w:r>
      <w:r>
        <w:rPr>
          <w:rFonts w:hint="eastAsia" w:cs="宋体"/>
          <w:color w:val="auto"/>
          <w:highlight w:val="none"/>
        </w:rPr>
        <w:t xml:space="preserve">的法定代表人（负责人），现授权委托</w:t>
      </w:r>
      <w:r>
        <w:rPr>
          <w:rFonts w:hint="eastAsia" w:cs="宋体"/>
          <w:color w:val="auto"/>
          <w:highlight w:val="none"/>
          <w:u w:val="single"/>
        </w:rPr>
        <w:t xml:space="preserve">（单位名称）</w:t>
      </w:r>
      <w:r>
        <w:rPr>
          <w:rFonts w:hint="eastAsia" w:cs="宋体"/>
          <w:color w:val="auto"/>
          <w:highlight w:val="none"/>
        </w:rPr>
        <w:t xml:space="preserve">的</w:t>
      </w:r>
      <w:r>
        <w:rPr>
          <w:rFonts w:hint="eastAsia" w:cs="宋体"/>
          <w:color w:val="auto"/>
          <w:highlight w:val="none"/>
          <w:u w:val="single"/>
        </w:rPr>
        <w:t xml:space="preserve">（姓名）</w:t>
      </w:r>
      <w:r>
        <w:rPr>
          <w:rFonts w:hint="eastAsia" w:cs="宋体"/>
          <w:color w:val="auto"/>
          <w:highlight w:val="none"/>
        </w:rPr>
        <w:t xml:space="preserve">为我公司代理人，以本公司的名义参加</w:t>
      </w:r>
      <w:r>
        <w:rPr>
          <w:rFonts w:hint="eastAsia" w:cs="宋体"/>
          <w:color w:val="auto"/>
          <w:highlight w:val="none"/>
          <w:u w:val="single"/>
        </w:rPr>
        <w:t xml:space="preserve">苏州市公共资源交易中心太仓分中心</w:t>
      </w:r>
      <w:r>
        <w:rPr>
          <w:rFonts w:hint="eastAsia" w:cs="宋体"/>
          <w:color w:val="auto"/>
          <w:highlight w:val="none"/>
        </w:rPr>
        <w:t xml:space="preserve">组织实施的编号为</w:t>
      </w:r>
      <w:r>
        <w:rPr>
          <w:rFonts w:hint="eastAsia" w:cs="宋体"/>
          <w:color w:val="auto"/>
          <w:highlight w:val="none"/>
          <w:u w:val="single"/>
        </w:rPr>
        <w:t xml:space="preserve">JSZC-320585-JZCG-G2026-0092</w:t>
      </w:r>
      <w:r>
        <w:rPr>
          <w:rFonts w:hint="eastAsia" w:cs="宋体"/>
          <w:color w:val="auto"/>
          <w:highlight w:val="none"/>
        </w:rPr>
        <w:t xml:space="preserve">号的招标活动。代理人在开标、评标、合同谈判过程中所签署的一切文件和处理与这有关的一切事务，我均予以承认。</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代理人无转委托权。特此委托！</w:t>
      </w:r>
      <w:r/>
    </w:p>
    <w:p>
      <w:pPr>
        <w:spacing w:line="360" w:lineRule="auto"/>
        <w:rPr>
          <w:rFonts w:ascii="宋体" w:hAnsi="宋体"/>
          <w:color w:val="auto"/>
          <w:szCs w:val="24"/>
          <w:highlight w:val="none"/>
        </w:rPr>
      </w:pPr>
      <w:r>
        <w:rPr>
          <w:rFonts w:ascii="宋体" w:hAnsi="宋体"/>
          <w:color w:val="auto"/>
          <w:szCs w:val="24"/>
          <w:highlight w:val="none"/>
        </w:rPr>
      </w:r>
      <w:r/>
    </w:p>
    <w:p>
      <w:pPr>
        <w:spacing w:line="360" w:lineRule="auto"/>
        <w:rPr>
          <w:rFonts w:ascii="宋体" w:hAnsi="宋体"/>
          <w:color w:val="auto"/>
          <w:szCs w:val="24"/>
          <w:highlight w:val="none"/>
        </w:rPr>
      </w:pPr>
      <w:r>
        <w:rPr>
          <w:rFonts w:hint="eastAsia" w:cs="宋体"/>
          <w:color w:val="auto"/>
          <w:szCs w:val="24"/>
          <w:highlight w:val="none"/>
        </w:rPr>
        <w:t xml:space="preserve">投标单位：（盖章）</w:t>
      </w:r>
      <w:r/>
    </w:p>
    <w:p>
      <w:pPr>
        <w:spacing w:line="360" w:lineRule="auto"/>
        <w:rPr>
          <w:rFonts w:ascii="宋体" w:hAnsi="宋体"/>
          <w:color w:val="auto"/>
          <w:szCs w:val="24"/>
          <w:highlight w:val="none"/>
        </w:rPr>
      </w:pPr>
      <w:r>
        <w:rPr>
          <w:rFonts w:hint="eastAsia" w:cs="宋体"/>
          <w:color w:val="auto"/>
          <w:szCs w:val="24"/>
          <w:highlight w:val="none"/>
        </w:rPr>
        <w:t xml:space="preserve">法定代表人（负责人）：（签字或盖章）</w:t>
      </w:r>
      <w:r/>
    </w:p>
    <w:p>
      <w:pPr>
        <w:spacing w:line="360" w:lineRule="auto"/>
        <w:rPr>
          <w:rFonts w:ascii="宋体" w:hAnsi="宋体"/>
          <w:color w:val="auto"/>
          <w:szCs w:val="24"/>
          <w:highlight w:val="none"/>
        </w:rPr>
      </w:pPr>
      <w:r>
        <w:rPr>
          <w:rFonts w:hint="eastAsia" w:cs="宋体"/>
          <w:color w:val="auto"/>
          <w:szCs w:val="24"/>
          <w:highlight w:val="none"/>
        </w:rPr>
        <w:t xml:space="preserve">授权代理人：（签字或盖章）</w:t>
      </w:r>
      <w:r/>
    </w:p>
    <w:p>
      <w:pPr>
        <w:spacing w:line="360" w:lineRule="auto"/>
        <w:rPr>
          <w:rFonts w:ascii="宋体" w:hAnsi="宋体"/>
          <w:color w:val="auto"/>
          <w:szCs w:val="24"/>
          <w:highlight w:val="none"/>
        </w:rPr>
      </w:pPr>
      <w:r>
        <w:rPr>
          <w:rFonts w:hint="eastAsia" w:cs="宋体"/>
          <w:color w:val="auto"/>
          <w:szCs w:val="24"/>
          <w:highlight w:val="none"/>
        </w:rPr>
        <w:t xml:space="preserve">投标日期：  年   月   日</w:t>
      </w:r>
      <w:r/>
    </w:p>
    <w:p>
      <w:pPr>
        <w:pageBreakBefore/>
        <w:spacing w:line="360" w:lineRule="auto"/>
        <w:rPr>
          <w:rFonts w:ascii="宋体" w:hAnsi="宋体"/>
          <w:color w:val="auto"/>
          <w:szCs w:val="24"/>
          <w:highlight w:val="none"/>
        </w:rPr>
        <w:outlineLvl w:val="1"/>
      </w:pPr>
      <w:r>
        <w:rPr>
          <w:rFonts w:hint="eastAsia" w:ascii="黑体" w:hAnsi="黑体" w:eastAsia="黑体" w:cs="宋体"/>
          <w:b/>
          <w:color w:val="auto"/>
          <w:szCs w:val="24"/>
          <w:highlight w:val="none"/>
        </w:rPr>
        <w:t xml:space="preserve">6、开标一览表</w:t>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Cs w:val="24"/>
          <w:highlight w:val="none"/>
        </w:rPr>
        <w:outlineLvl w:val="2"/>
      </w:pPr>
      <w:r>
        <w:rPr>
          <w:rFonts w:hint="eastAsia" w:ascii="黑体" w:hAnsi="黑体" w:eastAsia="黑体" w:cs="宋体"/>
          <w:b/>
          <w:color w:val="auto"/>
          <w:szCs w:val="24"/>
          <w:highlight w:val="none"/>
        </w:rPr>
        <w:t xml:space="preserve">开标一览表</w:t>
      </w:r>
      <w:r/>
    </w:p>
    <w:p>
      <w:pPr>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highlight w:val="none"/>
        </w:rPr>
        <w:t xml:space="preserve">项目编号：JSZC-320585-JZCG-G2026-0092</w:t>
      </w:r>
      <w:r/>
    </w:p>
    <w:p>
      <w:pPr>
        <w:ind w:firstLine="480"/>
        <w:jc w:val="left"/>
        <w:spacing w:line="360" w:lineRule="auto"/>
        <w:rPr>
          <w:rFonts w:ascii="宋体" w:hAnsi="宋体"/>
          <w:color w:val="auto"/>
          <w:szCs w:val="24"/>
          <w:highlight w:val="none"/>
        </w:rPr>
      </w:pPr>
      <w:r>
        <w:rPr>
          <w:rFonts w:hint="eastAsia" w:cs="宋体"/>
          <w:color w:val="auto"/>
          <w:highlight w:val="none"/>
        </w:rPr>
        <w:t xml:space="preserve">项目名称：2026年苏州线上教育太仓分中心综合服务应用软件开发</w:t>
      </w:r>
      <w:r/>
    </w:p>
    <w:tbl>
      <w:tblPr>
        <w:tblStyle w:val="764"/>
        <w:tblW w:w="7371" w:type="dxa"/>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blHeader/>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758"/>
              <w:jc w:val="center"/>
              <w:spacing w:before="0" w:beforeAutospacing="0" w:after="0" w:afterAutospacing="0" w:line="360" w:lineRule="auto"/>
              <w:widowControl w:val="off"/>
              <w:rPr>
                <w:rFonts w:eastAsia="宋体"/>
                <w:color w:val="auto"/>
                <w:szCs w:val="24"/>
                <w:highlight w:val="none"/>
              </w:rPr>
            </w:pPr>
            <w:r>
              <w:rPr>
                <w:rFonts w:hint="eastAsia" w:ascii="仿宋" w:hAnsi="仿宋" w:eastAsia="仿宋"/>
                <w:b/>
                <w:color w:val="auto"/>
                <w:sz w:val="21"/>
                <w:szCs w:val="24"/>
                <w:highlight w:val="none"/>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pStyle w:val="758"/>
              <w:jc w:val="center"/>
              <w:spacing w:before="0" w:beforeAutospacing="0" w:after="0" w:afterAutospacing="0" w:line="360" w:lineRule="auto"/>
              <w:widowControl w:val="off"/>
              <w:rPr>
                <w:rFonts w:eastAsia="宋体"/>
                <w:color w:val="auto"/>
                <w:szCs w:val="24"/>
                <w:highlight w:val="none"/>
              </w:rPr>
            </w:pPr>
            <w:r>
              <w:rPr>
                <w:rFonts w:hint="eastAsia" w:ascii="仿宋" w:hAnsi="仿宋" w:eastAsia="仿宋"/>
                <w:b/>
                <w:color w:val="auto"/>
                <w:sz w:val="21"/>
                <w:szCs w:val="24"/>
                <w:highlight w:val="none"/>
              </w:rPr>
              <w:t xml:space="preserve">内容</w:t>
            </w:r>
            <w:r/>
          </w:p>
        </w:tc>
      </w:tr>
      <w:tr>
        <w:trPr>
          <w:cantSplit/>
          <w:trHeight w:val="701"/>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758"/>
              <w:jc w:val="center"/>
              <w:spacing w:before="0" w:beforeAutospacing="0" w:after="0" w:afterAutospacing="0" w:line="360" w:lineRule="auto"/>
              <w:widowControl w:val="off"/>
              <w:rPr>
                <w:rFonts w:eastAsia="宋体"/>
                <w:color w:val="auto"/>
                <w:szCs w:val="24"/>
                <w:highlight w:val="none"/>
              </w:rPr>
            </w:pPr>
            <w:r>
              <w:rPr>
                <w:rFonts w:hint="eastAsia" w:ascii="仿宋" w:hAnsi="仿宋" w:eastAsia="仿宋"/>
                <w:color w:val="auto"/>
                <w:sz w:val="21"/>
                <w:szCs w:val="24"/>
                <w:highlight w:val="none"/>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pStyle w:val="758"/>
              <w:spacing w:before="0" w:beforeAutospacing="0" w:after="0" w:afterAutospacing="0" w:line="360" w:lineRule="auto"/>
              <w:widowControl w:val="off"/>
              <w:rPr>
                <w:rFonts w:eastAsia="宋体"/>
                <w:b/>
                <w:color w:val="auto"/>
                <w:szCs w:val="24"/>
                <w:highlight w:val="none"/>
                <w:u w:val="single"/>
              </w:rPr>
            </w:pPr>
            <w:r>
              <w:rPr>
                <w:rFonts w:hint="eastAsia" w:ascii="仿宋" w:hAnsi="仿宋" w:eastAsia="仿宋"/>
                <w:color w:val="auto"/>
                <w:sz w:val="21"/>
                <w:szCs w:val="24"/>
                <w:highlight w:val="none"/>
                <w:u w:val="single"/>
              </w:rPr>
              <w:t xml:space="preserve">　　　　　　　　　　　　元</w:t>
            </w:r>
            <w:r/>
          </w:p>
        </w:tc>
      </w:tr>
    </w:tbl>
    <w:p>
      <w:pPr>
        <w:ind w:firstLine="720"/>
        <w:spacing w:line="360" w:lineRule="auto"/>
        <w:rPr>
          <w:rFonts w:ascii="宋体" w:hAnsi="宋体"/>
          <w:b/>
          <w:color w:val="auto"/>
          <w:szCs w:val="24"/>
          <w:highlight w:val="none"/>
        </w:rPr>
      </w:pPr>
      <w:r>
        <w:rPr>
          <w:rFonts w:ascii="宋体" w:hAnsi="宋体"/>
          <w:b/>
          <w:color w:val="auto"/>
          <w:szCs w:val="24"/>
          <w:highlight w:val="none"/>
        </w:rPr>
      </w:r>
      <w:r/>
    </w:p>
    <w:p>
      <w:pPr>
        <w:ind w:right="240"/>
        <w:jc w:val="right"/>
        <w:spacing w:line="360" w:lineRule="auto"/>
        <w:rPr>
          <w:rFonts w:ascii="宋体" w:hAnsi="宋体"/>
          <w:color w:val="auto"/>
          <w:szCs w:val="24"/>
          <w:highlight w:val="none"/>
        </w:rPr>
      </w:pPr>
      <w:r>
        <w:rPr>
          <w:rFonts w:hint="eastAsia" w:cs="宋体"/>
          <w:color w:val="auto"/>
          <w:szCs w:val="24"/>
          <w:highlight w:val="none"/>
        </w:rPr>
        <w:t xml:space="preserve">投标人（单位盖章）：                     </w:t>
      </w:r>
      <w:r/>
    </w:p>
    <w:p>
      <w:pPr>
        <w:jc w:val="right"/>
        <w:spacing w:line="360" w:lineRule="auto"/>
        <w:rPr>
          <w:rFonts w:ascii="宋体" w:hAnsi="宋体"/>
          <w:color w:val="auto"/>
          <w:szCs w:val="24"/>
          <w:highlight w:val="none"/>
        </w:rPr>
      </w:pPr>
      <w:r>
        <w:rPr>
          <w:rFonts w:hint="eastAsia" w:cs="宋体"/>
          <w:color w:val="auto"/>
          <w:szCs w:val="24"/>
          <w:highlight w:val="none"/>
        </w:rPr>
        <w:t xml:space="preserve">法定代表人（负责人）或代理人（签字或盖章）：         </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投标日期：    年     月     日          </w:t>
      </w:r>
      <w:r/>
    </w:p>
    <w:p>
      <w:pPr>
        <w:spacing w:line="360" w:lineRule="auto"/>
        <w:rPr>
          <w:rFonts w:ascii="宋体" w:hAnsi="宋体"/>
          <w:b/>
          <w:color w:val="auto"/>
          <w:szCs w:val="24"/>
          <w:highlight w:val="none"/>
        </w:rPr>
      </w:pPr>
      <w:r>
        <w:rPr>
          <w:rFonts w:ascii="宋体" w:hAnsi="宋体"/>
          <w:b/>
          <w:color w:val="auto"/>
          <w:szCs w:val="24"/>
          <w:highlight w:val="none"/>
        </w:rPr>
      </w:r>
      <w:r/>
    </w:p>
    <w:p>
      <w:pPr>
        <w:spacing w:line="360" w:lineRule="auto"/>
        <w:rPr>
          <w:rFonts w:ascii="宋体" w:hAnsi="宋体"/>
          <w:b/>
          <w:color w:val="auto"/>
          <w:szCs w:val="24"/>
          <w:highlight w:val="none"/>
        </w:rPr>
      </w:pPr>
      <w:r>
        <w:rPr>
          <w:rFonts w:hint="eastAsia" w:cs="宋体"/>
          <w:color w:val="auto"/>
          <w:szCs w:val="24"/>
          <w:highlight w:val="none"/>
        </w:rPr>
        <w:t xml:space="preserve">注：1、</w:t>
      </w:r>
      <w:r>
        <w:rPr>
          <w:rFonts w:hint="eastAsia" w:cs="宋体"/>
          <w:color w:val="auto"/>
          <w:szCs w:val="24"/>
          <w:highlight w:val="none"/>
        </w:rPr>
        <w:t xml:space="preserve">投标报价一次报定，包括上述服务管理、人员、培训、管理、维护、保险、利润、税金、调试达到正常可使用状态、政策性文件规定及合同包含的所有风险、责任等各项应有费用。</w:t>
      </w:r>
      <w:r/>
    </w:p>
    <w:p>
      <w:pPr>
        <w:pageBreakBefore/>
        <w:spacing w:line="360" w:lineRule="auto"/>
        <w:rPr>
          <w:rFonts w:ascii="宋体" w:hAnsi="宋体"/>
          <w:b/>
          <w:color w:val="auto"/>
          <w:szCs w:val="24"/>
          <w:highlight w:val="none"/>
        </w:rPr>
        <w:outlineLvl w:val="1"/>
      </w:pPr>
      <w:r>
        <w:rPr>
          <w:rFonts w:hint="eastAsia" w:ascii="黑体" w:hAnsi="黑体" w:eastAsia="黑体" w:cs="宋体"/>
          <w:b/>
          <w:color w:val="auto"/>
          <w:szCs w:val="24"/>
          <w:highlight w:val="none"/>
        </w:rPr>
        <w:t xml:space="preserve">7、投标报价明细表（公开分项报价表）</w:t>
      </w:r>
      <w:r/>
    </w:p>
    <w:p>
      <w:pPr>
        <w:ind w:firstLine="2400"/>
        <w:spacing w:line="360" w:lineRule="auto"/>
        <w:rPr>
          <w:rFonts w:ascii="宋体" w:hAnsi="宋体"/>
          <w:b/>
          <w:color w:val="auto"/>
          <w:szCs w:val="24"/>
          <w:highlight w:val="none"/>
        </w:rPr>
      </w:pPr>
      <w:r>
        <w:rPr>
          <w:rFonts w:ascii="宋体" w:hAnsi="宋体"/>
          <w:b/>
          <w:color w:val="auto"/>
          <w:szCs w:val="24"/>
          <w:highlight w:val="none"/>
        </w:rPr>
      </w:r>
      <w:r/>
    </w:p>
    <w:p>
      <w:pPr>
        <w:pStyle w:val="703"/>
        <w:jc w:val="left"/>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（一）投标报价分项明细表</w:t>
      </w:r>
      <w:r>
        <w:rPr>
          <w:rFonts w:hint="eastAsia" w:cs="宋体"/>
          <w:color w:val="auto"/>
          <w:highlight w:val="none"/>
        </w:rPr>
        <w:t xml:space="preserve"> </w:t>
      </w:r>
      <w:r/>
    </w:p>
    <w:tbl>
      <w:tblPr>
        <w:tblStyle w:val="764"/>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1424"/>
        <w:gridCol w:w="881"/>
      </w:tblGrid>
      <w:tr>
        <w:trPr>
          <w:jc w:val="center"/>
          <w:trHeight w:val="566"/>
          <w:tblHeader/>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品牌、规格、型号/服务说明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rFonts w:hint="eastAsia" w:cs="宋体"/>
                <w:b/>
                <w:bCs/>
                <w:color w:val="auto"/>
                <w:sz w:val="21"/>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Cs w:val="24"/>
                <w:highlight w:val="none"/>
              </w:rPr>
            </w:pPr>
            <w:r>
              <w:rPr>
                <w:bCs/>
                <w:color w:val="auto"/>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bCs/>
                <w:color w:val="auto"/>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Cs w:val="24"/>
                <w:highlight w:val="none"/>
              </w:rPr>
            </w:pPr>
            <w:r>
              <w:rPr>
                <w:bCs/>
                <w:color w:val="auto"/>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bCs/>
                <w:color w:val="auto"/>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Cs w:val="24"/>
                <w:highlight w:val="none"/>
              </w:rPr>
            </w:pPr>
            <w:r>
              <w:rPr>
                <w:rFonts w:hint="eastAsia" w:cs="宋体"/>
                <w:color w:val="auto"/>
                <w:sz w:val="21"/>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Cs w:val="24"/>
                <w:highlight w:val="none"/>
              </w:rPr>
            </w:pPr>
            <w:r>
              <w:rPr>
                <w:bCs/>
                <w:color w:val="auto"/>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bCs/>
                <w:color w:val="auto"/>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Cs w:val="24"/>
                <w:highlight w:val="none"/>
              </w:rPr>
            </w:pPr>
            <w:r>
              <w:rPr>
                <w:bCs/>
                <w:color w:val="auto"/>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bCs/>
                <w:color w:val="auto"/>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Cs w:val="24"/>
                <w:highlight w:val="none"/>
              </w:rPr>
            </w:pPr>
            <w:r>
              <w:rPr>
                <w:bCs/>
                <w:color w:val="auto"/>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Cs w:val="24"/>
                <w:highlight w:val="none"/>
              </w:rPr>
            </w:pPr>
            <w:r>
              <w:rPr>
                <w:bCs/>
                <w:color w:val="auto"/>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Cs w:val="24"/>
                <w:highlight w:val="none"/>
              </w:rPr>
            </w:pPr>
            <w:r>
              <w:rPr>
                <w:bCs/>
                <w:color w:val="auto"/>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color w:val="auto"/>
                <w:szCs w:val="24"/>
                <w:highlight w:val="none"/>
              </w:rPr>
            </w:pPr>
            <w:r>
              <w:rPr>
                <w:rFonts w:hint="eastAsia" w:cs="宋体"/>
                <w:bCs/>
                <w:color w:val="auto"/>
                <w:sz w:val="21"/>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768" w:type="dxa"/>
            <w:vAlign w:val="center"/>
            <w:textDirection w:val="lrTb"/>
            <w:noWrap w:val="false"/>
          </w:tcPr>
          <w:p>
            <w:pPr>
              <w:rPr>
                <w:bCs/>
                <w:color w:val="auto"/>
                <w:szCs w:val="24"/>
                <w:highlight w:val="none"/>
              </w:rPr>
            </w:pPr>
            <w:r>
              <w:rPr>
                <w:rFonts w:hint="eastAsia" w:cs="宋体"/>
                <w:bCs/>
                <w:color w:val="auto"/>
                <w:sz w:val="21"/>
                <w:szCs w:val="24"/>
                <w:highlight w:val="none"/>
              </w:rPr>
              <w:t xml:space="preserve">大写：        元；               小写：               元</w:t>
            </w:r>
            <w:r/>
          </w:p>
        </w:tc>
      </w:tr>
    </w:tbl>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 </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注：</w:t>
      </w:r>
      <w:r/>
    </w:p>
    <w:p>
      <w:pPr>
        <w:ind w:firstLine="48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1、本表报价的合计金额应与开标一览表报价一致</w:t>
      </w:r>
      <w:r/>
    </w:p>
    <w:p>
      <w:pPr>
        <w:ind w:firstLine="48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cs="宋体"/>
          <w:bCs/>
          <w:color w:val="auto"/>
          <w:highlight w:val="none"/>
        </w:rPr>
        <w:t xml:space="preserve">2、本表中货物内容根据标的物填写品牌、型号、规格等信息，涉及服务内容的，根据服务分项名称填写服务说明等内容。</w:t>
      </w:r>
      <w:r/>
    </w:p>
    <w:p>
      <w:pPr>
        <w:spacing w:line="360" w:lineRule="auto"/>
        <w:rPr>
          <w:rFonts w:hAnsi="宋体"/>
          <w:b/>
          <w:color w:val="auto"/>
          <w:szCs w:val="24"/>
          <w:highlight w:val="none"/>
        </w:rPr>
      </w:pPr>
      <w:r>
        <w:rPr>
          <w:rFonts w:hAnsi="宋体"/>
          <w:b/>
          <w:color w:val="auto"/>
          <w:szCs w:val="24"/>
          <w:highlight w:val="none"/>
        </w:rPr>
      </w:r>
      <w:r/>
    </w:p>
    <w:p>
      <w:pPr>
        <w:jc w:val="left"/>
        <w:spacing w:line="360" w:lineRule="auto"/>
        <w:rPr>
          <w:rFonts w:ascii="宋体" w:hAnsi="宋体"/>
          <w:color w:val="auto"/>
          <w:szCs w:val="24"/>
          <w:highlight w:val="none"/>
        </w:rPr>
      </w:pPr>
      <w:r>
        <w:rPr>
          <w:rFonts w:hint="eastAsia" w:cs="宋体"/>
          <w:color w:val="auto"/>
          <w:szCs w:val="24"/>
          <w:highlight w:val="none"/>
        </w:rPr>
        <w:t xml:space="preserve">投标单位：（公章）</w:t>
      </w:r>
      <w:r/>
    </w:p>
    <w:p>
      <w:pPr>
        <w:jc w:val="left"/>
        <w:spacing w:line="360" w:lineRule="auto"/>
        <w:rPr>
          <w:rFonts w:ascii="宋体" w:hAnsi="宋体"/>
          <w:color w:val="auto"/>
          <w:szCs w:val="24"/>
          <w:highlight w:val="none"/>
        </w:rPr>
      </w:pPr>
      <w:r>
        <w:rPr>
          <w:rFonts w:hint="eastAsia" w:cs="宋体"/>
          <w:color w:val="auto"/>
          <w:szCs w:val="24"/>
          <w:highlight w:val="none"/>
        </w:rPr>
        <w:t xml:space="preserve">法定代表人（负责人）或委托代理人（签字或盖章）： </w:t>
      </w:r>
      <w:r/>
    </w:p>
    <w:p>
      <w:pPr>
        <w:spacing w:line="360" w:lineRule="auto"/>
        <w:rPr>
          <w:rFonts w:ascii="宋体" w:hAnsi="宋体"/>
          <w:b/>
          <w:bCs/>
          <w:color w:val="auto"/>
          <w:szCs w:val="24"/>
          <w:highlight w:val="none"/>
        </w:rPr>
      </w:pPr>
      <w:r>
        <w:rPr>
          <w:rFonts w:hint="eastAsia" w:cs="宋体"/>
          <w:color w:val="auto"/>
          <w:szCs w:val="24"/>
          <w:highlight w:val="none"/>
        </w:rPr>
        <w:t xml:space="preserve">投标日期：      年     月     日</w:t>
      </w:r>
      <w:r/>
    </w:p>
    <w:p>
      <w:pPr>
        <w:rPr>
          <w:rFonts w:ascii="宋体" w:hAnsi="宋体"/>
          <w:b/>
          <w:color w:val="auto"/>
          <w:szCs w:val="24"/>
          <w:highlight w:val="none"/>
        </w:rPr>
      </w:pPr>
      <w:r>
        <w:rPr>
          <w:rFonts w:hint="eastAsia" w:cs="宋体"/>
          <w:color w:val="auto"/>
          <w:szCs w:val="24"/>
          <w:highlight w:val="none"/>
        </w:rPr>
        <w:br w:type="page" w:clear="all"/>
      </w:r>
      <w:r/>
    </w:p>
    <w:p>
      <w:pPr>
        <w:jc w:val="left"/>
        <w:pageBreakBefore/>
        <w:spacing w:line="360" w:lineRule="auto"/>
        <w:rPr>
          <w:rFonts w:ascii="宋体" w:hAnsi="宋体"/>
          <w:b/>
          <w:color w:val="auto"/>
          <w:szCs w:val="24"/>
          <w:highlight w:val="none"/>
        </w:rPr>
        <w:pBdr>
          <w:top w:val="none" w:color="000000" w:sz="0" w:space="0"/>
          <w:left w:val="none" w:color="000000" w:sz="0" w:space="0"/>
          <w:bottom w:val="none" w:color="000000" w:sz="0" w:space="0"/>
          <w:right w:val="none" w:color="000000" w:sz="0" w:space="0"/>
        </w:pBdr>
      </w:pPr>
      <w:r>
        <w:rPr>
          <w:rFonts w:hint="eastAsia" w:eastAsia="黑体" w:cs="宋体"/>
          <w:b/>
          <w:color w:val="auto"/>
          <w:szCs w:val="24"/>
          <w:highlight w:val="none"/>
        </w:rPr>
        <w:t xml:space="preserve">（二）投标报价合理性说明（如有）</w:t>
      </w:r>
      <w:r/>
    </w:p>
    <w:p>
      <w:pPr>
        <w:spacing w:line="420" w:lineRule="exact"/>
        <w:rPr>
          <w:rFonts w:ascii="宋体" w:hAnsi="宋体"/>
          <w:b/>
          <w:color w:val="auto"/>
          <w:highlight w:val="none"/>
        </w:rPr>
      </w:pPr>
      <w:r>
        <w:rPr>
          <w:rFonts w:ascii="宋体" w:hAnsi="宋体"/>
          <w:b/>
          <w:color w:val="auto"/>
          <w:highlight w:val="none"/>
        </w:rPr>
      </w:r>
      <w:r/>
    </w:p>
    <w:p>
      <w:pPr>
        <w:ind w:firstLine="480"/>
        <w:spacing w:line="360" w:lineRule="auto"/>
        <w:rPr>
          <w:rFonts w:ascii="宋体" w:hAnsi="宋体" w:cs="宋体"/>
          <w:b/>
          <w:color w:val="auto"/>
          <w:sz w:val="22"/>
          <w:szCs w:val="18"/>
          <w:highlight w:val="none"/>
        </w:rPr>
      </w:pPr>
      <w:r>
        <w:rPr>
          <w:rFonts w:hint="eastAsia" w:cs="宋体"/>
          <w:color w:val="auto"/>
          <w:szCs w:val="18"/>
          <w:highlight w:val="none"/>
        </w:rPr>
        <w:t xml:space="preserve">注：根据财政部《关于推动解决政府采购异常低价问题的通知》（财库〔2026〕2号） ，若投标人的投标（响应）报价满足以下任一条件：</w:t>
      </w:r>
      <w:r/>
    </w:p>
    <w:p>
      <w:pPr>
        <w:ind w:firstLine="480"/>
        <w:spacing w:line="360" w:lineRule="auto"/>
        <w:rPr>
          <w:rFonts w:ascii="宋体" w:hAnsi="宋体" w:cs="宋体"/>
          <w:b/>
          <w:color w:val="auto"/>
          <w:sz w:val="22"/>
          <w:szCs w:val="18"/>
          <w:highlight w:val="none"/>
        </w:rPr>
      </w:pPr>
      <w:r>
        <w:rPr>
          <w:rFonts w:hint="eastAsia" w:cs="宋体"/>
          <w:color w:val="auto"/>
          <w:szCs w:val="18"/>
          <w:highlight w:val="none"/>
        </w:rPr>
        <w:t xml:space="preserve">1）</w:t>
      </w:r>
      <w:r>
        <w:rPr>
          <w:rFonts w:hint="eastAsia" w:cs="宋体"/>
          <w:bCs/>
          <w:color w:val="auto"/>
          <w:szCs w:val="18"/>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b/>
          <w:color w:val="auto"/>
          <w:sz w:val="22"/>
          <w:szCs w:val="18"/>
          <w:highlight w:val="none"/>
        </w:rPr>
      </w:pPr>
      <w:r>
        <w:rPr>
          <w:rFonts w:hint="eastAsia" w:cs="宋体"/>
          <w:color w:val="auto"/>
          <w:szCs w:val="18"/>
          <w:highlight w:val="none"/>
        </w:rPr>
        <w:t xml:space="preserve">2）</w:t>
      </w:r>
      <w:r>
        <w:rPr>
          <w:rFonts w:hint="eastAsia" w:cs="宋体"/>
          <w:bCs/>
          <w:color w:val="auto"/>
          <w:szCs w:val="18"/>
          <w:highlight w:val="none"/>
        </w:rPr>
        <w:t xml:space="preserve">投标（响应）报价低于通过符合性审查的次低报价供应商投标（响应）报价50%的，即投标（响应）报价&lt;通过符合性审查的次低报价供应商投标（响应）报价×50%</w:t>
      </w:r>
      <w:r>
        <w:rPr>
          <w:rFonts w:hint="eastAsia" w:cs="宋体"/>
          <w:color w:val="auto"/>
          <w:szCs w:val="18"/>
          <w:highlight w:val="none"/>
        </w:rPr>
        <w:t xml:space="preserve">；</w:t>
      </w:r>
      <w:r/>
    </w:p>
    <w:p>
      <w:pPr>
        <w:ind w:firstLine="480"/>
        <w:jc w:val="left"/>
        <w:spacing w:line="360" w:lineRule="auto"/>
        <w:rPr>
          <w:rFonts w:ascii="宋体" w:hAnsi="宋体" w:cs="宋体"/>
          <w:b/>
          <w:bCs/>
          <w:color w:val="auto"/>
          <w:sz w:val="22"/>
          <w:szCs w:val="18"/>
          <w:highlight w:val="none"/>
        </w:rPr>
      </w:pPr>
      <w:r>
        <w:rPr>
          <w:rFonts w:hint="eastAsia" w:cs="宋体"/>
          <w:color w:val="auto"/>
          <w:highlight w:val="none"/>
        </w:rPr>
        <w:t xml:space="preserve">3）投标（响应）报价低于采购项目预算金额45%的，即投标（响应）报价&lt;采购项目预算金额×45%；</w:t>
      </w:r>
      <w:r/>
    </w:p>
    <w:p>
      <w:pPr>
        <w:ind w:firstLine="480"/>
        <w:jc w:val="left"/>
        <w:spacing w:line="360" w:lineRule="auto"/>
        <w:rPr>
          <w:rFonts w:ascii="宋体" w:hAnsi="宋体"/>
          <w:color w:val="auto"/>
          <w:szCs w:val="24"/>
          <w:highlight w:val="none"/>
        </w:rPr>
      </w:pPr>
      <w:r>
        <w:rPr>
          <w:rFonts w:hint="eastAsia" w:cs="宋体"/>
          <w:bCs/>
          <w:color w:val="auto"/>
          <w:szCs w:val="18"/>
          <w:highlight w:val="none"/>
        </w:rPr>
        <w:t xml:space="preserve">4）评审委员会基于专业判断，认为供应商报价过低，有可能影响产品质量或者不能诚信履约的其他情形。</w:t>
      </w:r>
      <w:r>
        <w:rPr>
          <w:rFonts w:hint="eastAsia" w:cs="宋体"/>
          <w:bCs/>
          <w:color w:val="auto"/>
          <w:szCs w:val="18"/>
          <w:highlight w:val="none"/>
        </w:rPr>
        <w:br/>
      </w:r>
      <w:r>
        <w:rPr>
          <w:rFonts w:hint="eastAsia" w:cs="宋体"/>
          <w:bCs/>
          <w:color w:val="auto"/>
          <w:szCs w:val="18"/>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cs="宋体"/>
          <w:bCs/>
          <w:color w:val="auto"/>
          <w:highlight w:val="none"/>
        </w:rPr>
        <w:br/>
      </w:r>
      <w:r/>
    </w:p>
    <w:p>
      <w:pPr>
        <w:jc w:val="left"/>
        <w:spacing w:line="360" w:lineRule="auto"/>
        <w:rPr>
          <w:rFonts w:ascii="宋体" w:hAnsi="宋体"/>
          <w:color w:val="auto"/>
          <w:szCs w:val="24"/>
          <w:highlight w:val="none"/>
        </w:rPr>
      </w:pPr>
      <w:r>
        <w:rPr>
          <w:rFonts w:hint="eastAsia" w:cs="宋体"/>
          <w:color w:val="auto"/>
          <w:szCs w:val="24"/>
          <w:highlight w:val="none"/>
        </w:rPr>
        <w:t xml:space="preserve">投标单位：（公章）</w:t>
      </w:r>
      <w:r/>
    </w:p>
    <w:p>
      <w:pPr>
        <w:jc w:val="left"/>
        <w:spacing w:line="360" w:lineRule="auto"/>
        <w:rPr>
          <w:rFonts w:ascii="宋体" w:hAnsi="宋体"/>
          <w:color w:val="auto"/>
          <w:szCs w:val="24"/>
          <w:highlight w:val="none"/>
        </w:rPr>
      </w:pPr>
      <w:r>
        <w:rPr>
          <w:rFonts w:hint="eastAsia" w:cs="宋体"/>
          <w:color w:val="auto"/>
          <w:szCs w:val="24"/>
          <w:highlight w:val="none"/>
        </w:rPr>
        <w:t xml:space="preserve">法定代表人（负责人）或委托代理人（签字或盖章）： </w:t>
      </w:r>
      <w:r/>
    </w:p>
    <w:p>
      <w:pPr>
        <w:spacing w:line="360" w:lineRule="auto"/>
        <w:rPr>
          <w:rFonts w:hAnsi="宋体"/>
          <w:color w:val="auto"/>
          <w:szCs w:val="24"/>
          <w:highlight w:val="none"/>
        </w:rPr>
      </w:pPr>
      <w:r>
        <w:rPr>
          <w:rFonts w:hint="eastAsia" w:cs="宋体"/>
          <w:color w:val="auto"/>
          <w:szCs w:val="24"/>
          <w:highlight w:val="none"/>
        </w:rPr>
        <w:t xml:space="preserve">投标日期：      年     月     日</w:t>
      </w:r>
      <w:r/>
    </w:p>
    <w:p>
      <w:pPr>
        <w:spacing w:line="360" w:lineRule="auto"/>
        <w:rPr>
          <w:rFonts w:hAnsi="宋体"/>
          <w:b/>
          <w:bCs/>
          <w:color w:val="auto"/>
          <w:szCs w:val="24"/>
          <w:highlight w:val="none"/>
        </w:rPr>
        <w:outlineLvl w:val="1"/>
      </w:pPr>
      <w:r>
        <w:rPr>
          <w:rFonts w:hint="eastAsia" w:ascii="黑体" w:hAnsi="黑体" w:eastAsia="黑体" w:cs="宋体"/>
          <w:b/>
          <w:bCs/>
          <w:color w:val="auto"/>
          <w:szCs w:val="24"/>
          <w:highlight w:val="none"/>
        </w:rPr>
        <w:br w:type="page" w:clear="all"/>
      </w:r>
      <w:r>
        <w:rPr>
          <w:rFonts w:hint="eastAsia" w:ascii="黑体" w:hAnsi="黑体" w:eastAsia="黑体" w:cs="宋体"/>
          <w:b/>
          <w:bCs/>
          <w:color w:val="auto"/>
          <w:szCs w:val="24"/>
          <w:highlight w:val="none"/>
        </w:rPr>
        <w:t xml:space="preserve">8、服务要求偏离表</w:t>
      </w:r>
      <w:r/>
    </w:p>
    <w:p>
      <w:pPr>
        <w:jc w:val="center"/>
        <w:spacing w:line="360" w:lineRule="auto"/>
        <w:rPr>
          <w:rFonts w:hAnsi="宋体" w:cs="宋体"/>
          <w:b/>
          <w:color w:val="auto"/>
          <w:szCs w:val="24"/>
          <w:highlight w:val="none"/>
        </w:rPr>
      </w:pPr>
      <w:r>
        <w:rPr>
          <w:rFonts w:hint="eastAsia" w:ascii="黑体" w:hAnsi="黑体" w:eastAsia="黑体" w:cs="宋体"/>
          <w:b/>
          <w:color w:val="auto"/>
          <w:szCs w:val="24"/>
          <w:highlight w:val="none"/>
        </w:rPr>
        <w:t xml:space="preserve">服务要求偏离表</w:t>
      </w:r>
      <w:r/>
    </w:p>
    <w:tbl>
      <w:tblPr>
        <w:tblStyle w:val="76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blHeader/>
        </w:trPr>
        <w:tc>
          <w:tcPr>
            <w:tcW w:w="959"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序号</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内容</w:t>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招标文件</w:t>
            </w:r>
            <w:r/>
          </w:p>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技术要求</w:t>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投标文件</w:t>
            </w:r>
            <w:r/>
          </w:p>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响应要求</w:t>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 偏离情况</w:t>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1</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2</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3</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4</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5</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6</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7</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8</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w:t>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010"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252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843"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559"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bl>
    <w:p>
      <w:pPr>
        <w:jc w:val="center"/>
        <w:spacing w:line="360" w:lineRule="auto"/>
        <w:rPr>
          <w:rFonts w:ascii="宋体" w:hAnsi="宋体"/>
          <w:b/>
          <w:color w:val="auto"/>
          <w:spacing w:val="20"/>
          <w:szCs w:val="24"/>
          <w:highlight w:val="none"/>
        </w:rPr>
      </w:pPr>
      <w:r>
        <w:rPr>
          <w:rFonts w:ascii="宋体" w:hAnsi="宋体"/>
          <w:b/>
          <w:color w:val="auto"/>
          <w:spacing w:val="20"/>
          <w:szCs w:val="24"/>
          <w:highlight w:val="none"/>
        </w:rPr>
      </w:r>
      <w:r/>
    </w:p>
    <w:p>
      <w:pPr>
        <w:spacing w:line="360" w:lineRule="auto"/>
        <w:rPr>
          <w:rFonts w:ascii="宋体" w:hAnsi="宋体"/>
          <w:color w:val="auto"/>
          <w:szCs w:val="24"/>
          <w:highlight w:val="none"/>
        </w:rPr>
      </w:pPr>
      <w:r>
        <w:rPr>
          <w:rFonts w:hint="eastAsia" w:cs="宋体"/>
          <w:color w:val="auto"/>
          <w:szCs w:val="24"/>
          <w:highlight w:val="none"/>
          <w:lang w:val="zh-CN"/>
        </w:rPr>
        <w:t xml:space="preserve">注：</w:t>
      </w:r>
      <w:r>
        <w:rPr>
          <w:rFonts w:hint="eastAsia" w:cs="宋体"/>
          <w:color w:val="auto"/>
          <w:szCs w:val="24"/>
          <w:highlight w:val="none"/>
        </w:rPr>
        <w:t xml:space="preserve">1.投标人应在本表中对照招标文件服务要求与实际投标服务要求逐项对应列出，并在“偏离说明”项下填写以下内容：优于招标文件要求的，填写“正偏离”并说明优于的具体内容；符合招标文件要求的，填写“无偏离”；低于招标文件要求的，填写“负偏离”并说明差异。对本表难以直接判定正/负偏离的技术参数或服务要求，投标人应如实描述实际响应情况，由评标委员会认定其偏离性质。</w:t>
      </w:r>
      <w:r/>
    </w:p>
    <w:p>
      <w:pPr>
        <w:ind w:firstLine="480"/>
        <w:jc w:val="left"/>
        <w:spacing w:line="360" w:lineRule="auto"/>
        <w:rPr>
          <w:rFonts w:ascii="宋体" w:hAnsi="宋体"/>
          <w:color w:val="auto"/>
          <w:szCs w:val="24"/>
          <w:highlight w:val="none"/>
        </w:rPr>
        <w:outlineLvl w:val="1"/>
      </w:pPr>
      <w:r>
        <w:rPr>
          <w:rFonts w:hint="eastAsia" w:cs="宋体"/>
          <w:color w:val="auto"/>
          <w:szCs w:val="24"/>
          <w:highlight w:val="none"/>
        </w:rPr>
        <w:t xml:space="preserve">2.若事项较多，投标人可根据响应内容的实际情况另纸说明。</w:t>
      </w:r>
      <w:r/>
    </w:p>
    <w:p>
      <w:pPr>
        <w:ind w:firstLine="480"/>
        <w:jc w:val="left"/>
        <w:spacing w:line="360" w:lineRule="auto"/>
        <w:rPr>
          <w:rFonts w:ascii="宋体" w:hAnsi="宋体"/>
          <w:color w:val="auto"/>
          <w:szCs w:val="24"/>
          <w:highlight w:val="none"/>
        </w:rPr>
      </w:pPr>
      <w:r>
        <w:rPr>
          <w:rFonts w:ascii="宋体" w:hAnsi="宋体"/>
          <w:color w:val="auto"/>
          <w:szCs w:val="24"/>
          <w:highlight w:val="none"/>
        </w:rPr>
      </w:r>
      <w:r/>
    </w:p>
    <w:p>
      <w:pPr>
        <w:jc w:val="left"/>
        <w:spacing w:line="360" w:lineRule="auto"/>
        <w:rPr>
          <w:rFonts w:ascii="宋体" w:hAnsi="宋体"/>
          <w:color w:val="auto"/>
          <w:szCs w:val="24"/>
          <w:highlight w:val="none"/>
        </w:rPr>
      </w:pPr>
      <w:r>
        <w:rPr>
          <w:rFonts w:hint="eastAsia" w:cs="宋体"/>
          <w:color w:val="auto"/>
          <w:szCs w:val="24"/>
          <w:highlight w:val="none"/>
        </w:rPr>
        <w:t xml:space="preserve">投标单位：（公章）</w:t>
      </w:r>
      <w:r/>
    </w:p>
    <w:p>
      <w:pPr>
        <w:jc w:val="left"/>
        <w:spacing w:line="360" w:lineRule="auto"/>
        <w:rPr>
          <w:rFonts w:ascii="宋体" w:hAnsi="宋体"/>
          <w:bCs/>
          <w:color w:val="auto"/>
          <w:szCs w:val="24"/>
          <w:highlight w:val="none"/>
        </w:rPr>
      </w:pPr>
      <w:r>
        <w:rPr>
          <w:rFonts w:hint="eastAsia" w:cs="宋体"/>
          <w:color w:val="auto"/>
          <w:szCs w:val="24"/>
          <w:highlight w:val="none"/>
        </w:rPr>
        <w:t xml:space="preserve">法定代表人（负责人）或代理人（签字或盖章）</w:t>
      </w:r>
      <w:r>
        <w:rPr>
          <w:rFonts w:hint="eastAsia" w:cs="宋体"/>
          <w:bCs/>
          <w:color w:val="auto"/>
          <w:szCs w:val="24"/>
          <w:highlight w:val="none"/>
        </w:rPr>
        <w:t xml:space="preserve">：</w:t>
      </w:r>
      <w:r/>
    </w:p>
    <w:p>
      <w:pPr>
        <w:spacing w:line="360" w:lineRule="auto"/>
        <w:rPr>
          <w:rFonts w:ascii="宋体" w:hAnsi="宋体"/>
          <w:color w:val="auto"/>
          <w:szCs w:val="24"/>
          <w:highlight w:val="none"/>
        </w:rPr>
      </w:pPr>
      <w:r>
        <w:rPr>
          <w:rFonts w:hint="eastAsia" w:cs="宋体"/>
          <w:color w:val="auto"/>
          <w:szCs w:val="24"/>
          <w:highlight w:val="none"/>
        </w:rPr>
        <w:t xml:space="preserve">投标日期：   年   月   日</w:t>
      </w:r>
      <w:r/>
    </w:p>
    <w:p>
      <w:pPr>
        <w:pageBreakBefore/>
        <w:spacing w:line="360" w:lineRule="auto"/>
        <w:rPr>
          <w:rFonts w:hAnsi="宋体"/>
          <w:b/>
          <w:bCs/>
          <w:color w:val="auto"/>
          <w:szCs w:val="24"/>
          <w:highlight w:val="none"/>
        </w:rPr>
        <w:outlineLvl w:val="1"/>
      </w:pPr>
      <w:r>
        <w:rPr>
          <w:rFonts w:hint="eastAsia" w:ascii="黑体" w:hAnsi="黑体" w:eastAsia="黑体" w:cs="宋体"/>
          <w:b/>
          <w:bCs/>
          <w:color w:val="auto"/>
          <w:szCs w:val="24"/>
          <w:highlight w:val="none"/>
        </w:rPr>
        <w:t xml:space="preserve">9、商务偏离表</w:t>
      </w:r>
      <w:r/>
    </w:p>
    <w:p>
      <w:pPr>
        <w:jc w:val="center"/>
        <w:spacing w:line="360" w:lineRule="auto"/>
        <w:rPr>
          <w:rFonts w:ascii="宋体" w:hAnsi="宋体"/>
          <w:b/>
          <w:color w:val="auto"/>
          <w:spacing w:val="20"/>
          <w:szCs w:val="24"/>
          <w:highlight w:val="none"/>
        </w:rPr>
      </w:pPr>
      <w:r>
        <w:rPr>
          <w:rFonts w:hint="eastAsia" w:cs="宋体"/>
          <w:color w:val="auto"/>
          <w:spacing w:val="20"/>
          <w:szCs w:val="24"/>
          <w:highlight w:val="none"/>
        </w:rPr>
        <w:t xml:space="preserve">商务条款偏离表</w:t>
      </w:r>
      <w:r/>
    </w:p>
    <w:tbl>
      <w:tblPr>
        <w:tblStyle w:val="76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color w:val="auto"/>
                <w:szCs w:val="24"/>
                <w:highlight w:val="none"/>
              </w:rPr>
            </w:pPr>
            <w:r>
              <w:rPr>
                <w:rFonts w:hint="eastAsia" w:cs="宋体"/>
                <w:b/>
                <w:bCs/>
                <w:color w:val="auto"/>
                <w:sz w:val="21"/>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color w:val="auto"/>
                <w:szCs w:val="24"/>
                <w:highlight w:val="none"/>
              </w:rPr>
            </w:pPr>
            <w:r>
              <w:rPr>
                <w:rFonts w:hint="eastAsia" w:cs="宋体"/>
                <w:b/>
                <w:bCs/>
                <w:color w:val="auto"/>
                <w:sz w:val="21"/>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color w:val="auto"/>
                <w:szCs w:val="24"/>
                <w:highlight w:val="none"/>
              </w:rPr>
            </w:pPr>
            <w:r>
              <w:rPr>
                <w:rFonts w:hint="eastAsia" w:cs="宋体"/>
                <w:b/>
                <w:color w:val="auto"/>
                <w:sz w:val="21"/>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color w:val="auto"/>
                <w:szCs w:val="24"/>
                <w:highlight w:val="none"/>
              </w:rPr>
            </w:pPr>
            <w:r>
              <w:rPr>
                <w:rFonts w:hint="eastAsia" w:cs="宋体"/>
                <w:b/>
                <w:color w:val="auto"/>
                <w:sz w:val="21"/>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color w:val="auto"/>
                <w:szCs w:val="24"/>
                <w:highlight w:val="none"/>
              </w:rPr>
            </w:pPr>
            <w:r>
              <w:rPr>
                <w:rFonts w:hint="eastAsia" w:cs="宋体"/>
                <w:b/>
                <w:color w:val="auto"/>
                <w:sz w:val="21"/>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color w:val="auto"/>
                <w:szCs w:val="24"/>
                <w:highlight w:val="none"/>
              </w:rPr>
            </w:pPr>
            <w:r>
              <w:rPr>
                <w:rFonts w:hint="eastAsia" w:cs="宋体"/>
                <w:b/>
                <w:bCs/>
                <w:color w:val="auto"/>
                <w:sz w:val="21"/>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Cs w:val="24"/>
                <w:highlight w:val="none"/>
              </w:rPr>
            </w:pPr>
            <w:r>
              <w:rPr>
                <w:rFonts w:ascii="宋体" w:hAnsi="宋体"/>
                <w:bCs/>
                <w:color w:val="auto"/>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Cs w:val="24"/>
                <w:highlight w:val="none"/>
              </w:rPr>
            </w:pPr>
            <w:r>
              <w:rPr>
                <w:rFonts w:ascii="宋体" w:hAnsi="宋体"/>
                <w:bCs/>
                <w:color w:val="auto"/>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hint="eastAsia" w:cs="宋体"/>
                <w:bCs/>
                <w:color w:val="auto"/>
                <w:sz w:val="21"/>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Cs w:val="24"/>
                <w:highlight w:val="none"/>
              </w:rPr>
            </w:pPr>
            <w:r>
              <w:rPr>
                <w:rFonts w:ascii="宋体" w:hAnsi="宋体"/>
                <w:bCs/>
                <w:color w:val="auto"/>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bl>
    <w:p>
      <w:pPr>
        <w:ind w:firstLine="480"/>
        <w:spacing w:line="360" w:lineRule="auto"/>
        <w:rPr>
          <w:rFonts w:ascii="宋体" w:hAnsi="宋体"/>
          <w:b/>
          <w:color w:val="auto"/>
          <w:szCs w:val="24"/>
          <w:highlight w:val="none"/>
        </w:rPr>
      </w:pPr>
      <w:r>
        <w:rPr>
          <w:rFonts w:ascii="宋体" w:hAnsi="宋体"/>
          <w:b/>
          <w:color w:val="auto"/>
          <w:szCs w:val="24"/>
          <w:highlight w:val="none"/>
        </w:rPr>
      </w:r>
      <w:r/>
    </w:p>
    <w:p>
      <w:pPr>
        <w:spacing w:line="360" w:lineRule="auto"/>
        <w:rPr>
          <w:rFonts w:ascii="宋体" w:hAnsi="宋体"/>
          <w:color w:val="auto"/>
          <w:szCs w:val="24"/>
          <w:highlight w:val="none"/>
        </w:rPr>
      </w:pPr>
      <w:r>
        <w:rPr>
          <w:rFonts w:hint="eastAsia" w:cs="宋体"/>
          <w:color w:val="auto"/>
          <w:szCs w:val="24"/>
          <w:highlight w:val="none"/>
          <w:lang w:val="zh-CN"/>
        </w:rPr>
        <w:t xml:space="preserve">注：</w:t>
      </w:r>
      <w:r>
        <w:rPr>
          <w:rFonts w:hint="eastAsia" w:cs="宋体"/>
          <w:color w:val="auto"/>
          <w:szCs w:val="24"/>
          <w:highlight w:val="none"/>
        </w:rPr>
        <w:t xml:space="preserve">1.供应商应在本表中把招标文件商务要求与实际投标商务要求逐项对应列出，并在“偏离说明”项下填写以下内容：优于招标文件要求的，填写“正偏离”并说明优于的具体内容；符合招标文件要求的，填写“无偏离”；低于招标文件要求的，填写“负偏离”并说明差异。对本表难以直接判定正/负偏离的技术参数或服务要求，投标人应如实描述实际响应情况，由评标委员会认定其偏离性质。</w:t>
      </w:r>
      <w:r/>
    </w:p>
    <w:p>
      <w:pPr>
        <w:ind w:firstLine="480"/>
        <w:spacing w:line="360" w:lineRule="auto"/>
        <w:rPr>
          <w:rFonts w:ascii="宋体" w:hAnsi="宋体"/>
          <w:color w:val="auto"/>
          <w:szCs w:val="24"/>
          <w:highlight w:val="none"/>
        </w:rPr>
        <w:outlineLvl w:val="1"/>
      </w:pPr>
      <w:r>
        <w:rPr>
          <w:rFonts w:hint="eastAsia" w:cs="宋体"/>
          <w:color w:val="auto"/>
          <w:szCs w:val="24"/>
          <w:highlight w:val="none"/>
        </w:rPr>
        <w:t xml:space="preserve">2.若事项较多，投标人可根据响应内容的实际情况另纸说明。</w:t>
      </w:r>
      <w:r/>
    </w:p>
    <w:p>
      <w:pPr>
        <w:ind w:firstLine="480"/>
        <w:jc w:val="left"/>
        <w:spacing w:line="360" w:lineRule="auto"/>
        <w:rPr>
          <w:rFonts w:ascii="宋体" w:hAnsi="宋体"/>
          <w:color w:val="auto"/>
          <w:szCs w:val="24"/>
          <w:highlight w:val="none"/>
        </w:rPr>
      </w:pPr>
      <w:r>
        <w:rPr>
          <w:rFonts w:ascii="宋体" w:hAnsi="宋体"/>
          <w:color w:val="auto"/>
          <w:szCs w:val="24"/>
          <w:highlight w:val="none"/>
        </w:rPr>
      </w:r>
      <w:r/>
    </w:p>
    <w:p>
      <w:pPr>
        <w:jc w:val="left"/>
        <w:spacing w:line="360" w:lineRule="auto"/>
        <w:rPr>
          <w:rFonts w:ascii="宋体" w:hAnsi="宋体"/>
          <w:color w:val="auto"/>
          <w:szCs w:val="24"/>
          <w:highlight w:val="none"/>
        </w:rPr>
      </w:pPr>
      <w:r>
        <w:rPr>
          <w:rFonts w:hint="eastAsia" w:cs="宋体"/>
          <w:color w:val="auto"/>
          <w:szCs w:val="24"/>
          <w:highlight w:val="none"/>
        </w:rPr>
        <w:t xml:space="preserve">投标单位：（公章）</w:t>
      </w:r>
      <w:r/>
    </w:p>
    <w:p>
      <w:pPr>
        <w:jc w:val="left"/>
        <w:spacing w:line="360" w:lineRule="auto"/>
        <w:rPr>
          <w:rFonts w:ascii="宋体" w:hAnsi="宋体"/>
          <w:color w:val="auto"/>
          <w:szCs w:val="24"/>
          <w:highlight w:val="none"/>
        </w:rPr>
      </w:pPr>
      <w:r>
        <w:rPr>
          <w:rFonts w:hint="eastAsia" w:cs="宋体"/>
          <w:color w:val="auto"/>
          <w:szCs w:val="24"/>
          <w:highlight w:val="none"/>
        </w:rPr>
        <w:t xml:space="preserve">法定代表人（负责人）或代理人（签字或盖章）</w:t>
      </w:r>
      <w:r>
        <w:rPr>
          <w:rFonts w:hint="eastAsia" w:cs="宋体"/>
          <w:bCs/>
          <w:color w:val="auto"/>
          <w:szCs w:val="24"/>
          <w:highlight w:val="none"/>
        </w:rPr>
        <w:t xml:space="preserve">：</w:t>
      </w:r>
      <w:r/>
    </w:p>
    <w:p>
      <w:pPr>
        <w:jc w:val="left"/>
        <w:spacing w:line="360" w:lineRule="auto"/>
        <w:rPr>
          <w:rFonts w:ascii="宋体" w:hAnsi="宋体"/>
          <w:color w:val="auto"/>
          <w:szCs w:val="24"/>
          <w:highlight w:val="none"/>
        </w:rPr>
      </w:pPr>
      <w:r>
        <w:rPr>
          <w:rFonts w:hint="eastAsia" w:cs="宋体"/>
          <w:bCs/>
          <w:color w:val="auto"/>
          <w:szCs w:val="24"/>
          <w:highlight w:val="none"/>
        </w:rPr>
        <w:t xml:space="preserve">投标日期:   年  月   日</w:t>
      </w:r>
      <w:r/>
    </w:p>
    <w:p>
      <w:pPr>
        <w:pageBreakBefore/>
        <w:spacing w:line="360" w:lineRule="auto"/>
        <w:rPr>
          <w:rFonts w:ascii="宋体" w:hAnsi="宋体"/>
          <w:b/>
          <w:color w:val="auto"/>
          <w:szCs w:val="24"/>
          <w:highlight w:val="none"/>
        </w:rPr>
        <w:outlineLvl w:val="1"/>
      </w:pPr>
      <w:r>
        <w:rPr>
          <w:rFonts w:hint="eastAsia" w:ascii="黑体" w:hAnsi="黑体" w:eastAsia="黑体" w:cs="宋体"/>
          <w:b/>
          <w:bCs/>
          <w:color w:val="auto"/>
          <w:szCs w:val="24"/>
          <w:highlight w:val="none"/>
        </w:rPr>
        <w:t xml:space="preserve">10、</w:t>
      </w:r>
      <w:r>
        <w:rPr>
          <w:rFonts w:hint="eastAsia" w:ascii="黑体" w:hAnsi="黑体" w:eastAsia="黑体" w:cs="宋体"/>
          <w:b/>
          <w:color w:val="auto"/>
          <w:szCs w:val="24"/>
          <w:highlight w:val="none"/>
        </w:rPr>
        <w:t xml:space="preserve">企业类似业绩一览表</w:t>
      </w:r>
      <w:r/>
    </w:p>
    <w:p>
      <w:pPr>
        <w:jc w:val="center"/>
        <w:spacing w:line="360" w:lineRule="auto"/>
        <w:rPr>
          <w:rFonts w:ascii="宋体" w:hAnsi="宋体"/>
          <w:b/>
          <w:color w:val="auto"/>
          <w:szCs w:val="24"/>
          <w:highlight w:val="none"/>
        </w:rPr>
      </w:pPr>
      <w:r>
        <w:rPr>
          <w:rFonts w:ascii="宋体" w:hAnsi="宋体"/>
          <w:b/>
          <w:color w:val="auto"/>
          <w:szCs w:val="24"/>
          <w:highlight w:val="none"/>
        </w:rPr>
      </w:r>
      <w:r/>
    </w:p>
    <w:p>
      <w:pPr>
        <w:jc w:val="center"/>
        <w:spacing w:line="360" w:lineRule="auto"/>
        <w:rPr>
          <w:rFonts w:ascii="宋体" w:hAnsi="宋体"/>
          <w:b/>
          <w:color w:val="auto"/>
          <w:szCs w:val="24"/>
          <w:highlight w:val="none"/>
        </w:rPr>
      </w:pPr>
      <w:r>
        <w:rPr>
          <w:rFonts w:hint="eastAsia" w:ascii="黑体" w:hAnsi="黑体" w:eastAsia="黑体" w:cs="宋体"/>
          <w:b/>
          <w:color w:val="auto"/>
          <w:szCs w:val="24"/>
          <w:highlight w:val="none"/>
        </w:rPr>
        <w:t xml:space="preserve">企业类似业绩一览表</w:t>
      </w:r>
      <w:r/>
    </w:p>
    <w:tbl>
      <w:tblPr>
        <w:tblStyle w:val="76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blHeade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序号</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项目时间</w:t>
            </w:r>
            <w:r/>
          </w:p>
        </w:tc>
        <w:tc>
          <w:tcPr>
            <w:tcW w:w="1347" w:type="dxa"/>
            <w:vAlign w:val="center"/>
            <w:textDirection w:val="lrTb"/>
            <w:noWrap w:val="false"/>
          </w:tcPr>
          <w:p>
            <w:pPr>
              <w:jc w:val="center"/>
              <w:spacing w:line="360" w:lineRule="auto"/>
              <w:tabs>
                <w:tab w:val="left" w:pos="6252" w:leader="none"/>
              </w:tabs>
              <w:rPr>
                <w:rFonts w:ascii="宋体" w:hAnsi="宋体"/>
                <w:color w:val="auto"/>
                <w:szCs w:val="24"/>
                <w:highlight w:val="none"/>
              </w:rPr>
            </w:pPr>
            <w:r>
              <w:rPr>
                <w:rFonts w:hint="eastAsia" w:cs="宋体"/>
                <w:b/>
                <w:color w:val="auto"/>
                <w:sz w:val="21"/>
                <w:szCs w:val="24"/>
                <w:highlight w:val="none"/>
              </w:rPr>
              <w:t xml:space="preserve">合同金额</w:t>
            </w:r>
            <w:r/>
          </w:p>
          <w:p>
            <w:pPr>
              <w:jc w:val="center"/>
              <w:spacing w:line="360" w:lineRule="auto"/>
              <w:tabs>
                <w:tab w:val="left" w:pos="6252" w:leader="none"/>
              </w:tabs>
              <w:rPr>
                <w:rFonts w:ascii="宋体" w:hAnsi="宋体"/>
                <w:color w:val="auto"/>
                <w:szCs w:val="24"/>
                <w:highlight w:val="none"/>
              </w:rPr>
            </w:pPr>
            <w:r>
              <w:rPr>
                <w:rFonts w:hint="eastAsia" w:cs="宋体"/>
                <w:b/>
                <w:color w:val="auto"/>
                <w:sz w:val="21"/>
                <w:szCs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hint="eastAsia" w:cs="宋体"/>
                <w:b/>
                <w:color w:val="auto"/>
                <w:sz w:val="21"/>
                <w:szCs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1</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2</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3</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4</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5</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6</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hint="eastAsia" w:cs="宋体"/>
                <w:color w:val="auto"/>
                <w:sz w:val="21"/>
                <w:szCs w:val="24"/>
                <w:highlight w:val="none"/>
              </w:rPr>
              <w:t xml:space="preserve">……</w:t>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123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56"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27" w:type="dxa"/>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347"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965"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c>
          <w:tcPr>
            <w:tcW w:w="1274" w:type="dxa"/>
            <w:vAlign w:val="center"/>
            <w:textDirection w:val="lrTb"/>
            <w:noWrap w:val="false"/>
          </w:tcPr>
          <w:p>
            <w:pPr>
              <w:jc w:val="center"/>
              <w:spacing w:line="360" w:lineRule="auto"/>
              <w:rPr>
                <w:rFonts w:ascii="宋体" w:hAnsi="宋体"/>
                <w:color w:val="auto"/>
                <w:szCs w:val="24"/>
                <w:highlight w:val="none"/>
              </w:rPr>
            </w:pPr>
            <w:r>
              <w:rPr>
                <w:rFonts w:ascii="宋体" w:hAnsi="宋体"/>
                <w:color w:val="auto"/>
                <w:szCs w:val="24"/>
                <w:highlight w:val="none"/>
              </w:rPr>
            </w:r>
            <w:r/>
          </w:p>
        </w:tc>
      </w:tr>
    </w:tbl>
    <w:p>
      <w:pPr>
        <w:ind w:firstLine="480"/>
        <w:spacing w:line="360" w:lineRule="auto"/>
        <w:rPr>
          <w:rFonts w:ascii="宋体" w:hAnsi="宋体"/>
          <w:color w:val="auto"/>
          <w:szCs w:val="24"/>
          <w:highlight w:val="none"/>
        </w:rPr>
      </w:pPr>
      <w:r>
        <w:rPr>
          <w:rFonts w:hint="eastAsia" w:cs="宋体"/>
          <w:color w:val="auto"/>
          <w:szCs w:val="24"/>
          <w:highlight w:val="none"/>
        </w:rPr>
        <w:t xml:space="preserve">附：按照招标文件要求及评分标准提供相应证明材料</w:t>
      </w:r>
      <w:r/>
    </w:p>
    <w:p>
      <w:pPr>
        <w:spacing w:line="360" w:lineRule="auto"/>
        <w:rPr>
          <w:rFonts w:ascii="宋体" w:hAnsi="宋体"/>
          <w:color w:val="auto"/>
          <w:szCs w:val="24"/>
          <w:highlight w:val="none"/>
        </w:rPr>
      </w:pPr>
      <w:r>
        <w:rPr>
          <w:rFonts w:ascii="宋体" w:hAnsi="宋体"/>
          <w:color w:val="auto"/>
          <w:szCs w:val="24"/>
          <w:highlight w:val="none"/>
        </w:rPr>
      </w:r>
      <w:r/>
    </w:p>
    <w:p>
      <w:pPr>
        <w:spacing w:line="360" w:lineRule="auto"/>
        <w:rPr>
          <w:rFonts w:ascii="宋体" w:hAnsi="宋体"/>
          <w:color w:val="auto"/>
          <w:szCs w:val="24"/>
          <w:highlight w:val="none"/>
        </w:rPr>
      </w:pPr>
      <w:r>
        <w:rPr>
          <w:rFonts w:hint="eastAsia" w:cs="宋体"/>
          <w:color w:val="auto"/>
          <w:szCs w:val="24"/>
          <w:highlight w:val="none"/>
        </w:rPr>
        <w:t xml:space="preserve">投标单位（单位盖章）： </w:t>
      </w:r>
      <w:r/>
    </w:p>
    <w:p>
      <w:pPr>
        <w:spacing w:line="360" w:lineRule="auto"/>
        <w:rPr>
          <w:rFonts w:ascii="宋体" w:hAnsi="宋体"/>
          <w:color w:val="auto"/>
          <w:szCs w:val="24"/>
          <w:highlight w:val="none"/>
        </w:rPr>
      </w:pPr>
      <w:r>
        <w:rPr>
          <w:rFonts w:hint="eastAsia" w:cs="宋体"/>
          <w:color w:val="auto"/>
          <w:szCs w:val="24"/>
          <w:highlight w:val="none"/>
        </w:rPr>
        <w:t xml:space="preserve">法定代表人（负责人）或代理人（签字或盖章）：</w:t>
      </w:r>
      <w:r/>
    </w:p>
    <w:p>
      <w:pPr>
        <w:spacing w:line="360" w:lineRule="auto"/>
        <w:rPr>
          <w:color w:val="auto"/>
          <w:szCs w:val="24"/>
          <w:highlight w:val="none"/>
        </w:rPr>
      </w:pPr>
      <w:r>
        <w:rPr>
          <w:rFonts w:hint="eastAsia" w:cs="宋体"/>
          <w:color w:val="auto"/>
          <w:szCs w:val="24"/>
          <w:highlight w:val="none"/>
        </w:rPr>
        <w:t xml:space="preserve">投标日期：  年  月  日</w:t>
      </w:r>
      <w:r/>
    </w:p>
    <w:p>
      <w:pPr>
        <w:pageBreakBefore/>
        <w:spacing w:line="360" w:lineRule="auto"/>
        <w:rPr>
          <w:rFonts w:ascii="宋体" w:hAnsi="宋体"/>
          <w:b/>
          <w:bCs/>
          <w:color w:val="auto"/>
          <w:szCs w:val="24"/>
          <w:highlight w:val="none"/>
        </w:rPr>
        <w:outlineLvl w:val="1"/>
      </w:pPr>
      <w:r>
        <w:rPr>
          <w:rFonts w:hint="eastAsia" w:ascii="黑体" w:hAnsi="黑体" w:eastAsia="黑体" w:cs="宋体"/>
          <w:b/>
          <w:bCs/>
          <w:color w:val="auto"/>
          <w:szCs w:val="24"/>
          <w:highlight w:val="none"/>
        </w:rPr>
        <w:t xml:space="preserve">11、拟投入本项目的专业技术（服务）人员情况一览表</w:t>
      </w:r>
      <w:r/>
    </w:p>
    <w:p>
      <w:pPr>
        <w:ind w:firstLine="480"/>
        <w:spacing w:line="360" w:lineRule="auto"/>
        <w:rPr>
          <w:b/>
          <w:color w:val="auto"/>
          <w:highlight w:val="none"/>
        </w:rPr>
      </w:pPr>
      <w:r>
        <w:rPr>
          <w:rFonts w:hint="eastAsia" w:ascii="黑体" w:hAnsi="黑体" w:eastAsia="黑体" w:cs="宋体"/>
          <w:b/>
          <w:color w:val="auto"/>
          <w:highlight w:val="none"/>
        </w:rPr>
        <w:t xml:space="preserve">拟投入本项目的专业技术（服务）人员情况一览表</w:t>
      </w:r>
      <w:r/>
    </w:p>
    <w:tbl>
      <w:tblPr>
        <w:tblStyle w:val="764"/>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blHeader/>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ascii="宋体" w:hAnsi="宋体"/>
                <w:b/>
                <w:color w:val="auto"/>
                <w:szCs w:val="24"/>
                <w:highlight w:val="none"/>
              </w:rPr>
            </w:pPr>
            <w:r>
              <w:rPr>
                <w:rFonts w:hint="eastAsia" w:cs="宋体"/>
                <w:b/>
                <w:color w:val="auto"/>
                <w:sz w:val="21"/>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ascii="宋体" w:hAnsi="宋体" w:cs="宋体"/>
                <w:b/>
                <w:color w:val="auto"/>
                <w:szCs w:val="24"/>
                <w:highlight w:val="none"/>
              </w:rPr>
            </w:pPr>
            <w:r>
              <w:rPr>
                <w:rFonts w:hint="eastAsia" w:cs="宋体"/>
                <w:b/>
                <w:color w:val="auto"/>
                <w:sz w:val="21"/>
                <w:szCs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10"/>
              <w:spacing w:line="360" w:lineRule="auto"/>
              <w:rPr>
                <w:rFonts w:ascii="宋体" w:hAnsi="宋体"/>
                <w:b/>
                <w:color w:val="auto"/>
                <w:szCs w:val="24"/>
                <w:highlight w:val="none"/>
              </w:rPr>
            </w:pPr>
            <w:r>
              <w:rPr>
                <w:rFonts w:hint="eastAsia" w:cs="宋体"/>
                <w:b/>
                <w:color w:val="auto"/>
                <w:sz w:val="21"/>
                <w:szCs w:val="24"/>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jc w:val="left"/>
              <w:spacing w:line="360" w:lineRule="auto"/>
              <w:rPr>
                <w:rFonts w:ascii="宋体" w:hAnsi="宋体"/>
                <w:color w:val="auto"/>
                <w:szCs w:val="24"/>
                <w:highlight w:val="none"/>
              </w:rPr>
            </w:pPr>
            <w:r>
              <w:rPr>
                <w:rFonts w:hint="eastAsia" w:cs="宋体"/>
                <w:color w:val="auto"/>
                <w:sz w:val="21"/>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Cs w:val="24"/>
                <w:highlight w:val="none"/>
              </w:rPr>
              <w:pBdr>
                <w:top w:val="none" w:color="000000" w:sz="0" w:space="0"/>
                <w:left w:val="none" w:color="000000" w:sz="0" w:space="0"/>
                <w:bottom w:val="none" w:color="000000" w:sz="0" w:space="0"/>
                <w:right w:val="none" w:color="000000" w:sz="0" w:space="0"/>
              </w:pBdr>
            </w:pPr>
            <w:r>
              <w:rPr>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jc w:val="left"/>
              <w:spacing w:line="360" w:lineRule="auto"/>
              <w:rPr>
                <w:rFonts w:ascii="宋体" w:hAnsi="宋体"/>
                <w:color w:val="auto"/>
                <w:szCs w:val="24"/>
                <w:highlight w:val="none"/>
              </w:rPr>
            </w:pPr>
            <w:r>
              <w:rPr>
                <w:rFonts w:hint="eastAsia" w:cs="宋体"/>
                <w:color w:val="auto"/>
                <w:sz w:val="21"/>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Cs w:val="24"/>
                <w:highlight w:val="none"/>
              </w:rPr>
              <w:pBdr>
                <w:top w:val="none" w:color="000000" w:sz="0" w:space="0"/>
                <w:left w:val="none" w:color="000000" w:sz="0" w:space="0"/>
                <w:bottom w:val="none" w:color="000000" w:sz="0" w:space="0"/>
                <w:right w:val="none" w:color="000000" w:sz="0" w:space="0"/>
              </w:pBdr>
            </w:pPr>
            <w:r>
              <w:rPr>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jc w:val="left"/>
              <w:spacing w:line="360" w:lineRule="auto"/>
              <w:rPr>
                <w:rFonts w:ascii="宋体" w:hAnsi="宋体"/>
                <w:color w:val="auto"/>
                <w:szCs w:val="24"/>
                <w:highlight w:val="none"/>
              </w:rPr>
            </w:pPr>
            <w:r>
              <w:rPr>
                <w:rFonts w:hint="eastAsia" w:cs="宋体"/>
                <w:color w:val="auto"/>
                <w:sz w:val="21"/>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Cs w:val="24"/>
                <w:highlight w:val="none"/>
              </w:rPr>
              <w:pBdr>
                <w:top w:val="none" w:color="000000" w:sz="0" w:space="0"/>
                <w:left w:val="none" w:color="000000" w:sz="0" w:space="0"/>
                <w:bottom w:val="none" w:color="000000" w:sz="0" w:space="0"/>
                <w:right w:val="none" w:color="000000" w:sz="0" w:space="0"/>
              </w:pBdr>
            </w:pPr>
            <w:r>
              <w:rPr>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jc w:val="left"/>
              <w:spacing w:line="360" w:lineRule="auto"/>
              <w:rPr>
                <w:rFonts w:ascii="宋体" w:hAnsi="宋体"/>
                <w:color w:val="auto"/>
                <w:szCs w:val="24"/>
                <w:highlight w:val="none"/>
              </w:rPr>
            </w:pPr>
            <w:r>
              <w:rPr>
                <w:rFonts w:hint="eastAsia" w:cs="宋体"/>
                <w:color w:val="auto"/>
                <w:sz w:val="21"/>
                <w:szCs w:val="24"/>
                <w:highlight w:val="none"/>
              </w:rPr>
              <w:t xml:space="preserve">4</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Cs w:val="24"/>
                <w:highlight w:val="none"/>
              </w:rPr>
              <w:pBdr>
                <w:top w:val="none" w:color="000000" w:sz="0" w:space="0"/>
                <w:left w:val="none" w:color="000000" w:sz="0" w:space="0"/>
                <w:bottom w:val="none" w:color="000000" w:sz="0" w:space="0"/>
                <w:right w:val="none" w:color="000000" w:sz="0" w:space="0"/>
              </w:pBdr>
            </w:pPr>
            <w:r>
              <w:rPr>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jc w:val="left"/>
              <w:spacing w:line="360" w:lineRule="auto"/>
              <w:rPr>
                <w:rFonts w:ascii="宋体" w:hAnsi="宋体"/>
                <w:color w:val="auto"/>
                <w:szCs w:val="24"/>
                <w:highlight w:val="none"/>
              </w:rPr>
            </w:pPr>
            <w:r>
              <w:rPr>
                <w:rFonts w:hint="eastAsia" w:cs="宋体"/>
                <w:color w:val="auto"/>
                <w:sz w:val="21"/>
                <w:szCs w:val="24"/>
                <w:highlight w:val="none"/>
              </w:rPr>
              <w:t xml:space="preserve">5</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Cs w:val="24"/>
                <w:highlight w:val="none"/>
              </w:rPr>
              <w:pBdr>
                <w:top w:val="none" w:color="000000" w:sz="0" w:space="0"/>
                <w:left w:val="none" w:color="000000" w:sz="0" w:space="0"/>
                <w:bottom w:val="none" w:color="000000" w:sz="0" w:space="0"/>
                <w:right w:val="none" w:color="000000" w:sz="0" w:space="0"/>
              </w:pBdr>
            </w:pPr>
            <w:r>
              <w:rPr>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spacing w:line="360" w:lineRule="auto"/>
              <w:rPr>
                <w:rFonts w:ascii="宋体" w:hAnsi="宋体"/>
                <w:color w:val="auto"/>
                <w:szCs w:val="24"/>
                <w:highlight w:val="none"/>
              </w:rPr>
            </w:pPr>
            <w:r>
              <w:rPr>
                <w:rFonts w:ascii="宋体" w:hAnsi="宋体"/>
                <w:color w:val="auto"/>
                <w:szCs w:val="24"/>
                <w:highlight w:val="none"/>
              </w:rPr>
            </w:r>
            <w:r/>
          </w:p>
        </w:tc>
      </w:tr>
    </w:tbl>
    <w:p>
      <w:pPr>
        <w:jc w:val="left"/>
        <w:spacing w:line="360" w:lineRule="auto"/>
        <w:rPr>
          <w:rFonts w:ascii="宋体" w:hAnsi="宋体"/>
          <w:color w:val="auto"/>
          <w:szCs w:val="24"/>
          <w:highlight w:val="none"/>
        </w:rPr>
      </w:pPr>
      <w:r>
        <w:rPr>
          <w:rFonts w:hint="eastAsia" w:cs="宋体"/>
          <w:color w:val="auto"/>
          <w:szCs w:val="24"/>
          <w:highlight w:val="none"/>
        </w:rPr>
        <w:t xml:space="preserve">附：1、按照招标文件要求提供相应资质证明材料。</w:t>
      </w:r>
      <w:r/>
    </w:p>
    <w:p>
      <w:pPr>
        <w:spacing w:line="360" w:lineRule="auto"/>
        <w:rPr>
          <w:color w:val="auto"/>
          <w:szCs w:val="24"/>
          <w:highlight w:val="none"/>
        </w:rPr>
      </w:pPr>
      <w:r>
        <w:rPr>
          <w:color w:val="auto"/>
          <w:szCs w:val="24"/>
          <w:highlight w:val="none"/>
        </w:rPr>
      </w:r>
      <w:r/>
    </w:p>
    <w:p>
      <w:pPr>
        <w:spacing w:line="360" w:lineRule="auto"/>
        <w:rPr>
          <w:rFonts w:ascii="宋体" w:hAnsi="宋体"/>
          <w:color w:val="auto"/>
          <w:szCs w:val="24"/>
          <w:highlight w:val="none"/>
        </w:rPr>
      </w:pPr>
      <w:r>
        <w:rPr>
          <w:rFonts w:hint="eastAsia" w:cs="宋体"/>
          <w:color w:val="auto"/>
          <w:szCs w:val="24"/>
          <w:highlight w:val="none"/>
        </w:rPr>
        <w:t xml:space="preserve">投标单位（单位盖章）： </w:t>
      </w:r>
      <w:r/>
    </w:p>
    <w:p>
      <w:pPr>
        <w:spacing w:line="360" w:lineRule="auto"/>
        <w:rPr>
          <w:rFonts w:ascii="宋体" w:hAnsi="宋体"/>
          <w:color w:val="auto"/>
          <w:szCs w:val="24"/>
          <w:highlight w:val="none"/>
        </w:rPr>
        <w:outlineLvl w:val="2"/>
      </w:pPr>
      <w:r>
        <w:rPr>
          <w:rFonts w:hint="eastAsia" w:cs="宋体"/>
          <w:color w:val="auto"/>
          <w:szCs w:val="24"/>
          <w:highlight w:val="none"/>
        </w:rPr>
        <w:t xml:space="preserve">法定代表人（负责人）或代理人（签字或盖章）</w:t>
      </w:r>
      <w:r/>
    </w:p>
    <w:p>
      <w:pPr>
        <w:ind w:firstLine="480"/>
        <w:spacing w:line="360" w:lineRule="auto"/>
        <w:rPr>
          <w:color w:val="auto"/>
          <w:szCs w:val="24"/>
          <w:highlight w:val="none"/>
        </w:rPr>
      </w:pPr>
      <w:r>
        <w:rPr>
          <w:rFonts w:hint="eastAsia" w:cs="宋体"/>
          <w:color w:val="auto"/>
          <w:szCs w:val="24"/>
          <w:highlight w:val="none"/>
        </w:rPr>
        <w:t xml:space="preserve">投标日期：  年  月  日</w:t>
      </w:r>
      <w:r/>
    </w:p>
    <w:p>
      <w:pPr>
        <w:pageBreakBefore/>
        <w:spacing w:line="360" w:lineRule="auto"/>
        <w:rPr>
          <w:rFonts w:ascii="宋体" w:hAnsi="宋体"/>
          <w:b/>
          <w:color w:val="auto"/>
          <w:szCs w:val="24"/>
          <w:highlight w:val="none"/>
        </w:rPr>
        <w:outlineLvl w:val="1"/>
      </w:pPr>
      <w:r>
        <w:rPr>
          <w:rFonts w:hint="eastAsia" w:ascii="黑体" w:hAnsi="黑体" w:eastAsia="黑体" w:cs="宋体"/>
          <w:b/>
          <w:color w:val="auto"/>
          <w:szCs w:val="24"/>
          <w:highlight w:val="none"/>
        </w:rPr>
        <w:t xml:space="preserve">12、</w:t>
      </w:r>
      <w:bookmarkStart w:id="2" w:name="OLE_LINK4"/>
      <w:r>
        <w:rPr>
          <w:rFonts w:hint="eastAsia" w:ascii="黑体" w:hAnsi="黑体" w:eastAsia="黑体" w:cs="宋体"/>
          <w:b/>
          <w:color w:val="auto"/>
          <w:szCs w:val="24"/>
          <w:highlight w:val="none"/>
        </w:rPr>
        <w:t xml:space="preserve">中小企业声明函（如有）       </w:t>
      </w:r>
      <w:r/>
    </w:p>
    <w:p>
      <w:pPr>
        <w:spacing w:line="360" w:lineRule="auto"/>
        <w:rPr>
          <w:rFonts w:ascii="宋体" w:hAnsi="宋体"/>
          <w:b/>
          <w:color w:val="auto"/>
          <w:szCs w:val="24"/>
          <w:highlight w:val="none"/>
        </w:rPr>
      </w:pPr>
      <w:r>
        <w:rPr>
          <w:rFonts w:ascii="宋体" w:hAnsi="宋体"/>
          <w:b/>
          <w:color w:val="auto"/>
          <w:szCs w:val="24"/>
          <w:highlight w:val="none"/>
        </w:rPr>
      </w:r>
      <w:r/>
    </w:p>
    <w:p>
      <w:pPr>
        <w:jc w:val="center"/>
        <w:spacing w:line="360" w:lineRule="auto"/>
        <w:rPr>
          <w:rFonts w:ascii="宋体" w:hAnsi="宋体"/>
          <w:color w:val="auto"/>
          <w:szCs w:val="24"/>
          <w:highlight w:val="none"/>
        </w:rPr>
      </w:pPr>
      <w:r>
        <w:rPr>
          <w:rFonts w:hint="eastAsia" w:cs="宋体"/>
          <w:color w:val="auto"/>
          <w:szCs w:val="24"/>
          <w:highlight w:val="none"/>
        </w:rPr>
        <w:t xml:space="preserve">中小企业声明函（服务）</w:t>
      </w:r>
      <w:r/>
    </w:p>
    <w:p>
      <w:pPr>
        <w:spacing w:line="360" w:lineRule="auto"/>
        <w:rPr>
          <w:rFonts w:ascii="宋体" w:hAnsi="宋体"/>
          <w:color w:val="auto"/>
          <w:szCs w:val="24"/>
          <w:highlight w:val="none"/>
        </w:rPr>
      </w:pPr>
      <w:r>
        <w:rPr>
          <w:rFonts w:ascii="宋体" w:hAnsi="宋体"/>
          <w:color w:val="auto"/>
          <w:szCs w:val="24"/>
          <w:highlight w:val="none"/>
        </w:rPr>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本公司郑重声明，根据《政府采购促进中小企业发展管理办法》（财库﹝2020﹞46号）的规定，本公司参加</w:t>
      </w:r>
      <w:r>
        <w:rPr>
          <w:rFonts w:hint="eastAsia" w:cs="宋体"/>
          <w:i/>
          <w:color w:val="auto"/>
          <w:szCs w:val="24"/>
          <w:highlight w:val="none"/>
          <w:u w:val="single"/>
        </w:rPr>
        <w:t xml:space="preserve">（单位名称）</w:t>
      </w:r>
      <w:r>
        <w:rPr>
          <w:rFonts w:hint="eastAsia" w:cs="宋体"/>
          <w:color w:val="auto"/>
          <w:szCs w:val="24"/>
          <w:highlight w:val="none"/>
        </w:rPr>
        <w:t xml:space="preserve">的</w:t>
      </w:r>
      <w:r>
        <w:rPr>
          <w:rFonts w:hint="eastAsia" w:cs="宋体"/>
          <w:i/>
          <w:color w:val="auto"/>
          <w:szCs w:val="24"/>
          <w:highlight w:val="none"/>
          <w:u w:val="single"/>
        </w:rPr>
        <w:t xml:space="preserve">（项目名称）</w:t>
      </w:r>
      <w:r>
        <w:rPr>
          <w:rFonts w:hint="eastAsia" w:cs="宋体"/>
          <w:color w:val="auto"/>
          <w:szCs w:val="24"/>
          <w:highlight w:val="none"/>
        </w:rPr>
        <w:t xml:space="preserve">采购活动，服务全部由符合政策要求的中小企业承接。相关企业（</w:t>
      </w:r>
      <w:r>
        <w:rPr>
          <w:rFonts w:hint="eastAsia" w:cs="宋体"/>
          <w:bCs/>
          <w:color w:val="auto"/>
          <w:szCs w:val="24"/>
          <w:highlight w:val="none"/>
        </w:rPr>
        <w:t xml:space="preserve">含联合体中的中小企业、签订分包意向协议的中小企业</w:t>
      </w:r>
      <w:r>
        <w:rPr>
          <w:rFonts w:hint="eastAsia" w:cs="宋体"/>
          <w:color w:val="auto"/>
          <w:szCs w:val="24"/>
          <w:highlight w:val="none"/>
        </w:rPr>
        <w:t xml:space="preserve">）的具体情况如下：</w:t>
      </w:r>
      <w:r/>
    </w:p>
    <w:p>
      <w:pPr>
        <w:ind w:firstLine="480"/>
        <w:spacing w:line="360" w:lineRule="auto"/>
        <w:rPr>
          <w:rFonts w:ascii="宋体" w:hAnsi="宋体"/>
          <w:color w:val="auto"/>
          <w:szCs w:val="24"/>
          <w:highlight w:val="none"/>
        </w:rPr>
      </w:pPr>
      <w:r>
        <w:rPr>
          <w:rFonts w:hint="eastAsia" w:cs="宋体"/>
          <w:color w:val="auto"/>
          <w:highlight w:val="none"/>
        </w:rPr>
        <w:t xml:space="preserve">1、</w:t>
      </w:r>
      <w:r>
        <w:rPr>
          <w:rFonts w:hint="eastAsia" w:cs="宋体"/>
          <w:i/>
          <w:color w:val="auto"/>
          <w:highlight w:val="none"/>
          <w:u w:val="single"/>
        </w:rPr>
        <w:t xml:space="preserve">（标的名称）</w:t>
      </w:r>
      <w:r>
        <w:rPr>
          <w:rFonts w:hint="eastAsia" w:cs="宋体"/>
          <w:color w:val="auto"/>
          <w:highlight w:val="none"/>
        </w:rPr>
        <w:t xml:space="preserve">，属于</w:t>
      </w:r>
      <w:r>
        <w:rPr>
          <w:rFonts w:hint="eastAsia" w:cs="宋体"/>
          <w:color w:val="auto"/>
          <w:highlight w:val="none"/>
          <w:u w:val="single"/>
        </w:rPr>
        <w:t xml:space="preserve">软件和信息技术服务业</w:t>
      </w:r>
      <w:r>
        <w:rPr>
          <w:rFonts w:hint="eastAsia" w:cs="宋体"/>
          <w:color w:val="auto"/>
          <w:highlight w:val="none"/>
        </w:rPr>
        <w:t xml:space="preserve">；承接企业为</w:t>
      </w:r>
      <w:r>
        <w:rPr>
          <w:rFonts w:hint="eastAsia" w:cs="宋体"/>
          <w:i/>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ab/>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ab/>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ab/>
      </w:r>
      <w:r>
        <w:rPr>
          <w:rFonts w:hint="eastAsia" w:cs="宋体"/>
          <w:color w:val="auto"/>
          <w:highlight w:val="none"/>
          <w:u w:val="single"/>
        </w:rPr>
        <w:t xml:space="preserve">  </w:t>
      </w:r>
      <w:r>
        <w:rPr>
          <w:rFonts w:hint="eastAsia" w:cs="宋体"/>
          <w:color w:val="auto"/>
          <w:highlight w:val="none"/>
        </w:rPr>
        <w:t xml:space="preserve">万元1，属于</w:t>
      </w:r>
      <w:r>
        <w:rPr>
          <w:rFonts w:hint="eastAsia" w:cs="宋体"/>
          <w:color w:val="auto"/>
          <w:highlight w:val="none"/>
          <w:u w:val="single"/>
        </w:rPr>
        <w:tab/>
      </w:r>
      <w:r>
        <w:rPr>
          <w:rFonts w:hint="eastAsia" w:cs="宋体"/>
          <w:color w:val="auto"/>
          <w:highlight w:val="none"/>
          <w:u w:val="single"/>
        </w:rPr>
        <w:t xml:space="preserve">                                     </w:t>
      </w:r>
      <w:r>
        <w:rPr>
          <w:rFonts w:hint="eastAsia" w:cs="宋体"/>
          <w:i/>
          <w:color w:val="auto"/>
          <w:highlight w:val="none"/>
        </w:rPr>
        <w:t xml:space="preserve">（中型企业、小型企业、微型企业，三者选一填写）</w:t>
      </w:r>
      <w:r>
        <w:rPr>
          <w:rFonts w:hint="eastAsia" w:cs="宋体"/>
          <w:color w:val="auto"/>
          <w:highlight w:val="none"/>
        </w:rPr>
        <w:t xml:space="preserve">；</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本企业对上述声明内容的真实性负责。如有虚假，将依法承担相应责任。</w:t>
      </w:r>
      <w:r/>
    </w:p>
    <w:p>
      <w:pPr>
        <w:ind w:firstLine="480"/>
        <w:jc w:val="left"/>
        <w:spacing w:line="360" w:lineRule="auto"/>
        <w:rPr>
          <w:rFonts w:ascii="宋体" w:hAnsi="宋体"/>
          <w:color w:val="auto"/>
          <w:szCs w:val="24"/>
          <w:highlight w:val="none"/>
        </w:rPr>
      </w:pPr>
      <w:r>
        <w:rPr>
          <w:rFonts w:hint="eastAsia" w:cs="宋体"/>
          <w:color w:val="auto"/>
          <w:szCs w:val="24"/>
          <w:highlight w:val="none"/>
        </w:rPr>
        <w:t xml:space="preserve">企业名称（盖章）：</w:t>
      </w:r>
      <w:r/>
    </w:p>
    <w:p>
      <w:pPr>
        <w:ind w:right="1120" w:firstLine="480"/>
        <w:jc w:val="left"/>
        <w:spacing w:line="360" w:lineRule="auto"/>
        <w:rPr>
          <w:rFonts w:ascii="宋体" w:hAnsi="宋体"/>
          <w:color w:val="auto"/>
          <w:szCs w:val="24"/>
          <w:highlight w:val="none"/>
        </w:rPr>
      </w:pPr>
      <w:r>
        <w:rPr>
          <w:rFonts w:hint="eastAsia" w:cs="宋体"/>
          <w:color w:val="auto"/>
          <w:szCs w:val="24"/>
          <w:highlight w:val="none"/>
        </w:rPr>
        <w:t xml:space="preserve">日期：</w:t>
      </w:r>
      <w:r/>
    </w:p>
    <w:p>
      <w:pPr>
        <w:spacing w:line="360" w:lineRule="auto"/>
        <w:rPr>
          <w:rFonts w:ascii="宋体" w:hAnsi="宋体"/>
          <w:color w:val="auto"/>
          <w:szCs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cs="宋体"/>
          <w:color w:val="auto"/>
          <w:position w:val="16"/>
          <w:szCs w:val="24"/>
          <w:highlight w:val="none"/>
        </w:rPr>
        <w:t xml:space="preserve">1</w:t>
      </w:r>
      <w:r>
        <w:rPr>
          <w:rFonts w:hint="eastAsia" w:cs="宋体"/>
          <w:color w:val="auto"/>
          <w:position w:val="16"/>
          <w:szCs w:val="24"/>
          <w:highlight w:val="none"/>
        </w:rPr>
        <w:fldChar w:fldCharType="end"/>
      </w:r>
      <w:r>
        <w:rPr>
          <w:rFonts w:hint="eastAsia" w:cs="宋体"/>
          <w:color w:val="auto"/>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
          <w:color w:val="auto"/>
          <w:szCs w:val="24"/>
          <w:highlight w:val="none"/>
        </w:rPr>
      </w:pPr>
      <w:r>
        <w:rPr>
          <w:rFonts w:hint="eastAsia" w:cs="宋体"/>
          <w:color w:val="auto"/>
          <w:szCs w:val="24"/>
          <w:highlight w:val="none"/>
        </w:rPr>
        <w:t xml:space="preserve">备注：</w:t>
      </w:r>
      <w:r/>
    </w:p>
    <w:p>
      <w:pPr>
        <w:ind w:firstLine="480"/>
        <w:spacing w:line="360" w:lineRule="auto"/>
        <w:rPr>
          <w:rFonts w:ascii="宋体" w:hAnsi="宋体"/>
          <w:color w:val="auto"/>
          <w:szCs w:val="24"/>
          <w:highlight w:val="none"/>
        </w:rPr>
      </w:pPr>
      <w:r>
        <w:rPr>
          <w:rFonts w:hint="eastAsia" w:cs="宋体"/>
          <w:color w:val="auto"/>
          <w:szCs w:val="24"/>
          <w:highlight w:val="none"/>
        </w:rPr>
        <w:t xml:space="preserve">1、中小企业参加政府采购活动，应当出具《中小企业声明函》，否则不得享受相关中小企业扶持政策。</w:t>
      </w:r>
      <w:r/>
    </w:p>
    <w:p>
      <w:pPr>
        <w:ind w:firstLine="480"/>
        <w:spacing w:line="360" w:lineRule="auto"/>
        <w:rPr>
          <w:rFonts w:ascii="宋体" w:hAnsi="宋体"/>
          <w:b/>
          <w:color w:val="auto"/>
          <w:szCs w:val="24"/>
          <w:highlight w:val="none"/>
        </w:rPr>
      </w:pPr>
      <w:r>
        <w:rPr>
          <w:rFonts w:hint="eastAsia" w:cs="宋体"/>
          <w:color w:val="auto"/>
          <w:szCs w:val="24"/>
          <w:highlight w:val="none"/>
        </w:rPr>
        <w:t xml:space="preserve">2、投标人提供的中小企业声明函必须包含本项目所有服务及其服务承接企业，并按照声明函格式填写完整、明确，否则视为未按规定提供声明函，投标无效。</w:t>
      </w:r>
      <w:r/>
    </w:p>
    <w:p>
      <w:pPr>
        <w:spacing w:line="360" w:lineRule="auto"/>
        <w:rPr>
          <w:rFonts w:hAnsi="宋体" w:eastAsia="宋体"/>
          <w:b/>
          <w:color w:val="auto"/>
          <w:szCs w:val="24"/>
          <w:highlight w:val="none"/>
        </w:rPr>
      </w:pPr>
      <w:r>
        <w:rPr>
          <w:rFonts w:hAnsi="宋体" w:eastAsia="宋体"/>
          <w:b/>
          <w:color w:val="auto"/>
          <w:szCs w:val="24"/>
          <w:highlight w:val="none"/>
        </w:rPr>
      </w:r>
      <w:r/>
    </w:p>
    <w:p>
      <w:pPr>
        <w:spacing w:line="360" w:lineRule="auto"/>
        <w:rPr>
          <w:rFonts w:hAnsi="宋体" w:eastAsia="宋体"/>
          <w:b/>
          <w:color w:val="auto"/>
          <w:szCs w:val="24"/>
          <w:highlight w:val="none"/>
        </w:rPr>
        <w:outlineLvl w:val="2"/>
      </w:pPr>
      <w:r>
        <w:rPr>
          <w:rFonts w:hint="eastAsia" w:cs="宋体"/>
          <w:color w:val="auto"/>
          <w:szCs w:val="24"/>
          <w:highlight w:val="none"/>
        </w:rPr>
        <w:t xml:space="preserve">附：中小企业划型标准规定</w:t>
      </w:r>
      <w:r/>
    </w:p>
    <w:p>
      <w:pPr>
        <w:spacing w:line="360" w:lineRule="auto"/>
        <w:rPr>
          <w:rFonts w:hAnsi="宋体" w:eastAsia="宋体"/>
          <w:color w:val="auto"/>
          <w:szCs w:val="24"/>
          <w:highlight w:val="none"/>
        </w:rPr>
      </w:pPr>
      <w:r>
        <w:rPr>
          <w:rFonts w:hint="eastAsia" w:cs="宋体"/>
          <w:color w:val="auto"/>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Ansi="宋体" w:eastAsia="宋体"/>
          <w:color w:val="auto"/>
          <w:szCs w:val="24"/>
          <w:highlight w:val="none"/>
        </w:rPr>
      </w:pPr>
      <w:r>
        <w:rPr>
          <w:rFonts w:hint="eastAsia"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Ansi="宋体" w:eastAsia="宋体"/>
          <w:color w:val="auto"/>
          <w:szCs w:val="24"/>
          <w:highlight w:val="none"/>
        </w:rPr>
      </w:pPr>
      <w:r>
        <w:rPr>
          <w:rFonts w:hint="eastAsia" w:cs="宋体"/>
          <w:color w:val="auto"/>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eastAsia="宋体"/>
          <w:b/>
          <w:color w:val="auto"/>
          <w:szCs w:val="24"/>
          <w:highlight w:val="none"/>
        </w:rPr>
      </w:pPr>
      <w:r>
        <w:rPr>
          <w:rFonts w:hint="eastAsia" w:cs="宋体"/>
          <w:color w:val="auto"/>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spacing w:line="360" w:lineRule="auto"/>
        <w:rPr>
          <w:rFonts w:eastAsia="宋体"/>
          <w:b/>
          <w:color w:val="auto"/>
          <w:szCs w:val="24"/>
          <w:highlight w:val="none"/>
        </w:rPr>
        <w:outlineLvl w:val="1"/>
      </w:pPr>
      <w:r>
        <w:rPr>
          <w:rFonts w:hint="eastAsia" w:ascii="黑体" w:hAnsi="黑体" w:eastAsia="黑体" w:cs="宋体"/>
          <w:b/>
          <w:color w:val="auto"/>
          <w:szCs w:val="24"/>
          <w:highlight w:val="none"/>
        </w:rPr>
        <w:t xml:space="preserve">13、残疾人福利性单位声明函（如有）</w:t>
      </w:r>
      <w:r/>
    </w:p>
    <w:p>
      <w:pPr>
        <w:jc w:val="left"/>
        <w:spacing w:line="360" w:lineRule="auto"/>
        <w:widowControl/>
        <w:rPr>
          <w:rFonts w:ascii="宋体" w:hAnsi="宋体"/>
          <w:b/>
          <w:color w:val="auto"/>
          <w:szCs w:val="24"/>
          <w:highlight w:val="none"/>
        </w:rPr>
      </w:pPr>
      <w:r>
        <w:rPr>
          <w:rFonts w:ascii="宋体" w:hAnsi="宋体"/>
          <w:b/>
          <w:color w:val="auto"/>
          <w:szCs w:val="24"/>
          <w:highlight w:val="none"/>
        </w:rPr>
      </w:r>
      <w:r/>
    </w:p>
    <w:p>
      <w:pPr>
        <w:ind w:firstLine="480"/>
        <w:jc w:val="left"/>
        <w:spacing w:line="360" w:lineRule="auto"/>
        <w:widowControl/>
        <w:rPr>
          <w:rFonts w:ascii="宋体" w:hAnsi="宋体"/>
          <w:color w:val="auto"/>
          <w:szCs w:val="24"/>
          <w:highlight w:val="none"/>
        </w:rPr>
        <w:outlineLvl w:val="0"/>
      </w:pPr>
      <w:r>
        <w:rPr>
          <w:rFonts w:hint="eastAsia" w:cs="宋体"/>
          <w:color w:val="auto"/>
          <w:szCs w:val="24"/>
          <w:highlight w:val="none"/>
        </w:rPr>
        <w:t xml:space="preserve">残疾人福利性单位声明函</w:t>
      </w:r>
      <w:r/>
    </w:p>
    <w:p>
      <w:pPr>
        <w:ind w:firstLine="1440"/>
        <w:jc w:val="left"/>
        <w:spacing w:line="360" w:lineRule="auto"/>
        <w:widowControl/>
        <w:rPr>
          <w:rFonts w:ascii="宋体" w:hAnsi="宋体"/>
          <w:b/>
          <w:color w:val="auto"/>
          <w:szCs w:val="24"/>
          <w:highlight w:val="none"/>
        </w:rPr>
      </w:pPr>
      <w:r>
        <w:rPr>
          <w:rFonts w:ascii="宋体" w:hAnsi="宋体"/>
          <w:b/>
          <w:color w:val="auto"/>
          <w:szCs w:val="24"/>
          <w:highlight w:val="none"/>
        </w:rPr>
      </w:r>
      <w:r/>
    </w:p>
    <w:p>
      <w:pPr>
        <w:ind w:firstLine="480"/>
        <w:jc w:val="left"/>
        <w:spacing w:line="360" w:lineRule="auto"/>
        <w:widowControl/>
        <w:rPr>
          <w:rFonts w:ascii="宋体" w:hAnsi="宋体" w:cs="宋体"/>
          <w:color w:val="auto"/>
          <w:szCs w:val="24"/>
          <w:highlight w:val="none"/>
        </w:rPr>
      </w:pPr>
      <w:r>
        <w:rPr>
          <w:rFonts w:hint="eastAsia"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color w:val="auto"/>
          <w:szCs w:val="24"/>
          <w:highlight w:val="none"/>
        </w:rPr>
      </w:pPr>
      <w:r>
        <w:rPr>
          <w:rFonts w:hint="eastAsia" w:cs="宋体"/>
          <w:color w:val="auto"/>
          <w:szCs w:val="24"/>
          <w:highlight w:val="none"/>
        </w:rPr>
        <w:t xml:space="preserve">本单位对上述声明的真实性负责。如有虚假，将依法承担相应责任。</w:t>
      </w:r>
      <w:r/>
    </w:p>
    <w:p>
      <w:pPr>
        <w:jc w:val="left"/>
        <w:spacing w:line="360" w:lineRule="auto"/>
        <w:widowControl/>
        <w:rPr>
          <w:rFonts w:ascii="宋体" w:hAnsi="宋体" w:cs="宋体"/>
          <w:color w:val="auto"/>
          <w:szCs w:val="24"/>
          <w:highlight w:val="none"/>
        </w:rPr>
      </w:pPr>
      <w:r>
        <w:rPr>
          <w:rFonts w:ascii="宋体" w:hAnsi="宋体" w:cs="宋体"/>
          <w:color w:val="auto"/>
          <w:szCs w:val="24"/>
          <w:highlight w:val="none"/>
        </w:rPr>
      </w:r>
      <w:r/>
    </w:p>
    <w:p>
      <w:pPr>
        <w:jc w:val="left"/>
        <w:spacing w:line="360" w:lineRule="auto"/>
        <w:widowControl/>
        <w:rPr>
          <w:rFonts w:ascii="宋体" w:hAnsi="宋体" w:cs="宋体"/>
          <w:color w:val="auto"/>
          <w:szCs w:val="24"/>
          <w:highlight w:val="none"/>
        </w:rPr>
      </w:pPr>
      <w:r>
        <w:rPr>
          <w:rFonts w:hint="eastAsia" w:cs="宋体"/>
          <w:color w:val="auto"/>
          <w:szCs w:val="24"/>
          <w:highlight w:val="none"/>
        </w:rPr>
        <w:t xml:space="preserve">             单位名称（盖章）：</w:t>
      </w:r>
      <w:r/>
    </w:p>
    <w:p>
      <w:pPr>
        <w:jc w:val="left"/>
        <w:spacing w:line="360" w:lineRule="auto"/>
        <w:widowControl/>
        <w:rPr>
          <w:rFonts w:ascii="宋体" w:hAnsi="宋体" w:cs="宋体"/>
          <w:color w:val="auto"/>
          <w:szCs w:val="24"/>
          <w:highlight w:val="none"/>
        </w:rPr>
      </w:pPr>
      <w:r>
        <w:rPr>
          <w:rFonts w:hint="eastAsia" w:cs="宋体"/>
          <w:color w:val="auto"/>
          <w:szCs w:val="24"/>
          <w:highlight w:val="none"/>
        </w:rPr>
        <w:t xml:space="preserve">                    日 期：</w:t>
      </w:r>
      <w:r/>
    </w:p>
    <w:p>
      <w:pPr>
        <w:pageBreakBefore/>
        <w:spacing w:line="360" w:lineRule="auto"/>
        <w:rPr>
          <w:rFonts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hint="eastAsia" w:eastAsia="黑体" w:cs="宋体"/>
          <w:b/>
          <w:color w:val="auto"/>
          <w:szCs w:val="24"/>
          <w:highlight w:val="none"/>
        </w:rPr>
        <w:t xml:space="preserve">14、监狱企业证明文件（如有）</w:t>
      </w:r>
      <w:r/>
    </w:p>
    <w:p>
      <w:pPr>
        <w:ind w:firstLine="2560"/>
        <w:spacing w:line="36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4"/>
          <w:highlight w:val="none"/>
        </w:rPr>
      </w:r>
      <w:r/>
    </w:p>
    <w:p>
      <w:pPr>
        <w:ind w:firstLine="480"/>
        <w:spacing w:line="36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Cs w:val="24"/>
          <w:highlight w:val="none"/>
        </w:rPr>
        <w:t xml:space="preserve">监狱企业证明文件</w:t>
      </w:r>
      <w:r/>
    </w:p>
    <w:p>
      <w:pPr>
        <w:spacing w:line="360" w:lineRule="auto"/>
        <w:rPr>
          <w:b/>
          <w:bCs/>
          <w:color w:val="auto"/>
          <w:szCs w:val="24"/>
          <w:highlight w:val="none"/>
        </w:rPr>
      </w:pPr>
      <w:r>
        <w:rPr>
          <w:b/>
          <w:bCs/>
          <w:color w:val="auto"/>
          <w:szCs w:val="24"/>
          <w:highlight w:val="none"/>
        </w:rPr>
      </w:r>
      <w:r/>
    </w:p>
    <w:p>
      <w:pPr>
        <w:ind w:firstLine="480"/>
        <w:spacing w:line="360" w:lineRule="auto"/>
        <w:rPr>
          <w:rFonts w:ascii="宋体" w:hAnsi="宋体"/>
          <w:b/>
          <w:color w:val="auto"/>
          <w:spacing w:val="6"/>
          <w:szCs w:val="24"/>
          <w:highlight w:val="none"/>
        </w:rPr>
      </w:pPr>
      <w:r>
        <w:rPr>
          <w:rFonts w:hint="eastAsia" w:cs="宋体"/>
          <w:color w:val="auto"/>
          <w:spacing w:val="6"/>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2"/>
      <w:r/>
    </w:p>
    <w:p>
      <w:pPr>
        <w:rPr>
          <w:rFonts w:ascii="宋体" w:hAnsi="宋体"/>
          <w:b/>
          <w:color w:val="auto"/>
          <w:szCs w:val="24"/>
          <w:highlight w:val="none"/>
        </w:rPr>
      </w:pPr>
      <w:r>
        <w:rPr>
          <w:rFonts w:hint="eastAsia" w:cs="宋体"/>
          <w:color w:val="auto"/>
          <w:szCs w:val="24"/>
          <w:highlight w:val="none"/>
        </w:rPr>
        <w:br w:type="page" w:clear="all"/>
      </w:r>
      <w:r/>
    </w:p>
    <w:p>
      <w:pPr>
        <w:pStyle w:val="701"/>
        <w:pageBreakBefore/>
        <w:spacing w:line="480" w:lineRule="auto"/>
        <w:rPr>
          <w:rFonts w:ascii="仿宋" w:hAnsi="仿宋" w:eastAsia="仿宋" w:cs="仿宋"/>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第五部分 评标方法与评标标准</w:t>
      </w:r>
      <w:r/>
    </w:p>
    <w:p>
      <w:pPr>
        <w:rPr>
          <w:color w:val="auto"/>
          <w:highlight w:val="none"/>
        </w:rPr>
      </w:pPr>
      <w:r>
        <w:rPr>
          <w:color w:val="auto"/>
          <w:highlight w:val="none"/>
        </w:rPr>
      </w:r>
      <w:r/>
    </w:p>
    <w:p>
      <w:pPr>
        <w:ind w:firstLine="480"/>
        <w:jc w:val="left"/>
        <w:spacing w:line="360" w:lineRule="auto"/>
        <w:rPr>
          <w:rFonts w:hAnsi="宋体" w:eastAsia="宋体" w:cs="宋体"/>
          <w:b/>
          <w:color w:val="auto"/>
          <w:szCs w:val="24"/>
          <w:highlight w:val="none"/>
        </w:rPr>
      </w:pPr>
      <w:r>
        <w:rPr>
          <w:rFonts w:hint="eastAsia" w:ascii="黑体" w:hAnsi="黑体" w:cs="宋体"/>
          <w:color w:val="auto"/>
          <w:szCs w:val="24"/>
          <w:highlight w:val="none"/>
        </w:rPr>
        <w:t xml:space="preserve">一、评标办法：</w:t>
      </w:r>
      <w:r/>
    </w:p>
    <w:p>
      <w:pPr>
        <w:numPr>
          <w:ilvl w:val="0"/>
          <w:numId w:val="4"/>
        </w:numPr>
        <w:ind w:left="0" w:firstLine="480"/>
        <w:spacing w:line="360" w:lineRule="auto"/>
        <w:rPr>
          <w:rFonts w:hAnsi="宋体" w:eastAsia="宋体" w:cs="宋体"/>
          <w:color w:val="auto"/>
          <w:szCs w:val="24"/>
          <w:highlight w:val="none"/>
        </w:rPr>
      </w:pPr>
      <w:r>
        <w:rPr>
          <w:rFonts w:hint="eastAsia" w:cs="宋体"/>
          <w:color w:val="auto"/>
          <w:szCs w:val="24"/>
          <w:highlight w:val="none"/>
        </w:rPr>
        <w:t xml:space="preserve">评标办法采用综合评分法。即在最大限度地满足招标文件实质性要求前提下，按照招标文件中规定的各项因素进行综合评审，由</w:t>
      </w:r>
      <w:r>
        <w:rPr>
          <w:rFonts w:hint="eastAsia" w:cs="宋体"/>
          <w:color w:val="auto"/>
          <w:szCs w:val="24"/>
          <w:highlight w:val="none"/>
          <w:lang w:val="zh-CN"/>
        </w:rPr>
        <w:t xml:space="preserve">综合评分得分最高的投标人为中标候选人</w:t>
      </w:r>
      <w:r>
        <w:rPr>
          <w:rFonts w:hint="eastAsia" w:cs="宋体"/>
          <w:color w:val="auto"/>
          <w:szCs w:val="24"/>
          <w:highlight w:val="none"/>
        </w:rPr>
        <w:t xml:space="preserve">。综合评分的主要因素为：价格、技术、信誉、业绩、服务、对招标文件的响应程度，以及相应的商务标和技术标比重或者分值等。</w:t>
      </w:r>
      <w:r/>
    </w:p>
    <w:p>
      <w:pPr>
        <w:numPr>
          <w:ilvl w:val="0"/>
          <w:numId w:val="4"/>
        </w:numPr>
        <w:ind w:left="0" w:firstLine="480"/>
        <w:spacing w:line="360" w:lineRule="auto"/>
        <w:rPr>
          <w:rFonts w:ascii="宋体" w:hAnsi="宋体" w:cs="宋体"/>
          <w:color w:val="auto"/>
          <w:szCs w:val="24"/>
          <w:highlight w:val="none"/>
        </w:rPr>
      </w:pPr>
      <w:r>
        <w:rPr>
          <w:rFonts w:hint="eastAsia" w:cs="宋体"/>
          <w:color w:val="auto"/>
          <w:szCs w:val="24"/>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4"/>
        </w:numPr>
        <w:ind w:left="0" w:firstLine="480"/>
        <w:spacing w:line="360" w:lineRule="auto"/>
        <w:rPr>
          <w:rFonts w:ascii="宋体" w:hAnsi="宋体" w:cs="宋体"/>
          <w:color w:val="auto"/>
          <w:szCs w:val="24"/>
          <w:highlight w:val="none"/>
        </w:rPr>
      </w:pPr>
      <w:r>
        <w:rPr>
          <w:rFonts w:hint="eastAsia" w:cs="宋体"/>
          <w:color w:val="auto"/>
          <w:highlight w:val="none"/>
        </w:rPr>
        <w:t xml:space="preserve">评标</w:t>
      </w:r>
      <w:r>
        <w:rPr>
          <w:rFonts w:hint="eastAsia" w:cs="宋体"/>
          <w:color w:val="auto"/>
          <w:highlight w:val="none"/>
        </w:rPr>
        <w:t xml:space="preserve">结果按评审后得分由高到低顺序排列。得分相同的，按投标报价由低到高顺序排列。得分且投标报价相同的并列。投标文件满足招标文件全部实质性要求，各标段以评标总得分从高到低为相应标段中标候选人排名，排名第一的为中标供应商，定标的顺序从根据标段号顺序依次确定中标人。已达到得标上限数的供应商在后面的标段中失去得标权（已在前期各标段评审中获得了采购文件规定的得标上限数（1）的供应商，不再具有该标段的得标权），由该标段具有得标权且评标总得分最高的为该标段中标供应商，进入每个标段评审的实质响应且具有得标权的供应商不得少于3家。</w:t>
      </w:r>
      <w:r/>
    </w:p>
    <w:p>
      <w:pPr>
        <w:numPr>
          <w:ilvl w:val="0"/>
          <w:numId w:val="4"/>
        </w:numPr>
        <w:ind w:left="0" w:firstLine="480"/>
        <w:spacing w:line="360" w:lineRule="auto"/>
        <w:rPr>
          <w:rFonts w:ascii="宋体" w:hAnsi="宋体" w:cs="宋体"/>
          <w:color w:val="auto"/>
          <w:szCs w:val="24"/>
          <w:highlight w:val="none"/>
        </w:rPr>
      </w:pPr>
      <w:r>
        <w:rPr>
          <w:rFonts w:hint="eastAsia" w:cs="宋体"/>
          <w:color w:val="auto"/>
          <w:szCs w:val="24"/>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ind w:firstLine="480"/>
        <w:spacing w:line="360" w:lineRule="auto"/>
        <w:widowControl/>
        <w:rPr>
          <w:rFonts w:ascii="宋体" w:hAnsi="宋体" w:cs="宋体"/>
          <w:color w:val="auto"/>
          <w:szCs w:val="24"/>
          <w:highlight w:val="none"/>
        </w:rPr>
      </w:pPr>
      <w:r>
        <w:rPr>
          <w:rFonts w:hint="eastAsia" w:cs="宋体"/>
          <w:color w:val="auto"/>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widowControl/>
        <w:rPr>
          <w:rFonts w:ascii="宋体" w:hAnsi="宋体" w:cs="宋体"/>
          <w:color w:val="auto"/>
          <w:szCs w:val="24"/>
          <w:highlight w:val="none"/>
        </w:rPr>
      </w:pPr>
      <w:r>
        <w:rPr>
          <w:rFonts w:hint="eastAsia" w:cs="宋体"/>
          <w:color w:val="auto"/>
          <w:szCs w:val="24"/>
          <w:highlight w:val="none"/>
        </w:rPr>
        <w:t xml:space="preserve">6.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widowControl/>
        <w:rPr>
          <w:rFonts w:ascii="宋体" w:hAnsi="宋体" w:cs="宋体"/>
          <w:color w:val="auto"/>
          <w:szCs w:val="24"/>
          <w:highlight w:val="none"/>
        </w:rPr>
      </w:pPr>
      <w:r>
        <w:rPr>
          <w:rFonts w:hint="eastAsia" w:cs="宋体"/>
          <w:color w:val="auto"/>
          <w:szCs w:val="24"/>
          <w:highlight w:val="none"/>
        </w:rPr>
        <w:t xml:space="preserve">7.中小企业相关政策：</w:t>
      </w:r>
      <w:r/>
    </w:p>
    <w:p>
      <w:pPr>
        <w:ind w:firstLine="480"/>
        <w:spacing w:line="360" w:lineRule="auto"/>
        <w:widowControl/>
        <w:rPr>
          <w:rFonts w:ascii="宋体" w:hAnsi="宋体" w:cs="宋体"/>
          <w:b/>
          <w:color w:val="auto"/>
          <w:szCs w:val="24"/>
          <w:highlight w:val="none"/>
        </w:rPr>
      </w:pPr>
      <w:r>
        <w:rPr>
          <w:rFonts w:hint="eastAsia" w:cs="宋体"/>
          <w:color w:val="auto"/>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widowControl/>
        <w:rPr>
          <w:rFonts w:ascii="宋体" w:hAnsi="宋体" w:cs="宋体"/>
          <w:b/>
          <w:color w:val="auto"/>
          <w:szCs w:val="24"/>
          <w:highlight w:val="none"/>
        </w:rPr>
      </w:pPr>
      <w:r>
        <w:rPr>
          <w:rFonts w:hint="eastAsia" w:cs="宋体"/>
          <w:color w:val="auto"/>
          <w:highlight w:val="none"/>
        </w:rPr>
        <w:t xml:space="preserve">本项目专门面向中小企业采购，不再执行中小企业价格扣除优惠。</w:t>
      </w:r>
      <w:r/>
    </w:p>
    <w:p>
      <w:pPr>
        <w:pageBreakBefore/>
        <w:spacing w:line="360" w:lineRule="auto"/>
        <w:widowControl/>
        <w:rPr>
          <w:rFonts w:ascii="宋体" w:hAnsi="宋体" w:cs="宋体"/>
          <w:b/>
          <w:color w:val="auto"/>
          <w:szCs w:val="24"/>
          <w:highlight w:val="none"/>
        </w:rPr>
      </w:pPr>
      <w:r/>
      <w:bookmarkStart w:id="3" w:name="_Hlk242345988"/>
      <w:r>
        <w:rPr>
          <w:rFonts w:hint="eastAsia" w:ascii="黑体" w:hAnsi="黑体" w:cs="宋体"/>
          <w:color w:val="auto"/>
          <w:szCs w:val="30"/>
          <w:highlight w:val="none"/>
        </w:rPr>
        <w:t xml:space="preserve">二、评分标准：</w:t>
      </w:r>
      <w:r/>
    </w:p>
    <w:p>
      <w:pPr>
        <w:spacing w:line="360" w:lineRule="auto"/>
        <w:rPr>
          <w:color w:val="auto"/>
          <w:highlight w:val="none"/>
        </w:rPr>
      </w:pPr>
      <w:r>
        <w:rPr>
          <w:rFonts w:hint="eastAsia" w:ascii="黑体" w:hAnsi="黑体" w:eastAsia="黑体" w:cs="黑体"/>
          <w:b/>
          <w:color w:val="auto"/>
          <w:szCs w:val="28"/>
          <w:highlight w:val="none"/>
        </w:rPr>
        <w:t xml:space="preserve">（一）价格分（20分）</w:t>
      </w:r>
      <w:r/>
    </w:p>
    <w:p>
      <w:pPr>
        <w:ind w:firstLine="480"/>
        <w:spacing w:line="360" w:lineRule="auto"/>
        <w:rPr>
          <w:color w:val="auto"/>
          <w:highlight w:val="none"/>
        </w:rPr>
      </w:pPr>
      <w:r>
        <w:rPr>
          <w:rFonts w:hint="eastAsia" w:cs="宋体"/>
          <w:color w:val="auto"/>
          <w:highlight w:val="none"/>
        </w:rPr>
        <w:t xml:space="preserve">1、投标报价不超过采购预算金额的为有效投标报价。超出此范围的投标报价为无效投标报价。无效投标报价的投标文件不进行评审，也不得标；</w:t>
      </w:r>
      <w:r/>
    </w:p>
    <w:p>
      <w:pPr>
        <w:ind w:firstLine="480"/>
        <w:spacing w:line="360" w:lineRule="auto"/>
        <w:rPr>
          <w:color w:val="auto"/>
          <w:highlight w:val="none"/>
        </w:rPr>
      </w:pPr>
      <w:r>
        <w:rPr>
          <w:rFonts w:hint="eastAsia" w:cs="宋体"/>
          <w:color w:val="auto"/>
          <w:szCs w:val="24"/>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0"/>
        <w:spacing w:line="360" w:lineRule="auto"/>
        <w:rPr>
          <w:color w:val="auto"/>
          <w:highlight w:val="none"/>
        </w:rPr>
      </w:pPr>
      <w:r>
        <w:rPr>
          <w:rFonts w:hint="eastAsia" w:cs="宋体"/>
          <w:color w:val="auto"/>
          <w:szCs w:val="24"/>
          <w:highlight w:val="none"/>
        </w:rPr>
        <w:t xml:space="preserve">投标报价得分=（评标基准价/投标报价）*价格权值*100（本次招标价格权值为20%）。</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1、区域直播推流服务（10分）</w:t>
      </w:r>
      <w:r/>
    </w:p>
    <w:p>
      <w:pPr>
        <w:ind w:firstLine="480"/>
        <w:spacing w:line="360" w:lineRule="auto"/>
        <w:rPr>
          <w:color w:val="auto"/>
          <w:highlight w:val="none"/>
        </w:rPr>
      </w:pPr>
      <w:r>
        <w:rPr>
          <w:rFonts w:hint="eastAsia" w:cs="宋体"/>
          <w:color w:val="auto"/>
          <w:szCs w:val="24"/>
          <w:highlight w:val="none"/>
        </w:rPr>
        <w:t xml:space="preserve">根据投标人针对本项目的区域直播推流服务方案进行评分，方案内容至少包括①满足的峰值点数；②宽带及终端的支持；③与当前太仓市线上教育中心及市级线上教育中心直播功能模块的融合。方案内容针对本项目且符合本项目实际需求的，第①项得4分、第②项得2分、第③项得4分，满分10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2、太仓线上教育平台跟随市级升级服务（8分）</w:t>
      </w:r>
      <w:r/>
    </w:p>
    <w:p>
      <w:pPr>
        <w:ind w:firstLine="480"/>
        <w:spacing w:line="360" w:lineRule="auto"/>
        <w:rPr>
          <w:color w:val="auto"/>
          <w:highlight w:val="none"/>
        </w:rPr>
      </w:pPr>
      <w:r>
        <w:rPr>
          <w:rFonts w:hint="eastAsia" w:cs="宋体"/>
          <w:color w:val="auto"/>
          <w:szCs w:val="24"/>
          <w:highlight w:val="none"/>
        </w:rPr>
        <w:t xml:space="preserve">根据投标人针对本项目的跟随市级平台同步升级服务方案进行评分，方案内容至少包括①升级协调；②升级调试；③功能验证；④紧急应对。方案内容针对本项目且符合本项目实际需求的，每项得2分，满分8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3、AI课堂评价服务（8分）</w:t>
      </w:r>
      <w:r/>
    </w:p>
    <w:p>
      <w:pPr>
        <w:ind w:firstLine="480"/>
        <w:spacing w:line="360" w:lineRule="auto"/>
        <w:rPr>
          <w:color w:val="auto"/>
          <w:highlight w:val="none"/>
        </w:rPr>
      </w:pPr>
      <w:r>
        <w:rPr>
          <w:rFonts w:hint="eastAsia" w:cs="宋体"/>
          <w:color w:val="auto"/>
          <w:szCs w:val="24"/>
          <w:highlight w:val="none"/>
        </w:rPr>
        <w:t xml:space="preserve">根据投标人针对本项目的AI课堂评价服务方案进行评分，方案内容至少包括①教学设计分析；②教学目标达成分析；③教学设计与课堂实施相关度分析；④学生参与度与教学结构关联分析；⑤学生学习行为数据分析；⑥课堂师生问答评价统计；⑦教学结构分析；⑧课堂问答分析。方案内容针对本项目且符合本项目实际需求的，每项得1分，满分8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4、技术运维服务（8分）</w:t>
      </w:r>
      <w:r/>
    </w:p>
    <w:p>
      <w:pPr>
        <w:ind w:firstLine="480"/>
        <w:spacing w:line="360" w:lineRule="auto"/>
        <w:rPr>
          <w:color w:val="auto"/>
          <w:highlight w:val="none"/>
        </w:rPr>
      </w:pPr>
      <w:r>
        <w:rPr>
          <w:rFonts w:hint="eastAsia" w:cs="宋体"/>
          <w:color w:val="auto"/>
          <w:szCs w:val="24"/>
          <w:highlight w:val="none"/>
        </w:rPr>
        <w:t xml:space="preserve">根据投标人针对本项目的线上教育太仓中心平台技术运维服务方案进行评分，方案内容至少包括①对项目运维目标、范围、方式的理解；②技术支持、应急保障；③复杂技术实现服务方案；④运维服务承诺。方案内容针对本项目且符合本项目实际需求的，每项得2分，满分8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5、客服服务（8分）</w:t>
      </w:r>
      <w:r/>
    </w:p>
    <w:p>
      <w:pPr>
        <w:ind w:firstLine="480"/>
        <w:spacing w:line="360" w:lineRule="auto"/>
        <w:rPr>
          <w:color w:val="auto"/>
          <w:highlight w:val="none"/>
        </w:rPr>
      </w:pPr>
      <w:r>
        <w:rPr>
          <w:rFonts w:hint="eastAsia" w:cs="宋体"/>
          <w:color w:val="auto"/>
          <w:szCs w:val="24"/>
          <w:highlight w:val="none"/>
        </w:rPr>
        <w:t xml:space="preserve">根据投标人针对本项目的客服服务方案进行评分，方案内容至少包括①服务目标；②内容和范围；③服务方式；④服务标准。方案内容针对本项目且符合本项目实际需求的，每项得2分，满分8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6、宣传推广服务（8分）</w:t>
      </w:r>
      <w:r/>
    </w:p>
    <w:p>
      <w:pPr>
        <w:ind w:firstLine="480"/>
        <w:spacing w:line="360" w:lineRule="auto"/>
        <w:rPr>
          <w:color w:val="auto"/>
          <w:highlight w:val="none"/>
        </w:rPr>
      </w:pPr>
      <w:r>
        <w:rPr>
          <w:rFonts w:hint="eastAsia" w:cs="宋体"/>
          <w:color w:val="auto"/>
          <w:szCs w:val="24"/>
          <w:highlight w:val="none"/>
        </w:rPr>
        <w:t xml:space="preserve">根据投标人针对本项目的宣传推广服务方案进行评分，方案内容至少包括①对项目推广特点及目标的理解；②项目现状分析；③项目的平台推广计划；④实施方案。方案内容针对本项目且符合本项目实际需求的，每项得2分，满分8分；每缺少一项内容，或内容错误，或内容非专门针对本项目，或内容不能满足本项目实际需求的，该项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7、学生成长空间二期定制化升级服务（</w:t>
      </w:r>
      <w:r>
        <w:rPr>
          <w:rFonts w:ascii="黑体" w:hAnsi="黑体" w:eastAsia="黑体" w:cs="黑体"/>
          <w:b/>
          <w:color w:val="auto"/>
          <w:szCs w:val="24"/>
          <w:highlight w:val="none"/>
        </w:rPr>
        <w:t xml:space="preserve">12</w:t>
      </w:r>
      <w:r>
        <w:rPr>
          <w:rFonts w:hint="eastAsia" w:ascii="黑体" w:hAnsi="黑体" w:eastAsia="黑体" w:cs="黑体"/>
          <w:b/>
          <w:color w:val="auto"/>
          <w:szCs w:val="24"/>
          <w:highlight w:val="none"/>
        </w:rPr>
        <w:t xml:space="preserve">分）</w:t>
      </w:r>
      <w:r/>
    </w:p>
    <w:p>
      <w:pPr>
        <w:ind w:firstLine="480"/>
        <w:spacing w:line="360" w:lineRule="auto"/>
        <w:rPr>
          <w:color w:val="auto"/>
          <w:highlight w:val="none"/>
        </w:rPr>
      </w:pPr>
      <w:r>
        <w:rPr>
          <w:rFonts w:hint="eastAsia" w:cs="宋体"/>
          <w:color w:val="auto"/>
          <w:szCs w:val="24"/>
          <w:highlight w:val="none"/>
        </w:rPr>
        <w:t xml:space="preserve">根据投标人针对本项目的学生成长空间二期定制化升级服务方案进行评分，方案内容至少包括①下载毕业生登记表；②电子学籍卡；③幼儿园托班学段适配；④中高职学段适配支撑；⑤历史素质报告单数据规整清洗；⑥学生素质报告单。方案内容针对本项目且符合本项目实际需求的，每项得</w:t>
      </w:r>
      <w:r>
        <w:rPr>
          <w:rFonts w:cs="宋体"/>
          <w:color w:val="auto"/>
          <w:szCs w:val="24"/>
          <w:highlight w:val="none"/>
        </w:rPr>
        <w:t xml:space="preserve">2</w:t>
      </w:r>
      <w:r>
        <w:rPr>
          <w:rFonts w:hint="eastAsia" w:cs="宋体"/>
          <w:color w:val="auto"/>
          <w:szCs w:val="24"/>
          <w:highlight w:val="none"/>
        </w:rPr>
        <w:t xml:space="preserve">分，满分</w:t>
      </w:r>
      <w:r>
        <w:rPr>
          <w:rFonts w:cs="宋体"/>
          <w:color w:val="auto"/>
          <w:szCs w:val="24"/>
          <w:highlight w:val="none"/>
        </w:rPr>
        <w:t xml:space="preserve">12</w:t>
      </w:r>
      <w:r>
        <w:rPr>
          <w:rFonts w:hint="eastAsia" w:cs="宋体"/>
          <w:color w:val="auto"/>
          <w:szCs w:val="24"/>
          <w:highlight w:val="none"/>
        </w:rPr>
        <w:t xml:space="preserve">分；每缺少一项内容，或内容错误，或内容非专门针对本项目，或内容不能满足本项目实际需求的，该项不得分。</w:t>
      </w:r>
      <w:r/>
    </w:p>
    <w:p>
      <w:pPr>
        <w:spacing w:line="360" w:lineRule="auto"/>
        <w:rPr>
          <w:color w:val="auto"/>
          <w:highlight w:val="none"/>
        </w:rPr>
      </w:pPr>
      <w:r>
        <w:rPr>
          <w:rFonts w:hint="eastAsia" w:ascii="黑体" w:hAnsi="黑体" w:eastAsia="黑体" w:cs="黑体"/>
          <w:b/>
          <w:color w:val="auto"/>
          <w:szCs w:val="28"/>
          <w:highlight w:val="none"/>
        </w:rPr>
        <w:t xml:space="preserve">（三）人员资质（9分）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（1）项目经理（5分）</w:t>
      </w:r>
      <w:r/>
    </w:p>
    <w:p>
      <w:pPr>
        <w:ind w:firstLine="480"/>
        <w:spacing w:line="360" w:lineRule="auto"/>
        <w:rPr>
          <w:rFonts w:hint="eastAsia" w:cs="宋体"/>
          <w:color w:val="auto"/>
          <w:szCs w:val="24"/>
          <w:highlight w:val="none"/>
        </w:rPr>
      </w:pPr>
      <w:r>
        <w:rPr>
          <w:rFonts w:hint="eastAsia" w:cs="宋体"/>
          <w:color w:val="auto"/>
          <w:szCs w:val="24"/>
          <w:highlight w:val="none"/>
        </w:rPr>
        <w:t xml:space="preserve">具有人力资源和社会保障</w:t>
      </w:r>
      <w:r>
        <w:rPr>
          <w:rFonts w:hint="eastAsia" w:cs="宋体"/>
          <w:color w:val="auto"/>
          <w:szCs w:val="24"/>
          <w:highlight w:val="none"/>
          <w:lang w:val="en-US" w:eastAsia="zh-CN"/>
        </w:rPr>
        <w:t xml:space="preserve">部门</w:t>
      </w:r>
      <w:r>
        <w:rPr>
          <w:rFonts w:hint="eastAsia" w:cs="宋体"/>
          <w:color w:val="auto"/>
          <w:szCs w:val="24"/>
          <w:highlight w:val="none"/>
        </w:rPr>
        <w:t xml:space="preserve">颁发的计算机软件或计算机网络类别中级及以上专业技术资格证书的，得5分；最高得5分。</w:t>
      </w:r>
      <w:r/>
    </w:p>
    <w:p>
      <w:pPr>
        <w:ind w:firstLine="480"/>
        <w:spacing w:line="360" w:lineRule="auto"/>
        <w:rPr>
          <w:color w:val="auto"/>
          <w:highlight w:val="none"/>
        </w:rPr>
      </w:pPr>
      <w:r>
        <w:rPr>
          <w:rFonts w:hint="eastAsia" w:cs="宋体"/>
          <w:color w:val="auto"/>
          <w:szCs w:val="24"/>
          <w:highlight w:val="none"/>
        </w:rPr>
        <w:t xml:space="preserve">注：需要提供证书扫描件，未提供或提供不符合要求的不得分。</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（2）拟投入项目组成员（除项目经理外）（4分）</w:t>
      </w:r>
      <w:r/>
    </w:p>
    <w:p>
      <w:pPr>
        <w:ind w:firstLine="480"/>
        <w:spacing w:line="360" w:lineRule="auto"/>
        <w:rPr>
          <w:rFonts w:hint="eastAsia" w:cs="宋体"/>
          <w:color w:val="auto"/>
          <w:szCs w:val="24"/>
          <w:highlight w:val="none"/>
        </w:rPr>
      </w:pPr>
      <w:r>
        <w:rPr>
          <w:rFonts w:hint="eastAsia" w:cs="宋体"/>
          <w:color w:val="auto"/>
          <w:szCs w:val="24"/>
          <w:highlight w:val="none"/>
        </w:rPr>
        <w:t xml:space="preserve">具有人力资源和社会保障</w:t>
      </w:r>
      <w:r>
        <w:rPr>
          <w:rFonts w:hint="eastAsia" w:cs="宋体"/>
          <w:color w:val="auto"/>
          <w:szCs w:val="24"/>
          <w:highlight w:val="none"/>
          <w:lang w:val="en-US" w:eastAsia="zh-CN"/>
        </w:rPr>
        <w:t xml:space="preserve">部门</w:t>
      </w:r>
      <w:r>
        <w:rPr>
          <w:rFonts w:hint="eastAsia" w:cs="宋体"/>
          <w:color w:val="auto"/>
          <w:szCs w:val="24"/>
          <w:highlight w:val="none"/>
        </w:rPr>
        <w:t xml:space="preserve">颁发的计算机软件或计算机网络类别中级及以上专业技术资格证书的，得4分，最高得4分；</w:t>
      </w:r>
      <w:r/>
    </w:p>
    <w:p>
      <w:pPr>
        <w:ind w:firstLine="480"/>
        <w:spacing w:line="360" w:lineRule="auto"/>
        <w:rPr>
          <w:color w:val="auto"/>
          <w:highlight w:val="none"/>
        </w:rPr>
      </w:pPr>
      <w:r>
        <w:rPr>
          <w:rFonts w:hint="eastAsia" w:cs="宋体"/>
          <w:color w:val="auto"/>
          <w:szCs w:val="24"/>
          <w:highlight w:val="none"/>
        </w:rPr>
        <w:t xml:space="preserve">注：投标文件中须提供项目团队人员的相关证书扫描件并加盖公章，不提供不得分（以上所有团队人员同一人不重复得分）。</w:t>
      </w:r>
      <w:bookmarkStart w:id="4" w:name="_GoBack"/>
      <w:r/>
      <w:bookmarkEnd w:id="4"/>
      <w:r/>
      <w:r/>
    </w:p>
    <w:p>
      <w:pPr>
        <w:spacing w:line="360" w:lineRule="auto"/>
        <w:rPr>
          <w:color w:val="auto"/>
          <w:highlight w:val="none"/>
        </w:rPr>
      </w:pPr>
      <w:r>
        <w:rPr>
          <w:rFonts w:hint="eastAsia" w:ascii="黑体" w:hAnsi="黑体" w:eastAsia="黑体" w:cs="黑体"/>
          <w:b/>
          <w:color w:val="auto"/>
          <w:szCs w:val="28"/>
          <w:highlight w:val="none"/>
        </w:rPr>
        <w:t xml:space="preserve">（四）类似业绩（</w:t>
      </w:r>
      <w:r>
        <w:rPr>
          <w:rFonts w:ascii="黑体" w:hAnsi="黑体" w:eastAsia="黑体" w:cs="黑体"/>
          <w:b/>
          <w:color w:val="auto"/>
          <w:szCs w:val="28"/>
          <w:highlight w:val="none"/>
        </w:rPr>
        <w:t xml:space="preserve">9</w:t>
      </w:r>
      <w:r>
        <w:rPr>
          <w:rFonts w:hint="eastAsia" w:ascii="黑体" w:hAnsi="黑体" w:eastAsia="黑体" w:cs="黑体"/>
          <w:b/>
          <w:color w:val="auto"/>
          <w:szCs w:val="28"/>
          <w:highlight w:val="none"/>
        </w:rPr>
        <w:t xml:space="preserve">分）</w:t>
      </w:r>
      <w:r/>
    </w:p>
    <w:p>
      <w:pPr>
        <w:ind w:firstLine="480"/>
        <w:spacing w:line="360" w:lineRule="auto"/>
        <w:rPr>
          <w:color w:val="auto"/>
          <w:highlight w:val="none"/>
        </w:rPr>
      </w:pPr>
      <w:r>
        <w:rPr>
          <w:rFonts w:hint="eastAsia" w:cs="宋体"/>
          <w:color w:val="auto"/>
          <w:szCs w:val="24"/>
          <w:highlight w:val="none"/>
        </w:rPr>
        <w:t xml:space="preserve">投标单位自2023年1月1日（以合同签订时间为准）以来提供类似项目业绩的，每份业绩合同得</w:t>
      </w:r>
      <w:r>
        <w:rPr>
          <w:rFonts w:cs="宋体"/>
          <w:color w:val="auto"/>
          <w:szCs w:val="24"/>
          <w:highlight w:val="none"/>
        </w:rPr>
        <w:t xml:space="preserve">3</w:t>
      </w:r>
      <w:r>
        <w:rPr>
          <w:rFonts w:hint="eastAsia" w:cs="宋体"/>
          <w:color w:val="auto"/>
          <w:szCs w:val="24"/>
          <w:highlight w:val="none"/>
        </w:rPr>
        <w:t xml:space="preserve">分，满分</w:t>
      </w:r>
      <w:r>
        <w:rPr>
          <w:rFonts w:cs="宋体"/>
          <w:color w:val="auto"/>
          <w:szCs w:val="24"/>
          <w:highlight w:val="none"/>
        </w:rPr>
        <w:t xml:space="preserve">9</w:t>
      </w:r>
      <w:r>
        <w:rPr>
          <w:rFonts w:hint="eastAsia" w:cs="宋体"/>
          <w:color w:val="auto"/>
          <w:szCs w:val="24"/>
          <w:highlight w:val="none"/>
        </w:rPr>
        <w:t xml:space="preserve">分。提供合同扫描件并加盖投标人公章，否则不得分。</w:t>
      </w:r>
      <w:r/>
    </w:p>
    <w:p>
      <w:pPr>
        <w:ind w:firstLine="480"/>
        <w:spacing w:line="360" w:lineRule="auto"/>
        <w:rPr>
          <w:color w:val="auto"/>
          <w:highlight w:val="none"/>
        </w:rPr>
      </w:pPr>
      <w:r>
        <w:rPr>
          <w:rFonts w:hint="eastAsia" w:cs="宋体"/>
          <w:color w:val="auto"/>
          <w:highlight w:val="none"/>
        </w:rPr>
        <w:t xml:space="preserve">注：1、报价超过采购预算金额的为无效投标。</w:t>
      </w:r>
      <w:r/>
    </w:p>
    <w:p>
      <w:pPr>
        <w:ind w:firstLine="480"/>
        <w:spacing w:line="360" w:lineRule="auto"/>
        <w:rPr>
          <w:color w:val="auto"/>
          <w:highlight w:val="none"/>
        </w:rPr>
      </w:pPr>
      <w:r>
        <w:rPr>
          <w:rFonts w:hint="eastAsia" w:cs="宋体"/>
          <w:color w:val="auto"/>
          <w:szCs w:val="24"/>
          <w:highlight w:val="none"/>
        </w:rPr>
        <w:t xml:space="preserve">2、对应评审项，上传相应证明材料，若要求提供原件的需上传原件扫描件；</w:t>
      </w:r>
      <w:r/>
    </w:p>
    <w:p>
      <w:pPr>
        <w:ind w:firstLine="480"/>
        <w:spacing w:line="360" w:lineRule="auto"/>
        <w:rPr>
          <w:color w:val="auto"/>
          <w:highlight w:val="none"/>
        </w:rPr>
      </w:pPr>
      <w:r>
        <w:rPr>
          <w:rFonts w:hint="eastAsia" w:cs="宋体"/>
          <w:color w:val="auto"/>
          <w:szCs w:val="24"/>
          <w:highlight w:val="none"/>
        </w:rPr>
        <w:t xml:space="preserve">3、投标人所提供的证书或材料扫描件需加盖投标单位电子公章，否则不得分。</w:t>
      </w:r>
      <w:r/>
    </w:p>
    <w:p>
      <w:pPr>
        <w:ind w:firstLine="480"/>
        <w:spacing w:line="360" w:lineRule="auto"/>
        <w:rPr>
          <w:color w:val="auto"/>
          <w:highlight w:val="none"/>
        </w:rPr>
      </w:pPr>
      <w:r>
        <w:rPr>
          <w:rFonts w:hint="eastAsia" w:cs="宋体"/>
          <w:color w:val="auto"/>
          <w:szCs w:val="24"/>
          <w:highlight w:val="none"/>
        </w:rPr>
        <w:t xml:space="preserve">4、针对评分标准中评分的每一条，投标供应商均须在投标文件中提供相关资料的扫描件加盖公章并作出相应说明供评委评判，不提供相关资料的视为不具备该项得分的条件。</w:t>
      </w:r>
      <w:r/>
    </w:p>
    <w:p>
      <w:pPr>
        <w:ind w:firstLine="480"/>
        <w:spacing w:line="360" w:lineRule="auto"/>
        <w:rPr>
          <w:color w:val="auto"/>
          <w:highlight w:val="none"/>
        </w:rPr>
      </w:pPr>
      <w:r>
        <w:rPr>
          <w:rFonts w:hint="eastAsia" w:cs="宋体"/>
          <w:color w:val="auto"/>
          <w:szCs w:val="24"/>
          <w:highlight w:val="none"/>
        </w:rPr>
        <w:t xml:space="preserve">5、所有扫描件字迹须扫描清晰可见，字迹不清晰或扫描不全，视为未提供。</w:t>
      </w:r>
      <w:bookmarkEnd w:id="3"/>
      <w:r/>
      <w:r/>
    </w:p>
    <w:p>
      <w:pPr>
        <w:pStyle w:val="701"/>
        <w:pageBreakBefore/>
        <w:spacing w:line="480" w:lineRule="auto"/>
        <w:rPr>
          <w:rFonts w:ascii="仿宋" w:hAnsi="仿宋" w:eastAsia="仿宋" w:cs="仿宋"/>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第六部分 合同格式</w:t>
      </w:r>
      <w:r/>
    </w:p>
    <w:p>
      <w:pPr>
        <w:jc w:val="center"/>
        <w:spacing w:line="360" w:lineRule="auto"/>
        <w:rPr>
          <w:rFonts w:eastAsia="黑体"/>
          <w:color w:val="auto"/>
          <w:szCs w:val="24"/>
          <w:highlight w:val="none"/>
        </w:rPr>
      </w:pPr>
      <w:r>
        <w:rPr>
          <w:rFonts w:eastAsia="黑体"/>
          <w:color w:val="auto"/>
          <w:szCs w:val="24"/>
          <w:highlight w:val="none"/>
        </w:rPr>
      </w:r>
      <w:r/>
    </w:p>
    <w:p>
      <w:pPr>
        <w:rPr>
          <w:color w:val="auto"/>
          <w:highlight w:val="none"/>
        </w:rPr>
      </w:pPr>
      <w:r>
        <w:rPr>
          <w:color w:val="auto"/>
          <w:highlight w:val="none"/>
        </w:rPr>
      </w:r>
      <w:r/>
    </w:p>
    <w:p>
      <w:pPr>
        <w:spacing w:line="360" w:lineRule="auto"/>
        <w:rPr>
          <w:color w:val="auto"/>
          <w:highlight w:val="none"/>
        </w:rPr>
      </w:pPr>
      <w:r>
        <w:rPr>
          <w:rFonts w:hint="eastAsia"/>
          <w:color w:val="auto"/>
          <w:szCs w:val="24"/>
          <w:highlight w:val="none"/>
        </w:rPr>
        <w:t xml:space="preserve">招标单位：</w:t>
      </w:r>
      <w:r>
        <w:rPr>
          <w:rFonts w:hint="eastAsia"/>
          <w:color w:val="auto"/>
          <w:szCs w:val="24"/>
          <w:highlight w:val="none"/>
          <w:u w:val="single"/>
        </w:rPr>
        <w:t xml:space="preserve">                        </w:t>
      </w:r>
      <w:r/>
    </w:p>
    <w:p>
      <w:pPr>
        <w:spacing w:line="360" w:lineRule="auto"/>
        <w:rPr>
          <w:color w:val="auto"/>
          <w:highlight w:val="none"/>
        </w:rPr>
      </w:pPr>
      <w:r>
        <w:rPr>
          <w:rFonts w:hint="eastAsia"/>
          <w:color w:val="auto"/>
          <w:szCs w:val="24"/>
          <w:highlight w:val="none"/>
        </w:rPr>
        <w:t xml:space="preserve">中标单位：</w:t>
      </w:r>
      <w:r>
        <w:rPr>
          <w:rFonts w:hint="eastAsia"/>
          <w:color w:val="auto"/>
          <w:szCs w:val="24"/>
          <w:highlight w:val="none"/>
          <w:u w:val="single"/>
        </w:rPr>
        <w:t xml:space="preserve">                        </w:t>
      </w:r>
      <w:r/>
    </w:p>
    <w:p>
      <w:pPr>
        <w:spacing w:line="360" w:lineRule="auto"/>
        <w:rPr>
          <w:color w:val="auto"/>
          <w:highlight w:val="none"/>
        </w:rPr>
      </w:pPr>
      <w:r>
        <w:rPr>
          <w:rFonts w:hint="eastAsia"/>
          <w:color w:val="auto"/>
          <w:szCs w:val="24"/>
          <w:highlight w:val="none"/>
        </w:rPr>
        <w:t xml:space="preserve">签订日期：</w:t>
      </w:r>
      <w:r/>
    </w:p>
    <w:p>
      <w:pPr>
        <w:spacing w:line="360" w:lineRule="auto"/>
        <w:rPr>
          <w:color w:val="auto"/>
          <w:highlight w:val="none"/>
        </w:rPr>
      </w:pPr>
      <w:r>
        <w:rPr>
          <w:rFonts w:hint="eastAsia" w:cs="宋体"/>
          <w:color w:val="auto"/>
          <w:szCs w:val="24"/>
          <w:highlight w:val="none"/>
        </w:rPr>
        <w:t xml:space="preserve">采购单位</w:t>
      </w:r>
      <w:r>
        <w:rPr>
          <w:rFonts w:hint="eastAsia" w:cs="宋体"/>
          <w:color w:val="auto"/>
          <w:szCs w:val="24"/>
          <w:highlight w:val="none"/>
          <w:lang w:bidi="ar"/>
        </w:rPr>
        <w:t xml:space="preserve">：</w:t>
      </w:r>
      <w:r>
        <w:rPr>
          <w:rFonts w:hint="eastAsia" w:cs="宋体"/>
          <w:color w:val="auto"/>
          <w:szCs w:val="24"/>
          <w:highlight w:val="none"/>
          <w:u w:val="single"/>
          <w:lang w:bidi="ar"/>
        </w:rPr>
        <w:t xml:space="preserve">                               </w:t>
      </w:r>
      <w:r>
        <w:rPr>
          <w:rFonts w:hint="eastAsia" w:cs="宋体"/>
          <w:color w:val="auto"/>
          <w:szCs w:val="24"/>
          <w:highlight w:val="none"/>
          <w:lang w:bidi="ar"/>
        </w:rPr>
        <w:t xml:space="preserve">        中标单位</w:t>
      </w:r>
      <w:r>
        <w:rPr>
          <w:rFonts w:hint="eastAsia" w:cs="宋体"/>
          <w:color w:val="auto"/>
          <w:szCs w:val="24"/>
          <w:highlight w:val="none"/>
        </w:rPr>
        <w:t xml:space="preserve">：</w:t>
      </w:r>
      <w:r/>
    </w:p>
    <w:p>
      <w:pPr>
        <w:spacing w:line="360" w:lineRule="auto"/>
        <w:rPr>
          <w:color w:val="auto"/>
          <w:highlight w:val="none"/>
        </w:rPr>
      </w:pPr>
      <w:r>
        <w:rPr>
          <w:rFonts w:hint="eastAsia" w:cs="宋体"/>
          <w:color w:val="auto"/>
          <w:szCs w:val="24"/>
          <w:highlight w:val="none"/>
        </w:rPr>
        <w:t xml:space="preserve">（以下称甲方）                     </w:t>
      </w:r>
      <w:r>
        <w:rPr>
          <w:rFonts w:hint="eastAsia" w:cs="宋体"/>
          <w:color w:val="auto"/>
          <w:szCs w:val="24"/>
          <w:highlight w:val="none"/>
        </w:rPr>
        <w:tab/>
      </w:r>
      <w:r>
        <w:rPr>
          <w:rFonts w:hint="eastAsia" w:cs="宋体"/>
          <w:color w:val="auto"/>
          <w:szCs w:val="24"/>
          <w:highlight w:val="none"/>
        </w:rPr>
        <w:t xml:space="preserve">            （以下称乙方）</w:t>
      </w:r>
      <w:r/>
    </w:p>
    <w:p>
      <w:pPr>
        <w:spacing w:line="360" w:lineRule="auto"/>
        <w:rPr>
          <w:color w:val="auto"/>
          <w:highlight w:val="none"/>
        </w:rPr>
      </w:pPr>
      <w:r>
        <w:rPr>
          <w:rFonts w:hint="eastAsia" w:cs="宋体"/>
          <w:color w:val="auto"/>
          <w:szCs w:val="24"/>
          <w:highlight w:val="none"/>
        </w:rPr>
        <w:t xml:space="preserve">地址： </w:t>
      </w:r>
      <w:r>
        <w:rPr>
          <w:rFonts w:hint="eastAsia" w:cs="宋体"/>
          <w:color w:val="auto"/>
          <w:szCs w:val="24"/>
          <w:highlight w:val="none"/>
          <w:u w:val="single"/>
          <w:lang w:bidi="ar"/>
        </w:rPr>
        <w:t xml:space="preserve">                        </w:t>
      </w:r>
      <w:r>
        <w:rPr>
          <w:rFonts w:hint="eastAsia" w:cs="宋体"/>
          <w:color w:val="auto"/>
          <w:szCs w:val="24"/>
          <w:highlight w:val="none"/>
        </w:rPr>
        <w:t xml:space="preserve">                  地址：   </w:t>
      </w:r>
      <w:r/>
    </w:p>
    <w:p>
      <w:pPr>
        <w:spacing w:line="360" w:lineRule="auto"/>
        <w:rPr>
          <w:color w:val="auto"/>
          <w:highlight w:val="none"/>
        </w:rPr>
      </w:pPr>
      <w:r>
        <w:rPr>
          <w:rFonts w:hint="eastAsia" w:cs="宋体"/>
          <w:color w:val="auto"/>
          <w:szCs w:val="24"/>
          <w:highlight w:val="none"/>
        </w:rPr>
        <w:t xml:space="preserve">电话： </w:t>
      </w:r>
      <w:r>
        <w:rPr>
          <w:rFonts w:hint="eastAsia" w:cs="宋体"/>
          <w:color w:val="auto"/>
          <w:szCs w:val="24"/>
          <w:highlight w:val="none"/>
          <w:u w:val="single"/>
          <w:lang w:bidi="ar"/>
        </w:rPr>
        <w:t xml:space="preserve">                   </w:t>
      </w:r>
      <w:r>
        <w:rPr>
          <w:rFonts w:hint="eastAsia" w:cs="宋体"/>
          <w:color w:val="auto"/>
          <w:szCs w:val="24"/>
          <w:highlight w:val="none"/>
        </w:rPr>
        <w:t xml:space="preserve">                       电话：</w:t>
      </w:r>
      <w:r>
        <w:rPr>
          <w:rFonts w:hint="eastAsia" w:cs="宋体"/>
          <w:color w:val="auto"/>
          <w:szCs w:val="24"/>
          <w:highlight w:val="none"/>
        </w:rPr>
        <w:tab/>
      </w:r>
      <w:r/>
    </w:p>
    <w:p>
      <w:pPr>
        <w:spacing w:line="360" w:lineRule="auto"/>
        <w:rPr>
          <w:color w:val="auto"/>
          <w:highlight w:val="none"/>
        </w:rPr>
      </w:pPr>
      <w:r>
        <w:rPr>
          <w:rFonts w:hint="eastAsia" w:cs="宋体"/>
          <w:color w:val="auto"/>
          <w:szCs w:val="24"/>
          <w:highlight w:val="none"/>
        </w:rPr>
        <w:t xml:space="preserve">根据《中华人民共和国政府采购法》《中华人民共和国民法典》等法律法规的规定，甲、乙双方按照</w:t>
      </w:r>
      <w:r>
        <w:rPr>
          <w:rFonts w:hint="eastAsia" w:cs="宋体"/>
          <w:color w:val="auto"/>
          <w:szCs w:val="24"/>
          <w:highlight w:val="none"/>
          <w:u w:val="single"/>
        </w:rPr>
        <w:t xml:space="preserve">                              </w:t>
      </w:r>
      <w:r>
        <w:rPr>
          <w:rFonts w:hint="eastAsia" w:cs="宋体"/>
          <w:color w:val="auto"/>
          <w:szCs w:val="24"/>
          <w:highlight w:val="none"/>
        </w:rPr>
        <w:t xml:space="preserve">组织的</w:t>
      </w:r>
      <w:r>
        <w:rPr>
          <w:rFonts w:hint="eastAsia"/>
          <w:color w:val="auto"/>
          <w:szCs w:val="24"/>
          <w:highlight w:val="none"/>
          <w:u w:val="single"/>
        </w:rPr>
        <w:t xml:space="preserve">                        </w:t>
      </w:r>
      <w:r>
        <w:rPr>
          <w:rFonts w:hint="eastAsia" w:cs="宋体"/>
          <w:color w:val="auto"/>
          <w:szCs w:val="24"/>
          <w:highlight w:val="none"/>
        </w:rPr>
        <w:t xml:space="preserve">项目（</w:t>
      </w:r>
      <w:r>
        <w:rPr>
          <w:rFonts w:hint="eastAsia" w:cs="宋体"/>
          <w:b/>
          <w:bCs/>
          <w:color w:val="auto"/>
          <w:szCs w:val="24"/>
          <w:highlight w:val="none"/>
        </w:rPr>
        <w:t xml:space="preserve">采购编号</w:t>
      </w:r>
      <w:r>
        <w:rPr>
          <w:rFonts w:hint="eastAsia" w:cs="宋体"/>
          <w:color w:val="auto"/>
          <w:szCs w:val="24"/>
          <w:highlight w:val="none"/>
          <w:u w:val="single"/>
        </w:rPr>
        <w:t xml:space="preserve">                </w:t>
      </w:r>
      <w:r>
        <w:rPr>
          <w:rFonts w:hint="eastAsia" w:cs="宋体"/>
          <w:color w:val="auto"/>
          <w:szCs w:val="24"/>
          <w:highlight w:val="none"/>
        </w:rPr>
        <w:t xml:space="preserve">）的采购结果，签订本合同。</w:t>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第一条 服务范围</w:t>
      </w:r>
      <w:r/>
    </w:p>
    <w:p>
      <w:pPr>
        <w:ind w:firstLine="480"/>
        <w:spacing w:line="360" w:lineRule="auto"/>
        <w:rPr>
          <w:color w:val="auto"/>
          <w:highlight w:val="none"/>
        </w:rPr>
      </w:pPr>
      <w:r>
        <w:rPr>
          <w:rFonts w:hint="eastAsia" w:cs="宋体"/>
          <w:color w:val="auto"/>
          <w:szCs w:val="24"/>
          <w:highlight w:val="none"/>
        </w:rPr>
        <w:t xml:space="preserve">甲方聘请乙方提供以下服务：</w:t>
      </w:r>
      <w:r/>
    </w:p>
    <w:p>
      <w:pPr>
        <w:ind w:firstLine="480"/>
        <w:spacing w:line="360" w:lineRule="auto"/>
        <w:rPr>
          <w:color w:val="auto"/>
          <w:highlight w:val="none"/>
        </w:rPr>
      </w:pPr>
      <w:r>
        <w:rPr>
          <w:rFonts w:hint="eastAsia" w:cs="宋体"/>
          <w:color w:val="auto"/>
          <w:szCs w:val="24"/>
          <w:highlight w:val="none"/>
        </w:rPr>
        <w:t xml:space="preserve">苏州线上教育中心为市、区两级架构，秉承“市级建设、区级应用、各展所长、共建共享”原则，由市教育局统一进行平台的开发与建设，各区级板块进行分布式独立部署，并自成体系独立运行。</w:t>
      </w:r>
      <w:r/>
    </w:p>
    <w:p>
      <w:pPr>
        <w:ind w:firstLine="480"/>
        <w:spacing w:line="360" w:lineRule="auto"/>
        <w:rPr>
          <w:color w:val="auto"/>
          <w:highlight w:val="none"/>
        </w:rPr>
      </w:pPr>
      <w:r>
        <w:rPr>
          <w:rFonts w:hint="eastAsia" w:cs="宋体"/>
          <w:color w:val="auto"/>
          <w:szCs w:val="24"/>
          <w:highlight w:val="none"/>
        </w:rPr>
        <w:t xml:space="preserve">为保障通过苏州线上教育太仓分中心平台所开展的名师资源共享、名师在线直播、名师在线答疑等活动的顺利进行，同时达到创新教学环境，提高学生学习效率，完善学生成长空间，提高教育公平度，降低获取教育成本的目的，2026年苏州线上教育太仓分中心综合服务主要内容如下：</w:t>
      </w:r>
      <w:r/>
    </w:p>
    <w:p>
      <w:pPr>
        <w:ind w:firstLine="480"/>
        <w:spacing w:line="360" w:lineRule="auto"/>
        <w:rPr>
          <w:color w:val="auto"/>
          <w:highlight w:val="none"/>
        </w:rPr>
      </w:pPr>
      <w:r>
        <w:rPr>
          <w:rFonts w:hint="eastAsia" w:cs="宋体"/>
          <w:color w:val="auto"/>
          <w:szCs w:val="24"/>
          <w:highlight w:val="none"/>
        </w:rPr>
        <w:t xml:space="preserve">1、区域直播推流服务，提供本市教育系统直播服务；</w:t>
      </w:r>
      <w:r/>
    </w:p>
    <w:p>
      <w:pPr>
        <w:ind w:firstLine="480"/>
        <w:spacing w:line="360" w:lineRule="auto"/>
        <w:rPr>
          <w:color w:val="auto"/>
          <w:highlight w:val="none"/>
        </w:rPr>
      </w:pPr>
      <w:r>
        <w:rPr>
          <w:rFonts w:hint="eastAsia" w:cs="宋体"/>
          <w:color w:val="auto"/>
          <w:szCs w:val="24"/>
          <w:highlight w:val="none"/>
        </w:rPr>
        <w:t xml:space="preserve">2、跟随市级线上教育中心平台的平滑升级；</w:t>
      </w:r>
      <w:r/>
    </w:p>
    <w:p>
      <w:pPr>
        <w:ind w:firstLine="480"/>
        <w:spacing w:line="360" w:lineRule="auto"/>
        <w:rPr>
          <w:color w:val="auto"/>
          <w:highlight w:val="none"/>
        </w:rPr>
      </w:pPr>
      <w:r>
        <w:rPr>
          <w:rFonts w:hint="eastAsia" w:cs="宋体"/>
          <w:color w:val="auto"/>
          <w:szCs w:val="24"/>
          <w:highlight w:val="none"/>
        </w:rPr>
        <w:t xml:space="preserve">3、AI课堂评价服务；</w:t>
      </w:r>
      <w:r/>
    </w:p>
    <w:p>
      <w:pPr>
        <w:ind w:firstLine="480"/>
        <w:spacing w:line="360" w:lineRule="auto"/>
        <w:rPr>
          <w:color w:val="auto"/>
          <w:highlight w:val="none"/>
        </w:rPr>
      </w:pPr>
      <w:r>
        <w:rPr>
          <w:rFonts w:hint="eastAsia" w:cs="宋体"/>
          <w:color w:val="auto"/>
          <w:szCs w:val="24"/>
          <w:highlight w:val="none"/>
        </w:rPr>
        <w:t xml:space="preserve">4、技术运维服务；</w:t>
      </w:r>
      <w:r/>
    </w:p>
    <w:p>
      <w:pPr>
        <w:ind w:firstLine="480"/>
        <w:spacing w:line="360" w:lineRule="auto"/>
        <w:rPr>
          <w:color w:val="auto"/>
          <w:highlight w:val="none"/>
        </w:rPr>
      </w:pPr>
      <w:r>
        <w:rPr>
          <w:rFonts w:hint="eastAsia" w:cs="宋体"/>
          <w:color w:val="auto"/>
          <w:szCs w:val="24"/>
          <w:highlight w:val="none"/>
        </w:rPr>
        <w:t xml:space="preserve">5、客服服务；</w:t>
      </w:r>
      <w:r/>
    </w:p>
    <w:p>
      <w:pPr>
        <w:ind w:firstLine="480"/>
        <w:spacing w:line="360" w:lineRule="auto"/>
        <w:rPr>
          <w:color w:val="auto"/>
          <w:highlight w:val="none"/>
        </w:rPr>
      </w:pPr>
      <w:r>
        <w:rPr>
          <w:rFonts w:hint="eastAsia" w:cs="宋体"/>
          <w:color w:val="auto"/>
          <w:szCs w:val="24"/>
          <w:highlight w:val="none"/>
        </w:rPr>
        <w:t xml:space="preserve">6、宣传推广服务；</w:t>
      </w:r>
      <w:r/>
    </w:p>
    <w:p>
      <w:pPr>
        <w:ind w:firstLine="480"/>
        <w:spacing w:line="360" w:lineRule="auto"/>
        <w:rPr>
          <w:color w:val="auto"/>
          <w:highlight w:val="none"/>
        </w:rPr>
      </w:pPr>
      <w:r>
        <w:rPr>
          <w:rFonts w:hint="eastAsia" w:cs="宋体"/>
          <w:color w:val="auto"/>
          <w:szCs w:val="24"/>
          <w:highlight w:val="none"/>
        </w:rPr>
        <w:t xml:space="preserve">7、学生成长空间二期定制化升级服务；</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第二条 组成本合同的有关文件</w:t>
      </w:r>
      <w:r/>
    </w:p>
    <w:p>
      <w:pPr>
        <w:ind w:firstLine="480"/>
        <w:spacing w:line="360" w:lineRule="auto"/>
        <w:rPr>
          <w:color w:val="auto"/>
          <w:highlight w:val="none"/>
        </w:rPr>
      </w:pPr>
      <w:r>
        <w:rPr>
          <w:rFonts w:hint="eastAsia" w:cs="宋体"/>
          <w:color w:val="auto"/>
          <w:szCs w:val="24"/>
          <w:highlight w:val="none"/>
        </w:rPr>
        <w:t xml:space="preserve">下列与本次采购活动有关的文件及有关附件是本合同不可分割的组成部分，与本合同具有同等法律效力，这些文件包括但不限于：</w:t>
      </w:r>
      <w:r/>
    </w:p>
    <w:p>
      <w:pPr>
        <w:ind w:firstLine="480"/>
        <w:spacing w:line="360" w:lineRule="auto"/>
        <w:rPr>
          <w:color w:val="auto"/>
          <w:highlight w:val="none"/>
        </w:rPr>
      </w:pPr>
      <w:r>
        <w:rPr>
          <w:rFonts w:hint="eastAsia" w:cs="宋体"/>
          <w:color w:val="auto"/>
          <w:szCs w:val="24"/>
          <w:highlight w:val="none"/>
        </w:rPr>
        <w:t xml:space="preserve">招标采购文件（编号：）</w:t>
      </w:r>
      <w:r/>
    </w:p>
    <w:p>
      <w:pPr>
        <w:ind w:firstLine="480"/>
        <w:spacing w:line="360" w:lineRule="auto"/>
        <w:rPr>
          <w:color w:val="auto"/>
          <w:highlight w:val="none"/>
        </w:rPr>
      </w:pPr>
      <w:r>
        <w:rPr>
          <w:rFonts w:hint="eastAsia" w:cs="宋体"/>
          <w:color w:val="auto"/>
          <w:szCs w:val="24"/>
          <w:highlight w:val="none"/>
        </w:rPr>
        <w:t xml:space="preserve">乙方提供的投标文件和投标报价表；</w:t>
      </w:r>
      <w:r/>
    </w:p>
    <w:p>
      <w:pPr>
        <w:ind w:firstLine="480"/>
        <w:spacing w:line="360" w:lineRule="auto"/>
        <w:rPr>
          <w:color w:val="auto"/>
          <w:highlight w:val="none"/>
        </w:rPr>
      </w:pPr>
      <w:r>
        <w:rPr>
          <w:rFonts w:hint="eastAsia" w:cs="宋体"/>
          <w:color w:val="auto"/>
          <w:szCs w:val="24"/>
          <w:highlight w:val="none"/>
        </w:rPr>
        <w:t xml:space="preserve">乙方在投标过程中所作的其他承诺、声明、书面澄清等；</w:t>
      </w:r>
      <w:r/>
    </w:p>
    <w:p>
      <w:pPr>
        <w:ind w:firstLine="480"/>
        <w:spacing w:line="360" w:lineRule="auto"/>
        <w:rPr>
          <w:color w:val="auto"/>
          <w:highlight w:val="none"/>
        </w:rPr>
      </w:pPr>
      <w:r>
        <w:rPr>
          <w:rFonts w:hint="eastAsia" w:cs="宋体"/>
          <w:color w:val="auto"/>
          <w:szCs w:val="24"/>
          <w:highlight w:val="none"/>
        </w:rPr>
        <w:t xml:space="preserve">中标通知书；</w:t>
      </w:r>
      <w:r/>
    </w:p>
    <w:p>
      <w:pPr>
        <w:ind w:firstLine="480"/>
        <w:spacing w:line="360" w:lineRule="auto"/>
        <w:rPr>
          <w:color w:val="auto"/>
          <w:highlight w:val="none"/>
        </w:rPr>
      </w:pPr>
      <w:r>
        <w:rPr>
          <w:rFonts w:hint="eastAsia" w:cs="宋体"/>
          <w:color w:val="auto"/>
          <w:szCs w:val="24"/>
          <w:highlight w:val="none"/>
        </w:rPr>
        <w:t xml:space="preserve">甲乙双方商定的其他文件等。</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第三条 合同总价款</w:t>
      </w:r>
      <w:r/>
    </w:p>
    <w:p>
      <w:pPr>
        <w:ind w:firstLine="480"/>
        <w:spacing w:line="360" w:lineRule="auto"/>
        <w:rPr>
          <w:color w:val="auto"/>
          <w:highlight w:val="none"/>
        </w:rPr>
      </w:pPr>
      <w:r>
        <w:rPr>
          <w:rFonts w:hint="eastAsia" w:cs="宋体"/>
          <w:color w:val="auto"/>
          <w:szCs w:val="24"/>
          <w:highlight w:val="none"/>
        </w:rPr>
        <w:t xml:space="preserve">1、合同价格按此次成交价格执行，合同总金额为人民币               （大写）人民币，小写：（￥：           ）元整。</w:t>
      </w:r>
      <w:r/>
    </w:p>
    <w:p>
      <w:pPr>
        <w:ind w:firstLine="480"/>
        <w:spacing w:line="360" w:lineRule="auto"/>
        <w:rPr>
          <w:color w:val="auto"/>
          <w:highlight w:val="none"/>
        </w:rPr>
      </w:pPr>
      <w:r>
        <w:rPr>
          <w:rFonts w:hint="eastAsia" w:cs="宋体"/>
          <w:color w:val="auto"/>
          <w:szCs w:val="24"/>
          <w:highlight w:val="none"/>
        </w:rPr>
        <w:t xml:space="preserve">2、合同总价款应包括但不限于人工（包括工资、奖金、社保、正常节假日的加班费等费用）、安装、升级、调试、检测验收、专利技术、培训、技术支持及维保期间等一切费用、通讯、保险、各种税费、利润、税金政策性文件规定及合同包含的所有风险、责任等各项应有费用。</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第四条 合同款支付</w:t>
      </w:r>
      <w:r/>
    </w:p>
    <w:p>
      <w:pPr>
        <w:ind w:firstLine="480"/>
        <w:spacing w:line="360" w:lineRule="auto"/>
        <w:rPr>
          <w:color w:val="auto"/>
          <w:highlight w:val="none"/>
        </w:rPr>
      </w:pPr>
      <w:r>
        <w:rPr>
          <w:rFonts w:hint="eastAsia" w:cs="宋体"/>
          <w:color w:val="auto"/>
          <w:szCs w:val="24"/>
          <w:highlight w:val="none"/>
        </w:rPr>
        <w:t xml:space="preserve">1、本合同项下所有款项均以人民币支付。</w:t>
      </w:r>
      <w:r/>
    </w:p>
    <w:p>
      <w:pPr>
        <w:ind w:firstLine="480"/>
        <w:spacing w:line="360" w:lineRule="auto"/>
        <w:rPr>
          <w:color w:val="auto"/>
          <w:highlight w:val="none"/>
        </w:rPr>
      </w:pPr>
      <w:r>
        <w:rPr>
          <w:rFonts w:hint="eastAsia" w:cs="宋体"/>
          <w:color w:val="auto"/>
          <w:szCs w:val="24"/>
          <w:highlight w:val="none"/>
        </w:rPr>
        <w:t xml:space="preserve">2、本合同项下的采购资金由甲方自行支付，乙方向甲方开具发票。</w:t>
      </w:r>
      <w:r/>
    </w:p>
    <w:p>
      <w:pPr>
        <w:ind w:firstLine="480"/>
        <w:spacing w:line="360" w:lineRule="auto"/>
        <w:rPr>
          <w:color w:val="auto"/>
          <w:highlight w:val="none"/>
        </w:rPr>
      </w:pPr>
      <w:r>
        <w:rPr>
          <w:rFonts w:hint="eastAsia" w:cs="宋体"/>
          <w:color w:val="auto"/>
          <w:szCs w:val="24"/>
          <w:highlight w:val="none"/>
        </w:rPr>
        <w:t xml:space="preserve">3、根据现行税法对乙方征收的与本合同有关的一切税费均由乙方承担。</w:t>
      </w:r>
      <w:r/>
    </w:p>
    <w:p>
      <w:pPr>
        <w:ind w:firstLine="480"/>
        <w:spacing w:line="360" w:lineRule="auto"/>
        <w:rPr>
          <w:color w:val="auto"/>
          <w:highlight w:val="none"/>
        </w:rPr>
      </w:pPr>
      <w:r>
        <w:rPr>
          <w:rFonts w:hint="eastAsia" w:cs="宋体"/>
          <w:color w:val="auto"/>
          <w:szCs w:val="24"/>
          <w:highlight w:val="none"/>
        </w:rPr>
        <w:t xml:space="preserve">4、付款步骤、方式：</w:t>
      </w:r>
      <w:r/>
    </w:p>
    <w:p>
      <w:pPr>
        <w:ind w:firstLine="480"/>
        <w:spacing w:line="360" w:lineRule="auto"/>
        <w:rPr>
          <w:color w:val="auto"/>
          <w:highlight w:val="none"/>
        </w:rPr>
      </w:pPr>
      <w:r>
        <w:rPr>
          <w:rFonts w:hint="eastAsia" w:cs="宋体"/>
          <w:color w:val="auto"/>
          <w:szCs w:val="24"/>
          <w:highlight w:val="none"/>
        </w:rPr>
        <w:t xml:space="preserve">4.1、合同签订后，甲方支付合同款项的45%；服务期满并经甲方验收合格后的七个工作日内支付剩余55%尾款，尾款需按照服务考核条款，根据考核结果按比例进行支付，支付前需提供服务考核报告。</w:t>
      </w:r>
      <w:r/>
    </w:p>
    <w:p>
      <w:pPr>
        <w:ind w:firstLine="480"/>
        <w:spacing w:line="360" w:lineRule="auto"/>
        <w:rPr>
          <w:color w:val="auto"/>
          <w:highlight w:val="none"/>
        </w:rPr>
      </w:pPr>
      <w:r>
        <w:rPr>
          <w:rFonts w:hint="eastAsia" w:cs="宋体"/>
          <w:color w:val="auto"/>
          <w:szCs w:val="24"/>
          <w:highlight w:val="none"/>
        </w:rPr>
        <w:t xml:space="preserve">4.2、付款方式：银行转账</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第五条 甲、乙双方权利义务</w:t>
      </w:r>
      <w:r/>
    </w:p>
    <w:p>
      <w:pPr>
        <w:ind w:firstLine="480"/>
        <w:spacing w:line="360" w:lineRule="auto"/>
        <w:rPr>
          <w:color w:val="auto"/>
          <w:highlight w:val="none"/>
        </w:rPr>
      </w:pPr>
      <w:r>
        <w:rPr>
          <w:rFonts w:hint="eastAsia" w:cs="宋体"/>
          <w:color w:val="auto"/>
          <w:szCs w:val="24"/>
          <w:highlight w:val="none"/>
        </w:rPr>
        <w:t xml:space="preserve">1、甲方应当保证项目服务的完成，给予乙方积极支持，为乙方提供项目实施的必要条件；</w:t>
      </w:r>
      <w:r/>
    </w:p>
    <w:p>
      <w:pPr>
        <w:ind w:firstLine="480"/>
        <w:spacing w:line="360" w:lineRule="auto"/>
        <w:rPr>
          <w:color w:val="auto"/>
          <w:highlight w:val="none"/>
        </w:rPr>
      </w:pPr>
      <w:r>
        <w:rPr>
          <w:rFonts w:hint="eastAsia" w:cs="宋体"/>
          <w:color w:val="auto"/>
          <w:szCs w:val="24"/>
          <w:highlight w:val="none"/>
        </w:rPr>
        <w:t xml:space="preserve">2、甲方应当按照本合同约定按时支付合同金额。</w:t>
      </w:r>
      <w:r/>
    </w:p>
    <w:p>
      <w:pPr>
        <w:ind w:firstLine="480"/>
        <w:spacing w:line="360" w:lineRule="auto"/>
        <w:rPr>
          <w:color w:val="auto"/>
          <w:highlight w:val="none"/>
        </w:rPr>
      </w:pPr>
      <w:r>
        <w:rPr>
          <w:rFonts w:hint="eastAsia" w:cs="宋体"/>
          <w:color w:val="auto"/>
          <w:szCs w:val="24"/>
          <w:highlight w:val="none"/>
        </w:rPr>
        <w:t xml:space="preserve">3、乙方根据国家标准、行业标准和规范要求及标书规定的服务质量标准和有关要求，保质保量地完成服务工作。</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第六条 风险责任</w:t>
      </w:r>
      <w:r/>
    </w:p>
    <w:p>
      <w:pPr>
        <w:ind w:firstLine="480"/>
        <w:spacing w:line="360" w:lineRule="auto"/>
        <w:rPr>
          <w:color w:val="auto"/>
          <w:highlight w:val="none"/>
        </w:rPr>
      </w:pPr>
      <w:r>
        <w:rPr>
          <w:rFonts w:hint="eastAsia" w:cs="宋体"/>
          <w:color w:val="auto"/>
          <w:szCs w:val="24"/>
          <w:highlight w:val="none"/>
        </w:rPr>
        <w:t xml:space="preserve">根据甲乙双方协商确定。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第七条 合同的变更和终止</w:t>
      </w:r>
      <w:r/>
    </w:p>
    <w:p>
      <w:pPr>
        <w:ind w:firstLine="480"/>
        <w:spacing w:line="360" w:lineRule="auto"/>
        <w:rPr>
          <w:color w:val="auto"/>
          <w:highlight w:val="none"/>
        </w:rPr>
      </w:pPr>
      <w:r>
        <w:rPr>
          <w:rFonts w:hint="eastAsia" w:cs="宋体"/>
          <w:color w:val="auto"/>
          <w:szCs w:val="24"/>
          <w:highlight w:val="none"/>
        </w:rPr>
        <w:t xml:space="preserve">1、本合同一经签订，甲乙双方不得擅自变更、中止或终止合同。</w:t>
      </w:r>
      <w:r/>
    </w:p>
    <w:p>
      <w:pPr>
        <w:ind w:firstLine="480"/>
        <w:spacing w:line="360" w:lineRule="auto"/>
        <w:rPr>
          <w:color w:val="auto"/>
          <w:highlight w:val="none"/>
        </w:rPr>
      </w:pPr>
      <w:r>
        <w:rPr>
          <w:rFonts w:hint="eastAsia" w:cs="宋体"/>
          <w:color w:val="auto"/>
          <w:szCs w:val="24"/>
          <w:highlight w:val="none"/>
        </w:rPr>
        <w:t xml:space="preserve">2、除发生法律规定的不能预见、不能避免并不能克服的客观情况外，甲乙双方不得放弃或拒绝履行合同。乙方放弃或拒绝履行合同，保证金不予退还。</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第八条 合同的转让</w:t>
      </w:r>
      <w:r/>
    </w:p>
    <w:p>
      <w:pPr>
        <w:ind w:firstLine="480"/>
        <w:spacing w:line="360" w:lineRule="auto"/>
        <w:rPr>
          <w:color w:val="auto"/>
          <w:highlight w:val="none"/>
        </w:rPr>
      </w:pPr>
      <w:r>
        <w:rPr>
          <w:rFonts w:hint="eastAsia" w:cs="宋体"/>
          <w:color w:val="auto"/>
          <w:szCs w:val="24"/>
          <w:highlight w:val="none"/>
        </w:rPr>
        <w:t xml:space="preserve">1、乙方不得擅自部分或全部转让其应履行的合同义务。</w:t>
      </w:r>
      <w:r/>
    </w:p>
    <w:p>
      <w:pPr>
        <w:ind w:firstLine="480"/>
        <w:spacing w:line="360" w:lineRule="auto"/>
        <w:rPr>
          <w:color w:val="auto"/>
          <w:highlight w:val="none"/>
        </w:rPr>
      </w:pPr>
      <w:r>
        <w:rPr>
          <w:rFonts w:hint="eastAsia" w:cs="宋体"/>
          <w:color w:val="auto"/>
          <w:szCs w:val="24"/>
          <w:highlight w:val="none"/>
        </w:rPr>
        <w:t xml:space="preserve">2、乙方在履行合同过程中，不得将服务项目委托给第三方。</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第九条 不可抗力</w:t>
      </w:r>
      <w:r/>
    </w:p>
    <w:p>
      <w:pPr>
        <w:ind w:firstLine="480"/>
        <w:spacing w:line="360" w:lineRule="auto"/>
        <w:rPr>
          <w:color w:val="auto"/>
          <w:highlight w:val="none"/>
        </w:rPr>
      </w:pPr>
      <w:r>
        <w:rPr>
          <w:rFonts w:hint="eastAsia" w:cs="宋体"/>
          <w:color w:val="auto"/>
          <w:szCs w:val="24"/>
          <w:highlight w:val="none"/>
        </w:rPr>
        <w:t xml:space="preserve">甲、乙方中任何一方，因不可抗力不能按时或完全履行合同的 ，应及时通知对方，并在5个工作日内提供相应证明。未履行完合同部分是否继续履行、如何履行等问题，可由双方初步协商，并向主管部门和采购管理部门报告。确定为不可抗力原因造成的损失，可以部分或全部免除责任。</w:t>
      </w:r>
      <w:r/>
    </w:p>
    <w:p>
      <w:pPr>
        <w:ind w:firstLine="480"/>
        <w:spacing w:line="360" w:lineRule="auto"/>
        <w:rPr>
          <w:color w:val="auto"/>
          <w:highlight w:val="none"/>
        </w:rPr>
      </w:pPr>
      <w:r>
        <w:rPr>
          <w:rFonts w:hint="eastAsia" w:cs="宋体"/>
          <w:color w:val="auto"/>
          <w:szCs w:val="24"/>
          <w:highlight w:val="none"/>
        </w:rPr>
        <w:t xml:space="preserve">因合同一方迟延履行后发生不可抗力的，不能免除责任。</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第十条 争议的解决</w:t>
      </w:r>
      <w:r/>
    </w:p>
    <w:p>
      <w:pPr>
        <w:ind w:firstLine="480"/>
        <w:spacing w:line="360" w:lineRule="auto"/>
        <w:rPr>
          <w:color w:val="auto"/>
          <w:highlight w:val="none"/>
        </w:rPr>
      </w:pPr>
      <w:r>
        <w:rPr>
          <w:rFonts w:hint="eastAsia" w:cs="宋体"/>
          <w:color w:val="auto"/>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360" w:lineRule="auto"/>
        <w:rPr>
          <w:color w:val="auto"/>
          <w:highlight w:val="none"/>
        </w:rPr>
      </w:pPr>
      <w:r>
        <w:rPr>
          <w:rFonts w:hint="eastAsia" w:cs="宋体"/>
          <w:color w:val="auto"/>
          <w:szCs w:val="24"/>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color w:val="auto"/>
          <w:highlight w:val="none"/>
        </w:rPr>
      </w:pPr>
      <w:r>
        <w:rPr>
          <w:rFonts w:hint="eastAsia" w:cs="宋体"/>
          <w:color w:val="auto"/>
          <w:szCs w:val="24"/>
          <w:highlight w:val="none"/>
        </w:rPr>
        <w:t xml:space="preserve">（1）向甲方所在地有管辖权的人民法院提起诉讼；</w:t>
      </w:r>
      <w:r/>
    </w:p>
    <w:p>
      <w:pPr>
        <w:ind w:firstLine="480"/>
        <w:spacing w:line="360" w:lineRule="auto"/>
        <w:rPr>
          <w:color w:val="auto"/>
          <w:highlight w:val="none"/>
        </w:rPr>
      </w:pPr>
      <w:r>
        <w:rPr>
          <w:rFonts w:hint="eastAsia" w:cs="宋体"/>
          <w:color w:val="auto"/>
          <w:szCs w:val="24"/>
          <w:highlight w:val="none"/>
        </w:rPr>
        <w:t xml:space="preserve">（2）向甲方所在地仲裁委员会按其仲裁规则申请仲裁。</w:t>
      </w:r>
      <w:r/>
    </w:p>
    <w:p>
      <w:pPr>
        <w:ind w:firstLine="480"/>
        <w:spacing w:line="360" w:lineRule="auto"/>
        <w:rPr>
          <w:color w:val="auto"/>
          <w:highlight w:val="none"/>
        </w:rPr>
      </w:pPr>
      <w:r>
        <w:rPr>
          <w:rFonts w:hint="eastAsia" w:cs="宋体"/>
          <w:color w:val="auto"/>
          <w:szCs w:val="24"/>
          <w:highlight w:val="none"/>
        </w:rPr>
        <w:t xml:space="preserve">如没有约定，默认采取第2种方式解决争议。</w:t>
      </w:r>
      <w:r/>
    </w:p>
    <w:p>
      <w:pPr>
        <w:ind w:firstLine="480"/>
        <w:spacing w:line="360" w:lineRule="auto"/>
        <w:rPr>
          <w:color w:val="auto"/>
          <w:highlight w:val="none"/>
        </w:rPr>
      </w:pPr>
      <w:r>
        <w:rPr>
          <w:rFonts w:hint="eastAsia" w:cs="宋体"/>
          <w:color w:val="auto"/>
          <w:szCs w:val="24"/>
          <w:highlight w:val="none"/>
        </w:rPr>
        <w:t xml:space="preserve">3、在法院审理和仲裁期间，除有争议部分外，本合同其他部分应继续履行。</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第十一条 诚实信用</w:t>
      </w:r>
      <w:r/>
    </w:p>
    <w:p>
      <w:pPr>
        <w:ind w:firstLine="480"/>
        <w:spacing w:line="360" w:lineRule="auto"/>
        <w:rPr>
          <w:color w:val="auto"/>
          <w:highlight w:val="none"/>
        </w:rPr>
      </w:pPr>
      <w:r>
        <w:rPr>
          <w:rFonts w:hint="eastAsia" w:cs="宋体"/>
          <w:color w:val="auto"/>
          <w:szCs w:val="24"/>
          <w:highlight w:val="none"/>
        </w:rPr>
        <w:t xml:space="preserve">乙方应诚实信用，严格按照招标文件要求和投标承诺履行合同，不向甲方进行商业贿赂或者提供不正当利益。</w:t>
      </w:r>
      <w:r/>
    </w:p>
    <w:p>
      <w:pPr>
        <w:ind w:firstLine="480"/>
        <w:rPr>
          <w:color w:val="auto"/>
          <w:highlight w:val="none"/>
        </w:rPr>
      </w:pPr>
      <w:r>
        <w:rPr>
          <w:color w:val="auto"/>
          <w:highlight w:val="none"/>
        </w:rPr>
      </w:r>
      <w:r/>
    </w:p>
    <w:p>
      <w:pPr>
        <w:ind w:firstLine="480"/>
        <w:spacing w:line="360" w:lineRule="auto"/>
        <w:rPr>
          <w:color w:val="auto"/>
          <w:highlight w:val="none"/>
        </w:rPr>
      </w:pPr>
      <w:r>
        <w:rPr>
          <w:rFonts w:hint="eastAsia" w:ascii="黑体" w:hAnsi="黑体" w:eastAsia="黑体" w:cs="黑体"/>
          <w:b/>
          <w:color w:val="auto"/>
          <w:szCs w:val="24"/>
          <w:highlight w:val="none"/>
        </w:rPr>
        <w:t xml:space="preserve">第十二条 合同生效及其他</w:t>
      </w:r>
      <w:r/>
    </w:p>
    <w:p>
      <w:pPr>
        <w:ind w:firstLine="480"/>
        <w:spacing w:line="360" w:lineRule="auto"/>
        <w:rPr>
          <w:color w:val="auto"/>
          <w:highlight w:val="none"/>
        </w:rPr>
      </w:pPr>
      <w:r>
        <w:rPr>
          <w:rFonts w:hint="eastAsia" w:cs="宋体"/>
          <w:color w:val="auto"/>
          <w:szCs w:val="24"/>
          <w:highlight w:val="none"/>
        </w:rPr>
        <w:t xml:space="preserve">1、本合同自经甲乙双方授权代表签订并加盖公章或合同专用章后，自签订之日起生效。</w:t>
      </w:r>
      <w:r/>
    </w:p>
    <w:p>
      <w:pPr>
        <w:ind w:firstLine="480"/>
        <w:spacing w:line="360" w:lineRule="auto"/>
        <w:rPr>
          <w:color w:val="auto"/>
          <w:highlight w:val="none"/>
        </w:rPr>
      </w:pPr>
      <w:r>
        <w:rPr>
          <w:rFonts w:hint="eastAsia" w:cs="宋体"/>
          <w:color w:val="auto"/>
          <w:szCs w:val="24"/>
          <w:highlight w:val="none"/>
        </w:rPr>
        <w:t xml:space="preserve">2、本合同一式伍份，甲乙双方各执贰份，招标代理机构执壹份存档。</w:t>
      </w:r>
      <w:r/>
    </w:p>
    <w:p>
      <w:pPr>
        <w:ind w:firstLine="480"/>
        <w:spacing w:line="360" w:lineRule="auto"/>
        <w:rPr>
          <w:color w:val="auto"/>
          <w:highlight w:val="none"/>
        </w:rPr>
      </w:pPr>
      <w:r>
        <w:rPr>
          <w:rFonts w:hint="eastAsia" w:cs="宋体"/>
          <w:color w:val="auto"/>
          <w:szCs w:val="24"/>
          <w:highlight w:val="none"/>
        </w:rPr>
        <w:t xml:space="preserve">3、本合同应按照中华人民共和国的现行法律进行解释。</w:t>
      </w:r>
      <w:r/>
    </w:p>
    <w:p>
      <w:pPr>
        <w:spacing w:line="360" w:lineRule="auto"/>
        <w:rPr>
          <w:color w:val="auto"/>
          <w:highlight w:val="none"/>
        </w:rPr>
      </w:pPr>
      <w:r>
        <w:rPr>
          <w:rFonts w:hint="eastAsia" w:cs="宋体"/>
          <w:color w:val="auto"/>
          <w:szCs w:val="24"/>
          <w:highlight w:val="none"/>
        </w:rPr>
        <w:t xml:space="preserve">甲方（盖章）                                 乙方（盖章）：</w:t>
      </w:r>
      <w:r/>
    </w:p>
    <w:p>
      <w:pPr>
        <w:spacing w:line="360" w:lineRule="auto"/>
        <w:rPr>
          <w:color w:val="auto"/>
          <w:highlight w:val="none"/>
        </w:rPr>
      </w:pPr>
      <w:r>
        <w:rPr>
          <w:rFonts w:hint="eastAsia" w:cs="宋体"/>
          <w:color w:val="auto"/>
          <w:szCs w:val="24"/>
          <w:highlight w:val="none"/>
        </w:rPr>
        <w:t xml:space="preserve">甲方代表：                                   乙方代表：</w:t>
      </w:r>
      <w:r/>
    </w:p>
    <w:p>
      <w:pPr>
        <w:spacing w:line="360" w:lineRule="auto"/>
        <w:rPr>
          <w:color w:val="auto"/>
          <w:highlight w:val="none"/>
        </w:rPr>
      </w:pPr>
      <w:r>
        <w:rPr>
          <w:rFonts w:hint="eastAsia" w:cs="宋体"/>
          <w:color w:val="auto"/>
          <w:szCs w:val="24"/>
          <w:highlight w:val="none"/>
        </w:rPr>
        <w:t xml:space="preserve">日期：    年   月   日                       日期：    年   月   日</w:t>
      </w:r>
      <w:r/>
    </w:p>
    <w:p>
      <w:pPr>
        <w:spacing w:line="360" w:lineRule="auto"/>
        <w:rPr>
          <w:color w:val="auto"/>
          <w:highlight w:val="none"/>
        </w:rPr>
      </w:pPr>
      <w:r>
        <w:rPr>
          <w:rFonts w:hint="eastAsia" w:cs="宋体"/>
          <w:color w:val="auto"/>
          <w:szCs w:val="24"/>
          <w:highlight w:val="none"/>
        </w:rPr>
        <w:t xml:space="preserve">                                             账号： </w:t>
      </w:r>
      <w:r/>
    </w:p>
    <w:p>
      <w:pPr>
        <w:ind w:left="440" w:firstLine="3360"/>
        <w:rPr>
          <w:color w:val="auto"/>
          <w:highlight w:val="none"/>
        </w:rPr>
      </w:pPr>
      <w:r>
        <w:rPr>
          <w:color w:val="auto"/>
          <w:highlight w:val="none"/>
        </w:rPr>
      </w:r>
      <w:r/>
    </w:p>
    <w:p>
      <w:pPr>
        <w:ind w:left="440" w:firstLine="3120"/>
        <w:spacing w:line="360" w:lineRule="auto"/>
        <w:rPr>
          <w:rFonts w:hAnsi="宋体" w:cs="宋体"/>
          <w:color w:val="auto"/>
          <w:highlight w:val="none"/>
        </w:rPr>
      </w:pPr>
      <w:r>
        <w:rPr>
          <w:rFonts w:hint="eastAsia" w:cs="宋体"/>
          <w:color w:val="auto"/>
          <w:highlight w:val="none"/>
        </w:rPr>
        <w:t xml:space="preserve">全文完</w:t>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sectPr>
      <w:footerReference w:type="default" r:id="rId12"/>
      <w:footerReference w:type="first" r:id="rId13"/>
      <w:footnotePr/>
      <w:endnotePr/>
      <w:type w:val="nextPage"/>
      <w:pgSz w:w="11906" w:h="16838" w:orient="portrait"/>
      <w:pgMar w:top="1134" w:right="1610" w:bottom="1134" w:left="1474"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KaiTi">
    <w:panose1 w:val="02010609060101010101"/>
  </w:font>
  <w:font w:name="Symbol">
    <w:panose1 w:val="05050102010706020507"/>
  </w:font>
  <w:font w:name="Wingdings">
    <w:panose1 w:val="05000000000000000000"/>
  </w:font>
  <w:font w:name="华文楷体">
    <w:panose1 w:val="02010600040101010101"/>
  </w:font>
  <w:font w:name="励字仿宋GB">
    <w:panose1 w:val="020B0503020202020204"/>
  </w:font>
  <w:font w:name="方正小标宋_GBK">
    <w:panose1 w:val="020B0503020202020204"/>
  </w:font>
  <w:font w:name="Schadow Std Roman">
    <w:panose1 w:val="020B0503020202020204"/>
  </w:font>
  <w:font w:name="Wonder Arial">
    <w:panose1 w:val="020B0503020202020204"/>
  </w:font>
  <w:font w:name="仿宋_GB2312">
    <w:panose1 w:val="02010609060101010101"/>
  </w:font>
  <w:font w:name="Verdana">
    <w:panose1 w:val="020B0604030504040204"/>
  </w:font>
  <w:font w:name="MS Gothic">
    <w:panose1 w:val="020B0609070205080204"/>
  </w:font>
  <w:font w:name="Consolas">
    <w:panose1 w:val="020B0609020204030204"/>
  </w:font>
  <w:font w:name="SimSong">
    <w:panose1 w:val="020B0503020202020204"/>
  </w:font>
  <w:font w:name="Tahoma">
    <w:panose1 w:val="020B0604030504040204"/>
  </w:font>
  <w:font w:name="华文细黑">
    <w:panose1 w:val="02010600040101010101"/>
  </w:font>
  <w:font w:name="方正仿宋_GB2312">
    <w:panose1 w:val="020B0503020202020204"/>
  </w:font>
  <w:font w:name="MicrosoftYaHei">
    <w:panose1 w:val="020B0503020204020204"/>
  </w:font>
  <w:font w:name="Courier New">
    <w:panose1 w:val="02070309020205020404"/>
  </w:font>
  <w:font w:name="Calibri">
    <w:panose1 w:val="020F0502020204030204"/>
  </w:font>
  <w:font w:name="微软雅黑">
    <w:panose1 w:val="020B0503020204020204"/>
  </w:font>
  <w:font w:name="Cambria">
    <w:panose1 w:val="02040503050406030204"/>
  </w:font>
  <w:font w:name="黑体">
    <w:panose1 w:val="02010609060101010101"/>
  </w:font>
  <w:font w:name="仿宋">
    <w:panose1 w:val="02010609060101010101"/>
  </w:font>
  <w:font w:name="方正楷体_GB2312">
    <w:panose1 w:val="020B0503020202020204"/>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Pr>
        <w:rFonts w:cs="仿宋"/>
        <w:szCs w:val="18"/>
      </w:rPr>
      <w:fldChar w:fldCharType="begin"/>
    </w:r>
    <w:r>
      <w:rPr>
        <w:rFonts w:cs="仿宋"/>
        <w:szCs w:val="18"/>
      </w:rPr>
      <w:instrText xml:space="preserve"> PAGE  \* MERGEFORMAT </w:instrText>
    </w:r>
    <w:r>
      <w:rPr>
        <w:rFonts w:cs="仿宋"/>
        <w:szCs w:val="18"/>
      </w:rPr>
      <w:fldChar w:fldCharType="separate"/>
    </w:r>
    <w:r>
      <w:rPr>
        <w:rFonts w:cs="仿宋"/>
        <w:szCs w:val="18"/>
      </w:rPr>
      <w:t xml:space="preserve">1</w:t>
    </w:r>
    <w:r>
      <w:rPr>
        <w:rFonts w:cs="仿宋"/>
        <w:szCs w:val="18"/>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lear" w:pos="4153" w:leader="none"/>
        <w:tab w:val="center" w:pos="4479" w:leader="none"/>
        <w:tab w:val="clear" w:pos="8306" w:leader="none"/>
      </w:tabs>
    </w:pPr>
    <w:r>
      <w:rPr>
        <w:rFonts w:cs="仿宋"/>
        <w:szCs w:val="18"/>
      </w:rPr>
      <w:fldChar w:fldCharType="begin"/>
    </w:r>
    <w:r>
      <w:rPr>
        <w:rFonts w:cs="仿宋"/>
        <w:szCs w:val="18"/>
      </w:rPr>
      <w:instrText xml:space="preserve"> PAGE  \* MERGEFORMAT </w:instrText>
    </w:r>
    <w:r>
      <w:rPr>
        <w:rFonts w:cs="仿宋"/>
        <w:szCs w:val="18"/>
      </w:rPr>
      <w:fldChar w:fldCharType="separate"/>
    </w:r>
    <w:r>
      <w:rPr>
        <w:rFonts w:cs="仿宋"/>
        <w:szCs w:val="18"/>
      </w:rPr>
      <w:t xml:space="preserve">1</w:t>
    </w:r>
    <w:r>
      <w:rPr>
        <w:rFonts w:cs="仿宋"/>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Pr>
        <w:rFonts w:cs="仿宋"/>
        <w:szCs w:val="18"/>
      </w:rPr>
      <w:fldChar w:fldCharType="begin"/>
    </w:r>
    <w:r>
      <w:rPr>
        <w:rFonts w:cs="仿宋"/>
        <w:szCs w:val="18"/>
      </w:rPr>
      <w:instrText xml:space="preserve"> PAGE  \* MERGEFORMAT </w:instrText>
    </w:r>
    <w:r>
      <w:rPr>
        <w:rFonts w:cs="仿宋"/>
        <w:szCs w:val="18"/>
      </w:rPr>
      <w:fldChar w:fldCharType="separate"/>
    </w:r>
    <w:r>
      <w:rPr>
        <w:rFonts w:cs="仿宋"/>
        <w:szCs w:val="18"/>
      </w:rPr>
      <w:t xml:space="preserve">1</w:t>
    </w:r>
    <w:r>
      <w:rPr>
        <w:rFonts w:cs="仿宋"/>
        <w:szCs w:val="1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pStyle w:val="1374"/>
      <w:isLgl w:val="false"/>
      <w:suff w:val="tab"/>
      <w:lvlText w:val="%1."/>
      <w:lvlJc w:val="left"/>
      <w:pPr>
        <w:ind w:left="425" w:hanging="425"/>
      </w:pPr>
      <w:rPr>
        <w:rFonts w:hint="default"/>
      </w:rPr>
    </w:lvl>
    <w:lvl w:ilvl="1">
      <w:start w:val="1"/>
      <w:numFmt w:val="decimal"/>
      <w:pStyle w:val="1375"/>
      <w:isLgl w:val="false"/>
      <w:suff w:val="tab"/>
      <w:lvlText w:val="%1.%2."/>
      <w:lvlJc w:val="left"/>
      <w:pPr>
        <w:ind w:left="567" w:hanging="567"/>
      </w:pPr>
      <w:rPr>
        <w:rFonts w:hint="default"/>
      </w:rPr>
    </w:lvl>
    <w:lvl w:ilvl="2">
      <w:start w:val="1"/>
      <w:numFmt w:val="decimal"/>
      <w:pStyle w:val="1373"/>
      <w:isLgl w:val="false"/>
      <w:suff w:val="tab"/>
      <w:lvlText w:val="%1.%2.%3."/>
      <w:lvlJc w:val="left"/>
      <w:pPr>
        <w:ind w:left="709" w:hanging="709"/>
      </w:pPr>
      <w:rPr>
        <w:rFonts w:hint="default"/>
        <w:color w:val="auto"/>
      </w:rPr>
    </w:lvl>
    <w:lvl w:ilvl="3">
      <w:start w:val="1"/>
      <w:numFmt w:val="decimal"/>
      <w:pStyle w:val="1376"/>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1"/>
    <w:uiPriority w:val="9"/>
    <w:rPr>
      <w:rFonts w:ascii="Arial" w:hAnsi="Arial" w:eastAsia="Arial" w:cs="Arial"/>
      <w:sz w:val="40"/>
      <w:szCs w:val="40"/>
    </w:rPr>
  </w:style>
  <w:style w:type="character" w:styleId="15">
    <w:name w:val="Heading 2 Char"/>
    <w:basedOn w:val="710"/>
    <w:link w:val="702"/>
    <w:uiPriority w:val="9"/>
    <w:rPr>
      <w:rFonts w:ascii="Arial" w:hAnsi="Arial" w:eastAsia="Arial" w:cs="Arial"/>
      <w:sz w:val="34"/>
    </w:rPr>
  </w:style>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character" w:styleId="34">
    <w:name w:val="Title Char"/>
    <w:basedOn w:val="710"/>
    <w:link w:val="760"/>
    <w:uiPriority w:val="10"/>
    <w:rPr>
      <w:sz w:val="48"/>
      <w:szCs w:val="48"/>
    </w:rPr>
  </w:style>
  <w:style w:type="character" w:styleId="36">
    <w:name w:val="Subtitle Char"/>
    <w:basedOn w:val="710"/>
    <w:link w:val="747"/>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41"/>
    <w:uiPriority w:val="99"/>
  </w:style>
  <w:style w:type="character" w:styleId="44">
    <w:name w:val="Footer Char"/>
    <w:basedOn w:val="710"/>
    <w:link w:val="739"/>
    <w:uiPriority w:val="99"/>
  </w:style>
  <w:style w:type="character" w:styleId="46">
    <w:name w:val="Caption Char"/>
    <w:basedOn w:val="719"/>
    <w:link w:val="739"/>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9">
    <w:name w:val="TOC Heading"/>
    <w:uiPriority w:val="39"/>
    <w:unhideWhenUsed/>
  </w:style>
  <w:style w:type="paragraph" w:styleId="700" w:default="1">
    <w:name w:val="Normal"/>
    <w:next w:val="712"/>
    <w:uiPriority w:val="0"/>
    <w:qFormat/>
    <w:pPr>
      <w:jc w:val="both"/>
      <w:widowControl w:val="off"/>
    </w:pPr>
    <w:rPr>
      <w:rFonts w:ascii="仿宋" w:hAnsi="仿宋" w:eastAsia="仿宋" w:cs="Times New Roman"/>
      <w:sz w:val="24"/>
      <w:lang w:val="en-US" w:eastAsia="zh-CN" w:bidi="ar-SA"/>
    </w:rPr>
  </w:style>
  <w:style w:type="paragraph" w:styleId="701">
    <w:name w:val="Heading 1"/>
    <w:basedOn w:val="700"/>
    <w:next w:val="700"/>
    <w:link w:val="815"/>
    <w:uiPriority w:val="0"/>
    <w:qFormat/>
    <w:pPr>
      <w:jc w:val="center"/>
      <w:keepNext/>
      <w:tabs>
        <w:tab w:val="left" w:pos="200" w:leader="none"/>
      </w:tabs>
      <w:outlineLvl w:val="0"/>
    </w:pPr>
    <w:rPr>
      <w:rFonts w:ascii="黑体" w:hAnsi="黑体" w:eastAsia="黑体"/>
      <w:b/>
      <w:sz w:val="32"/>
    </w:rPr>
  </w:style>
  <w:style w:type="paragraph" w:styleId="702">
    <w:name w:val="Heading 2"/>
    <w:basedOn w:val="700"/>
    <w:next w:val="700"/>
    <w:link w:val="783"/>
    <w:uiPriority w:val="9"/>
    <w:qFormat/>
    <w:pPr>
      <w:jc w:val="center"/>
      <w:keepNext/>
      <w:outlineLvl w:val="1"/>
    </w:pPr>
    <w:rPr>
      <w:rFonts w:ascii="黑体" w:hAnsi="黑体" w:eastAsia="黑体"/>
      <w:b/>
      <w:bCs/>
      <w:sz w:val="30"/>
      <w:szCs w:val="28"/>
    </w:rPr>
  </w:style>
  <w:style w:type="paragraph" w:styleId="703">
    <w:name w:val="Heading 3"/>
    <w:basedOn w:val="700"/>
    <w:next w:val="700"/>
    <w:link w:val="784"/>
    <w:uiPriority w:val="9"/>
    <w:qFormat/>
    <w:pPr>
      <w:jc w:val="center"/>
      <w:keepNext/>
      <w:outlineLvl w:val="2"/>
    </w:pPr>
    <w:rPr>
      <w:b/>
      <w:sz w:val="28"/>
    </w:rPr>
  </w:style>
  <w:style w:type="paragraph" w:styleId="704">
    <w:name w:val="Heading 4"/>
    <w:basedOn w:val="700"/>
    <w:next w:val="700"/>
    <w:link w:val="785"/>
    <w:uiPriority w:val="0"/>
    <w:qFormat/>
    <w:pPr>
      <w:keepNext/>
      <w:outlineLvl w:val="3"/>
    </w:pPr>
    <w:rPr>
      <w:b/>
      <w:bCs/>
      <w:sz w:val="18"/>
    </w:rPr>
  </w:style>
  <w:style w:type="paragraph" w:styleId="705">
    <w:name w:val="Heading 5"/>
    <w:basedOn w:val="700"/>
    <w:next w:val="700"/>
    <w:link w:val="786"/>
    <w:uiPriority w:val="99"/>
    <w:qFormat/>
    <w:pPr>
      <w:jc w:val="center"/>
      <w:keepNext/>
      <w:outlineLvl w:val="4"/>
    </w:pPr>
    <w:rPr>
      <w:b/>
      <w:bCs/>
      <w:sz w:val="18"/>
    </w:rPr>
  </w:style>
  <w:style w:type="paragraph" w:styleId="706">
    <w:name w:val="Heading 6"/>
    <w:basedOn w:val="700"/>
    <w:next w:val="700"/>
    <w:link w:val="787"/>
    <w:uiPriority w:val="99"/>
    <w:qFormat/>
    <w:pPr>
      <w:ind w:left="992" w:hanging="567"/>
      <w:keepLines/>
      <w:keepNext/>
      <w:spacing w:before="240" w:after="64" w:line="320" w:lineRule="auto"/>
      <w:outlineLvl w:val="5"/>
    </w:pPr>
    <w:rPr>
      <w:rFonts w:ascii="Cambria" w:hAnsi="Cambria" w:eastAsia="黑体"/>
      <w:b/>
      <w:bCs/>
      <w:sz w:val="28"/>
      <w:szCs w:val="24"/>
    </w:rPr>
  </w:style>
  <w:style w:type="paragraph" w:styleId="707">
    <w:name w:val="Heading 7"/>
    <w:basedOn w:val="700"/>
    <w:next w:val="700"/>
    <w:link w:val="788"/>
    <w:uiPriority w:val="0"/>
    <w:qFormat/>
    <w:pPr>
      <w:keepNext/>
      <w:outlineLvl w:val="6"/>
    </w:pPr>
    <w:rPr>
      <w:rFonts w:ascii="Arial" w:hAnsi="Arial"/>
      <w:b/>
      <w:bCs/>
      <w:sz w:val="16"/>
      <w:szCs w:val="16"/>
    </w:rPr>
  </w:style>
  <w:style w:type="paragraph" w:styleId="708">
    <w:name w:val="Heading 8"/>
    <w:basedOn w:val="700"/>
    <w:next w:val="700"/>
    <w:link w:val="789"/>
    <w:uiPriority w:val="9"/>
    <w:qFormat/>
    <w:pPr>
      <w:keepNext/>
      <w:outlineLvl w:val="7"/>
    </w:pPr>
    <w:rPr>
      <w:b/>
      <w:bCs/>
      <w:szCs w:val="24"/>
    </w:rPr>
  </w:style>
  <w:style w:type="paragraph" w:styleId="709">
    <w:name w:val="Heading 9"/>
    <w:basedOn w:val="700"/>
    <w:next w:val="700"/>
    <w:link w:val="790"/>
    <w:uiPriority w:val="9"/>
    <w:qFormat/>
    <w:pPr>
      <w:jc w:val="center"/>
      <w:keepNext/>
      <w:outlineLvl w:val="8"/>
    </w:pPr>
    <w:rPr>
      <w:b/>
      <w:bCs/>
      <w:szCs w:val="24"/>
    </w:rPr>
  </w:style>
  <w:style w:type="character" w:styleId="710" w:default="1">
    <w:name w:val="Default Paragraph Font"/>
    <w:uiPriority w:val="1"/>
    <w:semiHidden/>
    <w:unhideWhenUsed/>
  </w:style>
  <w:style w:type="table" w:styleId="711" w:default="1">
    <w:name w:val="Normal Table"/>
    <w:uiPriority w:val="99"/>
    <w:semiHidden/>
    <w:unhideWhenUsed/>
    <w:tblPr>
      <w:tblCellMar>
        <w:left w:w="108" w:type="dxa"/>
        <w:top w:w="0" w:type="dxa"/>
        <w:right w:w="108" w:type="dxa"/>
        <w:bottom w:w="0" w:type="dxa"/>
      </w:tblCellMar>
    </w:tblPr>
  </w:style>
  <w:style w:type="paragraph" w:styleId="712">
    <w:name w:val="Body Text"/>
    <w:basedOn w:val="700"/>
    <w:next w:val="700"/>
    <w:link w:val="797"/>
    <w:uiPriority w:val="0"/>
    <w:qFormat/>
    <w:rPr>
      <w:rFonts w:ascii="方正楷体_GB2312" w:hAnsi="Arial" w:eastAsia="方正楷体_GB2312"/>
      <w:sz w:val="28"/>
    </w:rPr>
  </w:style>
  <w:style w:type="paragraph" w:styleId="713">
    <w:name w:val="List 3"/>
    <w:basedOn w:val="700"/>
    <w:uiPriority w:val="0"/>
    <w:qFormat/>
    <w:pPr>
      <w:ind w:left="100" w:hanging="200"/>
    </w:pPr>
    <w:rPr>
      <w:rFonts w:eastAsia="方正楷体_GB2312"/>
      <w:sz w:val="26"/>
    </w:rPr>
  </w:style>
  <w:style w:type="paragraph" w:styleId="714">
    <w:name w:val="toc 7"/>
    <w:basedOn w:val="700"/>
    <w:next w:val="700"/>
    <w:uiPriority w:val="39"/>
    <w:qFormat/>
    <w:pPr>
      <w:ind w:left="1260"/>
      <w:jc w:val="left"/>
    </w:pPr>
    <w:rPr>
      <w:szCs w:val="21"/>
    </w:rPr>
  </w:style>
  <w:style w:type="paragraph" w:styleId="715">
    <w:name w:val="List Number 2"/>
    <w:basedOn w:val="700"/>
    <w:uiPriority w:val="0"/>
    <w:qFormat/>
    <w:pPr>
      <w:spacing w:line="312" w:lineRule="atLeast"/>
    </w:pPr>
    <w:rPr>
      <w:sz w:val="20"/>
    </w:rPr>
  </w:style>
  <w:style w:type="paragraph" w:styleId="716">
    <w:name w:val="Note Heading"/>
    <w:basedOn w:val="700"/>
    <w:next w:val="700"/>
    <w:link w:val="791"/>
    <w:uiPriority w:val="0"/>
    <w:qFormat/>
    <w:pPr>
      <w:jc w:val="center"/>
      <w:spacing w:line="360" w:lineRule="auto"/>
    </w:pPr>
    <w:rPr>
      <w:szCs w:val="24"/>
    </w:rPr>
  </w:style>
  <w:style w:type="paragraph" w:styleId="717">
    <w:name w:val="index 8"/>
    <w:basedOn w:val="700"/>
    <w:next w:val="700"/>
    <w:uiPriority w:val="0"/>
    <w:semiHidden/>
    <w:qFormat/>
    <w:pPr>
      <w:ind w:left="1400"/>
    </w:pPr>
  </w:style>
  <w:style w:type="paragraph" w:styleId="718">
    <w:name w:val="Normal Indent"/>
    <w:basedOn w:val="700"/>
    <w:next w:val="700"/>
    <w:link w:val="792"/>
    <w:uiPriority w:val="0"/>
    <w:qFormat/>
    <w:pPr>
      <w:ind w:firstLine="420"/>
    </w:pPr>
  </w:style>
  <w:style w:type="paragraph" w:styleId="719">
    <w:name w:val="Caption"/>
    <w:basedOn w:val="700"/>
    <w:next w:val="700"/>
    <w:link w:val="793"/>
    <w:uiPriority w:val="0"/>
    <w:qFormat/>
    <w:rPr>
      <w:rFonts w:ascii="Arial" w:hAnsi="Arial" w:eastAsia="黑体"/>
      <w:sz w:val="20"/>
    </w:rPr>
  </w:style>
  <w:style w:type="paragraph" w:styleId="720">
    <w:name w:val="index 5"/>
    <w:basedOn w:val="700"/>
    <w:next w:val="700"/>
    <w:uiPriority w:val="0"/>
    <w:semiHidden/>
    <w:qFormat/>
    <w:pPr>
      <w:ind w:left="800"/>
    </w:pPr>
  </w:style>
  <w:style w:type="paragraph" w:styleId="721">
    <w:name w:val="List Bullet"/>
    <w:basedOn w:val="700"/>
    <w:uiPriority w:val="0"/>
    <w:qFormat/>
    <w:pPr>
      <w:ind w:left="840" w:hanging="360"/>
      <w:jc w:val="left"/>
      <w:spacing w:line="360" w:lineRule="auto"/>
    </w:pPr>
    <w:rPr>
      <w:b/>
      <w:szCs w:val="24"/>
    </w:rPr>
  </w:style>
  <w:style w:type="paragraph" w:styleId="722">
    <w:name w:val="Document Map"/>
    <w:basedOn w:val="700"/>
    <w:link w:val="794"/>
    <w:uiPriority w:val="0"/>
    <w:qFormat/>
  </w:style>
  <w:style w:type="paragraph" w:styleId="723">
    <w:name w:val="annotation text"/>
    <w:basedOn w:val="700"/>
    <w:link w:val="795"/>
    <w:uiPriority w:val="99"/>
    <w:qFormat/>
    <w:pPr>
      <w:jc w:val="left"/>
    </w:pPr>
    <w:rPr>
      <w:rFonts w:ascii="Calibri" w:hAnsi="Calibri"/>
      <w:szCs w:val="22"/>
    </w:rPr>
  </w:style>
  <w:style w:type="paragraph" w:styleId="724">
    <w:name w:val="index 6"/>
    <w:basedOn w:val="700"/>
    <w:next w:val="700"/>
    <w:uiPriority w:val="0"/>
    <w:semiHidden/>
    <w:qFormat/>
    <w:pPr>
      <w:ind w:left="1000"/>
    </w:pPr>
  </w:style>
  <w:style w:type="paragraph" w:styleId="725">
    <w:name w:val="Body Text 3"/>
    <w:basedOn w:val="700"/>
    <w:link w:val="796"/>
    <w:uiPriority w:val="99"/>
    <w:unhideWhenUsed/>
    <w:qFormat/>
    <w:pPr>
      <w:jc w:val="center"/>
    </w:pPr>
    <w:rPr>
      <w:rFonts w:ascii="宋体" w:hAnsi="宋体" w:eastAsia="方正楷体_GB2312"/>
      <w:sz w:val="26"/>
    </w:rPr>
  </w:style>
  <w:style w:type="paragraph" w:styleId="726">
    <w:name w:val="Body Text Indent"/>
    <w:basedOn w:val="700"/>
    <w:next w:val="700"/>
    <w:link w:val="799"/>
    <w:uiPriority w:val="0"/>
    <w:qFormat/>
    <w:pPr>
      <w:ind w:firstLine="574"/>
      <w:spacing w:line="312" w:lineRule="atLeast"/>
    </w:pPr>
    <w:rPr>
      <w:rFonts w:ascii="宋体"/>
      <w:sz w:val="28"/>
    </w:rPr>
  </w:style>
  <w:style w:type="paragraph" w:styleId="727">
    <w:name w:val="List 2"/>
    <w:basedOn w:val="700"/>
    <w:uiPriority w:val="0"/>
    <w:qFormat/>
    <w:pPr>
      <w:ind w:left="100" w:hanging="200"/>
    </w:pPr>
    <w:rPr>
      <w:szCs w:val="24"/>
    </w:rPr>
  </w:style>
  <w:style w:type="paragraph" w:styleId="728">
    <w:name w:val="Block Text"/>
    <w:basedOn w:val="700"/>
    <w:uiPriority w:val="0"/>
    <w:qFormat/>
    <w:pPr>
      <w:ind w:left="1890" w:right="11" w:hanging="1409"/>
      <w:spacing w:before="89"/>
      <w:tabs>
        <w:tab w:val="left" w:pos="822" w:leader="none"/>
        <w:tab w:val="left" w:pos="2205" w:leader="none"/>
        <w:tab w:val="left" w:pos="9000" w:leader="none"/>
      </w:tabs>
    </w:pPr>
  </w:style>
  <w:style w:type="paragraph" w:styleId="729">
    <w:name w:val="List Bullet 2"/>
    <w:basedOn w:val="700"/>
    <w:uiPriority w:val="0"/>
    <w:qFormat/>
    <w:pPr>
      <w:ind w:left="420" w:hanging="420"/>
      <w:spacing w:line="312" w:lineRule="atLeast"/>
      <w:tabs>
        <w:tab w:val="left" w:pos="420" w:leader="none"/>
      </w:tabs>
    </w:pPr>
    <w:rPr>
      <w:sz w:val="20"/>
    </w:rPr>
  </w:style>
  <w:style w:type="paragraph" w:styleId="730">
    <w:name w:val="index 4"/>
    <w:basedOn w:val="700"/>
    <w:next w:val="700"/>
    <w:uiPriority w:val="0"/>
    <w:semiHidden/>
    <w:qFormat/>
    <w:pPr>
      <w:ind w:left="600"/>
    </w:pPr>
  </w:style>
  <w:style w:type="paragraph" w:styleId="731">
    <w:name w:val="toc 5"/>
    <w:basedOn w:val="700"/>
    <w:next w:val="700"/>
    <w:uiPriority w:val="39"/>
    <w:qFormat/>
    <w:pPr>
      <w:ind w:left="840"/>
      <w:jc w:val="left"/>
    </w:pPr>
    <w:rPr>
      <w:szCs w:val="21"/>
    </w:rPr>
  </w:style>
  <w:style w:type="paragraph" w:styleId="732">
    <w:name w:val="toc 3"/>
    <w:basedOn w:val="700"/>
    <w:next w:val="700"/>
    <w:uiPriority w:val="0"/>
    <w:qFormat/>
    <w:pPr>
      <w:ind w:left="420"/>
      <w:jc w:val="left"/>
    </w:pPr>
    <w:rPr>
      <w:i/>
      <w:iCs/>
      <w:szCs w:val="24"/>
    </w:rPr>
  </w:style>
  <w:style w:type="paragraph" w:styleId="733">
    <w:name w:val="Plain Text"/>
    <w:basedOn w:val="700"/>
    <w:link w:val="800"/>
    <w:uiPriority w:val="0"/>
    <w:qFormat/>
    <w:rPr>
      <w:rFonts w:ascii="宋体" w:hAnsi="Courier New"/>
    </w:rPr>
  </w:style>
  <w:style w:type="paragraph" w:styleId="734">
    <w:name w:val="toc 8"/>
    <w:basedOn w:val="700"/>
    <w:next w:val="700"/>
    <w:uiPriority w:val="39"/>
    <w:qFormat/>
    <w:pPr>
      <w:ind w:left="1470"/>
      <w:jc w:val="left"/>
    </w:pPr>
    <w:rPr>
      <w:szCs w:val="21"/>
    </w:rPr>
  </w:style>
  <w:style w:type="paragraph" w:styleId="735">
    <w:name w:val="index 3"/>
    <w:basedOn w:val="700"/>
    <w:next w:val="700"/>
    <w:uiPriority w:val="0"/>
    <w:semiHidden/>
    <w:qFormat/>
    <w:pPr>
      <w:ind w:left="400"/>
    </w:pPr>
  </w:style>
  <w:style w:type="paragraph" w:styleId="736">
    <w:name w:val="Date"/>
    <w:basedOn w:val="700"/>
    <w:next w:val="700"/>
    <w:link w:val="801"/>
    <w:uiPriority w:val="0"/>
    <w:qFormat/>
    <w:pPr>
      <w:spacing w:line="312" w:lineRule="atLeast"/>
    </w:pPr>
    <w:rPr>
      <w:rFonts w:ascii="宋体"/>
      <w:sz w:val="28"/>
    </w:rPr>
  </w:style>
  <w:style w:type="paragraph" w:styleId="737">
    <w:name w:val="Body Text Indent 2"/>
    <w:basedOn w:val="700"/>
    <w:link w:val="802"/>
    <w:uiPriority w:val="0"/>
    <w:qFormat/>
    <w:pPr>
      <w:ind w:left="1890" w:hanging="1409"/>
      <w:tabs>
        <w:tab w:val="left" w:pos="1785" w:leader="none"/>
        <w:tab w:val="left" w:pos="1887" w:leader="none"/>
        <w:tab w:val="left" w:pos="2112" w:leader="none"/>
        <w:tab w:val="left" w:pos="9000" w:leader="none"/>
      </w:tabs>
    </w:pPr>
  </w:style>
  <w:style w:type="paragraph" w:styleId="738">
    <w:name w:val="Balloon Text"/>
    <w:basedOn w:val="700"/>
    <w:link w:val="803"/>
    <w:uiPriority w:val="0"/>
    <w:unhideWhenUsed/>
    <w:qFormat/>
    <w:rPr>
      <w:rFonts w:ascii="Calibri" w:hAnsi="Calibri"/>
      <w:sz w:val="18"/>
      <w:szCs w:val="18"/>
    </w:rPr>
  </w:style>
  <w:style w:type="paragraph" w:styleId="739">
    <w:name w:val="Footer"/>
    <w:basedOn w:val="700"/>
    <w:link w:val="804"/>
    <w:uiPriority w:val="99"/>
    <w:qFormat/>
    <w:pPr>
      <w:jc w:val="left"/>
      <w:tabs>
        <w:tab w:val="center" w:pos="4153" w:leader="none"/>
        <w:tab w:val="right" w:pos="8306" w:leader="none"/>
      </w:tabs>
    </w:pPr>
    <w:rPr>
      <w:sz w:val="18"/>
    </w:rPr>
  </w:style>
  <w:style w:type="paragraph" w:styleId="740">
    <w:name w:val="envelope return"/>
    <w:basedOn w:val="700"/>
    <w:uiPriority w:val="99"/>
    <w:unhideWhenUsed/>
    <w:qFormat/>
    <w:rPr>
      <w:rFonts w:ascii="Cambria" w:hAnsi="Cambria"/>
    </w:rPr>
  </w:style>
  <w:style w:type="paragraph" w:styleId="741">
    <w:name w:val="Header"/>
    <w:basedOn w:val="700"/>
    <w:link w:val="805"/>
    <w:uiPriority w:val="99"/>
    <w:qFormat/>
    <w:pPr>
      <w:jc w:val="center"/>
      <w:tabs>
        <w:tab w:val="center" w:pos="4153" w:leader="none"/>
        <w:tab w:val="right" w:pos="8306" w:leader="none"/>
      </w:tabs>
      <w:pBdr>
        <w:bottom w:val="single" w:color="auto" w:sz="6" w:space="1"/>
      </w:pBdr>
    </w:pPr>
    <w:rPr>
      <w:sz w:val="18"/>
    </w:rPr>
  </w:style>
  <w:style w:type="paragraph" w:styleId="742">
    <w:name w:val="Signature"/>
    <w:basedOn w:val="700"/>
    <w:link w:val="806"/>
    <w:uiPriority w:val="0"/>
    <w:qFormat/>
    <w:pPr>
      <w:jc w:val="center"/>
      <w:spacing w:after="600" w:line="312" w:lineRule="atLeast"/>
    </w:pPr>
    <w:rPr>
      <w:rFonts w:eastAsia="方正仿宋_GB2312"/>
    </w:rPr>
  </w:style>
  <w:style w:type="paragraph" w:styleId="743">
    <w:name w:val="toc 1"/>
    <w:basedOn w:val="700"/>
    <w:next w:val="700"/>
    <w:uiPriority w:val="39"/>
    <w:qFormat/>
    <w:pPr>
      <w:ind w:left="210"/>
      <w:spacing w:before="100" w:beforeAutospacing="1" w:after="100" w:afterAutospacing="1" w:line="360" w:lineRule="exact"/>
      <w:tabs>
        <w:tab w:val="right" w:pos="9450" w:leader="dot"/>
      </w:tabs>
    </w:pPr>
    <w:rPr>
      <w:b/>
      <w:bCs/>
      <w:caps/>
      <w:sz w:val="28"/>
      <w:szCs w:val="36"/>
    </w:rPr>
  </w:style>
  <w:style w:type="paragraph" w:styleId="744">
    <w:name w:val="toc 4"/>
    <w:basedOn w:val="700"/>
    <w:next w:val="700"/>
    <w:uiPriority w:val="0"/>
    <w:qFormat/>
    <w:pPr>
      <w:ind w:left="630"/>
      <w:jc w:val="left"/>
    </w:pPr>
    <w:rPr>
      <w:szCs w:val="21"/>
    </w:rPr>
  </w:style>
  <w:style w:type="paragraph" w:styleId="745">
    <w:name w:val="index heading"/>
    <w:basedOn w:val="700"/>
    <w:next w:val="746"/>
    <w:uiPriority w:val="0"/>
    <w:semiHidden/>
    <w:qFormat/>
  </w:style>
  <w:style w:type="paragraph" w:styleId="746">
    <w:name w:val="index 1"/>
    <w:basedOn w:val="700"/>
    <w:next w:val="700"/>
    <w:uiPriority w:val="0"/>
    <w:qFormat/>
  </w:style>
  <w:style w:type="paragraph" w:styleId="747">
    <w:name w:val="Subtitle"/>
    <w:basedOn w:val="700"/>
    <w:next w:val="700"/>
    <w:link w:val="807"/>
    <w:uiPriority w:val="0"/>
    <w:qFormat/>
    <w:pPr>
      <w:jc w:val="center"/>
      <w:spacing w:before="240" w:after="60" w:line="312" w:lineRule="auto"/>
      <w:outlineLvl w:val="1"/>
    </w:pPr>
    <w:rPr>
      <w:rFonts w:ascii="Cambria" w:hAnsi="Cambria"/>
      <w:b/>
      <w:bCs/>
      <w:sz w:val="32"/>
      <w:szCs w:val="32"/>
    </w:rPr>
  </w:style>
  <w:style w:type="paragraph" w:styleId="748">
    <w:name w:val="List"/>
    <w:basedOn w:val="700"/>
    <w:uiPriority w:val="99"/>
    <w:qFormat/>
    <w:pPr>
      <w:ind w:left="200" w:hanging="200"/>
    </w:pPr>
    <w:rPr>
      <w:szCs w:val="24"/>
    </w:rPr>
  </w:style>
  <w:style w:type="paragraph" w:styleId="749">
    <w:name w:val="toc 6"/>
    <w:basedOn w:val="700"/>
    <w:next w:val="700"/>
    <w:uiPriority w:val="39"/>
    <w:qFormat/>
    <w:pPr>
      <w:ind w:left="1050"/>
      <w:jc w:val="left"/>
    </w:pPr>
    <w:rPr>
      <w:szCs w:val="21"/>
    </w:rPr>
  </w:style>
  <w:style w:type="paragraph" w:styleId="750">
    <w:name w:val="Body Text Indent 3"/>
    <w:basedOn w:val="700"/>
    <w:link w:val="808"/>
    <w:uiPriority w:val="99"/>
    <w:qFormat/>
    <w:pPr>
      <w:ind w:firstLine="555"/>
    </w:pPr>
    <w:rPr>
      <w:b/>
      <w:bCs/>
      <w:sz w:val="28"/>
      <w:u w:val="single"/>
    </w:rPr>
  </w:style>
  <w:style w:type="paragraph" w:styleId="751">
    <w:name w:val="index 7"/>
    <w:basedOn w:val="700"/>
    <w:next w:val="700"/>
    <w:uiPriority w:val="0"/>
    <w:semiHidden/>
    <w:qFormat/>
    <w:pPr>
      <w:ind w:left="1200"/>
    </w:pPr>
  </w:style>
  <w:style w:type="paragraph" w:styleId="752">
    <w:name w:val="index 9"/>
    <w:basedOn w:val="700"/>
    <w:next w:val="700"/>
    <w:uiPriority w:val="0"/>
    <w:semiHidden/>
    <w:qFormat/>
    <w:pPr>
      <w:ind w:left="1600"/>
    </w:pPr>
  </w:style>
  <w:style w:type="paragraph" w:styleId="753">
    <w:name w:val="table of figures"/>
    <w:basedOn w:val="700"/>
    <w:next w:val="700"/>
    <w:uiPriority w:val="0"/>
    <w:semiHidden/>
    <w:qFormat/>
    <w:pPr>
      <w:ind w:left="840" w:hanging="420"/>
    </w:pPr>
  </w:style>
  <w:style w:type="paragraph" w:styleId="754">
    <w:name w:val="toc 2"/>
    <w:basedOn w:val="700"/>
    <w:next w:val="700"/>
    <w:uiPriority w:val="39"/>
    <w:qFormat/>
    <w:pPr>
      <w:ind w:left="250"/>
      <w:jc w:val="left"/>
      <w:spacing w:line="400" w:lineRule="exact"/>
      <w:tabs>
        <w:tab w:val="right" w:pos="9450" w:leader="dot"/>
      </w:tabs>
    </w:pPr>
    <w:rPr>
      <w:bCs/>
      <w:smallCaps/>
      <w:szCs w:val="24"/>
    </w:rPr>
  </w:style>
  <w:style w:type="paragraph" w:styleId="755">
    <w:name w:val="toc 9"/>
    <w:basedOn w:val="700"/>
    <w:next w:val="700"/>
    <w:uiPriority w:val="0"/>
    <w:qFormat/>
    <w:pPr>
      <w:ind w:left="1680"/>
      <w:jc w:val="left"/>
    </w:pPr>
    <w:rPr>
      <w:szCs w:val="21"/>
    </w:rPr>
  </w:style>
  <w:style w:type="paragraph" w:styleId="756">
    <w:name w:val="Body Text 2"/>
    <w:basedOn w:val="700"/>
    <w:link w:val="809"/>
    <w:uiPriority w:val="99"/>
    <w:qFormat/>
    <w:pPr>
      <w:spacing w:after="120" w:line="480" w:lineRule="auto"/>
    </w:pPr>
  </w:style>
  <w:style w:type="paragraph" w:styleId="757">
    <w:name w:val="HTML Preformatted"/>
    <w:basedOn w:val="700"/>
    <w:link w:val="8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58">
    <w:name w:val="Normal (Web)"/>
    <w:basedOn w:val="700"/>
    <w:link w:val="811"/>
    <w:uiPriority w:val="0"/>
    <w:unhideWhenUsed/>
    <w:qFormat/>
    <w:pPr>
      <w:jc w:val="left"/>
      <w:spacing w:before="100" w:beforeAutospacing="1" w:after="100" w:afterAutospacing="1"/>
      <w:widowControl/>
    </w:pPr>
    <w:rPr>
      <w:rFonts w:ascii="宋体" w:hAnsi="宋体" w:eastAsia="方正楷体_GB2312" w:cs="宋体"/>
    </w:rPr>
  </w:style>
  <w:style w:type="paragraph" w:styleId="759">
    <w:name w:val="index 2"/>
    <w:basedOn w:val="700"/>
    <w:next w:val="700"/>
    <w:uiPriority w:val="0"/>
    <w:semiHidden/>
    <w:qFormat/>
    <w:pPr>
      <w:ind w:left="200"/>
    </w:pPr>
  </w:style>
  <w:style w:type="paragraph" w:styleId="760">
    <w:name w:val="Title"/>
    <w:basedOn w:val="700"/>
    <w:next w:val="700"/>
    <w:link w:val="812"/>
    <w:uiPriority w:val="0"/>
    <w:qFormat/>
    <w:pPr>
      <w:jc w:val="center"/>
      <w:spacing w:before="240" w:after="60"/>
      <w:outlineLvl w:val="0"/>
    </w:pPr>
    <w:rPr>
      <w:rFonts w:ascii="Cambria" w:hAnsi="Cambria"/>
      <w:b/>
      <w:bCs/>
      <w:sz w:val="32"/>
      <w:szCs w:val="32"/>
    </w:rPr>
  </w:style>
  <w:style w:type="paragraph" w:styleId="761">
    <w:name w:val="annotation subject"/>
    <w:basedOn w:val="723"/>
    <w:next w:val="723"/>
    <w:link w:val="813"/>
    <w:uiPriority w:val="99"/>
    <w:qFormat/>
    <w:rPr>
      <w:rFonts w:eastAsia="方正楷体_GB2312"/>
      <w:b/>
      <w:bCs/>
      <w:sz w:val="26"/>
    </w:rPr>
  </w:style>
  <w:style w:type="paragraph" w:styleId="762">
    <w:name w:val="Body Text First Indent"/>
    <w:basedOn w:val="712"/>
    <w:link w:val="798"/>
    <w:uiPriority w:val="0"/>
    <w:qFormat/>
    <w:pPr>
      <w:ind w:firstLine="420"/>
      <w:spacing w:after="120"/>
    </w:pPr>
    <w:rPr>
      <w:rFonts w:ascii="Tahoma" w:hAnsi="Tahoma" w:eastAsia="Times New Roman"/>
      <w:sz w:val="21"/>
      <w:szCs w:val="24"/>
    </w:rPr>
  </w:style>
  <w:style w:type="paragraph" w:styleId="763">
    <w:name w:val="Body Text First Indent 2"/>
    <w:basedOn w:val="726"/>
    <w:link w:val="814"/>
    <w:uiPriority w:val="0"/>
    <w:qFormat/>
    <w:pPr>
      <w:ind w:left="420" w:firstLine="420"/>
      <w:spacing w:after="120" w:line="240" w:lineRule="auto"/>
    </w:pPr>
    <w:rPr>
      <w:rFonts w:ascii="Times New Roman"/>
      <w:sz w:val="21"/>
      <w:szCs w:val="24"/>
    </w:rPr>
  </w:style>
  <w:style w:type="table" w:styleId="764">
    <w:name w:val="Table Grid"/>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bCs/>
    </w:rPr>
  </w:style>
  <w:style w:type="character" w:styleId="766">
    <w:name w:val="page number"/>
    <w:uiPriority w:val="0"/>
    <w:qFormat/>
  </w:style>
  <w:style w:type="character" w:styleId="767">
    <w:name w:val="FollowedHyperlink"/>
    <w:uiPriority w:val="99"/>
    <w:qFormat/>
    <w:rPr>
      <w:color w:val="333333"/>
      <w:u w:val="none"/>
    </w:rPr>
  </w:style>
  <w:style w:type="character" w:styleId="768">
    <w:name w:val="Emphasis"/>
    <w:basedOn w:val="710"/>
    <w:uiPriority w:val="20"/>
    <w:qFormat/>
    <w:rPr>
      <w:i/>
      <w:iCs/>
    </w:rPr>
  </w:style>
  <w:style w:type="character" w:styleId="769">
    <w:name w:val="line number"/>
    <w:uiPriority w:val="0"/>
    <w:qFormat/>
    <w:rPr>
      <w:rFonts w:ascii="Tahoma" w:hAnsi="Tahoma" w:eastAsia="宋体"/>
      <w:sz w:val="24"/>
      <w:szCs w:val="24"/>
      <w:lang w:val="en-US" w:eastAsia="zh-CN" w:bidi="ar-SA"/>
    </w:rPr>
  </w:style>
  <w:style w:type="character" w:styleId="770">
    <w:name w:val="HTML Definition"/>
    <w:uiPriority w:val="0"/>
    <w:unhideWhenUsed/>
    <w:qFormat/>
  </w:style>
  <w:style w:type="character" w:styleId="771">
    <w:name w:val="HTML Typewriter"/>
    <w:uiPriority w:val="0"/>
    <w:qFormat/>
    <w:rPr>
      <w:rFonts w:ascii="黑体" w:hAnsi="Courier New" w:eastAsia="黑体"/>
      <w:sz w:val="14"/>
    </w:rPr>
  </w:style>
  <w:style w:type="character" w:styleId="772">
    <w:name w:val="HTML Acronym"/>
    <w:uiPriority w:val="0"/>
    <w:unhideWhenUsed/>
    <w:qFormat/>
  </w:style>
  <w:style w:type="character" w:styleId="773">
    <w:name w:val="HTML Variable"/>
    <w:uiPriority w:val="0"/>
    <w:unhideWhenUsed/>
    <w:qFormat/>
  </w:style>
  <w:style w:type="character" w:styleId="774">
    <w:name w:val="Hyperlink"/>
    <w:uiPriority w:val="99"/>
    <w:qFormat/>
    <w:rPr>
      <w:color w:val="333333"/>
      <w:u w:val="none"/>
    </w:rPr>
  </w:style>
  <w:style w:type="character" w:styleId="775">
    <w:name w:val="HTML Code"/>
    <w:uiPriority w:val="0"/>
    <w:unhideWhenUsed/>
    <w:qFormat/>
    <w:rPr>
      <w:rFonts w:hint="default" w:ascii="Consolas" w:hAnsi="Consolas" w:eastAsia="Consolas" w:cs="Consolas"/>
      <w:sz w:val="20"/>
    </w:rPr>
  </w:style>
  <w:style w:type="character" w:styleId="776">
    <w:name w:val="annotation reference"/>
    <w:uiPriority w:val="99"/>
    <w:qFormat/>
    <w:rPr>
      <w:sz w:val="21"/>
      <w:szCs w:val="21"/>
    </w:rPr>
  </w:style>
  <w:style w:type="character" w:styleId="777">
    <w:name w:val="HTML Cite"/>
    <w:uiPriority w:val="0"/>
    <w:unhideWhenUsed/>
    <w:qFormat/>
  </w:style>
  <w:style w:type="character" w:styleId="778">
    <w:name w:val="footnote reference"/>
    <w:uiPriority w:val="0"/>
    <w:qFormat/>
    <w:rPr>
      <w:vertAlign w:val="superscript"/>
    </w:rPr>
  </w:style>
  <w:style w:type="character" w:styleId="779">
    <w:name w:val="HTML Keyboard"/>
    <w:uiPriority w:val="0"/>
    <w:unhideWhenUsed/>
    <w:qFormat/>
    <w:rPr>
      <w:rFonts w:hint="default" w:ascii="Consolas" w:hAnsi="Consolas" w:eastAsia="Consolas" w:cs="Consolas"/>
      <w:sz w:val="20"/>
    </w:rPr>
  </w:style>
  <w:style w:type="character" w:styleId="780">
    <w:name w:val="HTML Sample"/>
    <w:uiPriority w:val="0"/>
    <w:unhideWhenUsed/>
    <w:qFormat/>
    <w:rPr>
      <w:rFonts w:hint="default" w:ascii="Consolas" w:hAnsi="Consolas" w:eastAsia="Consolas" w:cs="Consolas"/>
    </w:rPr>
  </w:style>
  <w:style w:type="paragraph" w:styleId="781" w:customStyle="1">
    <w:name w:val="标题 211"/>
    <w:basedOn w:val="700"/>
    <w:next w:val="700"/>
    <w:uiPriority w:val="9"/>
    <w:unhideWhenUsed/>
    <w:qFormat/>
    <w:pPr>
      <w:keepLines/>
      <w:keepNext/>
      <w:spacing w:before="360" w:after="200"/>
      <w:outlineLvl w:val="1"/>
    </w:pPr>
    <w:rPr>
      <w:rFonts w:ascii="Arial" w:hAnsi="Arial" w:cs="Arial"/>
      <w:sz w:val="34"/>
      <w:szCs w:val="22"/>
    </w:rPr>
  </w:style>
  <w:style w:type="character" w:styleId="782" w:customStyle="1">
    <w:name w:val="标题 1 字符1"/>
    <w:uiPriority w:val="0"/>
    <w:qFormat/>
    <w:rPr>
      <w:rFonts w:ascii="宋体" w:hAnsi="宋体"/>
      <w:b/>
      <w:sz w:val="36"/>
    </w:rPr>
  </w:style>
  <w:style w:type="character" w:styleId="783" w:customStyle="1">
    <w:name w:val="标题 2 字符1"/>
    <w:link w:val="702"/>
    <w:uiPriority w:val="0"/>
    <w:qFormat/>
    <w:rPr>
      <w:rFonts w:ascii="宋体" w:hAnsi="宋体"/>
      <w:b/>
      <w:bCs/>
      <w:sz w:val="28"/>
      <w:szCs w:val="28"/>
    </w:rPr>
  </w:style>
  <w:style w:type="character" w:styleId="784" w:customStyle="1">
    <w:name w:val="标题 3 字符2"/>
    <w:link w:val="703"/>
    <w:uiPriority w:val="0"/>
    <w:qFormat/>
    <w:rPr>
      <w:rFonts w:ascii="宋体" w:hAnsi="宋体" w:eastAsia="宋体"/>
      <w:sz w:val="28"/>
      <w:lang w:val="en-US" w:eastAsia="zh-CN" w:bidi="ar-SA"/>
    </w:rPr>
  </w:style>
  <w:style w:type="character" w:styleId="785" w:customStyle="1">
    <w:name w:val="标题 4 字符1"/>
    <w:link w:val="704"/>
    <w:uiPriority w:val="0"/>
    <w:qFormat/>
    <w:rPr>
      <w:b/>
      <w:bCs/>
      <w:sz w:val="18"/>
    </w:rPr>
  </w:style>
  <w:style w:type="character" w:styleId="786" w:customStyle="1">
    <w:name w:val="标题 5 字符1"/>
    <w:link w:val="705"/>
    <w:uiPriority w:val="0"/>
    <w:qFormat/>
    <w:rPr>
      <w:rFonts w:eastAsia="宋体"/>
      <w:b/>
      <w:bCs/>
      <w:sz w:val="18"/>
      <w:lang w:val="en-US" w:eastAsia="zh-CN" w:bidi="ar-SA"/>
    </w:rPr>
  </w:style>
  <w:style w:type="character" w:styleId="787" w:customStyle="1">
    <w:name w:val="标题 6 字符1"/>
    <w:link w:val="706"/>
    <w:uiPriority w:val="0"/>
    <w:qFormat/>
    <w:rPr>
      <w:rFonts w:ascii="Cambria" w:hAnsi="Cambria" w:eastAsia="黑体"/>
      <w:b/>
      <w:bCs/>
      <w:sz w:val="28"/>
      <w:szCs w:val="24"/>
    </w:rPr>
  </w:style>
  <w:style w:type="character" w:styleId="788" w:customStyle="1">
    <w:name w:val="标题 7 字符1"/>
    <w:link w:val="707"/>
    <w:uiPriority w:val="0"/>
    <w:qFormat/>
    <w:rPr>
      <w:rFonts w:ascii="Arial" w:hAnsi="Arial" w:cs="Arial"/>
      <w:b/>
      <w:bCs/>
      <w:sz w:val="16"/>
      <w:szCs w:val="16"/>
    </w:rPr>
  </w:style>
  <w:style w:type="character" w:styleId="789" w:customStyle="1">
    <w:name w:val="标题 8 字符1"/>
    <w:link w:val="708"/>
    <w:uiPriority w:val="0"/>
    <w:qFormat/>
    <w:rPr>
      <w:b/>
      <w:bCs/>
      <w:sz w:val="24"/>
      <w:szCs w:val="24"/>
    </w:rPr>
  </w:style>
  <w:style w:type="character" w:styleId="790" w:customStyle="1">
    <w:name w:val="标题 9 字符1"/>
    <w:link w:val="709"/>
    <w:uiPriority w:val="0"/>
    <w:qFormat/>
    <w:rPr>
      <w:b/>
      <w:bCs/>
      <w:sz w:val="21"/>
      <w:szCs w:val="24"/>
    </w:rPr>
  </w:style>
  <w:style w:type="character" w:styleId="791" w:customStyle="1">
    <w:name w:val="注释标题 字符"/>
    <w:link w:val="716"/>
    <w:uiPriority w:val="0"/>
    <w:qFormat/>
    <w:rPr>
      <w:sz w:val="24"/>
      <w:szCs w:val="24"/>
    </w:rPr>
  </w:style>
  <w:style w:type="character" w:styleId="792" w:customStyle="1">
    <w:name w:val="正文缩进 字符3"/>
    <w:link w:val="718"/>
    <w:uiPriority w:val="0"/>
    <w:qFormat/>
    <w:rPr>
      <w:sz w:val="21"/>
    </w:rPr>
  </w:style>
  <w:style w:type="character" w:styleId="793" w:customStyle="1">
    <w:name w:val="题注 字符"/>
    <w:link w:val="719"/>
    <w:uiPriority w:val="0"/>
    <w:qFormat/>
    <w:rPr>
      <w:rFonts w:ascii="Arial" w:hAnsi="Arial" w:eastAsia="黑体"/>
    </w:rPr>
  </w:style>
  <w:style w:type="character" w:styleId="794" w:customStyle="1">
    <w:name w:val="文档结构图 字符"/>
    <w:link w:val="722"/>
    <w:uiPriority w:val="0"/>
    <w:qFormat/>
    <w:rPr>
      <w:rFonts w:ascii="Times New Roman" w:hAnsi="Times New Roman" w:eastAsia="宋体"/>
      <w:sz w:val="21"/>
      <w:shd w:val="clear" w:color="auto" w:fill="000080"/>
    </w:rPr>
  </w:style>
  <w:style w:type="character" w:styleId="795" w:customStyle="1">
    <w:name w:val="批注文字 字符1"/>
    <w:link w:val="723"/>
    <w:uiPriority w:val="99"/>
    <w:qFormat/>
    <w:rPr>
      <w:rFonts w:ascii="Calibri" w:hAnsi="Calibri"/>
      <w:sz w:val="21"/>
      <w:szCs w:val="22"/>
    </w:rPr>
  </w:style>
  <w:style w:type="character" w:styleId="796" w:customStyle="1">
    <w:name w:val="正文文本 3 字符"/>
    <w:link w:val="725"/>
    <w:uiPriority w:val="99"/>
    <w:qFormat/>
    <w:rPr>
      <w:rFonts w:ascii="宋体" w:hAnsi="宋体" w:eastAsia="方正楷体_GB2312"/>
      <w:sz w:val="26"/>
    </w:rPr>
  </w:style>
  <w:style w:type="character" w:styleId="797" w:customStyle="1">
    <w:name w:val="正文文本 字符1"/>
    <w:link w:val="712"/>
    <w:uiPriority w:val="0"/>
    <w:qFormat/>
    <w:rPr>
      <w:rFonts w:ascii="方正楷体_GB2312" w:hAnsi="Arial" w:eastAsia="方正楷体_GB2312"/>
      <w:sz w:val="28"/>
    </w:rPr>
  </w:style>
  <w:style w:type="character" w:styleId="798" w:customStyle="1">
    <w:name w:val="正文文本首行缩进 字符"/>
    <w:link w:val="762"/>
    <w:uiPriority w:val="0"/>
    <w:qFormat/>
    <w:rPr>
      <w:rFonts w:ascii="Tahoma" w:hAnsi="Tahoma" w:eastAsia="Times New Roman"/>
      <w:sz w:val="21"/>
      <w:szCs w:val="24"/>
      <w:lang w:val="en-US" w:eastAsia="zh-CN" w:bidi="ar-SA"/>
    </w:rPr>
  </w:style>
  <w:style w:type="character" w:styleId="799" w:customStyle="1">
    <w:name w:val="正文文本缩进 字符3"/>
    <w:link w:val="726"/>
    <w:uiPriority w:val="0"/>
    <w:qFormat/>
    <w:rPr>
      <w:rFonts w:ascii="宋体" w:eastAsia="宋体"/>
      <w:sz w:val="28"/>
      <w:lang w:val="en-US" w:eastAsia="zh-CN" w:bidi="ar-SA"/>
    </w:rPr>
  </w:style>
  <w:style w:type="character" w:styleId="800" w:customStyle="1">
    <w:name w:val="纯文本 字符1"/>
    <w:link w:val="733"/>
    <w:uiPriority w:val="0"/>
    <w:qFormat/>
    <w:rPr>
      <w:rFonts w:ascii="宋体" w:hAnsi="Courier New" w:eastAsia="宋体"/>
      <w:sz w:val="21"/>
      <w:lang w:val="en-US" w:eastAsia="zh-CN" w:bidi="ar-SA"/>
    </w:rPr>
  </w:style>
  <w:style w:type="character" w:styleId="801" w:customStyle="1">
    <w:name w:val="日期 字符1"/>
    <w:link w:val="736"/>
    <w:uiPriority w:val="0"/>
    <w:qFormat/>
    <w:rPr>
      <w:rFonts w:ascii="宋体"/>
      <w:sz w:val="28"/>
    </w:rPr>
  </w:style>
  <w:style w:type="character" w:styleId="802" w:customStyle="1">
    <w:name w:val="正文文本缩进 2 字符"/>
    <w:link w:val="737"/>
    <w:uiPriority w:val="0"/>
    <w:qFormat/>
    <w:rPr>
      <w:sz w:val="24"/>
    </w:rPr>
  </w:style>
  <w:style w:type="character" w:styleId="803" w:customStyle="1">
    <w:name w:val="批注框文本 字符1"/>
    <w:link w:val="738"/>
    <w:uiPriority w:val="0"/>
    <w:qFormat/>
    <w:rPr>
      <w:rFonts w:ascii="Calibri" w:hAnsi="Calibri" w:eastAsia="宋体"/>
      <w:sz w:val="18"/>
      <w:szCs w:val="18"/>
      <w:lang w:val="en-US" w:eastAsia="zh-CN" w:bidi="ar-SA"/>
    </w:rPr>
  </w:style>
  <w:style w:type="character" w:styleId="804" w:customStyle="1">
    <w:name w:val="页脚 字符2"/>
    <w:link w:val="739"/>
    <w:uiPriority w:val="99"/>
    <w:qFormat/>
    <w:rPr>
      <w:rFonts w:eastAsia="宋体"/>
      <w:sz w:val="18"/>
      <w:lang w:val="en-US" w:eastAsia="zh-CN" w:bidi="ar-SA"/>
    </w:rPr>
  </w:style>
  <w:style w:type="character" w:styleId="805" w:customStyle="1">
    <w:name w:val="页眉 字符2"/>
    <w:link w:val="741"/>
    <w:uiPriority w:val="99"/>
    <w:qFormat/>
    <w:rPr>
      <w:rFonts w:eastAsia="宋体"/>
      <w:sz w:val="18"/>
      <w:lang w:val="en-US" w:eastAsia="zh-CN" w:bidi="ar-SA"/>
    </w:rPr>
  </w:style>
  <w:style w:type="character" w:styleId="806" w:customStyle="1">
    <w:name w:val="签名 字符"/>
    <w:link w:val="742"/>
    <w:uiPriority w:val="0"/>
    <w:qFormat/>
    <w:rPr>
      <w:rFonts w:eastAsia="方正仿宋_GB2312"/>
      <w:sz w:val="24"/>
    </w:rPr>
  </w:style>
  <w:style w:type="character" w:styleId="807" w:customStyle="1">
    <w:name w:val="副标题 字符"/>
    <w:link w:val="747"/>
    <w:uiPriority w:val="0"/>
    <w:qFormat/>
    <w:rPr>
      <w:rFonts w:ascii="Cambria" w:hAnsi="Cambria" w:eastAsia="宋体"/>
      <w:b/>
      <w:bCs/>
      <w:sz w:val="32"/>
      <w:szCs w:val="32"/>
      <w:lang w:val="en-US" w:eastAsia="zh-CN" w:bidi="ar-SA"/>
    </w:rPr>
  </w:style>
  <w:style w:type="character" w:styleId="808" w:customStyle="1">
    <w:name w:val="正文文本缩进 3 字符1"/>
    <w:link w:val="750"/>
    <w:uiPriority w:val="99"/>
    <w:qFormat/>
    <w:rPr>
      <w:b/>
      <w:bCs/>
      <w:sz w:val="28"/>
      <w:u w:val="single"/>
    </w:rPr>
  </w:style>
  <w:style w:type="character" w:styleId="809" w:customStyle="1">
    <w:name w:val="正文文本 2 字符1"/>
    <w:link w:val="756"/>
    <w:uiPriority w:val="99"/>
    <w:qFormat/>
    <w:rPr>
      <w:sz w:val="21"/>
    </w:rPr>
  </w:style>
  <w:style w:type="character" w:styleId="810" w:customStyle="1">
    <w:name w:val="HTML 预设格式 字符1"/>
    <w:link w:val="757"/>
    <w:uiPriority w:val="0"/>
    <w:qFormat/>
    <w:rPr>
      <w:rFonts w:ascii="黑体" w:hAnsi="Courier New" w:eastAsia="黑体" w:cs="Times New Roman"/>
      <w:szCs w:val="24"/>
    </w:rPr>
  </w:style>
  <w:style w:type="character" w:styleId="811" w:customStyle="1">
    <w:name w:val="普通(网站) 字符"/>
    <w:link w:val="758"/>
    <w:uiPriority w:val="0"/>
    <w:qFormat/>
    <w:rPr>
      <w:rFonts w:ascii="宋体" w:hAnsi="宋体" w:eastAsia="方正楷体_GB2312" w:cs="宋体"/>
      <w:sz w:val="24"/>
    </w:rPr>
  </w:style>
  <w:style w:type="character" w:styleId="812" w:customStyle="1">
    <w:name w:val="标题 字符"/>
    <w:link w:val="760"/>
    <w:uiPriority w:val="0"/>
    <w:qFormat/>
    <w:rPr>
      <w:rFonts w:ascii="Cambria" w:hAnsi="Cambria" w:eastAsia="宋体"/>
      <w:b/>
      <w:bCs/>
      <w:sz w:val="32"/>
      <w:szCs w:val="32"/>
      <w:lang w:val="en-US" w:eastAsia="zh-CN" w:bidi="ar-SA"/>
    </w:rPr>
  </w:style>
  <w:style w:type="character" w:styleId="813" w:customStyle="1">
    <w:name w:val="批注主题 字符1"/>
    <w:link w:val="761"/>
    <w:uiPriority w:val="99"/>
    <w:qFormat/>
    <w:rPr>
      <w:rFonts w:ascii="Calibri" w:hAnsi="Calibri" w:eastAsia="方正楷体_GB2312"/>
      <w:b/>
      <w:bCs/>
      <w:sz w:val="26"/>
      <w:szCs w:val="22"/>
    </w:rPr>
  </w:style>
  <w:style w:type="character" w:styleId="814" w:customStyle="1">
    <w:name w:val="正文文本首行缩进 2 字符"/>
    <w:link w:val="763"/>
    <w:uiPriority w:val="0"/>
    <w:qFormat/>
    <w:rPr>
      <w:sz w:val="21"/>
      <w:szCs w:val="24"/>
    </w:rPr>
  </w:style>
  <w:style w:type="character" w:styleId="815" w:customStyle="1">
    <w:name w:val="标题 1 字符"/>
    <w:link w:val="701"/>
    <w:uiPriority w:val="0"/>
    <w:qFormat/>
    <w:rPr>
      <w:rFonts w:eastAsia="方正楷体_GB2312"/>
      <w:b/>
      <w:sz w:val="44"/>
      <w:lang w:val="en-US" w:eastAsia="zh-CN" w:bidi="ar-SA"/>
    </w:rPr>
  </w:style>
  <w:style w:type="character" w:styleId="816" w:customStyle="1">
    <w:name w:val="标题 6 字符"/>
    <w:uiPriority w:val="0"/>
    <w:qFormat/>
    <w:rPr>
      <w:rFonts w:ascii="Arial" w:hAnsi="Arial" w:eastAsia="黑体"/>
      <w:b/>
      <w:bCs/>
      <w:sz w:val="24"/>
      <w:szCs w:val="24"/>
      <w:lang w:val="en-US" w:eastAsia="zh-CN" w:bidi="ar-SA"/>
    </w:rPr>
  </w:style>
  <w:style w:type="paragraph" w:styleId="817" w:customStyle="1">
    <w:name w:val="标题7"/>
    <w:basedOn w:val="700"/>
    <w:uiPriority w:val="0"/>
    <w:qFormat/>
    <w:pPr>
      <w:jc w:val="left"/>
      <w:widowControl/>
    </w:pPr>
    <w:rPr>
      <w:rFonts w:ascii="宋体" w:hAnsi="宋体" w:cs="宋体"/>
      <w:szCs w:val="24"/>
    </w:rPr>
  </w:style>
  <w:style w:type="paragraph" w:styleId="818" w:customStyle="1">
    <w:name w:val="页脚1"/>
    <w:basedOn w:val="700"/>
    <w:uiPriority w:val="99"/>
    <w:qFormat/>
    <w:pPr>
      <w:jc w:val="left"/>
      <w:tabs>
        <w:tab w:val="center" w:pos="4153" w:leader="none"/>
        <w:tab w:val="right" w:pos="8306" w:leader="none"/>
      </w:tabs>
    </w:pPr>
    <w:rPr>
      <w:sz w:val="18"/>
      <w:szCs w:val="18"/>
    </w:rPr>
  </w:style>
  <w:style w:type="paragraph" w:styleId="819" w:customStyle="1">
    <w:name w:val="段"/>
    <w:next w:val="700"/>
    <w:uiPriority w:val="0"/>
    <w:qFormat/>
    <w:pPr>
      <w:ind w:firstLine="200"/>
      <w:jc w:val="both"/>
    </w:pPr>
    <w:rPr>
      <w:rFonts w:ascii="宋体" w:hAnsi="Times New Roman" w:eastAsia="宋体" w:cs="Times New Roman"/>
      <w:sz w:val="21"/>
      <w:lang w:val="en-US" w:eastAsia="zh-CN" w:bidi="ar-SA"/>
    </w:rPr>
  </w:style>
  <w:style w:type="paragraph" w:styleId="820" w:customStyle="1">
    <w:name w:val="首行缩进"/>
    <w:basedOn w:val="700"/>
    <w:uiPriority w:val="0"/>
    <w:qFormat/>
    <w:pPr>
      <w:ind w:firstLine="480"/>
    </w:pPr>
    <w:rPr>
      <w:lang w:val="zh-CN"/>
    </w:rPr>
  </w:style>
  <w:style w:type="paragraph" w:styleId="82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22" w:customStyle="1">
    <w:name w:val="正文文本 字符"/>
    <w:uiPriority w:val="0"/>
    <w:qFormat/>
    <w:rPr>
      <w:rFonts w:ascii="Tahoma" w:hAnsi="Tahoma" w:eastAsia="Times New Roman"/>
      <w:sz w:val="21"/>
      <w:szCs w:val="24"/>
      <w:lang w:val="en-US" w:eastAsia="zh-CN" w:bidi="ar-SA"/>
    </w:rPr>
  </w:style>
  <w:style w:type="character" w:styleId="823" w:customStyle="1">
    <w:name w:val="A8"/>
    <w:uiPriority w:val="0"/>
    <w:qFormat/>
    <w:rPr>
      <w:rFonts w:ascii="华文细黑" w:eastAsia="华文细黑" w:cs="华文细黑"/>
      <w:color w:val="000000"/>
      <w:sz w:val="14"/>
      <w:szCs w:val="14"/>
    </w:rPr>
  </w:style>
  <w:style w:type="character" w:styleId="824" w:customStyle="1">
    <w:name w:val="标题 3 字符1"/>
    <w:uiPriority w:val="0"/>
    <w:qFormat/>
    <w:rPr>
      <w:rFonts w:ascii="宋体" w:hAnsi="宋体" w:eastAsia="宋体"/>
      <w:sz w:val="28"/>
      <w:lang w:val="en-US" w:eastAsia="zh-CN" w:bidi="ar-SA"/>
    </w:rPr>
  </w:style>
  <w:style w:type="character" w:styleId="825" w:customStyle="1">
    <w:name w:val="正文缩进1 Char"/>
    <w:uiPriority w:val="0"/>
    <w:qFormat/>
    <w:rPr>
      <w:rFonts w:ascii="Times New Roman" w:hAnsi="Times New Roman" w:eastAsia="方正楷体_GB2312" w:cs="Times New Roman"/>
      <w:sz w:val="24"/>
      <w:szCs w:val="20"/>
    </w:rPr>
  </w:style>
  <w:style w:type="character" w:styleId="826" w:customStyle="1">
    <w:name w:val="ih151"/>
    <w:uiPriority w:val="0"/>
    <w:qFormat/>
    <w:rPr>
      <w:color w:val="666666"/>
      <w:sz w:val="18"/>
      <w:szCs w:val="18"/>
      <w:u w:val="none"/>
    </w:rPr>
  </w:style>
  <w:style w:type="character" w:styleId="827" w:customStyle="1">
    <w:name w:val="02 标题 Char"/>
    <w:link w:val="828"/>
    <w:uiPriority w:val="0"/>
    <w:qFormat/>
    <w:rPr>
      <w:b/>
      <w:sz w:val="21"/>
      <w:szCs w:val="21"/>
    </w:rPr>
  </w:style>
  <w:style w:type="paragraph" w:styleId="828" w:customStyle="1">
    <w:name w:val="02 标题"/>
    <w:basedOn w:val="700"/>
    <w:link w:val="827"/>
    <w:uiPriority w:val="0"/>
    <w:qFormat/>
    <w:pPr>
      <w:keepNext/>
      <w:spacing w:line="360" w:lineRule="auto"/>
      <w:widowControl/>
      <w:outlineLvl w:val="0"/>
    </w:pPr>
    <w:rPr>
      <w:b/>
      <w:szCs w:val="21"/>
    </w:rPr>
  </w:style>
  <w:style w:type="character" w:styleId="829" w:customStyle="1">
    <w:name w:val="3级方案标题 字符"/>
    <w:link w:val="830"/>
    <w:uiPriority w:val="0"/>
    <w:qFormat/>
    <w:rPr>
      <w:rFonts w:ascii="宋体" w:hAnsi="宋体"/>
      <w:b/>
      <w:color w:val="000000"/>
      <w:sz w:val="32"/>
      <w:szCs w:val="32"/>
    </w:rPr>
  </w:style>
  <w:style w:type="paragraph" w:styleId="830" w:customStyle="1">
    <w:name w:val="3级方案标题"/>
    <w:basedOn w:val="703"/>
    <w:link w:val="829"/>
    <w:uiPriority w:val="0"/>
    <w:qFormat/>
    <w:pPr>
      <w:ind w:left="1260" w:hanging="420"/>
      <w:jc w:val="both"/>
      <w:keepLines/>
      <w:spacing w:before="100" w:beforeAutospacing="1" w:after="100" w:afterAutospacing="1" w:line="360" w:lineRule="auto"/>
      <w:tabs>
        <w:tab w:val="left" w:pos="2717" w:leader="none"/>
        <w:tab w:val="left" w:pos="3556" w:leader="none"/>
      </w:tabs>
    </w:pPr>
    <w:rPr>
      <w:color w:val="000000"/>
      <w:sz w:val="32"/>
      <w:szCs w:val="32"/>
    </w:rPr>
  </w:style>
  <w:style w:type="character" w:styleId="831" w:customStyle="1">
    <w:name w:val="Char Char9"/>
    <w:uiPriority w:val="0"/>
    <w:qFormat/>
    <w:rPr>
      <w:sz w:val="18"/>
      <w:szCs w:val="18"/>
    </w:rPr>
  </w:style>
  <w:style w:type="character" w:styleId="832" w:customStyle="1">
    <w:name w:val="正文缩进 Char1"/>
    <w:uiPriority w:val="0"/>
    <w:qFormat/>
    <w:rPr>
      <w:rFonts w:eastAsia="方正楷体_GB2312"/>
      <w:sz w:val="24"/>
    </w:rPr>
  </w:style>
  <w:style w:type="character" w:styleId="833" w:customStyle="1">
    <w:name w:val="UH正文 Char"/>
    <w:link w:val="834"/>
    <w:uiPriority w:val="0"/>
    <w:qFormat/>
    <w:rPr>
      <w:rFonts w:ascii="Arial" w:hAnsi="Arial"/>
      <w:sz w:val="24"/>
      <w:szCs w:val="21"/>
      <w:lang w:val="en-US" w:eastAsia="zh-CN" w:bidi="ar-SA"/>
    </w:rPr>
  </w:style>
  <w:style w:type="paragraph" w:styleId="834" w:customStyle="1">
    <w:name w:val="UH正文"/>
    <w:link w:val="833"/>
    <w:uiPriority w:val="0"/>
    <w:qFormat/>
    <w:pPr>
      <w:ind w:firstLine="200"/>
      <w:spacing w:line="360" w:lineRule="auto"/>
    </w:pPr>
    <w:rPr>
      <w:rFonts w:ascii="Arial" w:hAnsi="Arial" w:eastAsia="宋体" w:cs="Times New Roman"/>
      <w:sz w:val="24"/>
      <w:szCs w:val="21"/>
      <w:lang w:val="en-US" w:eastAsia="zh-CN" w:bidi="ar-SA"/>
    </w:rPr>
  </w:style>
  <w:style w:type="character" w:styleId="835" w:customStyle="1">
    <w:name w:val="Andy_3级 Char"/>
    <w:link w:val="836"/>
    <w:uiPriority w:val="0"/>
    <w:qFormat/>
    <w:rPr>
      <w:rFonts w:ascii="Calibri" w:hAnsi="Calibri"/>
      <w:sz w:val="24"/>
    </w:rPr>
  </w:style>
  <w:style w:type="paragraph" w:styleId="836" w:customStyle="1">
    <w:name w:val="Andy_3级"/>
    <w:basedOn w:val="700"/>
    <w:link w:val="835"/>
    <w:uiPriority w:val="0"/>
    <w:qFormat/>
    <w:pPr>
      <w:ind w:left="1260" w:hanging="420"/>
      <w:spacing w:line="360" w:lineRule="auto"/>
      <w:tabs>
        <w:tab w:val="left" w:pos="1260" w:leader="none"/>
      </w:tabs>
    </w:pPr>
    <w:rPr>
      <w:rFonts w:ascii="Calibri" w:hAnsi="Calibri"/>
    </w:rPr>
  </w:style>
  <w:style w:type="character" w:styleId="837" w:customStyle="1">
    <w:name w:val="Plain Text Char1"/>
    <w:link w:val="838"/>
    <w:uiPriority w:val="0"/>
    <w:qFormat/>
    <w:rPr>
      <w:rFonts w:ascii="宋体" w:hAnsi="Courier New" w:eastAsia="方正楷体_GB2312"/>
      <w:sz w:val="26"/>
    </w:rPr>
  </w:style>
  <w:style w:type="paragraph" w:styleId="838" w:customStyle="1">
    <w:name w:val="纯文本1"/>
    <w:basedOn w:val="700"/>
    <w:link w:val="837"/>
    <w:uiPriority w:val="0"/>
    <w:qFormat/>
    <w:rPr>
      <w:rFonts w:ascii="宋体" w:hAnsi="Courier New" w:eastAsia="方正楷体_GB2312"/>
      <w:sz w:val="26"/>
    </w:rPr>
  </w:style>
  <w:style w:type="character" w:styleId="839" w:customStyle="1">
    <w:name w:val="不明显参考1"/>
    <w:uiPriority w:val="0"/>
    <w:qFormat/>
    <w:rPr>
      <w:smallCaps/>
      <w:color w:val="c0504d"/>
      <w:u w:val="single"/>
    </w:rPr>
  </w:style>
  <w:style w:type="character" w:styleId="840" w:customStyle="1">
    <w:name w:val="样式6 Char"/>
    <w:link w:val="841"/>
    <w:uiPriority w:val="0"/>
    <w:qFormat/>
    <w:rPr>
      <w:rFonts w:ascii="Arial" w:hAnsi="Arial"/>
      <w:b/>
      <w:bCs/>
      <w:sz w:val="28"/>
      <w:szCs w:val="32"/>
    </w:rPr>
  </w:style>
  <w:style w:type="paragraph" w:styleId="841" w:customStyle="1">
    <w:name w:val="样式6"/>
    <w:basedOn w:val="702"/>
    <w:link w:val="840"/>
    <w:uiPriority w:val="0"/>
    <w:qFormat/>
    <w:pPr>
      <w:jc w:val="both"/>
      <w:keepLines/>
    </w:pPr>
    <w:rPr>
      <w:rFonts w:ascii="Arial" w:hAnsi="Arial"/>
      <w:szCs w:val="32"/>
    </w:rPr>
  </w:style>
  <w:style w:type="character" w:styleId="842" w:customStyle="1">
    <w:name w:val="*正文 Char"/>
    <w:link w:val="843"/>
    <w:uiPriority w:val="0"/>
    <w:qFormat/>
    <w:rPr>
      <w:rFonts w:ascii="宋体" w:hAnsi="宋体" w:cs="MS Gothic"/>
      <w:sz w:val="24"/>
      <w:szCs w:val="21"/>
      <w:u w:val="none"/>
    </w:rPr>
  </w:style>
  <w:style w:type="paragraph" w:styleId="843" w:customStyle="1">
    <w:name w:val="*正文"/>
    <w:basedOn w:val="700"/>
    <w:link w:val="842"/>
    <w:uiPriority w:val="0"/>
    <w:qFormat/>
    <w:pPr>
      <w:ind w:firstLine="480"/>
      <w:spacing w:line="360" w:lineRule="auto"/>
    </w:pPr>
    <w:rPr>
      <w:rFonts w:ascii="宋体" w:hAnsi="宋体"/>
      <w:szCs w:val="21"/>
    </w:rPr>
  </w:style>
  <w:style w:type="character" w:styleId="844" w:customStyle="1">
    <w:name w:val="王兴华的论文正文 Char"/>
    <w:link w:val="845"/>
    <w:uiPriority w:val="0"/>
    <w:qFormat/>
    <w:rPr>
      <w:rFonts w:eastAsia="宋体"/>
      <w:sz w:val="24"/>
      <w:szCs w:val="24"/>
      <w:lang w:val="en-US" w:eastAsia="zh-CN" w:bidi="ar-SA"/>
    </w:rPr>
  </w:style>
  <w:style w:type="paragraph" w:styleId="845" w:customStyle="1">
    <w:name w:val="王兴华的论文正文"/>
    <w:basedOn w:val="718"/>
    <w:link w:val="844"/>
    <w:uiPriority w:val="0"/>
    <w:qFormat/>
    <w:pPr>
      <w:ind w:firstLine="200"/>
      <w:spacing w:line="360" w:lineRule="auto"/>
    </w:pPr>
    <w:rPr>
      <w:szCs w:val="24"/>
    </w:rPr>
  </w:style>
  <w:style w:type="character" w:styleId="846" w:customStyle="1">
    <w:name w:val="页眉 字符"/>
    <w:uiPriority w:val="0"/>
    <w:qFormat/>
    <w:rPr>
      <w:rFonts w:eastAsia="宋体"/>
      <w:sz w:val="18"/>
      <w:lang w:val="en-US" w:eastAsia="zh-CN" w:bidi="ar-SA"/>
    </w:rPr>
  </w:style>
  <w:style w:type="character" w:styleId="847" w:customStyle="1">
    <w:name w:val="HTML 预设格式 Char1"/>
    <w:uiPriority w:val="0"/>
    <w:qFormat/>
    <w:rPr>
      <w:rFonts w:ascii="Courier New" w:hAnsi="Courier New" w:eastAsia="方正楷体_GB2312" w:cs="Courier New"/>
    </w:rPr>
  </w:style>
  <w:style w:type="character" w:styleId="848" w:customStyle="1">
    <w:name w:val="标题 5 字符"/>
    <w:uiPriority w:val="0"/>
    <w:qFormat/>
    <w:rPr>
      <w:rFonts w:eastAsia="宋体"/>
      <w:b/>
      <w:bCs/>
      <w:sz w:val="28"/>
      <w:szCs w:val="28"/>
      <w:lang w:val="en-US" w:eastAsia="zh-CN" w:bidi="ar-SA"/>
    </w:rPr>
  </w:style>
  <w:style w:type="character" w:styleId="849" w:customStyle="1">
    <w:name w:val="正文首行缩进2字 Char"/>
    <w:link w:val="850"/>
    <w:uiPriority w:val="0"/>
    <w:qFormat/>
    <w:rPr>
      <w:rFonts w:eastAsia="方正楷体_GB2312"/>
      <w:sz w:val="24"/>
      <w:szCs w:val="24"/>
    </w:rPr>
  </w:style>
  <w:style w:type="paragraph" w:styleId="850" w:customStyle="1">
    <w:name w:val="正文首行缩进2字"/>
    <w:basedOn w:val="700"/>
    <w:link w:val="849"/>
    <w:uiPriority w:val="0"/>
    <w:qFormat/>
    <w:pPr>
      <w:ind w:firstLine="540"/>
      <w:spacing w:line="288" w:lineRule="auto"/>
    </w:pPr>
    <w:rPr>
      <w:rFonts w:eastAsia="方正楷体_GB2312"/>
      <w:szCs w:val="24"/>
    </w:rPr>
  </w:style>
  <w:style w:type="character" w:styleId="851" w:customStyle="1">
    <w:name w:val="批注框文本 字符"/>
    <w:uiPriority w:val="0"/>
    <w:qFormat/>
    <w:rPr>
      <w:rFonts w:eastAsia="方正楷体_GB2312"/>
      <w:sz w:val="18"/>
      <w:szCs w:val="18"/>
      <w:lang w:bidi="ar-SA"/>
    </w:rPr>
  </w:style>
  <w:style w:type="character" w:styleId="852" w:customStyle="1">
    <w:name w:val="纯文本 Char"/>
    <w:uiPriority w:val="0"/>
    <w:qFormat/>
    <w:rPr>
      <w:rFonts w:ascii="宋体" w:hAnsi="Courier New" w:eastAsia="方正楷体_GB2312"/>
      <w:sz w:val="28"/>
      <w:lang w:val="en-US" w:eastAsia="zh-CN" w:bidi="ar-SA"/>
    </w:rPr>
  </w:style>
  <w:style w:type="character" w:styleId="853" w:customStyle="1">
    <w:name w:val="表格正文 Char"/>
    <w:link w:val="854"/>
    <w:uiPriority w:val="0"/>
    <w:qFormat/>
    <w:rPr>
      <w:rFonts w:ascii="等线" w:hAnsi="等线"/>
      <w:sz w:val="21"/>
      <w:szCs w:val="21"/>
    </w:rPr>
  </w:style>
  <w:style w:type="paragraph" w:styleId="854" w:customStyle="1">
    <w:name w:val="表格正文"/>
    <w:basedOn w:val="700"/>
    <w:link w:val="853"/>
    <w:uiPriority w:val="0"/>
    <w:qFormat/>
    <w:rPr>
      <w:rFonts w:ascii="等线" w:hAnsi="等线"/>
      <w:szCs w:val="21"/>
    </w:rPr>
  </w:style>
  <w:style w:type="character" w:styleId="855" w:customStyle="1">
    <w:name w:val="Char Char2"/>
    <w:uiPriority w:val="0"/>
    <w:qFormat/>
    <w:rPr>
      <w:rFonts w:ascii="宋体" w:hAnsi="宋体" w:eastAsia="方正楷体_GB2312"/>
      <w:sz w:val="24"/>
      <w:lang w:val="en-US" w:eastAsia="zh-CN" w:bidi="ar-SA"/>
    </w:rPr>
  </w:style>
  <w:style w:type="character" w:styleId="856" w:customStyle="1">
    <w:name w:val="正文2 字符"/>
    <w:link w:val="857"/>
    <w:uiPriority w:val="0"/>
    <w:qFormat/>
    <w:rPr>
      <w:sz w:val="24"/>
      <w:szCs w:val="24"/>
    </w:rPr>
  </w:style>
  <w:style w:type="paragraph" w:styleId="857" w:customStyle="1">
    <w:name w:val="正文2"/>
    <w:basedOn w:val="700"/>
    <w:link w:val="856"/>
    <w:uiPriority w:val="0"/>
    <w:qFormat/>
    <w:pPr>
      <w:ind w:firstLine="420"/>
      <w:spacing w:line="360" w:lineRule="auto"/>
    </w:pPr>
    <w:rPr>
      <w:szCs w:val="24"/>
    </w:rPr>
  </w:style>
  <w:style w:type="character" w:styleId="858" w:customStyle="1">
    <w:name w:val="font31"/>
    <w:uiPriority w:val="0"/>
    <w:qFormat/>
    <w:rPr>
      <w:rFonts w:hint="eastAsia" w:ascii="黑体" w:eastAsia="黑体" w:cs="黑体"/>
      <w:color w:val="000000"/>
      <w:sz w:val="20"/>
      <w:szCs w:val="20"/>
      <w:u w:val="none"/>
    </w:rPr>
  </w:style>
  <w:style w:type="character" w:styleId="859" w:customStyle="1">
    <w:name w:val="正文首行缩进 Char"/>
    <w:uiPriority w:val="0"/>
    <w:qFormat/>
    <w:rPr>
      <w:rFonts w:ascii="方正楷体_GB2312" w:hAnsi="Arial" w:eastAsia="方正楷体_GB2312"/>
      <w:sz w:val="21"/>
    </w:rPr>
  </w:style>
  <w:style w:type="character" w:styleId="860" w:customStyle="1">
    <w:name w:val="Char Char10"/>
    <w:uiPriority w:val="0"/>
    <w:qFormat/>
    <w:rPr>
      <w:rFonts w:ascii="Times New Roman" w:hAnsi="Times New Roman" w:eastAsia="宋体" w:cs="Times New Roman"/>
      <w:b/>
      <w:bCs/>
      <w:sz w:val="28"/>
      <w:szCs w:val="28"/>
    </w:rPr>
  </w:style>
  <w:style w:type="character" w:styleId="861" w:customStyle="1">
    <w:name w:val="标题 8 字符"/>
    <w:uiPriority w:val="0"/>
    <w:qFormat/>
    <w:rPr>
      <w:rFonts w:ascii="Arial" w:hAnsi="Arial" w:eastAsia="黑体"/>
      <w:sz w:val="24"/>
      <w:szCs w:val="24"/>
      <w:lang w:val="en-US" w:eastAsia="zh-CN" w:bidi="ar-SA"/>
    </w:rPr>
  </w:style>
  <w:style w:type="character" w:styleId="862" w:customStyle="1">
    <w:name w:val="无间隔 Char"/>
    <w:link w:val="863"/>
    <w:uiPriority w:val="1"/>
    <w:qFormat/>
    <w:rPr>
      <w:rFonts w:ascii="Calibri" w:hAnsi="Calibri"/>
      <w:sz w:val="22"/>
      <w:szCs w:val="22"/>
      <w:lang w:val="en-US" w:eastAsia="zh-CN" w:bidi="ar-SA"/>
    </w:rPr>
  </w:style>
  <w:style w:type="paragraph" w:styleId="863" w:customStyle="1">
    <w:name w:val="无间隔1"/>
    <w:link w:val="862"/>
    <w:uiPriority w:val="1"/>
    <w:qFormat/>
    <w:rPr>
      <w:rFonts w:ascii="Calibri" w:hAnsi="Calibri" w:eastAsia="宋体" w:cs="Times New Roman"/>
      <w:sz w:val="22"/>
      <w:szCs w:val="22"/>
      <w:lang w:val="en-US" w:eastAsia="zh-CN" w:bidi="ar-SA"/>
    </w:rPr>
  </w:style>
  <w:style w:type="character" w:styleId="864" w:customStyle="1">
    <w:name w:val="正文首行缩进 Char Char"/>
    <w:link w:val="865"/>
    <w:uiPriority w:val="0"/>
    <w:qFormat/>
    <w:rPr>
      <w:szCs w:val="24"/>
    </w:rPr>
  </w:style>
  <w:style w:type="paragraph" w:styleId="865" w:customStyle="1">
    <w:name w:val="正文首行缩进1"/>
    <w:basedOn w:val="712"/>
    <w:link w:val="864"/>
    <w:uiPriority w:val="0"/>
    <w:qFormat/>
    <w:pPr>
      <w:ind w:firstLine="420"/>
      <w:spacing w:after="120"/>
      <w:widowControl/>
    </w:pPr>
    <w:rPr>
      <w:rFonts w:ascii="Times New Roman" w:hAnsi="Times New Roman" w:eastAsia="宋体"/>
      <w:sz w:val="20"/>
      <w:szCs w:val="24"/>
    </w:rPr>
  </w:style>
  <w:style w:type="character" w:styleId="866" w:customStyle="1">
    <w:name w:val="font11"/>
    <w:uiPriority w:val="0"/>
    <w:qFormat/>
    <w:rPr>
      <w:rFonts w:hint="eastAsia" w:ascii="宋体" w:hAnsi="宋体" w:eastAsia="宋体" w:cs="宋体"/>
      <w:color w:val="000000"/>
      <w:sz w:val="20"/>
      <w:szCs w:val="20"/>
      <w:u w:val="none"/>
    </w:rPr>
  </w:style>
  <w:style w:type="character" w:styleId="867" w:customStyle="1">
    <w:name w:val="列出段落 Char1"/>
    <w:uiPriority w:val="34"/>
    <w:qFormat/>
    <w:rPr>
      <w:sz w:val="21"/>
      <w:szCs w:val="22"/>
    </w:rPr>
  </w:style>
  <w:style w:type="character" w:styleId="868" w:customStyle="1">
    <w:name w:val="blue3"/>
    <w:uiPriority w:val="0"/>
    <w:qFormat/>
    <w:rPr>
      <w:color w:val="0000ff"/>
      <w:spacing w:val="270"/>
      <w:u w:val="none"/>
    </w:rPr>
  </w:style>
  <w:style w:type="character" w:styleId="869" w:customStyle="1">
    <w:name w:val="列出段落 字符"/>
    <w:link w:val="870"/>
    <w:uiPriority w:val="34"/>
    <w:qFormat/>
    <w:rPr>
      <w:sz w:val="21"/>
      <w:szCs w:val="24"/>
    </w:rPr>
  </w:style>
  <w:style w:type="paragraph" w:styleId="870" w:customStyle="1">
    <w:name w:val="列出段落1"/>
    <w:basedOn w:val="700"/>
    <w:link w:val="869"/>
    <w:uiPriority w:val="34"/>
    <w:qFormat/>
    <w:pPr>
      <w:ind w:firstLine="420"/>
    </w:pPr>
    <w:rPr>
      <w:szCs w:val="24"/>
    </w:rPr>
  </w:style>
  <w:style w:type="character" w:styleId="871" w:customStyle="1">
    <w:name w:val="正文首行缩进 2 Char"/>
    <w:link w:val="872"/>
    <w:uiPriority w:val="99"/>
    <w:qFormat/>
    <w:rPr>
      <w:rFonts w:ascii="宋体" w:eastAsia="宋体"/>
      <w:sz w:val="21"/>
      <w:lang w:val="en-US" w:eastAsia="zh-CN" w:bidi="ar-SA"/>
    </w:rPr>
  </w:style>
  <w:style w:type="paragraph" w:styleId="872" w:customStyle="1">
    <w:name w:val="正文首行缩进 21"/>
    <w:basedOn w:val="726"/>
    <w:link w:val="871"/>
    <w:uiPriority w:val="99"/>
    <w:qFormat/>
    <w:pPr>
      <w:ind w:left="420" w:firstLine="420"/>
      <w:spacing w:after="120" w:line="240" w:lineRule="auto"/>
    </w:pPr>
    <w:rPr>
      <w:sz w:val="21"/>
    </w:rPr>
  </w:style>
  <w:style w:type="character" w:styleId="873" w:customStyle="1">
    <w:name w:val="ca-0"/>
    <w:uiPriority w:val="0"/>
    <w:qFormat/>
    <w:rPr>
      <w:rFonts w:ascii="Tahoma" w:hAnsi="Tahoma" w:eastAsia="宋体"/>
      <w:sz w:val="24"/>
      <w:szCs w:val="24"/>
      <w:lang w:val="en-US" w:eastAsia="zh-CN" w:bidi="ar-SA"/>
    </w:rPr>
  </w:style>
  <w:style w:type="character" w:styleId="874" w:customStyle="1">
    <w:name w:val="font41"/>
    <w:uiPriority w:val="0"/>
    <w:qFormat/>
    <w:rPr>
      <w:rFonts w:hint="eastAsia" w:ascii="宋体" w:hAnsi="宋体" w:eastAsia="宋体" w:cs="宋体"/>
      <w:color w:val="000000"/>
      <w:sz w:val="20"/>
      <w:szCs w:val="20"/>
      <w:u w:val="none"/>
    </w:rPr>
  </w:style>
  <w:style w:type="character" w:styleId="875" w:customStyle="1">
    <w:name w:val="apple-converted-space"/>
    <w:uiPriority w:val="0"/>
    <w:qFormat/>
  </w:style>
  <w:style w:type="character" w:styleId="876" w:customStyle="1">
    <w:name w:val="日期 字符"/>
    <w:uiPriority w:val="0"/>
    <w:qFormat/>
    <w:rPr>
      <w:rFonts w:ascii="宋体" w:hAnsi="宋体" w:eastAsia="方正楷体_GB2312"/>
      <w:sz w:val="24"/>
      <w:szCs w:val="24"/>
      <w:lang w:val="en-US" w:eastAsia="zh-CN" w:bidi="ar-SA"/>
    </w:rPr>
  </w:style>
  <w:style w:type="character" w:styleId="877" w:customStyle="1">
    <w:name w:val="不明显强调1"/>
    <w:uiPriority w:val="19"/>
    <w:qFormat/>
    <w:rPr>
      <w:i/>
      <w:iCs/>
      <w:color w:val="808080"/>
    </w:rPr>
  </w:style>
  <w:style w:type="character" w:styleId="878" w:customStyle="1">
    <w:name w:val="标题 7 字符"/>
    <w:uiPriority w:val="0"/>
    <w:qFormat/>
    <w:rPr>
      <w:rFonts w:ascii="宋体" w:hAnsi="Tahoma" w:eastAsia="方正仿宋_GB2312"/>
      <w:b/>
      <w:sz w:val="24"/>
      <w:szCs w:val="24"/>
      <w:lang w:val="en-US" w:eastAsia="zh-CN" w:bidi="ar-SA"/>
    </w:rPr>
  </w:style>
  <w:style w:type="character" w:styleId="879" w:customStyle="1">
    <w:name w:val="style221"/>
    <w:uiPriority w:val="0"/>
    <w:qFormat/>
    <w:rPr>
      <w:b/>
      <w:bCs/>
      <w:color w:val="000099"/>
    </w:rPr>
  </w:style>
  <w:style w:type="character" w:styleId="880" w:customStyle="1">
    <w:name w:val="_正文 Char"/>
    <w:link w:val="881"/>
    <w:uiPriority w:val="0"/>
    <w:qFormat/>
    <w:rPr>
      <w:sz w:val="24"/>
      <w:szCs w:val="24"/>
    </w:rPr>
  </w:style>
  <w:style w:type="paragraph" w:styleId="881" w:customStyle="1">
    <w:name w:val="_正文"/>
    <w:basedOn w:val="700"/>
    <w:link w:val="880"/>
    <w:uiPriority w:val="0"/>
    <w:qFormat/>
    <w:pPr>
      <w:ind w:firstLine="200"/>
      <w:spacing w:line="360" w:lineRule="auto"/>
    </w:pPr>
    <w:rPr>
      <w:szCs w:val="24"/>
    </w:rPr>
  </w:style>
  <w:style w:type="character" w:styleId="882" w:customStyle="1">
    <w:name w:val="明显强调1"/>
    <w:uiPriority w:val="21"/>
    <w:qFormat/>
    <w:rPr>
      <w:b/>
      <w:bCs/>
      <w:i/>
      <w:iCs/>
      <w:color w:val="4f81bd"/>
    </w:rPr>
  </w:style>
  <w:style w:type="character" w:styleId="883" w:customStyle="1">
    <w:name w:val="正文缩进 字符"/>
    <w:uiPriority w:val="0"/>
    <w:qFormat/>
    <w:rPr>
      <w:rFonts w:eastAsia="方正楷体_GB2312"/>
      <w:sz w:val="24"/>
      <w:lang w:bidi="ar-SA"/>
    </w:rPr>
  </w:style>
  <w:style w:type="character" w:styleId="884" w:customStyle="1">
    <w:name w:val="正文文本缩进 3 Char1"/>
    <w:uiPriority w:val="0"/>
    <w:qFormat/>
    <w:rPr>
      <w:rFonts w:hint="default" w:ascii="Calibri" w:hAnsi="Calibri" w:cs="Calibri"/>
      <w:sz w:val="16"/>
      <w:szCs w:val="16"/>
    </w:rPr>
  </w:style>
  <w:style w:type="character" w:styleId="885" w:customStyle="1">
    <w:name w:val="标题 3 字符"/>
    <w:uiPriority w:val="0"/>
    <w:qFormat/>
    <w:rPr>
      <w:rFonts w:eastAsia="宋体"/>
      <w:b/>
      <w:bCs/>
      <w:sz w:val="32"/>
      <w:szCs w:val="32"/>
      <w:lang w:val="en-US" w:eastAsia="zh-CN" w:bidi="ar-SA"/>
    </w:rPr>
  </w:style>
  <w:style w:type="character" w:styleId="886" w:customStyle="1">
    <w:name w:val="批注框文本 Char1"/>
    <w:uiPriority w:val="0"/>
    <w:qFormat/>
    <w:rPr>
      <w:rFonts w:hint="default" w:ascii="Calibri" w:hAnsi="Calibri" w:cs="Calibri"/>
      <w:sz w:val="18"/>
      <w:szCs w:val="18"/>
    </w:rPr>
  </w:style>
  <w:style w:type="character" w:styleId="887" w:customStyle="1">
    <w:name w:val="正文文本缩进 Char"/>
    <w:uiPriority w:val="99"/>
    <w:qFormat/>
    <w:rPr>
      <w:rFonts w:ascii="宋体" w:eastAsia="宋体"/>
      <w:sz w:val="28"/>
      <w:lang w:val="en-US" w:eastAsia="zh-CN" w:bidi="ar-SA"/>
    </w:rPr>
  </w:style>
  <w:style w:type="character" w:styleId="888" w:customStyle="1">
    <w:name w:val="纯文本 字符"/>
    <w:uiPriority w:val="0"/>
    <w:qFormat/>
    <w:rPr>
      <w:rFonts w:ascii="宋体" w:hAnsi="Courier New" w:eastAsia="方正楷体_GB2312"/>
      <w:sz w:val="26"/>
      <w:lang w:bidi="ar-SA"/>
    </w:rPr>
  </w:style>
  <w:style w:type="character" w:styleId="889" w:customStyle="1">
    <w:name w:val="文章正文 字符"/>
    <w:link w:val="890"/>
    <w:uiPriority w:val="0"/>
    <w:qFormat/>
    <w:rPr>
      <w:sz w:val="24"/>
    </w:rPr>
  </w:style>
  <w:style w:type="paragraph" w:styleId="890" w:customStyle="1">
    <w:name w:val="文章正文"/>
    <w:basedOn w:val="700"/>
    <w:link w:val="889"/>
    <w:uiPriority w:val="0"/>
    <w:qFormat/>
    <w:pPr>
      <w:ind w:firstLine="560"/>
      <w:jc w:val="left"/>
      <w:spacing w:line="360" w:lineRule="auto"/>
      <w:widowControl/>
    </w:pPr>
  </w:style>
  <w:style w:type="character" w:styleId="891" w:customStyle="1">
    <w:name w:val="Andy_2级 Char"/>
    <w:link w:val="892"/>
    <w:uiPriority w:val="0"/>
    <w:qFormat/>
    <w:rPr>
      <w:rFonts w:ascii="Calibri" w:hAnsi="Calibri"/>
      <w:sz w:val="24"/>
    </w:rPr>
  </w:style>
  <w:style w:type="paragraph" w:styleId="892" w:customStyle="1">
    <w:name w:val="Andy_2级"/>
    <w:basedOn w:val="700"/>
    <w:link w:val="891"/>
    <w:uiPriority w:val="0"/>
    <w:qFormat/>
    <w:pPr>
      <w:ind w:left="840" w:hanging="420"/>
      <w:spacing w:line="360" w:lineRule="auto"/>
      <w:tabs>
        <w:tab w:val="left" w:pos="840" w:leader="none"/>
      </w:tabs>
    </w:pPr>
    <w:rPr>
      <w:rFonts w:ascii="Calibri" w:hAnsi="Calibri"/>
    </w:rPr>
  </w:style>
  <w:style w:type="character" w:styleId="893" w:customStyle="1">
    <w:name w:val="方案正文 Char"/>
    <w:link w:val="894"/>
    <w:uiPriority w:val="0"/>
    <w:qFormat/>
    <w:rPr>
      <w:sz w:val="24"/>
    </w:rPr>
  </w:style>
  <w:style w:type="paragraph" w:styleId="894" w:customStyle="1">
    <w:name w:val="方案正文"/>
    <w:basedOn w:val="700"/>
    <w:link w:val="893"/>
    <w:uiPriority w:val="0"/>
    <w:qFormat/>
    <w:pPr>
      <w:spacing w:line="440" w:lineRule="atLeast"/>
    </w:pPr>
  </w:style>
  <w:style w:type="character" w:styleId="895" w:customStyle="1">
    <w:name w:val="para1"/>
    <w:uiPriority w:val="0"/>
    <w:qFormat/>
    <w:rPr>
      <w:rFonts w:hint="default" w:ascii="Arial" w:hAnsi="Arial" w:cs="Arial"/>
      <w:sz w:val="18"/>
      <w:szCs w:val="18"/>
    </w:rPr>
  </w:style>
  <w:style w:type="character" w:styleId="896" w:customStyle="1">
    <w:name w:val="03 正文 Char"/>
    <w:link w:val="897"/>
    <w:uiPriority w:val="0"/>
    <w:qFormat/>
    <w:rPr>
      <w:sz w:val="21"/>
      <w:szCs w:val="22"/>
    </w:rPr>
  </w:style>
  <w:style w:type="paragraph" w:styleId="897" w:customStyle="1">
    <w:name w:val="03 正文"/>
    <w:basedOn w:val="700"/>
    <w:link w:val="896"/>
    <w:uiPriority w:val="0"/>
    <w:qFormat/>
    <w:pPr>
      <w:ind w:firstLine="420"/>
      <w:spacing w:line="500" w:lineRule="atLeast"/>
      <w:widowControl/>
    </w:pPr>
    <w:rPr>
      <w:szCs w:val="22"/>
    </w:rPr>
  </w:style>
  <w:style w:type="character" w:styleId="898" w:customStyle="1">
    <w:name w:val="param-name"/>
    <w:uiPriority w:val="0"/>
    <w:qFormat/>
    <w:rPr>
      <w:rFonts w:ascii="Tahoma" w:hAnsi="Tahoma" w:eastAsia="宋体"/>
      <w:sz w:val="24"/>
      <w:szCs w:val="24"/>
      <w:lang w:val="en-US" w:eastAsia="zh-CN" w:bidi="ar-SA"/>
    </w:rPr>
  </w:style>
  <w:style w:type="character" w:styleId="899" w:customStyle="1">
    <w:name w:val="apple-style-span"/>
    <w:uiPriority w:val="0"/>
    <w:qFormat/>
    <w:rPr>
      <w:rFonts w:ascii="Tahoma" w:hAnsi="Tahoma" w:eastAsia="宋体"/>
      <w:sz w:val="24"/>
      <w:szCs w:val="24"/>
      <w:lang w:val="en-US" w:eastAsia="zh-CN" w:bidi="ar-SA"/>
    </w:rPr>
  </w:style>
  <w:style w:type="character" w:styleId="900" w:customStyle="1">
    <w:name w:val="列出段落 Char"/>
    <w:uiPriority w:val="34"/>
    <w:qFormat/>
    <w:rPr>
      <w:rFonts w:ascii="Calibri" w:hAnsi="Calibri"/>
      <w:sz w:val="24"/>
    </w:rPr>
  </w:style>
  <w:style w:type="character" w:styleId="901" w:customStyle="1">
    <w:name w:val="Char Char8"/>
    <w:uiPriority w:val="0"/>
    <w:qFormat/>
    <w:rPr>
      <w:sz w:val="18"/>
      <w:szCs w:val="18"/>
    </w:rPr>
  </w:style>
  <w:style w:type="character" w:styleId="902" w:customStyle="1">
    <w:name w:val="正文文本缩进 字符1"/>
    <w:uiPriority w:val="0"/>
    <w:qFormat/>
    <w:rPr>
      <w:rFonts w:ascii="宋体" w:eastAsia="宋体"/>
      <w:sz w:val="28"/>
      <w:lang w:val="en-US" w:eastAsia="zh-CN" w:bidi="ar-SA"/>
    </w:rPr>
  </w:style>
  <w:style w:type="character" w:styleId="903" w:customStyle="1">
    <w:name w:val="HTML 预设格式 字符"/>
    <w:uiPriority w:val="0"/>
    <w:qFormat/>
    <w:rPr>
      <w:rFonts w:ascii="宋体" w:hAnsi="宋体" w:cs="宋体"/>
      <w:sz w:val="24"/>
      <w:szCs w:val="24"/>
    </w:rPr>
  </w:style>
  <w:style w:type="character" w:styleId="904" w:customStyle="1">
    <w:name w:val="style141"/>
    <w:uiPriority w:val="0"/>
    <w:qFormat/>
    <w:rPr>
      <w:rFonts w:hint="eastAsia" w:ascii="宋体" w:hAnsi="宋体" w:eastAsia="宋体"/>
    </w:rPr>
  </w:style>
  <w:style w:type="character" w:styleId="905" w:customStyle="1">
    <w:name w:val="_标题3 Char"/>
    <w:link w:val="906"/>
    <w:uiPriority w:val="0"/>
    <w:qFormat/>
    <w:rPr>
      <w:rFonts w:ascii="Calibri" w:hAnsi="Calibri" w:eastAsia="宋体" w:cs="Times New Roman"/>
      <w:b/>
      <w:sz w:val="28"/>
      <w:szCs w:val="21"/>
    </w:rPr>
  </w:style>
  <w:style w:type="paragraph" w:styleId="906" w:customStyle="1">
    <w:name w:val="_标题3"/>
    <w:basedOn w:val="700"/>
    <w:next w:val="700"/>
    <w:link w:val="905"/>
    <w:uiPriority w:val="0"/>
    <w:qFormat/>
    <w:pPr>
      <w:jc w:val="left"/>
      <w:keepNext/>
      <w:spacing w:line="360" w:lineRule="auto"/>
      <w:outlineLvl w:val="2"/>
    </w:pPr>
    <w:rPr>
      <w:rFonts w:ascii="Calibri" w:hAnsi="Calibri"/>
      <w:b/>
      <w:sz w:val="28"/>
      <w:szCs w:val="21"/>
    </w:rPr>
  </w:style>
  <w:style w:type="character" w:styleId="907" w:customStyle="1">
    <w:name w:val="列表段落 字符"/>
    <w:link w:val="908"/>
    <w:uiPriority w:val="34"/>
    <w:qFormat/>
    <w:rPr>
      <w:rFonts w:ascii="Calibri" w:hAnsi="Calibri"/>
      <w:sz w:val="24"/>
    </w:rPr>
  </w:style>
  <w:style w:type="paragraph" w:styleId="908">
    <w:name w:val="List Paragraph"/>
    <w:basedOn w:val="700"/>
    <w:link w:val="907"/>
    <w:uiPriority w:val="99"/>
    <w:qFormat/>
    <w:pPr>
      <w:ind w:firstLine="420"/>
      <w:spacing w:line="360" w:lineRule="auto"/>
    </w:pPr>
    <w:rPr>
      <w:rFonts w:ascii="Calibri" w:hAnsi="Calibri"/>
    </w:rPr>
  </w:style>
  <w:style w:type="character" w:styleId="909" w:customStyle="1">
    <w:name w:val="para"/>
    <w:uiPriority w:val="0"/>
    <w:qFormat/>
    <w:rPr>
      <w:rFonts w:ascii="Tahoma" w:hAnsi="Tahoma" w:eastAsia="宋体"/>
      <w:sz w:val="24"/>
      <w:szCs w:val="24"/>
      <w:lang w:val="en-US" w:eastAsia="zh-CN" w:bidi="ar-SA"/>
    </w:rPr>
  </w:style>
  <w:style w:type="character" w:styleId="910" w:customStyle="1">
    <w:name w:val="font21"/>
    <w:uiPriority w:val="0"/>
    <w:qFormat/>
    <w:rPr>
      <w:rFonts w:hint="eastAsia" w:ascii="宋体" w:hAnsi="宋体" w:eastAsia="宋体" w:cs="宋体"/>
      <w:color w:val="000000"/>
      <w:sz w:val="22"/>
      <w:szCs w:val="22"/>
      <w:u w:val="none"/>
    </w:rPr>
  </w:style>
  <w:style w:type="character" w:styleId="911" w:customStyle="1">
    <w:name w:val="ca-1"/>
    <w:uiPriority w:val="0"/>
    <w:qFormat/>
    <w:rPr>
      <w:rFonts w:ascii="Tahoma" w:hAnsi="Tahoma" w:eastAsia="宋体"/>
      <w:sz w:val="24"/>
      <w:szCs w:val="24"/>
      <w:lang w:val="en-US" w:eastAsia="zh-CN" w:bidi="ar-SA"/>
    </w:rPr>
  </w:style>
  <w:style w:type="character" w:styleId="912" w:customStyle="1">
    <w:name w:val="style21"/>
    <w:uiPriority w:val="0"/>
    <w:qFormat/>
    <w:rPr>
      <w:rFonts w:ascii="Tahoma" w:hAnsi="Tahoma" w:eastAsia="宋体"/>
      <w:color w:val="2e65b5"/>
      <w:sz w:val="24"/>
      <w:szCs w:val="24"/>
      <w:lang w:val="en-US" w:eastAsia="zh-CN" w:bidi="ar-SA"/>
    </w:rPr>
  </w:style>
  <w:style w:type="character" w:styleId="913" w:customStyle="1">
    <w:name w:val="纯文本 Char Char Char Char Char Char Char Char Char Char"/>
    <w:uiPriority w:val="0"/>
    <w:qFormat/>
    <w:rPr>
      <w:rFonts w:ascii="宋体" w:hAnsi="Courier New" w:eastAsia="方正楷体_GB2312"/>
      <w:sz w:val="26"/>
      <w:lang w:val="en-US" w:eastAsia="zh-CN" w:bidi="ar-SA"/>
    </w:rPr>
  </w:style>
  <w:style w:type="character" w:styleId="914" w:customStyle="1">
    <w:name w:val="无间隔 字符"/>
    <w:link w:val="915"/>
    <w:uiPriority w:val="1"/>
    <w:qFormat/>
    <w:rPr>
      <w:sz w:val="24"/>
      <w:szCs w:val="24"/>
      <w:lang w:val="en-US" w:eastAsia="zh-CN" w:bidi="ar-SA"/>
    </w:rPr>
  </w:style>
  <w:style w:type="paragraph" w:styleId="915">
    <w:name w:val="No Spacing"/>
    <w:basedOn w:val="700"/>
    <w:link w:val="914"/>
    <w:uiPriority w:val="1"/>
    <w:qFormat/>
    <w:pPr>
      <w:ind w:firstLine="200"/>
      <w:spacing w:line="360" w:lineRule="auto"/>
    </w:pPr>
    <w:rPr>
      <w:szCs w:val="24"/>
    </w:rPr>
  </w:style>
  <w:style w:type="character" w:styleId="916" w:customStyle="1">
    <w:name w:val="09汇 表 Char"/>
    <w:link w:val="917"/>
    <w:uiPriority w:val="0"/>
    <w:qFormat/>
    <w:rPr>
      <w:bCs/>
      <w:color w:val="000000"/>
      <w:sz w:val="22"/>
      <w:szCs w:val="24"/>
    </w:rPr>
  </w:style>
  <w:style w:type="paragraph" w:styleId="917" w:customStyle="1">
    <w:name w:val="09汇 表"/>
    <w:basedOn w:val="700"/>
    <w:link w:val="916"/>
    <w:uiPriority w:val="0"/>
    <w:qFormat/>
    <w:pPr>
      <w:jc w:val="center"/>
      <w:widowControl/>
    </w:pPr>
    <w:rPr>
      <w:bCs/>
      <w:color w:val="000000"/>
      <w:sz w:val="22"/>
      <w:szCs w:val="24"/>
    </w:rPr>
  </w:style>
  <w:style w:type="character" w:styleId="918" w:customStyle="1">
    <w:name w:val="正文文本缩进 字符"/>
    <w:uiPriority w:val="0"/>
    <w:qFormat/>
    <w:rPr>
      <w:sz w:val="24"/>
      <w:lang w:bidi="ar-SA"/>
    </w:rPr>
  </w:style>
  <w:style w:type="character" w:styleId="919" w:customStyle="1">
    <w:name w:val="表格 Char"/>
    <w:link w:val="920"/>
    <w:uiPriority w:val="0"/>
    <w:qFormat/>
    <w:rPr>
      <w:rFonts w:ascii="等线" w:hAnsi="等线"/>
      <w:color w:val="000000"/>
      <w:szCs w:val="21"/>
      <w:lang w:val="en-US" w:eastAsia="zh-CN" w:bidi="ar-SA"/>
    </w:rPr>
  </w:style>
  <w:style w:type="paragraph" w:styleId="920" w:customStyle="1">
    <w:name w:val="表格"/>
    <w:next w:val="700"/>
    <w:link w:val="919"/>
    <w:uiPriority w:val="0"/>
    <w:qFormat/>
    <w:rPr>
      <w:rFonts w:ascii="等线" w:hAnsi="等线" w:eastAsia="宋体" w:cs="Times New Roman"/>
      <w:color w:val="000000"/>
      <w:szCs w:val="21"/>
      <w:lang w:val="en-US" w:eastAsia="zh-CN" w:bidi="ar-SA"/>
    </w:rPr>
  </w:style>
  <w:style w:type="character" w:styleId="921" w:customStyle="1">
    <w:name w:val="a"/>
    <w:uiPriority w:val="0"/>
    <w:qFormat/>
  </w:style>
  <w:style w:type="character" w:styleId="922" w:customStyle="1">
    <w:name w:val="一. 字符"/>
    <w:link w:val="923"/>
    <w:uiPriority w:val="0"/>
    <w:qFormat/>
    <w:rPr>
      <w:b/>
      <w:bCs/>
      <w:sz w:val="28"/>
      <w:szCs w:val="28"/>
    </w:rPr>
  </w:style>
  <w:style w:type="paragraph" w:styleId="923" w:customStyle="1">
    <w:name w:val="一."/>
    <w:basedOn w:val="700"/>
    <w:link w:val="922"/>
    <w:uiPriority w:val="0"/>
    <w:qFormat/>
    <w:pPr>
      <w:jc w:val="left"/>
      <w:spacing w:line="360" w:lineRule="auto"/>
    </w:pPr>
    <w:rPr>
      <w:b/>
      <w:bCs/>
      <w:sz w:val="28"/>
      <w:szCs w:val="28"/>
    </w:rPr>
  </w:style>
  <w:style w:type="character" w:styleId="924" w:customStyle="1">
    <w:name w:val="纯文本 Char Char"/>
    <w:link w:val="925"/>
    <w:uiPriority w:val="0"/>
    <w:qFormat/>
    <w:rPr>
      <w:rFonts w:ascii="宋体" w:hAnsi="Courier New" w:eastAsia="方正楷体_GB2312"/>
      <w:sz w:val="26"/>
      <w:szCs w:val="24"/>
    </w:rPr>
  </w:style>
  <w:style w:type="paragraph" w:styleId="925" w:customStyle="1">
    <w:name w:val="纯文本11"/>
    <w:basedOn w:val="700"/>
    <w:link w:val="924"/>
    <w:uiPriority w:val="0"/>
    <w:qFormat/>
    <w:pPr>
      <w:jc w:val="left"/>
      <w:widowControl/>
    </w:pPr>
    <w:rPr>
      <w:rFonts w:ascii="宋体" w:hAnsi="Courier New" w:eastAsia="方正楷体_GB2312"/>
      <w:sz w:val="26"/>
      <w:szCs w:val="24"/>
    </w:rPr>
  </w:style>
  <w:style w:type="character" w:styleId="926" w:customStyle="1">
    <w:name w:val="_正文段落 Char"/>
    <w:link w:val="927"/>
    <w:uiPriority w:val="0"/>
    <w:qFormat/>
    <w:rPr>
      <w:rFonts w:ascii="宋体" w:hAnsi="宋体"/>
      <w:sz w:val="24"/>
      <w:szCs w:val="24"/>
    </w:rPr>
  </w:style>
  <w:style w:type="paragraph" w:styleId="927" w:customStyle="1">
    <w:name w:val="_正文段落"/>
    <w:basedOn w:val="700"/>
    <w:link w:val="926"/>
    <w:uiPriority w:val="0"/>
    <w:qFormat/>
    <w:pPr>
      <w:ind w:firstLine="480"/>
      <w:jc w:val="left"/>
      <w:spacing w:line="360" w:lineRule="auto"/>
      <w:widowControl/>
    </w:pPr>
    <w:rPr>
      <w:rFonts w:ascii="宋体" w:hAnsi="宋体"/>
      <w:szCs w:val="24"/>
    </w:rPr>
  </w:style>
  <w:style w:type="character" w:styleId="928" w:customStyle="1">
    <w:name w:val="纯文本 Char1"/>
    <w:uiPriority w:val="0"/>
    <w:qFormat/>
    <w:rPr>
      <w:rFonts w:ascii="宋体" w:hAnsi="Courier New" w:eastAsia="宋体"/>
      <w:sz w:val="21"/>
      <w:lang w:val="en-US" w:eastAsia="zh-CN" w:bidi="ar-SA"/>
    </w:rPr>
  </w:style>
  <w:style w:type="character" w:styleId="929" w:customStyle="1">
    <w:name w:val="wen Char1"/>
    <w:link w:val="930"/>
    <w:uiPriority w:val="0"/>
    <w:qFormat/>
    <w:rPr>
      <w:rFonts w:ascii="微软雅黑" w:hAnsi="微软雅黑" w:eastAsia="微软雅黑"/>
      <w:sz w:val="21"/>
      <w:szCs w:val="24"/>
    </w:rPr>
  </w:style>
  <w:style w:type="paragraph" w:styleId="930" w:customStyle="1">
    <w:name w:val="wen"/>
    <w:basedOn w:val="700"/>
    <w:link w:val="929"/>
    <w:uiPriority w:val="0"/>
    <w:qFormat/>
    <w:pPr>
      <w:ind w:firstLine="425"/>
      <w:spacing w:line="269" w:lineRule="auto"/>
    </w:pPr>
    <w:rPr>
      <w:rFonts w:ascii="微软雅黑" w:hAnsi="微软雅黑" w:eastAsia="微软雅黑"/>
      <w:szCs w:val="24"/>
    </w:rPr>
  </w:style>
  <w:style w:type="character" w:styleId="931" w:customStyle="1">
    <w:name w:val="style181"/>
    <w:uiPriority w:val="0"/>
    <w:qFormat/>
    <w:rPr>
      <w:sz w:val="18"/>
      <w:szCs w:val="18"/>
    </w:rPr>
  </w:style>
  <w:style w:type="character" w:styleId="932" w:customStyle="1">
    <w:name w:val="style4 style24"/>
    <w:uiPriority w:val="0"/>
    <w:qFormat/>
    <w:rPr>
      <w:rFonts w:ascii="Tahoma" w:hAnsi="Tahoma" w:eastAsia="宋体"/>
      <w:sz w:val="24"/>
      <w:szCs w:val="24"/>
      <w:lang w:val="en-US" w:eastAsia="zh-CN" w:bidi="ar-SA"/>
    </w:rPr>
  </w:style>
  <w:style w:type="character" w:styleId="933" w:customStyle="1">
    <w:name w:val="样式11"/>
    <w:uiPriority w:val="0"/>
    <w:qFormat/>
    <w:rPr>
      <w:b/>
    </w:rPr>
  </w:style>
  <w:style w:type="character" w:styleId="934" w:customStyle="1">
    <w:name w:val="01 章标 Char"/>
    <w:link w:val="935"/>
    <w:uiPriority w:val="0"/>
    <w:qFormat/>
    <w:rPr>
      <w:b/>
      <w:sz w:val="44"/>
      <w:szCs w:val="44"/>
    </w:rPr>
  </w:style>
  <w:style w:type="paragraph" w:styleId="935" w:customStyle="1">
    <w:name w:val="01 章标"/>
    <w:basedOn w:val="700"/>
    <w:link w:val="934"/>
    <w:uiPriority w:val="0"/>
    <w:qFormat/>
    <w:pPr>
      <w:ind w:firstLine="883"/>
      <w:jc w:val="center"/>
      <w:outlineLvl w:val="0"/>
    </w:pPr>
    <w:rPr>
      <w:b/>
      <w:sz w:val="44"/>
      <w:szCs w:val="44"/>
    </w:rPr>
  </w:style>
  <w:style w:type="character" w:styleId="936" w:customStyle="1">
    <w:name w:val="文档结构图 Char1"/>
    <w:uiPriority w:val="0"/>
    <w:qFormat/>
    <w:rPr>
      <w:rFonts w:ascii="宋体"/>
      <w:sz w:val="18"/>
      <w:szCs w:val="18"/>
    </w:rPr>
  </w:style>
  <w:style w:type="character" w:styleId="937" w:customStyle="1">
    <w:name w:val="日期 Char1"/>
    <w:uiPriority w:val="0"/>
    <w:qFormat/>
    <w:rPr>
      <w:rFonts w:eastAsia="方正楷体_GB2312"/>
      <w:sz w:val="28"/>
    </w:rPr>
  </w:style>
  <w:style w:type="character" w:styleId="938" w:customStyle="1">
    <w:name w:val="标题 9 字符"/>
    <w:uiPriority w:val="0"/>
    <w:qFormat/>
    <w:rPr>
      <w:rFonts w:ascii="Arial" w:hAnsi="Arial" w:eastAsia="黑体"/>
      <w:sz w:val="28"/>
      <w:szCs w:val="24"/>
      <w:lang w:val="en-US" w:eastAsia="zh-CN" w:bidi="ar-SA"/>
    </w:rPr>
  </w:style>
  <w:style w:type="character" w:styleId="939" w:customStyle="1">
    <w:name w:val="批注主题 字符"/>
    <w:uiPriority w:val="0"/>
    <w:qFormat/>
    <w:rPr>
      <w:rFonts w:ascii="Tahoma" w:hAnsi="Tahoma" w:eastAsia="宋体"/>
      <w:b/>
      <w:bCs/>
      <w:sz w:val="21"/>
      <w:szCs w:val="24"/>
      <w:lang w:val="en-US" w:eastAsia="zh-CN" w:bidi="ar-SA"/>
    </w:rPr>
  </w:style>
  <w:style w:type="character" w:styleId="940" w:customStyle="1">
    <w:name w:val="页脚 Char1"/>
    <w:uiPriority w:val="99"/>
    <w:semiHidden/>
    <w:qFormat/>
    <w:rPr>
      <w:rFonts w:eastAsia="方正楷体_GB2312"/>
      <w:sz w:val="18"/>
      <w:szCs w:val="18"/>
    </w:rPr>
  </w:style>
  <w:style w:type="character" w:styleId="941" w:customStyle="1">
    <w:name w:val="Andy_正文 Char"/>
    <w:link w:val="942"/>
    <w:uiPriority w:val="0"/>
    <w:qFormat/>
    <w:rPr>
      <w:rFonts w:ascii="Calibri" w:hAnsi="Calibri"/>
      <w:sz w:val="24"/>
      <w:szCs w:val="24"/>
    </w:rPr>
  </w:style>
  <w:style w:type="paragraph" w:styleId="942" w:customStyle="1">
    <w:name w:val="Andy_正文"/>
    <w:basedOn w:val="700"/>
    <w:link w:val="941"/>
    <w:uiPriority w:val="0"/>
    <w:qFormat/>
    <w:pPr>
      <w:ind w:firstLine="480"/>
      <w:spacing w:line="360" w:lineRule="auto"/>
    </w:pPr>
    <w:rPr>
      <w:rFonts w:ascii="Calibri" w:hAnsi="Calibri"/>
      <w:szCs w:val="24"/>
    </w:rPr>
  </w:style>
  <w:style w:type="character" w:styleId="943" w:customStyle="1">
    <w:name w:val="Char Char1"/>
    <w:uiPriority w:val="0"/>
    <w:qFormat/>
    <w:rPr>
      <w:rFonts w:ascii="宋体" w:hAnsi="宋体" w:eastAsia="方正楷体_GB2312"/>
      <w:sz w:val="24"/>
      <w:lang w:val="en-US" w:eastAsia="zh-CN" w:bidi="ar-SA"/>
    </w:rPr>
  </w:style>
  <w:style w:type="character" w:styleId="944" w:customStyle="1">
    <w:name w:val="正文 首行缩进:  2 字符 Char Char Char"/>
    <w:link w:val="945"/>
    <w:uiPriority w:val="0"/>
    <w:qFormat/>
    <w:rPr>
      <w:sz w:val="21"/>
    </w:rPr>
  </w:style>
  <w:style w:type="paragraph" w:styleId="945" w:customStyle="1">
    <w:name w:val="正文 首行缩进:  2 字符 Char"/>
    <w:basedOn w:val="700"/>
    <w:link w:val="944"/>
    <w:uiPriority w:val="0"/>
    <w:qFormat/>
    <w:pPr>
      <w:ind w:firstLine="480"/>
      <w:jc w:val="left"/>
      <w:spacing w:line="360" w:lineRule="auto"/>
    </w:pPr>
  </w:style>
  <w:style w:type="character" w:styleId="946" w:customStyle="1">
    <w:name w:val="Plain Text Char Char"/>
    <w:link w:val="947"/>
    <w:uiPriority w:val="0"/>
    <w:qFormat/>
    <w:rPr>
      <w:rFonts w:ascii="宋体" w:hAnsi="Courier New" w:eastAsia="方正楷体_GB2312"/>
      <w:sz w:val="26"/>
    </w:rPr>
  </w:style>
  <w:style w:type="paragraph" w:styleId="947" w:customStyle="1">
    <w:name w:val="纯文本2"/>
    <w:basedOn w:val="700"/>
    <w:link w:val="946"/>
    <w:uiPriority w:val="0"/>
    <w:qFormat/>
    <w:rPr>
      <w:rFonts w:ascii="宋体" w:hAnsi="Courier New" w:eastAsia="方正楷体_GB2312"/>
      <w:sz w:val="26"/>
    </w:rPr>
  </w:style>
  <w:style w:type="character" w:styleId="948" w:customStyle="1">
    <w:name w:val="font51"/>
    <w:uiPriority w:val="0"/>
    <w:qFormat/>
    <w:rPr>
      <w:rFonts w:hint="eastAsia" w:ascii="微软雅黑" w:hAnsi="微软雅黑" w:eastAsia="微软雅黑" w:cs="微软雅黑"/>
      <w:color w:val="000000"/>
      <w:sz w:val="24"/>
      <w:szCs w:val="24"/>
      <w:u w:val="none"/>
    </w:rPr>
  </w:style>
  <w:style w:type="character" w:styleId="949" w:customStyle="1">
    <w:name w:val="正文缩进1 Char1"/>
    <w:uiPriority w:val="0"/>
    <w:qFormat/>
    <w:rPr>
      <w:rFonts w:eastAsia="方正楷体_GB2312"/>
      <w:sz w:val="24"/>
      <w:lang w:val="en-US" w:eastAsia="zh-CN" w:bidi="ar-SA"/>
    </w:rPr>
  </w:style>
  <w:style w:type="character" w:styleId="950" w:customStyle="1">
    <w:name w:val="Plain Text Char"/>
    <w:link w:val="951"/>
    <w:uiPriority w:val="0"/>
    <w:qFormat/>
    <w:rPr>
      <w:rFonts w:ascii="宋体" w:hAnsi="Courier New" w:eastAsia="方正楷体_GB2312"/>
      <w:sz w:val="26"/>
    </w:rPr>
  </w:style>
  <w:style w:type="paragraph" w:styleId="951" w:customStyle="1">
    <w:name w:val="纯文本5"/>
    <w:basedOn w:val="700"/>
    <w:link w:val="950"/>
    <w:uiPriority w:val="0"/>
    <w:qFormat/>
    <w:rPr>
      <w:rFonts w:ascii="宋体" w:hAnsi="Courier New" w:eastAsia="方正楷体_GB2312"/>
      <w:sz w:val="26"/>
    </w:rPr>
  </w:style>
  <w:style w:type="character" w:styleId="952" w:customStyle="1">
    <w:name w:val="正文文本 2 字符"/>
    <w:uiPriority w:val="0"/>
    <w:qFormat/>
    <w:rPr>
      <w:rFonts w:ascii="Tahoma" w:hAnsi="Tahoma" w:eastAsia="宋体"/>
      <w:color w:val="000000"/>
      <w:sz w:val="24"/>
      <w:szCs w:val="24"/>
      <w:lang w:val="en-US" w:eastAsia="zh-CN" w:bidi="ar-SA"/>
    </w:rPr>
  </w:style>
  <w:style w:type="character" w:styleId="953" w:customStyle="1">
    <w:name w:val="页脚 字符"/>
    <w:uiPriority w:val="99"/>
    <w:qFormat/>
    <w:rPr>
      <w:sz w:val="18"/>
      <w:lang w:bidi="ar-SA"/>
    </w:rPr>
  </w:style>
  <w:style w:type="character" w:styleId="954" w:customStyle="1">
    <w:name w:val="批注文字 字符"/>
    <w:uiPriority w:val="99"/>
    <w:qFormat/>
    <w:rPr>
      <w:rFonts w:ascii="Tahoma" w:hAnsi="Tahoma" w:eastAsia="宋体"/>
      <w:sz w:val="21"/>
      <w:szCs w:val="24"/>
      <w:lang w:val="en-US" w:eastAsia="zh-CN" w:bidi="ar-SA"/>
    </w:rPr>
  </w:style>
  <w:style w:type="character" w:styleId="955" w:customStyle="1">
    <w:name w:val="标题 4 字符"/>
    <w:uiPriority w:val="0"/>
    <w:qFormat/>
    <w:rPr>
      <w:rFonts w:ascii="Times New Roman" w:hAnsi="Times New Roman" w:eastAsia="宋体" w:cs="Times New Roman"/>
      <w:b/>
      <w:bCs/>
      <w:sz w:val="28"/>
      <w:szCs w:val="28"/>
    </w:rPr>
  </w:style>
  <w:style w:type="character" w:styleId="956" w:customStyle="1">
    <w:name w:val="页脚 字符1"/>
    <w:uiPriority w:val="99"/>
    <w:qFormat/>
    <w:rPr>
      <w:sz w:val="18"/>
      <w:szCs w:val="18"/>
    </w:rPr>
  </w:style>
  <w:style w:type="character" w:styleId="957" w:customStyle="1">
    <w:name w:val="HTML 预设格式 Char2"/>
    <w:uiPriority w:val="99"/>
    <w:semiHidden/>
    <w:qFormat/>
    <w:rPr>
      <w:rFonts w:ascii="Courier New" w:hAnsi="Courier New" w:eastAsia="方正楷体_GB2312" w:cs="Courier New"/>
    </w:rPr>
  </w:style>
  <w:style w:type="character" w:styleId="958" w:customStyle="1">
    <w:name w:val="font61"/>
    <w:uiPriority w:val="0"/>
    <w:qFormat/>
    <w:rPr>
      <w:rFonts w:hint="eastAsia" w:ascii="宋体" w:hAnsi="宋体" w:eastAsia="宋体" w:cs="宋体"/>
      <w:color w:val="000000"/>
      <w:sz w:val="20"/>
      <w:szCs w:val="20"/>
      <w:u w:val="none"/>
    </w:rPr>
  </w:style>
  <w:style w:type="character" w:styleId="959" w:customStyle="1">
    <w:name w:val="font01"/>
    <w:uiPriority w:val="0"/>
    <w:qFormat/>
    <w:rPr>
      <w:rFonts w:hint="eastAsia" w:ascii="宋体" w:hAnsi="宋体" w:eastAsia="宋体" w:cs="宋体"/>
      <w:color w:val="000000"/>
      <w:sz w:val="24"/>
      <w:szCs w:val="24"/>
      <w:u w:val="none"/>
    </w:rPr>
  </w:style>
  <w:style w:type="character" w:styleId="960" w:customStyle="1">
    <w:name w:val="正文缩进 字符1"/>
    <w:uiPriority w:val="0"/>
    <w:qFormat/>
    <w:rPr>
      <w:sz w:val="21"/>
    </w:rPr>
  </w:style>
  <w:style w:type="character" w:styleId="961" w:customStyle="1">
    <w:name w:val="批注主题 Char1"/>
    <w:uiPriority w:val="99"/>
    <w:semiHidden/>
    <w:qFormat/>
    <w:rPr>
      <w:rFonts w:eastAsia="方正楷体_GB2312"/>
      <w:b/>
      <w:bCs/>
      <w:sz w:val="28"/>
    </w:rPr>
  </w:style>
  <w:style w:type="character" w:styleId="962" w:customStyle="1">
    <w:name w:val="size31"/>
    <w:uiPriority w:val="0"/>
    <w:qFormat/>
    <w:rPr>
      <w:rFonts w:hint="default" w:ascii="Arial" w:hAnsi="Arial" w:eastAsia="宋体" w:cs="Arial"/>
      <w:b/>
      <w:bCs/>
      <w:color w:val="2d2d2d"/>
      <w:sz w:val="18"/>
      <w:szCs w:val="18"/>
      <w:lang w:val="en-US" w:eastAsia="en-US" w:bidi="ar-SA"/>
    </w:rPr>
  </w:style>
  <w:style w:type="character" w:styleId="963" w:customStyle="1">
    <w:name w:val="标题 2 字符"/>
    <w:uiPriority w:val="9"/>
    <w:qFormat/>
    <w:rPr>
      <w:rFonts w:ascii="Arial" w:hAnsi="Arial"/>
      <w:b/>
      <w:bCs/>
      <w:sz w:val="28"/>
      <w:szCs w:val="32"/>
    </w:rPr>
  </w:style>
  <w:style w:type="character" w:styleId="964" w:customStyle="1">
    <w:name w:val="正文缩进 字符2"/>
    <w:uiPriority w:val="0"/>
    <w:qFormat/>
    <w:rPr>
      <w:sz w:val="21"/>
    </w:rPr>
  </w:style>
  <w:style w:type="character" w:styleId="965" w:customStyle="1">
    <w:name w:val="Char Char"/>
    <w:uiPriority w:val="0"/>
    <w:qFormat/>
    <w:rPr>
      <w:rFonts w:ascii="宋体" w:hAnsi="宋体" w:eastAsia="方正楷体_GB2312"/>
      <w:sz w:val="24"/>
      <w:lang w:val="en-US" w:eastAsia="zh-CN" w:bidi="ar-SA"/>
    </w:rPr>
  </w:style>
  <w:style w:type="character" w:styleId="966" w:customStyle="1">
    <w:name w:val="Body Text Char"/>
    <w:uiPriority w:val="0"/>
    <w:qFormat/>
    <w:rPr>
      <w:rFonts w:ascii="方正楷体_GB2312" w:hAnsi="Arial" w:eastAsia="方正楷体_GB2312" w:cs="Times New Roman"/>
      <w:sz w:val="28"/>
      <w:szCs w:val="20"/>
    </w:rPr>
  </w:style>
  <w:style w:type="character" w:styleId="967" w:customStyle="1">
    <w:name w:val="正文文本缩进 3 字符"/>
    <w:uiPriority w:val="0"/>
    <w:qFormat/>
    <w:rPr>
      <w:rFonts w:eastAsia="宋体"/>
      <w:sz w:val="16"/>
      <w:szCs w:val="16"/>
      <w:lang w:val="en-US" w:eastAsia="zh-CN" w:bidi="ar-SA"/>
    </w:rPr>
  </w:style>
  <w:style w:type="character" w:styleId="968" w:customStyle="1">
    <w:name w:val="表格 Char Char"/>
    <w:uiPriority w:val="0"/>
    <w:qFormat/>
    <w:rPr>
      <w:rFonts w:ascii="方正仿宋_GB2312" w:hAnsi="宋体" w:eastAsia="方正仿宋_GB2312"/>
      <w:sz w:val="21"/>
      <w:szCs w:val="21"/>
    </w:rPr>
  </w:style>
  <w:style w:type="character" w:styleId="969" w:customStyle="1">
    <w:name w:val="Char Char7"/>
    <w:uiPriority w:val="0"/>
    <w:qFormat/>
    <w:rPr>
      <w:rFonts w:ascii="Times New Roman" w:hAnsi="Times New Roman" w:eastAsia="宋体" w:cs="Times New Roman"/>
      <w:sz w:val="24"/>
      <w:szCs w:val="24"/>
    </w:rPr>
  </w:style>
  <w:style w:type="character" w:styleId="970" w:customStyle="1">
    <w:name w:val="批注文字 Char1"/>
    <w:uiPriority w:val="99"/>
    <w:semiHidden/>
    <w:qFormat/>
    <w:rPr>
      <w:rFonts w:ascii="Times New Roman" w:hAnsi="Times New Roman" w:eastAsia="宋体" w:cs="Times New Roman"/>
      <w:szCs w:val="20"/>
    </w:rPr>
  </w:style>
  <w:style w:type="character" w:styleId="971" w:customStyle="1">
    <w:name w:val="页眉 字符1"/>
    <w:uiPriority w:val="99"/>
    <w:qFormat/>
    <w:rPr>
      <w:sz w:val="18"/>
      <w:szCs w:val="18"/>
    </w:rPr>
  </w:style>
  <w:style w:type="character" w:styleId="972" w:customStyle="1">
    <w:name w:val="List Paragraph Char"/>
    <w:uiPriority w:val="0"/>
    <w:qFormat/>
  </w:style>
  <w:style w:type="character" w:styleId="973" w:customStyle="1">
    <w:name w:val="font122"/>
    <w:uiPriority w:val="0"/>
    <w:qFormat/>
    <w:rPr>
      <w:rFonts w:ascii="Calibri" w:hAnsi="Calibri" w:cs="Calibri"/>
      <w:color w:val="000000"/>
      <w:sz w:val="20"/>
      <w:szCs w:val="20"/>
      <w:u w:val="none"/>
    </w:rPr>
  </w:style>
  <w:style w:type="paragraph" w:styleId="974" w:customStyle="1">
    <w:name w:val="xl23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5" w:customStyle="1">
    <w:name w:val="xl242"/>
    <w:basedOn w:val="7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976" w:customStyle="1">
    <w:name w:val="表格内文"/>
    <w:basedOn w:val="700"/>
    <w:uiPriority w:val="0"/>
    <w:qFormat/>
    <w:pPr>
      <w:spacing w:line="360" w:lineRule="auto"/>
    </w:pPr>
    <w:rPr>
      <w:rFonts w:ascii="宋体" w:hAnsi="宋体"/>
      <w:color w:val="000000"/>
      <w:sz w:val="20"/>
    </w:rPr>
  </w:style>
  <w:style w:type="paragraph" w:styleId="977" w:customStyle="1">
    <w:name w:val="xl128"/>
    <w:basedOn w:val="70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Cs w:val="24"/>
    </w:rPr>
  </w:style>
  <w:style w:type="paragraph" w:styleId="978" w:customStyle="1">
    <w:name w:val="xl4131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79" w:customStyle="1">
    <w:name w:val="列出段落11"/>
    <w:basedOn w:val="700"/>
    <w:uiPriority w:val="34"/>
    <w:qFormat/>
    <w:pPr>
      <w:ind w:firstLine="420"/>
      <w:jc w:val="left"/>
      <w:spacing w:line="360" w:lineRule="atLeast"/>
    </w:pPr>
    <w:rPr>
      <w:rFonts w:ascii="Arial" w:hAnsi="Arial" w:cs="Arial"/>
    </w:rPr>
  </w:style>
  <w:style w:type="paragraph" w:styleId="980" w:customStyle="1">
    <w:name w:val="xl24253"/>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981" w:customStyle="1">
    <w:name w:val="+正文"/>
    <w:basedOn w:val="700"/>
    <w:uiPriority w:val="0"/>
    <w:qFormat/>
    <w:pPr>
      <w:ind w:firstLine="200"/>
      <w:spacing w:line="360" w:lineRule="auto"/>
    </w:pPr>
    <w:rPr>
      <w:szCs w:val="28"/>
    </w:rPr>
  </w:style>
  <w:style w:type="paragraph" w:styleId="982" w:customStyle="1">
    <w:name w:val="xl24270"/>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983" w:customStyle="1">
    <w:name w:val="xl6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4"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985" w:customStyle="1">
    <w:name w:val="xl102"/>
    <w:basedOn w:val="700"/>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986" w:customStyle="1">
    <w:name w:val="xl25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7" w:customStyle="1">
    <w:name w:val="l18"/>
    <w:basedOn w:val="70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988" w:customStyle="1">
    <w:name w:val="reader-word-layer"/>
    <w:basedOn w:val="700"/>
    <w:uiPriority w:val="0"/>
    <w:qFormat/>
    <w:pPr>
      <w:jc w:val="left"/>
      <w:spacing w:before="100" w:beforeAutospacing="1" w:after="100" w:afterAutospacing="1"/>
      <w:widowControl/>
    </w:pPr>
    <w:rPr>
      <w:rFonts w:ascii="宋体" w:hAnsi="宋体" w:cs="宋体"/>
      <w:szCs w:val="24"/>
    </w:rPr>
  </w:style>
  <w:style w:type="paragraph" w:styleId="989" w:customStyle="1">
    <w:name w:val="Char2"/>
    <w:basedOn w:val="700"/>
    <w:uiPriority w:val="0"/>
    <w:qFormat/>
    <w:pPr>
      <w:ind w:left="432" w:hanging="432"/>
    </w:pPr>
    <w:rPr>
      <w:szCs w:val="24"/>
    </w:rPr>
  </w:style>
  <w:style w:type="paragraph" w:styleId="990" w:customStyle="1">
    <w:name w:val="Char Char Char Char"/>
    <w:basedOn w:val="700"/>
    <w:uiPriority w:val="0"/>
    <w:qFormat/>
    <w:pPr>
      <w:spacing w:line="360" w:lineRule="atLeast"/>
    </w:pPr>
    <w:rPr>
      <w:sz w:val="20"/>
    </w:rPr>
  </w:style>
  <w:style w:type="paragraph" w:styleId="991" w:customStyle="1">
    <w:name w:val="xl130"/>
    <w:basedOn w:val="70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Cs w:val="24"/>
    </w:rPr>
  </w:style>
  <w:style w:type="paragraph" w:styleId="992" w:customStyle="1">
    <w:name w:val="xl4131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93" w:customStyle="1">
    <w:name w:val="xl41295"/>
    <w:basedOn w:val="700"/>
    <w:uiPriority w:val="0"/>
    <w:qFormat/>
    <w:pPr>
      <w:jc w:val="left"/>
      <w:spacing w:before="100" w:beforeAutospacing="1" w:after="100" w:afterAutospacing="1"/>
      <w:widowControl/>
    </w:pPr>
    <w:rPr>
      <w:rFonts w:ascii="宋体" w:hAnsi="宋体" w:cs="宋体"/>
      <w:b/>
      <w:bCs/>
      <w:szCs w:val="24"/>
    </w:rPr>
  </w:style>
  <w:style w:type="paragraph" w:styleId="994" w:customStyle="1">
    <w:name w:val="p15"/>
    <w:basedOn w:val="700"/>
    <w:uiPriority w:val="0"/>
    <w:qFormat/>
    <w:pPr>
      <w:ind w:firstLine="420"/>
      <w:widowControl/>
    </w:pPr>
    <w:rPr>
      <w:rFonts w:ascii="Calibri" w:hAnsi="Calibri" w:cs="宋体"/>
      <w:sz w:val="20"/>
      <w:szCs w:val="21"/>
    </w:rPr>
  </w:style>
  <w:style w:type="paragraph" w:styleId="995" w:customStyle="1">
    <w:name w:val="xl2423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96" w:customStyle="1">
    <w:name w:val="xl2424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7" w:customStyle="1">
    <w:name w:val="纯文本4"/>
    <w:basedOn w:val="700"/>
    <w:uiPriority w:val="0"/>
    <w:qFormat/>
    <w:rPr>
      <w:rFonts w:ascii="宋体" w:hAnsi="Courier New" w:eastAsia="方正楷体_GB2312"/>
      <w:sz w:val="26"/>
    </w:rPr>
  </w:style>
  <w:style w:type="paragraph" w:styleId="998" w:customStyle="1">
    <w:name w:val="Char Char Char Char Char Char Char Char Char1 Char"/>
    <w:basedOn w:val="722"/>
    <w:uiPriority w:val="0"/>
    <w:qFormat/>
    <w:pPr>
      <w:spacing w:line="360" w:lineRule="auto"/>
    </w:pPr>
    <w:rPr>
      <w:rFonts w:ascii="Tahoma" w:hAnsi="Tahoma"/>
      <w:szCs w:val="24"/>
    </w:rPr>
  </w:style>
  <w:style w:type="paragraph" w:styleId="999" w:customStyle="1">
    <w:name w:val="xl24243"/>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000" w:customStyle="1">
    <w:name w:val="Char Char Char Char Char Char Char Char Char Char"/>
    <w:basedOn w:val="700"/>
    <w:uiPriority w:val="0"/>
    <w:qFormat/>
    <w:pPr>
      <w:ind w:left="360" w:hanging="360"/>
      <w:tabs>
        <w:tab w:val="left" w:pos="360" w:leader="none"/>
      </w:tabs>
    </w:pPr>
    <w:rPr>
      <w:szCs w:val="24"/>
    </w:rPr>
  </w:style>
  <w:style w:type="paragraph" w:styleId="1001" w:customStyle="1">
    <w:name w:val="msolistparagraph"/>
    <w:basedOn w:val="700"/>
    <w:uiPriority w:val="0"/>
    <w:qFormat/>
    <w:pPr>
      <w:ind w:firstLine="420"/>
    </w:pPr>
    <w:rPr>
      <w:rFonts w:ascii="Calibri" w:hAnsi="Calibri"/>
      <w:szCs w:val="22"/>
    </w:rPr>
  </w:style>
  <w:style w:type="paragraph" w:styleId="1002" w:customStyle="1">
    <w:name w:val="xl41328"/>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003" w:customStyle="1">
    <w:name w:val="xl24244"/>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04" w:customStyle="1">
    <w:name w:val="xl26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05" w:customStyle="1">
    <w:name w:val="xl4133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06" w:customStyle="1">
    <w:name w:val="Plain Text1"/>
    <w:basedOn w:val="700"/>
    <w:uiPriority w:val="0"/>
    <w:qFormat/>
    <w:rPr>
      <w:rFonts w:ascii="宋体" w:hAnsi="Courier New" w:eastAsia="方正楷体_GB2312"/>
      <w:sz w:val="28"/>
    </w:rPr>
  </w:style>
  <w:style w:type="paragraph" w:styleId="1007"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1008" w:customStyle="1">
    <w:name w:val="列出段落2"/>
    <w:basedOn w:val="700"/>
    <w:uiPriority w:val="34"/>
    <w:qFormat/>
    <w:pPr>
      <w:ind w:firstLine="420"/>
    </w:pPr>
    <w:rPr>
      <w:rFonts w:ascii="Calibri" w:hAnsi="Calibri"/>
      <w:sz w:val="28"/>
      <w:szCs w:val="22"/>
    </w:rPr>
  </w:style>
  <w:style w:type="paragraph" w:styleId="1009" w:customStyle="1">
    <w:name w:val="Char Char Char Char Char Char Char Char Char Char Char Char Char Char Char Char"/>
    <w:basedOn w:val="700"/>
    <w:uiPriority w:val="0"/>
    <w:qFormat/>
    <w:pPr>
      <w:tabs>
        <w:tab w:val="left" w:pos="360" w:leader="none"/>
      </w:tabs>
    </w:pPr>
    <w:rPr>
      <w:szCs w:val="24"/>
    </w:rPr>
  </w:style>
  <w:style w:type="paragraph" w:styleId="1010" w:customStyle="1">
    <w:name w:val="xl100"/>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1" w:customStyle="1">
    <w:name w:val="Char1 Char Char Char"/>
    <w:basedOn w:val="700"/>
    <w:uiPriority w:val="0"/>
    <w:qFormat/>
    <w:rPr>
      <w:rFonts w:ascii="Tahoma" w:hAnsi="Tahoma"/>
    </w:rPr>
  </w:style>
  <w:style w:type="paragraph" w:styleId="1012" w:customStyle="1">
    <w:name w:val="xl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3"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014" w:customStyle="1">
    <w:name w:val="xl21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5" w:customStyle="1">
    <w:name w:val="wfxRecipient"/>
    <w:basedOn w:val="700"/>
    <w:uiPriority w:val="0"/>
    <w:qFormat/>
    <w:pPr>
      <w:jc w:val="left"/>
      <w:widowControl/>
    </w:pPr>
    <w:rPr>
      <w:sz w:val="20"/>
      <w:lang w:eastAsia="en-US"/>
    </w:rPr>
  </w:style>
  <w:style w:type="paragraph" w:styleId="1016" w:customStyle="1">
    <w:name w:val="xl24236"/>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017" w:customStyle="1">
    <w:name w:val="pa-14"/>
    <w:basedOn w:val="700"/>
    <w:uiPriority w:val="0"/>
    <w:qFormat/>
    <w:pPr>
      <w:jc w:val="left"/>
      <w:spacing w:before="100" w:beforeAutospacing="1" w:after="100" w:afterAutospacing="1"/>
      <w:widowControl/>
    </w:pPr>
    <w:rPr>
      <w:rFonts w:ascii="宋体" w:hAnsi="宋体" w:cs="宋体"/>
      <w:szCs w:val="24"/>
    </w:rPr>
  </w:style>
  <w:style w:type="paragraph" w:styleId="1018" w:customStyle="1">
    <w:name w:val="xl24227"/>
    <w:basedOn w:val="700"/>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9" w:customStyle="1">
    <w:name w:val="xl115"/>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Cs w:val="24"/>
    </w:rPr>
  </w:style>
  <w:style w:type="paragraph" w:styleId="1020" w:customStyle="1">
    <w:name w:val="xl270"/>
    <w:basedOn w:val="700"/>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Cs w:val="24"/>
    </w:rPr>
  </w:style>
  <w:style w:type="paragraph" w:styleId="1021" w:customStyle="1">
    <w:name w:val="xl117"/>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4"/>
    </w:rPr>
  </w:style>
  <w:style w:type="paragraph" w:styleId="1022" w:customStyle="1">
    <w:name w:val="Char Char Char Char Char Char Char Char Char1 Char1"/>
    <w:basedOn w:val="722"/>
    <w:uiPriority w:val="0"/>
    <w:qFormat/>
    <w:pPr>
      <w:spacing w:line="360" w:lineRule="auto"/>
    </w:pPr>
    <w:rPr>
      <w:rFonts w:ascii="Tahoma" w:hAnsi="Tahoma"/>
      <w:szCs w:val="24"/>
    </w:rPr>
  </w:style>
  <w:style w:type="paragraph" w:styleId="1023" w:customStyle="1">
    <w:name w:val="List Paragraph1"/>
    <w:basedOn w:val="700"/>
    <w:uiPriority w:val="0"/>
    <w:qFormat/>
    <w:pPr>
      <w:ind w:firstLine="420"/>
    </w:pPr>
    <w:rPr>
      <w:rFonts w:hint="eastAsia" w:eastAsia="方正楷体_GB2312"/>
      <w:sz w:val="26"/>
    </w:rPr>
  </w:style>
  <w:style w:type="paragraph" w:styleId="1024" w:customStyle="1">
    <w:name w:val="xl274"/>
    <w:basedOn w:val="70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Cs w:val="24"/>
    </w:rPr>
  </w:style>
  <w:style w:type="paragraph" w:styleId="1025"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026" w:customStyle="1">
    <w:name w:val="xl8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027" w:customStyle="1">
    <w:name w:val="xl41299"/>
    <w:basedOn w:val="700"/>
    <w:uiPriority w:val="0"/>
    <w:qFormat/>
    <w:pPr>
      <w:jc w:val="left"/>
      <w:spacing w:before="100" w:beforeAutospacing="1" w:after="100" w:afterAutospacing="1"/>
      <w:widowControl/>
    </w:pPr>
    <w:rPr>
      <w:rFonts w:ascii="宋体" w:hAnsi="宋体" w:cs="宋体"/>
      <w:b/>
      <w:bCs/>
      <w:szCs w:val="24"/>
    </w:rPr>
  </w:style>
  <w:style w:type="paragraph" w:styleId="1028" w:customStyle="1">
    <w:name w:val="xl114"/>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Cs w:val="24"/>
    </w:rPr>
  </w:style>
  <w:style w:type="paragraph" w:styleId="1029" w:customStyle="1">
    <w:name w:val="xl8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030" w:customStyle="1">
    <w:name w:val="标书标准正文"/>
    <w:basedOn w:val="700"/>
    <w:uiPriority w:val="0"/>
    <w:qFormat/>
    <w:pPr>
      <w:ind w:firstLine="540"/>
      <w:spacing w:line="360" w:lineRule="auto"/>
    </w:pPr>
    <w:rPr>
      <w:szCs w:val="24"/>
    </w:rPr>
  </w:style>
  <w:style w:type="paragraph" w:styleId="1031" w:customStyle="1">
    <w:name w:val="xl282"/>
    <w:basedOn w:val="70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Cs w:val="24"/>
    </w:rPr>
  </w:style>
  <w:style w:type="paragraph" w:styleId="1032" w:customStyle="1">
    <w:name w:val="xl77"/>
    <w:basedOn w:val="700"/>
    <w:uiPriority w:val="0"/>
    <w:qFormat/>
    <w:pPr>
      <w:jc w:val="left"/>
      <w:spacing w:before="100" w:beforeAutospacing="1" w:after="100" w:afterAutospacing="1"/>
      <w:widowControl/>
    </w:pPr>
    <w:rPr>
      <w:rFonts w:ascii="宋体" w:hAnsi="宋体" w:cs="宋体"/>
      <w:b/>
      <w:bCs/>
      <w:szCs w:val="24"/>
    </w:rPr>
  </w:style>
  <w:style w:type="paragraph" w:styleId="1033" w:customStyle="1">
    <w:name w:val="列表段落1"/>
    <w:basedOn w:val="700"/>
    <w:uiPriority w:val="34"/>
    <w:qFormat/>
    <w:pPr>
      <w:ind w:firstLine="420"/>
    </w:pPr>
    <w:rPr>
      <w:szCs w:val="24"/>
    </w:rPr>
  </w:style>
  <w:style w:type="paragraph" w:styleId="1034" w:customStyle="1">
    <w:name w:val="xl4131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5" w:customStyle="1">
    <w:name w:val="xl24"/>
    <w:basedOn w:val="700"/>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4"/>
    </w:rPr>
  </w:style>
  <w:style w:type="paragraph" w:styleId="1036" w:customStyle="1">
    <w:name w:val="xl4130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7" w:customStyle="1">
    <w:name w:val="xl125"/>
    <w:basedOn w:val="70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Cs w:val="24"/>
    </w:rPr>
  </w:style>
  <w:style w:type="paragraph" w:styleId="1038" w:customStyle="1">
    <w:name w:val="xl4133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9" w:customStyle="1">
    <w:name w:val="Char Char1 Char Char Char Char Char Char Char Char"/>
    <w:basedOn w:val="700"/>
    <w:uiPriority w:val="0"/>
    <w:qFormat/>
    <w:pPr>
      <w:jc w:val="left"/>
      <w:spacing w:after="160" w:line="240" w:lineRule="exact"/>
      <w:widowControl/>
    </w:pPr>
    <w:rPr>
      <w:rFonts w:ascii="Verdana" w:hAnsi="Verdana"/>
      <w:sz w:val="20"/>
      <w:lang w:eastAsia="en-US"/>
    </w:rPr>
  </w:style>
  <w:style w:type="paragraph" w:styleId="1040" w:customStyle="1">
    <w:name w:val="Char Char Char1 Char Char Char Char"/>
    <w:basedOn w:val="700"/>
    <w:uiPriority w:val="0"/>
    <w:qFormat/>
    <w:pPr>
      <w:jc w:val="left"/>
      <w:spacing w:after="160" w:line="240" w:lineRule="exact"/>
      <w:widowControl/>
    </w:pPr>
    <w:rPr>
      <w:szCs w:val="24"/>
    </w:rPr>
  </w:style>
  <w:style w:type="paragraph" w:styleId="1041" w:customStyle="1">
    <w:name w:val="xl134"/>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Cs w:val="24"/>
    </w:rPr>
  </w:style>
  <w:style w:type="paragraph" w:styleId="1042" w:customStyle="1">
    <w:name w:val="xl228"/>
    <w:basedOn w:val="700"/>
    <w:uiPriority w:val="0"/>
    <w:qFormat/>
    <w:pPr>
      <w:jc w:val="left"/>
      <w:spacing w:before="100" w:beforeAutospacing="1" w:after="100" w:afterAutospacing="1"/>
      <w:widowControl/>
    </w:pPr>
    <w:rPr>
      <w:rFonts w:ascii="宋体" w:hAnsi="宋体" w:cs="宋体"/>
      <w:szCs w:val="24"/>
    </w:rPr>
  </w:style>
  <w:style w:type="paragraph" w:styleId="1043" w:customStyle="1">
    <w:name w:val="xl24259"/>
    <w:basedOn w:val="700"/>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044" w:customStyle="1">
    <w:name w:val="Javis"/>
    <w:basedOn w:val="700"/>
    <w:uiPriority w:val="0"/>
    <w:qFormat/>
    <w:pPr>
      <w:ind w:right="210"/>
      <w:spacing w:line="360" w:lineRule="auto"/>
    </w:pPr>
    <w:rPr>
      <w:rFonts w:cs="宋体"/>
    </w:rPr>
  </w:style>
  <w:style w:type="paragraph" w:styleId="1045" w:customStyle="1">
    <w:name w:val="xl124"/>
    <w:basedOn w:val="700"/>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Cs w:val="24"/>
    </w:rPr>
  </w:style>
  <w:style w:type="paragraph" w:styleId="1046" w:customStyle="1">
    <w:name w:val="text12"/>
    <w:basedOn w:val="700"/>
    <w:uiPriority w:val="0"/>
    <w:qFormat/>
    <w:pPr>
      <w:ind w:firstLine="480"/>
      <w:jc w:val="left"/>
      <w:spacing w:before="100" w:beforeAutospacing="1" w:after="100" w:afterAutospacing="1"/>
      <w:widowControl/>
    </w:pPr>
    <w:rPr>
      <w:rFonts w:ascii="Wonder Arial" w:hAnsi="Wonder Arial"/>
      <w:szCs w:val="24"/>
    </w:rPr>
  </w:style>
  <w:style w:type="paragraph" w:styleId="1047" w:customStyle="1">
    <w:name w:val="xl84"/>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Cs w:val="24"/>
    </w:rPr>
  </w:style>
  <w:style w:type="paragraph" w:styleId="1048" w:customStyle="1">
    <w:name w:val="pic-info"/>
    <w:basedOn w:val="700"/>
    <w:uiPriority w:val="0"/>
    <w:qFormat/>
    <w:pPr>
      <w:jc w:val="left"/>
      <w:spacing w:before="100" w:beforeAutospacing="1" w:after="100" w:afterAutospacing="1"/>
      <w:widowControl/>
    </w:pPr>
    <w:rPr>
      <w:rFonts w:ascii="宋体" w:hAnsi="宋体" w:cs="宋体"/>
      <w:szCs w:val="24"/>
    </w:rPr>
  </w:style>
  <w:style w:type="paragraph" w:styleId="1049" w:customStyle="1">
    <w:name w:val="xl119"/>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4"/>
    </w:rPr>
  </w:style>
  <w:style w:type="paragraph" w:styleId="1050" w:customStyle="1">
    <w:name w:val="xl22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1" w:customStyle="1">
    <w:name w:val="xl41309"/>
    <w:basedOn w:val="70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052" w:customStyle="1">
    <w:name w:val="xl24238"/>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53" w:customStyle="1">
    <w:name w:val="xl24248"/>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054" w:customStyle="1">
    <w:name w:val="xl8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055" w:customStyle="1">
    <w:name w:val="正文符号1"/>
    <w:basedOn w:val="850"/>
    <w:uiPriority w:val="0"/>
    <w:qFormat/>
    <w:pPr>
      <w:ind w:left="975" w:hanging="340"/>
      <w:tabs>
        <w:tab w:val="left" w:pos="840" w:leader="none"/>
        <w:tab w:val="left" w:pos="975" w:leader="none"/>
        <w:tab w:val="left" w:pos="1080" w:leader="none"/>
      </w:tabs>
    </w:pPr>
  </w:style>
  <w:style w:type="paragraph" w:styleId="1056" w:customStyle="1">
    <w:name w:val="xl2425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057" w:customStyle="1">
    <w:name w:val="xl9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058" w:customStyle="1">
    <w:name w:val="xl2427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9" w:customStyle="1">
    <w:name w:val="xl22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60" w:customStyle="1">
    <w:name w:val="xl24269"/>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061" w:customStyle="1">
    <w:name w:val="样式4"/>
    <w:basedOn w:val="760"/>
    <w:uiPriority w:val="0"/>
    <w:qFormat/>
    <w:pPr>
      <w:spacing w:line="480" w:lineRule="auto"/>
      <w:tabs>
        <w:tab w:val="right" w:pos="8494" w:leader="dot"/>
      </w:tabs>
    </w:pPr>
    <w:rPr>
      <w:rFonts w:ascii="Arial" w:hAnsi="Arial" w:eastAsia="黑体" w:cs="Arial"/>
      <w:b w:val="0"/>
      <w:bCs w:val="0"/>
    </w:rPr>
  </w:style>
  <w:style w:type="paragraph" w:styleId="1062" w:customStyle="1">
    <w:name w:val="Char2 Char Char Char Char Char Char Char Char Char"/>
    <w:basedOn w:val="700"/>
    <w:uiPriority w:val="0"/>
    <w:qFormat/>
    <w:pPr>
      <w:ind w:firstLine="200"/>
      <w:spacing w:line="360" w:lineRule="auto"/>
    </w:pPr>
    <w:rPr>
      <w:rFonts w:eastAsia="方正楷体_GB2312"/>
      <w:sz w:val="28"/>
    </w:rPr>
  </w:style>
  <w:style w:type="paragraph" w:styleId="1063" w:customStyle="1">
    <w:name w:val="xl26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4" w:customStyle="1">
    <w:name w:val="xl109"/>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Cs w:val="24"/>
    </w:rPr>
  </w:style>
  <w:style w:type="paragraph" w:styleId="1065" w:customStyle="1">
    <w:name w:val="xl129"/>
    <w:basedOn w:val="70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Cs w:val="24"/>
    </w:rPr>
  </w:style>
  <w:style w:type="paragraph" w:styleId="1066" w:customStyle="1">
    <w:name w:val="xl24249"/>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067" w:customStyle="1">
    <w:name w:val="font8"/>
    <w:basedOn w:val="700"/>
    <w:uiPriority w:val="0"/>
    <w:qFormat/>
    <w:pPr>
      <w:jc w:val="left"/>
      <w:spacing w:before="100" w:beforeAutospacing="1" w:after="100" w:afterAutospacing="1"/>
      <w:widowControl/>
    </w:pPr>
    <w:rPr>
      <w:sz w:val="22"/>
      <w:szCs w:val="22"/>
    </w:rPr>
  </w:style>
  <w:style w:type="paragraph" w:styleId="1068" w:customStyle="1">
    <w:name w:val="xl24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9" w:customStyle="1">
    <w:name w:val="xl22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70" w:customStyle="1">
    <w:name w:val="Definition List"/>
    <w:basedOn w:val="700"/>
    <w:next w:val="700"/>
    <w:uiPriority w:val="0"/>
    <w:qFormat/>
    <w:pPr>
      <w:ind w:left="360"/>
      <w:jc w:val="left"/>
    </w:pPr>
  </w:style>
  <w:style w:type="paragraph" w:styleId="1071" w:customStyle="1">
    <w:name w:val="Char Char3"/>
    <w:basedOn w:val="700"/>
    <w:uiPriority w:val="0"/>
    <w:qFormat/>
    <w:rPr>
      <w:rFonts w:ascii="Tahoma" w:hAnsi="Tahoma"/>
    </w:rPr>
  </w:style>
  <w:style w:type="paragraph" w:styleId="1072" w:customStyle="1">
    <w:name w:val="xl23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3" w:customStyle="1">
    <w:name w:val="xl94"/>
    <w:basedOn w:val="700"/>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074" w:customStyle="1">
    <w:name w:val="Char1"/>
    <w:basedOn w:val="722"/>
    <w:uiPriority w:val="0"/>
    <w:qFormat/>
    <w:pPr>
      <w:ind w:left="357"/>
      <w:jc w:val="left"/>
      <w:spacing w:line="436" w:lineRule="exact"/>
      <w:outlineLvl w:val="3"/>
    </w:pPr>
    <w:rPr>
      <w:rFonts w:ascii="Tahoma" w:hAnsi="Tahoma"/>
      <w:b/>
      <w:szCs w:val="24"/>
    </w:rPr>
  </w:style>
  <w:style w:type="paragraph" w:styleId="1075" w:customStyle="1">
    <w:name w:val="xl91"/>
    <w:basedOn w:val="700"/>
    <w:uiPriority w:val="0"/>
    <w:qFormat/>
    <w:pPr>
      <w:jc w:val="left"/>
      <w:spacing w:before="100" w:beforeAutospacing="1" w:after="100" w:afterAutospacing="1"/>
      <w:shd w:val="clear" w:color="000000" w:fill="ffffff"/>
      <w:widowControl/>
    </w:pPr>
    <w:rPr>
      <w:rFonts w:ascii="宋体" w:hAnsi="宋体" w:cs="宋体"/>
      <w:szCs w:val="24"/>
    </w:rPr>
  </w:style>
  <w:style w:type="paragraph" w:styleId="1076" w:customStyle="1">
    <w:name w:val="xl244"/>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077" w:customStyle="1">
    <w:name w:val="xl4131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78" w:customStyle="1">
    <w:name w:val="纯文本3"/>
    <w:basedOn w:val="700"/>
    <w:uiPriority w:val="0"/>
    <w:qFormat/>
    <w:rPr>
      <w:rFonts w:ascii="宋体" w:hAnsi="Courier New" w:eastAsia="方正楷体_GB2312"/>
      <w:sz w:val="26"/>
    </w:rPr>
  </w:style>
  <w:style w:type="paragraph" w:styleId="1079" w:customStyle="1">
    <w:name w:val="xl122"/>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4"/>
    </w:rPr>
  </w:style>
  <w:style w:type="paragraph" w:styleId="1080" w:customStyle="1">
    <w:name w:val="xl73"/>
    <w:basedOn w:val="70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081" w:customStyle="1">
    <w:name w:val="Char Char Char Char Char Char1 Char"/>
    <w:basedOn w:val="700"/>
    <w:uiPriority w:val="0"/>
    <w:qFormat/>
    <w:rPr>
      <w:rFonts w:ascii="Tahoma" w:hAnsi="Tahoma"/>
    </w:rPr>
  </w:style>
  <w:style w:type="paragraph" w:styleId="1082" w:customStyle="1">
    <w:name w:val="xl71"/>
    <w:basedOn w:val="70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083" w:customStyle="1">
    <w:name w:val="表头"/>
    <w:basedOn w:val="719"/>
    <w:uiPriority w:val="0"/>
    <w:qFormat/>
    <w:pPr>
      <w:jc w:val="center"/>
      <w:keepLines/>
      <w:keepNext/>
      <w:spacing w:before="120" w:after="120" w:line="300" w:lineRule="auto"/>
      <w:widowControl/>
    </w:pPr>
    <w:rPr>
      <w:sz w:val="21"/>
    </w:rPr>
  </w:style>
  <w:style w:type="paragraph" w:styleId="1084" w:customStyle="1">
    <w:name w:val="xl7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085" w:customStyle="1">
    <w:name w:val="xl41327"/>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086" w:customStyle="1">
    <w:name w:val="a1"/>
    <w:basedOn w:val="700"/>
    <w:uiPriority w:val="0"/>
    <w:qFormat/>
    <w:pPr>
      <w:jc w:val="left"/>
      <w:spacing w:before="100" w:beforeAutospacing="1" w:after="100" w:afterAutospacing="1"/>
      <w:widowControl/>
    </w:pPr>
    <w:rPr>
      <w:rFonts w:ascii="宋体" w:hAnsi="宋体" w:cs="宋体"/>
      <w:szCs w:val="24"/>
    </w:rPr>
  </w:style>
  <w:style w:type="paragraph" w:styleId="1087" w:customStyle="1">
    <w:name w:val="xl23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8" w:customStyle="1">
    <w:name w:val="xl255"/>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089" w:customStyle="1">
    <w:name w:val="列出段落3"/>
    <w:basedOn w:val="700"/>
    <w:uiPriority w:val="99"/>
    <w:qFormat/>
    <w:pPr>
      <w:ind w:firstLine="420"/>
    </w:pPr>
    <w:rPr>
      <w:szCs w:val="24"/>
    </w:rPr>
  </w:style>
  <w:style w:type="paragraph" w:styleId="1090" w:customStyle="1">
    <w:name w:val="表格形式1"/>
    <w:basedOn w:val="700"/>
    <w:uiPriority w:val="0"/>
    <w:qFormat/>
    <w:pPr>
      <w:jc w:val="left"/>
      <w:spacing w:line="360" w:lineRule="atLeast"/>
    </w:pPr>
    <w:rPr>
      <w:rFonts w:ascii="宋体" w:eastAsia="方正仿宋_GB2312"/>
      <w:szCs w:val="24"/>
    </w:rPr>
  </w:style>
  <w:style w:type="paragraph" w:styleId="1091" w:customStyle="1">
    <w:name w:val="xl280"/>
    <w:basedOn w:val="70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092" w:customStyle="1">
    <w:name w:val="xl24242"/>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093" w:customStyle="1">
    <w:name w:val="xl41332"/>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094" w:customStyle="1">
    <w:name w:val="xl121"/>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Cs w:val="24"/>
    </w:rPr>
  </w:style>
  <w:style w:type="paragraph" w:styleId="1095" w:customStyle="1">
    <w:name w:val="IBM 正文"/>
    <w:basedOn w:val="700"/>
    <w:uiPriority w:val="0"/>
    <w:qFormat/>
    <w:pPr>
      <w:spacing w:line="400" w:lineRule="exact"/>
    </w:pPr>
    <w:rPr>
      <w:spacing w:val="20"/>
    </w:rPr>
  </w:style>
  <w:style w:type="paragraph" w:styleId="1096" w:customStyle="1">
    <w:name w:val="xl4132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7" w:customStyle="1">
    <w:name w:val="xl26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8" w:customStyle="1">
    <w:name w:val="xl22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xl41307"/>
    <w:basedOn w:val="70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00"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101" w:customStyle="1">
    <w:name w:val="xl41302"/>
    <w:basedOn w:val="700"/>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102" w:customStyle="1">
    <w:name w:val="absatz4"/>
    <w:basedOn w:val="700"/>
    <w:uiPriority w:val="0"/>
    <w:qFormat/>
    <w:pPr>
      <w:ind w:left="2268" w:hanging="2268"/>
      <w:widowControl/>
      <w:tabs>
        <w:tab w:val="left" w:pos="709" w:leader="none"/>
        <w:tab w:val="left" w:pos="2268" w:leader="none"/>
        <w:tab w:val="right" w:pos="10206" w:leader="none"/>
      </w:tabs>
    </w:pPr>
    <w:rPr>
      <w:lang w:val="de-DE" w:eastAsia="de-DE"/>
    </w:rPr>
  </w:style>
  <w:style w:type="paragraph" w:styleId="1103" w:customStyle="1">
    <w:name w:val="Char Char Char Char Char Char Char"/>
    <w:basedOn w:val="700"/>
    <w:uiPriority w:val="0"/>
    <w:qFormat/>
    <w:rPr>
      <w:rFonts w:ascii="方正仿宋_GB2312" w:eastAsia="方正仿宋_GB2312"/>
      <w:b/>
      <w:sz w:val="32"/>
      <w:szCs w:val="32"/>
    </w:rPr>
  </w:style>
  <w:style w:type="paragraph" w:styleId="1104" w:customStyle="1">
    <w:name w:val="_Style 101"/>
    <w:basedOn w:val="700"/>
    <w:next w:val="908"/>
    <w:uiPriority w:val="34"/>
    <w:qFormat/>
    <w:pPr>
      <w:ind w:firstLine="420"/>
      <w:spacing w:line="360" w:lineRule="auto"/>
    </w:pPr>
    <w:rPr>
      <w:rFonts w:ascii="Calibri" w:hAnsi="Calibri"/>
      <w:lang w:val="zh-CN"/>
    </w:rPr>
  </w:style>
  <w:style w:type="paragraph" w:styleId="1105" w:customStyle="1">
    <w:name w:val="小四 段落 宋体 Char Char"/>
    <w:basedOn w:val="700"/>
    <w:uiPriority w:val="0"/>
    <w:qFormat/>
    <w:pPr>
      <w:ind w:firstLine="480"/>
      <w:spacing w:line="360" w:lineRule="auto"/>
    </w:pPr>
    <w:rPr>
      <w:rFonts w:ascii="宋体" w:hAnsi="宋体"/>
      <w:szCs w:val="24"/>
    </w:rPr>
  </w:style>
  <w:style w:type="paragraph" w:styleId="1106" w:customStyle="1">
    <w:name w:val="5级方案标题"/>
    <w:basedOn w:val="704"/>
    <w:uiPriority w:val="0"/>
    <w:qFormat/>
    <w:pPr>
      <w:keepLines/>
      <w:spacing w:line="377" w:lineRule="auto"/>
      <w:outlineLvl w:val="4"/>
    </w:pPr>
    <w:rPr>
      <w:rFonts w:ascii="宋体" w:hAnsi="宋体"/>
      <w:sz w:val="24"/>
      <w:szCs w:val="28"/>
      <w:lang w:val="zh-CN"/>
    </w:rPr>
  </w:style>
  <w:style w:type="paragraph" w:styleId="1107" w:customStyle="1">
    <w:name w:val="xl216"/>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08" w:customStyle="1">
    <w:name w:val="xl108"/>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Cs w:val="24"/>
    </w:rPr>
  </w:style>
  <w:style w:type="paragraph" w:styleId="1109" w:customStyle="1">
    <w:name w:val="xl2423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xl24261"/>
    <w:basedOn w:val="700"/>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111" w:customStyle="1">
    <w:name w:val="xl24256"/>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12" w:customStyle="1">
    <w:name w:val="xl24268"/>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13" w:customStyle="1">
    <w:name w:val="xl120"/>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4"/>
    </w:rPr>
  </w:style>
  <w:style w:type="paragraph" w:styleId="1114" w:customStyle="1">
    <w:name w:val="_Style 4"/>
    <w:basedOn w:val="700"/>
    <w:uiPriority w:val="34"/>
    <w:qFormat/>
    <w:pPr>
      <w:ind w:firstLine="420"/>
    </w:pPr>
    <w:rPr>
      <w:rFonts w:ascii="Calibri" w:hAnsi="Calibri"/>
      <w:szCs w:val="22"/>
    </w:rPr>
  </w:style>
  <w:style w:type="paragraph" w:styleId="1115" w:customStyle="1">
    <w:name w:val="xl4132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271"/>
    <w:basedOn w:val="700"/>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Cs w:val="24"/>
    </w:rPr>
  </w:style>
  <w:style w:type="paragraph" w:styleId="1117" w:customStyle="1">
    <w:name w:val="xl101"/>
    <w:basedOn w:val="70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18" w:customStyle="1">
    <w:name w:val="xl23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font10"/>
    <w:basedOn w:val="700"/>
    <w:uiPriority w:val="0"/>
    <w:qFormat/>
    <w:pPr>
      <w:jc w:val="left"/>
      <w:spacing w:before="100" w:beforeAutospacing="1" w:after="100" w:afterAutospacing="1"/>
      <w:widowControl/>
    </w:pPr>
    <w:rPr>
      <w:rFonts w:ascii="宋体" w:hAnsi="宋体" w:cs="宋体"/>
      <w:sz w:val="18"/>
      <w:szCs w:val="18"/>
    </w:rPr>
  </w:style>
  <w:style w:type="paragraph" w:styleId="1120" w:customStyle="1">
    <w:name w:val="xl279"/>
    <w:basedOn w:val="70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121" w:customStyle="1">
    <w:name w:val="xl7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122" w:customStyle="1">
    <w:name w:val="xl118"/>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Cs w:val="24"/>
    </w:rPr>
  </w:style>
  <w:style w:type="paragraph" w:styleId="1123" w:customStyle="1">
    <w:name w:val="xl2422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正文 A"/>
    <w:uiPriority w:val="0"/>
    <w:qFormat/>
    <w:pPr>
      <w:jc w:val="both"/>
      <w:widowControl w:val="off"/>
    </w:pPr>
    <w:rPr>
      <w:rFonts w:ascii="Times New Roman" w:hAnsi="Wonder Arial" w:eastAsia="Wonder Arial" w:cs="Wonder Arial"/>
      <w:color w:val="000000"/>
      <w:sz w:val="21"/>
      <w:szCs w:val="21"/>
      <w:lang w:val="en-US" w:eastAsia="zh-CN" w:bidi="ar-SA"/>
    </w:rPr>
  </w:style>
  <w:style w:type="paragraph" w:styleId="1125" w:customStyle="1">
    <w:name w:val="xl69"/>
    <w:basedOn w:val="70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6" w:customStyle="1">
    <w:name w:val="xl132"/>
    <w:basedOn w:val="70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Cs w:val="24"/>
    </w:rPr>
  </w:style>
  <w:style w:type="paragraph" w:styleId="1127" w:customStyle="1">
    <w:name w:val="xl41333"/>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128" w:customStyle="1">
    <w:name w:val="xl24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正文文本 21"/>
    <w:basedOn w:val="700"/>
    <w:uiPriority w:val="0"/>
    <w:qFormat/>
    <w:pPr>
      <w:ind w:left="720" w:hanging="720"/>
      <w:widowControl/>
    </w:pPr>
    <w:rPr>
      <w:lang w:val="en-GB"/>
    </w:rPr>
  </w:style>
  <w:style w:type="paragraph" w:styleId="1131" w:customStyle="1">
    <w:name w:val="普通正文"/>
    <w:basedOn w:val="700"/>
    <w:uiPriority w:val="0"/>
    <w:qFormat/>
    <w:pPr>
      <w:ind w:firstLine="425"/>
      <w:jc w:val="left"/>
    </w:pPr>
    <w:rPr>
      <w:rFonts w:ascii="宋体" w:hAnsi="宋体"/>
      <w:color w:val="000000"/>
    </w:rPr>
  </w:style>
  <w:style w:type="paragraph" w:styleId="1132" w:customStyle="1">
    <w:name w:val="xl22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2级方案标题"/>
    <w:basedOn w:val="702"/>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134" w:customStyle="1">
    <w:name w:val="xl2423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正文alt+z"/>
    <w:basedOn w:val="700"/>
    <w:uiPriority w:val="0"/>
    <w:qFormat/>
    <w:pPr>
      <w:ind w:firstLine="200"/>
      <w:spacing w:line="360" w:lineRule="auto"/>
    </w:pPr>
    <w:rPr>
      <w:rFonts w:ascii="Schadow Std Roman" w:hAnsi="Schadow Std Roman"/>
      <w:szCs w:val="24"/>
    </w:rPr>
  </w:style>
  <w:style w:type="paragraph" w:styleId="1136" w:customStyle="1">
    <w:name w:val="正文－恩普"/>
    <w:basedOn w:val="718"/>
    <w:uiPriority w:val="0"/>
    <w:qFormat/>
    <w:pPr>
      <w:ind w:firstLine="200"/>
      <w:spacing w:line="360" w:lineRule="auto"/>
    </w:pPr>
    <w:rPr>
      <w:rFonts w:eastAsia="方正楷体_GB2312"/>
    </w:rPr>
  </w:style>
  <w:style w:type="paragraph" w:styleId="1137" w:customStyle="1">
    <w:name w:val="Char Char Char Char Char Char Char Char Char"/>
    <w:basedOn w:val="700"/>
    <w:uiPriority w:val="0"/>
    <w:qFormat/>
    <w:pPr>
      <w:jc w:val="left"/>
      <w:spacing w:after="160" w:line="240" w:lineRule="exact"/>
      <w:widowControl/>
    </w:pPr>
    <w:rPr>
      <w:szCs w:val="24"/>
    </w:rPr>
  </w:style>
  <w:style w:type="paragraph" w:styleId="1138" w:customStyle="1">
    <w:name w:val="font6"/>
    <w:basedOn w:val="700"/>
    <w:uiPriority w:val="0"/>
    <w:qFormat/>
    <w:pPr>
      <w:jc w:val="left"/>
      <w:spacing w:before="100" w:beforeAutospacing="1" w:after="100" w:afterAutospacing="1"/>
      <w:widowControl/>
    </w:pPr>
    <w:rPr>
      <w:rFonts w:ascii="宋体" w:hAnsi="宋体" w:cs="宋体"/>
      <w:sz w:val="18"/>
      <w:szCs w:val="18"/>
    </w:rPr>
  </w:style>
  <w:style w:type="paragraph" w:styleId="1139" w:customStyle="1">
    <w:name w:val="xl9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140" w:customStyle="1">
    <w:name w:val="xl242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116"/>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Cs w:val="24"/>
    </w:rPr>
  </w:style>
  <w:style w:type="paragraph" w:styleId="1142" w:customStyle="1">
    <w:name w:val="xl2423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3" w:customStyle="1">
    <w:name w:val="xl10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44" w:customStyle="1">
    <w:name w:val="xl21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正式行文"/>
    <w:basedOn w:val="700"/>
    <w:uiPriority w:val="0"/>
    <w:qFormat/>
    <w:pPr>
      <w:ind w:firstLine="200"/>
      <w:spacing w:line="360" w:lineRule="auto"/>
    </w:pPr>
    <w:rPr>
      <w:szCs w:val="24"/>
    </w:rPr>
  </w:style>
  <w:style w:type="paragraph" w:styleId="1146" w:customStyle="1">
    <w:name w:val="xl24239"/>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7" w:customStyle="1">
    <w:name w:val="xl8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148" w:customStyle="1">
    <w:name w:val="xl112"/>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Cs w:val="24"/>
    </w:rPr>
  </w:style>
  <w:style w:type="paragraph" w:styleId="1149" w:customStyle="1">
    <w:name w:val="Char Char11"/>
    <w:basedOn w:val="700"/>
    <w:uiPriority w:val="0"/>
    <w:qFormat/>
    <w:pPr>
      <w:jc w:val="left"/>
      <w:spacing w:after="160" w:line="240" w:lineRule="exact"/>
      <w:widowControl/>
    </w:pPr>
    <w:rPr>
      <w:rFonts w:ascii="Verdana" w:hAnsi="Verdana"/>
      <w:sz w:val="20"/>
      <w:lang w:eastAsia="en-US"/>
    </w:rPr>
  </w:style>
  <w:style w:type="paragraph" w:styleId="1150" w:customStyle="1">
    <w:name w:val="xl217"/>
    <w:basedOn w:val="700"/>
    <w:uiPriority w:val="0"/>
    <w:qFormat/>
    <w:pPr>
      <w:jc w:val="center"/>
      <w:spacing w:before="100" w:beforeAutospacing="1" w:after="100" w:afterAutospacing="1"/>
      <w:widowControl/>
    </w:pPr>
    <w:rPr>
      <w:rFonts w:ascii="宋体" w:hAnsi="宋体" w:cs="宋体"/>
      <w:szCs w:val="24"/>
    </w:rPr>
  </w:style>
  <w:style w:type="paragraph" w:styleId="1151" w:customStyle="1">
    <w:name w:val="xl8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152" w:customStyle="1">
    <w:name w:val="xl24255"/>
    <w:basedOn w:val="70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Cs w:val="24"/>
    </w:rPr>
  </w:style>
  <w:style w:type="paragraph" w:styleId="1153" w:customStyle="1">
    <w:name w:val="Char Char1 Char Char Char Char Char Char Char"/>
    <w:basedOn w:val="700"/>
    <w:uiPriority w:val="0"/>
    <w:qFormat/>
    <w:rPr>
      <w:rFonts w:eastAsia="方正楷体_GB2312"/>
      <w:sz w:val="26"/>
    </w:rPr>
  </w:style>
  <w:style w:type="paragraph" w:styleId="1154" w:customStyle="1">
    <w:name w:val="xl131"/>
    <w:basedOn w:val="70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Cs w:val="24"/>
    </w:rPr>
  </w:style>
  <w:style w:type="paragraph" w:styleId="1155" w:customStyle="1">
    <w:name w:val="Definition Term"/>
    <w:basedOn w:val="700"/>
    <w:next w:val="700"/>
    <w:uiPriority w:val="0"/>
    <w:qFormat/>
    <w:pPr>
      <w:jc w:val="left"/>
    </w:pPr>
  </w:style>
  <w:style w:type="paragraph" w:styleId="1156" w:customStyle="1">
    <w:name w:val="xl9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57" w:customStyle="1">
    <w:name w:val="分发表内容"/>
    <w:basedOn w:val="700"/>
    <w:uiPriority w:val="0"/>
    <w:qFormat/>
    <w:pPr>
      <w:jc w:val="center"/>
      <w:spacing w:before="120" w:after="120"/>
    </w:pPr>
    <w:rPr>
      <w:rFonts w:ascii="励字仿宋GB" w:eastAsia="励字仿宋GB"/>
      <w:sz w:val="20"/>
    </w:rPr>
  </w:style>
  <w:style w:type="paragraph" w:styleId="1158" w:customStyle="1">
    <w:name w:val="List Paragraph2"/>
    <w:basedOn w:val="700"/>
    <w:uiPriority w:val="34"/>
    <w:qFormat/>
    <w:pPr>
      <w:ind w:firstLine="420"/>
      <w:spacing w:line="360" w:lineRule="auto"/>
    </w:pPr>
    <w:rPr>
      <w:rFonts w:ascii="Calibri" w:hAnsi="Calibri"/>
    </w:rPr>
  </w:style>
  <w:style w:type="paragraph" w:styleId="1159" w:customStyle="1">
    <w:name w:val="xl24240"/>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60" w:customStyle="1">
    <w:name w:val="普通(Web)9"/>
    <w:basedOn w:val="700"/>
    <w:uiPriority w:val="0"/>
    <w:qFormat/>
    <w:pPr>
      <w:jc w:val="left"/>
      <w:spacing w:before="100" w:beforeAutospacing="1" w:after="100" w:afterAutospacing="1"/>
      <w:widowControl/>
    </w:pPr>
    <w:rPr>
      <w:rFonts w:ascii="宋体" w:hAnsi="宋体" w:cs="宋体"/>
      <w:sz w:val="20"/>
      <w:szCs w:val="21"/>
    </w:rPr>
  </w:style>
  <w:style w:type="paragraph" w:styleId="1161" w:customStyle="1">
    <w:name w:val="Default Paragraph Font Para Char"/>
    <w:basedOn w:val="700"/>
    <w:uiPriority w:val="0"/>
    <w:qFormat/>
    <w:pPr>
      <w:jc w:val="left"/>
      <w:spacing w:after="160" w:line="240" w:lineRule="exact"/>
      <w:widowControl/>
    </w:pPr>
  </w:style>
  <w:style w:type="paragraph" w:styleId="1162" w:customStyle="1">
    <w:name w:val="1级方案标题"/>
    <w:basedOn w:val="700"/>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163" w:customStyle="1">
    <w:name w:val="_Style 447"/>
    <w:uiPriority w:val="99"/>
    <w:unhideWhenUsed/>
    <w:qFormat/>
    <w:rPr>
      <w:rFonts w:ascii="Times New Roman" w:hAnsi="Times New Roman" w:eastAsia="宋体" w:cs="Times New Roman"/>
      <w:sz w:val="21"/>
      <w:lang w:val="en-US" w:eastAsia="zh-CN" w:bidi="ar-SA"/>
    </w:rPr>
  </w:style>
  <w:style w:type="paragraph" w:styleId="1164" w:customStyle="1">
    <w:name w:val="p17"/>
    <w:basedOn w:val="700"/>
    <w:uiPriority w:val="0"/>
    <w:qFormat/>
    <w:pPr>
      <w:widowControl/>
    </w:pPr>
    <w:rPr>
      <w:szCs w:val="21"/>
    </w:rPr>
  </w:style>
  <w:style w:type="paragraph" w:styleId="1165" w:customStyle="1">
    <w:name w:val="xl4130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2423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7" w:customStyle="1">
    <w:name w:val="xl4132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23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9" w:customStyle="1">
    <w:name w:val="xl110"/>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Cs w:val="24"/>
    </w:rPr>
  </w:style>
  <w:style w:type="paragraph" w:styleId="1170" w:customStyle="1">
    <w:name w:val="正文标准"/>
    <w:basedOn w:val="700"/>
    <w:uiPriority w:val="0"/>
    <w:qFormat/>
    <w:pPr>
      <w:ind w:firstLine="200"/>
      <w:spacing w:line="360" w:lineRule="auto"/>
    </w:pPr>
    <w:rPr>
      <w:rFonts w:eastAsia="MS Gothic"/>
      <w:szCs w:val="21"/>
    </w:rPr>
  </w:style>
  <w:style w:type="paragraph" w:styleId="1171" w:customStyle="1">
    <w:name w:val="xl11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172" w:customStyle="1">
    <w:name w:val="xl24257"/>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173" w:customStyle="1">
    <w:name w:val="剑鱼三"/>
    <w:basedOn w:val="700"/>
    <w:next w:val="700"/>
    <w:uiPriority w:val="0"/>
    <w:qFormat/>
    <w:pPr>
      <w:ind w:left="840" w:hanging="420"/>
    </w:pPr>
    <w:rPr>
      <w:rFonts w:ascii="Arial" w:hAnsi="Arial"/>
      <w:b/>
      <w:sz w:val="20"/>
      <w:szCs w:val="21"/>
    </w:rPr>
  </w:style>
  <w:style w:type="paragraph" w:styleId="1174" w:customStyle="1">
    <w:name w:val="xl4131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xl24246"/>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76" w:customStyle="1">
    <w:name w:val="style23"/>
    <w:basedOn w:val="700"/>
    <w:uiPriority w:val="0"/>
    <w:qFormat/>
    <w:pPr>
      <w:jc w:val="left"/>
      <w:spacing w:before="100" w:beforeAutospacing="1" w:after="100" w:afterAutospacing="1"/>
      <w:widowControl/>
    </w:pPr>
    <w:rPr>
      <w:rFonts w:ascii="Wonder Arial" w:hAnsi="Wonder Arial" w:eastAsia="Wonder Arial" w:cs="Wonder Arial"/>
      <w:sz w:val="18"/>
      <w:szCs w:val="18"/>
    </w:rPr>
  </w:style>
  <w:style w:type="paragraph" w:styleId="1177" w:customStyle="1">
    <w:name w:val="Char"/>
    <w:basedOn w:val="700"/>
    <w:uiPriority w:val="0"/>
    <w:qFormat/>
    <w:pPr>
      <w:ind w:left="480" w:hanging="480"/>
      <w:tabs>
        <w:tab w:val="left" w:pos="480" w:leader="none"/>
      </w:tabs>
    </w:pPr>
    <w:rPr>
      <w:szCs w:val="24"/>
    </w:rPr>
  </w:style>
  <w:style w:type="paragraph" w:styleId="1178" w:customStyle="1">
    <w:name w:val="xl272"/>
    <w:basedOn w:val="700"/>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Cs w:val="24"/>
    </w:rPr>
  </w:style>
  <w:style w:type="paragraph" w:styleId="1179" w:customStyle="1">
    <w:name w:val="xl9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80"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1" w:customStyle="1">
    <w:name w:val="默认段落字体 Para Char Char Char Char Char Char Char"/>
    <w:basedOn w:val="722"/>
    <w:uiPriority w:val="0"/>
    <w:qFormat/>
    <w:pPr>
      <w:ind w:left="357"/>
      <w:jc w:val="left"/>
      <w:spacing w:line="436" w:lineRule="exact"/>
      <w:outlineLvl w:val="3"/>
    </w:pPr>
    <w:rPr>
      <w:rFonts w:ascii="Tahoma" w:hAnsi="Tahoma"/>
      <w:b/>
      <w:szCs w:val="24"/>
    </w:rPr>
  </w:style>
  <w:style w:type="paragraph" w:styleId="1182" w:customStyle="1">
    <w:name w:val="Char Char Char Char Char Char Char Char Char Char1"/>
    <w:basedOn w:val="722"/>
    <w:uiPriority w:val="0"/>
    <w:qFormat/>
    <w:rPr>
      <w:rFonts w:ascii="Tahoma" w:hAnsi="Tahoma" w:cs="Tahoma"/>
      <w:szCs w:val="24"/>
    </w:rPr>
  </w:style>
  <w:style w:type="paragraph" w:styleId="1183" w:customStyle="1">
    <w:name w:val="xl85"/>
    <w:basedOn w:val="700"/>
    <w:uiPriority w:val="0"/>
    <w:qFormat/>
    <w:pPr>
      <w:jc w:val="left"/>
      <w:spacing w:before="100" w:beforeAutospacing="1" w:after="100" w:afterAutospacing="1"/>
      <w:widowControl/>
    </w:pPr>
    <w:rPr>
      <w:rFonts w:ascii="宋体" w:hAnsi="宋体" w:cs="宋体"/>
      <w:szCs w:val="24"/>
    </w:rPr>
  </w:style>
  <w:style w:type="paragraph" w:styleId="1184" w:customStyle="1">
    <w:name w:val="Char Char Char"/>
    <w:basedOn w:val="700"/>
    <w:uiPriority w:val="0"/>
    <w:qFormat/>
    <w:pPr>
      <w:ind w:left="375" w:hanging="375"/>
      <w:tabs>
        <w:tab w:val="left" w:pos="1545" w:leader="none"/>
      </w:tabs>
    </w:pPr>
  </w:style>
  <w:style w:type="paragraph" w:styleId="1185" w:customStyle="1">
    <w:name w:val="xl281"/>
    <w:basedOn w:val="70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Cs w:val="24"/>
    </w:rPr>
  </w:style>
  <w:style w:type="paragraph" w:styleId="1186" w:customStyle="1">
    <w:name w:val="_Style 30"/>
    <w:basedOn w:val="700"/>
    <w:next w:val="733"/>
    <w:uiPriority w:val="0"/>
    <w:qFormat/>
    <w:rPr>
      <w:rFonts w:ascii="宋体" w:hAnsi="Courier New"/>
    </w:rPr>
  </w:style>
  <w:style w:type="paragraph" w:styleId="1187" w:customStyle="1">
    <w:name w:val="xl4133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xl4129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189" w:customStyle="1">
    <w:name w:val="xl26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0" w:customStyle="1">
    <w:name w:val="xl41325"/>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91" w:customStyle="1">
    <w:name w:val="xl41310"/>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92" w:customStyle="1">
    <w:name w:val="xl24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3" w:customStyle="1">
    <w:name w:val="xl74"/>
    <w:basedOn w:val="700"/>
    <w:uiPriority w:val="0"/>
    <w:qFormat/>
    <w:pPr>
      <w:jc w:val="left"/>
      <w:spacing w:before="100" w:beforeAutospacing="1" w:after="100" w:afterAutospacing="1"/>
      <w:widowControl/>
    </w:pPr>
    <w:rPr>
      <w:rFonts w:ascii="宋体" w:hAnsi="宋体" w:cs="宋体"/>
      <w:szCs w:val="24"/>
    </w:rPr>
  </w:style>
  <w:style w:type="paragraph" w:styleId="1194" w:customStyle="1">
    <w:name w:val="xl133"/>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Cs w:val="24"/>
    </w:rPr>
  </w:style>
  <w:style w:type="paragraph" w:styleId="1195" w:customStyle="1">
    <w:name w:val="修订1"/>
    <w:uiPriority w:val="0"/>
    <w:semiHidden/>
    <w:qFormat/>
    <w:rPr>
      <w:rFonts w:ascii="Times New Roman" w:hAnsi="Times New Roman" w:eastAsia="方正楷体_GB2312" w:cs="Times New Roman"/>
      <w:sz w:val="28"/>
      <w:lang w:val="en-US" w:eastAsia="zh-CN" w:bidi="ar-SA"/>
    </w:rPr>
  </w:style>
  <w:style w:type="paragraph" w:styleId="1196" w:customStyle="1">
    <w:name w:val="xl25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7" w:customStyle="1">
    <w:name w:val="xl127"/>
    <w:basedOn w:val="700"/>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198" w:customStyle="1">
    <w:name w:val="p0"/>
    <w:basedOn w:val="700"/>
    <w:uiPriority w:val="0"/>
    <w:qFormat/>
    <w:pPr>
      <w:widowControl/>
    </w:pPr>
    <w:rPr>
      <w:spacing w:val="16"/>
    </w:rPr>
  </w:style>
  <w:style w:type="paragraph" w:styleId="1199" w:customStyle="1">
    <w:name w:val="xl275"/>
    <w:basedOn w:val="70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Cs w:val="24"/>
    </w:rPr>
  </w:style>
  <w:style w:type="paragraph" w:styleId="1200" w:customStyle="1">
    <w:name w:val="xl41337"/>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01" w:customStyle="1">
    <w:name w:val="xl10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02" w:customStyle="1">
    <w:name w:val="文档正文"/>
    <w:basedOn w:val="700"/>
    <w:uiPriority w:val="0"/>
    <w:qFormat/>
    <w:pPr>
      <w:ind w:firstLine="567"/>
      <w:spacing w:line="500" w:lineRule="exact"/>
    </w:pPr>
    <w:rPr>
      <w:rFonts w:ascii="方正仿宋_GB2312" w:eastAsia="方正仿宋_GB2312"/>
      <w:sz w:val="28"/>
    </w:rPr>
  </w:style>
  <w:style w:type="paragraph" w:styleId="1203" w:customStyle="1">
    <w:name w:val="Char11"/>
    <w:basedOn w:val="722"/>
    <w:uiPriority w:val="0"/>
    <w:qFormat/>
    <w:pPr>
      <w:ind w:left="357"/>
      <w:jc w:val="left"/>
      <w:spacing w:line="436" w:lineRule="exact"/>
      <w:outlineLvl w:val="3"/>
    </w:pPr>
    <w:rPr>
      <w:rFonts w:ascii="Tahoma" w:hAnsi="Tahoma"/>
      <w:b/>
      <w:szCs w:val="24"/>
    </w:rPr>
  </w:style>
  <w:style w:type="paragraph" w:styleId="1204" w:customStyle="1">
    <w:name w:val="xl10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05" w:customStyle="1">
    <w:name w:val="此正文"/>
    <w:basedOn w:val="700"/>
    <w:uiPriority w:val="0"/>
    <w:qFormat/>
    <w:pPr>
      <w:ind w:firstLine="200"/>
      <w:spacing w:line="360" w:lineRule="auto"/>
    </w:pPr>
    <w:rPr>
      <w:szCs w:val="24"/>
    </w:rPr>
  </w:style>
  <w:style w:type="paragraph" w:styleId="1206" w:customStyle="1">
    <w:name w:val="xl24251"/>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07" w:customStyle="1">
    <w:name w:val="xl25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208" w:customStyle="1">
    <w:name w:val="xl24264"/>
    <w:basedOn w:val="70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209" w:customStyle="1">
    <w:name w:val="style1"/>
    <w:basedOn w:val="700"/>
    <w:uiPriority w:val="0"/>
    <w:qFormat/>
    <w:pPr>
      <w:jc w:val="left"/>
      <w:spacing w:before="100" w:beforeAutospacing="1" w:after="100" w:afterAutospacing="1"/>
      <w:widowControl/>
    </w:pPr>
    <w:rPr>
      <w:rFonts w:ascii="宋体" w:hAnsi="宋体" w:cs="宋体"/>
      <w:szCs w:val="24"/>
    </w:rPr>
  </w:style>
  <w:style w:type="paragraph" w:styleId="1210" w:customStyle="1">
    <w:name w:val="xl23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1" w:customStyle="1">
    <w:name w:val="正文文本缩进 21"/>
    <w:basedOn w:val="700"/>
    <w:uiPriority w:val="0"/>
    <w:qFormat/>
    <w:pPr>
      <w:ind w:left="-61" w:firstLine="458"/>
      <w:spacing w:line="360" w:lineRule="auto"/>
    </w:pPr>
    <w:rPr>
      <w:rFonts w:ascii="宋体" w:hAnsi="宋体"/>
      <w:sz w:val="20"/>
    </w:rPr>
  </w:style>
  <w:style w:type="paragraph" w:styleId="1212" w:customStyle="1">
    <w:name w:val="font9"/>
    <w:basedOn w:val="700"/>
    <w:uiPriority w:val="0"/>
    <w:qFormat/>
    <w:pPr>
      <w:jc w:val="left"/>
      <w:spacing w:before="100" w:beforeAutospacing="1" w:after="100" w:afterAutospacing="1"/>
      <w:widowControl/>
    </w:pPr>
    <w:rPr>
      <w:rFonts w:ascii="宋体" w:hAnsi="宋体" w:cs="宋体"/>
      <w:sz w:val="22"/>
      <w:szCs w:val="22"/>
    </w:rPr>
  </w:style>
  <w:style w:type="paragraph" w:styleId="1213" w:customStyle="1">
    <w:name w:val="多级符号2"/>
    <w:basedOn w:val="700"/>
    <w:uiPriority w:val="0"/>
    <w:qFormat/>
    <w:pPr>
      <w:ind w:left="420" w:hanging="420"/>
      <w:jc w:val="left"/>
      <w:spacing w:line="360" w:lineRule="auto"/>
    </w:pPr>
    <w:rPr>
      <w:rFonts w:eastAsia="方正仿宋_GB2312"/>
      <w:szCs w:val="24"/>
    </w:rPr>
  </w:style>
  <w:style w:type="paragraph" w:styleId="1214" w:customStyle="1">
    <w:name w:val="xl126"/>
    <w:basedOn w:val="700"/>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Cs w:val="24"/>
    </w:rPr>
  </w:style>
  <w:style w:type="paragraph" w:styleId="1215" w:customStyle="1">
    <w:name w:val="font7"/>
    <w:basedOn w:val="700"/>
    <w:uiPriority w:val="0"/>
    <w:qFormat/>
    <w:pPr>
      <w:jc w:val="left"/>
      <w:spacing w:before="100" w:beforeAutospacing="1" w:after="100" w:afterAutospacing="1"/>
      <w:widowControl/>
    </w:pPr>
    <w:rPr>
      <w:sz w:val="20"/>
    </w:rPr>
  </w:style>
  <w:style w:type="paragraph" w:styleId="1216" w:customStyle="1">
    <w:name w:val="xl4131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xl24250"/>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18" w:customStyle="1">
    <w:name w:val="style2"/>
    <w:basedOn w:val="700"/>
    <w:uiPriority w:val="0"/>
    <w:qFormat/>
    <w:pPr>
      <w:jc w:val="left"/>
      <w:spacing w:before="100" w:beforeAutospacing="1" w:after="100" w:afterAutospacing="1"/>
      <w:widowControl/>
    </w:pPr>
    <w:rPr>
      <w:rFonts w:hint="eastAsia" w:ascii="宋体" w:hAnsi="宋体" w:cs="Wonder Arial"/>
      <w:sz w:val="18"/>
      <w:szCs w:val="18"/>
    </w:rPr>
  </w:style>
  <w:style w:type="paragraph" w:styleId="1219" w:customStyle="1">
    <w:name w:val="_Style 7"/>
    <w:basedOn w:val="700"/>
    <w:next w:val="700"/>
    <w:uiPriority w:val="0"/>
    <w:qFormat/>
    <w:pPr>
      <w:ind w:left="420" w:firstLine="420"/>
      <w:jc w:val="left"/>
      <w:spacing w:line="240" w:lineRule="atLeast"/>
    </w:pPr>
    <w:rPr>
      <w:sz w:val="20"/>
      <w:szCs w:val="21"/>
    </w:rPr>
  </w:style>
  <w:style w:type="paragraph" w:styleId="1220" w:customStyle="1">
    <w:name w:val="xl72"/>
    <w:basedOn w:val="70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21" w:customStyle="1">
    <w:name w:val="xl8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22" w:customStyle="1">
    <w:name w:val="纯文本111"/>
    <w:basedOn w:val="700"/>
    <w:uiPriority w:val="0"/>
    <w:qFormat/>
    <w:rPr>
      <w:rFonts w:hint="eastAsia" w:ascii="宋体" w:hAnsi="Courier New" w:eastAsia="方正楷体_GB2312"/>
      <w:sz w:val="28"/>
    </w:rPr>
  </w:style>
  <w:style w:type="paragraph" w:styleId="1223" w:customStyle="1">
    <w:name w:val="xl8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24" w:customStyle="1">
    <w:name w:val="xl10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25" w:customStyle="1">
    <w:name w:val="Char Char Char Char Char Char Char Char Char Char Char Char Char Char Char Char1"/>
    <w:basedOn w:val="700"/>
    <w:uiPriority w:val="0"/>
    <w:qFormat/>
    <w:rPr>
      <w:rFonts w:ascii="Tahoma" w:hAnsi="Tahoma"/>
      <w:szCs w:val="24"/>
    </w:rPr>
  </w:style>
  <w:style w:type="paragraph" w:styleId="1226" w:customStyle="1">
    <w:name w:val="4级方案标题"/>
    <w:basedOn w:val="700"/>
    <w:uiPriority w:val="0"/>
    <w:qFormat/>
    <w:pPr>
      <w:spacing w:before="100" w:beforeAutospacing="1" w:after="100" w:afterAutospacing="1" w:line="360" w:lineRule="auto"/>
      <w:outlineLvl w:val="3"/>
    </w:pPr>
    <w:rPr>
      <w:rFonts w:ascii="等线" w:hAnsi="等线"/>
      <w:b/>
      <w:szCs w:val="28"/>
    </w:rPr>
  </w:style>
  <w:style w:type="paragraph" w:styleId="1227" w:customStyle="1">
    <w:name w:val="xl24245"/>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28" w:customStyle="1">
    <w:name w:val="xl123"/>
    <w:basedOn w:val="70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Cs w:val="24"/>
    </w:rPr>
  </w:style>
  <w:style w:type="paragraph" w:styleId="1229" w:customStyle="1">
    <w:name w:val="TOC 标题1"/>
    <w:basedOn w:val="701"/>
    <w:next w:val="70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230" w:customStyle="1">
    <w:name w:val="xl268"/>
    <w:basedOn w:val="7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31" w:customStyle="1">
    <w:name w:val="xl24237"/>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32" w:customStyle="1">
    <w:name w:val="列表内容"/>
    <w:basedOn w:val="700"/>
    <w:next w:val="700"/>
    <w:uiPriority w:val="0"/>
    <w:qFormat/>
    <w:pPr>
      <w:ind w:left="840" w:hanging="420"/>
      <w:jc w:val="left"/>
      <w:widowControl/>
      <w:tabs>
        <w:tab w:val="left" w:pos="840" w:leader="none"/>
      </w:tabs>
    </w:pPr>
    <w:rPr>
      <w:sz w:val="18"/>
      <w:szCs w:val="24"/>
    </w:rPr>
  </w:style>
  <w:style w:type="paragraph" w:styleId="1233" w:customStyle="1">
    <w:name w:val="xl22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xl273"/>
    <w:basedOn w:val="70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Cs w:val="24"/>
    </w:rPr>
  </w:style>
  <w:style w:type="paragraph" w:styleId="1235" w:customStyle="1">
    <w:name w:val="xl4132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36" w:customStyle="1">
    <w:name w:val="xl41330"/>
    <w:basedOn w:val="70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xl276"/>
    <w:basedOn w:val="700"/>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Cs w:val="24"/>
    </w:rPr>
  </w:style>
  <w:style w:type="paragraph" w:styleId="1238" w:customStyle="1">
    <w:name w:val="标题3"/>
    <w:basedOn w:val="703"/>
    <w:uiPriority w:val="0"/>
    <w:qFormat/>
    <w:pPr>
      <w:jc w:val="both"/>
      <w:keepNext w:val="0"/>
      <w:spacing w:line="360" w:lineRule="auto"/>
    </w:pPr>
    <w:rPr>
      <w:rFonts w:ascii="Times New Roman" w:hAnsi="Times New Roman" w:eastAsia="方正仿宋_GB2312"/>
      <w:bCs/>
      <w:sz w:val="30"/>
      <w:szCs w:val="32"/>
    </w:rPr>
  </w:style>
  <w:style w:type="paragraph" w:styleId="1239" w:customStyle="1">
    <w:name w:val="xl95"/>
    <w:basedOn w:val="700"/>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240" w:customStyle="1">
    <w:name w:val="样式 正文缩进 + 首行缩进:  2 字符"/>
    <w:basedOn w:val="718"/>
    <w:uiPriority w:val="0"/>
    <w:qFormat/>
    <w:pPr>
      <w:ind w:firstLine="200"/>
      <w:jc w:val="left"/>
      <w:spacing w:line="360" w:lineRule="auto"/>
    </w:pPr>
    <w:rPr>
      <w:rFonts w:ascii="Calibri" w:hAnsi="Calibri" w:eastAsia="方正楷体_GB2312"/>
      <w:szCs w:val="22"/>
    </w:rPr>
  </w:style>
  <w:style w:type="paragraph" w:styleId="1241" w:customStyle="1">
    <w:name w:val="xl22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9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3" w:customStyle="1">
    <w:name w:val="xl251"/>
    <w:basedOn w:val="70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44" w:customStyle="1">
    <w:name w:val="样式2"/>
    <w:basedOn w:val="701"/>
    <w:uiPriority w:val="0"/>
    <w:qFormat/>
    <w:pPr>
      <w:jc w:val="both"/>
      <w:keepLines/>
      <w:spacing w:before="340" w:after="330" w:line="578" w:lineRule="atLeast"/>
      <w:tabs>
        <w:tab w:val="clear" w:pos="200" w:leader="none"/>
      </w:tabs>
    </w:pPr>
    <w:rPr>
      <w:bCs/>
      <w:sz w:val="44"/>
      <w:szCs w:val="44"/>
    </w:rPr>
  </w:style>
  <w:style w:type="paragraph" w:styleId="1245" w:customStyle="1">
    <w:name w:val="xl24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26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7" w:customStyle="1">
    <w:name w:val="xl7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8" w:customStyle="1">
    <w:name w:val="Pa3"/>
    <w:basedOn w:val="700"/>
    <w:next w:val="700"/>
    <w:uiPriority w:val="0"/>
    <w:qFormat/>
    <w:pPr>
      <w:jc w:val="left"/>
      <w:spacing w:line="181" w:lineRule="atLeast"/>
    </w:pPr>
    <w:rPr>
      <w:rFonts w:ascii="华文楷体" w:eastAsia="华文楷体"/>
      <w:szCs w:val="24"/>
    </w:rPr>
  </w:style>
  <w:style w:type="paragraph" w:styleId="1249" w:customStyle="1">
    <w:name w:val="xl97"/>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cs="宋体"/>
      <w:color w:val="ff0000"/>
      <w:sz w:val="22"/>
      <w:szCs w:val="22"/>
    </w:rPr>
  </w:style>
  <w:style w:type="paragraph" w:styleId="1250" w:customStyle="1">
    <w:name w:val="xl24241"/>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51" w:customStyle="1">
    <w:name w:val="xl4129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52" w:customStyle="1">
    <w:name w:val="样式5"/>
    <w:basedOn w:val="760"/>
    <w:uiPriority w:val="0"/>
    <w:qFormat/>
    <w:rPr>
      <w:rFonts w:ascii="Arial" w:hAnsi="Arial" w:cs="Arial"/>
    </w:rPr>
  </w:style>
  <w:style w:type="paragraph" w:styleId="1253" w:customStyle="1">
    <w:name w:val="Char3"/>
    <w:basedOn w:val="700"/>
    <w:uiPriority w:val="0"/>
    <w:qFormat/>
    <w:rPr>
      <w:rFonts w:ascii="Tahoma" w:hAnsi="Tahoma"/>
    </w:rPr>
  </w:style>
  <w:style w:type="paragraph" w:styleId="1254" w:customStyle="1">
    <w:name w:val="xl111"/>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Cs w:val="24"/>
    </w:rPr>
  </w:style>
  <w:style w:type="paragraph" w:styleId="1255" w:customStyle="1">
    <w:name w:val="xl269"/>
    <w:basedOn w:val="70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56" w:customStyle="1">
    <w:name w:val="xl22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41335"/>
    <w:basedOn w:val="70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58" w:customStyle="1">
    <w:name w:val="xl6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9" w:customStyle="1">
    <w:name w:val="Plain Text2"/>
    <w:basedOn w:val="700"/>
    <w:uiPriority w:val="0"/>
    <w:qFormat/>
    <w:rPr>
      <w:rFonts w:ascii="宋体" w:hAnsi="Courier New" w:eastAsia="方正楷体_GB2312"/>
      <w:sz w:val="28"/>
    </w:rPr>
  </w:style>
  <w:style w:type="paragraph" w:styleId="1260" w:customStyle="1">
    <w:name w:val="段落正文 Char Char"/>
    <w:basedOn w:val="700"/>
    <w:uiPriority w:val="0"/>
    <w:qFormat/>
    <w:pPr>
      <w:ind w:firstLine="461"/>
      <w:spacing w:line="360" w:lineRule="auto"/>
    </w:pPr>
    <w:rPr>
      <w:rFonts w:ascii="宋体" w:hAnsi="宋体"/>
      <w:szCs w:val="24"/>
    </w:rPr>
  </w:style>
  <w:style w:type="paragraph" w:styleId="1261" w:customStyle="1">
    <w:name w:val="南通方案正文"/>
    <w:basedOn w:val="700"/>
    <w:uiPriority w:val="0"/>
    <w:qFormat/>
    <w:pPr>
      <w:ind w:firstLine="480"/>
      <w:spacing w:line="360" w:lineRule="auto"/>
    </w:pPr>
  </w:style>
  <w:style w:type="paragraph" w:styleId="1262" w:customStyle="1">
    <w:name w:val="xl135"/>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Cs w:val="24"/>
    </w:rPr>
  </w:style>
  <w:style w:type="paragraph" w:styleId="1263" w:customStyle="1">
    <w:name w:val="Pa1"/>
    <w:basedOn w:val="700"/>
    <w:next w:val="700"/>
    <w:uiPriority w:val="0"/>
    <w:qFormat/>
    <w:pPr>
      <w:jc w:val="left"/>
      <w:spacing w:line="241" w:lineRule="atLeast"/>
    </w:pPr>
    <w:rPr>
      <w:rFonts w:ascii="华文细黑" w:eastAsia="华文细黑"/>
      <w:szCs w:val="24"/>
    </w:rPr>
  </w:style>
  <w:style w:type="paragraph" w:styleId="1264" w:customStyle="1">
    <w:name w:val="xl2422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23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Char Char Char Char Char Char Char Char1 Char Char Char Char"/>
    <w:basedOn w:val="722"/>
    <w:uiPriority w:val="0"/>
    <w:qFormat/>
    <w:pPr>
      <w:spacing w:line="360" w:lineRule="auto"/>
    </w:pPr>
    <w:rPr>
      <w:rFonts w:eastAsia="方正楷体_GB2312"/>
      <w:sz w:val="28"/>
    </w:rPr>
  </w:style>
  <w:style w:type="paragraph" w:styleId="1267" w:customStyle="1">
    <w:name w:val="xl24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8" w:customStyle="1">
    <w:name w:val="xl24267"/>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269" w:customStyle="1">
    <w:name w:val="xl23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0" w:customStyle="1">
    <w:name w:val="xl27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271" w:customStyle="1">
    <w:name w:val="正文序号 3"/>
    <w:basedOn w:val="700"/>
    <w:uiPriority w:val="0"/>
    <w:qFormat/>
    <w:pPr>
      <w:ind w:left="1259" w:hanging="420"/>
      <w:spacing w:before="60"/>
      <w:tabs>
        <w:tab w:val="left" w:pos="1259" w:leader="none"/>
      </w:tabs>
    </w:pPr>
    <w:rPr>
      <w:szCs w:val="24"/>
    </w:rPr>
  </w:style>
  <w:style w:type="paragraph" w:styleId="1272" w:customStyle="1">
    <w:name w:val="xl41329"/>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73" w:customStyle="1">
    <w:name w:val="xl21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24258"/>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75" w:customStyle="1">
    <w:name w:val="xl21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75"/>
    <w:basedOn w:val="700"/>
    <w:uiPriority w:val="0"/>
    <w:qFormat/>
    <w:pPr>
      <w:jc w:val="left"/>
      <w:spacing w:before="100" w:beforeAutospacing="1" w:after="100" w:afterAutospacing="1"/>
      <w:widowControl/>
    </w:pPr>
    <w:rPr>
      <w:rFonts w:ascii="宋体" w:hAnsi="宋体" w:cs="宋体"/>
      <w:szCs w:val="24"/>
    </w:rPr>
  </w:style>
  <w:style w:type="paragraph" w:styleId="1277" w:customStyle="1">
    <w:name w:val="msonormal"/>
    <w:basedOn w:val="700"/>
    <w:uiPriority w:val="0"/>
    <w:qFormat/>
    <w:pPr>
      <w:jc w:val="left"/>
      <w:spacing w:before="100" w:beforeAutospacing="1" w:after="100" w:afterAutospacing="1"/>
      <w:widowControl/>
    </w:pPr>
    <w:rPr>
      <w:rFonts w:ascii="宋体" w:hAnsi="宋体" w:cs="宋体"/>
      <w:szCs w:val="24"/>
    </w:rPr>
  </w:style>
  <w:style w:type="paragraph" w:styleId="1278" w:customStyle="1">
    <w:name w:val="xl41298"/>
    <w:basedOn w:val="700"/>
    <w:uiPriority w:val="0"/>
    <w:qFormat/>
    <w:pPr>
      <w:jc w:val="left"/>
      <w:spacing w:before="100" w:beforeAutospacing="1" w:after="100" w:afterAutospacing="1"/>
      <w:widowControl/>
    </w:pPr>
    <w:rPr>
      <w:rFonts w:ascii="宋体" w:hAnsi="宋体" w:cs="宋体"/>
      <w:b/>
      <w:bCs/>
      <w:szCs w:val="24"/>
    </w:rPr>
  </w:style>
  <w:style w:type="paragraph" w:styleId="1279" w:customStyle="1">
    <w:name w:val="Char Char2 Char Char"/>
    <w:basedOn w:val="700"/>
    <w:uiPriority w:val="0"/>
    <w:qFormat/>
    <w:rPr>
      <w:rFonts w:ascii="Tahoma" w:hAnsi="Tahoma"/>
    </w:rPr>
  </w:style>
  <w:style w:type="paragraph" w:styleId="1280" w:customStyle="1">
    <w:name w:val="xl4132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默认段落字体 Para Char Char Char Char"/>
    <w:basedOn w:val="700"/>
    <w:uiPriority w:val="0"/>
    <w:qFormat/>
    <w:rPr>
      <w:sz w:val="20"/>
      <w:szCs w:val="24"/>
    </w:rPr>
  </w:style>
  <w:style w:type="paragraph" w:styleId="1282" w:customStyle="1">
    <w:name w:val="xl41301"/>
    <w:basedOn w:val="700"/>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83" w:customStyle="1">
    <w:name w:val="纯文本21"/>
    <w:basedOn w:val="700"/>
    <w:uiPriority w:val="0"/>
    <w:qFormat/>
    <w:rPr>
      <w:rFonts w:ascii="宋体" w:hAnsi="Courier New" w:eastAsia="方正楷体_GB2312"/>
      <w:sz w:val="26"/>
    </w:rPr>
  </w:style>
  <w:style w:type="paragraph" w:styleId="1284" w:customStyle="1">
    <w:name w:val="Bullet"/>
    <w:basedOn w:val="700"/>
    <w:uiPriority w:val="0"/>
    <w:qFormat/>
    <w:pPr>
      <w:ind w:left="420" w:right="709" w:hanging="420"/>
      <w:spacing w:before="60" w:after="60"/>
      <w:tabs>
        <w:tab w:val="left" w:pos="420" w:leader="none"/>
        <w:tab w:val="left" w:pos="2552" w:leader="none"/>
      </w:tabs>
    </w:pPr>
    <w:rPr>
      <w:rFonts w:eastAsia="方正楷体_GB2312"/>
      <w:spacing w:val="2"/>
      <w:sz w:val="20"/>
      <w:lang w:eastAsia="zh-TW"/>
    </w:rPr>
  </w:style>
  <w:style w:type="paragraph" w:styleId="1285" w:customStyle="1">
    <w:name w:val="xl8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86" w:customStyle="1">
    <w:name w:val="Char Char1 Char"/>
    <w:basedOn w:val="722"/>
    <w:uiPriority w:val="0"/>
    <w:qFormat/>
    <w:pPr>
      <w:spacing w:line="360" w:lineRule="auto"/>
    </w:pPr>
    <w:rPr>
      <w:rFonts w:ascii="Tahoma" w:hAnsi="Tahoma"/>
      <w:szCs w:val="24"/>
    </w:rPr>
  </w:style>
  <w:style w:type="paragraph" w:styleId="1287" w:customStyle="1">
    <w:name w:val="xl41294"/>
    <w:basedOn w:val="700"/>
    <w:uiPriority w:val="0"/>
    <w:qFormat/>
    <w:pPr>
      <w:jc w:val="left"/>
      <w:spacing w:before="100" w:beforeAutospacing="1" w:after="100" w:afterAutospacing="1"/>
      <w:widowControl/>
    </w:pPr>
    <w:rPr>
      <w:rFonts w:ascii="宋体" w:hAnsi="宋体" w:cs="宋体"/>
      <w:b/>
      <w:bCs/>
      <w:szCs w:val="24"/>
    </w:rPr>
  </w:style>
  <w:style w:type="paragraph" w:styleId="1288" w:customStyle="1">
    <w:name w:val="xl24226"/>
    <w:basedOn w:val="700"/>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9" w:customStyle="1">
    <w:name w:val="Char Char1 Char Char Char Char Char Char Char1"/>
    <w:basedOn w:val="700"/>
    <w:uiPriority w:val="0"/>
    <w:qFormat/>
    <w:rPr>
      <w:rFonts w:ascii="Tahoma" w:hAnsi="Tahoma"/>
    </w:rPr>
  </w:style>
  <w:style w:type="paragraph" w:styleId="1290" w:customStyle="1">
    <w:name w:val="xl26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1" w:customStyle="1">
    <w:name w:val="xl4131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24262"/>
    <w:basedOn w:val="700"/>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293" w:customStyle="1">
    <w:name w:val="xl218"/>
    <w:basedOn w:val="700"/>
    <w:uiPriority w:val="0"/>
    <w:qFormat/>
    <w:pPr>
      <w:jc w:val="left"/>
      <w:spacing w:before="100" w:beforeAutospacing="1" w:after="100" w:afterAutospacing="1"/>
      <w:widowControl/>
    </w:pPr>
    <w:rPr>
      <w:rFonts w:ascii="宋体" w:hAnsi="宋体" w:cs="宋体"/>
      <w:szCs w:val="24"/>
    </w:rPr>
  </w:style>
  <w:style w:type="paragraph" w:styleId="1294" w:customStyle="1">
    <w:name w:val="xl106"/>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Cs w:val="24"/>
    </w:rPr>
  </w:style>
  <w:style w:type="paragraph" w:styleId="1295" w:customStyle="1">
    <w:name w:val="xl2425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4"/>
    </w:rPr>
  </w:style>
  <w:style w:type="paragraph" w:styleId="1296" w:customStyle="1">
    <w:name w:val="xl22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24266"/>
    <w:basedOn w:val="70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298" w:customStyle="1">
    <w:name w:val="xl24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23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reader-word-layer reader-word-s7-11"/>
    <w:basedOn w:val="700"/>
    <w:uiPriority w:val="0"/>
    <w:qFormat/>
    <w:pPr>
      <w:jc w:val="left"/>
      <w:spacing w:before="100" w:beforeAutospacing="1" w:after="100" w:afterAutospacing="1"/>
      <w:widowControl/>
    </w:pPr>
    <w:rPr>
      <w:rFonts w:ascii="宋体" w:hAnsi="宋体" w:cs="宋体"/>
      <w:szCs w:val="24"/>
    </w:rPr>
  </w:style>
  <w:style w:type="paragraph" w:styleId="1301" w:customStyle="1">
    <w:name w:val="xl4131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41300"/>
    <w:basedOn w:val="700"/>
    <w:uiPriority w:val="0"/>
    <w:qFormat/>
    <w:pPr>
      <w:jc w:val="center"/>
      <w:spacing w:before="100" w:beforeAutospacing="1" w:after="100" w:afterAutospacing="1"/>
      <w:widowControl/>
    </w:pPr>
    <w:rPr>
      <w:rFonts w:ascii="宋体" w:hAnsi="宋体" w:cs="宋体"/>
      <w:szCs w:val="24"/>
    </w:rPr>
  </w:style>
  <w:style w:type="paragraph" w:styleId="1303" w:customStyle="1">
    <w:name w:val="Char Char Char1"/>
    <w:basedOn w:val="700"/>
    <w:uiPriority w:val="0"/>
    <w:qFormat/>
    <w:pPr>
      <w:ind w:left="375" w:hanging="375"/>
      <w:tabs>
        <w:tab w:val="left" w:pos="375" w:leader="none"/>
        <w:tab w:val="left" w:pos="1545" w:leader="none"/>
      </w:tabs>
    </w:pPr>
  </w:style>
  <w:style w:type="paragraph" w:styleId="1304" w:customStyle="1">
    <w:name w:val="Pa8"/>
    <w:basedOn w:val="700"/>
    <w:next w:val="700"/>
    <w:uiPriority w:val="0"/>
    <w:qFormat/>
    <w:pPr>
      <w:jc w:val="left"/>
      <w:spacing w:line="481" w:lineRule="atLeast"/>
    </w:pPr>
    <w:rPr>
      <w:rFonts w:ascii="华文楷体" w:eastAsia="华文楷体"/>
      <w:szCs w:val="24"/>
    </w:rPr>
  </w:style>
  <w:style w:type="paragraph" w:styleId="1305" w:customStyle="1">
    <w:name w:val="Char Char Char Char1"/>
    <w:basedOn w:val="722"/>
    <w:uiPriority w:val="0"/>
    <w:qFormat/>
    <w:pPr>
      <w:spacing w:line="360" w:lineRule="auto"/>
    </w:pPr>
    <w:rPr>
      <w:rFonts w:ascii="Tahoma" w:hAnsi="Tahoma"/>
      <w:szCs w:val="24"/>
    </w:rPr>
  </w:style>
  <w:style w:type="paragraph" w:styleId="1306" w:customStyle="1">
    <w:name w:val="xl8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7" w:customStyle="1">
    <w:name w:val="_Style 12"/>
    <w:basedOn w:val="722"/>
    <w:uiPriority w:val="0"/>
    <w:qFormat/>
    <w:pPr>
      <w:jc w:val="left"/>
      <w:spacing w:line="360" w:lineRule="auto"/>
      <w:widowControl/>
    </w:pPr>
    <w:rPr>
      <w:szCs w:val="24"/>
    </w:rPr>
  </w:style>
  <w:style w:type="paragraph" w:styleId="1308" w:customStyle="1">
    <w:name w:val="xl25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9" w:customStyle="1">
    <w:name w:val="xl41336"/>
    <w:basedOn w:val="700"/>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310" w:customStyle="1">
    <w:name w:val="xl24263"/>
    <w:basedOn w:val="70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311" w:customStyle="1">
    <w:name w:val="xl41334"/>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12" w:customStyle="1">
    <w:name w:val="xl2423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Table Text"/>
    <w:basedOn w:val="700"/>
    <w:uiPriority w:val="0"/>
    <w:qFormat/>
    <w:pPr>
      <w:jc w:val="left"/>
      <w:widowControl/>
      <w:tabs>
        <w:tab w:val="decimal" w:pos="0" w:leader="none"/>
      </w:tabs>
    </w:pPr>
    <w:rPr>
      <w:rFonts w:eastAsia="Times New Roman"/>
      <w:sz w:val="20"/>
      <w:lang w:eastAsia="en-US"/>
    </w:rPr>
  </w:style>
  <w:style w:type="paragraph" w:styleId="1314" w:customStyle="1">
    <w:name w:val="xl41308"/>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5" w:customStyle="1">
    <w:name w:val="xl4130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6" w:customStyle="1">
    <w:name w:val="xl41296"/>
    <w:basedOn w:val="700"/>
    <w:uiPriority w:val="0"/>
    <w:qFormat/>
    <w:pPr>
      <w:jc w:val="center"/>
      <w:spacing w:before="100" w:beforeAutospacing="1" w:after="100" w:afterAutospacing="1"/>
      <w:widowControl/>
    </w:pPr>
    <w:rPr>
      <w:rFonts w:ascii="宋体" w:hAnsi="宋体" w:cs="宋体"/>
      <w:szCs w:val="24"/>
    </w:rPr>
  </w:style>
  <w:style w:type="paragraph" w:styleId="1317" w:customStyle="1">
    <w:name w:val="xl25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8" w:customStyle="1">
    <w:name w:val="正文序号 1"/>
    <w:basedOn w:val="700"/>
    <w:uiPriority w:val="0"/>
    <w:qFormat/>
    <w:pPr>
      <w:ind w:left="839" w:hanging="419"/>
      <w:spacing w:before="60"/>
      <w:tabs>
        <w:tab w:val="left" w:pos="839" w:leader="none"/>
      </w:tabs>
    </w:pPr>
    <w:rPr>
      <w:szCs w:val="24"/>
    </w:rPr>
  </w:style>
  <w:style w:type="paragraph" w:styleId="1319" w:customStyle="1">
    <w:name w:val="xl23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70"/>
    <w:basedOn w:val="70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1" w:customStyle="1">
    <w:name w:val="样式 样式 标题 2 + (中文) 宋体 小四 非加粗 段前: 0 磅 段后: 0 磅 行距: 单倍行距 + 行距: 固定值 2..."/>
    <w:basedOn w:val="700"/>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22" w:customStyle="1">
    <w:name w:val="样式 表格正文 + 两端对齐"/>
    <w:basedOn w:val="700"/>
    <w:uiPriority w:val="0"/>
    <w:qFormat/>
    <w:pPr>
      <w:spacing w:line="300" w:lineRule="auto"/>
    </w:pPr>
  </w:style>
  <w:style w:type="paragraph" w:styleId="1323" w:customStyle="1">
    <w:name w:val="xl25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样式 标题 3 + 小四 非加粗 段前: 0 磅 段后: 0 磅 行距: 单倍行距"/>
    <w:basedOn w:val="703"/>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325" w:customStyle="1">
    <w:name w:val="_Style 610"/>
    <w:basedOn w:val="701"/>
    <w:next w:val="70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326" w:customStyle="1">
    <w:name w:val="xl24260"/>
    <w:basedOn w:val="70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327" w:customStyle="1">
    <w:name w:val="xl41314"/>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8" w:customStyle="1">
    <w:name w:val="Andy_一级"/>
    <w:basedOn w:val="908"/>
    <w:uiPriority w:val="0"/>
    <w:qFormat/>
    <w:pPr>
      <w:ind w:left="360" w:hanging="360"/>
      <w:keepNext/>
      <w:tabs>
        <w:tab w:val="left" w:pos="360" w:leader="none"/>
      </w:tabs>
    </w:pPr>
    <w:rPr>
      <w:rFonts w:ascii="Times New Roman" w:hAnsi="Times New Roman"/>
      <w:b/>
      <w:szCs w:val="22"/>
    </w:rPr>
  </w:style>
  <w:style w:type="paragraph" w:styleId="1329" w:customStyle="1">
    <w:name w:val="xl25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正文序号 2"/>
    <w:basedOn w:val="700"/>
    <w:uiPriority w:val="0"/>
    <w:qFormat/>
    <w:pPr>
      <w:ind w:left="1049" w:hanging="420"/>
      <w:spacing w:before="60"/>
      <w:tabs>
        <w:tab w:val="left" w:pos="1049" w:leader="none"/>
      </w:tabs>
    </w:pPr>
    <w:rPr>
      <w:szCs w:val="24"/>
    </w:rPr>
  </w:style>
  <w:style w:type="paragraph" w:styleId="1331" w:customStyle="1">
    <w:name w:val="xl24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xl250"/>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3" w:customStyle="1">
    <w:name w:val="xl4132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样式1"/>
    <w:basedOn w:val="700"/>
    <w:uiPriority w:val="0"/>
    <w:qFormat/>
    <w:pPr>
      <w:ind w:left="709" w:hanging="709"/>
      <w:tabs>
        <w:tab w:val="left" w:pos="709" w:leader="none"/>
      </w:tabs>
    </w:pPr>
    <w:rPr>
      <w:rFonts w:ascii="宋体" w:hAnsi="宋体"/>
      <w:szCs w:val="21"/>
    </w:rPr>
  </w:style>
  <w:style w:type="paragraph" w:styleId="1336" w:customStyle="1">
    <w:name w:val="xl24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xl9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38" w:customStyle="1">
    <w:name w:val="xl242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339" w:customStyle="1">
    <w:name w:val="正文首行缩进两字符"/>
    <w:basedOn w:val="700"/>
    <w:uiPriority w:val="0"/>
    <w:qFormat/>
    <w:pPr>
      <w:ind w:firstLine="200"/>
      <w:spacing w:line="360" w:lineRule="auto"/>
    </w:pPr>
    <w:rPr>
      <w:szCs w:val="24"/>
    </w:rPr>
  </w:style>
  <w:style w:type="paragraph" w:styleId="1340" w:customStyle="1">
    <w:name w:val="xl2427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正文 New New New New"/>
    <w:uiPriority w:val="0"/>
    <w:qFormat/>
    <w:pPr>
      <w:jc w:val="both"/>
      <w:widowControl w:val="off"/>
    </w:pPr>
    <w:rPr>
      <w:rFonts w:ascii="Times New Roman" w:hAnsi="Times New Roman" w:eastAsia="Wonder Arial" w:cs="Wonder Arial"/>
      <w:color w:val="000000"/>
      <w:lang w:val="en-US" w:eastAsia="zh-CN" w:bidi="ar-SA"/>
    </w:rPr>
  </w:style>
  <w:style w:type="paragraph" w:styleId="1342" w:customStyle="1">
    <w:name w:val="缩正文"/>
    <w:basedOn w:val="763"/>
    <w:uiPriority w:val="0"/>
    <w:qFormat/>
    <w:pPr>
      <w:ind w:left="2268" w:firstLine="0"/>
    </w:pPr>
    <w:rPr>
      <w:szCs w:val="20"/>
    </w:rPr>
  </w:style>
  <w:style w:type="paragraph" w:styleId="1343" w:customStyle="1">
    <w:name w:val="xl2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tabletext"/>
    <w:basedOn w:val="700"/>
    <w:uiPriority w:val="0"/>
    <w:qFormat/>
    <w:pPr>
      <w:jc w:val="left"/>
      <w:spacing w:before="100" w:beforeAutospacing="1" w:after="100" w:afterAutospacing="1"/>
      <w:widowControl/>
    </w:pPr>
    <w:rPr>
      <w:rFonts w:ascii="宋体" w:hAnsi="宋体" w:cs="宋体"/>
      <w:szCs w:val="24"/>
    </w:rPr>
  </w:style>
  <w:style w:type="paragraph" w:styleId="1345" w:customStyle="1">
    <w:name w:val="xl277"/>
    <w:basedOn w:val="700"/>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Cs w:val="24"/>
    </w:rPr>
  </w:style>
  <w:style w:type="paragraph" w:styleId="1346" w:customStyle="1">
    <w:name w:val="xl26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4130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348" w:customStyle="1">
    <w:name w:val="正文文本缩进 字符2"/>
    <w:uiPriority w:val="0"/>
    <w:qFormat/>
    <w:rPr>
      <w:rFonts w:ascii="宋体" w:eastAsia="宋体"/>
      <w:sz w:val="28"/>
      <w:lang w:val="en-US" w:eastAsia="zh-CN" w:bidi="ar-SA"/>
    </w:rPr>
  </w:style>
  <w:style w:type="character" w:styleId="1349" w:customStyle="1">
    <w:name w:val="正文缩进 Char2"/>
    <w:uiPriority w:val="0"/>
    <w:qFormat/>
    <w:rPr>
      <w:sz w:val="21"/>
    </w:rPr>
  </w:style>
  <w:style w:type="paragraph" w:styleId="1350" w:customStyle="1">
    <w:name w:val="纯文本6"/>
    <w:basedOn w:val="700"/>
    <w:uiPriority w:val="0"/>
    <w:qFormat/>
    <w:rPr>
      <w:rFonts w:hAnsi="Courier New" w:eastAsia="方正楷体_GB2312"/>
      <w:sz w:val="26"/>
    </w:rPr>
  </w:style>
  <w:style w:type="paragraph" w:styleId="1351" w:customStyle="1">
    <w:name w:val="Table Paragraph"/>
    <w:basedOn w:val="700"/>
    <w:uiPriority w:val="1"/>
    <w:qFormat/>
    <w:pPr>
      <w:jc w:val="left"/>
    </w:pPr>
    <w:rPr>
      <w:szCs w:val="24"/>
    </w:rPr>
  </w:style>
  <w:style w:type="paragraph" w:styleId="1352" w:customStyle="1">
    <w:name w:val="正文 1.1"/>
    <w:basedOn w:val="700"/>
    <w:next w:val="700"/>
    <w:uiPriority w:val="0"/>
    <w:qFormat/>
    <w:pPr>
      <w:ind w:left="980" w:hanging="980"/>
      <w:spacing w:line="360" w:lineRule="auto"/>
      <w:outlineLvl w:val="1"/>
    </w:pPr>
    <w:rPr>
      <w:rFonts w:hint="eastAsia"/>
      <w:b/>
      <w:sz w:val="28"/>
      <w:szCs w:val="21"/>
    </w:rPr>
  </w:style>
  <w:style w:type="character" w:styleId="1353" w:customStyle="1">
    <w:name w:val="hover"/>
    <w:uiPriority w:val="0"/>
    <w:rPr>
      <w:color w:val="5fb878"/>
    </w:rPr>
  </w:style>
  <w:style w:type="character" w:styleId="1354" w:customStyle="1">
    <w:name w:val="hover1"/>
    <w:uiPriority w:val="0"/>
    <w:qFormat/>
    <w:rPr>
      <w:color w:val="ffffff"/>
    </w:rPr>
  </w:style>
  <w:style w:type="character" w:styleId="1355" w:customStyle="1">
    <w:name w:val="hover2"/>
    <w:uiPriority w:val="0"/>
    <w:qFormat/>
    <w:rPr>
      <w:color w:val="5fb878"/>
    </w:rPr>
  </w:style>
  <w:style w:type="paragraph" w:styleId="1356" w:customStyle="1">
    <w:name w:val="表格12"/>
    <w:basedOn w:val="700"/>
    <w:uiPriority w:val="0"/>
    <w:qFormat/>
    <w:pPr>
      <w:jc w:val="center"/>
      <w:spacing w:line="360" w:lineRule="auto"/>
    </w:pPr>
    <w:rPr>
      <w:sz w:val="28"/>
      <w:szCs w:val="28"/>
    </w:rPr>
  </w:style>
  <w:style w:type="paragraph" w:styleId="1357" w:customStyle="1">
    <w:name w:val="中等深浅网格 1 - 强调文字颜色 21"/>
    <w:basedOn w:val="700"/>
    <w:uiPriority w:val="0"/>
    <w:qFormat/>
    <w:pPr>
      <w:ind w:firstLine="420"/>
      <w:jc w:val="left"/>
      <w:spacing w:line="360" w:lineRule="auto"/>
      <w:widowControl/>
    </w:pPr>
    <w:rPr>
      <w:rFonts w:ascii="Calibri" w:hAnsi="Calibri"/>
      <w:sz w:val="34"/>
    </w:rPr>
  </w:style>
  <w:style w:type="paragraph" w:styleId="1358" w:customStyle="1">
    <w:name w:val="表正文"/>
    <w:basedOn w:val="700"/>
    <w:next w:val="726"/>
    <w:uiPriority w:val="0"/>
    <w:qFormat/>
    <w:pPr>
      <w:ind w:left="420"/>
      <w:spacing w:after="120"/>
    </w:pPr>
    <w:rPr>
      <w:szCs w:val="24"/>
    </w:rPr>
  </w:style>
  <w:style w:type="paragraph" w:styleId="1359" w:customStyle="1">
    <w:name w:val="纯文本7"/>
    <w:basedOn w:val="700"/>
    <w:uiPriority w:val="0"/>
    <w:qFormat/>
    <w:rPr>
      <w:rFonts w:ascii="宋体" w:hAnsi="Courier New" w:eastAsia="方正楷体_GB2312"/>
      <w:sz w:val="26"/>
    </w:rPr>
  </w:style>
  <w:style w:type="character" w:styleId="1360" w:customStyle="1">
    <w:name w:val="NormalCharacter"/>
    <w:uiPriority w:val="0"/>
    <w:qFormat/>
  </w:style>
  <w:style w:type="paragraph" w:styleId="1361" w:customStyle="1">
    <w:name w:val="Body text|2"/>
    <w:basedOn w:val="700"/>
    <w:uiPriority w:val="0"/>
    <w:qFormat/>
    <w:pPr>
      <w:ind w:firstLine="400"/>
      <w:spacing w:line="480" w:lineRule="auto"/>
    </w:pPr>
    <w:rPr>
      <w:rFonts w:ascii="宋体" w:hAnsi="宋体" w:cs="宋体"/>
      <w:sz w:val="22"/>
      <w:szCs w:val="22"/>
      <w:lang w:val="zh-TW" w:eastAsia="zh-TW" w:bidi="zh-TW"/>
    </w:rPr>
  </w:style>
  <w:style w:type="paragraph" w:styleId="1362" w:customStyle="1">
    <w:name w:val="正文文本1"/>
    <w:basedOn w:val="700"/>
    <w:uiPriority w:val="0"/>
    <w:qFormat/>
    <w:rPr>
      <w:rFonts w:ascii="方正楷体_GB2312" w:hAnsi="Arial" w:eastAsia="方正楷体_GB2312"/>
      <w:sz w:val="28"/>
    </w:rPr>
  </w:style>
  <w:style w:type="paragraph" w:styleId="1363" w:customStyle="1">
    <w:name w:val="正文1"/>
    <w:basedOn w:val="700"/>
    <w:next w:val="700"/>
    <w:uiPriority w:val="0"/>
    <w:qFormat/>
    <w:pPr>
      <w:ind w:firstLine="540"/>
    </w:pPr>
  </w:style>
  <w:style w:type="table" w:styleId="1364" w:customStyle="1">
    <w:name w:val="Table Normal"/>
    <w:uiPriority w:val="0"/>
    <w:unhideWhenUsed/>
    <w:qFormat/>
    <w:tblPr>
      <w:tblCellMar>
        <w:left w:w="0" w:type="dxa"/>
        <w:top w:w="0" w:type="dxa"/>
        <w:right w:w="0" w:type="dxa"/>
        <w:bottom w:w="0" w:type="dxa"/>
      </w:tblCellMar>
    </w:tblPr>
  </w:style>
  <w:style w:type="paragraph" w:styleId="13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6" w:customStyle="1">
    <w:name w:val="列表段落2"/>
    <w:basedOn w:val="700"/>
    <w:uiPriority w:val="0"/>
    <w:qFormat/>
    <w:pPr>
      <w:ind w:firstLine="420"/>
    </w:pPr>
    <w:rPr>
      <w:rFonts w:ascii="Calibri" w:hAnsi="Calibri"/>
      <w:szCs w:val="22"/>
    </w:rPr>
  </w:style>
  <w:style w:type="character" w:styleId="1367" w:customStyle="1">
    <w:name w:val="! 自定正文 Alt+C Char"/>
    <w:link w:val="1368"/>
    <w:uiPriority w:val="0"/>
    <w:qFormat/>
    <w:rPr>
      <w:rFonts w:eastAsia="仿宋_GB2312"/>
    </w:rPr>
  </w:style>
  <w:style w:type="paragraph" w:styleId="1368" w:customStyle="1">
    <w:name w:val="! 自定正文 Alt+C"/>
    <w:basedOn w:val="700"/>
    <w:link w:val="1367"/>
    <w:uiPriority w:val="0"/>
    <w:qFormat/>
    <w:pPr>
      <w:jc w:val="left"/>
      <w:spacing w:before="100" w:beforeAutospacing="1" w:after="80" w:line="160" w:lineRule="atLeast"/>
      <w:widowControl/>
    </w:pPr>
    <w:rPr>
      <w:rFonts w:eastAsia="仿宋_GB2312"/>
      <w:sz w:val="20"/>
    </w:rPr>
  </w:style>
  <w:style w:type="paragraph" w:styleId="1369" w:customStyle="1">
    <w:name w:val="_Style 60"/>
    <w:basedOn w:val="700"/>
    <w:next w:val="908"/>
    <w:uiPriority w:val="34"/>
    <w:qFormat/>
    <w:pPr>
      <w:ind w:firstLine="420"/>
    </w:pPr>
    <w:rPr>
      <w:rFonts w:ascii="Calibri" w:hAnsi="Calibri"/>
      <w:szCs w:val="22"/>
    </w:rPr>
  </w:style>
  <w:style w:type="character" w:styleId="1370" w:customStyle="1">
    <w:name w:val="列表段落 字符1"/>
    <w:uiPriority w:val="34"/>
    <w:qFormat/>
    <w:rPr>
      <w:rFonts w:ascii="Times New Roman" w:hAnsi="Times New Roman" w:eastAsia="宋体"/>
      <w:sz w:val="24"/>
      <w:szCs w:val="22"/>
    </w:rPr>
  </w:style>
  <w:style w:type="paragraph" w:styleId="1371" w:customStyle="1">
    <w:name w:val="_Style 671"/>
    <w:hidden/>
    <w:uiPriority w:val="99"/>
    <w:unhideWhenUsed/>
    <w:qFormat/>
    <w:rPr>
      <w:rFonts w:ascii="Times New Roman" w:hAnsi="Times New Roman" w:eastAsia="宋体" w:cs="Times New Roman"/>
      <w:sz w:val="21"/>
      <w:lang w:val="en-US" w:eastAsia="zh-CN" w:bidi="ar-SA"/>
    </w:rPr>
  </w:style>
  <w:style w:type="paragraph" w:styleId="1372" w:customStyle="1">
    <w:name w:val="正文new"/>
    <w:basedOn w:val="700"/>
    <w:uiPriority w:val="0"/>
    <w:qFormat/>
    <w:pPr>
      <w:ind w:firstLine="560"/>
      <w:spacing w:after="40" w:line="360" w:lineRule="auto"/>
      <w:tabs>
        <w:tab w:val="left" w:pos="0" w:leader="none"/>
        <w:tab w:val="left" w:pos="420" w:leader="none"/>
      </w:tabs>
    </w:pPr>
    <w:rPr>
      <w:rFonts w:hint="eastAsia" w:ascii="宋体" w:hAnsi="宋体" w:eastAsia="SimSong"/>
      <w:sz w:val="28"/>
      <w:szCs w:val="28"/>
    </w:rPr>
  </w:style>
  <w:style w:type="paragraph" w:styleId="1373" w:customStyle="1">
    <w:name w:val="标3"/>
    <w:basedOn w:val="700"/>
    <w:uiPriority w:val="0"/>
    <w:qFormat/>
    <w:pPr>
      <w:numPr>
        <w:ilvl w:val="2"/>
        <w:numId w:val="1"/>
      </w:numPr>
      <w:spacing w:before="300" w:after="240" w:line="360" w:lineRule="auto"/>
      <w:outlineLvl w:val="2"/>
    </w:pPr>
    <w:rPr>
      <w:rFonts w:hint="eastAsia" w:ascii="宋体" w:hAnsi="宋体"/>
      <w:b/>
      <w:sz w:val="28"/>
      <w:szCs w:val="28"/>
    </w:rPr>
  </w:style>
  <w:style w:type="paragraph" w:styleId="1374" w:customStyle="1">
    <w:name w:val="标1"/>
    <w:basedOn w:val="700"/>
    <w:uiPriority w:val="0"/>
    <w:qFormat/>
    <w:pPr>
      <w:numPr>
        <w:ilvl w:val="0"/>
        <w:numId w:val="1"/>
      </w:numPr>
      <w:spacing w:before="200" w:after="240" w:line="360" w:lineRule="auto"/>
      <w:outlineLvl w:val="0"/>
    </w:pPr>
    <w:rPr>
      <w:rFonts w:hint="eastAsia" w:ascii="宋体" w:hAnsi="宋体"/>
      <w:b/>
      <w:sz w:val="32"/>
      <w:szCs w:val="32"/>
    </w:rPr>
  </w:style>
  <w:style w:type="paragraph" w:styleId="1375" w:customStyle="1">
    <w:name w:val="标题2new"/>
    <w:basedOn w:val="700"/>
    <w:uiPriority w:val="0"/>
    <w:qFormat/>
    <w:pPr>
      <w:numPr>
        <w:ilvl w:val="1"/>
        <w:numId w:val="1"/>
      </w:numPr>
      <w:spacing w:before="300" w:after="120" w:line="360" w:lineRule="auto"/>
      <w:outlineLvl w:val="1"/>
    </w:pPr>
    <w:rPr>
      <w:rFonts w:hint="eastAsia" w:ascii="宋体" w:hAnsi="宋体"/>
      <w:b/>
      <w:sz w:val="30"/>
      <w:szCs w:val="30"/>
    </w:rPr>
  </w:style>
  <w:style w:type="paragraph" w:styleId="1376" w:customStyle="1">
    <w:name w:val="标4"/>
    <w:basedOn w:val="700"/>
    <w:uiPriority w:val="0"/>
    <w:qFormat/>
    <w:pPr>
      <w:numPr>
        <w:ilvl w:val="3"/>
        <w:numId w:val="1"/>
      </w:numPr>
      <w:spacing w:before="160" w:after="280" w:line="360" w:lineRule="auto"/>
      <w:outlineLvl w:val="3"/>
    </w:pPr>
    <w:rPr>
      <w:rFonts w:hint="eastAsia" w:ascii="宋体" w:hAnsi="宋体" w:eastAsia="SimSong"/>
      <w:b/>
      <w:bCs/>
      <w:sz w:val="28"/>
      <w:szCs w:val="28"/>
    </w:rPr>
  </w:style>
  <w:style w:type="paragraph" w:styleId="1377" w:customStyle="1">
    <w:name w:val="paragraph"/>
    <w:basedOn w:val="700"/>
    <w:uiPriority w:val="0"/>
    <w:semiHidden/>
    <w:qFormat/>
    <w:pPr>
      <w:jc w:val="left"/>
      <w:spacing w:before="100" w:beforeAutospacing="1" w:after="100" w:afterAutospacing="1"/>
      <w:widowControl/>
    </w:pPr>
    <w:rPr>
      <w:rFonts w:ascii="等线" w:hAnsi="等线" w:eastAsia="等线"/>
      <w:szCs w:val="24"/>
    </w:rPr>
  </w:style>
  <w:style w:type="paragraph" w:styleId="1378" w:customStyle="1">
    <w:name w:val="修订2"/>
    <w:hidden/>
    <w:uiPriority w:val="99"/>
    <w:unhideWhenUsed/>
    <w:qFormat/>
    <w:rPr>
      <w:rFonts w:ascii="Times New Roman" w:hAnsi="Times New Roman" w:eastAsia="宋体" w:cs="Times New Roman"/>
      <w:sz w:val="21"/>
      <w:lang w:val="en-US" w:eastAsia="zh-CN" w:bidi="ar-SA"/>
    </w:rPr>
  </w:style>
  <w:style w:type="paragraph" w:styleId="1379" w:customStyle="1">
    <w:name w:val="修订3"/>
    <w:hidden/>
    <w:uiPriority w:val="99"/>
    <w:unhideWhenUsed/>
    <w:qFormat/>
    <w:rPr>
      <w:rFonts w:ascii="Times New Roman" w:hAnsi="Times New Roman" w:eastAsia="宋体" w:cs="Times New Roman"/>
      <w:sz w:val="21"/>
      <w:lang w:val="en-US" w:eastAsia="zh-CN" w:bidi="ar-SA"/>
    </w:rPr>
  </w:style>
  <w:style w:type="paragraph" w:styleId="1380" w:customStyle="1">
    <w:name w:val="修订4"/>
    <w:hidden/>
    <w:uiPriority w:val="99"/>
    <w:unhideWhenUsed/>
    <w:qFormat/>
    <w:rPr>
      <w:rFonts w:ascii="Times New Roman" w:hAnsi="Times New Roman" w:eastAsia="宋体" w:cs="Times New Roman"/>
      <w:sz w:val="21"/>
      <w:lang w:val="en-US" w:eastAsia="zh-CN" w:bidi="ar-SA"/>
    </w:rPr>
  </w:style>
  <w:style w:type="paragraph" w:styleId="1381" w:customStyle="1">
    <w:name w:val="无间隔2"/>
    <w:basedOn w:val="700"/>
    <w:uiPriority w:val="99"/>
    <w:qFormat/>
  </w:style>
  <w:style w:type="numbering" w:styleId="1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E3AC0F-4113-4697-8F62-5031297884E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user</dc:creator>
  <cp:lastModifiedBy>冯晔</cp:lastModifiedBy>
  <cp:revision>7</cp:revision>
  <dcterms:created xsi:type="dcterms:W3CDTF">2026-10-08T01:49:00Z</dcterms:created>
  <dcterms:modified xsi:type="dcterms:W3CDTF">2026-10-10T07:40:23Z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4CC84CACA34B444196528FC1B09A73DA_13</vt:lpwstr>
  </property>
  <property fmtid="{D5CDD505-2E9C-101B-9397-08002B2CF9AE}" pid="4" name="KSOTemplateDocerSaveRecord">
    <vt:lpwstr>eyJoZGlkIjoiYzk3Yzc4YzMwZTBlYzEzNmMwZDU4YWM5MjNiYTU1NjgiLCJ1c2VySWQiOiIxMzg4MDYzNTM4In0=</vt:lpwstr>
  </property>
</Properties>
</file>