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8"/>
        <w:jc w:val="center"/>
        <w:spacing w:line="360" w:lineRule="auto"/>
        <w:rPr>
          <w:rFonts w:hint="eastAsia" w:ascii="宋体" w:hAnsi="宋体" w:cs="宋体"/>
          <w:b/>
          <w:bCs/>
          <w:sz w:val="48"/>
          <w:szCs w:val="48"/>
          <w:highlight w:val="none"/>
          <w:lang w:eastAsia="zh-CN"/>
        </w:rPr>
      </w:pPr>
      <w:r/>
      <w:bookmarkStart w:id="0" w:name="_Hlk77778371"/>
      <w:r/>
      <w:bookmarkStart w:id="1" w:name="_Hlk74841385"/>
      <w:r>
        <w:rPr>
          <w:rFonts w:hint="eastAsia" w:ascii="宋体" w:hAnsi="宋体" w:cs="宋体"/>
          <w:b/>
          <w:bCs/>
          <w:sz w:val="48"/>
          <w:szCs w:val="48"/>
          <w:highlight w:val="none"/>
          <w:lang w:eastAsia="zh-CN"/>
        </w:rPr>
        <w:t xml:space="preserve">南京工业职业技术大学</w:t>
      </w:r>
      <w:r/>
    </w:p>
    <w:p>
      <w:pPr>
        <w:pStyle w:val="1108"/>
        <w:jc w:val="center"/>
        <w:spacing w:line="360" w:lineRule="auto"/>
        <w:rPr>
          <w:rFonts w:hint="eastAsia" w:ascii="宋体" w:hAnsi="宋体" w:eastAsia="宋体" w:cs="宋体"/>
          <w:sz w:val="20"/>
          <w:szCs w:val="21"/>
          <w:highlight w:val="none"/>
          <w:lang w:val="en-US" w:eastAsia="zh-CN"/>
        </w:rPr>
      </w:pPr>
      <w:r>
        <w:rPr>
          <w:rFonts w:hint="eastAsia" w:ascii="宋体" w:hAnsi="宋体" w:cs="宋体"/>
          <w:b/>
          <w:bCs/>
          <w:sz w:val="48"/>
          <w:szCs w:val="48"/>
          <w:highlight w:val="none"/>
          <w:lang w:eastAsia="zh-CN"/>
        </w:rPr>
        <w:t xml:space="preserve">城市轨道交通信号基础实训系统</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063"/>
        <w:ind w:left="1260"/>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063"/>
        <w:ind w:left="1260"/>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2261870</wp:posOffset>
                </wp:positionH>
                <wp:positionV relativeFrom="paragraph">
                  <wp:posOffset>-1757680</wp:posOffset>
                </wp:positionV>
                <wp:extent cx="1692910" cy="2101850"/>
                <wp:effectExtent l="0" t="0" r="2540" b="12700"/>
                <wp:wrapSquare wrapText="bothSides"/>
                <wp:docPr id="8"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我的插图-1"/>
                        <pic:cNvPicPr>
                          <a:picLocks noChangeAspect="1"/>
                        </pic:cNvPicPr>
                        <pic:nvPr/>
                      </pic:nvPicPr>
                      <pic:blipFill>
                        <a:blip r:embed="rId18"/>
                        <a:stretch/>
                      </pic:blipFill>
                      <pic:spPr bwMode="auto">
                        <a:xfrm>
                          <a:off x="0" y="0"/>
                          <a:ext cx="1692910" cy="210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78.1pt;mso-position-horizontal:absolute;mso-position-vertical-relative:text;margin-top:-138.4pt;mso-position-vertical:absolute;width:133.3pt;height:165.5pt;mso-wrap-distance-left:9.0pt;mso-wrap-distance-top:0.0pt;mso-wrap-distance-right:9.0pt;mso-wrap-distance-bottom:0.0pt;" stroked="f">
                <v:path textboxrect="0,0,0,0"/>
                <w10:wrap type="square"/>
                <v:imagedata r:id="rId18" o:title=""/>
              </v:shape>
            </w:pict>
          </mc:Fallback>
        </mc:AlternateConten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采</w:t>
      </w:r>
      <w:r>
        <w:rPr>
          <w:rFonts w:hint="eastAsia" w:ascii="宋体" w:hAnsi="宋体" w:cs="宋体"/>
          <w:b/>
          <w:sz w:val="72"/>
          <w:szCs w:val="72"/>
          <w:highlight w:val="none"/>
          <w:lang w:val="en-US" w:eastAsia="zh-CN"/>
        </w:rPr>
        <w:t xml:space="preserve">  </w:t>
      </w:r>
      <w:r>
        <w:rPr>
          <w:rFonts w:hint="eastAsia" w:ascii="宋体" w:hAnsi="宋体" w:eastAsia="宋体" w:cs="宋体"/>
          <w:b/>
          <w:sz w:val="72"/>
          <w:szCs w:val="72"/>
          <w:highlight w:val="none"/>
        </w:rPr>
        <w:t xml:space="preserve">购</w:t>
      </w:r>
      <w:r>
        <w:rPr>
          <w:rFonts w:hint="eastAsia" w:ascii="宋体" w:hAnsi="宋体" w:cs="宋体"/>
          <w:b/>
          <w:sz w:val="72"/>
          <w:szCs w:val="72"/>
          <w:highlight w:val="none"/>
          <w:lang w:val="en-US" w:eastAsia="zh-CN"/>
        </w:rPr>
        <w:t xml:space="preserve">  </w:t>
      </w:r>
      <w:r>
        <w:rPr>
          <w:rFonts w:hint="eastAsia" w:ascii="宋体" w:hAnsi="宋体" w:eastAsia="宋体" w:cs="宋体"/>
          <w:b/>
          <w:sz w:val="72"/>
          <w:szCs w:val="72"/>
          <w:highlight w:val="none"/>
        </w:rPr>
        <w:t xml:space="preserve">文</w:t>
      </w:r>
      <w:r>
        <w:rPr>
          <w:rFonts w:hint="eastAsia" w:ascii="宋体" w:hAnsi="宋体" w:cs="宋体"/>
          <w:b/>
          <w:sz w:val="72"/>
          <w:szCs w:val="72"/>
          <w:highlight w:val="none"/>
          <w:lang w:val="en-US" w:eastAsia="zh-CN"/>
        </w:rPr>
        <w:t xml:space="preserve">  </w:t>
      </w:r>
      <w:r>
        <w:rPr>
          <w:rFonts w:hint="eastAsia" w:ascii="宋体" w:hAnsi="宋体" w:eastAsia="宋体" w:cs="宋体"/>
          <w:b/>
          <w:sz w:val="72"/>
          <w:szCs w:val="72"/>
          <w:highlight w:val="none"/>
        </w:rPr>
        <w:t xml:space="preserve">件</w:t>
      </w:r>
      <w:r/>
    </w:p>
    <w:p>
      <w:pPr>
        <w:jc w:val="center"/>
        <w:spacing w:line="360" w:lineRule="auto"/>
        <w:widowControl/>
        <w:rPr>
          <w:rFonts w:hint="eastAsia" w:ascii="宋体" w:hAnsi="宋体" w:eastAsia="宋体" w:cs="宋体"/>
          <w:b/>
          <w:sz w:val="40"/>
          <w:szCs w:val="40"/>
          <w:highlight w:val="none"/>
          <w:lang w:eastAsia="zh-CN"/>
        </w:rPr>
      </w:pPr>
      <w:r>
        <w:rPr>
          <w:rFonts w:hint="eastAsia" w:ascii="宋体" w:hAnsi="宋体" w:eastAsia="宋体" w:cs="宋体"/>
          <w:b/>
          <w:sz w:val="32"/>
          <w:szCs w:val="32"/>
          <w:highlight w:val="none"/>
        </w:rPr>
        <w:t xml:space="preserve">项目编号：</w:t>
      </w:r>
      <w:r>
        <w:rPr>
          <w:rFonts w:hint="eastAsia" w:ascii="宋体" w:hAnsi="宋体" w:cs="宋体"/>
          <w:b/>
          <w:sz w:val="32"/>
          <w:szCs w:val="32"/>
          <w:highlight w:val="none"/>
          <w:lang w:eastAsia="zh-CN"/>
        </w:rPr>
        <w:t xml:space="preserve">JSZC-320000-SNZX-G2026-0192</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1063"/>
        <w:ind w:left="126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928"/>
        <w:jc w:val="both"/>
        <w:spacing w:line="360" w:lineRule="auto"/>
        <w:widowControl/>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rPr>
        <w:t xml:space="preserve">采购人：</w:t>
      </w:r>
      <w:r>
        <w:rPr>
          <w:rFonts w:hint="eastAsia" w:ascii="宋体" w:hAnsi="宋体" w:eastAsia="宋体" w:cs="宋体"/>
          <w:b/>
          <w:sz w:val="32"/>
          <w:szCs w:val="32"/>
          <w:highlight w:val="none"/>
          <w:lang w:val="en-US" w:eastAsia="zh-CN"/>
        </w:rPr>
        <w:t xml:space="preserve">南京工业职业技术大学</w:t>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采购代理机构：</w:t>
      </w:r>
      <w:r>
        <w:rPr>
          <w:rFonts w:hint="eastAsia" w:ascii="宋体" w:hAnsi="宋体" w:eastAsia="宋体" w:cs="宋体"/>
          <w:b/>
          <w:sz w:val="32"/>
          <w:szCs w:val="32"/>
          <w:highlight w:val="none"/>
          <w:lang w:eastAsia="zh-CN"/>
        </w:rPr>
        <w:t xml:space="preserve">南京苏宁工程咨询有限公司</w:t>
      </w:r>
      <w:r/>
    </w:p>
    <w:p>
      <w:pPr>
        <w:ind w:firstLine="1928"/>
        <w:jc w:val="both"/>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2"/>
          <w:szCs w:val="32"/>
          <w:highlight w:val="none"/>
          <w:lang w:val="en-US" w:eastAsia="zh-CN"/>
        </w:rPr>
        <w:t xml:space="preserve">发放日期：</w:t>
      </w:r>
      <w:r>
        <w:rPr>
          <w:rFonts w:hint="eastAsia" w:ascii="宋体" w:hAnsi="宋体" w:eastAsia="宋体" w:cs="宋体"/>
          <w:b/>
          <w:sz w:val="32"/>
          <w:szCs w:val="32"/>
          <w:highlight w:val="none"/>
        </w:rPr>
        <w:t xml:space="preserve">2026年</w:t>
      </w:r>
      <w:r>
        <w:rPr>
          <w:rFonts w:hint="eastAsia" w:ascii="宋体" w:hAnsi="宋体" w:cs="宋体"/>
          <w:b/>
          <w:sz w:val="32"/>
          <w:szCs w:val="32"/>
          <w:highlight w:val="none"/>
          <w:lang w:val="en-US" w:eastAsia="zh-CN"/>
        </w:rPr>
        <w:t xml:space="preserve">11</w:t>
      </w:r>
      <w:r>
        <w:rPr>
          <w:rFonts w:hint="eastAsia" w:ascii="宋体" w:hAnsi="宋体" w:eastAsia="宋体" w:cs="宋体"/>
          <w:b/>
          <w:sz w:val="32"/>
          <w:szCs w:val="32"/>
          <w:highlight w:val="none"/>
        </w:rPr>
        <w:t xml:space="preserve">月</w:t>
      </w:r>
      <w:r>
        <w:rPr>
          <w:rFonts w:hint="eastAsia" w:ascii="宋体" w:hAnsi="宋体" w:eastAsia="宋体" w:cs="宋体"/>
          <w:b/>
          <w:sz w:val="36"/>
          <w:szCs w:val="36"/>
          <w:highlight w:val="none"/>
        </w:rPr>
        <w:br w:type="page" w:clear="all"/>
      </w:r>
      <w:r/>
    </w:p>
    <w:p>
      <w:pPr>
        <w:pStyle w:val="1211"/>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1074"/>
        <w:keepLines w:val="0"/>
        <w:keepNext w:val="0"/>
        <w:pageBreakBefore w:val="0"/>
        <w:spacing w:line="360" w:lineRule="auto"/>
        <w:widowControl w:val="off"/>
        <w:tabs>
          <w:tab w:val="right" w:pos="8299" w:leader="dot"/>
        </w:tabs>
        <w:rPr>
          <w:rFonts w:hint="eastAsia" w:ascii="宋体" w:hAnsi="宋体" w:eastAsia="宋体" w:cs="宋体"/>
          <w:sz w:val="28"/>
          <w:szCs w:val="36"/>
          <w:highlight w:val="none"/>
        </w:rPr>
      </w:pPr>
      <w:r>
        <w:rPr>
          <w:rFonts w:hint="eastAsia" w:ascii="宋体" w:hAnsi="宋体" w:eastAsia="宋体" w:cs="宋体"/>
          <w:sz w:val="40"/>
          <w:szCs w:val="40"/>
          <w:highlight w:val="none"/>
        </w:rPr>
        <w:fldChar w:fldCharType="begin"/>
      </w:r>
      <w:r>
        <w:rPr>
          <w:rFonts w:hint="eastAsia" w:ascii="宋体" w:hAnsi="宋体" w:eastAsia="宋体" w:cs="宋体"/>
          <w:sz w:val="40"/>
          <w:szCs w:val="40"/>
          <w:highlight w:val="none"/>
        </w:rPr>
        <w:instrText xml:space="preserve">TOC \o "1-1" \h \u </w:instrText>
      </w:r>
      <w:r>
        <w:rPr>
          <w:rFonts w:hint="eastAsia" w:ascii="宋体" w:hAnsi="宋体" w:eastAsia="宋体" w:cs="宋体"/>
          <w:sz w:val="40"/>
          <w:szCs w:val="40"/>
          <w:highlight w:val="none"/>
        </w:rPr>
        <w:fldChar w:fldCharType="separate"/>
      </w:r>
      <w:r>
        <w:rPr>
          <w:rFonts w:hint="eastAsia" w:ascii="宋体" w:hAnsi="宋体" w:eastAsia="宋体" w:cs="宋体"/>
          <w:sz w:val="28"/>
          <w:szCs w:val="40"/>
          <w:highlight w:val="none"/>
        </w:rPr>
        <w:fldChar w:fldCharType="begin"/>
      </w:r>
      <w:r>
        <w:rPr>
          <w:rFonts w:hint="eastAsia" w:ascii="宋体" w:hAnsi="宋体" w:eastAsia="宋体" w:cs="宋体"/>
          <w:sz w:val="28"/>
          <w:szCs w:val="40"/>
          <w:highlight w:val="none"/>
        </w:rPr>
        <w:instrText xml:space="preserve"> HYPERLINK \l _Toc30685 </w:instrText>
      </w:r>
      <w:r>
        <w:rPr>
          <w:rFonts w:hint="eastAsia" w:ascii="宋体" w:hAnsi="宋体" w:eastAsia="宋体" w:cs="宋体"/>
          <w:sz w:val="28"/>
          <w:szCs w:val="40"/>
          <w:highlight w:val="none"/>
        </w:rPr>
        <w:fldChar w:fldCharType="separate"/>
      </w:r>
      <w:r>
        <w:rPr>
          <w:rFonts w:hint="eastAsia" w:ascii="宋体" w:hAnsi="宋体" w:eastAsia="宋体" w:cs="宋体"/>
          <w:sz w:val="28"/>
          <w:szCs w:val="28"/>
          <w:highlight w:val="none"/>
        </w:rPr>
        <w:t xml:space="preserve">第一章 </w:t>
      </w:r>
      <w:r>
        <w:rPr>
          <w:rFonts w:hint="eastAsia" w:ascii="宋体" w:hAnsi="宋体" w:eastAsia="宋体" w:cs="宋体"/>
          <w:sz w:val="28"/>
          <w:szCs w:val="36"/>
          <w:highlight w:val="none"/>
        </w:rPr>
        <w:t xml:space="preserve">采购公告</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_Toc30685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3</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fldChar w:fldCharType="end"/>
      </w:r>
      <w:r/>
    </w:p>
    <w:p>
      <w:pPr>
        <w:pStyle w:val="1074"/>
        <w:keepLines w:val="0"/>
        <w:keepNext w:val="0"/>
        <w:pageBreakBefore w:val="0"/>
        <w:spacing w:line="360" w:lineRule="auto"/>
        <w:widowControl w:val="off"/>
        <w:tabs>
          <w:tab w:val="right" w:pos="8299" w:leader="dot"/>
        </w:tabs>
        <w:rPr>
          <w:rFonts w:hint="eastAsia" w:ascii="宋体" w:hAnsi="宋体" w:eastAsia="宋体" w:cs="宋体"/>
          <w:sz w:val="28"/>
          <w:szCs w:val="36"/>
          <w:highlight w:val="none"/>
        </w:rPr>
      </w:pPr>
      <w:r>
        <w:rPr>
          <w:rFonts w:hint="eastAsia" w:ascii="宋体" w:hAnsi="宋体" w:eastAsia="宋体" w:cs="宋体"/>
          <w:sz w:val="28"/>
          <w:szCs w:val="40"/>
          <w:highlight w:val="none"/>
        </w:rPr>
        <w:fldChar w:fldCharType="begin"/>
      </w:r>
      <w:r>
        <w:rPr>
          <w:rFonts w:hint="eastAsia" w:ascii="宋体" w:hAnsi="宋体" w:eastAsia="宋体" w:cs="宋体"/>
          <w:sz w:val="28"/>
          <w:szCs w:val="40"/>
          <w:highlight w:val="none"/>
        </w:rPr>
        <w:instrText xml:space="preserve"> HYPERLINK \l _Toc26745 </w:instrText>
      </w:r>
      <w:r>
        <w:rPr>
          <w:rFonts w:hint="eastAsia" w:ascii="宋体" w:hAnsi="宋体" w:eastAsia="宋体" w:cs="宋体"/>
          <w:sz w:val="28"/>
          <w:szCs w:val="40"/>
          <w:highlight w:val="none"/>
        </w:rPr>
        <w:fldChar w:fldCharType="separate"/>
      </w:r>
      <w:r>
        <w:rPr>
          <w:rFonts w:hint="eastAsia" w:ascii="宋体" w:hAnsi="宋体" w:eastAsia="宋体" w:cs="宋体"/>
          <w:sz w:val="28"/>
          <w:szCs w:val="36"/>
          <w:highlight w:val="none"/>
        </w:rPr>
        <w:t xml:space="preserve">第二章 供应商须知</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_Toc26745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7</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fldChar w:fldCharType="end"/>
      </w:r>
      <w:r/>
    </w:p>
    <w:p>
      <w:pPr>
        <w:pStyle w:val="1074"/>
        <w:keepLines w:val="0"/>
        <w:keepNext w:val="0"/>
        <w:pageBreakBefore w:val="0"/>
        <w:spacing w:line="360" w:lineRule="auto"/>
        <w:widowControl w:val="off"/>
        <w:tabs>
          <w:tab w:val="right" w:pos="8299" w:leader="dot"/>
        </w:tabs>
        <w:rPr>
          <w:rFonts w:hint="eastAsia" w:ascii="宋体" w:hAnsi="宋体" w:eastAsia="宋体" w:cs="宋体"/>
          <w:sz w:val="28"/>
          <w:szCs w:val="36"/>
          <w:highlight w:val="none"/>
        </w:rPr>
      </w:pPr>
      <w:r>
        <w:rPr>
          <w:rFonts w:hint="eastAsia" w:ascii="宋体" w:hAnsi="宋体" w:eastAsia="宋体" w:cs="宋体"/>
          <w:sz w:val="28"/>
          <w:szCs w:val="40"/>
          <w:highlight w:val="none"/>
        </w:rPr>
        <w:fldChar w:fldCharType="begin"/>
      </w:r>
      <w:r>
        <w:rPr>
          <w:rFonts w:hint="eastAsia" w:ascii="宋体" w:hAnsi="宋体" w:eastAsia="宋体" w:cs="宋体"/>
          <w:sz w:val="28"/>
          <w:szCs w:val="40"/>
          <w:highlight w:val="none"/>
        </w:rPr>
        <w:instrText xml:space="preserve"> HYPERLINK \l _Toc28285 </w:instrText>
      </w:r>
      <w:r>
        <w:rPr>
          <w:rFonts w:hint="eastAsia" w:ascii="宋体" w:hAnsi="宋体" w:eastAsia="宋体" w:cs="宋体"/>
          <w:sz w:val="28"/>
          <w:szCs w:val="40"/>
          <w:highlight w:val="none"/>
        </w:rPr>
        <w:fldChar w:fldCharType="separate"/>
      </w:r>
      <w:r>
        <w:rPr>
          <w:rFonts w:hint="eastAsia" w:ascii="宋体" w:hAnsi="宋体" w:eastAsia="宋体" w:cs="宋体"/>
          <w:sz w:val="28"/>
          <w:szCs w:val="36"/>
          <w:highlight w:val="none"/>
        </w:rPr>
        <w:t xml:space="preserve">第三章 评标标准</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_Toc28285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20</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fldChar w:fldCharType="end"/>
      </w:r>
      <w:r/>
    </w:p>
    <w:p>
      <w:pPr>
        <w:pStyle w:val="1074"/>
        <w:keepLines w:val="0"/>
        <w:keepNext w:val="0"/>
        <w:pageBreakBefore w:val="0"/>
        <w:spacing w:line="360" w:lineRule="auto"/>
        <w:widowControl w:val="off"/>
        <w:tabs>
          <w:tab w:val="right" w:pos="8299" w:leader="dot"/>
        </w:tabs>
        <w:rPr>
          <w:rFonts w:hint="eastAsia" w:ascii="宋体" w:hAnsi="宋体" w:eastAsia="宋体" w:cs="宋体"/>
          <w:sz w:val="28"/>
          <w:szCs w:val="36"/>
          <w:highlight w:val="none"/>
        </w:rPr>
      </w:pPr>
      <w:r>
        <w:rPr>
          <w:rFonts w:hint="eastAsia" w:ascii="宋体" w:hAnsi="宋体" w:eastAsia="宋体" w:cs="宋体"/>
          <w:sz w:val="28"/>
          <w:szCs w:val="40"/>
          <w:highlight w:val="none"/>
        </w:rPr>
        <w:fldChar w:fldCharType="begin"/>
      </w:r>
      <w:r>
        <w:rPr>
          <w:rFonts w:hint="eastAsia" w:ascii="宋体" w:hAnsi="宋体" w:eastAsia="宋体" w:cs="宋体"/>
          <w:sz w:val="28"/>
          <w:szCs w:val="40"/>
          <w:highlight w:val="none"/>
        </w:rPr>
        <w:instrText xml:space="preserve"> HYPERLINK \l _Toc6871 </w:instrText>
      </w:r>
      <w:r>
        <w:rPr>
          <w:rFonts w:hint="eastAsia" w:ascii="宋体" w:hAnsi="宋体" w:eastAsia="宋体" w:cs="宋体"/>
          <w:sz w:val="28"/>
          <w:szCs w:val="40"/>
          <w:highlight w:val="none"/>
        </w:rPr>
        <w:fldChar w:fldCharType="separate"/>
      </w:r>
      <w:r>
        <w:rPr>
          <w:rFonts w:hint="eastAsia" w:ascii="宋体" w:hAnsi="宋体" w:eastAsia="宋体" w:cs="宋体"/>
          <w:sz w:val="28"/>
          <w:szCs w:val="36"/>
          <w:highlight w:val="none"/>
        </w:rPr>
        <w:t xml:space="preserve">第四章 采购需求</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_Toc6871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26</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fldChar w:fldCharType="end"/>
      </w:r>
      <w:r/>
    </w:p>
    <w:p>
      <w:pPr>
        <w:pStyle w:val="1074"/>
        <w:keepLines w:val="0"/>
        <w:keepNext w:val="0"/>
        <w:pageBreakBefore w:val="0"/>
        <w:spacing w:line="360" w:lineRule="auto"/>
        <w:widowControl w:val="off"/>
        <w:tabs>
          <w:tab w:val="right" w:pos="8299" w:leader="dot"/>
        </w:tabs>
        <w:rPr>
          <w:rFonts w:hint="eastAsia" w:ascii="宋体" w:hAnsi="宋体" w:eastAsia="宋体" w:cs="宋体"/>
          <w:sz w:val="28"/>
          <w:szCs w:val="36"/>
          <w:highlight w:val="none"/>
        </w:rPr>
      </w:pPr>
      <w:r>
        <w:rPr>
          <w:rFonts w:hint="eastAsia" w:ascii="宋体" w:hAnsi="宋体" w:eastAsia="宋体" w:cs="宋体"/>
          <w:sz w:val="28"/>
          <w:szCs w:val="40"/>
          <w:highlight w:val="none"/>
        </w:rPr>
        <w:fldChar w:fldCharType="begin"/>
      </w:r>
      <w:r>
        <w:rPr>
          <w:rFonts w:hint="eastAsia" w:ascii="宋体" w:hAnsi="宋体" w:eastAsia="宋体" w:cs="宋体"/>
          <w:sz w:val="28"/>
          <w:szCs w:val="40"/>
          <w:highlight w:val="none"/>
        </w:rPr>
        <w:instrText xml:space="preserve"> HYPERLINK \l _Toc18631 </w:instrText>
      </w:r>
      <w:r>
        <w:rPr>
          <w:rFonts w:hint="eastAsia" w:ascii="宋体" w:hAnsi="宋体" w:eastAsia="宋体" w:cs="宋体"/>
          <w:sz w:val="28"/>
          <w:szCs w:val="40"/>
          <w:highlight w:val="none"/>
        </w:rPr>
        <w:fldChar w:fldCharType="separate"/>
      </w:r>
      <w:r>
        <w:rPr>
          <w:rFonts w:hint="eastAsia" w:ascii="宋体" w:hAnsi="宋体" w:eastAsia="宋体" w:cs="宋体"/>
          <w:sz w:val="28"/>
          <w:szCs w:val="36"/>
          <w:highlight w:val="none"/>
        </w:rPr>
        <w:t xml:space="preserve">第五章 合同主要条款及格式</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_Toc18631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36</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fldChar w:fldCharType="end"/>
      </w:r>
      <w:r/>
    </w:p>
    <w:p>
      <w:pPr>
        <w:pStyle w:val="1074"/>
        <w:keepLines w:val="0"/>
        <w:keepNext w:val="0"/>
        <w:pageBreakBefore w:val="0"/>
        <w:spacing w:line="360" w:lineRule="auto"/>
        <w:widowControl w:val="off"/>
        <w:tabs>
          <w:tab w:val="right" w:pos="8299" w:leader="dot"/>
        </w:tabs>
        <w:rPr>
          <w:rFonts w:hint="eastAsia" w:ascii="宋体" w:hAnsi="宋体" w:eastAsia="宋体" w:cs="宋体"/>
          <w:sz w:val="28"/>
          <w:szCs w:val="36"/>
          <w:highlight w:val="none"/>
        </w:rPr>
      </w:pPr>
      <w:r>
        <w:rPr>
          <w:rFonts w:hint="eastAsia" w:ascii="宋体" w:hAnsi="宋体" w:eastAsia="宋体" w:cs="宋体"/>
          <w:sz w:val="28"/>
          <w:szCs w:val="40"/>
          <w:highlight w:val="none"/>
        </w:rPr>
        <w:fldChar w:fldCharType="begin"/>
      </w:r>
      <w:r>
        <w:rPr>
          <w:rFonts w:hint="eastAsia" w:ascii="宋体" w:hAnsi="宋体" w:eastAsia="宋体" w:cs="宋体"/>
          <w:sz w:val="28"/>
          <w:szCs w:val="40"/>
          <w:highlight w:val="none"/>
        </w:rPr>
        <w:instrText xml:space="preserve"> HYPERLINK \l _Toc7019 </w:instrText>
      </w:r>
      <w:r>
        <w:rPr>
          <w:rFonts w:hint="eastAsia" w:ascii="宋体" w:hAnsi="宋体" w:eastAsia="宋体" w:cs="宋体"/>
          <w:sz w:val="28"/>
          <w:szCs w:val="40"/>
          <w:highlight w:val="none"/>
        </w:rPr>
        <w:fldChar w:fldCharType="separate"/>
      </w:r>
      <w:r>
        <w:rPr>
          <w:rFonts w:hint="eastAsia" w:ascii="宋体" w:hAnsi="宋体" w:eastAsia="宋体" w:cs="宋体"/>
          <w:sz w:val="28"/>
          <w:szCs w:val="36"/>
          <w:highlight w:val="none"/>
        </w:rPr>
        <w:t xml:space="preserve">第六章 投标文件格式及附件</w:t>
      </w:r>
      <w:r>
        <w:rPr>
          <w:rFonts w:hint="eastAsia" w:ascii="宋体" w:hAnsi="宋体" w:eastAsia="宋体" w:cs="宋体"/>
          <w:sz w:val="28"/>
          <w:szCs w:val="36"/>
          <w:highlight w:val="none"/>
        </w:rPr>
        <w:tab/>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PAGEREF _Toc7019 \h </w:instrText>
      </w:r>
      <w:r>
        <w:rPr>
          <w:rFonts w:hint="eastAsia" w:ascii="宋体" w:hAnsi="宋体" w:eastAsia="宋体" w:cs="宋体"/>
          <w:sz w:val="28"/>
          <w:szCs w:val="36"/>
          <w:highlight w:val="none"/>
        </w:rPr>
        <w:fldChar w:fldCharType="separate"/>
      </w:r>
      <w:r>
        <w:rPr>
          <w:rFonts w:hint="eastAsia" w:ascii="宋体" w:hAnsi="宋体" w:eastAsia="宋体" w:cs="宋体"/>
          <w:sz w:val="28"/>
          <w:szCs w:val="36"/>
          <w:highlight w:val="none"/>
        </w:rPr>
        <w:t xml:space="preserve">42</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fldChar w:fldCharType="end"/>
      </w:r>
      <w:r/>
    </w:p>
    <w:p>
      <w:pPr>
        <w:keepLines w:val="0"/>
        <w:keepNext w:val="0"/>
        <w:pageBreakBefore w:val="0"/>
        <w:spacing w:line="360" w:lineRule="auto"/>
        <w:widowControl w:val="off"/>
        <w:rPr>
          <w:rFonts w:hint="eastAsia" w:ascii="宋体" w:hAnsi="宋体" w:eastAsia="宋体" w:cs="宋体"/>
          <w:sz w:val="72"/>
          <w:szCs w:val="72"/>
          <w:highlight w:val="none"/>
        </w:rPr>
      </w:pPr>
      <w:r>
        <w:rPr>
          <w:rFonts w:hint="eastAsia" w:ascii="宋体" w:hAnsi="宋体" w:eastAsia="宋体" w:cs="宋体"/>
          <w:sz w:val="28"/>
          <w:szCs w:val="40"/>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41"/>
        <w:spacing w:line="360" w:lineRule="auto"/>
        <w:rPr>
          <w:rFonts w:hint="eastAsia" w:ascii="宋体" w:hAnsi="宋体" w:eastAsia="宋体" w:cs="宋体"/>
          <w:szCs w:val="21"/>
          <w:highlight w:val="none"/>
        </w:rPr>
        <w:sectPr>
          <w:headerReference w:type="default" r:id="rId9"/>
          <w:headerReference w:type="first" r:id="rId10"/>
          <w:footerReference w:type="default" r:id="rId12"/>
          <w:footerReference w:type="first" r:id="rId13"/>
          <w:footnotePr/>
          <w:endnotePr/>
          <w:type w:val="nextPage"/>
          <w:pgSz w:w="11905" w:h="16838" w:orient="portrait"/>
          <w:pgMar w:top="1440" w:right="1080" w:bottom="1440" w:left="1080" w:header="850" w:footer="992" w:gutter="0"/>
          <w:cols w:num="1" w:sep="0" w:space="0" w:equalWidth="1"/>
          <w:docGrid w:linePitch="360"/>
          <w:titlePg/>
        </w:sectPr>
      </w:pPr>
      <w:r/>
      <w:bookmarkStart w:id="2" w:name="_Toc481057143"/>
      <w:r/>
      <w:r/>
    </w:p>
    <w:p>
      <w:pPr>
        <w:pStyle w:val="1041"/>
        <w:numPr>
          <w:ilvl w:val="0"/>
          <w:numId w:val="0"/>
        </w:numPr>
        <w:ind w:left="0" w:firstLine="0"/>
        <w:spacing w:before="0" w:after="0" w:line="240" w:lineRule="auto"/>
        <w:rPr>
          <w:rFonts w:hint="eastAsia" w:ascii="宋体" w:hAnsi="宋体" w:eastAsia="宋体" w:cs="宋体"/>
          <w:szCs w:val="21"/>
          <w:highlight w:val="none"/>
        </w:rPr>
      </w:pPr>
      <w:r>
        <w:rPr>
          <w:rFonts w:hint="eastAsia" w:ascii="宋体" w:hAnsi="宋体" w:eastAsia="宋体" w:cs="宋体"/>
          <w:b/>
          <w:bCs/>
          <w:sz w:val="32"/>
          <w:szCs w:val="21"/>
          <w:highlight w:val="none"/>
          <w:lang w:val="en-US" w:eastAsia="zh-CN" w:bidi="ar-SA"/>
        </w:rPr>
        <w:t xml:space="preserve">第一章</w:t>
      </w:r>
      <w:r>
        <w:rPr>
          <w:rFonts w:hint="eastAsia" w:ascii="宋体" w:hAnsi="宋体" w:eastAsia="宋体" w:cs="宋体"/>
          <w:sz w:val="36"/>
          <w:szCs w:val="36"/>
          <w:highlight w:val="none"/>
          <w:shd w:val="clear" w:color="auto" w:fill="ffffff"/>
        </w:rPr>
        <w:t xml:space="preserve"> </w:t>
      </w:r>
      <w:bookmarkStart w:id="3" w:name="_Toc30685"/>
      <w:r/>
      <w:bookmarkStart w:id="4" w:name="_Hlk85716974"/>
      <w:r>
        <w:rPr>
          <w:rFonts w:hint="eastAsia" w:ascii="宋体" w:hAnsi="宋体" w:eastAsia="宋体" w:cs="宋体"/>
          <w:highlight w:val="none"/>
        </w:rPr>
        <w:t xml:space="preserve">采购公告</w:t>
      </w:r>
      <w:bookmarkEnd w:id="2"/>
      <w:r/>
      <w:bookmarkEnd w:id="3"/>
      <w:r/>
      <w:bookmarkStart w:id="5" w:name="OLE_LINK5"/>
      <w:r/>
      <w:bookmarkStart w:id="6" w:name="OLE_LINK1"/>
      <w:r/>
      <w:bookmarkStart w:id="7" w:name="OLE_LINK6"/>
      <w:r/>
      <w:bookmarkStart w:id="8" w:name="OLE_LINK7"/>
      <w:r/>
      <w:bookmarkStart w:id="9" w:name="_Hlk74842529"/>
      <w:r/>
      <w:r/>
    </w:p>
    <w:p>
      <w:pPr>
        <w:ind w:firstLine="369"/>
        <w:spacing w:line="360" w:lineRule="auto"/>
        <w:shd w:val="clear" w:color="auto" w:fill="ffffff"/>
        <w:widowControl/>
        <w:rPr>
          <w:rFonts w:hint="eastAsia" w:ascii="宋体" w:hAnsi="宋体" w:eastAsia="宋体" w:cs="宋体"/>
          <w:spacing w:val="8"/>
          <w:szCs w:val="21"/>
          <w:highlight w:val="none"/>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eastAsia="宋体" w:cs="宋体"/>
          <w:spacing w:val="8"/>
          <w:szCs w:val="21"/>
          <w:highlight w:val="none"/>
        </w:rPr>
        <w:t xml:space="preserve">项目概况</w:t>
      </w:r>
      <w:r/>
    </w:p>
    <w:p>
      <w:pPr>
        <w:ind w:firstLine="369"/>
        <w:spacing w:line="360" w:lineRule="auto"/>
        <w:shd w:val="clear" w:color="auto" w:fill="ffffff"/>
        <w:widowControl/>
        <w:rPr>
          <w:rFonts w:hint="eastAsia" w:ascii="宋体" w:hAnsi="宋体" w:eastAsia="宋体" w:cs="宋体"/>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u w:val="single"/>
          <w:lang w:eastAsia="zh-CN"/>
        </w:rPr>
        <w:t xml:space="preserve">城市轨道交通信号基础实训系统</w:t>
      </w:r>
      <w:r>
        <w:rPr>
          <w:rFonts w:hint="eastAsia" w:ascii="宋体" w:hAnsi="宋体" w:eastAsia="宋体" w:cs="宋体"/>
          <w:spacing w:val="8"/>
          <w:szCs w:val="21"/>
          <w:highlight w:val="none"/>
        </w:rPr>
        <w:t xml:space="preserve">的潜在供应商应在</w:t>
      </w:r>
      <w:r>
        <w:rPr>
          <w:rFonts w:hint="eastAsia" w:ascii="宋体" w:hAnsi="宋体" w:eastAsia="宋体" w:cs="宋体"/>
          <w:szCs w:val="21"/>
          <w:highlight w:val="none"/>
          <w:u w:val="single"/>
        </w:rPr>
        <w:t xml:space="preserve">苏采云系统注册登记成功后系统内免费</w:t>
      </w:r>
      <w:r>
        <w:rPr>
          <w:rFonts w:hint="eastAsia" w:ascii="宋体" w:hAnsi="宋体" w:eastAsia="宋体" w:cs="宋体"/>
          <w:spacing w:val="8"/>
          <w:szCs w:val="21"/>
          <w:highlight w:val="none"/>
        </w:rPr>
        <w:t xml:space="preserve">获取招标文件，并于</w:t>
      </w:r>
      <w:r>
        <w:rPr>
          <w:rFonts w:hint="eastAsia" w:ascii="宋体" w:hAnsi="宋体" w:eastAsia="宋体" w:cs="宋体"/>
          <w:szCs w:val="21"/>
          <w:highlight w:val="none"/>
          <w:u w:val="single"/>
        </w:rPr>
        <w:t xml:space="preserve">2026年</w:t>
      </w:r>
      <w:r>
        <w:rPr>
          <w:rFonts w:hint="eastAsia" w:ascii="宋体" w:hAnsi="宋体" w:cs="宋体"/>
          <w:szCs w:val="21"/>
          <w:highlight w:val="none"/>
          <w:u w:val="single"/>
          <w:lang w:val="en-US" w:eastAsia="zh-CN"/>
        </w:rPr>
        <w:t xml:space="preserve">11</w:t>
      </w:r>
      <w:r>
        <w:rPr>
          <w:rFonts w:hint="eastAsia" w:ascii="宋体" w:hAnsi="宋体" w:eastAsia="宋体" w:cs="宋体"/>
          <w:szCs w:val="21"/>
          <w:highlight w:val="none"/>
          <w:u w:val="single"/>
        </w:rPr>
        <w:t xml:space="preserve">月</w:t>
      </w:r>
      <w:r>
        <w:rPr>
          <w:rFonts w:hint="eastAsia" w:ascii="宋体" w:hAnsi="宋体" w:cs="宋体"/>
          <w:szCs w:val="21"/>
          <w:highlight w:val="none"/>
          <w:u w:val="single"/>
          <w:lang w:val="en-US" w:eastAsia="zh-CN"/>
        </w:rPr>
        <w:t xml:space="preserve">27</w:t>
      </w:r>
      <w:r>
        <w:rPr>
          <w:rFonts w:hint="eastAsia" w:ascii="宋体" w:hAnsi="宋体" w:eastAsia="宋体" w:cs="宋体"/>
          <w:szCs w:val="21"/>
          <w:highlight w:val="none"/>
          <w:u w:val="single"/>
        </w:rPr>
        <w:t xml:space="preserve">日</w:t>
      </w:r>
      <w:r>
        <w:rPr>
          <w:rFonts w:hint="eastAsia" w:ascii="宋体" w:hAnsi="宋体" w:cs="宋体"/>
          <w:szCs w:val="21"/>
          <w:highlight w:val="none"/>
          <w:u w:val="single"/>
          <w:lang w:val="en-US" w:eastAsia="zh-CN"/>
        </w:rPr>
        <w:t xml:space="preserve">9</w:t>
      </w:r>
      <w:r>
        <w:rPr>
          <w:rFonts w:hint="eastAsia" w:ascii="宋体" w:hAnsi="宋体" w:eastAsia="宋体" w:cs="宋体"/>
          <w:szCs w:val="21"/>
          <w:highlight w:val="none"/>
          <w:u w:val="single"/>
        </w:rPr>
        <w:t xml:space="preserve">点</w:t>
      </w:r>
      <w:r>
        <w:rPr>
          <w:rFonts w:hint="eastAsia" w:ascii="宋体" w:hAnsi="宋体" w:cs="宋体"/>
          <w:szCs w:val="21"/>
          <w:highlight w:val="none"/>
          <w:u w:val="single"/>
          <w:lang w:val="en-US" w:eastAsia="zh-CN"/>
        </w:rPr>
        <w:t xml:space="preserve">00</w:t>
      </w:r>
      <w:r>
        <w:rPr>
          <w:rFonts w:hint="eastAsia" w:ascii="宋体" w:hAnsi="宋体" w:eastAsia="宋体" w:cs="宋体"/>
          <w:szCs w:val="21"/>
          <w:highlight w:val="none"/>
          <w:u w:val="single"/>
        </w:rPr>
        <w:t xml:space="preserve">分</w:t>
      </w:r>
      <w:r>
        <w:rPr>
          <w:rFonts w:hint="eastAsia" w:ascii="宋体" w:hAnsi="宋体" w:eastAsia="宋体" w:cs="宋体"/>
          <w:spacing w:val="8"/>
          <w:szCs w:val="21"/>
          <w:highlight w:val="none"/>
        </w:rPr>
        <w:t xml:space="preserve">（北京时间）前递交投标文件。</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lang w:eastAsia="zh-CN"/>
        </w:rPr>
      </w:pPr>
      <w:r>
        <w:rPr>
          <w:rFonts w:hint="eastAsia" w:ascii="宋体" w:hAnsi="宋体" w:eastAsia="宋体" w:cs="宋体"/>
          <w:spacing w:val="8"/>
          <w:sz w:val="21"/>
          <w:szCs w:val="21"/>
          <w:highlight w:val="none"/>
        </w:rPr>
        <w:t xml:space="preserve">1.1项目编号：</w:t>
      </w:r>
      <w:r>
        <w:rPr>
          <w:rFonts w:hint="eastAsia" w:ascii="宋体" w:hAnsi="宋体" w:cs="宋体"/>
          <w:spacing w:val="8"/>
          <w:sz w:val="21"/>
          <w:szCs w:val="21"/>
          <w:highlight w:val="none"/>
          <w:lang w:eastAsia="zh-CN"/>
        </w:rPr>
        <w:t xml:space="preserve">JSZC-320000-SNZX-G2026-0192</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lang w:eastAsia="zh-CN"/>
        </w:rPr>
      </w:pPr>
      <w:r>
        <w:rPr>
          <w:rFonts w:hint="eastAsia" w:ascii="宋体" w:hAnsi="宋体" w:eastAsia="宋体" w:cs="宋体"/>
          <w:spacing w:val="8"/>
          <w:sz w:val="21"/>
          <w:szCs w:val="21"/>
          <w:highlight w:val="none"/>
        </w:rPr>
        <w:t xml:space="preserve">1.2项目名称：</w:t>
      </w:r>
      <w:r>
        <w:rPr>
          <w:rFonts w:hint="eastAsia" w:ascii="宋体" w:hAnsi="宋体" w:cs="宋体"/>
          <w:spacing w:val="8"/>
          <w:sz w:val="21"/>
          <w:szCs w:val="21"/>
          <w:highlight w:val="none"/>
          <w:lang w:eastAsia="zh-CN"/>
        </w:rPr>
        <w:t xml:space="preserve">城市轨道交通信号基础实训系统</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1.3预算金额：人民币</w:t>
      </w:r>
      <w:r>
        <w:rPr>
          <w:rFonts w:hint="eastAsia" w:ascii="宋体" w:hAnsi="宋体" w:cs="宋体"/>
          <w:spacing w:val="8"/>
          <w:sz w:val="21"/>
          <w:szCs w:val="21"/>
          <w:highlight w:val="none"/>
          <w:lang w:eastAsia="zh-CN"/>
        </w:rPr>
        <w:t xml:space="preserve">151万元</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1.4最高限价：人民币</w:t>
      </w:r>
      <w:r>
        <w:rPr>
          <w:rFonts w:hint="eastAsia" w:ascii="宋体" w:hAnsi="宋体" w:cs="宋体"/>
          <w:spacing w:val="8"/>
          <w:sz w:val="21"/>
          <w:szCs w:val="21"/>
          <w:highlight w:val="none"/>
          <w:lang w:eastAsia="zh-CN"/>
        </w:rPr>
        <w:t xml:space="preserve">151万元</w:t>
      </w:r>
      <w:r>
        <w:rPr>
          <w:rFonts w:hint="eastAsia" w:ascii="宋体" w:hAnsi="宋体" w:eastAsia="宋体" w:cs="宋体"/>
          <w:spacing w:val="8"/>
          <w:sz w:val="21"/>
          <w:szCs w:val="21"/>
          <w:highlight w:val="none"/>
        </w:rPr>
        <w:t xml:space="preserve">，投标报价超过最高限价的为无效投标。</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1.5采购需求：</w:t>
      </w:r>
      <w:r>
        <w:rPr>
          <w:rFonts w:hint="eastAsia" w:ascii="宋体" w:hAnsi="宋体" w:eastAsia="宋体" w:cs="宋体"/>
          <w:spacing w:val="8"/>
          <w:sz w:val="21"/>
          <w:szCs w:val="21"/>
          <w:highlight w:val="none"/>
          <w:lang w:eastAsia="zh-CN"/>
        </w:rPr>
        <w:t xml:space="preserve">南京工业职业技术大学</w:t>
      </w:r>
      <w:r>
        <w:rPr>
          <w:rFonts w:hint="eastAsia" w:ascii="宋体" w:hAnsi="宋体" w:eastAsia="宋体" w:cs="宋体"/>
          <w:spacing w:val="8"/>
          <w:sz w:val="21"/>
          <w:szCs w:val="21"/>
          <w:highlight w:val="none"/>
        </w:rPr>
        <w:t xml:space="preserve">为满足教学实验需要，需采购</w:t>
      </w:r>
      <w:r>
        <w:rPr>
          <w:rFonts w:hint="eastAsia" w:ascii="宋体" w:hAnsi="宋体" w:cs="宋体"/>
          <w:spacing w:val="8"/>
          <w:sz w:val="21"/>
          <w:szCs w:val="21"/>
          <w:highlight w:val="none"/>
          <w:lang w:val="en-US" w:eastAsia="zh-CN"/>
        </w:rPr>
        <w:t xml:space="preserve">1套</w:t>
      </w:r>
      <w:r>
        <w:rPr>
          <w:rFonts w:hint="eastAsia" w:ascii="宋体" w:hAnsi="宋体" w:cs="宋体"/>
          <w:b w:val="0"/>
          <w:bCs/>
          <w:spacing w:val="8"/>
          <w:sz w:val="21"/>
          <w:szCs w:val="21"/>
          <w:highlight w:val="none"/>
          <w:vertAlign w:val="baseline"/>
          <w:lang w:eastAsia="zh-CN"/>
        </w:rPr>
        <w:t xml:space="preserve">城市轨道交通信号基础实训系统</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具体内容</w:t>
      </w:r>
      <w:r>
        <w:rPr>
          <w:rFonts w:hint="eastAsia" w:ascii="宋体" w:hAnsi="宋体" w:eastAsia="宋体" w:cs="宋体"/>
          <w:spacing w:val="8"/>
          <w:sz w:val="21"/>
          <w:szCs w:val="21"/>
          <w:highlight w:val="none"/>
        </w:rPr>
        <w:t xml:space="preserve">详见采购文件 第四章 采购需求。</w:t>
      </w:r>
      <w:r/>
    </w:p>
    <w:p>
      <w:pPr>
        <w:pStyle w:val="1066"/>
        <w:ind w:firstLine="452"/>
        <w:spacing w:line="360" w:lineRule="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1.6合同履行期限：合同签订生效后，</w:t>
      </w:r>
      <w:r>
        <w:rPr>
          <w:rFonts w:hint="eastAsia" w:ascii="宋体" w:hAnsi="宋体" w:cs="宋体"/>
          <w:spacing w:val="8"/>
          <w:sz w:val="21"/>
          <w:szCs w:val="21"/>
          <w:highlight w:val="none"/>
          <w:lang w:val="en-US" w:eastAsia="zh-CN"/>
        </w:rPr>
        <w:t xml:space="preserve">70个日历日</w:t>
      </w:r>
      <w:r>
        <w:rPr>
          <w:rFonts w:hint="eastAsia" w:ascii="宋体" w:hAnsi="宋体" w:eastAsia="宋体" w:cs="宋体"/>
          <w:spacing w:val="8"/>
          <w:sz w:val="21"/>
          <w:szCs w:val="21"/>
          <w:highlight w:val="none"/>
        </w:rPr>
        <w:t xml:space="preserve">内全部设备、材料运抵现场，并安装、调试结束。</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1.8本项目</w:t>
      </w:r>
      <w:r>
        <w:rPr>
          <w:rFonts w:hint="eastAsia" w:ascii="宋体" w:hAnsi="宋体" w:eastAsia="宋体" w:cs="宋体"/>
          <w:b/>
          <w:bCs/>
          <w:spacing w:val="8"/>
          <w:sz w:val="21"/>
          <w:szCs w:val="21"/>
          <w:highlight w:val="none"/>
        </w:rPr>
        <w:t xml:space="preserve">非专门</w:t>
      </w:r>
      <w:r>
        <w:rPr>
          <w:rFonts w:hint="eastAsia" w:ascii="宋体" w:hAnsi="宋体" w:eastAsia="宋体" w:cs="宋体"/>
          <w:spacing w:val="8"/>
          <w:sz w:val="21"/>
          <w:szCs w:val="21"/>
          <w:highlight w:val="none"/>
        </w:rPr>
        <w:t xml:space="preserve">面向中小企业采购。</w:t>
      </w:r>
      <w:r/>
    </w:p>
    <w:p>
      <w:pPr>
        <w:ind w:firstLine="452"/>
        <w:spacing w:line="360" w:lineRule="auto"/>
        <w:shd w:val="clear" w:color="auto" w:fill="ffffff"/>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1.9本项目</w:t>
      </w:r>
      <w:r>
        <w:rPr>
          <w:rFonts w:hint="eastAsia" w:ascii="宋体" w:hAnsi="宋体" w:eastAsia="宋体" w:cs="宋体"/>
          <w:b/>
          <w:bCs/>
          <w:spacing w:val="8"/>
          <w:sz w:val="21"/>
          <w:szCs w:val="21"/>
          <w:highlight w:val="none"/>
        </w:rPr>
        <w:t xml:space="preserve">不接受</w:t>
      </w:r>
      <w:r>
        <w:rPr>
          <w:rFonts w:hint="eastAsia" w:ascii="宋体" w:hAnsi="宋体" w:eastAsia="宋体" w:cs="宋体"/>
          <w:spacing w:val="8"/>
          <w:sz w:val="21"/>
          <w:szCs w:val="21"/>
          <w:highlight w:val="none"/>
        </w:rPr>
        <w:t xml:space="preserve">进口产品。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 w:val="21"/>
          <w:szCs w:val="21"/>
          <w:highlight w:val="none"/>
          <w14:textFill>
            <w14:solidFill>
              <w14:schemeClr w14:val="bg1"/>
            </w14:solidFill>
          </w14:textFill>
        </w:rPr>
      </w:pPr>
      <w:r>
        <w:rPr>
          <w:rFonts w:hint="eastAsia" w:ascii="宋体" w:hAnsi="宋体" w:eastAsia="宋体" w:cs="宋体"/>
          <w:spacing w:val="8"/>
          <w:sz w:val="21"/>
          <w:szCs w:val="21"/>
          <w:highlight w:val="none"/>
        </w:rPr>
        <w:t xml:space="preserve">1.10本项目</w:t>
      </w:r>
      <w:r>
        <w:rPr>
          <w:rFonts w:hint="eastAsia" w:ascii="宋体" w:hAnsi="宋体" w:eastAsia="宋体" w:cs="宋体"/>
          <w:b/>
          <w:bCs/>
          <w:spacing w:val="8"/>
          <w:sz w:val="21"/>
          <w:szCs w:val="21"/>
          <w:highlight w:val="none"/>
        </w:rPr>
        <w:t xml:space="preserve">不接受</w:t>
      </w:r>
      <w:r>
        <w:rPr>
          <w:rFonts w:hint="eastAsia" w:ascii="宋体" w:hAnsi="宋体" w:eastAsia="宋体" w:cs="宋体"/>
          <w:spacing w:val="8"/>
          <w:sz w:val="21"/>
          <w:szCs w:val="21"/>
          <w:highlight w:val="none"/>
        </w:rPr>
        <w:t xml:space="preserve">联合体投标。</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 w:val="21"/>
          <w:szCs w:val="21"/>
          <w:highlight w:val="none"/>
        </w:rPr>
      </w:pPr>
      <w:r>
        <w:rPr>
          <w:rFonts w:hint="eastAsia" w:ascii="宋体" w:hAnsi="宋体" w:eastAsia="宋体" w:cs="宋体"/>
          <w:b/>
          <w:bCs/>
          <w:spacing w:val="8"/>
          <w:sz w:val="21"/>
          <w:szCs w:val="21"/>
          <w:highlight w:val="none"/>
        </w:rPr>
        <w:t xml:space="preserve">2.1满足《中华人民共和国政府采购法》第二十二条规定；</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（1）具有独立承担民事责任的能力</w:t>
      </w:r>
      <w:r>
        <w:rPr>
          <w:rFonts w:hint="eastAsia" w:ascii="宋体" w:hAnsi="宋体" w:eastAsia="宋体" w:cs="宋体"/>
          <w:b/>
          <w:sz w:val="21"/>
          <w:szCs w:val="21"/>
          <w:highlight w:val="none"/>
        </w:rPr>
        <w:t xml:space="preserve">（提供法人或者其他组织的营业执照；供应商为自然人的提供其身份证）；</w:t>
      </w:r>
      <w:r>
        <w:rPr>
          <w:rFonts w:hint="eastAsia" w:ascii="宋体" w:hAnsi="宋体" w:eastAsia="宋体" w:cs="宋体"/>
          <w:bCs/>
          <w:sz w:val="21"/>
          <w:szCs w:val="21"/>
          <w:highlight w:val="none"/>
        </w:rPr>
        <w:t xml:space="preserve"> </w:t>
      </w:r>
      <w:r/>
    </w:p>
    <w:p>
      <w:pPr>
        <w:ind w:firstLine="424"/>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（2）具有良好的商业信誉和健全的财务会计制度</w:t>
      </w:r>
      <w:r>
        <w:rPr>
          <w:rFonts w:hint="eastAsia" w:ascii="宋体" w:hAnsi="宋体" w:eastAsia="宋体" w:cs="宋体"/>
          <w:b/>
          <w:sz w:val="21"/>
          <w:szCs w:val="21"/>
          <w:highlight w:val="none"/>
        </w:rPr>
        <w:t xml:space="preserve">（提供2025年度的财务报告，至少包含资产负债表、利润表</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或投标截止时间前六个月内银行出具的资信证明</w:t>
      </w:r>
      <w:r>
        <w:rPr>
          <w:rFonts w:hint="eastAsia" w:ascii="宋体" w:hAnsi="宋体" w:cs="宋体"/>
          <w:b/>
          <w:sz w:val="21"/>
          <w:szCs w:val="21"/>
          <w:highlight w:val="none"/>
          <w:lang w:eastAsia="zh-CN"/>
        </w:rPr>
        <w:t xml:space="preserve">；</w:t>
      </w:r>
      <w:r>
        <w:rPr>
          <w:rFonts w:hint="eastAsia" w:ascii="宋体" w:hAnsi="宋体" w:eastAsia="宋体" w:cs="宋体"/>
          <w:b/>
          <w:sz w:val="21"/>
          <w:szCs w:val="21"/>
          <w:highlight w:val="none"/>
        </w:rPr>
        <w:t xml:space="preserve">成立不满一年无须提供）；</w:t>
      </w:r>
      <w:r/>
    </w:p>
    <w:p>
      <w:pPr>
        <w:ind w:firstLine="424"/>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（3）具有履行合同所必需的设备和专业技术能力</w:t>
      </w:r>
      <w:r>
        <w:rPr>
          <w:rFonts w:hint="eastAsia" w:ascii="宋体" w:hAnsi="宋体" w:eastAsia="宋体" w:cs="宋体"/>
          <w:b/>
          <w:sz w:val="21"/>
          <w:szCs w:val="21"/>
          <w:highlight w:val="none"/>
        </w:rPr>
        <w:t xml:space="preserve">（供应商根据履行采购项目合同需要，提供履行合同所必需的设备和专业技术能力的证明材料或承诺书</w:t>
      </w:r>
      <w:r>
        <w:rPr>
          <w:rFonts w:hint="eastAsia" w:ascii="宋体" w:hAnsi="宋体" w:eastAsia="宋体" w:cs="宋体"/>
          <w:b/>
          <w:sz w:val="21"/>
          <w:szCs w:val="21"/>
          <w:highlight w:val="none"/>
          <w:lang w:val="en-US" w:eastAsia="zh-CN"/>
        </w:rPr>
        <w:t xml:space="preserve">加盖公章</w:t>
      </w:r>
      <w:r>
        <w:rPr>
          <w:rFonts w:hint="eastAsia" w:ascii="宋体" w:hAnsi="宋体" w:eastAsia="宋体" w:cs="宋体"/>
          <w:b/>
          <w:sz w:val="21"/>
          <w:szCs w:val="21"/>
          <w:highlight w:val="none"/>
        </w:rPr>
        <w:t xml:space="preserve">）</w:t>
      </w:r>
      <w:r>
        <w:rPr>
          <w:rFonts w:hint="eastAsia" w:ascii="宋体" w:hAnsi="宋体" w:eastAsia="宋体" w:cs="宋体"/>
          <w:bCs/>
          <w:sz w:val="21"/>
          <w:szCs w:val="21"/>
          <w:highlight w:val="none"/>
          <w:lang w:eastAsia="zh-CN"/>
        </w:rPr>
        <w:t xml:space="preserve">；</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（4）有依法缴纳税收和社会保障资金的良好记录</w:t>
      </w:r>
      <w:r>
        <w:rPr>
          <w:rFonts w:hint="eastAsia" w:ascii="宋体" w:hAnsi="宋体" w:eastAsia="宋体" w:cs="宋体"/>
          <w:b/>
          <w:sz w:val="21"/>
          <w:szCs w:val="21"/>
          <w:highlight w:val="none"/>
        </w:rPr>
        <w:t xml:space="preserve">（提供自投标截止时间前六个月内任意一个月份：①提供缴纳税收的凭证；②提供缴纳社会保险的凭据，依法享受免缴、缓缴的，提供证明材料）</w:t>
      </w:r>
      <w:r>
        <w:rPr>
          <w:rFonts w:hint="eastAsia" w:ascii="宋体" w:hAnsi="宋体" w:eastAsia="宋体" w:cs="宋体"/>
          <w:bCs/>
          <w:sz w:val="21"/>
          <w:szCs w:val="21"/>
          <w:highlight w:val="none"/>
        </w:rPr>
        <w:t xml:space="preserve">；</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（5）参加政府采购活动前三年内，在经营活动中没有重大违法记录</w:t>
      </w:r>
      <w:r>
        <w:rPr>
          <w:rFonts w:hint="eastAsia" w:ascii="宋体" w:hAnsi="宋体" w:eastAsia="宋体" w:cs="宋体"/>
          <w:b/>
          <w:sz w:val="21"/>
          <w:szCs w:val="21"/>
          <w:highlight w:val="none"/>
        </w:rPr>
        <w:t xml:space="preserve">（提供承诺书</w:t>
      </w:r>
      <w:r>
        <w:rPr>
          <w:rFonts w:hint="eastAsia" w:ascii="宋体" w:hAnsi="宋体" w:eastAsia="宋体" w:cs="宋体"/>
          <w:b/>
          <w:sz w:val="21"/>
          <w:szCs w:val="21"/>
          <w:highlight w:val="none"/>
          <w:lang w:val="en-US" w:eastAsia="zh-CN"/>
        </w:rPr>
        <w:t xml:space="preserve">加盖公章</w:t>
      </w:r>
      <w:r>
        <w:rPr>
          <w:rFonts w:hint="eastAsia" w:ascii="宋体" w:hAnsi="宋体" w:eastAsia="宋体" w:cs="宋体"/>
          <w:b/>
          <w:sz w:val="21"/>
          <w:szCs w:val="21"/>
          <w:highlight w:val="none"/>
        </w:rPr>
        <w:t xml:space="preserve">）</w:t>
      </w:r>
      <w:r>
        <w:rPr>
          <w:rFonts w:hint="eastAsia" w:ascii="宋体" w:hAnsi="宋体" w:eastAsia="宋体" w:cs="宋体"/>
          <w:bCs/>
          <w:sz w:val="21"/>
          <w:szCs w:val="21"/>
          <w:highlight w:val="none"/>
        </w:rPr>
        <w:t xml:space="preserve">；</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（6）法律、行政法规规定的其他条件：无。</w:t>
      </w:r>
      <w:r/>
    </w:p>
    <w:p>
      <w:pPr>
        <w:ind w:firstLine="454"/>
        <w:spacing w:line="360" w:lineRule="auto"/>
        <w:shd w:val="clear" w:color="auto" w:fill="ffffff" w:themeFill="background1"/>
        <w:widowControl/>
        <w:rPr>
          <w:rFonts w:hint="eastAsia" w:ascii="宋体" w:hAnsi="宋体" w:eastAsia="宋体" w:cs="宋体"/>
          <w:b/>
          <w:bCs/>
          <w:spacing w:val="8"/>
          <w:sz w:val="21"/>
          <w:szCs w:val="21"/>
          <w:highlight w:val="none"/>
        </w:rPr>
      </w:pPr>
      <w:r>
        <w:rPr>
          <w:rFonts w:hint="eastAsia" w:ascii="宋体" w:hAnsi="宋体" w:eastAsia="宋体" w:cs="宋体"/>
          <w:b/>
          <w:bCs/>
          <w:spacing w:val="8"/>
          <w:sz w:val="21"/>
          <w:szCs w:val="21"/>
          <w:highlight w:val="none"/>
        </w:rPr>
        <w:t xml:space="preserve">2.2落实政府采购政策需满足的资格要求：无。</w:t>
      </w:r>
      <w:r/>
    </w:p>
    <w:p>
      <w:pPr>
        <w:ind w:firstLine="454"/>
        <w:spacing w:line="360" w:lineRule="auto"/>
        <w:rPr>
          <w:rFonts w:hint="eastAsia" w:ascii="宋体" w:hAnsi="宋体" w:eastAsia="宋体" w:cs="宋体"/>
          <w:b/>
          <w:spacing w:val="8"/>
          <w:sz w:val="21"/>
          <w:szCs w:val="21"/>
          <w:highlight w:val="none"/>
        </w:rPr>
      </w:pPr>
      <w:r>
        <w:rPr>
          <w:rFonts w:hint="eastAsia" w:ascii="宋体" w:hAnsi="宋体" w:eastAsia="宋体" w:cs="宋体"/>
          <w:b/>
          <w:spacing w:val="8"/>
          <w:sz w:val="21"/>
          <w:szCs w:val="21"/>
          <w:highlight w:val="none"/>
        </w:rPr>
        <w:t xml:space="preserve">2.3采购人根据采购项目的特殊要求规定的特定条件，并提供符合特殊要求的证明材料或者情况说明：无。</w:t>
      </w:r>
      <w:r/>
    </w:p>
    <w:p>
      <w:pPr>
        <w:ind w:firstLine="454"/>
        <w:spacing w:line="360" w:lineRule="auto"/>
        <w:rPr>
          <w:rFonts w:hint="eastAsia" w:ascii="宋体" w:hAnsi="宋体" w:eastAsia="宋体" w:cs="宋体"/>
          <w:bCs/>
          <w:sz w:val="21"/>
          <w:szCs w:val="21"/>
          <w:highlight w:val="none"/>
        </w:rPr>
      </w:pPr>
      <w:r>
        <w:rPr>
          <w:rFonts w:hint="eastAsia" w:ascii="宋体" w:hAnsi="宋体" w:eastAsia="宋体" w:cs="宋体"/>
          <w:b/>
          <w:spacing w:val="8"/>
          <w:sz w:val="21"/>
          <w:szCs w:val="21"/>
          <w:highlight w:val="none"/>
        </w:rPr>
        <w:t xml:space="preserve">2.4第2.1（5）条所称重大违法记录，</w:t>
      </w:r>
      <w:r>
        <w:rPr>
          <w:rFonts w:hint="eastAsia" w:ascii="宋体" w:hAnsi="宋体" w:eastAsia="宋体" w:cs="宋体"/>
          <w:bCs/>
          <w:sz w:val="21"/>
          <w:szCs w:val="21"/>
          <w:highlight w:val="none"/>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三、获取招标文件</w:t>
      </w:r>
      <w:r/>
    </w:p>
    <w:p>
      <w:pPr>
        <w:ind w:firstLine="420"/>
        <w:spacing w:line="360" w:lineRule="auto"/>
        <w:shd w:val="clear" w:color="auto" w:fill="ffffff" w:themeFill="background1"/>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 w:val="21"/>
          <w:szCs w:val="21"/>
          <w:highlight w:val="none"/>
          <w:shd w:val="clear" w:color="auto" w:fill="ffffff"/>
        </w:rPr>
      </w:pPr>
      <w:r>
        <w:rPr>
          <w:rFonts w:hint="eastAsia" w:ascii="宋体" w:hAnsi="宋体" w:eastAsia="宋体" w:cs="宋体"/>
          <w:bCs/>
          <w:sz w:val="21"/>
          <w:szCs w:val="21"/>
          <w:highlight w:val="none"/>
        </w:rPr>
        <w:t xml:space="preserve">3.3方式：</w:t>
      </w:r>
      <w:r>
        <w:rPr>
          <w:rFonts w:hint="eastAsia" w:ascii="宋体" w:hAnsi="宋体" w:eastAsia="宋体" w:cs="宋体"/>
          <w:sz w:val="21"/>
          <w:szCs w:val="21"/>
          <w:highlight w:val="none"/>
        </w:rPr>
        <w:t xml:space="preserve">采用网上注册登记方式</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w:t>
      </w:r>
      <w:r>
        <w:rPr>
          <w:rFonts w:hint="eastAsia" w:ascii="宋体" w:hAnsi="宋体" w:eastAsia="宋体" w:cs="宋体"/>
          <w:spacing w:val="8"/>
          <w:sz w:val="21"/>
          <w:szCs w:val="21"/>
          <w:highlight w:val="none"/>
        </w:rPr>
        <w:t xml:space="preserve">售价：0.00元</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四、提交投标文件截止时间</w:t>
      </w:r>
      <w:r>
        <w:rPr>
          <w:rFonts w:hint="eastAsia" w:ascii="宋体" w:hAnsi="宋体" w:eastAsia="宋体" w:cs="宋体"/>
          <w:b/>
          <w:spacing w:val="8"/>
          <w:sz w:val="21"/>
          <w:szCs w:val="21"/>
          <w:highlight w:val="none"/>
          <w:lang w:eastAsia="zh-CN"/>
        </w:rPr>
        <w:t xml:space="preserve">、</w:t>
      </w:r>
      <w:r>
        <w:rPr>
          <w:rFonts w:hint="eastAsia" w:ascii="宋体" w:hAnsi="宋体" w:eastAsia="宋体" w:cs="宋体"/>
          <w:b/>
          <w:spacing w:val="8"/>
          <w:sz w:val="21"/>
          <w:szCs w:val="21"/>
          <w:highlight w:val="none"/>
        </w:rPr>
        <w:t xml:space="preserve">开标时间和地点</w:t>
      </w:r>
      <w:r/>
    </w:p>
    <w:p>
      <w:pPr>
        <w:ind w:firstLine="370"/>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4.1</w:t>
      </w:r>
      <w:r>
        <w:rPr>
          <w:rFonts w:hint="eastAsia" w:ascii="宋体" w:hAnsi="宋体" w:eastAsia="宋体" w:cs="宋体"/>
          <w:spacing w:val="15"/>
          <w:sz w:val="21"/>
          <w:szCs w:val="21"/>
          <w:highlight w:val="none"/>
          <w:shd w:val="clear" w:color="auto" w:fill="ffffff"/>
        </w:rPr>
        <w:t xml:space="preserve">提交投标文件截止时间、开标时间：</w:t>
      </w:r>
      <w:r>
        <w:rPr>
          <w:rFonts w:hint="eastAsia" w:ascii="宋体" w:hAnsi="宋体" w:eastAsia="宋体" w:cs="宋体"/>
          <w:b/>
          <w:bCs/>
          <w:sz w:val="21"/>
          <w:szCs w:val="21"/>
          <w:highlight w:val="none"/>
        </w:rPr>
        <w:t xml:space="preserve">2026</w:t>
      </w:r>
      <w:r>
        <w:rPr>
          <w:rFonts w:hint="eastAsia" w:ascii="宋体" w:hAnsi="宋体" w:eastAsia="宋体" w:cs="宋体"/>
          <w:b/>
          <w:bCs/>
          <w:spacing w:val="8"/>
          <w:sz w:val="21"/>
          <w:szCs w:val="21"/>
          <w:highlight w:val="none"/>
        </w:rPr>
        <w:t xml:space="preserve">年</w:t>
      </w:r>
      <w:r>
        <w:rPr>
          <w:rFonts w:hint="eastAsia" w:ascii="宋体" w:hAnsi="宋体" w:cs="宋体"/>
          <w:b/>
          <w:bCs/>
          <w:spacing w:val="8"/>
          <w:sz w:val="21"/>
          <w:szCs w:val="21"/>
          <w:highlight w:val="none"/>
          <w:lang w:val="en-US" w:eastAsia="zh-CN"/>
        </w:rPr>
        <w:t xml:space="preserve">11</w:t>
      </w:r>
      <w:r>
        <w:rPr>
          <w:rFonts w:hint="eastAsia" w:ascii="宋体" w:hAnsi="宋体" w:eastAsia="宋体" w:cs="宋体"/>
          <w:b/>
          <w:bCs/>
          <w:spacing w:val="8"/>
          <w:sz w:val="21"/>
          <w:szCs w:val="21"/>
          <w:highlight w:val="none"/>
        </w:rPr>
        <w:t xml:space="preserve">月</w:t>
      </w:r>
      <w:r>
        <w:rPr>
          <w:rFonts w:hint="eastAsia" w:ascii="宋体" w:hAnsi="宋体" w:cs="宋体"/>
          <w:b/>
          <w:bCs/>
          <w:spacing w:val="8"/>
          <w:sz w:val="21"/>
          <w:szCs w:val="21"/>
          <w:highlight w:val="none"/>
          <w:lang w:val="en-US" w:eastAsia="zh-CN"/>
        </w:rPr>
        <w:t xml:space="preserve">27</w:t>
      </w:r>
      <w:r>
        <w:rPr>
          <w:rFonts w:hint="eastAsia" w:ascii="宋体" w:hAnsi="宋体" w:eastAsia="宋体" w:cs="宋体"/>
          <w:b/>
          <w:bCs/>
          <w:spacing w:val="8"/>
          <w:sz w:val="21"/>
          <w:szCs w:val="21"/>
          <w:highlight w:val="none"/>
        </w:rPr>
        <w:t xml:space="preserve">日</w:t>
      </w:r>
      <w:r>
        <w:rPr>
          <w:rFonts w:hint="eastAsia" w:ascii="宋体" w:hAnsi="宋体" w:cs="宋体"/>
          <w:b/>
          <w:bCs/>
          <w:sz w:val="21"/>
          <w:szCs w:val="21"/>
          <w:highlight w:val="none"/>
          <w:lang w:val="en-US" w:eastAsia="zh-CN"/>
        </w:rPr>
        <w:t xml:space="preserve">9</w:t>
      </w:r>
      <w:r>
        <w:rPr>
          <w:rFonts w:hint="eastAsia" w:ascii="宋体" w:hAnsi="宋体" w:eastAsia="宋体" w:cs="宋体"/>
          <w:b/>
          <w:bCs/>
          <w:spacing w:val="8"/>
          <w:sz w:val="21"/>
          <w:szCs w:val="21"/>
          <w:highlight w:val="none"/>
        </w:rPr>
        <w:t xml:space="preserve">点</w:t>
      </w:r>
      <w:r>
        <w:rPr>
          <w:rFonts w:hint="eastAsia" w:ascii="宋体" w:hAnsi="宋体" w:cs="宋体"/>
          <w:b/>
          <w:bCs/>
          <w:sz w:val="21"/>
          <w:szCs w:val="21"/>
          <w:highlight w:val="none"/>
          <w:lang w:val="en-US" w:eastAsia="zh-CN"/>
        </w:rPr>
        <w:t xml:space="preserve">00</w:t>
      </w:r>
      <w:r>
        <w:rPr>
          <w:rFonts w:hint="eastAsia" w:ascii="宋体" w:hAnsi="宋体" w:eastAsia="宋体" w:cs="宋体"/>
          <w:b/>
          <w:bCs/>
          <w:spacing w:val="8"/>
          <w:sz w:val="21"/>
          <w:szCs w:val="21"/>
          <w:highlight w:val="none"/>
        </w:rPr>
        <w:t xml:space="preserve">分</w:t>
      </w:r>
      <w:r>
        <w:rPr>
          <w:rFonts w:hint="eastAsia" w:ascii="宋体" w:hAnsi="宋体" w:eastAsia="宋体" w:cs="宋体"/>
          <w:spacing w:val="8"/>
          <w:sz w:val="21"/>
          <w:szCs w:val="21"/>
          <w:highlight w:val="none"/>
        </w:rPr>
        <w:t xml:space="preserve">（北京时间）</w:t>
      </w:r>
      <w:r/>
    </w:p>
    <w:p>
      <w:pPr>
        <w:pStyle w:val="1082"/>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4.2地点：江苏省政府采购管理交易系统（苏采云）（以下简称“苏采云”）（网址：</w:t>
      </w:r>
      <w:r>
        <w:rPr>
          <w:rFonts w:hint="eastAsia" w:ascii="宋体" w:hAnsi="宋体" w:eastAsia="宋体" w:cs="宋体"/>
          <w:spacing w:val="15"/>
          <w:sz w:val="21"/>
          <w:szCs w:val="21"/>
          <w:highlight w:val="none"/>
          <w:shd w:val="clear" w:color="auto" w:fill="ffffff"/>
        </w:rPr>
        <w:fldChar w:fldCharType="begin"/>
      </w:r>
      <w:r>
        <w:rPr>
          <w:rFonts w:hint="eastAsia" w:ascii="宋体" w:hAnsi="宋体" w:eastAsia="宋体" w:cs="宋体"/>
          <w:spacing w:val="15"/>
          <w:sz w:val="21"/>
          <w:szCs w:val="21"/>
          <w:highlight w:val="none"/>
          <w:shd w:val="clear" w:color="auto" w:fill="ffffff"/>
        </w:rPr>
        <w:instrText xml:space="preserve"> HYPERLINK "http://jszfcg.jsczt.cn/）" </w:instrText>
      </w:r>
      <w:r>
        <w:rPr>
          <w:rFonts w:hint="eastAsia" w:ascii="宋体" w:hAnsi="宋体" w:eastAsia="宋体" w:cs="宋体"/>
          <w:spacing w:val="15"/>
          <w:sz w:val="21"/>
          <w:szCs w:val="21"/>
          <w:highlight w:val="none"/>
          <w:shd w:val="clear" w:color="auto" w:fill="ffffff"/>
        </w:rPr>
        <w:fldChar w:fldCharType="separate"/>
      </w:r>
      <w:r>
        <w:rPr>
          <w:rFonts w:hint="eastAsia" w:ascii="宋体" w:hAnsi="宋体" w:eastAsia="宋体" w:cs="宋体"/>
          <w:spacing w:val="15"/>
          <w:sz w:val="21"/>
          <w:szCs w:val="21"/>
          <w:highlight w:val="none"/>
          <w:shd w:val="clear" w:color="auto" w:fill="ffffff"/>
        </w:rPr>
        <w:t xml:space="preserve">https</w:t>
      </w:r>
      <w:r>
        <w:rPr>
          <w:rFonts w:hint="eastAsia" w:cs="宋体"/>
          <w:spacing w:val="15"/>
          <w:sz w:val="21"/>
          <w:szCs w:val="21"/>
          <w:highlight w:val="none"/>
          <w:shd w:val="clear" w:color="auto" w:fill="ffffff"/>
          <w:lang w:eastAsia="zh-CN"/>
        </w:rPr>
        <w:t xml:space="preserve">：</w:t>
      </w:r>
      <w:r>
        <w:rPr>
          <w:rFonts w:hint="eastAsia" w:ascii="宋体" w:hAnsi="宋体" w:eastAsia="宋体" w:cs="宋体"/>
          <w:spacing w:val="15"/>
          <w:sz w:val="21"/>
          <w:szCs w:val="21"/>
          <w:highlight w:val="none"/>
          <w:shd w:val="clear" w:color="auto" w:fill="ffffff"/>
        </w:rPr>
        <w:t xml:space="preserve">//jszfcg.jsczt.cn）</w:t>
      </w:r>
      <w:r>
        <w:rPr>
          <w:rFonts w:hint="eastAsia" w:ascii="宋体" w:hAnsi="宋体" w:eastAsia="宋体" w:cs="宋体"/>
          <w:spacing w:val="15"/>
          <w:sz w:val="21"/>
          <w:szCs w:val="21"/>
          <w:highlight w:val="none"/>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自本公告发布之日起5个工作日。</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六、其他补充事宜</w:t>
      </w:r>
      <w:r/>
    </w:p>
    <w:p>
      <w:pPr>
        <w:ind w:firstLine="424"/>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6.1本项目在</w:t>
      </w:r>
      <w:r>
        <w:rPr>
          <w:rFonts w:hint="eastAsia" w:ascii="宋体" w:hAnsi="宋体" w:eastAsia="宋体" w:cs="宋体"/>
          <w:b/>
          <w:sz w:val="21"/>
          <w:szCs w:val="21"/>
          <w:highlight w:val="none"/>
          <w:u w:val="single"/>
        </w:rPr>
        <w:t xml:space="preserve">江苏政府采购网、中国政府采购网</w:t>
      </w:r>
      <w:r>
        <w:rPr>
          <w:rFonts w:hint="eastAsia" w:ascii="宋体" w:hAnsi="宋体" w:eastAsia="宋体" w:cs="宋体"/>
          <w:bCs/>
          <w:sz w:val="21"/>
          <w:szCs w:val="21"/>
          <w:highlight w:val="none"/>
          <w:lang w:val="zh-CN"/>
        </w:rPr>
        <w:t xml:space="preserve">发布公告；</w:t>
      </w:r>
      <w:r>
        <w:rPr>
          <w:rFonts w:hint="eastAsia" w:ascii="宋体" w:hAnsi="宋体" w:eastAsia="宋体" w:cs="宋体"/>
          <w:color w:val="auto"/>
          <w:sz w:val="21"/>
          <w:szCs w:val="21"/>
          <w:highlight w:val="none"/>
        </w:rPr>
        <w:t xml:space="preserve">若有关本次采购存在变动或修改，敬请各供应商及时关注</w:t>
      </w:r>
      <w:r>
        <w:rPr>
          <w:rFonts w:hint="eastAsia" w:ascii="宋体" w:hAnsi="宋体" w:eastAsia="宋体" w:cs="宋体"/>
          <w:bCs/>
          <w:sz w:val="21"/>
          <w:szCs w:val="21"/>
          <w:highlight w:val="none"/>
          <w:lang w:val="zh-CN"/>
        </w:rPr>
        <w:t xml:space="preserve">。</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6.2勘察现场或答疑地点：</w:t>
      </w:r>
      <w:r>
        <w:rPr>
          <w:rFonts w:ascii="宋体" w:hAnsi="宋体" w:eastAsia="宋体" w:cs="宋体"/>
          <w:color w:val="000000"/>
          <w:sz w:val="21"/>
          <w:szCs w:val="21"/>
          <w:highlight w:val="none"/>
        </w:rPr>
        <w:t xml:space="preserve">本项目不组织集体踏勘，各供应商</w:t>
      </w:r>
      <w:r>
        <w:rPr>
          <w:rFonts w:hint="eastAsia" w:ascii="宋体" w:hAnsi="宋体" w:eastAsia="宋体" w:cs="宋体"/>
          <w:color w:val="000000"/>
          <w:sz w:val="21"/>
          <w:szCs w:val="21"/>
          <w:highlight w:val="none"/>
          <w:lang w:val="en-US" w:eastAsia="zh-CN"/>
        </w:rPr>
        <w:t xml:space="preserve">可</w:t>
      </w:r>
      <w:r>
        <w:rPr>
          <w:rFonts w:ascii="宋体" w:hAnsi="宋体" w:eastAsia="宋体" w:cs="宋体"/>
          <w:color w:val="000000"/>
          <w:sz w:val="21"/>
          <w:szCs w:val="21"/>
          <w:highlight w:val="none"/>
        </w:rPr>
        <w:t xml:space="preserve">自行踏勘。供应商应认真踏勘项目现场，熟悉周围环境，了解一切可能影响供货、投标报价的因素，且供应商应对自行获得的资料、信息的正确性负全部责任，因此所需费用自行承担。一旦供应商中标，中标人不得以不完全了解现场为由，而提出额外的赔偿、补偿、增加费用和延长合同履行期限等要求，对此采购人可不予采纳</w:t>
      </w:r>
      <w:r>
        <w:rPr>
          <w:rFonts w:hint="eastAsia" w:ascii="宋体" w:hAnsi="宋体" w:eastAsia="宋体" w:cs="宋体"/>
          <w:spacing w:val="15"/>
          <w:sz w:val="21"/>
          <w:szCs w:val="21"/>
          <w:highlight w:val="none"/>
          <w:shd w:val="clear" w:color="auto" w:fill="ffffff"/>
          <w:lang w:val="en-US" w:eastAsia="zh-CN" w:bidi="ar-SA"/>
        </w:rPr>
        <w:t xml:space="preserve">。</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6.3获取招标文件方式补充：本项目采用网上注册登记方式。</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①潜在供应商访问电子招标响应交易平台的网络地址和方法：</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②潜在供应商访问“苏采云”系统的网络地址和方法：“苏采云”系统的网址：http：//jszfcg.jsczt.cn/。</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③“CA数字证书”的获取：</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⑤采购人或采购代理机构将数据电文形式的采购文件加载至“苏采云”系统，供潜在供应商下载或者查阅。</w:t>
      </w:r>
      <w:r/>
    </w:p>
    <w:p>
      <w:pPr>
        <w:ind w:firstLine="484"/>
        <w:spacing w:line="360" w:lineRule="auto"/>
        <w:rPr>
          <w:rFonts w:hint="eastAsia" w:ascii="宋体" w:hAnsi="宋体" w:eastAsia="宋体" w:cs="宋体"/>
          <w:spacing w:val="15"/>
          <w:sz w:val="21"/>
          <w:szCs w:val="21"/>
          <w:highlight w:val="none"/>
          <w:shd w:val="clear" w:color="auto" w:fill="ffffff"/>
          <w:lang w:val="en-US" w:eastAsia="zh-CN" w:bidi="ar-SA"/>
        </w:rPr>
      </w:pPr>
      <w:r>
        <w:rPr>
          <w:rFonts w:hint="eastAsia" w:ascii="宋体" w:hAnsi="宋体" w:eastAsia="宋体" w:cs="宋体"/>
          <w:spacing w:val="15"/>
          <w:sz w:val="21"/>
          <w:szCs w:val="21"/>
          <w:highlight w:val="none"/>
          <w:shd w:val="clear" w:color="auto" w:fill="ffffff"/>
          <w:lang w:val="en-US" w:eastAsia="zh-CN" w:bidi="ar-SA"/>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1"/>
          <w:szCs w:val="21"/>
          <w:highlight w:val="none"/>
        </w:rPr>
      </w:pPr>
      <w:r>
        <w:rPr>
          <w:rFonts w:hint="eastAsia" w:ascii="宋体" w:hAnsi="宋体" w:eastAsia="宋体" w:cs="宋体"/>
          <w:b/>
          <w:spacing w:val="8"/>
          <w:sz w:val="21"/>
          <w:szCs w:val="21"/>
          <w:highlight w:val="none"/>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7.1采购人信息</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名称：南京工业职业技术大学 </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地址：南京市栖霞区仙林大学城羊山北路1号</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联系人：</w:t>
      </w:r>
      <w:r>
        <w:rPr>
          <w:rFonts w:hint="eastAsia" w:ascii="宋体" w:hAnsi="宋体" w:cs="宋体"/>
          <w:spacing w:val="8"/>
          <w:sz w:val="21"/>
          <w:szCs w:val="21"/>
          <w:highlight w:val="none"/>
          <w:lang w:val="en-US" w:eastAsia="zh-CN"/>
        </w:rPr>
        <w:t xml:space="preserve">汤</w:t>
      </w:r>
      <w:r>
        <w:rPr>
          <w:rFonts w:hint="eastAsia" w:ascii="宋体" w:hAnsi="宋体" w:eastAsia="宋体" w:cs="宋体"/>
          <w:spacing w:val="8"/>
          <w:sz w:val="21"/>
          <w:szCs w:val="21"/>
          <w:highlight w:val="none"/>
        </w:rPr>
        <w:t xml:space="preserve">老师</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lang w:val="zh-CN"/>
        </w:rPr>
        <w:t xml:space="preserve">联系电话：025-85864066</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7.2采购代理机构信息</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名 称：南京苏宁工程咨询有限公司</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地　址：南京市中山路99号1212室</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联系方式：聂丽丽 025-84205129</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7.3项目联系方式</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项目联系人：聂丽丽</w:t>
      </w:r>
      <w:r/>
    </w:p>
    <w:p>
      <w:pPr>
        <w:ind w:firstLine="424"/>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电　话：025-84205129</w:t>
      </w:r>
      <w:bookmarkEnd w:id="4"/>
      <w:r/>
      <w:bookmarkEnd w:id="9"/>
      <w:r/>
      <w:bookmarkEnd w:id="13"/>
      <w:r/>
      <w:r/>
    </w:p>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pStyle w:val="1041"/>
        <w:numPr>
          <w:ilvl w:val="0"/>
          <w:numId w:val="0"/>
        </w:numPr>
        <w:spacing w:before="0" w:after="0" w:line="240" w:lineRule="auto"/>
        <w:rPr>
          <w:rFonts w:hint="eastAsia" w:ascii="宋体" w:hAnsi="宋体" w:eastAsia="宋体" w:cs="宋体"/>
          <w:sz w:val="28"/>
          <w:szCs w:val="40"/>
          <w:highlight w:val="none"/>
        </w:rPr>
      </w:pPr>
      <w:r/>
      <w:bookmarkStart w:id="14" w:name="_Toc26745"/>
      <w:r>
        <w:rPr>
          <w:rFonts w:hint="eastAsia" w:ascii="宋体" w:hAnsi="宋体" w:eastAsia="宋体" w:cs="宋体"/>
          <w:sz w:val="28"/>
          <w:szCs w:val="40"/>
          <w:highlight w:val="none"/>
        </w:rPr>
        <w:t xml:space="preserve">第二章</w:t>
      </w:r>
      <w:bookmarkStart w:id="15" w:name="_Toc452625218"/>
      <w:r>
        <w:rPr>
          <w:rFonts w:hint="eastAsia" w:ascii="宋体" w:hAnsi="宋体" w:cs="宋体"/>
          <w:sz w:val="28"/>
          <w:szCs w:val="40"/>
          <w:highlight w:val="none"/>
          <w:lang w:val="en-US" w:eastAsia="zh-CN"/>
        </w:rPr>
        <w:t xml:space="preserve"> </w:t>
      </w:r>
      <w:r>
        <w:rPr>
          <w:rFonts w:hint="eastAsia" w:ascii="宋体" w:hAnsi="宋体" w:eastAsia="宋体" w:cs="宋体"/>
          <w:sz w:val="28"/>
          <w:szCs w:val="40"/>
          <w:highlight w:val="none"/>
        </w:rPr>
        <w:t xml:space="preserve"> 供应商须知</w:t>
      </w:r>
      <w:bookmarkEnd w:id="14"/>
      <w:r/>
      <w:bookmarkEnd w:id="15"/>
      <w:r/>
      <w:r/>
    </w:p>
    <w:p>
      <w:pPr>
        <w:ind w:firstLine="424"/>
        <w:spacing w:line="360" w:lineRule="auto"/>
        <w:shd w:val="clear" w:color="auto" w:fill="ffffff"/>
        <w:widowControl/>
        <w:rPr>
          <w:rFonts w:hint="eastAsia" w:ascii="宋体" w:hAnsi="宋体" w:eastAsia="宋体" w:cs="宋体"/>
          <w:szCs w:val="21"/>
          <w:highlight w:val="none"/>
        </w:rPr>
      </w:pPr>
      <w:r/>
      <w:bookmarkStart w:id="16" w:name="_Toc25340"/>
      <w:r/>
      <w:bookmarkStart w:id="17" w:name="_Toc481057145"/>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2.2“供应商（</w:t>
      </w:r>
      <w:r>
        <w:rPr>
          <w:rFonts w:hint="eastAsia" w:ascii="宋体" w:hAnsi="宋体" w:cs="宋体"/>
          <w:szCs w:val="21"/>
          <w:highlight w:val="none"/>
          <w:lang w:val="en-US" w:eastAsia="zh-CN"/>
        </w:rPr>
        <w:t xml:space="preserve">投标人</w:t>
      </w:r>
      <w:r>
        <w:rPr>
          <w:rFonts w:hint="eastAsia" w:ascii="宋体" w:hAnsi="宋体" w:eastAsia="宋体" w:cs="宋体"/>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3.7本国产品支持政策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3.8未按要求提供相关材料的，不享受相关政策。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4.1招标文件包括以下主要内容：采购公告；供应商须知；供应商应当提交的资格、资信证明文件；为</w:t>
      </w:r>
      <w:r>
        <w:rPr>
          <w:rFonts w:hint="eastAsia" w:ascii="宋体" w:hAnsi="宋体" w:eastAsia="宋体" w:cs="宋体"/>
          <w:szCs w:val="21"/>
          <w:highlight w:val="none"/>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6.2供应商所使用的计量单位应为国家法定计量单位。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6.3供应商应用人民币报价。投标产品如果是进口产品的，应提供人民币与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6.5</w:t>
      </w:r>
      <w:r>
        <w:rPr>
          <w:rFonts w:hint="eastAsia" w:ascii="宋体" w:hAnsi="宋体" w:eastAsia="宋体" w:cs="宋体"/>
          <w:szCs w:val="21"/>
          <w:highlight w:val="none"/>
        </w:rPr>
        <w:t xml:space="preserve">供应商根据招标文件载明的标的采购项目实际情况，拟在中标后将中标项目的非主体、非关键性工作交由他人完成的，应当在投标文件中载明。</w:t>
      </w:r>
      <w:r/>
    </w:p>
    <w:p>
      <w:pPr>
        <w:ind w:firstLine="412"/>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b/>
          <w:bCs/>
          <w:szCs w:val="21"/>
          <w:highlight w:val="none"/>
        </w:rPr>
        <w:t xml:space="preserve">7、联合体投标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9.1商务部分内容是证明供应商有资格参加投标和中标后有能力履行合同的文件，这些文件应能满足招标的要求，包括但不限于下列文件（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（1）-（4）所述材料不得有缺失或提供不全或不满足招标文件的实质性要求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（2）法定代表人授权书及委托代理人的身份证明文件的复印件</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（3）供应商资格资信证明文件：</w:t>
      </w:r>
      <w:r/>
    </w:p>
    <w:p>
      <w:pPr>
        <w:pStyle w:val="1196"/>
        <w:numPr>
          <w:ilvl w:val="1"/>
          <w:numId w:val="0"/>
        </w:numPr>
        <w:ind w:left="0" w:firstLine="367"/>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Cs/>
          <w:szCs w:val="21"/>
          <w:highlight w:val="none"/>
        </w:rPr>
        <w:t xml:space="preserve">第一章采购公告中 2.1《中华人民共和国政府采购法》规定的资格条件证明文件；</w:t>
      </w:r>
      <w:r/>
    </w:p>
    <w:p>
      <w:pPr>
        <w:pStyle w:val="1196"/>
        <w:numPr>
          <w:ilvl w:val="1"/>
          <w:numId w:val="0"/>
        </w:numPr>
        <w:ind w:left="0" w:firstLine="367"/>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Cs/>
          <w:szCs w:val="21"/>
          <w:highlight w:val="none"/>
        </w:rPr>
        <w:t xml:space="preserve">第一章采购公告中 2.2</w:t>
      </w:r>
      <w:r>
        <w:rPr>
          <w:rFonts w:hint="eastAsia" w:ascii="宋体" w:hAnsi="宋体" w:eastAsia="宋体" w:cs="宋体"/>
          <w:spacing w:val="8"/>
          <w:szCs w:val="21"/>
          <w:highlight w:val="none"/>
        </w:rPr>
        <w:t xml:space="preserve">落实政府采购政策需满足的资格要求</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如有要求</w:t>
      </w:r>
      <w:r>
        <w:rPr>
          <w:rFonts w:hint="eastAsia" w:ascii="宋体" w:hAnsi="宋体" w:cs="宋体"/>
          <w:spacing w:val="8"/>
          <w:sz w:val="21"/>
          <w:szCs w:val="21"/>
          <w:highlight w:val="none"/>
          <w:lang w:eastAsia="zh-CN"/>
        </w:rPr>
        <w:t xml:space="preserve">）</w:t>
      </w:r>
      <w:r>
        <w:rPr>
          <w:rFonts w:hint="eastAsia" w:ascii="宋体" w:hAnsi="宋体" w:eastAsia="宋体" w:cs="宋体"/>
          <w:spacing w:val="8"/>
          <w:szCs w:val="21"/>
          <w:highlight w:val="none"/>
        </w:rPr>
        <w:t xml:space="preserve">；</w:t>
      </w:r>
      <w:r/>
    </w:p>
    <w:p>
      <w:pPr>
        <w:pStyle w:val="1196"/>
        <w:numPr>
          <w:ilvl w:val="1"/>
          <w:numId w:val="0"/>
        </w:numPr>
        <w:ind w:left="0" w:firstLine="367"/>
        <w:spacing w:line="360" w:lineRule="auto"/>
        <w:tabs>
          <w:tab w:val="left" w:pos="840" w:leader="none"/>
        </w:tabs>
        <w:rPr>
          <w:rFonts w:hint="eastAsia" w:ascii="宋体" w:hAnsi="宋体" w:eastAsia="宋体" w:cs="宋体"/>
          <w:bCs/>
          <w:szCs w:val="21"/>
          <w:highlight w:val="none"/>
          <w:lang w:eastAsia="zh-CN"/>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Cs/>
          <w:szCs w:val="21"/>
          <w:highlight w:val="none"/>
        </w:rPr>
        <w:t xml:space="preserve">第一章采购公告中 2.3 采购人根据采购项目的特殊要求规定的特定条件证明文件</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如有要求</w:t>
      </w:r>
      <w:r>
        <w:rPr>
          <w:rFonts w:hint="eastAsia" w:ascii="宋体" w:hAnsi="宋体" w:cs="宋体"/>
          <w:spacing w:val="8"/>
          <w:sz w:val="21"/>
          <w:szCs w:val="21"/>
          <w:highlight w:val="none"/>
          <w:lang w:eastAsia="zh-CN"/>
        </w:rPr>
        <w:t xml:space="preserve">）</w:t>
      </w:r>
      <w:r>
        <w:rPr>
          <w:rFonts w:hint="eastAsia" w:ascii="宋体" w:hAnsi="宋体" w:cs="宋体"/>
          <w:bCs/>
          <w:szCs w:val="21"/>
          <w:highlight w:val="none"/>
          <w:lang w:eastAsia="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（4）开标一览表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（6）第三章评标标准中对应的所需证明材料；</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（7）其它。</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供应商提供的货物和服务是合格的、并符合招标文件要求的证明文件，以及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（2）《技术条款偏离表》；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（4）供应商拟投入本项目的设备、人员情况一览表；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（5）供应商认为需要提供的其他技术资料。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11.2报价应包含为履行本项目合同项下所有义务的全部含税费用（包括但不限于</w:t>
      </w:r>
      <w:r>
        <w:rPr>
          <w:rFonts w:hint="eastAsia" w:ascii="宋体" w:hAnsi="宋体" w:eastAsia="宋体" w:cs="宋体"/>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以</w:t>
      </w:r>
      <w:r>
        <w:rPr>
          <w:rFonts w:hint="eastAsia" w:ascii="宋体" w:hAnsi="宋体" w:eastAsia="宋体" w:cs="宋体"/>
          <w:szCs w:val="21"/>
          <w:highlight w:val="none"/>
        </w:rPr>
        <w:t xml:space="preserve">及供应商认为需要的其他费用等</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11.6本项目预算为：详见第一章。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其他部分由供应商根据编制投标文件需要提供的其他相关文件组成。</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b/>
          <w:bCs/>
          <w:szCs w:val="21"/>
          <w:highlight w:val="none"/>
        </w:rPr>
        <w:t xml:space="preserve">13、本项目无需缴纳投标保证金</w:t>
      </w:r>
      <w:r>
        <w:rPr>
          <w:rFonts w:hint="eastAsia" w:ascii="宋体" w:hAnsi="宋体" w:eastAsia="宋体" w:cs="宋体"/>
          <w:b/>
          <w:bCs/>
          <w:szCs w:val="21"/>
          <w:highlight w:val="none"/>
          <w:lang w:eastAsia="zh-CN"/>
        </w:rPr>
        <w:t xml:space="preserve">。</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16.2 招标代理服务费：</w:t>
      </w:r>
      <w:r>
        <w:rPr>
          <w:rFonts w:hint="eastAsia" w:ascii="宋体" w:hAnsi="宋体" w:eastAsia="宋体" w:cs="宋体"/>
          <w:szCs w:val="21"/>
          <w:highlight w:val="none"/>
        </w:rPr>
        <w:t xml:space="preserve">本次招标，每分包中标人参照《招标代理服务费管理暂行办法》（国家发展计划委员会计价格〔2002〕1980号）代理 </w:t>
      </w:r>
      <w:r>
        <w:rPr>
          <w:rFonts w:hint="eastAsia" w:ascii="宋体" w:hAnsi="宋体" w:eastAsia="宋体" w:cs="宋体"/>
          <w:szCs w:val="21"/>
          <w:highlight w:val="none"/>
          <w:u w:val="single"/>
        </w:rPr>
        <w:t xml:space="preserve"> 货物  </w:t>
      </w:r>
      <w:r>
        <w:rPr>
          <w:rFonts w:hint="eastAsia" w:ascii="宋体" w:hAnsi="宋体" w:eastAsia="宋体" w:cs="宋体"/>
          <w:szCs w:val="21"/>
          <w:highlight w:val="none"/>
        </w:rPr>
        <w:t xml:space="preserve">招标收费基准费率</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17.1</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应当按照《操作手册》规定，在</w:t>
      </w:r>
      <w:r>
        <w:rPr>
          <w:rFonts w:hint="eastAsia" w:ascii="宋体" w:hAnsi="宋体" w:cs="宋体"/>
          <w:b/>
          <w:bCs/>
          <w:szCs w:val="21"/>
          <w:highlight w:val="none"/>
          <w:lang w:eastAsia="zh-CN"/>
        </w:rPr>
        <w:t xml:space="preserve">采购公告</w:t>
      </w:r>
      <w:r>
        <w:rPr>
          <w:rFonts w:hint="eastAsia" w:ascii="宋体" w:hAnsi="宋体" w:eastAsia="宋体" w:cs="宋体"/>
          <w:b/>
          <w:bCs/>
          <w:szCs w:val="21"/>
          <w:highlight w:val="none"/>
        </w:rPr>
        <w:t xml:space="preserve">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18.1</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应充分考虑网络环境、网络带宽等因素可能对投标产生的影响，如因</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19.1</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在投标截止时间前，可以对所递交的投标文件进行补充、修改或者撤回，并书面通知采购人或者采购代理机构。补充、修改的内容应当按照招标文件要求签署、盖章后，作为投标文件的组成部分。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19.2 投标截止时间之后，投标文件不得撤回；如撤回，投标保证金不予退还</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如有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21.1代理机构在</w:t>
      </w:r>
      <w:r>
        <w:rPr>
          <w:rFonts w:hint="eastAsia" w:ascii="宋体" w:hAnsi="宋体" w:cs="宋体"/>
          <w:highlight w:val="none"/>
          <w:lang w:eastAsia="zh-CN"/>
        </w:rPr>
        <w:t xml:space="preserve">采购公告</w:t>
      </w:r>
      <w:r>
        <w:rPr>
          <w:rFonts w:hint="eastAsia" w:ascii="宋体" w:hAnsi="宋体" w:eastAsia="宋体" w:cs="宋体"/>
          <w:highlight w:val="none"/>
        </w:rPr>
        <w:t xml:space="preserve">中规定的时间和地点组织公开开标。</w:t>
      </w:r>
      <w:r>
        <w:rPr>
          <w:rFonts w:hint="eastAsia" w:ascii="宋体" w:hAnsi="宋体" w:cs="宋体"/>
          <w:highlight w:val="none"/>
          <w:lang w:eastAsia="zh-CN"/>
        </w:rPr>
        <w:t xml:space="preserve">供应商</w:t>
      </w:r>
      <w:r>
        <w:rPr>
          <w:rFonts w:hint="eastAsia" w:ascii="宋体" w:hAnsi="宋体" w:eastAsia="宋体" w:cs="宋体"/>
          <w:highlight w:val="none"/>
        </w:rPr>
        <w:t xml:space="preserve">按照《操作手册》规定参加开标活动，并在“苏采云”系统规定的时间内对投标文件进行解密。“苏采云”系统公布各</w:t>
      </w:r>
      <w:r>
        <w:rPr>
          <w:rFonts w:hint="eastAsia" w:ascii="宋体" w:hAnsi="宋体" w:cs="宋体"/>
          <w:highlight w:val="none"/>
          <w:lang w:eastAsia="zh-CN"/>
        </w:rPr>
        <w:t xml:space="preserve">供应商</w:t>
      </w:r>
      <w:r>
        <w:rPr>
          <w:rFonts w:hint="eastAsia" w:ascii="宋体" w:hAnsi="宋体" w:eastAsia="宋体" w:cs="宋体"/>
          <w:highlight w:val="none"/>
        </w:rPr>
        <w:t xml:space="preserve">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w:t>
      </w:r>
      <w:r>
        <w:rPr>
          <w:rFonts w:hint="eastAsia" w:ascii="宋体" w:hAnsi="宋体" w:cs="宋体"/>
          <w:highlight w:val="none"/>
          <w:lang w:eastAsia="zh-CN"/>
        </w:rPr>
        <w:t xml:space="preserve">供应商</w:t>
      </w:r>
      <w:r>
        <w:rPr>
          <w:rFonts w:hint="eastAsia" w:ascii="宋体" w:hAnsi="宋体" w:eastAsia="宋体" w:cs="宋体"/>
          <w:highlight w:val="none"/>
        </w:rPr>
        <w:t xml:space="preserve">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w:t>
      </w:r>
      <w:r>
        <w:rPr>
          <w:rFonts w:hint="eastAsia" w:ascii="宋体" w:hAnsi="宋体" w:cs="宋体"/>
          <w:highlight w:val="none"/>
          <w:lang w:eastAsia="zh-CN"/>
        </w:rPr>
        <w:t xml:space="preserve">供应商</w:t>
      </w:r>
      <w:r>
        <w:rPr>
          <w:rFonts w:hint="eastAsia" w:ascii="宋体" w:hAnsi="宋体" w:eastAsia="宋体" w:cs="宋体"/>
          <w:highlight w:val="none"/>
        </w:rPr>
        <w:t xml:space="preserve">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w:t>
      </w:r>
      <w:r>
        <w:rPr>
          <w:rFonts w:hint="eastAsia" w:ascii="宋体" w:hAnsi="宋体" w:cs="宋体"/>
          <w:highlight w:val="none"/>
          <w:lang w:eastAsia="zh-CN"/>
        </w:rPr>
        <w:t xml:space="preserve">供应商</w:t>
      </w:r>
      <w:r>
        <w:rPr>
          <w:rFonts w:hint="eastAsia" w:ascii="宋体" w:hAnsi="宋体" w:eastAsia="宋体" w:cs="宋体"/>
          <w:highlight w:val="none"/>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w:t>
      </w:r>
      <w:r>
        <w:rPr>
          <w:rFonts w:hint="eastAsia" w:ascii="宋体" w:hAnsi="宋体" w:cs="宋体"/>
          <w:highlight w:val="none"/>
          <w:lang w:eastAsia="zh-CN"/>
        </w:rPr>
        <w:t xml:space="preserve">供应商</w:t>
      </w:r>
      <w:r>
        <w:rPr>
          <w:rFonts w:hint="eastAsia" w:ascii="宋体" w:hAnsi="宋体" w:eastAsia="宋体" w:cs="宋体"/>
          <w:highlight w:val="none"/>
        </w:rPr>
        <w:t xml:space="preserve">不足3家或者通过资格审查或符合性审查的</w:t>
      </w:r>
      <w:r>
        <w:rPr>
          <w:rFonts w:hint="eastAsia" w:ascii="宋体" w:hAnsi="宋体" w:cs="宋体"/>
          <w:highlight w:val="none"/>
          <w:lang w:eastAsia="zh-CN"/>
        </w:rPr>
        <w:t xml:space="preserve">供应商</w:t>
      </w:r>
      <w:r>
        <w:rPr>
          <w:rFonts w:hint="eastAsia" w:ascii="宋体" w:hAnsi="宋体" w:eastAsia="宋体" w:cs="宋体"/>
          <w:highlight w:val="none"/>
        </w:rPr>
        <w:t xml:space="preserve">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（二）要求</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对投标文件有关事项作出澄清或者说明；</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 评标程序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22.2.1投标文件的资格性检查。</w:t>
      </w:r>
      <w:r>
        <w:rPr>
          <w:rFonts w:hint="eastAsia" w:ascii="宋体" w:hAnsi="宋体" w:eastAsia="宋体" w:cs="宋体"/>
          <w:szCs w:val="21"/>
          <w:highlight w:val="none"/>
        </w:rPr>
        <w:t xml:space="preserve">公开招标采购项目开标结束后，采购人或者采购代理机构应当依法对</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的资格进行审查。合格</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不足3家的，不得评标。</w:t>
      </w:r>
      <w:r/>
    </w:p>
    <w:p>
      <w:pPr>
        <w:pStyle w:val="1086"/>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22.2.1.1投标文件有下列情况之一的，在资格审查时按照无效投标处理</w:t>
      </w:r>
      <w:r>
        <w:rPr>
          <w:rFonts w:hint="eastAsia" w:ascii="宋体" w:hAnsi="宋体" w:eastAsia="宋体" w:cs="宋体"/>
          <w:sz w:val="21"/>
          <w:szCs w:val="21"/>
          <w:highlight w:val="none"/>
          <w:lang w:val="en-US" w:eastAsia="zh-CN"/>
        </w:rPr>
        <w:t xml:space="preserve">：</w:t>
      </w:r>
      <w:r/>
    </w:p>
    <w:p>
      <w:pPr>
        <w:pStyle w:val="1086"/>
        <w:jc w:val="both"/>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（1）不具备招标文件中规定的资格条件的；</w:t>
      </w:r>
      <w:r/>
    </w:p>
    <w:p>
      <w:pPr>
        <w:pStyle w:val="1086"/>
        <w:jc w:val="both"/>
        <w:spacing w:line="360" w:lineRule="auto"/>
        <w:rPr>
          <w:rFonts w:hint="default" w:eastAsia="宋体"/>
          <w:b w:val="0"/>
          <w:bCs w:val="0"/>
          <w:highlight w:val="none"/>
          <w:lang w:val="en-US" w:eastAsia="zh-CN"/>
        </w:rPr>
      </w:pPr>
      <w:r>
        <w:rPr>
          <w:rFonts w:hint="eastAsia" w:ascii="宋体" w:hAnsi="宋体" w:eastAsia="宋体" w:cs="宋体"/>
          <w:b w:val="0"/>
          <w:bCs w:val="0"/>
          <w:sz w:val="21"/>
          <w:szCs w:val="21"/>
          <w:highlight w:val="none"/>
          <w:lang w:val="en-US" w:eastAsia="zh-CN"/>
        </w:rPr>
        <w:t xml:space="preserve">（2）供应商被“信用中国”网站（www.creditchina.gov.cn）、“中国政府采购网”（www.ccgp.gov.cn）列入失信被执行人、重大税收违法失信主体、政府采购严重违法失信行为记录名单的。</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22.2.2投标文件的符合性审查。评标委员会对通过资格性检查的</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的投标文件进行符合性审查，以确定其是否满足招标文件的实质性要求。投标文件有下列情况之一的，在符合性检查时按照无效投标处理：</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（1）同一</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提交两个（含两个）以上不同的投标报价的；</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（2）投标文件未按照招标文件要求加盖电子公章的；</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（3）报价超过招标文件中规定的预算金额或者最高限价的；</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（4）投标文件含有采购人不能接受的附加条件的；</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（5）投标文件内容不全或不符合招标文件中规定的其他实质性要求的；</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（6）不同</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的投标文件由同一单位或者个人编制；</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不同</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委托同一单位或者个人办理投标事宜；</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）不同</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的投标文件载明的项目管理成员为同一人；</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）不同</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的投标文件异常一致或者投标报价呈规律性差异；</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）属于投标邀请中拒绝参加本次采购活动供应商的；</w:t>
      </w:r>
      <w:r/>
    </w:p>
    <w:p>
      <w:pPr>
        <w:ind w:firstLine="422"/>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（11）启动异常低价审查程序后，且供应商不能在规定的回复时间内通过“苏采云”系统作出必要的说明证明其报价合理性的；</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22.2.2.1实质性要求是指本招标文件中用带星号（“</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t xml:space="preserve">”）</w:t>
      </w:r>
      <w:r>
        <w:rPr>
          <w:rFonts w:hint="eastAsia" w:ascii="宋体" w:hAnsi="宋体" w:cs="宋体"/>
          <w:b/>
          <w:bCs/>
          <w:szCs w:val="21"/>
          <w:highlight w:val="none"/>
          <w:lang w:val="en-US" w:eastAsia="zh-CN"/>
        </w:rPr>
        <w:t xml:space="preserve">或</w:t>
      </w:r>
      <w:r>
        <w:rPr>
          <w:rFonts w:hint="eastAsia" w:ascii="宋体" w:hAnsi="宋体" w:eastAsia="宋体" w:cs="宋体"/>
          <w:b/>
          <w:bCs/>
          <w:szCs w:val="21"/>
          <w:highlight w:val="none"/>
        </w:rPr>
        <w:t xml:space="preserve">其他文字说明的商务和技术要求。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22.2.2.2未通过资格审查或符合性审查的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，代理机构将通过“苏采云”系统告知其具体原因，评标结束后不再接受有关询问。</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或者对招标文件作实质性响应的</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不足三家的；</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的报价均超过了采购预算，采购人不能支付的；</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22.2.3澄清有关问题。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22.2.3.1评标期间，</w:t>
      </w:r>
      <w:r>
        <w:rPr>
          <w:rFonts w:hint="eastAsia" w:ascii="宋体" w:hAnsi="宋体" w:cs="宋体"/>
          <w:szCs w:val="21"/>
          <w:highlight w:val="none"/>
          <w:lang w:eastAsia="zh-CN"/>
        </w:rPr>
        <w:t xml:space="preserve">评标委员会</w:t>
      </w:r>
      <w:r>
        <w:rPr>
          <w:rFonts w:hint="eastAsia" w:ascii="宋体" w:hAnsi="宋体" w:eastAsia="宋体" w:cs="宋体"/>
          <w:szCs w:val="21"/>
          <w:highlight w:val="none"/>
        </w:rPr>
        <w:t xml:space="preserve">对投标文件中含义不明确、同类问题表述不一致或者有明显文字和计算错误的内容，有权要求</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作出必要的澄清、说明或者补正。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的澄清、说明或者补正不得超出投标文件的范围或者改变投标文件的实质性内容。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eastAsia="zh-CN"/>
        </w:rPr>
        <w:t xml:space="preserve">评标委员会</w:t>
      </w:r>
      <w:r>
        <w:rPr>
          <w:rFonts w:hint="eastAsia" w:ascii="宋体" w:hAnsi="宋体" w:eastAsia="宋体" w:cs="宋体"/>
          <w:szCs w:val="21"/>
          <w:highlight w:val="none"/>
        </w:rPr>
        <w:t xml:space="preserve">并非对每个</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都做澄清要求。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22.2.3.2需要供应商进行澄清、说明和补正的，</w:t>
      </w:r>
      <w:r>
        <w:rPr>
          <w:rFonts w:hint="eastAsia" w:ascii="宋体" w:hAnsi="宋体" w:cs="宋体"/>
          <w:szCs w:val="21"/>
          <w:highlight w:val="none"/>
          <w:lang w:eastAsia="zh-CN"/>
        </w:rPr>
        <w:t xml:space="preserve">评标委员会</w:t>
      </w:r>
      <w:r>
        <w:rPr>
          <w:rFonts w:hint="eastAsia" w:ascii="宋体" w:hAnsi="宋体" w:eastAsia="宋体" w:cs="宋体"/>
          <w:szCs w:val="21"/>
          <w:highlight w:val="none"/>
        </w:rPr>
        <w:t xml:space="preserve">将通过苏采云系统向</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发出《澄清要求函》，接到《澄清要求函》的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22.2.3.3接到</w:t>
      </w:r>
      <w:r>
        <w:rPr>
          <w:rFonts w:hint="eastAsia" w:ascii="宋体" w:hAnsi="宋体" w:cs="宋体"/>
          <w:szCs w:val="21"/>
          <w:highlight w:val="none"/>
          <w:lang w:eastAsia="zh-CN"/>
        </w:rPr>
        <w:t xml:space="preserve">评标委员会</w:t>
      </w:r>
      <w:r>
        <w:rPr>
          <w:rFonts w:hint="eastAsia" w:ascii="宋体" w:hAnsi="宋体" w:eastAsia="宋体" w:cs="宋体"/>
          <w:szCs w:val="21"/>
          <w:highlight w:val="none"/>
        </w:rPr>
        <w:t xml:space="preserve">澄清、说明和补正要求的，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如未按规定作出澄清、说明和补正，其风险由</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eastAsia="zh-CN"/>
        </w:rPr>
        <w:t xml:space="preserve">评标委员会</w:t>
      </w:r>
      <w:r>
        <w:rPr>
          <w:rFonts w:hint="eastAsia" w:ascii="宋体" w:hAnsi="宋体" w:eastAsia="宋体" w:cs="宋体"/>
          <w:szCs w:val="21"/>
          <w:highlight w:val="none"/>
        </w:rPr>
        <w:t xml:space="preserve">将按上述修正错误的方法调整投标文件中的投标报价，同时出现两种以上不一致的，按照前款规定的顺序修正，并由评标委员会通过“苏采云”系统告知</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，调整后的价格对</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具有约束力。如果</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不接受修正后的价格，则其投标将被拒绝。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.2.3.5</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在开、评标全过程中应保持通讯畅通，及时登录苏采云系统查阅、答复相关信息，并安排专人与代理机构及</w:t>
      </w:r>
      <w:r>
        <w:rPr>
          <w:rFonts w:hint="eastAsia" w:ascii="宋体" w:hAnsi="宋体" w:cs="宋体"/>
          <w:szCs w:val="21"/>
          <w:highlight w:val="none"/>
          <w:lang w:eastAsia="zh-CN"/>
        </w:rPr>
        <w:t xml:space="preserve">评标委员会</w:t>
      </w:r>
      <w:r>
        <w:rPr>
          <w:rFonts w:hint="eastAsia" w:ascii="宋体" w:hAnsi="宋体" w:eastAsia="宋体" w:cs="宋体"/>
          <w:szCs w:val="21"/>
          <w:highlight w:val="none"/>
        </w:rPr>
        <w:t xml:space="preserve">联系。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22.2.3.6评标委员会认为</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的报价明显低于其他通过符合性审查</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的报价，有可能影响产品质量或者不能诚信履约的，将要求其在评标现场合理的时间内提供书面说明，必要时提交相关证明材料；</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不能证明其报价合理性的，评标委员会将其作为无效投标处理。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
          <w:bCs/>
          <w:highlight w:val="none"/>
        </w:rPr>
      </w:pPr>
      <w:r>
        <w:rPr>
          <w:rFonts w:hint="eastAsia" w:ascii="宋体" w:hAnsi="宋体" w:eastAsia="宋体" w:cs="宋体"/>
          <w:b/>
          <w:bCs/>
          <w:szCs w:val="21"/>
          <w:highlight w:val="none"/>
        </w:rPr>
        <w:t xml:space="preserve">22.2.5</w:t>
      </w:r>
      <w:r>
        <w:rPr>
          <w:rFonts w:hint="eastAsia" w:ascii="宋体" w:hAnsi="宋体" w:eastAsia="宋体" w:cs="宋体"/>
          <w:b/>
          <w:bCs/>
          <w:highlight w:val="none"/>
        </w:rPr>
        <w:t xml:space="preserve">相同品牌产品的投标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22.3评标方法和标准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为中标候选人的评标方法。采用最低评标价法评标时，除了算术修正和落实政府采购政策需进行的价格扣除外，不对</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的投标价格进行任何调整。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为中标候选人的评标方法。</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的投标文件进行评价，并汇总每个</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的得分。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（1）投标报价低于全部通过符合性审查</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投标报价平均值</w:t>
      </w:r>
      <w:r>
        <w:rPr>
          <w:rFonts w:hint="eastAsia" w:ascii="宋体" w:hAnsi="宋体" w:cs="宋体"/>
          <w:b/>
          <w:bCs/>
          <w:szCs w:val="21"/>
          <w:highlight w:val="none"/>
          <w:lang w:val="en-US" w:eastAsia="zh-CN"/>
        </w:rPr>
        <w:t xml:space="preserve">65</w:t>
      </w:r>
      <w:r>
        <w:rPr>
          <w:rFonts w:hint="eastAsia" w:ascii="宋体" w:hAnsi="宋体" w:eastAsia="宋体" w:cs="宋体"/>
          <w:b/>
          <w:bCs/>
          <w:szCs w:val="21"/>
          <w:highlight w:val="none"/>
        </w:rPr>
        <w:t xml:space="preserve">%的，即投标报价&lt;全部通过符合性审查</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投标报价平均值×</w:t>
      </w:r>
      <w:r>
        <w:rPr>
          <w:rFonts w:hint="eastAsia" w:ascii="宋体" w:hAnsi="宋体" w:cs="宋体"/>
          <w:b/>
          <w:bCs/>
          <w:szCs w:val="21"/>
          <w:highlight w:val="none"/>
          <w:lang w:val="en-US" w:eastAsia="zh-CN"/>
        </w:rPr>
        <w:t xml:space="preserve">65</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（2）投标报价低于通过符合性审查的次低报价</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投标报价</w:t>
      </w:r>
      <w:r>
        <w:rPr>
          <w:rFonts w:hint="eastAsia" w:ascii="宋体" w:hAnsi="宋体" w:cs="宋体"/>
          <w:b/>
          <w:bCs/>
          <w:szCs w:val="21"/>
          <w:highlight w:val="none"/>
          <w:lang w:val="en-US" w:eastAsia="zh-CN"/>
        </w:rPr>
        <w:t xml:space="preserve">65</w:t>
      </w:r>
      <w:r>
        <w:rPr>
          <w:rFonts w:hint="eastAsia" w:ascii="宋体" w:hAnsi="宋体" w:eastAsia="宋体" w:cs="宋体"/>
          <w:b/>
          <w:bCs/>
          <w:szCs w:val="21"/>
          <w:highlight w:val="none"/>
        </w:rPr>
        <w:t xml:space="preserve">%的，即投标报价&lt;通过符合性审查的次低报价</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投标报价×</w:t>
      </w:r>
      <w:r>
        <w:rPr>
          <w:rFonts w:hint="eastAsia" w:ascii="宋体" w:hAnsi="宋体" w:cs="宋体"/>
          <w:b/>
          <w:bCs/>
          <w:szCs w:val="21"/>
          <w:highlight w:val="none"/>
          <w:lang w:val="en-US" w:eastAsia="zh-CN"/>
        </w:rPr>
        <w:t xml:space="preserve">65</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（3）投标报价低于本项目最高限价</w:t>
      </w:r>
      <w:r>
        <w:rPr>
          <w:rFonts w:hint="eastAsia" w:ascii="宋体" w:hAnsi="宋体" w:cs="宋体"/>
          <w:b/>
          <w:bCs/>
          <w:szCs w:val="21"/>
          <w:highlight w:val="none"/>
          <w:lang w:val="en-US" w:eastAsia="zh-CN"/>
        </w:rPr>
        <w:t xml:space="preserve">65</w:t>
      </w:r>
      <w:r>
        <w:rPr>
          <w:rFonts w:hint="eastAsia" w:ascii="宋体" w:hAnsi="宋体" w:eastAsia="宋体" w:cs="宋体"/>
          <w:b/>
          <w:bCs/>
          <w:szCs w:val="21"/>
          <w:highlight w:val="none"/>
        </w:rPr>
        <w:t xml:space="preserve">%的，即投标报价&lt;本项目最高限价×</w:t>
      </w:r>
      <w:r>
        <w:rPr>
          <w:rFonts w:hint="eastAsia" w:ascii="宋体" w:hAnsi="宋体" w:cs="宋体"/>
          <w:b/>
          <w:bCs/>
          <w:szCs w:val="21"/>
          <w:highlight w:val="none"/>
          <w:lang w:val="en-US" w:eastAsia="zh-CN"/>
        </w:rPr>
        <w:t xml:space="preserve">65</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（4）评标委员会基于专业判断，认为</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22.4.2 评标委员会启动异常低价投标审查后，属于22.4.1条第（1）项至第（4）项情形的，应当要求相关</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在评标现场合理的时间内对投标价格作出解释，提供项目具体成本测算等与报价合理性相关的书面说明及必要的证明材料，包括但不限于原材料成本、人工成本、制造费用等，给予相关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22.4.3 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22.4.4 异常低价投标审查的启动原因、审查意见和审查结果应当在评标报告中记录，并随</w:t>
      </w:r>
      <w:r>
        <w:rPr>
          <w:rFonts w:hint="eastAsia" w:ascii="宋体" w:hAnsi="宋体" w:cs="宋体"/>
          <w:b/>
          <w:bCs/>
          <w:szCs w:val="21"/>
          <w:highlight w:val="none"/>
          <w:lang w:eastAsia="zh-CN"/>
        </w:rPr>
        <w:t xml:space="preserve">供应商</w:t>
      </w:r>
      <w:r>
        <w:rPr>
          <w:rFonts w:hint="eastAsia" w:ascii="宋体" w:hAnsi="宋体" w:eastAsia="宋体" w:cs="宋体"/>
          <w:b/>
          <w:bCs/>
          <w:szCs w:val="21"/>
          <w:highlight w:val="none"/>
        </w:rPr>
        <w:t xml:space="preserve">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23、确定中标人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23.1采用最低评标价法的，评标结果按投标报价由低到高顺序排列。投标报价相同的并列。投标文件满足招标文件全部实质性要求且投标报价最低的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23.4中标通知书对采购人和中标人具有同等法律效力。中标通知书发出后，采购人不得违法改变中标结果，中标人无正当理由不得放弃中标。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w:t>
      </w:r>
      <w:r>
        <w:rPr>
          <w:rFonts w:hint="eastAsia" w:ascii="宋体" w:hAnsi="宋体" w:eastAsia="宋体" w:cs="宋体"/>
          <w:bCs/>
          <w:color w:val="auto"/>
          <w:sz w:val="21"/>
          <w:szCs w:val="21"/>
          <w:highlight w:val="none"/>
        </w:rPr>
        <w:t xml:space="preserve">代理机构和评标委员会对未中标的</w:t>
      </w:r>
      <w:r>
        <w:rPr>
          <w:rFonts w:hint="eastAsia"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不作未中标原因的解释。</w:t>
      </w:r>
      <w:r>
        <w:rPr>
          <w:rFonts w:hint="eastAsia" w:ascii="宋体" w:hAnsi="宋体" w:eastAsia="宋体" w:cs="宋体"/>
          <w:szCs w:val="21"/>
          <w:highlight w:val="none"/>
        </w:rPr>
        <w:t xml:space="preserve">所有投标文件不论中标与否，均不退回。</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及与评标无关的其他人员透露。</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27.5</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不得虚假质疑和恶意质疑，并对质疑内容的真实性承担责任。</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27.6采购代理机构在收到</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和其他有关</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，答复的内容不涉及商业秘密。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spacing w:line="360" w:lineRule="auto"/>
        <w:rPr>
          <w:rFonts w:hint="eastAsia" w:ascii="宋体" w:hAnsi="宋体" w:eastAsia="宋体" w:cs="宋体"/>
          <w:highlight w:val="none"/>
        </w:rPr>
      </w:pPr>
      <w:r>
        <w:rPr>
          <w:rFonts w:hint="eastAsia" w:ascii="宋体" w:hAnsi="宋体" w:eastAsia="宋体" w:cs="宋体"/>
          <w:highlight w:val="none"/>
        </w:rPr>
        <w:br w:type="page" w:clear="all"/>
      </w:r>
      <w:bookmarkEnd w:id="16"/>
      <w:r/>
      <w:bookmarkEnd w:id="17"/>
      <w:r/>
      <w:r/>
    </w:p>
    <w:p>
      <w:pPr>
        <w:pStyle w:val="1041"/>
        <w:numPr>
          <w:ilvl w:val="0"/>
          <w:numId w:val="0"/>
        </w:numPr>
        <w:spacing w:line="360" w:lineRule="auto"/>
        <w:rPr>
          <w:rFonts w:hint="eastAsia" w:ascii="宋体" w:hAnsi="宋体" w:eastAsia="宋体" w:cs="宋体"/>
          <w:sz w:val="28"/>
          <w:szCs w:val="40"/>
          <w:highlight w:val="none"/>
        </w:rPr>
      </w:pPr>
      <w:r/>
      <w:bookmarkStart w:id="18" w:name="_Toc28285"/>
      <w:r>
        <w:rPr>
          <w:rFonts w:hint="eastAsia" w:ascii="宋体" w:hAnsi="宋体" w:eastAsia="宋体" w:cs="宋体"/>
          <w:sz w:val="28"/>
          <w:szCs w:val="40"/>
          <w:highlight w:val="none"/>
        </w:rPr>
        <w:t xml:space="preserve">第三章 </w:t>
      </w:r>
      <w:r>
        <w:rPr>
          <w:rFonts w:hint="eastAsia" w:ascii="宋体" w:hAnsi="宋体" w:cs="宋体"/>
          <w:sz w:val="28"/>
          <w:szCs w:val="40"/>
          <w:highlight w:val="none"/>
          <w:lang w:val="en-US" w:eastAsia="zh-CN"/>
        </w:rPr>
        <w:t xml:space="preserve"> </w:t>
      </w:r>
      <w:r>
        <w:rPr>
          <w:rFonts w:hint="eastAsia" w:ascii="宋体" w:hAnsi="宋体" w:eastAsia="宋体" w:cs="宋体"/>
          <w:sz w:val="28"/>
          <w:szCs w:val="40"/>
          <w:highlight w:val="none"/>
        </w:rPr>
        <w:t xml:space="preserve">评标标准</w:t>
      </w:r>
      <w:bookmarkEnd w:id="18"/>
      <w:r/>
      <w:r/>
    </w:p>
    <w:p>
      <w:pPr>
        <w:ind w:left="0" w:firstLine="420"/>
        <w:keepLines w:val="0"/>
        <w:keepNext w:val="0"/>
        <w:pageBreakBefore w:val="0"/>
        <w:spacing w:line="360" w:lineRule="auto"/>
        <w:widowControl w:val="off"/>
        <w:tabs>
          <w:tab w:val="left" w:pos="960" w:leader="none"/>
        </w:tabs>
        <w:rPr>
          <w:rFonts w:hint="eastAsia" w:ascii="宋体" w:hAnsi="宋体" w:eastAsia="宋体" w:cs="宋体"/>
          <w:highlight w:val="none"/>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highlight w:val="none"/>
        </w:rPr>
        <w:t xml:space="preserve">技术响应情况得分</w:t>
      </w:r>
      <w:r>
        <w:rPr>
          <w:rFonts w:hint="eastAsia" w:ascii="宋体" w:hAnsi="宋体" w:eastAsia="宋体" w:cs="宋体"/>
          <w:bCs/>
          <w:highlight w:val="none"/>
        </w:rPr>
        <w:t xml:space="preserve">高低</w:t>
      </w:r>
      <w:r>
        <w:rPr>
          <w:rFonts w:hint="eastAsia" w:ascii="宋体" w:hAnsi="宋体" w:eastAsia="宋体" w:cs="宋体"/>
          <w:highlight w:val="none"/>
        </w:rPr>
        <w:t xml:space="preserve">顺序排列，技术响应情况得分也相等的，由评标委员会投票决定。</w:t>
      </w:r>
      <w:r/>
    </w:p>
    <w:tbl>
      <w:tblPr>
        <w:tblStyle w:val="1051"/>
        <w:tblW w:w="47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699"/>
        <w:gridCol w:w="6123"/>
        <w:gridCol w:w="739"/>
      </w:tblGrid>
      <w:tr>
        <w:trPr>
          <w:jc w:val="center"/>
          <w:trHeight w:val="2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价格分采用低价优先法计算，即满足采购文件要求且</w:t>
            </w:r>
            <w:r>
              <w:rPr>
                <w:rFonts w:hint="eastAsia" w:ascii="宋体" w:hAnsi="宋体" w:eastAsia="宋体" w:cs="宋体"/>
                <w:sz w:val="21"/>
                <w:szCs w:val="21"/>
                <w:highlight w:val="none"/>
                <w:lang w:val="en-US" w:eastAsia="zh-CN"/>
              </w:rPr>
              <w:t xml:space="preserve">经评审</w:t>
            </w:r>
            <w:r>
              <w:rPr>
                <w:rFonts w:hint="eastAsia" w:ascii="宋体" w:hAnsi="宋体" w:eastAsia="宋体" w:cs="宋体"/>
                <w:szCs w:val="21"/>
                <w:highlight w:val="none"/>
              </w:rPr>
              <w:t xml:space="preserve">报价最低的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的报价为评审基准价，其价格分为满分 </w:t>
            </w:r>
            <w:r>
              <w:rPr>
                <w:rFonts w:hint="eastAsia" w:ascii="宋体" w:hAnsi="宋体" w:cs="宋体"/>
                <w:szCs w:val="21"/>
                <w:highlight w:val="none"/>
                <w:lang w:val="en-US" w:eastAsia="zh-CN"/>
              </w:rPr>
              <w:t xml:space="preserve">35</w:t>
            </w:r>
            <w:r>
              <w:rPr>
                <w:rFonts w:hint="eastAsia" w:ascii="宋体" w:hAnsi="宋体" w:eastAsia="宋体" w:cs="宋体"/>
                <w:szCs w:val="21"/>
                <w:highlight w:val="none"/>
              </w:rPr>
              <w:t xml:space="preserve"> 分，其它</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的价格分统一按照以下公式计算：</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报价得分=(评审基准价/该</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 3</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35</w:t>
            </w:r>
            <w:r/>
          </w:p>
        </w:tc>
      </w:tr>
      <w:tr>
        <w:trPr>
          <w:jc w:val="center"/>
          <w:trHeight w:val="1745"/>
        </w:trPr>
        <w:tc>
          <w:tcPr>
            <w:tcBorders>
              <w:left w:val="single" w:color="auto" w:sz="4" w:space="0"/>
              <w:right w:val="single" w:color="auto" w:sz="4" w:space="0"/>
            </w:tcBorders>
            <w:tcW w:w="3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2</w:t>
            </w:r>
            <w:r/>
          </w:p>
        </w:tc>
        <w:tc>
          <w:tcPr>
            <w:tcBorders>
              <w:left w:val="single" w:color="auto" w:sz="4" w:space="0"/>
              <w:right w:val="single" w:color="auto" w:sz="4" w:space="0"/>
            </w:tcBorders>
            <w:tcW w:w="91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对</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第四章采购需求中</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的响应程度：全部响应的得</w:t>
            </w:r>
            <w:r>
              <w:rPr>
                <w:rFonts w:hint="eastAsia" w:ascii="宋体" w:hAnsi="宋体" w:cs="宋体"/>
                <w:szCs w:val="21"/>
                <w:highlight w:val="none"/>
                <w:lang w:val="en-US" w:eastAsia="zh-CN"/>
              </w:rPr>
              <w:t xml:space="preserve">25</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文件中标注“★”的内容为实质性要求，有一项不符合的，作无效投标处理。带“▲”条款为重要技术参数指标，如带“▲”条款存在负偏离的，负偏离1项扣</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分，其他技术参数，负偏离1项扣</w:t>
            </w:r>
            <w:r>
              <w:rPr>
                <w:rFonts w:hint="eastAsia" w:ascii="宋体" w:hAnsi="宋体" w:cs="宋体"/>
                <w:szCs w:val="21"/>
                <w:highlight w:val="none"/>
                <w:lang w:val="en-US" w:eastAsia="zh-CN"/>
              </w:rPr>
              <w:t xml:space="preserve">0.5</w:t>
            </w:r>
            <w:r>
              <w:rPr>
                <w:rFonts w:hint="eastAsia" w:ascii="宋体" w:hAnsi="宋体" w:eastAsia="宋体" w:cs="宋体"/>
                <w:szCs w:val="21"/>
                <w:highlight w:val="none"/>
              </w:rPr>
              <w:t xml:space="preserve">分，扣完为止。</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b/>
                <w:bCs/>
                <w:szCs w:val="21"/>
                <w:highlight w:val="none"/>
              </w:rPr>
              <w:t xml:space="preserve">（“★”和“▲”的技术参数响应需提供支撑资料（提供相关证明材料并加盖投标单位公章包括但不限于明确说明该技术内容的公开发行的产品彩页或产品说明书或第三方检测机构的检测报告等，自拟无效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），如未附有效支撑材料或者所附的支撑材料由评标委员会认为不能佐证技术指标的有效性的，则视为负偏离。</w:t>
            </w:r>
            <w:r>
              <w:rPr>
                <w:rFonts w:hint="eastAsia" w:ascii="宋体" w:hAnsi="宋体" w:eastAsia="宋体" w:cs="宋体"/>
                <w:b/>
                <w:bCs/>
                <w:i/>
                <w:iCs/>
                <w:szCs w:val="21"/>
                <w:highlight w:val="none"/>
                <w:u w:val="single"/>
                <w:lang w:val="en-US" w:eastAsia="zh-CN"/>
              </w:rPr>
              <w:t xml:space="preserve">如文件中要求提供证明材料，建议采用</w:t>
            </w:r>
            <w:r>
              <w:rPr>
                <w:rFonts w:hint="eastAsia" w:ascii="宋体" w:hAnsi="宋体" w:cs="宋体"/>
                <w:b/>
                <w:bCs/>
                <w:i/>
                <w:iCs/>
                <w:szCs w:val="21"/>
                <w:highlight w:val="none"/>
                <w:u w:val="single"/>
                <w:lang w:val="en-US" w:eastAsia="zh-CN"/>
              </w:rPr>
              <w:t xml:space="preserve">页码、箭头</w:t>
            </w:r>
            <w:r>
              <w:rPr>
                <w:rFonts w:hint="eastAsia" w:ascii="宋体" w:hAnsi="宋体" w:eastAsia="宋体" w:cs="宋体"/>
                <w:b/>
                <w:bCs/>
                <w:i/>
                <w:iCs/>
                <w:szCs w:val="21"/>
                <w:highlight w:val="none"/>
                <w:u w:val="single"/>
                <w:lang w:val="en-US" w:eastAsia="zh-CN"/>
              </w:rPr>
              <w:t xml:space="preserve">、标红、下划线或页码等进行明显标注，方便评委查看。</w:t>
            </w:r>
            <w:r>
              <w:rPr>
                <w:rFonts w:hint="eastAsia" w:ascii="宋体" w:hAnsi="宋体" w:eastAsia="宋体" w:cs="宋体"/>
                <w:b/>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25</w:t>
            </w:r>
            <w:r/>
          </w:p>
        </w:tc>
      </w:tr>
      <w:tr>
        <w:trPr>
          <w:jc w:val="center"/>
          <w:trHeight w:val="1602"/>
        </w:trPr>
        <w:tc>
          <w:tcPr>
            <w:tcBorders>
              <w:left w:val="single" w:color="auto" w:sz="4" w:space="0"/>
              <w:right w:val="single" w:color="auto" w:sz="4" w:space="0"/>
            </w:tcBorders>
            <w:tcW w:w="3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3</w:t>
            </w:r>
            <w:r/>
          </w:p>
        </w:tc>
        <w:tc>
          <w:tcPr>
            <w:tcBorders>
              <w:left w:val="single" w:color="auto" w:sz="4" w:space="0"/>
              <w:right w:val="single" w:color="auto" w:sz="4" w:space="0"/>
            </w:tcBorders>
            <w:tcW w:w="91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投标供应商自202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年01月01日以来（以合同签订日期为准），具有类似项目业绩的（合同至少应当包含核心产品），每提供一个有效业绩得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分，最高得6分。</w:t>
            </w:r>
            <w:r/>
          </w:p>
          <w:p>
            <w:pPr>
              <w:ind w:left="0" w:right="0"/>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b/>
                <w:bCs/>
                <w:szCs w:val="21"/>
                <w:highlight w:val="none"/>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rPr>
                <w:rFonts w:hint="eastAsia" w:ascii="宋体" w:hAnsi="宋体" w:cs="宋体"/>
                <w:b/>
                <w:bCs/>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val="en-US" w:eastAsia="zh-CN"/>
              </w:rPr>
              <w:t xml:space="preserve">6</w:t>
            </w:r>
            <w:r/>
          </w:p>
        </w:tc>
      </w:tr>
      <w:tr>
        <w:trPr>
          <w:jc w:val="center"/>
          <w:trHeight w:val="1058"/>
        </w:trPr>
        <w:tc>
          <w:tcPr>
            <w:tcBorders>
              <w:left w:val="single" w:color="auto" w:sz="4" w:space="0"/>
              <w:right w:val="single" w:color="auto" w:sz="4" w:space="0"/>
            </w:tcBorders>
            <w:tcW w:w="388"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default" w:ascii="宋体" w:hAnsi="宋体" w:eastAsia="宋体" w:cs="宋体"/>
                <w:szCs w:val="21"/>
                <w:highlight w:val="none"/>
                <w:lang w:val="en-US" w:eastAsia="zh-CN"/>
              </w:rPr>
              <w:t xml:space="preserve">4</w:t>
            </w:r>
            <w:r/>
          </w:p>
        </w:tc>
        <w:tc>
          <w:tcPr>
            <w:tcBorders>
              <w:left w:val="single" w:color="auto" w:sz="4" w:space="0"/>
              <w:right w:val="single" w:color="auto" w:sz="4" w:space="0"/>
            </w:tcBorders>
            <w:tcW w:w="915"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项目方案</w:t>
            </w:r>
            <w:r/>
          </w:p>
        </w:tc>
        <w:tc>
          <w:tcPr>
            <w:tcBorders>
              <w:top w:val="single" w:color="auto" w:sz="4" w:space="0"/>
              <w:left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.1实施方案</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应根据招标文件要求提供项目实施方案，方案包含以下内容：</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① 供货进度安排：需明确从合同签订到完成全部供货的各阶段时间节点，并提供具体的时间表或甘特图；</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② 配送组织架构：需明确配送团队的人员配置、岗位职责、车辆及设备投入情况，并提供组织架构图；</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③ 进度控制措施：需包含进度跟踪方式、报告周期、异常情况处理流程；</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④ 风险控制管理：需列出可能影响供货的风险类型，并针对每种风险提供应对预案；</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⑤ 质量保障措施：需明确质量标准、检验方法、不合格品处理机制。</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评分规则：</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上述五项内容均完整提供，且每项内容均具体、可操作，得</w:t>
            </w:r>
            <w:r>
              <w:rPr>
                <w:rFonts w:hint="default" w:ascii="宋体" w:hAnsi="宋体" w:eastAsia="宋体" w:cs="宋体"/>
                <w:szCs w:val="21"/>
                <w:highlight w:val="none"/>
                <w:lang w:val="en-US"/>
              </w:rPr>
              <w:t xml:space="preserve">7</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缺少上述任一项内容，或某项内容过于笼统，得</w:t>
            </w:r>
            <w:r>
              <w:rPr>
                <w:rFonts w:hint="default" w:ascii="宋体" w:hAnsi="宋体" w:eastAsia="宋体" w:cs="宋体"/>
                <w:szCs w:val="21"/>
                <w:highlight w:val="none"/>
                <w:lang w:val="en-US"/>
              </w:rPr>
              <w:t xml:space="preserve">4</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缺少上述任两项及以上内容，或所有内容均严重缺失、明显不合理，得1分；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tabs>
                <w:tab w:val="center" w:pos="251" w:leader="none"/>
                <w:tab w:val="left" w:pos="365" w:leader="none"/>
              </w:tabs>
              <w:rPr>
                <w:rFonts w:hint="default" w:ascii="宋体" w:hAnsi="宋体" w:eastAsia="宋体" w:cs="宋体"/>
                <w:szCs w:val="21"/>
                <w:highlight w:val="none"/>
                <w:lang w:val="en-US" w:eastAsia="zh-CN"/>
              </w:rPr>
              <w:suppressLineNumbers w:val="0"/>
            </w:pPr>
            <w:r>
              <w:rPr>
                <w:rFonts w:hint="default" w:ascii="宋体" w:hAnsi="宋体" w:eastAsia="宋体" w:cs="宋体"/>
                <w:szCs w:val="21"/>
                <w:highlight w:val="none"/>
                <w:lang w:val="en-US"/>
              </w:rPr>
              <w:t xml:space="preserve">7</w:t>
            </w:r>
            <w:r/>
          </w:p>
        </w:tc>
      </w:tr>
      <w:tr>
        <w:trPr>
          <w:jc w:val="center"/>
          <w:trHeight w:val="1058"/>
        </w:trPr>
        <w:tc>
          <w:tcPr>
            <w:tcBorders>
              <w:left w:val="single" w:color="auto" w:sz="4" w:space="0"/>
              <w:right w:val="single" w:color="auto" w:sz="4" w:space="0"/>
            </w:tcBorders>
            <w:tcW w:w="388"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left w:val="single" w:color="auto" w:sz="4" w:space="0"/>
              <w:right w:val="single" w:color="auto" w:sz="4" w:space="0"/>
            </w:tcBorders>
            <w:tcW w:w="915"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.2 验收配合方案</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应根据招标文件要求提供项目验收方案，方案包含以下内容：</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① 验收配合流程：明确设备安装完成后，供应商配合采购人从提请验收至完成最终验收签字的全部工作步骤，可附流程图或步骤说明；</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② 验收指标配合响应：针对本项目各项技术指标，列明供应商配合采购人开展核验、测试的工作方式，可配套提供供应商准备的检查核对样表；</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③ 验收资料提交清单：列明验收环节供应商需向采购人提交的全部资料名称，明确资料的来源、编制及提供责任；</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④ 供应商验收配合人员安排：明确本项目负责验收配合工作人员的姓名、职务、相关项目经验，提供人员配置表；</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⑤ 设备安装过程记录管理：说明安装过程中供应商需要留存的记录内容、记录方式、资料保存期限，以及向采购人提交验收资料前的整理归档要求。</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评分规则：</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上述五项内容均完整提供，且每项内容具体、可操作，得</w:t>
            </w:r>
            <w:r>
              <w:rPr>
                <w:rFonts w:hint="default" w:ascii="宋体" w:hAnsi="宋体" w:eastAsia="宋体" w:cs="宋体"/>
                <w:szCs w:val="21"/>
                <w:highlight w:val="none"/>
                <w:lang w:val="en-US"/>
              </w:rPr>
              <w:t xml:space="preserve">7</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缺少上述任一项内容，或某项内容过于笼统，得</w:t>
            </w:r>
            <w:r>
              <w:rPr>
                <w:rFonts w:hint="default" w:ascii="宋体" w:hAnsi="宋体" w:eastAsia="宋体" w:cs="宋体"/>
                <w:szCs w:val="21"/>
                <w:highlight w:val="none"/>
                <w:lang w:val="en-US"/>
              </w:rPr>
              <w:t xml:space="preserve">4</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缺少上述任两项及以上内容，或所有内容均明显不合理，得1分；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tabs>
                <w:tab w:val="center" w:pos="251" w:leader="none"/>
                <w:tab w:val="left" w:pos="365" w:leader="none"/>
              </w:tabs>
              <w:rPr>
                <w:rFonts w:hint="eastAsia" w:ascii="宋体" w:hAnsi="宋体" w:eastAsia="宋体" w:cs="宋体"/>
                <w:szCs w:val="21"/>
                <w:highlight w:val="none"/>
                <w:lang w:eastAsia="zh-CN"/>
              </w:rPr>
              <w:suppressLineNumbers w:val="0"/>
            </w:pPr>
            <w:r>
              <w:rPr>
                <w:rFonts w:hint="default" w:ascii="宋体" w:hAnsi="宋体" w:eastAsia="宋体" w:cs="宋体"/>
                <w:szCs w:val="21"/>
                <w:highlight w:val="none"/>
                <w:lang w:val="en-US"/>
              </w:rPr>
              <w:t xml:space="preserve">7</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left w:val="single" w:color="auto" w:sz="4" w:space="0"/>
              <w:right w:val="single" w:color="auto" w:sz="4" w:space="0"/>
            </w:tcBorders>
            <w:tcW w:w="915"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.3 售后服务承诺方案</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应根据招标文件要求提供售后服务承诺方案，方案包含以下内容：</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① 售后服务响应时间：需明确售后服务的联系方式、响应时限、到达现场时间、解决问题的时间承诺；</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② 售后服务人员配置：需明确售后服务团队的人员数量、资质、分工及联系方式；</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③ 质保期内服务内容：需明确质保期内免费提供的服务项目；</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④ 质保期后服务方案：需明确质保期满后的服务提供方式；</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⑤ 备品备件清单：需列出常用备品、配件、耗材的名称、品牌、规格型号、单价，并提供价格清单；</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⑥ 维修服务明细：需明确维修项目的收费标准或折扣率；</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⑦ 技术指导方案：需说明对采购方人员的培训计划以及日常技术支持的渠道。</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评分规则：</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上述七项内容均完整提供，且每项内容具体、可量化，得</w:t>
            </w:r>
            <w:r>
              <w:rPr>
                <w:rFonts w:hint="default" w:ascii="宋体" w:hAnsi="宋体" w:eastAsia="宋体" w:cs="宋体"/>
                <w:szCs w:val="21"/>
                <w:highlight w:val="none"/>
                <w:lang w:val="en-US"/>
              </w:rPr>
              <w:t xml:space="preserve">7</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缺少上述任意一项内容，或某项内容过于笼统，得</w:t>
            </w:r>
            <w:r>
              <w:rPr>
                <w:rFonts w:hint="default" w:ascii="宋体" w:hAnsi="宋体" w:eastAsia="宋体" w:cs="宋体"/>
                <w:szCs w:val="21"/>
                <w:highlight w:val="none"/>
                <w:lang w:val="en-US"/>
              </w:rPr>
              <w:t xml:space="preserve">4</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缺少上述任意两项及以上内容，或所有内容均明显不完整、不具可操作性，得1分；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tabs>
                <w:tab w:val="center" w:pos="251" w:leader="none"/>
                <w:tab w:val="left" w:pos="365" w:leader="none"/>
              </w:tabs>
              <w:rPr>
                <w:rFonts w:hint="eastAsia" w:ascii="宋体" w:hAnsi="宋体" w:eastAsia="宋体" w:cs="宋体"/>
                <w:szCs w:val="21"/>
                <w:highlight w:val="none"/>
                <w:lang w:eastAsia="zh-CN"/>
              </w:rPr>
              <w:suppressLineNumbers w:val="0"/>
            </w:pPr>
            <w:r>
              <w:rPr>
                <w:rFonts w:hint="default" w:ascii="宋体" w:hAnsi="宋体" w:eastAsia="宋体" w:cs="宋体"/>
                <w:szCs w:val="21"/>
                <w:highlight w:val="none"/>
                <w:lang w:val="en-US"/>
              </w:rPr>
              <w:t xml:space="preserve">7</w:t>
            </w:r>
            <w:r/>
          </w:p>
        </w:tc>
      </w:tr>
      <w:tr>
        <w:trPr>
          <w:jc w:val="center"/>
          <w:trHeight w:val="1058"/>
        </w:trPr>
        <w:tc>
          <w:tcPr>
            <w:tcBorders>
              <w:left w:val="single" w:color="auto" w:sz="4" w:space="0"/>
              <w:right w:val="single" w:color="auto" w:sz="4" w:space="0"/>
            </w:tcBorders>
            <w:tcW w:w="388"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left w:val="single" w:color="auto" w:sz="4" w:space="0"/>
              <w:right w:val="single" w:color="auto" w:sz="4" w:space="0"/>
            </w:tcBorders>
            <w:tcW w:w="915"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right w:val="single" w:color="auto" w:sz="4" w:space="0"/>
            </w:tcBorders>
            <w:tcW w:w="329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.4 培训方案</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应根据招标文件要求提供培训方案，方案包含以下内容：</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① 培训对象：需明确接受培训的人员类别及预计人数；</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② 培训内容：需列出具体培训课程或模块，并说明每项内容的教学目标；</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③ 培训时间与课时：需明确培训总时长，以及各培训模块的课时分配；</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④ 培训方式：需说明培训形式，并提供相应安排；</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⑤ 培训材料：需列出将提供的培训资料，并注明是否免费提供及提供份数；</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⑥ 培训人员资质：需明确授课人员的姓名、相关认证、从业年限及同类项目培训经验。</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评分规则：</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上述六项内容均完整提供，且每项内容具体、可量化，得</w:t>
            </w:r>
            <w:r>
              <w:rPr>
                <w:rFonts w:hint="default" w:ascii="宋体" w:hAnsi="宋体" w:eastAsia="宋体" w:cs="宋体"/>
                <w:szCs w:val="21"/>
                <w:highlight w:val="none"/>
                <w:lang w:val="en-US"/>
              </w:rPr>
              <w:t xml:space="preserve">7</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缺少上述任意一项内容，或某项内容过于笼统，得</w:t>
            </w:r>
            <w:r>
              <w:rPr>
                <w:rFonts w:hint="default" w:ascii="宋体" w:hAnsi="宋体" w:eastAsia="宋体" w:cs="宋体"/>
                <w:szCs w:val="21"/>
                <w:highlight w:val="none"/>
                <w:lang w:val="en-US"/>
              </w:rPr>
              <w:t xml:space="preserve">4</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缺少上述任意两项及以上内容，或所有内容均明显不完整、不具操作性，得1分；</w:t>
            </w:r>
            <w:r/>
          </w:p>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tabs>
                <w:tab w:val="center" w:pos="251" w:leader="none"/>
                <w:tab w:val="left" w:pos="365" w:leader="none"/>
              </w:tabs>
              <w:rPr>
                <w:rFonts w:hint="eastAsia" w:ascii="宋体" w:hAnsi="宋体" w:eastAsia="宋体" w:cs="宋体"/>
                <w:szCs w:val="21"/>
                <w:highlight w:val="none"/>
                <w:lang w:eastAsia="zh-CN"/>
              </w:rPr>
              <w:suppressLineNumbers w:val="0"/>
            </w:pPr>
            <w:r>
              <w:rPr>
                <w:rFonts w:hint="default" w:ascii="宋体" w:hAnsi="宋体" w:eastAsia="宋体" w:cs="宋体"/>
                <w:szCs w:val="21"/>
                <w:highlight w:val="none"/>
                <w:lang w:val="en-US"/>
              </w:rPr>
              <w:t xml:space="preserve">7</w:t>
            </w:r>
            <w:r/>
          </w:p>
        </w:tc>
      </w:tr>
      <w:tr>
        <w:trPr>
          <w:jc w:val="center"/>
          <w:trHeight w:val="1058"/>
        </w:trPr>
        <w:tc>
          <w:tcPr>
            <w:shd w:val="clear" w:color="auto" w:fill="auto"/>
            <w:tcBorders>
              <w:left w:val="single" w:color="auto" w:sz="4" w:space="0"/>
              <w:right w:val="single" w:color="auto" w:sz="4" w:space="0"/>
            </w:tcBorders>
            <w:tcW w:w="3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lang w:val="en-US" w:eastAsia="zh-CN" w:bidi="ar-SA"/>
              </w:rPr>
              <w:suppressLineNumbers w:val="0"/>
            </w:pPr>
            <w:r>
              <w:rPr>
                <w:rFonts w:hint="eastAsia" w:ascii="宋体" w:hAnsi="宋体" w:cs="宋体"/>
                <w:szCs w:val="21"/>
                <w:highlight w:val="none"/>
                <w:lang w:val="en-US" w:eastAsia="zh-CN"/>
              </w:rPr>
              <w:t xml:space="preserve">5</w:t>
            </w:r>
            <w:r/>
          </w:p>
        </w:tc>
        <w:tc>
          <w:tcPr>
            <w:shd w:val="clear" w:color="auto" w:fill="auto"/>
            <w:tcBorders>
              <w:left w:val="single" w:color="auto" w:sz="4" w:space="0"/>
              <w:right w:val="single" w:color="auto" w:sz="4" w:space="0"/>
            </w:tcBorders>
            <w:tcW w:w="91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lang w:val="en-US" w:eastAsia="zh-CN" w:bidi="ar-SA"/>
              </w:rPr>
              <w:suppressLineNumbers w:val="0"/>
            </w:pPr>
            <w:r>
              <w:rPr>
                <w:rFonts w:hint="eastAsia" w:ascii="宋体" w:hAnsi="宋体"/>
                <w:b/>
                <w:bCs/>
                <w:szCs w:val="24"/>
                <w:highlight w:val="none"/>
                <w:lang w:val="en-US" w:eastAsia="zh-CN"/>
              </w:rPr>
              <w:t xml:space="preserve">视频</w:t>
            </w:r>
            <w:r>
              <w:rPr>
                <w:rFonts w:hint="eastAsia" w:ascii="宋体" w:hAnsi="宋体"/>
                <w:b/>
                <w:bCs/>
                <w:szCs w:val="24"/>
                <w:highlight w:val="none"/>
              </w:rPr>
              <w:t xml:space="preserve">演示</w:t>
            </w:r>
            <w:r/>
          </w:p>
        </w:tc>
        <w:tc>
          <w:tcPr>
            <w:shd w:val="clear" w:color="auto" w:fill="auto"/>
            <w:tcBorders>
              <w:top w:val="single" w:color="auto" w:sz="4" w:space="0"/>
              <w:left w:val="single" w:color="auto" w:sz="4" w:space="0"/>
              <w:right w:val="single" w:color="auto" w:sz="4" w:space="0"/>
            </w:tcBorders>
            <w:tcW w:w="3298" w:type="pct"/>
            <w:vAlign w:val="center"/>
            <w:textDirection w:val="lrTb"/>
            <w:noWrap w:val="false"/>
          </w:tcPr>
          <w:p>
            <w:pPr>
              <w:ind w:left="0" w:right="0" w:firstLine="0"/>
              <w:jc w:val="left"/>
              <w:keepLines w:val="0"/>
              <w:keepNext w:val="0"/>
              <w:spacing w:before="0" w:beforeAutospacing="0" w:after="0" w:afterAutospacing="0" w:line="360" w:lineRule="auto"/>
              <w:rPr>
                <w:rFonts w:hint="default" w:ascii="宋体" w:hAnsi="宋体"/>
                <w:szCs w:val="24"/>
                <w:highlight w:val="none"/>
              </w:rPr>
              <w:suppressLineNumbers w:val="0"/>
            </w:pPr>
            <w:r>
              <w:rPr>
                <w:rFonts w:hint="eastAsia" w:ascii="宋体" w:hAnsi="宋体"/>
                <w:szCs w:val="24"/>
                <w:highlight w:val="none"/>
              </w:rPr>
              <w:t xml:space="preserve">依据供应商提交的视频演示内容进行打分，视频文件大小、格式、上传方式等相关要求详见苏采云系统</w:t>
            </w:r>
            <w:r>
              <w:rPr>
                <w:rFonts w:hint="eastAsia" w:ascii="宋体" w:hAnsi="宋体"/>
                <w:szCs w:val="24"/>
                <w:highlight w:val="none"/>
                <w:lang w:val="en-US" w:eastAsia="zh-CN"/>
              </w:rPr>
              <w:t xml:space="preserve">或电话联系代理机构</w:t>
            </w:r>
            <w:r>
              <w:rPr>
                <w:rFonts w:hint="eastAsia" w:ascii="宋体" w:hAnsi="宋体"/>
                <w:szCs w:val="24"/>
                <w:highlight w:val="none"/>
              </w:rPr>
              <w:t xml:space="preserve">；视频总时长不得超过 5 分钟；提交的演示视频应为成熟产品实物实景实时操作实拍，</w:t>
            </w:r>
            <w:r>
              <w:rPr>
                <w:rFonts w:hint="eastAsia" w:ascii="宋体" w:hAnsi="宋体"/>
                <w:b/>
                <w:bCs/>
                <w:szCs w:val="24"/>
                <w:highlight w:val="none"/>
              </w:rPr>
              <w:t xml:space="preserve">供应商须严格按照演示评分要点顺序逐项演示并同步配套解说</w:t>
            </w:r>
            <w:r>
              <w:rPr>
                <w:rFonts w:hint="eastAsia" w:ascii="宋体" w:hAnsi="宋体"/>
                <w:szCs w:val="24"/>
                <w:highlight w:val="none"/>
              </w:rPr>
              <w:t xml:space="preserve">。</w:t>
            </w:r>
            <w:r>
              <w:rPr>
                <w:rFonts w:hint="eastAsia"/>
                <w:bCs/>
                <w:szCs w:val="21"/>
                <w:highlight w:val="none"/>
              </w:rPr>
              <w:t xml:space="preserve">供应商所投产品效果须与现场演示效果保持一致</w:t>
            </w:r>
            <w:r>
              <w:rPr>
                <w:rFonts w:hint="eastAsia"/>
                <w:bCs/>
                <w:szCs w:val="21"/>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b w:val="0"/>
                <w:bCs/>
                <w:szCs w:val="24"/>
                <w:highlight w:val="none"/>
              </w:rPr>
              <w:t xml:space="preserve">1、ATS系统在线路在不少于4列车运行的情况下，能随机指定保存时刻，将线路、信号机、道岔、列车当前状态场景进行保存；</w:t>
            </w:r>
            <w:r>
              <w:rPr>
                <w:rFonts w:hint="eastAsia" w:ascii="宋体" w:hAnsi="宋体" w:cs="宋体"/>
                <w:color w:val="000000"/>
                <w:highlight w:val="none"/>
              </w:rPr>
              <w:t xml:space="preserve">（完全满足得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分，不演示或不完全满足或演示不完整的不得分）</w:t>
            </w:r>
            <w:r/>
          </w:p>
          <w:p>
            <w:pPr>
              <w:ind w:left="0" w:right="0"/>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r>
            <w:r/>
          </w:p>
          <w:p>
            <w:pPr>
              <w:ind w:left="0" w:right="0"/>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b w:val="0"/>
                <w:bCs/>
                <w:szCs w:val="24"/>
                <w:highlight w:val="none"/>
              </w:rPr>
              <w:t xml:space="preserve">2、ATS系统在系统回到初始状态后，软件能快速切换到已保存的指定运行场景，并按已保存的线路、信号机、道岔、列车状态继续运行，切换时间不超过4秒</w:t>
            </w:r>
            <w:r>
              <w:rPr>
                <w:rFonts w:hint="eastAsia" w:ascii="宋体" w:hAnsi="宋体" w:cs="宋体"/>
                <w:b w:val="0"/>
                <w:bCs/>
                <w:szCs w:val="24"/>
                <w:highlight w:val="none"/>
                <w:lang w:eastAsia="zh-CN"/>
              </w:rPr>
              <w:t xml:space="preserve">；</w:t>
            </w:r>
            <w:r>
              <w:rPr>
                <w:rFonts w:hint="eastAsia" w:ascii="宋体" w:hAnsi="宋体" w:cs="宋体"/>
                <w:color w:val="000000"/>
                <w:highlight w:val="none"/>
              </w:rPr>
              <w:t xml:space="preserve">（完全满足得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分，不演示或不完全满足或演示不完整的不得分）</w:t>
            </w:r>
            <w:r/>
          </w:p>
          <w:p>
            <w:pPr>
              <w:ind w:left="0" w:right="0"/>
              <w:keepLines w:val="0"/>
              <w:keepNext w:val="0"/>
              <w:spacing w:before="0" w:beforeAutospacing="0" w:after="0" w:afterAutospacing="0" w:line="360" w:lineRule="auto"/>
              <w:rPr>
                <w:rFonts w:hint="eastAsia" w:ascii="宋体" w:hAnsi="宋体" w:cs="宋体"/>
                <w:color w:val="000000"/>
                <w:highlight w:val="none"/>
                <w:lang w:eastAsia="zh-CN"/>
              </w:rPr>
              <w:suppressLineNumbers w:val="0"/>
            </w:pPr>
            <w:r>
              <w:rPr>
                <w:rFonts w:hint="eastAsia" w:ascii="宋体" w:hAnsi="宋体" w:cs="宋体"/>
                <w:color w:val="000000"/>
                <w:highlight w:val="none"/>
                <w:lang w:eastAsia="zh-CN"/>
              </w:rPr>
            </w:r>
            <w:r/>
          </w:p>
          <w:p>
            <w:pPr>
              <w:ind w:left="0" w:right="0"/>
              <w:keepLines w:val="0"/>
              <w:keepNext w:val="0"/>
              <w:spacing w:before="0" w:beforeAutospacing="0" w:after="0" w:afterAutospacing="0" w:line="360" w:lineRule="auto"/>
              <w:rPr>
                <w:rFonts w:hint="eastAsia" w:ascii="宋体" w:hAnsi="宋体" w:eastAsia="宋体" w:cs="宋体"/>
                <w:b/>
                <w:bCs/>
                <w:sz w:val="21"/>
                <w:szCs w:val="21"/>
                <w:highlight w:val="none"/>
                <w:lang w:val="en-US" w:eastAsia="zh-CN" w:bidi="ar-SA"/>
              </w:rPr>
              <w:suppressLineNumbers w:val="0"/>
            </w:pPr>
            <w:r>
              <w:rPr>
                <w:rFonts w:hint="eastAsia" w:ascii="宋体" w:hAnsi="宋体" w:cs="宋体"/>
                <w:b w:val="0"/>
                <w:bCs/>
                <w:szCs w:val="24"/>
                <w:highlight w:val="none"/>
              </w:rPr>
              <w:t xml:space="preserve">3、教员管理系统在成绩查询主界面可以通过日期筛选方式对学员成绩单进行查找，支持对新完成任务成绩的查询，试卷显示界面能够显示当前最近的不少于20个试卷成绩。可对试卷进行详细信息查询。教师机的试卷编辑模块可以对试卷进行添加和删除操作，还可以对编辑好的试卷进行重新编辑。</w:t>
            </w:r>
            <w:r>
              <w:rPr>
                <w:rFonts w:hint="eastAsia" w:ascii="宋体" w:hAnsi="宋体" w:cs="宋体"/>
                <w:color w:val="000000"/>
                <w:highlight w:val="none"/>
              </w:rPr>
              <w:t xml:space="preserve">（完全满足得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分，不演示或不完全满足或演示不完整的不得分）</w:t>
            </w:r>
            <w:r/>
          </w:p>
        </w:tc>
        <w:tc>
          <w:tcPr>
            <w:shd w:val="clear" w:color="auto" w:fill="auto"/>
            <w:tcBorders>
              <w:top w:val="single" w:color="auto" w:sz="4" w:space="0"/>
              <w:left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1"/>
                <w:szCs w:val="21"/>
                <w:highlight w:val="none"/>
                <w:lang w:val="en-US" w:eastAsia="zh-CN" w:bidi="ar-SA"/>
              </w:rPr>
              <w:suppressLineNumbers w:val="0"/>
            </w:pPr>
            <w:r>
              <w:rPr>
                <w:rFonts w:hint="eastAsia" w:ascii="宋体" w:hAnsi="宋体" w:cs="宋体"/>
                <w:szCs w:val="21"/>
                <w:highlight w:val="none"/>
                <w:lang w:val="en-US" w:eastAsia="zh-CN"/>
              </w:rPr>
              <w:t xml:space="preserve">6</w:t>
            </w:r>
            <w:r/>
          </w:p>
        </w:tc>
      </w:tr>
      <w:tr>
        <w:trPr>
          <w:jc w:val="center"/>
          <w:trHeight w:val="724"/>
        </w:trPr>
        <w:tc>
          <w:tcPr>
            <w:tcBorders>
              <w:left w:val="single" w:color="auto" w:sz="4" w:space="0"/>
              <w:right w:val="single" w:color="auto" w:sz="4" w:space="0"/>
            </w:tcBorders>
            <w:tcW w:w="3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val="en-US" w:eastAsia="zh-CN"/>
              </w:rPr>
              <w:t xml:space="preserve">6</w:t>
            </w:r>
            <w:r/>
          </w:p>
        </w:tc>
        <w:tc>
          <w:tcPr>
            <w:gridSpan w:val="2"/>
            <w:tcBorders>
              <w:left w:val="single" w:color="auto" w:sz="4" w:space="0"/>
              <w:right w:val="single" w:color="auto" w:sz="4" w:space="0"/>
            </w:tcBorders>
            <w:tcW w:w="421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合计</w:t>
            </w:r>
            <w:r/>
          </w:p>
        </w:tc>
        <w:tc>
          <w:tcPr>
            <w:tcBorders>
              <w:left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100</w:t>
            </w:r>
            <w:r/>
          </w:p>
        </w:tc>
      </w:tr>
    </w:tbl>
    <w:p>
      <w:pPr>
        <w:ind w:left="420" w:firstLine="420"/>
        <w:spacing w:line="360" w:lineRule="auto"/>
        <w:tabs>
          <w:tab w:val="left" w:pos="960" w:leader="none"/>
        </w:tabs>
        <w:rPr>
          <w:rFonts w:hint="eastAsia" w:ascii="宋体" w:hAnsi="宋体" w:eastAsia="宋体" w:cs="宋体"/>
          <w:highlight w:val="none"/>
        </w:rPr>
      </w:pPr>
      <w:r>
        <w:rPr>
          <w:rFonts w:hint="eastAsia" w:ascii="宋体" w:hAnsi="宋体" w:eastAsia="宋体" w:cs="宋体"/>
          <w:highlight w:val="none"/>
        </w:rPr>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说明：1.所有认证、证明和业绩均以有效清晰的证明文件的复印件为依据</w:t>
      </w:r>
      <w:r>
        <w:rPr>
          <w:rFonts w:hint="eastAsia" w:ascii="宋体" w:hAnsi="宋体" w:cs="宋体"/>
          <w:b/>
          <w:szCs w:val="21"/>
          <w:highlight w:val="none"/>
          <w:lang w:eastAsia="zh-CN"/>
        </w:rPr>
        <w:t xml:space="preserve">。</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2.小微企业价格扣除</w:t>
      </w:r>
      <w:r/>
    </w:p>
    <w:p>
      <w:pPr>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3.监狱和戒毒企业的价格扣除</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 本项目对监狱和戒毒企业，给予10%的价格扣除，用扣除后的价格参与评审。</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4.残疾人福利性单位的价格扣除</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4.1 本项目对残疾人福利性单位，给予10%的价格扣除，用扣除后的价格参与评审。</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4.2 残疾人福利性单位需提供《残疾人福利性单位声明函》</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5.监狱企业、残疾人福利性单位属于小型、微型企业的，不重复享受政策。</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6.本国产品的价格扣除</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6.2政府采购活动中既有本国产品又有非本国产品参与竞争的，依法对本国产品给予价格评审优惠，对本国产品的报价给予20%的价格扣除，用扣除后的价格参与评审。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eastAsia="宋体" w:cs="宋体"/>
          <w:b/>
          <w:sz w:val="22"/>
          <w:szCs w:val="28"/>
          <w:highlight w:val="none"/>
        </w:rPr>
      </w:pPr>
      <w:r>
        <w:rPr>
          <w:rFonts w:hint="eastAsia" w:ascii="宋体" w:hAnsi="宋体" w:eastAsia="宋体" w:cs="宋体"/>
          <w:b/>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sz w:val="22"/>
          <w:szCs w:val="28"/>
          <w:highlight w:val="none"/>
        </w:rPr>
        <w:br w:type="page" w:clear="all"/>
      </w:r>
      <w:r/>
    </w:p>
    <w:p>
      <w:pPr>
        <w:pStyle w:val="1041"/>
        <w:numPr>
          <w:ilvl w:val="0"/>
          <w:numId w:val="0"/>
        </w:numPr>
        <w:spacing w:line="360" w:lineRule="auto"/>
        <w:rPr>
          <w:rFonts w:hint="eastAsia" w:ascii="宋体" w:hAnsi="宋体" w:eastAsia="宋体" w:cs="宋体"/>
          <w:sz w:val="28"/>
          <w:szCs w:val="40"/>
          <w:highlight w:val="none"/>
        </w:rPr>
      </w:pPr>
      <w:r/>
      <w:bookmarkStart w:id="19" w:name="_Toc6871"/>
      <w:r>
        <w:rPr>
          <w:rFonts w:hint="eastAsia" w:ascii="宋体" w:hAnsi="宋体" w:eastAsia="宋体" w:cs="宋体"/>
          <w:sz w:val="28"/>
          <w:szCs w:val="40"/>
          <w:highlight w:val="none"/>
        </w:rPr>
        <w:t xml:space="preserve">第四章 </w:t>
      </w:r>
      <w:r>
        <w:rPr>
          <w:rFonts w:hint="eastAsia" w:ascii="宋体" w:hAnsi="宋体" w:cs="宋体"/>
          <w:sz w:val="28"/>
          <w:szCs w:val="40"/>
          <w:highlight w:val="none"/>
          <w:lang w:val="en-US" w:eastAsia="zh-CN"/>
        </w:rPr>
        <w:t xml:space="preserve"> </w:t>
      </w:r>
      <w:r>
        <w:rPr>
          <w:rFonts w:hint="eastAsia" w:ascii="宋体" w:hAnsi="宋体" w:eastAsia="宋体" w:cs="宋体"/>
          <w:sz w:val="28"/>
          <w:szCs w:val="40"/>
          <w:highlight w:val="none"/>
        </w:rPr>
        <w:t xml:space="preserve">采购需求</w:t>
      </w:r>
      <w:bookmarkEnd w:id="19"/>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20" w:name="_Toc3932"/>
      <w:r/>
      <w:bookmarkStart w:id="21" w:name="_Toc27315"/>
      <w:r/>
      <w:bookmarkStart w:id="22" w:name="_Toc481057147"/>
      <w:r>
        <w:rPr>
          <w:rFonts w:hint="eastAsia" w:ascii="宋体" w:hAnsi="宋体" w:eastAsia="宋体" w:cs="宋体"/>
          <w:b/>
          <w:color w:val="000000" w:themeColor="text1"/>
          <w:szCs w:val="21"/>
          <w:highlight w:val="none"/>
          <w14:textFill>
            <w14:solidFill>
              <w14:schemeClr w14:val="tx1"/>
            </w14:solidFill>
          </w14:textFill>
        </w:rPr>
        <w:t xml:space="preserve">一、项目</w:t>
      </w:r>
      <w:bookmarkEnd w:id="20"/>
      <w:r>
        <w:rPr>
          <w:rFonts w:hint="eastAsia" w:ascii="宋体" w:hAnsi="宋体" w:eastAsia="宋体" w:cs="宋体"/>
          <w:b/>
          <w:color w:val="000000" w:themeColor="text1"/>
          <w:szCs w:val="21"/>
          <w:highlight w:val="none"/>
          <w14:textFill>
            <w14:solidFill>
              <w14:schemeClr w14:val="tx1"/>
            </w14:solidFill>
          </w14:textFill>
        </w:rPr>
        <w:t xml:space="preserve">概述</w:t>
      </w:r>
      <w:bookmarkEnd w:id="21"/>
      <w:r/>
      <w:bookmarkStart w:id="23" w:name="_Toc32119"/>
      <w:r/>
      <w:bookmarkStart w:id="24" w:name="_Toc311"/>
      <w:r/>
      <w:bookmarkStart w:id="25" w:name="_Toc18449"/>
      <w:r/>
      <w:bookmarkStart w:id="26" w:name="_Toc4968"/>
      <w:r/>
      <w:r/>
    </w:p>
    <w:p>
      <w:pPr>
        <w:pStyle w:val="1111"/>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南京工业职业技术大学</w:t>
      </w:r>
      <w:r>
        <w:rPr>
          <w:rFonts w:hint="eastAsia" w:ascii="宋体" w:hAnsi="宋体" w:eastAsia="宋体" w:cs="宋体"/>
          <w:color w:val="000000" w:themeColor="text1"/>
          <w:szCs w:val="21"/>
          <w:highlight w:val="none"/>
          <w14:textFill>
            <w14:solidFill>
              <w14:schemeClr w14:val="tx1"/>
            </w14:solidFill>
          </w14:textFill>
        </w:rPr>
        <w:t xml:space="preserve">为满足教学实验需要，需采购如下设备</w:t>
      </w:r>
      <w:r>
        <w:rPr>
          <w:rFonts w:hint="eastAsia" w:ascii="宋体" w:hAnsi="宋体" w:cs="宋体"/>
          <w:color w:val="000000" w:themeColor="text1"/>
          <w:szCs w:val="21"/>
          <w:highlight w:val="none"/>
          <w:lang w:eastAsia="zh-CN"/>
          <w14:textFill>
            <w14:solidFill>
              <w14:schemeClr w14:val="tx1"/>
            </w14:solidFill>
          </w14:textFill>
        </w:rPr>
        <w:t xml:space="preserve">：</w:t>
      </w:r>
      <w:bookmarkEnd w:id="23"/>
      <w:r/>
      <w:bookmarkEnd w:id="24"/>
      <w:r/>
      <w:r/>
    </w:p>
    <w:tbl>
      <w:tblPr>
        <w:tblStyle w:val="10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4389"/>
        <w:gridCol w:w="756"/>
        <w:gridCol w:w="722"/>
        <w:gridCol w:w="2779"/>
      </w:tblGrid>
      <w:tr>
        <w:trPr>
          <w:jc w:val="center"/>
          <w:trHeight w:val="90"/>
        </w:trPr>
        <w:tc>
          <w:tcPr>
            <w:tcW w:w="678" w:type="dxa"/>
            <w:vAlign w:val="center"/>
            <w:textDirection w:val="lrTb"/>
            <w:noWrap w:val="false"/>
          </w:tcPr>
          <w:p>
            <w:pPr>
              <w:pStyle w:val="1111"/>
              <w:ind w:left="0" w:right="0" w:firstLine="0"/>
              <w:jc w:val="center"/>
              <w:keepLines w:val="0"/>
              <w:keepNext w:val="0"/>
              <w:spacing w:before="0" w:beforeAutospacing="0" w:after="0" w:afterAutospacing="0" w:line="360" w:lineRule="auto"/>
              <w:rPr>
                <w:rFonts w:hint="eastAsia" w:ascii="宋体" w:hAnsi="宋体" w:eastAsia="宋体" w:cs="宋体"/>
                <w:b/>
                <w:bCs/>
                <w:sz w:val="21"/>
                <w:szCs w:val="21"/>
                <w:highlight w:val="none"/>
              </w:rPr>
              <w:suppressLineNumbers w:val="0"/>
            </w:pPr>
            <w:r/>
            <w:bookmarkStart w:id="27" w:name="OLE_LINK12"/>
            <w:r>
              <w:rPr>
                <w:rFonts w:hint="eastAsia" w:ascii="宋体" w:hAnsi="宋体" w:eastAsia="宋体" w:cs="宋体"/>
                <w:b/>
                <w:bCs/>
                <w:sz w:val="21"/>
                <w:szCs w:val="21"/>
                <w:highlight w:val="none"/>
              </w:rPr>
              <w:t xml:space="preserve">序号</w:t>
            </w:r>
            <w:r/>
          </w:p>
        </w:tc>
        <w:tc>
          <w:tcPr>
            <w:tcW w:w="4389" w:type="dxa"/>
            <w:vAlign w:val="center"/>
            <w:textDirection w:val="lrTb"/>
            <w:noWrap w:val="false"/>
          </w:tcPr>
          <w:p>
            <w:pPr>
              <w:pStyle w:val="1111"/>
              <w:ind w:left="0" w:right="0" w:firstLine="0"/>
              <w:jc w:val="center"/>
              <w:keepLines w:val="0"/>
              <w:keepNext w:val="0"/>
              <w:spacing w:before="0" w:beforeAutospacing="0" w:after="0" w:afterAutospacing="0" w:line="360" w:lineRule="auto"/>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产品名称</w:t>
            </w:r>
            <w:r/>
          </w:p>
        </w:tc>
        <w:tc>
          <w:tcPr>
            <w:tcW w:w="756" w:type="dxa"/>
            <w:vAlign w:val="center"/>
            <w:textDirection w:val="lrTb"/>
            <w:noWrap w:val="false"/>
          </w:tcPr>
          <w:p>
            <w:pPr>
              <w:pStyle w:val="1111"/>
              <w:ind w:left="0" w:right="0" w:firstLine="0"/>
              <w:jc w:val="center"/>
              <w:keepLines w:val="0"/>
              <w:keepNext w:val="0"/>
              <w:spacing w:before="0" w:beforeAutospacing="0" w:after="0" w:afterAutospacing="0" w:line="360" w:lineRule="auto"/>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数量</w:t>
            </w:r>
            <w:r/>
          </w:p>
        </w:tc>
        <w:tc>
          <w:tcPr>
            <w:tcW w:w="722" w:type="dxa"/>
            <w:vAlign w:val="center"/>
            <w:textDirection w:val="lrTb"/>
            <w:noWrap w:val="false"/>
          </w:tcPr>
          <w:p>
            <w:pPr>
              <w:pStyle w:val="1111"/>
              <w:ind w:left="0" w:right="0" w:firstLine="0"/>
              <w:jc w:val="center"/>
              <w:keepLines w:val="0"/>
              <w:keepNext w:val="0"/>
              <w:spacing w:before="0" w:beforeAutospacing="0" w:after="0" w:afterAutospacing="0" w:line="360" w:lineRule="auto"/>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单位</w:t>
            </w:r>
            <w:r/>
          </w:p>
        </w:tc>
        <w:tc>
          <w:tcPr>
            <w:tcW w:w="2779" w:type="dxa"/>
            <w:vAlign w:val="center"/>
            <w:textDirection w:val="lrTb"/>
            <w:noWrap w:val="false"/>
          </w:tcPr>
          <w:p>
            <w:pPr>
              <w:pStyle w:val="1111"/>
              <w:ind w:left="0" w:right="0" w:firstLine="0"/>
              <w:jc w:val="center"/>
              <w:keepLines w:val="0"/>
              <w:keepNext w:val="0"/>
              <w:spacing w:before="0" w:beforeAutospacing="0" w:after="0" w:afterAutospacing="0" w:line="360" w:lineRule="auto"/>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备注</w:t>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ZDJ9</w:t>
            </w:r>
            <w:r>
              <w:rPr>
                <w:rFonts w:hint="eastAsia"/>
                <w:highlight w:val="none"/>
                <w:lang w:val="en-US" w:eastAsia="zh-CN"/>
              </w:rPr>
              <w:t xml:space="preserve">系列转辙机</w:t>
            </w:r>
            <w:r>
              <w:rPr>
                <w:rFonts w:hint="eastAsia" w:ascii="宋体" w:hAnsi="宋体" w:eastAsia="宋体" w:cs="宋体"/>
                <w:color w:val="000000"/>
                <w:sz w:val="21"/>
                <w:szCs w:val="21"/>
                <w:highlight w:val="none"/>
              </w:rPr>
              <w:t xml:space="preserve">施工配线与故障处理实训台</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3"/>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ZDJ9</w:t>
            </w:r>
            <w:r>
              <w:rPr>
                <w:rFonts w:hint="eastAsia"/>
                <w:highlight w:val="none"/>
                <w:lang w:val="en-US" w:eastAsia="zh-CN"/>
              </w:rPr>
              <w:t xml:space="preserve">系列</w:t>
            </w:r>
            <w:r>
              <w:rPr>
                <w:rFonts w:hint="eastAsia" w:ascii="宋体" w:hAnsi="宋体" w:eastAsia="宋体" w:cs="宋体"/>
                <w:color w:val="000000"/>
                <w:sz w:val="21"/>
                <w:szCs w:val="21"/>
                <w:highlight w:val="none"/>
              </w:rPr>
              <w:t xml:space="preserve">电动转辙机</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核心产品</w:t>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ZD6</w:t>
            </w:r>
            <w:r>
              <w:rPr>
                <w:rFonts w:hint="eastAsia"/>
                <w:highlight w:val="none"/>
                <w:lang w:val="en-US" w:eastAsia="zh-CN"/>
              </w:rPr>
              <w:t xml:space="preserve">系列转辙机</w:t>
            </w:r>
            <w:r>
              <w:rPr>
                <w:rFonts w:hint="eastAsia" w:ascii="宋体" w:hAnsi="宋体" w:eastAsia="宋体" w:cs="宋体"/>
                <w:color w:val="000000"/>
                <w:sz w:val="21"/>
                <w:szCs w:val="21"/>
                <w:highlight w:val="none"/>
              </w:rPr>
              <w:t xml:space="preserve">施工配线与故障处理实训台</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ZD6</w:t>
            </w:r>
            <w:r>
              <w:rPr>
                <w:rFonts w:hint="eastAsia"/>
                <w:highlight w:val="none"/>
                <w:lang w:val="en-US" w:eastAsia="zh-CN"/>
              </w:rPr>
              <w:t xml:space="preserve">系列</w:t>
            </w:r>
            <w:r>
              <w:rPr>
                <w:rFonts w:hint="eastAsia" w:ascii="宋体" w:hAnsi="宋体" w:eastAsia="宋体" w:cs="宋体"/>
                <w:color w:val="000000"/>
                <w:sz w:val="21"/>
                <w:szCs w:val="21"/>
                <w:highlight w:val="none"/>
              </w:rPr>
              <w:t xml:space="preserve">电动转辙机</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LED 信号机施工配线与故障处理实训台</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6</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三显示 LED 信号机</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7</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调车信号机施工配线与故障处理实训台</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8</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调车信号机</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9</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50Hz 轨道电路施工配线与故障处理实训台</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10</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50Hz 微电子相敏轨道电路</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11</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方向盒和终端盒</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8</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车站 ATS 终端</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6</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13</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车辆段联锁终端</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4</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14</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车站 ATS 系统</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15</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车辆段联锁系统</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16</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故障设置与提交系统</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highlight w:val="none"/>
                <w:lang w:val="en-US" w:eastAsia="zh-CN"/>
              </w:rPr>
              <w:t xml:space="preserve">本系统为城轨信号一体化实训平台的故障实训子模块</w:t>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17</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教员管理系统</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highlight w:val="none"/>
                <w:lang w:val="en-US" w:eastAsia="zh-CN"/>
              </w:rPr>
              <w:t xml:space="preserve">本系统为城轨信号一体化实训平台的教员管理端</w:t>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18</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工具套装</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10</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19</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应答器实训系统</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2</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20</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轨道与道岔</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21</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计轴实训系统</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22</w:t>
            </w:r>
            <w:r/>
          </w:p>
        </w:tc>
        <w:tc>
          <w:tcPr>
            <w:shd w:val="clear" w:color="auto" w:fill="auto"/>
            <w:tcW w:w="43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轨道测试小车</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1</w:t>
            </w:r>
            <w:r/>
          </w:p>
        </w:tc>
        <w:tc>
          <w:tcPr>
            <w:shd w:val="clear" w:color="auto" w:fill="auto"/>
            <w:tcW w:w="7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套</w:t>
            </w:r>
            <w:r/>
          </w:p>
        </w:tc>
        <w:tc>
          <w:tcPr>
            <w:tcW w:w="2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1324"/>
        <w:numPr>
          <w:ilvl w:val="0"/>
          <w:numId w:val="0"/>
        </w:numPr>
        <w:ind w:firstLine="422"/>
        <w:jc w:val="both"/>
        <w:spacing w:after="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bookmarkEnd w:id="25"/>
      <w:r/>
      <w:bookmarkEnd w:id="26"/>
      <w:r/>
      <w:bookmarkEnd w:id="27"/>
      <w:r/>
      <w:r/>
    </w:p>
    <w:p>
      <w:pPr>
        <w:pStyle w:val="1324"/>
        <w:numPr>
          <w:ilvl w:val="0"/>
          <w:numId w:val="0"/>
        </w:numPr>
        <w:ind w:firstLine="422"/>
        <w:jc w:val="both"/>
        <w:keepLines w:val="0"/>
        <w:keepNext w:val="0"/>
        <w:pageBreakBefore w:val="0"/>
        <w:spacing w:after="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28" w:name="_Toc29315"/>
      <w:r/>
      <w:bookmarkStart w:id="29" w:name="_Toc9991"/>
      <w:r/>
      <w:bookmarkStart w:id="30" w:name="_Toc2652"/>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（一）ZDJ9 系列转辙机施工配线与故障处理实训台</w:t>
      </w:r>
      <w:r/>
    </w:p>
    <w:p>
      <w:pPr>
        <w:ind w:firstLine="420"/>
        <w:keepLines w:val="0"/>
        <w:keepNext w:val="0"/>
        <w:pageBreakBefore w:val="0"/>
        <w:spacing w:line="360" w:lineRule="auto"/>
        <w:rPr>
          <w:rFonts w:hint="eastAsia"/>
          <w:highlight w:val="none"/>
          <w:lang w:val="en-US" w:eastAsia="zh-CN"/>
        </w:rPr>
      </w:pPr>
      <w:r>
        <w:rPr>
          <w:rFonts w:hint="eastAsia" w:ascii="宋体" w:hAnsi="宋体" w:cs="宋体"/>
          <w:color w:val="000000"/>
          <w:szCs w:val="24"/>
          <w:highlight w:val="none"/>
        </w:rPr>
        <w:t xml:space="preserve">▲</w:t>
      </w:r>
      <w:r>
        <w:rPr>
          <w:rFonts w:hint="eastAsia"/>
          <w:highlight w:val="none"/>
          <w:lang w:val="en-US" w:eastAsia="zh-CN"/>
        </w:rPr>
        <w:t xml:space="preserve">1、实训台为独立硬件单元，集成转辙机组合架、继电器组合、分线盘、接口层于一体；台面配备故障模拟箱，可模拟转辙机电气回路故障，满足学生对五线制道岔转辙机施工配线、焊接、控制与故障处理实训与考核。</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2、电烙铁插座采用断路器进行安全防护。实训台内置 I/O 控制板，作为连接整套实训平台的数据接口，用于转辙机组合及转辙机状态的采集上传与控制指令接收。</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（二）ZDJ9 </w:t>
      </w:r>
      <w:r>
        <w:rPr>
          <w:rFonts w:hint="eastAsia" w:ascii="宋体" w:hAnsi="宋体" w:cs="宋体"/>
          <w:b/>
          <w:bCs/>
          <w:sz w:val="21"/>
          <w:szCs w:val="21"/>
          <w:highlight w:val="none"/>
          <w:lang w:val="en-US" w:eastAsia="zh-CN" w:bidi="ar-SA"/>
        </w:rPr>
        <w:t xml:space="preserve">系列</w:t>
      </w:r>
      <w:r>
        <w:rPr>
          <w:rFonts w:hint="eastAsia" w:ascii="宋体" w:hAnsi="宋体" w:eastAsia="宋体" w:cs="宋体"/>
          <w:b/>
          <w:bCs/>
          <w:sz w:val="21"/>
          <w:szCs w:val="21"/>
          <w:highlight w:val="none"/>
          <w:lang w:val="en-US" w:eastAsia="zh-CN" w:bidi="ar-SA"/>
        </w:rPr>
        <w:t xml:space="preserve">电动转辙机</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ZDJ9</w:t>
      </w:r>
      <w:r>
        <w:rPr>
          <w:rFonts w:hint="eastAsia" w:ascii="宋体" w:hAnsi="宋体" w:cs="宋体"/>
          <w:color w:val="000000"/>
          <w:sz w:val="21"/>
          <w:szCs w:val="21"/>
          <w:highlight w:val="none"/>
          <w:lang w:val="en-US" w:eastAsia="zh-CN"/>
        </w:rPr>
        <w:t xml:space="preserve">系列</w:t>
      </w:r>
      <w:r>
        <w:rPr>
          <w:rFonts w:hint="eastAsia" w:ascii="宋体" w:hAnsi="宋体" w:eastAsia="宋体" w:cs="宋体"/>
          <w:color w:val="000000"/>
          <w:sz w:val="21"/>
          <w:szCs w:val="21"/>
          <w:highlight w:val="none"/>
          <w:lang w:val="en-US" w:eastAsia="zh-CN"/>
        </w:rPr>
        <w:t xml:space="preserve">交流电动转辙机</w:t>
      </w:r>
      <w:r>
        <w:rPr>
          <w:rFonts w:hint="eastAsia" w:ascii="宋体" w:hAnsi="宋体" w:eastAsia="宋体" w:cs="宋体"/>
          <w:b w:val="0"/>
          <w:bCs w:val="0"/>
          <w:color w:val="000000"/>
          <w:sz w:val="21"/>
          <w:szCs w:val="21"/>
          <w:highlight w:val="none"/>
        </w:rPr>
        <w:t xml:space="preserve">或同等性能、纳入国家铁路局型号目录、具备铁路运输基础设备生产许可证的产品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采用三相交流五线制 AC380V 供电制式，主要由交流电动机、减速器、滚珠丝杠、摩擦连接器、自动开闭器、安全接点、接线端子、动作杆、锁闭杆（表示杆）、挤脱器等组成；额定转换力 4kN，动作杆动程 170±2mm，锁闭（表示）杆动程 152±4mm，工作电流 ≤2.0</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A，动作时间 ≤5.8s，单线电阻 ≤54Ω，挤脱力 28±2kN。</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（三）ZD6 </w:t>
      </w:r>
      <w:r>
        <w:rPr>
          <w:rFonts w:hint="eastAsia"/>
          <w:highlight w:val="none"/>
          <w:lang w:val="en-US" w:eastAsia="zh-CN"/>
        </w:rPr>
        <w:t xml:space="preserve">系列转辙机</w:t>
      </w:r>
      <w:r>
        <w:rPr>
          <w:rFonts w:hint="eastAsia" w:ascii="宋体" w:hAnsi="宋体" w:eastAsia="宋体" w:cs="宋体"/>
          <w:b/>
          <w:bCs/>
          <w:sz w:val="21"/>
          <w:szCs w:val="21"/>
          <w:highlight w:val="none"/>
          <w:lang w:val="en-US" w:eastAsia="zh-CN" w:bidi="ar-SA"/>
        </w:rPr>
        <w:t xml:space="preserve">施工配线与故障处理实训台</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4"/>
          <w:highlight w:val="none"/>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实训台为独立硬件单元，集成转辙机组合架、继电器组合、分线盘、接口层于一体；台面配备故障模拟箱，可模拟转辙机电气回路故障，满足学员对四线制道岔转辙机施工配线、焊接、控制与故障处理实训与考核。</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电烙铁插座采用断路器进行安全防护。实训台内置 </w:t>
      </w:r>
      <w:r>
        <w:rPr>
          <w:rFonts w:hint="eastAsia"/>
          <w:highlight w:val="none"/>
          <w:lang w:val="en-US" w:eastAsia="zh-CN"/>
        </w:rPr>
        <w:t xml:space="preserve">I/O </w:t>
      </w:r>
      <w:r>
        <w:rPr>
          <w:rFonts w:hint="eastAsia" w:ascii="宋体" w:hAnsi="宋体" w:eastAsia="宋体" w:cs="宋体"/>
          <w:color w:val="000000"/>
          <w:sz w:val="21"/>
          <w:szCs w:val="21"/>
          <w:highlight w:val="none"/>
          <w:lang w:val="en-US" w:eastAsia="zh-CN"/>
        </w:rPr>
        <w:t xml:space="preserve">控制板，作为连接整套实训平台的数据接口，用于转辙机组合及转辙机状态的采集上传与控制指令接收。</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（四）ZD6 电动转辙机</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ZD6 </w:t>
      </w:r>
      <w:r>
        <w:rPr>
          <w:rFonts w:hint="eastAsia" w:ascii="宋体" w:hAnsi="宋体" w:cs="宋体"/>
          <w:color w:val="000000"/>
          <w:sz w:val="21"/>
          <w:szCs w:val="21"/>
          <w:highlight w:val="none"/>
          <w:lang w:val="en-US" w:eastAsia="zh-CN"/>
        </w:rPr>
        <w:t xml:space="preserve">系列</w:t>
      </w:r>
      <w:r>
        <w:rPr>
          <w:rFonts w:hint="eastAsia" w:ascii="宋体" w:hAnsi="宋体" w:eastAsia="宋体" w:cs="宋体"/>
          <w:color w:val="000000"/>
          <w:sz w:val="21"/>
          <w:szCs w:val="21"/>
          <w:highlight w:val="none"/>
          <w:lang w:val="en-US" w:eastAsia="zh-CN"/>
        </w:rPr>
        <w:t xml:space="preserve">直流电动转辙机</w:t>
      </w:r>
      <w:r>
        <w:rPr>
          <w:rFonts w:hint="eastAsia" w:ascii="宋体" w:hAnsi="宋体" w:eastAsia="宋体" w:cs="宋体"/>
          <w:b w:val="0"/>
          <w:bCs w:val="0"/>
          <w:color w:val="000000"/>
          <w:sz w:val="21"/>
          <w:szCs w:val="21"/>
          <w:highlight w:val="none"/>
        </w:rPr>
        <w:t xml:space="preserve">或同等性能、纳入国家铁路局型号目录、具备铁路运输基础设备生产许可证的产品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主要由电动机、减速器、摩擦连接器、自动开闭器、主轴、动作杆、表示杆、移位接触器、遮断器等组成，含手摇把、遮断器钥匙等附件。</w:t>
      </w:r>
      <w:r>
        <w:rPr>
          <w:rFonts w:hint="eastAsia"/>
          <w:szCs w:val="24"/>
          <w:highlight w:val="none"/>
        </w:rPr>
        <w:t xml:space="preserve">额定电压为DC160V，额定转换力为3430N,动作杆动程为165±2mm，表示杆动程为135-185mm，工作电流≤2.0A，动作时间≤5.5s。</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（五）LED 信号机施工配线与故障处理实训台</w:t>
      </w:r>
      <w:r/>
    </w:p>
    <w:p>
      <w:pPr>
        <w:ind w:left="0" w:righ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实训台为独立硬件单元，集成信号机组合架、继电器组合、分线盘、接口层于一体；台面配备故障模拟箱，可模拟信号机电气回路故障，满足学员对三显示 LED 信号机施工配线、焊接、控制与故障处理实训与考核。</w:t>
      </w:r>
      <w:r/>
    </w:p>
    <w:p>
      <w:pPr>
        <w:ind w:left="0" w:righ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电烙铁插座采用断路器进行安全防护。实训台内置 </w:t>
      </w:r>
      <w:r>
        <w:rPr>
          <w:rFonts w:hint="eastAsia"/>
          <w:highlight w:val="none"/>
          <w:lang w:val="en-US" w:eastAsia="zh-CN"/>
        </w:rPr>
        <w:t xml:space="preserve">I/O </w:t>
      </w:r>
      <w:r>
        <w:rPr>
          <w:rFonts w:hint="eastAsia" w:ascii="宋体" w:hAnsi="宋体" w:cs="宋体"/>
          <w:color w:val="000000"/>
          <w:szCs w:val="21"/>
          <w:highlight w:val="none"/>
        </w:rPr>
        <w:t xml:space="preserve"> 控制板，作为连接整套实训平台的数据接口，用于信号机点灯组合及信号机状态的采集上传与控制指令接收。</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（六）三显示 LED 信号机</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信号机采用黄、绿、红三显示 LED 矮型信号机。信号机由铝合金机构、光学透镜（蜂房式）、LED 发光盘、智能点灯单元等组成。机构采用铝合金材料压铸；光学系统采用透镜式（蜂房式）聚光结构；光源为 LED 发光盘（每灯不少于100 只高亮 LED，个别损坏不影响整体显示）。智能点灯单元具备断丝/故障自动报警并导向安全侧功能。</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主要性能：显示距离≥200 m，防护等级≥IP53，LED 寿命≥5 万小时，工作电压 AC110 V。</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（七）调车信号机施工配线与故障处理实训台</w:t>
      </w:r>
      <w:r/>
    </w:p>
    <w:p>
      <w:pPr>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实训台为独立硬件单元，集成信号机组合架、继电器组合、分线盘、接口层于一体；台面配备故障模拟箱，可模拟信号机电气回路故障，满足学员对调车信号机施工配线、焊接、控制与故障处理实训与考核。</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电烙铁插座采用断路器进行安全防护。实训台内置 </w:t>
      </w:r>
      <w:r>
        <w:rPr>
          <w:rFonts w:hint="eastAsia"/>
          <w:highlight w:val="none"/>
          <w:lang w:val="en-US" w:eastAsia="zh-CN"/>
        </w:rPr>
        <w:t xml:space="preserve">I/O </w:t>
      </w:r>
      <w:r>
        <w:rPr>
          <w:rFonts w:hint="eastAsia" w:ascii="宋体" w:hAnsi="宋体" w:cs="宋体"/>
          <w:color w:val="000000"/>
          <w:szCs w:val="21"/>
          <w:highlight w:val="none"/>
        </w:rPr>
        <w:t xml:space="preserve"> 控制板，作为连接整套实训平台的数据接口，用于信号机点灯组合及信号机状态的采集上传与控制指令接收。</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（八）调车信号机</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信号机采用蓝、月白二显示调车矮型信号机。信号机由铝合金机构、LED 发光盘、智能点灯单元等组成。机构采用铝合金材料压铸。智能点灯单元具备断丝/故障自动报警并导向安全侧功能。</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主要性能：显示距离≥200 m，防护等级≥IP53，LED 寿命≥5 万小时。</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（九）50Hz 轨道电路施工配线与故障处理实训台</w:t>
      </w:r>
      <w:r/>
    </w:p>
    <w:p>
      <w:pPr>
        <w:numPr>
          <w:ilvl w:val="0"/>
          <w:numId w:val="5"/>
        </w:numPr>
        <w:ind w:left="0" w:righ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实训台为独立硬件单元，集成 50Hz 轨道电路组合架、继电器组合、分线盘、接口层于一体；台面配备故障模拟箱，可模拟轨道电路设备电气回路故障，满足学员对轨道电路设备施工配线、焊接、控制与故障处理实训与考核。</w:t>
      </w:r>
      <w:r/>
    </w:p>
    <w:p>
      <w:pPr>
        <w:numPr>
          <w:ilvl w:val="0"/>
          <w:numId w:val="5"/>
        </w:numPr>
        <w:ind w:left="0" w:righ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电烙铁插座采用断路器进行安全防护。配备I/O控制板，采集轨道电路的状态，同步在联锁软件系统上显示区段占用与空闲状态。</w:t>
      </w:r>
      <w:r/>
    </w:p>
    <w:p>
      <w:pPr>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val="en-US" w:eastAsia="zh-CN" w:bidi="ar-SA"/>
        </w:rPr>
        <w:t xml:space="preserve">（十）50Hz 微电子相敏轨道电路</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真实一送一受式50 Hz微电子相敏轨道电路，包含送电端电源变压器、受电端中继变压器、限流变阻器、断路器、变压器箱、微电子相敏接收器、轨道继电器、调相防雷器等，并配备钢轨绝缘、钢轨引接线、钢轨接续线。同时配备模拟钢轨段，变压器通过钢轨引接线接向</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3m</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长60 kg/m</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的钢轨。</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（十一）方向盒和终端盒</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采用真实城轨在用的方向电缆盒（分向盒）和终端电缆盒，用于室外信号设备电缆分向与终端配线，满足学生室外设备间配线施工、导通测试等实训要求。方向电缆盒宜选用 HF-4/HF-7 型（或同等），终端电缆盒宜选用 HZ-12/HZ-24 型（或同等），壳体材质为铸铁或 SMC 复合材料，端子采用瓷端子或万可端子。</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（十二）车站 ATS 终端</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本终端为适配车站ATS系统运行的专用操作终端，设备整体性能需完全满足城轨车站ATS系统全天候、不间断稳定运行要求，适配系统实时数据处理、界面监控、业务操作等全部功能场景，配套标准操控外设，可满足现场日常运维、参数操作、设备监控等所有作业需求。</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（十三）车辆段联锁终端</w:t>
      </w:r>
      <w:r/>
    </w:p>
    <w:p>
      <w:pPr>
        <w:ind w:firstLine="420"/>
        <w:jc w:val="left"/>
        <w:keepLines w:val="0"/>
        <w:keepNext w:val="0"/>
        <w:spacing w:line="360" w:lineRule="auto"/>
        <w:widowControl/>
        <w:rPr>
          <w:rFonts w:hint="eastAsia" w:ascii="宋体" w:hAnsi="宋体" w:cs="宋体"/>
          <w:color w:val="000000"/>
          <w:szCs w:val="21"/>
          <w:highlight w:val="none"/>
        </w:rPr>
        <w:suppressLineNumbers w:val="0"/>
      </w:pP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本终端为适配车辆段联锁系统运行的专用操作终端，设备整体性能需适配车辆段联锁系统高稳定性、高安全性运行标准，可支撑系统逻辑运算、设备状态监测、行车进路管控等核心业务运行，配套标准操控外设，满足车辆段日常联锁作业、设备调试、运行管控等工作需求。</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（十四）车站 ATS 系统</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1、系统应能实现以下进路控制功能：排列进路、取消进路、人工解锁进路、开放引导信号、进路自动解锁、设置/取消自动通过进路、进路控制模式切换（人工控制/自动控制）等。</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系统应能实现以下轨道设备功能：轨道占用/出清、轨道封锁/解封、区段故障解锁、计轴预复位、设置临时限速等。</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系统应能实现以下信号机设备功能：信号重开、信号封锁/解封、强制点灯/取消强制点灯等。</w:t>
      </w:r>
      <w:r/>
    </w:p>
    <w:p>
      <w:pPr>
        <w:ind w:firstLine="420"/>
        <w:keepLines w:val="0"/>
        <w:keepNext w:val="0"/>
        <w:pageBreakBefore w:val="0"/>
        <w:spacing w:line="360" w:lineRule="auto"/>
        <w:rPr>
          <w:rFonts w:hint="eastAsia" w:ascii="宋体" w:hAnsi="宋体" w:cs="宋体"/>
          <w:b/>
          <w:bCs/>
          <w:color w:val="000000"/>
          <w:sz w:val="21"/>
          <w:szCs w:val="21"/>
          <w:highlight w:val="none"/>
          <w:u w:val="none"/>
          <w:lang w:eastAsia="zh-CN"/>
        </w:rPr>
      </w:pPr>
      <w:r>
        <w:rPr>
          <w:rFonts w:hint="eastAsia" w:ascii="宋体" w:hAnsi="宋体" w:cs="宋体"/>
          <w:color w:val="000000"/>
          <w:szCs w:val="24"/>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、系统应能实现以下道岔设备功能：道岔定操/反操、设置/取消道岔强扳授权、道岔单锁/单解、道岔封锁/解封等。</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5、车站ATS系统配套专业数字资源：</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城市轨道交通ATS行车组织数字资源：包含列车运行图、运输计划、行车闭塞法、运行进路及行车凭证、正常情况下行车组织、非正常情况下的行车组织、救援列车与工程车、行车事故处理及预防等数字资源；</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城市轨道客运组织数字资源：包含城市轨道交通系统运营、城市轨道交通客流预测分析、车站客运作业组织、车站换乘作业组织、城市轨道交通大客流管理等数字资源；</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城市轨道交通信号与通信设备教学培训系统：系统可以将城市轨道交通通信与信号真实设备的结构组成、工作原理、操作步骤在虚拟软件中进行呈现；</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（十五）车辆段联锁系统</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1、系统应能显示信号设备的状态信息和列车位置信息等</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显示的主要内容包括但不限于：车辆基地的线路布局；信号元素（包括信号机、轨道区段、道岔等）状态及编号（可调显）；信号机状态，道岔状态，轨道区段状态，进路状态。</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2、信号设备操作系统</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应具备信号机操作功能：信号封锁/解封，重开列车信号/重开调车信号等；应具备道岔操作功能：道岔定操/反操，道岔封锁/解封，道岔单锁/单解等；应具备区段操作功能：区段故障解锁，区段封锁/解封；应具备进路控制功能：排列/取消列车进路，排列/人工解锁引导进路；应具备全站解锁/封锁、上电解锁，设置/取消引导总锁等操作。</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3、故障报警系统</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应具有设备运行状态监视及故障报警功能，当列车运行或信号设备发生异常时，应自动在工作站给出报警提示；报警应按预定义逻辑分为一、二、三级（与（十四）微机监测报警分级保持一致）；系统报警应分等级显示在工作站上，报警信息包含：年/月/日/时/分/秒、报警名称、报警内容、报警类型、报警地点、报警确认时间等。</w:t>
      </w:r>
      <w:r/>
    </w:p>
    <w:p>
      <w:pPr>
        <w:ind w:firstLine="420"/>
        <w:keepLines w:val="0"/>
        <w:keepNext w:val="0"/>
        <w:pageBreakBefore w:val="0"/>
        <w:spacing w:line="360" w:lineRule="auto"/>
        <w:rPr>
          <w:rFonts w:hint="eastAsia" w:ascii="宋体" w:hAnsi="宋体" w:cs="宋体"/>
          <w:b/>
          <w:bCs/>
          <w:color w:val="000000"/>
          <w:sz w:val="21"/>
          <w:szCs w:val="21"/>
          <w:highlight w:val="none"/>
          <w:u w:val="none"/>
          <w:lang w:eastAsia="zh-CN"/>
        </w:rPr>
      </w:pPr>
      <w:r>
        <w:rPr>
          <w:rFonts w:hint="eastAsia" w:ascii="宋体" w:hAnsi="宋体" w:cs="宋体"/>
          <w:color w:val="000000"/>
          <w:sz w:val="21"/>
          <w:szCs w:val="21"/>
          <w:highlight w:val="none"/>
          <w:lang w:val="en-US" w:eastAsia="zh-CN"/>
        </w:rPr>
        <w:t xml:space="preserve">4、</w:t>
      </w:r>
      <w:r>
        <w:rPr>
          <w:rFonts w:hint="eastAsia"/>
          <w:color w:val="000000"/>
          <w:szCs w:val="24"/>
          <w:highlight w:val="none"/>
        </w:rPr>
        <w:t xml:space="preserve">配备城轨信号维修综合仿真实训系统，系统由Web管理系统、Web学员系统和客户端应用系统等组成。仿真实训系统</w:t>
      </w:r>
      <w:r>
        <w:rPr>
          <w:rFonts w:hint="eastAsia"/>
          <w:color w:val="000000"/>
          <w:szCs w:val="24"/>
          <w:highlight w:val="none"/>
          <w:lang w:val="en-US" w:eastAsia="zh-CN"/>
        </w:rPr>
        <w:t xml:space="preserve">中</w:t>
      </w:r>
      <w:r>
        <w:rPr>
          <w:rFonts w:hint="eastAsia"/>
          <w:color w:val="000000"/>
          <w:szCs w:val="24"/>
          <w:highlight w:val="none"/>
        </w:rPr>
        <w:t xml:space="preserve">构建虚拟的三维数字化车站室内外信号设备场景，包含ZC机柜、计算机联锁机柜、计轴设备、道岔转辙机、信号机等。三维仿真设备的组成和结构需按照真实地铁车站设备进行仿真，设备的外观、形状、布局需与实际一致，主要的操作、发光、发声、报警、显示等设备的功能、内容、动作方式、控制方式、操作方式等属性与实际一致，并且按照实际的逻辑关系实时响应，响应的方式及结果与实际相同。</w:t>
      </w:r>
      <w:r>
        <w:rPr>
          <w:rFonts w:hint="eastAsia"/>
          <w:color w:val="000000"/>
          <w:szCs w:val="24"/>
          <w:highlight w:val="none"/>
          <w:lang w:val="en-US" w:eastAsia="zh-CN"/>
        </w:rPr>
        <w:t xml:space="preserve">可在</w:t>
      </w:r>
      <w:r>
        <w:rPr>
          <w:rFonts w:hint="eastAsia"/>
          <w:color w:val="000000"/>
          <w:szCs w:val="24"/>
          <w:highlight w:val="none"/>
        </w:rPr>
        <w:t xml:space="preserve">三维场景中开展各个设备的标准化检修作业和故障分析与处理等培训</w:t>
      </w:r>
      <w:r>
        <w:rPr>
          <w:rFonts w:hint="eastAsia"/>
          <w:color w:val="000000"/>
          <w:szCs w:val="24"/>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城轨车辆段联锁系统配套数字</w:t>
      </w:r>
      <w:r>
        <w:rPr>
          <w:rFonts w:hint="eastAsia" w:ascii="宋体" w:hAnsi="宋体" w:cs="宋体"/>
          <w:color w:val="000000"/>
          <w:szCs w:val="21"/>
          <w:highlight w:val="none"/>
        </w:rPr>
        <w:t xml:space="preserve">资源</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电务信号系统人身安全标准</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信号设备的仪表使用及电气特性测试</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S700K分动外锁闭道岔结构原理</w:t>
      </w:r>
      <w:r>
        <w:rPr>
          <w:rFonts w:hint="eastAsia" w:ascii="宋体" w:hAnsi="宋体" w:cs="宋体"/>
          <w:color w:val="000000"/>
          <w:szCs w:val="21"/>
          <w:highlight w:val="none"/>
          <w:lang w:val="en-US" w:eastAsia="zh-CN"/>
        </w:rPr>
        <w:t xml:space="preserve">与</w:t>
      </w:r>
      <w:r>
        <w:rPr>
          <w:rFonts w:hint="eastAsia" w:ascii="宋体" w:hAnsi="宋体" w:cs="宋体"/>
          <w:color w:val="000000"/>
          <w:szCs w:val="21"/>
          <w:highlight w:val="none"/>
        </w:rPr>
        <w:t xml:space="preserve">应急处理</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密贴调整</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信号电源屏柜设备工作原理及维修程序</w:t>
      </w:r>
      <w:r>
        <w:rPr>
          <w:rFonts w:hint="eastAsia" w:ascii="宋体" w:hAnsi="宋体" w:cs="宋体"/>
          <w:color w:val="000000"/>
          <w:szCs w:val="21"/>
          <w:highlight w:val="none"/>
          <w:lang w:val="en-US" w:eastAsia="zh-CN"/>
        </w:rPr>
        <w:t xml:space="preserve">与</w:t>
      </w:r>
      <w:r>
        <w:rPr>
          <w:rFonts w:hint="eastAsia" w:ascii="宋体" w:hAnsi="宋体" w:cs="宋体"/>
          <w:color w:val="000000"/>
          <w:szCs w:val="21"/>
          <w:highlight w:val="none"/>
        </w:rPr>
        <w:t xml:space="preserve">标准</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轨道电路原理及应急故障处理</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6502电气集中室内设备故障处理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联锁设备工作原理</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计算机连锁系统原理及故障处理</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ZDJ9</w:t>
      </w:r>
      <w:r>
        <w:rPr>
          <w:rFonts w:hint="eastAsia" w:ascii="宋体" w:hAnsi="宋体" w:cs="宋体"/>
          <w:color w:val="000000"/>
          <w:szCs w:val="21"/>
          <w:highlight w:val="none"/>
          <w:lang w:val="en-US" w:eastAsia="zh-CN"/>
        </w:rPr>
        <w:t xml:space="preserve">系列</w:t>
      </w:r>
      <w:r>
        <w:rPr>
          <w:rFonts w:hint="eastAsia" w:ascii="宋体" w:hAnsi="宋体" w:cs="宋体"/>
          <w:color w:val="000000"/>
          <w:szCs w:val="21"/>
          <w:highlight w:val="none"/>
        </w:rPr>
        <w:t xml:space="preserve">电动转辙机的结构原理</w:t>
      </w:r>
      <w:r>
        <w:rPr>
          <w:rFonts w:hint="eastAsia" w:ascii="宋体" w:hAnsi="宋体" w:cs="宋体"/>
          <w:color w:val="000000"/>
          <w:szCs w:val="21"/>
          <w:highlight w:val="none"/>
          <w:lang w:eastAsia="zh-CN"/>
        </w:rPr>
        <w:t xml:space="preserve">；</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（十六）故障设置与提交系统</w:t>
      </w:r>
      <w:r/>
    </w:p>
    <w:p>
      <w:pPr>
        <w:ind w:firstLine="420"/>
        <w:keepLines w:val="0"/>
        <w:keepNext w:val="0"/>
        <w:pageBreakBefore w:val="0"/>
        <w:spacing w:line="360" w:lineRule="auto"/>
        <w:rPr>
          <w:rFonts w:hint="eastAsia"/>
          <w:highlight w:val="none"/>
          <w:lang w:val="en-US" w:eastAsia="zh-CN"/>
        </w:rPr>
      </w:pPr>
      <w:r>
        <w:rPr>
          <w:rFonts w:hint="eastAsia" w:ascii="宋体" w:hAnsi="宋体" w:cs="宋体"/>
          <w:color w:val="000000"/>
          <w:szCs w:val="24"/>
          <w:highlight w:val="none"/>
          <w:lang w:bidi="ar"/>
        </w:rPr>
        <w:t xml:space="preserve">▲</w:t>
      </w:r>
      <w:r>
        <w:rPr>
          <w:rFonts w:hint="eastAsia"/>
          <w:highlight w:val="none"/>
          <w:lang w:val="en-US" w:eastAsia="zh-CN"/>
        </w:rPr>
        <w:t xml:space="preserve">1、故障设置功能：支持在信号设备电路图上选取故障点，下发断线、短路或混线等故障设置，并支持对故障进行修复；故障设置范围应覆盖各类信号设备（至少包含列车或调车信号机、轨道电路、转辙机、计轴设备）。</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2、故障提交与评判功能：故障点排查后，可通过信号设备电路图提交排故答案；系统应对答案正确性自动评判，实现自动化考核。</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（十七）教员管理系统</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1、系统监管与维护：应支持对整套系统的全方位监管、控制与系统维护，覆盖设备运转前准备、培训中状态监测至培训后数据处理与评价的全流程。</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2、培训与考核管理：应支持培训课程设计与基础数据准备，支持实训任务及考核试卷的下发与终止；考核试卷应可编辑（添加、删除、修改）；考核内容应支持自由或随机选取设备故障点。</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3、成绩与记录管理：应同步记录实训练习与考核成绩，支持查看实操记录、提交记录，提供评分标准并支持成绩导出。</w:t>
      </w:r>
      <w:r/>
    </w:p>
    <w:p>
      <w:pPr>
        <w:ind w:firstLine="420"/>
        <w:spacing w:line="360" w:lineRule="auto"/>
        <w:rPr>
          <w:rFonts w:hint="eastAsia"/>
          <w:highlight w:val="none"/>
          <w:lang w:val="en-US" w:eastAsia="zh-CN"/>
        </w:rPr>
      </w:pPr>
      <w:r>
        <w:rPr>
          <w:rFonts w:hint="eastAsia"/>
          <w:highlight w:val="none"/>
          <w:lang w:val="en-US" w:eastAsia="zh-CN"/>
        </w:rPr>
        <w:t xml:space="preserve">4、设备集中控制：应支持系统设备一键开关机，减少实作前后设备启动与恢复时间。</w:t>
      </w:r>
      <w:r/>
    </w:p>
    <w:p>
      <w:pPr>
        <w:ind w:firstLine="420"/>
        <w:spacing w:line="360" w:lineRule="auto"/>
        <w:rPr>
          <w:color w:val="000000"/>
          <w:szCs w:val="24"/>
          <w:highlight w:val="none"/>
        </w:rPr>
      </w:pPr>
      <w:r>
        <w:rPr>
          <w:rFonts w:hint="eastAsia"/>
          <w:color w:val="000000"/>
          <w:szCs w:val="24"/>
          <w:highlight w:val="none"/>
        </w:rPr>
        <w:t xml:space="preserve">▲</w:t>
      </w:r>
      <w:r>
        <w:rPr>
          <w:rFonts w:hint="eastAsia"/>
          <w:color w:val="000000"/>
          <w:szCs w:val="24"/>
          <w:highlight w:val="none"/>
          <w:lang w:val="en-US" w:eastAsia="zh-CN"/>
        </w:rPr>
        <w:t xml:space="preserve">5、</w:t>
      </w:r>
      <w:r>
        <w:rPr>
          <w:rFonts w:hint="eastAsia"/>
          <w:color w:val="000000"/>
          <w:szCs w:val="24"/>
          <w:highlight w:val="none"/>
        </w:rPr>
        <w:t xml:space="preserve">系统能够实现终端管理、试卷管理、成绩管理以及教员管理功能；能够查看考试信息、考试成绩、操作记录功能</w:t>
      </w:r>
      <w:r>
        <w:rPr>
          <w:rFonts w:hint="eastAsia"/>
          <w:color w:val="000000"/>
          <w:szCs w:val="24"/>
          <w:highlight w:val="none"/>
          <w:lang w:eastAsia="zh-CN"/>
        </w:rPr>
        <w:t xml:space="preserve">。</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（十八）工具套装</w:t>
      </w:r>
      <w:r/>
    </w:p>
    <w:p>
      <w:pPr>
        <w:ind w:firstLine="420"/>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每个实训工位配置一套工具套装，至少包含：数字万用表、电烙铁、焊锡丝、焊台等。</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（十九）应答器实训系统</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有源应答器：</w:t>
      </w:r>
      <w:r>
        <w:rPr>
          <w:rFonts w:hint="eastAsia" w:ascii="宋体" w:hAnsi="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lang w:val="en-US" w:eastAsia="zh-CN"/>
        </w:rPr>
        <w:t xml:space="preserve">真实 450 mm×260 mm×40 mm 应答器，含可变应答器电缆（接 LEU）。</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无源应答器：</w:t>
      </w:r>
      <w:r>
        <w:rPr>
          <w:rFonts w:hint="eastAsia" w:ascii="宋体" w:hAnsi="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lang w:val="en-US" w:eastAsia="zh-CN"/>
        </w:rPr>
        <w:t xml:space="preserve">真实 450 mm×260 mm×40 mm 应答器。</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应答器报文读写器：</w:t>
      </w:r>
      <w:r>
        <w:rPr>
          <w:rFonts w:hint="eastAsia" w:ascii="宋体" w:hAnsi="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lang w:val="en-US" w:eastAsia="zh-CN"/>
        </w:rPr>
        <w:t xml:space="preserve">用于应答器报文的烧写、读取及检查。</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（二十）轨道与道岔</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1、轨道与</w:t>
      </w:r>
      <w:r>
        <w:rPr>
          <w:rFonts w:hint="eastAsia" w:ascii="宋体" w:hAnsi="宋体" w:eastAsia="宋体" w:cs="宋体"/>
          <w:color w:val="000000"/>
          <w:sz w:val="21"/>
          <w:szCs w:val="21"/>
          <w:highlight w:val="none"/>
          <w:lang w:val="en-US" w:eastAsia="zh-CN"/>
        </w:rPr>
        <w:t xml:space="preserve">道岔平台</w:t>
      </w:r>
      <w:r>
        <w:rPr>
          <w:rFonts w:hint="eastAsia" w:ascii="宋体" w:hAnsi="宋体" w:cs="宋体"/>
          <w:color w:val="000000"/>
          <w:sz w:val="21"/>
          <w:szCs w:val="21"/>
          <w:highlight w:val="none"/>
          <w:lang w:val="en-US" w:eastAsia="zh-CN"/>
        </w:rPr>
        <w:t xml:space="preserve">长度不小于3m,</w:t>
      </w:r>
      <w:r>
        <w:rPr>
          <w:rFonts w:hint="eastAsia" w:ascii="宋体" w:hAnsi="宋体" w:eastAsia="宋体" w:cs="宋体"/>
          <w:color w:val="000000"/>
          <w:sz w:val="21"/>
          <w:szCs w:val="21"/>
          <w:highlight w:val="none"/>
          <w:lang w:val="en-US" w:eastAsia="zh-CN"/>
        </w:rPr>
        <w:t xml:space="preserve">含实物60 kg/m钢轨</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单开道岔岔尖及道岔安装平台，道岔钢轨扣件位置正确、齐全、有效，尖轨操动灵活、贴靠。直股钢轨用于安装轨旁计轴磁头设备（与（二十一）计轴实训系统配套）。</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（二十一）计轴实训系统</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计轴机柜：采用仿真计轴机柜，实现计轴设备对轨道物理占用的检测功能。主要包含放大板、计轴板、输出板、复零板和电源板等功能单元，其外观、板卡面板、指示灯显示及接口与真实设备一致。能够检测列车并给出区段占用信息，控制轨道继电器动作，同时可实现计轴预复位功能；能判断列车行进方向。计轴机柜应具备故障注入</w:t>
      </w:r>
      <w:r>
        <w:rPr>
          <w:rFonts w:hint="eastAsia" w:ascii="宋体" w:hAnsi="宋体" w:cs="宋体"/>
          <w:color w:val="000000"/>
          <w:sz w:val="21"/>
          <w:szCs w:val="21"/>
          <w:highlight w:val="none"/>
          <w:lang w:val="en-US" w:eastAsia="zh-CN"/>
        </w:rPr>
        <w:t xml:space="preserve">与</w:t>
      </w:r>
      <w:r>
        <w:rPr>
          <w:rFonts w:hint="eastAsia" w:ascii="宋体" w:hAnsi="宋体" w:eastAsia="宋体" w:cs="宋体"/>
          <w:color w:val="000000"/>
          <w:sz w:val="21"/>
          <w:szCs w:val="21"/>
          <w:highlight w:val="none"/>
          <w:lang w:val="en-US" w:eastAsia="zh-CN"/>
        </w:rPr>
        <w:t xml:space="preserve">执行功能，可根据实训场景脚本快速改变面板指示灯状态。</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室外计轴设备：包含仿真计轴磁头及仿真计轴轨旁盒，实现计轴区段占用、出清状态采集。</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（二十二）轨道测试小车</w:t>
      </w:r>
      <w:r/>
    </w:p>
    <w:p>
      <w:pPr>
        <w:ind w:firstLine="420"/>
        <w:jc w:val="left"/>
        <w:keepLines w:val="0"/>
        <w:keepNext w:val="0"/>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可在轨道上推行，模拟列车通过；小车车轮应能在钢轨上运行并触发轨旁计轴磁头（实现计轴区段占用），同时可短接轨道电路（实现轨道占用与空闲），覆盖（十）轨道电路与（二十一）计轴实训的占用/空闲演示需求。</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i/>
          <w:iCs/>
          <w:szCs w:val="21"/>
          <w:highlight w:val="none"/>
          <w:u w:val="single"/>
          <w:lang w:val="en-US" w:eastAsia="zh-CN"/>
        </w:rPr>
      </w:pPr>
      <w:r>
        <w:rPr>
          <w:rFonts w:hint="eastAsia" w:ascii="宋体" w:hAnsi="宋体" w:eastAsia="宋体" w:cs="宋体"/>
          <w:b/>
          <w:bCs/>
          <w:szCs w:val="21"/>
          <w:highlight w:val="none"/>
        </w:rPr>
        <w:t xml:space="preserve">“★”“▲”的技术参数响应需提供支撑资料（提供相关证明材料并加盖投标单位公章</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包括但不限于明确说明该技术内容的公开发行的产品彩页或产品说明书或第三方检测机构的检测报告等，自拟无效</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），如未附有效支撑材料或者所附的支撑材料由评标委员会认为不能佐证技术指标的有效性的，则视为负偏离。</w:t>
      </w:r>
      <w:r>
        <w:rPr>
          <w:rFonts w:hint="eastAsia" w:ascii="宋体" w:hAnsi="宋体" w:eastAsia="宋体" w:cs="宋体"/>
          <w:b/>
          <w:bCs/>
          <w:i/>
          <w:iCs/>
          <w:szCs w:val="21"/>
          <w:highlight w:val="none"/>
          <w:u w:val="single"/>
          <w:lang w:val="en-US" w:eastAsia="zh-CN"/>
        </w:rPr>
        <w:t xml:space="preserve">如文件中要求提供证明材料，建议采用</w:t>
      </w:r>
      <w:r>
        <w:rPr>
          <w:rFonts w:hint="eastAsia" w:ascii="宋体" w:hAnsi="宋体" w:cs="宋体"/>
          <w:b/>
          <w:bCs/>
          <w:i/>
          <w:iCs/>
          <w:szCs w:val="21"/>
          <w:highlight w:val="none"/>
          <w:u w:val="single"/>
          <w:lang w:val="en-US" w:eastAsia="zh-CN"/>
        </w:rPr>
        <w:t xml:space="preserve">页码、箭头</w:t>
      </w:r>
      <w:r>
        <w:rPr>
          <w:rFonts w:hint="eastAsia" w:ascii="宋体" w:hAnsi="宋体" w:eastAsia="宋体" w:cs="宋体"/>
          <w:b/>
          <w:bCs/>
          <w:i/>
          <w:iCs/>
          <w:szCs w:val="21"/>
          <w:highlight w:val="none"/>
          <w:u w:val="single"/>
          <w:lang w:val="en-US" w:eastAsia="zh-CN"/>
        </w:rPr>
        <w:t xml:space="preserve">、标红、下划线或页码等进行明显标注，方便评委查看。</w:t>
      </w:r>
      <w:bookmarkEnd w:id="28"/>
      <w:r/>
      <w:bookmarkEnd w:id="29"/>
      <w:r/>
      <w:bookmarkEnd w:id="30"/>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4"/>
        <w:numPr>
          <w:ilvl w:val="0"/>
          <w:numId w:val="0"/>
        </w:numPr>
        <w:ind w:firstLine="422"/>
        <w:jc w:val="both"/>
        <w:spacing w:after="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三、服务要求</w:t>
      </w:r>
      <w:r/>
    </w:p>
    <w:p>
      <w:pPr>
        <w:ind w:firstLine="420"/>
        <w:spacing w:line="360" w:lineRule="auto"/>
        <w:rPr>
          <w:rFonts w:hint="eastAsia" w:ascii="宋体" w:hAnsi="宋体" w:eastAsia="宋体" w:cs="宋体"/>
          <w:b/>
          <w:bCs/>
          <w:sz w:val="21"/>
          <w:szCs w:val="21"/>
          <w:highlight w:val="none"/>
          <w:lang w:val="en-US" w:eastAsia="zh-CN" w:bidi="ar-SA"/>
        </w:rPr>
      </w:pPr>
      <w:r/>
      <w:bookmarkStart w:id="31" w:name="OLE_LINK40"/>
      <w:r>
        <w:rPr>
          <w:rFonts w:hint="eastAsia" w:ascii="宋体" w:hAnsi="宋体" w:eastAsia="宋体" w:cs="宋体"/>
          <w:sz w:val="21"/>
          <w:szCs w:val="21"/>
          <w:highlight w:val="none"/>
          <w:lang w:val="en-US" w:eastAsia="zh-CN" w:bidi="ar-SA"/>
        </w:rPr>
        <w:t xml:space="preserve">★1、为推进校企合作共建实验实训室，中标人承诺中标后为学校提供配套投入，具体投入内容在签订合同前与学校按相关制度协商确定。</w:t>
      </w:r>
      <w:r>
        <w:rPr>
          <w:rFonts w:hint="eastAsia" w:ascii="宋体" w:hAnsi="宋体" w:cs="宋体"/>
          <w:b/>
          <w:bCs/>
          <w:color w:val="auto"/>
          <w:spacing w:val="8"/>
          <w:szCs w:val="21"/>
          <w:highlight w:val="none"/>
          <w:lang w:val="en-US" w:eastAsia="zh-CN"/>
        </w:rPr>
        <w:t xml:space="preserve">（提供承诺书并加盖公章；未提供承诺书或承诺书内容表述不清，存在评审歧义的，视为无效投标）</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、免费质保</w:t>
      </w:r>
      <w:r>
        <w:rPr>
          <w:rFonts w:hint="eastAsia" w:ascii="宋体" w:hAnsi="宋体" w:eastAsia="宋体" w:cs="宋体"/>
          <w:szCs w:val="21"/>
          <w:highlight w:val="none"/>
          <w:lang w:val="zh-CN"/>
        </w:rPr>
        <w:t xml:space="preserve">期：</w:t>
      </w:r>
      <w:r>
        <w:rPr>
          <w:rFonts w:hint="eastAsia" w:ascii="宋体" w:hAnsi="宋体" w:eastAsia="宋体" w:cs="宋体"/>
          <w:szCs w:val="21"/>
          <w:highlight w:val="none"/>
        </w:rPr>
        <w:t xml:space="preserve">质保期</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自验收合格之日起开始计算。</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技术培训：为采购方进行人员</w:t>
      </w:r>
      <w:r>
        <w:rPr>
          <w:rFonts w:hint="eastAsia" w:ascii="宋体" w:hAnsi="宋体" w:cs="宋体"/>
          <w:szCs w:val="21"/>
          <w:highlight w:val="none"/>
          <w:lang w:val="en-US" w:eastAsia="zh-CN"/>
        </w:rPr>
        <w:t xml:space="preserve">线下</w:t>
      </w:r>
      <w:r>
        <w:rPr>
          <w:rFonts w:hint="eastAsia" w:ascii="宋体" w:hAnsi="宋体" w:eastAsia="宋体" w:cs="宋体"/>
          <w:szCs w:val="21"/>
          <w:highlight w:val="none"/>
          <w:lang w:val="zh-CN"/>
        </w:rPr>
        <w:t xml:space="preserve">培训，提供每年不少于</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次的设备操作培训，培训人员</w:t>
      </w:r>
      <w:r>
        <w:rPr>
          <w:rFonts w:hint="eastAsia" w:ascii="宋体" w:hAnsi="宋体" w:eastAsia="宋体" w:cs="宋体"/>
          <w:szCs w:val="21"/>
          <w:highlight w:val="none"/>
        </w:rPr>
        <w:t xml:space="preserve">数量</w:t>
      </w:r>
      <w:r>
        <w:rPr>
          <w:rFonts w:hint="eastAsia" w:ascii="宋体" w:hAnsi="宋体" w:eastAsia="宋体" w:cs="宋体"/>
          <w:szCs w:val="21"/>
          <w:highlight w:val="none"/>
          <w:lang w:val="zh-CN"/>
        </w:rPr>
        <w:t xml:space="preserve">不低于</w:t>
      </w:r>
      <w:r>
        <w:rPr>
          <w:rFonts w:hint="eastAsia" w:ascii="宋体" w:hAnsi="宋体" w:cs="宋体"/>
          <w:szCs w:val="21"/>
          <w:highlight w:val="none"/>
          <w:lang w:val="en-US" w:eastAsia="zh-CN"/>
        </w:rPr>
        <w:t xml:space="preserve">20</w:t>
      </w:r>
      <w:r>
        <w:rPr>
          <w:rFonts w:hint="eastAsia" w:ascii="宋体" w:hAnsi="宋体" w:eastAsia="宋体" w:cs="宋体"/>
          <w:szCs w:val="21"/>
          <w:highlight w:val="none"/>
          <w:lang w:val="zh-CN"/>
        </w:rPr>
        <w:t xml:space="preserve">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售后技术服务要求：</w:t>
      </w:r>
      <w:bookmarkEnd w:id="31"/>
      <w:r>
        <w:rPr>
          <w:rFonts w:hint="eastAsia" w:ascii="宋体" w:hAnsi="宋体" w:eastAsia="宋体" w:cs="宋体"/>
          <w:szCs w:val="21"/>
          <w:highlight w:val="none"/>
          <w:lang w:val="zh-CN"/>
        </w:rPr>
        <w:t xml:space="preserve">接到故障通知后</w:t>
      </w:r>
      <w:r>
        <w:rPr>
          <w:rFonts w:hint="eastAsia" w:ascii="宋体" w:hAnsi="宋体" w:cs="宋体"/>
          <w:szCs w:val="21"/>
          <w:highlight w:val="none"/>
          <w:lang w:val="en-US" w:eastAsia="zh-CN"/>
        </w:rPr>
        <w:t xml:space="preserve">24</w:t>
      </w:r>
      <w:r>
        <w:rPr>
          <w:rFonts w:hint="eastAsia" w:ascii="宋体" w:hAnsi="宋体" w:eastAsia="宋体" w:cs="宋体"/>
          <w:szCs w:val="21"/>
          <w:highlight w:val="none"/>
          <w:lang w:val="zh-CN"/>
        </w:rPr>
        <w:t xml:space="preserve">小时内作出答复，一般问题</w:t>
      </w:r>
      <w:r>
        <w:rPr>
          <w:rFonts w:hint="eastAsia" w:ascii="宋体" w:hAnsi="宋体" w:cs="宋体"/>
          <w:szCs w:val="21"/>
          <w:highlight w:val="none"/>
          <w:lang w:val="en-US" w:eastAsia="zh-CN"/>
        </w:rPr>
        <w:t xml:space="preserve">48</w:t>
      </w:r>
      <w:r>
        <w:rPr>
          <w:rFonts w:hint="eastAsia" w:ascii="宋体" w:hAnsi="宋体" w:eastAsia="宋体" w:cs="宋体"/>
          <w:szCs w:val="21"/>
          <w:highlight w:val="none"/>
          <w:lang w:val="zh-CN"/>
        </w:rPr>
        <w:t xml:space="preserve">小时之内解决；若采购方有需求，</w:t>
      </w:r>
      <w:r>
        <w:rPr>
          <w:rFonts w:hint="eastAsia" w:ascii="宋体" w:hAnsi="宋体" w:cs="宋体"/>
          <w:szCs w:val="21"/>
          <w:highlight w:val="none"/>
          <w:lang w:val="en-US" w:eastAsia="zh-CN"/>
        </w:rPr>
        <w:t xml:space="preserve">48</w:t>
      </w:r>
      <w:r>
        <w:rPr>
          <w:rFonts w:hint="eastAsia" w:ascii="宋体" w:hAnsi="宋体" w:eastAsia="宋体" w:cs="宋体"/>
          <w:szCs w:val="21"/>
          <w:highlight w:val="none"/>
          <w:lang w:val="zh-CN"/>
        </w:rPr>
        <w:t xml:space="preserve">小时内到达现场解决；若遇重大问题在</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zh-CN"/>
        </w:rPr>
        <w:t xml:space="preserve">天内解决。</w:t>
      </w:r>
      <w:r/>
    </w:p>
    <w:p>
      <w:pPr>
        <w:pStyle w:val="1063"/>
        <w:ind w:left="0" w:firstLine="454"/>
        <w:spacing w:line="360" w:lineRule="auto"/>
        <w:rPr>
          <w:rFonts w:hint="eastAsia" w:ascii="宋体" w:hAnsi="宋体" w:eastAsia="宋体" w:cs="宋体"/>
          <w:b/>
          <w:bCs/>
          <w:color w:val="000000" w:themeColor="text1"/>
          <w:spacing w:val="8"/>
          <w:szCs w:val="21"/>
          <w:highlight w:val="none"/>
          <w14:textFill>
            <w14:solidFill>
              <w14:schemeClr w14:val="tx1"/>
            </w14:solidFill>
          </w14:textFill>
        </w:rPr>
      </w:pPr>
      <w:r>
        <w:rPr>
          <w:rFonts w:hint="eastAsia" w:ascii="宋体" w:hAnsi="宋体" w:eastAsia="宋体" w:cs="宋体"/>
          <w:b/>
          <w:bCs/>
          <w:color w:val="000000" w:themeColor="text1"/>
          <w:spacing w:val="8"/>
          <w:szCs w:val="21"/>
          <w:highlight w:val="none"/>
          <w14:textFill>
            <w14:solidFill>
              <w14:schemeClr w14:val="tx1"/>
            </w14:solidFill>
          </w14:textFill>
        </w:rPr>
      </w:r>
      <w:r/>
    </w:p>
    <w:p>
      <w:pPr>
        <w:pStyle w:val="1063"/>
        <w:ind w:left="0"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四、安装要求</w:t>
      </w:r>
      <w:r/>
    </w:p>
    <w:p>
      <w:pPr>
        <w:ind w:firstLine="420"/>
        <w:spacing w:line="360" w:lineRule="auto"/>
        <w:rPr>
          <w:rFonts w:hint="eastAsia" w:ascii="宋体" w:hAnsi="宋体" w:eastAsia="宋体" w:cs="宋体"/>
          <w:szCs w:val="21"/>
          <w:highlight w:val="none"/>
          <w:lang w:val="zh-CN"/>
        </w:rPr>
      </w:pPr>
      <w:r/>
      <w:bookmarkStart w:id="32" w:name="OLE_LINK9"/>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按照国家现行行业规范标准进行安装，符合国家或行业质量检验评定标准，没有行业标准的产品，</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应提供相关制造商标准。</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设备安装调试：设备到货后，卖方在接到通知的</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zh-CN"/>
        </w:rPr>
        <w:t xml:space="preserve">个工作日内派人前往负责该设备的安装、调试和操作培训，直至达到各项验收指标合格。</w:t>
      </w:r>
      <w:bookmarkEnd w:id="32"/>
      <w:r/>
      <w:r/>
    </w:p>
    <w:p>
      <w:pPr>
        <w:pStyle w:val="1063"/>
        <w:ind w:left="0"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lang w:val="en-US" w:eastAsia="zh-CN"/>
        </w:rPr>
        <w:t xml:space="preserve">3、验收要求：</w:t>
      </w:r>
      <w:r>
        <w:rPr>
          <w:rFonts w:hint="eastAsia" w:ascii="宋体" w:hAnsi="宋体" w:eastAsia="宋体" w:cs="宋体"/>
          <w:szCs w:val="21"/>
          <w:highlight w:val="none"/>
        </w:rPr>
        <w:t xml:space="preserve">供应商提供符合招标文件要求的设备设施，并完成安装调试，试运行至少1个月，试运行过程中出现问题随时解决处理，试运行正常一个月后出运行报告，试运行合格后组织部门验收，再提请实验室处验收。</w:t>
      </w:r>
      <w:r/>
    </w:p>
    <w:p>
      <w:pPr>
        <w:pStyle w:val="1066"/>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1066"/>
        <w:ind w:firstLine="42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五、交货期、交货方式及交货地点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1、交货期：合同签订生效后，</w:t>
      </w:r>
      <w:r>
        <w:rPr>
          <w:rFonts w:hint="eastAsia" w:ascii="宋体" w:hAnsi="宋体" w:cs="宋体"/>
          <w:szCs w:val="21"/>
          <w:highlight w:val="none"/>
          <w:lang w:val="en-US" w:eastAsia="zh-CN"/>
        </w:rPr>
        <w:t xml:space="preserve">70个日历日</w:t>
      </w:r>
      <w:r>
        <w:rPr>
          <w:rFonts w:hint="eastAsia" w:ascii="宋体" w:hAnsi="宋体" w:eastAsia="宋体" w:cs="宋体"/>
          <w:szCs w:val="21"/>
          <w:highlight w:val="none"/>
          <w:lang w:val="zh-CN"/>
        </w:rPr>
        <w:t xml:space="preserve">内全部设备、材料运抵现场，并安装、调试结束。</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2、交货方式：</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lang w:val="zh-CN"/>
        </w:rPr>
        <w:t xml:space="preserve">在采购</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lang w:val="zh-CN"/>
        </w:rPr>
        <w:t xml:space="preserve">指定地点交货，并完成安装、调试。</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3、交货地点：南京工业职业技术大学指定地点。</w:t>
      </w:r>
      <w:r/>
    </w:p>
    <w:p>
      <w:pPr>
        <w:pStyle w:val="1063"/>
        <w:ind w:left="0" w:firstLine="454"/>
        <w:spacing w:line="360" w:lineRule="auto"/>
        <w:rPr>
          <w:rFonts w:hint="eastAsia" w:ascii="宋体" w:hAnsi="宋体" w:eastAsia="宋体" w:cs="宋体"/>
          <w:b/>
          <w:bCs/>
          <w:color w:val="000000" w:themeColor="text1"/>
          <w:spacing w:val="8"/>
          <w:szCs w:val="21"/>
          <w:highlight w:val="none"/>
          <w14:textFill>
            <w14:solidFill>
              <w14:schemeClr w14:val="tx1"/>
            </w14:solidFill>
          </w14:textFill>
        </w:rPr>
      </w:pPr>
      <w:r>
        <w:rPr>
          <w:rFonts w:hint="eastAsia" w:ascii="宋体" w:hAnsi="宋体" w:eastAsia="宋体" w:cs="宋体"/>
          <w:b/>
          <w:bCs/>
          <w:color w:val="000000" w:themeColor="text1"/>
          <w:spacing w:val="8"/>
          <w:szCs w:val="21"/>
          <w:highlight w:val="none"/>
          <w14:textFill>
            <w14:solidFill>
              <w14:schemeClr w14:val="tx1"/>
            </w14:solidFill>
          </w14:textFill>
        </w:rPr>
      </w:r>
      <w:r/>
    </w:p>
    <w:p>
      <w:pPr>
        <w:pStyle w:val="1063"/>
        <w:ind w:left="0" w:firstLine="454"/>
        <w:spacing w:line="360" w:lineRule="auto"/>
        <w:rPr>
          <w:rFonts w:hint="eastAsia" w:ascii="宋体" w:hAnsi="宋体" w:eastAsia="宋体" w:cs="宋体"/>
          <w:b/>
          <w:bCs/>
          <w:color w:val="000000" w:themeColor="text1"/>
          <w:spacing w:val="8"/>
          <w:szCs w:val="21"/>
          <w:highlight w:val="none"/>
          <w14:textFill>
            <w14:solidFill>
              <w14:schemeClr w14:val="tx1"/>
            </w14:solidFill>
          </w14:textFill>
        </w:rPr>
      </w:pPr>
      <w:r>
        <w:rPr>
          <w:rFonts w:hint="eastAsia" w:ascii="宋体" w:hAnsi="宋体" w:eastAsia="宋体" w:cs="宋体"/>
          <w:b/>
          <w:bCs/>
          <w:color w:val="000000" w:themeColor="text1"/>
          <w:spacing w:val="8"/>
          <w:szCs w:val="21"/>
          <w:highlight w:val="none"/>
          <w14:textFill>
            <w14:solidFill>
              <w14:schemeClr w14:val="tx1"/>
            </w14:solidFill>
          </w14:textFill>
        </w:rPr>
        <w:t xml:space="preserve">六、其他技术服务要求</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须保证本次投标产品系优质材料和先进工艺制成新出厂的产品，且完全与投标文件所述相符。</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应根据招标文件要求提供项目实施方案，方案包含以下内容：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 配送组织架构：需明确配送团队的人员配置、岗位职责、车辆及设备投入情况，并提供组织架构图；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 进度控制措施：需包含进度跟踪方式、报告周期、异常情况处理流程；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④ 风险控制管理：需列出可能影响供货的风险类型，并针对每种风险提供应对预案；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⑤ 质量保障措施：需明确质量标准、检验方法、不合格品处理机制。</w:t>
      </w:r>
      <w:r/>
    </w:p>
    <w:p>
      <w:pPr>
        <w:ind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应根据招标文件要求提供项目验收配合方案</w:t>
      </w:r>
      <w:r>
        <w:rPr>
          <w:rFonts w:hint="eastAsia" w:ascii="宋体" w:hAnsi="宋体" w:cs="宋体"/>
          <w:szCs w:val="21"/>
          <w:highlight w:val="none"/>
          <w:lang w:eastAsia="zh-CN"/>
        </w:rPr>
        <w:t xml:space="preserve">（本项目履约验收由采购人依法组织实施，供应商须配合采购人完成全部验收工作）</w:t>
      </w:r>
      <w:r>
        <w:rPr>
          <w:rFonts w:hint="eastAsia" w:ascii="宋体" w:hAnsi="宋体" w:eastAsia="宋体" w:cs="宋体"/>
          <w:szCs w:val="21"/>
          <w:highlight w:val="none"/>
        </w:rPr>
        <w:t xml:space="preserve">，方案包含以下内容：</w:t>
      </w:r>
      <w:r/>
    </w:p>
    <w:p>
      <w:pPr>
        <w:ind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① 验收配合流程：明确设备安装完成后，供应商配合采购人从提请验收至完成最终验收签字的全部工作步骤，可附流程图或步骤说明；</w:t>
      </w:r>
      <w:r/>
    </w:p>
    <w:p>
      <w:pPr>
        <w:ind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② 验收指标配合响应：针对本项目各项技术指标，列明供应商配合采购人开展核验、测试的工作方式，可配套提供供应商准备的检查核对样表；</w:t>
      </w:r>
      <w:r/>
    </w:p>
    <w:p>
      <w:pPr>
        <w:ind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③ 验收资料提交清单：列明验收环节供应商需向采购人提交的全部资料名称，明确资料的来源、编制及提供责任；</w:t>
      </w:r>
      <w:r/>
    </w:p>
    <w:p>
      <w:pPr>
        <w:ind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④ 供应商验收配合人员安排：明确本项目负责验收配合工作人员的姓名、职务、相关项目经验，提供人员配置表；</w:t>
      </w:r>
      <w:r/>
    </w:p>
    <w:p>
      <w:pPr>
        <w:ind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应根据招标文件要求提供售后服务承诺方案，方案包含以下内容：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 售后服务响应时间：需明确售后服务的联系方式、响应时限、到达现场时间、解决问题的时间承诺；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 售后服务人员配置：需明确售后服务团队的人员数量、资质、分工及联系方式；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 质保期内服务内容：需明确质保期内免费提供的服务项目；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④ 质保期后服务方案：需明确质保期满后的服务提供方式；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⑤ 备品备件清单：需列出常用备品、配件、耗材的名称、品牌、规格型号、单价，并提供价格清单；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⑥ 维修服务明细：需明确维修项目的收费标准或折扣率；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⑦ 技术指导方案：需说明对采购方人员的培训计划以及日常技术支持的渠道。</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应根据招标文件要求提供培训方案，方案包含以下内容：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 培训对象：需明确接受培训的人员类别及预计人数；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 培训内容：需列出具体培训课程或模块，并说明每项内容的教学目标；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 培训时间与课时：需明确培训总时长，以及各培训模块的课时分配；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④ 培训方式：需说明培训形式，并提供相应安排；</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⑤ 培训材料：需列出将提供的培训资料，并注明是否免费提供及提供份数；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⑥ 培训人员资质：需明确授课人员的姓名、相关认证、从业年限及同类项目培训经验。</w:t>
      </w:r>
      <w:r/>
    </w:p>
    <w:p>
      <w:pPr>
        <w:pStyle w:val="1063"/>
        <w:ind w:left="0" w:firstLine="454"/>
        <w:spacing w:line="360" w:lineRule="auto"/>
        <w:rPr>
          <w:rFonts w:hint="eastAsia" w:ascii="宋体" w:hAnsi="宋体" w:eastAsia="宋体" w:cs="宋体"/>
          <w:b/>
          <w:bCs/>
          <w:color w:val="000000" w:themeColor="text1"/>
          <w:spacing w:val="8"/>
          <w:szCs w:val="21"/>
          <w:highlight w:val="none"/>
          <w14:textFill>
            <w14:solidFill>
              <w14:schemeClr w14:val="tx1"/>
            </w14:solidFill>
          </w14:textFill>
        </w:rPr>
      </w:pPr>
      <w:r>
        <w:rPr>
          <w:rFonts w:hint="eastAsia" w:ascii="宋体" w:hAnsi="宋体" w:eastAsia="宋体" w:cs="宋体"/>
          <w:b/>
          <w:bCs/>
          <w:color w:val="000000" w:themeColor="text1"/>
          <w:spacing w:val="8"/>
          <w:szCs w:val="21"/>
          <w:highlight w:val="none"/>
          <w14:textFill>
            <w14:solidFill>
              <w14:schemeClr w14:val="tx1"/>
            </w14:solidFill>
          </w14:textFill>
        </w:rPr>
      </w:r>
      <w:r/>
    </w:p>
    <w:p>
      <w:pPr>
        <w:ind w:firstLine="454"/>
        <w:spacing w:line="360" w:lineRule="auto"/>
        <w:rPr>
          <w:rFonts w:hint="default" w:ascii="宋体" w:hAnsi="宋体" w:eastAsia="宋体" w:cs="宋体"/>
          <w:b/>
          <w:bCs/>
          <w:color w:val="000000" w:themeColor="text1"/>
          <w:spacing w:val="8"/>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8"/>
          <w:szCs w:val="21"/>
          <w:highlight w:val="none"/>
          <w14:textFill>
            <w14:solidFill>
              <w14:schemeClr w14:val="tx1"/>
            </w14:solidFill>
          </w14:textFill>
        </w:rPr>
        <w:t xml:space="preserve">七、</w:t>
      </w:r>
      <w:r>
        <w:rPr>
          <w:rFonts w:hint="eastAsia" w:ascii="宋体" w:hAnsi="宋体" w:eastAsia="宋体" w:cs="宋体"/>
          <w:b/>
          <w:bCs/>
          <w:color w:val="000000" w:themeColor="text1"/>
          <w:spacing w:val="8"/>
          <w:szCs w:val="21"/>
          <w:highlight w:val="none"/>
          <w:lang w:val="en-US" w:eastAsia="zh-CN"/>
          <w14:textFill>
            <w14:solidFill>
              <w14:schemeClr w14:val="tx1"/>
            </w14:solidFill>
          </w14:textFill>
        </w:rPr>
        <w:t xml:space="preserve">履约保证金</w:t>
      </w:r>
      <w:r/>
    </w:p>
    <w:p>
      <w:pPr>
        <w:ind w:firstLine="420"/>
        <w:keepLines w:val="0"/>
        <w:keepNext w:val="0"/>
        <w:pageBreakBefore w:val="0"/>
        <w:spacing w:line="360" w:lineRule="auto"/>
        <w:widowControl w:val="off"/>
        <w:rPr>
          <w:rFonts w:hint="eastAsia" w:ascii="宋体" w:hAnsi="宋体" w:eastAsia="宋体" w:cs="宋体"/>
          <w:szCs w:val="21"/>
          <w:highlight w:val="none"/>
        </w:rPr>
      </w:pPr>
      <w:r/>
      <w:bookmarkStart w:id="33" w:name="OLE_LINK11"/>
      <w:r>
        <w:rPr>
          <w:rFonts w:hint="eastAsia" w:ascii="宋体" w:hAnsi="宋体" w:eastAsia="宋体" w:cs="宋体"/>
          <w:szCs w:val="21"/>
          <w:highlight w:val="none"/>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（1）如采用转账形式，南京工业职业技术大学指定账户信息具体如下：</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单位名称：南京工业职业技术大学</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开 户 行：工商银行南京汉府支行</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账    号：4301015819100701644</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注：请在转账时备注“项目名称+履约保证保金”字样。</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（2）如采用保函形式，该保函需载明：见索即付；有效期为保函开具之日起至货物验收合格。</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履约保证金退还时间：自货物验收合格次日起，供应商可向采购人提交履约保证金退还申请及相关证明材料。经用户签字确认，核实无质量问题且供应商无违约情形后，采购人一个月内无息退还履约保证金。办理保证金退还相关手续遇寒暑假、法定节假日的，期限顺延。</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履约保证金不予退还情形：无故不履约。如果供应商未能按合同约定全面履行义务，采购人有权从履约保证金中取得补偿或赔偿，且不影响采购人要求供应商承担合同约定的超过履约保证金的违约责任的权利。</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4、逾期退还履约保证金责任：按逾期付款总额每日万分之五向供应商支付违约金。上限为合同总额的10%。</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bookmarkEnd w:id="33"/>
      <w:r/>
      <w:r/>
    </w:p>
    <w:p>
      <w:pPr>
        <w:ind w:firstLine="454"/>
        <w:spacing w:line="360" w:lineRule="auto"/>
        <w:rPr>
          <w:rFonts w:hint="default" w:ascii="宋体" w:hAnsi="宋体" w:eastAsia="宋体" w:cs="宋体"/>
          <w:b/>
          <w:bCs/>
          <w:spacing w:val="8"/>
          <w:szCs w:val="21"/>
          <w:highlight w:val="none"/>
          <w:lang w:val="en-US" w:eastAsia="zh-CN"/>
        </w:rPr>
      </w:pPr>
      <w:r>
        <w:rPr>
          <w:rFonts w:hint="eastAsia" w:ascii="宋体" w:hAnsi="宋体" w:eastAsia="宋体" w:cs="宋体"/>
          <w:b/>
          <w:bCs/>
          <w:spacing w:val="8"/>
          <w:szCs w:val="21"/>
          <w:highlight w:val="none"/>
          <w:lang w:val="en-US" w:eastAsia="zh-CN"/>
        </w:rPr>
        <w:t xml:space="preserve">八</w:t>
      </w:r>
      <w:r>
        <w:rPr>
          <w:rFonts w:hint="eastAsia" w:ascii="宋体" w:hAnsi="宋体" w:eastAsia="宋体" w:cs="宋体"/>
          <w:b/>
          <w:bCs/>
          <w:spacing w:val="8"/>
          <w:szCs w:val="21"/>
          <w:highlight w:val="none"/>
        </w:rPr>
        <w:t xml:space="preserve">、</w:t>
      </w:r>
      <w:r>
        <w:rPr>
          <w:rFonts w:hint="eastAsia" w:ascii="宋体" w:hAnsi="宋体" w:eastAsia="宋体" w:cs="宋体"/>
          <w:b/>
          <w:bCs/>
          <w:spacing w:val="8"/>
          <w:szCs w:val="21"/>
          <w:highlight w:val="none"/>
          <w:lang w:val="en-US" w:eastAsia="zh-CN"/>
        </w:rPr>
        <w:t xml:space="preserve">货款支付</w:t>
      </w:r>
      <w:r/>
    </w:p>
    <w:p>
      <w:pPr>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合同签订后支付30%合同款，货物交付、安装、调试且通过验收后（遇寒暑假和法定节假日顺延），支付合同总金额的100%，付款之前需收到乙方开具的合法有效的相应全额发票。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54"/>
        <w:spacing w:line="360" w:lineRule="auto"/>
        <w:rPr>
          <w:rFonts w:hint="eastAsia" w:ascii="宋体" w:hAnsi="宋体" w:eastAsia="宋体" w:cs="宋体"/>
          <w:b/>
          <w:bCs/>
          <w:color w:val="000000" w:themeColor="text1"/>
          <w:spacing w:val="8"/>
          <w:szCs w:val="21"/>
          <w:highlight w:val="none"/>
          <w14:textFill>
            <w14:solidFill>
              <w14:schemeClr w14:val="tx1"/>
            </w14:solidFill>
          </w14:textFill>
        </w:rPr>
      </w:pPr>
      <w:r>
        <w:rPr>
          <w:rFonts w:hint="eastAsia" w:ascii="宋体" w:hAnsi="宋体" w:eastAsia="宋体" w:cs="宋体"/>
          <w:b/>
          <w:bCs/>
          <w:color w:val="000000" w:themeColor="text1"/>
          <w:spacing w:val="8"/>
          <w:szCs w:val="21"/>
          <w:highlight w:val="none"/>
          <w14:textFill>
            <w14:solidFill>
              <w14:schemeClr w14:val="tx1"/>
            </w14:solidFill>
          </w14:textFill>
        </w:rPr>
      </w:r>
      <w:r/>
    </w:p>
    <w:p>
      <w:pPr>
        <w:pStyle w:val="1041"/>
        <w:numPr>
          <w:ilvl w:val="0"/>
          <w:numId w:val="0"/>
        </w:numPr>
        <w:spacing w:line="360" w:lineRule="auto"/>
        <w:rPr>
          <w:rFonts w:hint="eastAsia" w:ascii="宋体" w:hAnsi="宋体" w:eastAsia="宋体" w:cs="宋体"/>
          <w:sz w:val="28"/>
          <w:szCs w:val="28"/>
          <w:highlight w:val="none"/>
        </w:rPr>
      </w:pPr>
      <w:r>
        <w:rPr>
          <w:rFonts w:hint="eastAsia" w:ascii="宋体" w:hAnsi="宋体" w:eastAsia="宋体" w:cs="宋体"/>
          <w:highlight w:val="none"/>
        </w:rPr>
        <w:br w:type="page" w:clear="all"/>
      </w:r>
      <w:bookmarkStart w:id="34" w:name="_Toc18631"/>
      <w:r>
        <w:rPr>
          <w:rFonts w:hint="eastAsia" w:ascii="宋体" w:hAnsi="宋体" w:eastAsia="宋体" w:cs="宋体"/>
          <w:sz w:val="28"/>
          <w:szCs w:val="40"/>
          <w:highlight w:val="none"/>
        </w:rPr>
        <w:t xml:space="preserve">第五章 </w:t>
      </w:r>
      <w:r>
        <w:rPr>
          <w:rFonts w:hint="eastAsia" w:ascii="宋体" w:hAnsi="宋体" w:cs="宋体"/>
          <w:sz w:val="28"/>
          <w:szCs w:val="40"/>
          <w:highlight w:val="none"/>
          <w:lang w:val="en-US" w:eastAsia="zh-CN"/>
        </w:rPr>
        <w:t xml:space="preserve"> </w:t>
      </w:r>
      <w:r>
        <w:rPr>
          <w:rFonts w:hint="eastAsia" w:ascii="宋体" w:hAnsi="宋体" w:eastAsia="宋体" w:cs="宋体"/>
          <w:sz w:val="28"/>
          <w:szCs w:val="40"/>
          <w:highlight w:val="none"/>
        </w:rPr>
        <w:t xml:space="preserve">合同主要条款及格式</w:t>
      </w:r>
      <w:bookmarkEnd w:id="22"/>
      <w:r/>
      <w:bookmarkEnd w:id="34"/>
      <w:r/>
      <w:r/>
    </w:p>
    <w:p>
      <w:pPr>
        <w:jc w:val="center"/>
        <w:spacing w:line="360" w:lineRule="auto"/>
        <w:rPr>
          <w:rFonts w:hint="eastAsia" w:ascii="宋体" w:hAnsi="宋体" w:eastAsia="宋体" w:cs="宋体"/>
          <w:b/>
          <w:bCs/>
          <w:sz w:val="28"/>
          <w:szCs w:val="28"/>
          <w:highlight w:val="none"/>
          <w:u w:val="single"/>
        </w:rPr>
      </w:pPr>
      <w:r>
        <w:rPr>
          <w:rFonts w:hint="eastAsia" w:ascii="宋体" w:hAnsi="宋体" w:cs="宋体"/>
          <w:b/>
          <w:bCs/>
          <w:sz w:val="28"/>
          <w:szCs w:val="28"/>
          <w:highlight w:val="none"/>
          <w:lang w:eastAsia="zh-CN"/>
        </w:rPr>
        <w:t xml:space="preserve">城市轨道交通信号基础实训系统</w:t>
      </w:r>
      <w:r>
        <w:rPr>
          <w:rFonts w:hint="eastAsia" w:ascii="宋体" w:hAnsi="宋体" w:eastAsia="宋体" w:cs="宋体"/>
          <w:b/>
          <w:bCs/>
          <w:sz w:val="28"/>
          <w:szCs w:val="28"/>
          <w:highlight w:val="none"/>
        </w:rPr>
        <w:t xml:space="preserve">合同 </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甲方：（买方）_________         乙方：（卖方）_________ </w:t>
      </w:r>
      <w:r/>
    </w:p>
    <w:p>
      <w:pPr>
        <w:pStyle w:val="1066"/>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w:t>
      </w:r>
      <w:r/>
    </w:p>
    <w:p>
      <w:pPr>
        <w:pStyle w:val="1066"/>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地址：</w:t>
      </w:r>
      <w:r>
        <w:rPr>
          <w:rFonts w:hint="eastAsia" w:ascii="宋体" w:hAnsi="宋体" w:eastAsia="宋体" w:cs="宋体"/>
          <w:szCs w:val="21"/>
          <w:highlight w:val="none"/>
          <w:u w:val="single"/>
        </w:rPr>
        <w:t xml:space="preserve">                 </w:t>
      </w:r>
      <w:r/>
    </w:p>
    <w:p>
      <w:pPr>
        <w:pStyle w:val="1066"/>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联系人：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联系人：</w:t>
      </w:r>
      <w:r>
        <w:rPr>
          <w:rFonts w:hint="eastAsia" w:ascii="宋体" w:hAnsi="宋体" w:eastAsia="宋体" w:cs="宋体"/>
          <w:szCs w:val="21"/>
          <w:highlight w:val="none"/>
          <w:u w:val="single"/>
        </w:rPr>
        <w:t xml:space="preserve">                </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联系方式：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甲、乙双方根据</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城市轨道交通信号基础实训系统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公开招标的结果，本着自愿及平等互利的原则，就甲方向乙方购买本合同约定的货物事宜，签署本合同。</w:t>
      </w:r>
      <w:r/>
    </w:p>
    <w:p>
      <w:pPr>
        <w:pStyle w:val="1066"/>
        <w:ind w:firstLine="422"/>
        <w:spacing w:before="120" w:after="120"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一、货物内容、数量及金额</w:t>
      </w:r>
      <w:r/>
    </w:p>
    <w:tbl>
      <w:tblPr>
        <w:tblStyle w:val="1051"/>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434"/>
        <w:gridCol w:w="1015"/>
        <w:gridCol w:w="1015"/>
        <w:gridCol w:w="1015"/>
        <w:gridCol w:w="1023"/>
        <w:gridCol w:w="1593"/>
        <w:gridCol w:w="1599"/>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left="0" w:right="0" w:firstLine="103"/>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left="0" w:right="0" w:firstLine="103"/>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b/>
                <w:szCs w:val="21"/>
                <w:highlight w:val="none"/>
              </w:rPr>
              <w:t xml:space="preserve">总价（人民币大写）：                         </w:t>
            </w:r>
            <w:r>
              <w:rPr>
                <w:rFonts w:hint="eastAsia" w:ascii="宋体" w:hAnsi="宋体" w:eastAsia="宋体" w:cs="宋体"/>
                <w:szCs w:val="21"/>
                <w:highlight w:val="none"/>
              </w:rPr>
              <w:t xml:space="preserve">合计（小写）：</w:t>
            </w:r>
            <w:r/>
          </w:p>
          <w:p>
            <w:pPr>
              <w:ind w:left="0" w:right="0"/>
              <w:jc w:val="center"/>
              <w:keepLines w:val="0"/>
              <w:keepNext w:val="0"/>
              <w:spacing w:before="0" w:beforeAutospacing="0" w:after="0" w:afterAutospacing="0" w:line="360"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r>
            <w:r/>
          </w:p>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二、结算方式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2.1结算方式：</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2.2履约保证金（根据招标文件要求选用）</w:t>
      </w:r>
      <w:r/>
    </w:p>
    <w:p>
      <w:pPr>
        <w:pStyle w:val="1066"/>
        <w:ind w:firstLine="420"/>
        <w:spacing w:line="360" w:lineRule="auto"/>
        <w:rPr>
          <w:rFonts w:hint="eastAsia" w:ascii="宋体" w:hAnsi="宋体" w:eastAsia="宋体" w:cs="宋体"/>
          <w:szCs w:val="21"/>
          <w:highlight w:val="none"/>
        </w:rPr>
      </w:pPr>
      <w:r>
        <w:rPr>
          <w:rFonts w:ascii="Wingdings 2" w:hAnsi="Wingdings 2" w:eastAsia="Wingdings 2" w:cs="Wingdings 2"/>
          <w:szCs w:val="21"/>
          <w:highlight w:val="none"/>
        </w:rPr>
        <w:t xml:space="preserve">£</w:t>
      </w:r>
      <w:r>
        <w:rPr>
          <w:rFonts w:hint="eastAsia" w:ascii="宋体" w:hAnsi="宋体" w:eastAsia="宋体" w:cs="宋体"/>
          <w:szCs w:val="21"/>
          <w:highlight w:val="none"/>
        </w:rPr>
        <w:t xml:space="preserve">本项目不需要缴纳履约保证金。</w:t>
      </w:r>
      <w:r/>
    </w:p>
    <w:p>
      <w:pPr>
        <w:pStyle w:val="1066"/>
        <w:ind w:firstLine="420"/>
        <w:spacing w:line="360" w:lineRule="auto"/>
        <w:rPr>
          <w:rFonts w:hint="eastAsia" w:ascii="宋体" w:hAnsi="宋体" w:eastAsia="宋体" w:cs="宋体"/>
          <w:szCs w:val="21"/>
          <w:highlight w:val="none"/>
        </w:rPr>
      </w:pPr>
      <w:r>
        <w:rPr>
          <w:rFonts w:ascii="Wingdings 2" w:hAnsi="Wingdings 2" w:eastAsia="Wingdings 2" w:cs="Wingdings 2"/>
          <w:szCs w:val="21"/>
          <w:highlight w:val="none"/>
        </w:rPr>
        <w:t xml:space="preserve">R</w:t>
      </w:r>
      <w:r>
        <w:rPr>
          <w:rFonts w:hint="eastAsia" w:ascii="宋体" w:hAnsi="宋体" w:eastAsia="宋体" w:cs="宋体"/>
          <w:szCs w:val="21"/>
          <w:highlight w:val="none"/>
        </w:rPr>
        <w:t xml:space="preserve">本项目需要缴纳履约保证金，具体要求如下：</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如采用转账形式，南京工业职业技术大学指定账户信息具体如下：</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单位名称：南京工业职业技术大学</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 户 行：工商银行南京汉府支行</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    号：4301015819100701644</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注：请在转账时备注“项目名称+履约保证保金”字样。</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如采用保函形式，该保函需载明：见索即付；有效期为保函开具之日起至货物验收合格。</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履约保证金退还时间：自货物验收合格次日起，乙方可向甲方提交履约保证金退还申请及相关证明材料。经用户签字确认，核实无质量问题且供应商无违约情形后，甲方一个月内无息退还履约保证金。办理保证金退还相关手续遇寒暑假、法定节假日的，期限顺延。</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（3）履约保证金不予退还情形：无故不履约。如果乙方未能按合同约定全面履行义务，甲方有权从履约保证金中取得补偿或赔偿，且不影响甲方要求乙方承担合同约定的超过履约保证金的违约责任的权利。</w:t>
      </w:r>
      <w:r/>
    </w:p>
    <w:p>
      <w:pPr>
        <w:pStyle w:val="106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（4）逾期退还履约保证金责任：按逾期付款总额每日万分之五向乙方支付违约金。上限为合同总额的10%。</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2.3当采购数量与实际使用数量不一致时，乙方应根据实际使用量供货，合同的最终结算金额按实际使用量乘以本合同约定的成交单价进行计算。</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2.4乙方指定账户信息：</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开户行：</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户名：</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上述账户信息，如有变更，乙方应在变更前3日内书面通知甲方。否则，由此产生的后果由乙方承担。</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三、交付方式、时间及地点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1</w:t>
      </w:r>
      <w:r>
        <w:rPr>
          <w:rFonts w:hint="eastAsia" w:ascii="宋体" w:hAnsi="宋体" w:eastAsia="宋体" w:cs="宋体"/>
          <w:szCs w:val="21"/>
          <w:highlight w:val="none"/>
          <w:lang w:val="zh-CN"/>
        </w:rPr>
        <w:t xml:space="preserve">）交货期：合同签订生效后，</w:t>
      </w:r>
      <w:r>
        <w:rPr>
          <w:rFonts w:hint="eastAsia" w:ascii="宋体" w:hAnsi="宋体" w:cs="宋体"/>
          <w:szCs w:val="21"/>
          <w:highlight w:val="none"/>
          <w:lang w:val="en-US" w:eastAsia="zh-CN"/>
        </w:rPr>
        <w:t xml:space="preserve">70个日历日</w:t>
      </w:r>
      <w:r>
        <w:rPr>
          <w:rFonts w:hint="eastAsia" w:ascii="宋体" w:hAnsi="宋体" w:eastAsia="宋体" w:cs="宋体"/>
          <w:szCs w:val="21"/>
          <w:highlight w:val="none"/>
          <w:lang w:val="zh-CN"/>
        </w:rPr>
        <w:t xml:space="preserve">内全部设备、材料运抵现场，并安装、调试结束。</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）交货方式：</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lang w:val="zh-CN"/>
        </w:rPr>
        <w:t xml:space="preserve">在</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val="zh-CN"/>
        </w:rPr>
        <w:t xml:space="preserve">指定地点交货，并完成安装、调试。</w:t>
      </w:r>
      <w:r/>
    </w:p>
    <w:p>
      <w:pPr>
        <w:pStyle w:val="1066"/>
        <w:ind w:firstLine="420"/>
        <w:spacing w:line="360" w:lineRule="auto"/>
        <w:rPr>
          <w:rFonts w:hint="eastAsia" w:ascii="宋体" w:hAnsi="宋体" w:eastAsia="宋体" w:cs="宋体"/>
          <w:b/>
          <w:bCs/>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）交货地点：</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val="zh-CN"/>
        </w:rPr>
        <w:t xml:space="preserve">指定地点。</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四、货物包装、发运及运输</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乙方应在货物发运前根据运输距离、防潮、防震、防锈和防破损装卸等要求进行相应的包装，以保证货物安全运达甲方指定地点。</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使用说明书、质量检验证明书、随配附件和工具以及清单一并附于货物内。</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 乙方在货物发运手续办理完毕后24小时内或货到甲方48小时前通知甲方，以准备接货。</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 货物在交付甲方前发生的风险均由乙方负责。</w:t>
      </w:r>
      <w:r/>
    </w:p>
    <w:p>
      <w:pPr>
        <w:pStyle w:val="1066"/>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五、质量保证及售后服务</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5.3上述货物的质保期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年。（自交货验收合格次日起计算），因人为因素出现的故障不在免费保修范围内。</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5.5 在质保期内，乙方应对货物出现的质量及安全问题负责处理解决并承担一切费用。</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六、调试和验收</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乙方交货前应对货物全面检查并对验收文件进行整理，列出清单提交甲方，检验的结果亦应随货物交甲方。</w:t>
      </w:r>
      <w:r/>
    </w:p>
    <w:p>
      <w:pPr>
        <w:pStyle w:val="1066"/>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6.2 甲方对乙方提供的货物在使用前进行调试时，乙方需负责安装并培训甲方的使用操作人员，并协助甲方一起调试，直到符合技术要求。</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6.5 设备、材料安装、调试结束，甲、乙双方派员共同验收，达到验收标准则验收合格。验收完毕后出具验收结果报告并经双方签字确认；验收相关费用由乙方承担。</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七、技术资料</w:t>
      </w:r>
      <w:r/>
    </w:p>
    <w:p>
      <w:pPr>
        <w:pStyle w:val="1066"/>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7.1乙方应按招标文件规定的时间向甲方提供使用货物的有关技术资料。</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八、知识产权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九、违约责任</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乙方履约的前提下，甲方无故迟延支付货款的,甲方应按逾期付款总额每日万分之五向乙方支付违约金。</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9.8 乙方履行义务不符合合同约定时，甲方有权扣减总货款的10%作为违约金。</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十、不可抗力事件处理</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 在合同有效期内，任何一方因不可抗力事件导致不能履行合同，则合同履行期可延长，其延长期与不可抗力影响期相同。</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10.2 不可抗力事件发生后，应立即通知对方，并寄送有关权威机构出具的证明。</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10.3 不可抗力事件延续30天以上，双方应通过友好协商，确定是否继续履行合同。</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十一、诉讼</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6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十二、合同生效及其它</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12.1招投标文件、中标通知书作为合同的附件，与本合同具有同等法律效力。合同经双方法定代表人或授权委托代表人签字、盖章后生效。</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12.2本合同未尽事宜，遵照《中华人民共和国民法典》有关条文执行。</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 本合同正本一式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份，甲方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份，乙方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份，具有同等法律效力。</w:t>
      </w:r>
      <w:r/>
    </w:p>
    <w:p>
      <w:pPr>
        <w:pStyle w:val="106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 其他：</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pStyle w:val="1066"/>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甲方： 南京</w:t>
      </w:r>
      <w:r>
        <w:rPr>
          <w:rFonts w:hint="eastAsia" w:ascii="宋体" w:hAnsi="宋体" w:eastAsia="宋体" w:cs="宋体"/>
          <w:szCs w:val="21"/>
          <w:highlight w:val="none"/>
          <w:lang w:val="en-US" w:eastAsia="zh-CN"/>
        </w:rPr>
        <w:t xml:space="preserve">工业职业技术</w:t>
      </w:r>
      <w:r>
        <w:rPr>
          <w:rFonts w:hint="eastAsia" w:ascii="宋体" w:hAnsi="宋体" w:eastAsia="宋体" w:cs="宋体"/>
          <w:szCs w:val="21"/>
          <w:highlight w:val="none"/>
        </w:rPr>
        <w:t xml:space="preserve">大学（盖章）        乙方：（盖章）</w:t>
      </w:r>
      <w:r/>
    </w:p>
    <w:p>
      <w:pPr>
        <w:pStyle w:val="1066"/>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地址：南京市栖霞区仙林大学城羊山北路1号   地址： </w:t>
      </w:r>
      <w:r/>
    </w:p>
    <w:p>
      <w:pPr>
        <w:pStyle w:val="1066"/>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法定代表人/授权代表：（签字）              法定代表人/授权代表：（签字）</w:t>
      </w:r>
      <w:r/>
    </w:p>
    <w:p>
      <w:pPr>
        <w:pStyle w:val="1066"/>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                签订日期：   年    月    日</w:t>
      </w:r>
      <w:r/>
    </w:p>
    <w:p>
      <w:pPr>
        <w:jc w:val="left"/>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rPr>
        <w:t xml:space="preserve">附件1：</w:t>
      </w:r>
      <w:r>
        <w:rPr>
          <w:rFonts w:hint="eastAsia" w:ascii="宋体" w:hAnsi="宋体" w:eastAsia="宋体" w:cs="宋体"/>
          <w:szCs w:val="21"/>
          <w:highlight w:val="none"/>
          <w:lang w:val="zh-CN"/>
        </w:rPr>
        <w:t xml:space="preserve">分项报价表</w:t>
      </w:r>
      <w:r/>
    </w:p>
    <w:tbl>
      <w:tblPr>
        <w:tblStyle w:val="1051"/>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单价</w:t>
            </w:r>
            <w:r/>
          </w:p>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总价</w:t>
            </w:r>
            <w:r/>
          </w:p>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r>
            <w:r/>
          </w:p>
        </w:tc>
      </w:tr>
    </w:tbl>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附件2：货物配置清单</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Cs w:val="21"/>
          <w:highlight w:val="none"/>
          <w:lang w:val="en-US" w:eastAsia="zh-CN"/>
        </w:rPr>
        <w:t xml:space="preserve">附件3：</w:t>
      </w:r>
      <w:r>
        <w:rPr>
          <w:rFonts w:hint="eastAsia" w:ascii="宋体" w:hAnsi="宋体" w:eastAsia="宋体" w:cs="宋体"/>
          <w:szCs w:val="21"/>
          <w:highlight w:val="none"/>
        </w:rPr>
        <w:t xml:space="preserve">投标响应时的具体</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方案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包括但不限于①实施方案、②验收方案、③售后服务承诺方案、④培训方案等。</w:t>
      </w:r>
      <w:r>
        <w:rPr>
          <w:rFonts w:hint="eastAsia" w:ascii="宋体" w:hAnsi="宋体" w:eastAsia="宋体" w:cs="宋体"/>
          <w:szCs w:val="21"/>
          <w:highlight w:val="none"/>
          <w:lang w:eastAsia="zh-CN"/>
        </w:rPr>
        <w:t xml:space="preserve">）</w:t>
      </w:r>
      <w:r>
        <w:rPr>
          <w:rFonts w:hint="eastAsia" w:ascii="宋体" w:hAnsi="宋体" w:eastAsia="宋体" w:cs="宋体"/>
          <w:sz w:val="24"/>
          <w:highlight w:val="none"/>
        </w:rPr>
        <w:br w:type="page" w:clear="all"/>
      </w:r>
      <w:bookmarkEnd w:id="0"/>
      <w:r/>
      <w:bookmarkEnd w:id="1"/>
      <w:r/>
      <w:r/>
    </w:p>
    <w:p>
      <w:pPr>
        <w:pStyle w:val="1041"/>
        <w:numPr>
          <w:ilvl w:val="0"/>
          <w:numId w:val="0"/>
        </w:numPr>
        <w:spacing w:line="360" w:lineRule="auto"/>
        <w:rPr>
          <w:rFonts w:hint="eastAsia" w:ascii="宋体" w:hAnsi="宋体" w:eastAsia="宋体" w:cs="宋体"/>
          <w:sz w:val="28"/>
          <w:szCs w:val="28"/>
          <w:highlight w:val="none"/>
        </w:rPr>
      </w:pPr>
      <w:r/>
      <w:bookmarkStart w:id="35" w:name="_Toc7019"/>
      <w:r>
        <w:rPr>
          <w:rFonts w:hint="eastAsia" w:ascii="宋体" w:hAnsi="宋体" w:eastAsia="宋体" w:cs="宋体"/>
          <w:sz w:val="28"/>
          <w:szCs w:val="28"/>
          <w:highlight w:val="none"/>
        </w:rPr>
        <w:t xml:space="preserve">第六章 </w:t>
      </w:r>
      <w:bookmarkEnd w:id="35"/>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投标文件格式及附件</w:t>
      </w:r>
      <w:r/>
    </w:p>
    <w:p>
      <w:pPr>
        <w:jc w:val="left"/>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spacing w:line="360" w:lineRule="auto"/>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spacing w:line="360" w:lineRule="auto"/>
        <w:rPr>
          <w:rFonts w:hint="eastAsia" w:ascii="宋体" w:hAnsi="宋体" w:eastAsia="宋体" w:cs="宋体"/>
          <w:sz w:val="36"/>
          <w:szCs w:val="36"/>
          <w:highlight w:val="none"/>
          <w:u w:val="single"/>
        </w:rPr>
      </w:pPr>
      <w:r>
        <w:rPr>
          <w:rFonts w:hint="eastAsia" w:ascii="宋体" w:hAnsi="宋体" w:cs="宋体"/>
          <w:sz w:val="36"/>
          <w:szCs w:val="36"/>
          <w:highlight w:val="none"/>
          <w:lang w:eastAsia="zh-CN"/>
        </w:rPr>
        <w:t xml:space="preserve">供应商</w:t>
      </w:r>
      <w:r>
        <w:rPr>
          <w:rFonts w:hint="eastAsia" w:ascii="宋体" w:hAnsi="宋体" w:eastAsia="宋体" w:cs="宋体"/>
          <w:sz w:val="36"/>
          <w:szCs w:val="36"/>
          <w:highlight w:val="none"/>
        </w:rPr>
        <w:t xml:space="preserve">名称：（加盖电子公章）</w:t>
      </w:r>
      <w:r/>
    </w:p>
    <w:p>
      <w:pPr>
        <w:ind w:firstLine="72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p>
    <w:p>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jc w:val="center"/>
        <w:spacing w:before="317" w:after="317"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highlight w:val="none"/>
        </w:rPr>
        <w:br w:type="page" w:clear="all"/>
      </w:r>
      <w:r>
        <w:rPr>
          <w:rFonts w:hint="eastAsia" w:ascii="宋体" w:hAnsi="宋体" w:eastAsia="宋体" w:cs="宋体"/>
          <w:b/>
          <w:bCs/>
          <w:sz w:val="21"/>
          <w:szCs w:val="21"/>
          <w:highlight w:val="none"/>
        </w:rPr>
        <w:t xml:space="preserve">附件一、投标申请及声明格式</w:t>
      </w:r>
      <w:r/>
    </w:p>
    <w:p>
      <w:pPr>
        <w:ind w:firstLine="422"/>
        <w:jc w:val="center"/>
        <w:keepLines w:val="0"/>
        <w:keepNext w:val="0"/>
        <w:pageBreakBefore w:val="0"/>
        <w:spacing w:line="360" w:lineRule="auto"/>
        <w:shd w:val="clear" w:color="auto" w:fill="ffffff"/>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投标申请及声明</w:t>
      </w:r>
      <w:r/>
    </w:p>
    <w:p>
      <w:pPr>
        <w:keepLines w:val="0"/>
        <w:keepNext w:val="0"/>
        <w:pageBreakBefore w:val="0"/>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致：</w:t>
      </w:r>
      <w:r>
        <w:rPr>
          <w:rFonts w:hint="eastAsia" w:ascii="宋体" w:hAnsi="宋体" w:cs="宋体"/>
          <w:sz w:val="21"/>
          <w:szCs w:val="21"/>
          <w:highlight w:val="none"/>
          <w:lang w:eastAsia="zh-CN"/>
        </w:rPr>
        <w:t xml:space="preserve">XXXXX</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（项目编号）投标邀请，正式授权下述签字人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(姓名和职务</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代表供应商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（供应商名称），提交投标文件。</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据此函，签字人兹宣布声明和承诺如下：</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bCs/>
          <w:sz w:val="21"/>
          <w:szCs w:val="21"/>
          <w:highlight w:val="none"/>
        </w:rPr>
        <w:t xml:space="preserve">我们的资格条件完全符合政府采购法和本次招标要求</w:t>
      </w:r>
      <w:r>
        <w:rPr>
          <w:rFonts w:hint="eastAsia" w:ascii="宋体" w:hAnsi="宋体" w:eastAsia="宋体" w:cs="宋体"/>
          <w:sz w:val="21"/>
          <w:szCs w:val="21"/>
          <w:highlight w:val="none"/>
        </w:rPr>
        <w:t xml:space="preserve">，我们同意并向贵方提供了与投标有关的所有证据和资料。</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2、按招标要求，我们的投标总报价详见开标一览表。</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3、本项目交付时间为：满足采购文件要求。</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 w:val="21"/>
          <w:szCs w:val="21"/>
          <w:highlight w:val="none"/>
        </w:rPr>
        <w:t xml:space="preserve">不对招标文件本身提出质疑</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5、我们同意从规定的开标日期起遵循本投标文件，并在规定的投标有效期期满之前均具有约束力。</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sz w:val="21"/>
          <w:szCs w:val="21"/>
          <w:highlight w:val="none"/>
        </w:rPr>
        <w:t xml:space="preserve">贵方组织的其他采购方式采购</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7、一旦我方中标，我方将根据招标文件的规定严格履行合同，并保证于承诺的时间完成货物的启动/集成、调试等服务，交付采购人验收、使用。</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银行账号：</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（加盖电子公章）</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widowControl/>
        <w:rPr>
          <w:rFonts w:hint="eastAsia" w:ascii="宋体" w:hAnsi="宋体" w:eastAsia="宋体" w:cs="宋体"/>
          <w:sz w:val="21"/>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 w:val="21"/>
          <w:szCs w:val="21"/>
          <w:highlight w:val="none"/>
        </w:rPr>
        <w:t xml:space="preserve">附件二、法定代表人授权委托书格式</w:t>
      </w:r>
      <w:r/>
    </w:p>
    <w:p>
      <w:pPr>
        <w:ind w:firstLine="720"/>
        <w:jc w:val="center"/>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720"/>
        <w:jc w:val="center"/>
        <w:spacing w:line="360" w:lineRule="auto"/>
        <w:shd w:val="clear" w:color="auto" w:fill="ffffff"/>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法人授权书</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本授权书声明：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名称）授权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（被授权人姓名）作为我方参加编号为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项目采购活动的合法代理人，以本单位名义全权处理一切与该项目采购有关的事务。</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本授权书自______年____月____日起生效，特此声明。</w:t>
      </w:r>
      <w:r/>
    </w:p>
    <w:p>
      <w:pPr>
        <w:ind w:firstLine="48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被授权人联系电话：           （手机）</w:t>
      </w:r>
      <w:r/>
    </w:p>
    <w:p>
      <w:pPr>
        <w:ind w:firstLine="48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名称：              （加盖电子公章）</w:t>
      </w:r>
      <w:r/>
    </w:p>
    <w:p>
      <w:pPr>
        <w:ind w:firstLine="48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单位地址：</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p>
    <w:p>
      <w:pPr>
        <w:spacing w:line="360" w:lineRule="auto"/>
        <w:widowControl/>
        <w:rPr>
          <w:rFonts w:hint="eastAsia" w:ascii="宋体" w:hAnsi="宋体" w:eastAsia="宋体" w:cs="宋体"/>
          <w:sz w:val="21"/>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 w:val="21"/>
          <w:szCs w:val="21"/>
          <w:highlight w:val="none"/>
          <w:lang w:val="zh-CN"/>
        </w:rPr>
        <w:t xml:space="preserve">附件三、</w:t>
      </w:r>
      <w:r>
        <w:rPr>
          <w:rFonts w:hint="eastAsia" w:ascii="宋体" w:hAnsi="宋体" w:eastAsia="宋体" w:cs="宋体"/>
          <w:b/>
          <w:bCs/>
          <w:sz w:val="21"/>
          <w:szCs w:val="21"/>
          <w:highlight w:val="none"/>
          <w:lang w:val="en-US" w:eastAsia="zh-CN"/>
        </w:rPr>
        <w:t xml:space="preserve">开标一览</w:t>
      </w:r>
      <w:r>
        <w:rPr>
          <w:rFonts w:hint="eastAsia" w:ascii="宋体" w:hAnsi="宋体" w:eastAsia="宋体" w:cs="宋体"/>
          <w:b/>
          <w:bCs/>
          <w:sz w:val="21"/>
          <w:szCs w:val="21"/>
          <w:highlight w:val="none"/>
          <w:lang w:val="zh-CN"/>
        </w:rPr>
        <w:t xml:space="preserve">表</w:t>
      </w:r>
      <w:r/>
    </w:p>
    <w:p>
      <w:pPr>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详见苏采云系统开标一览表</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spacing w:line="360" w:lineRule="auto"/>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附件四、分项报价表</w:t>
      </w:r>
      <w:r/>
    </w:p>
    <w:p>
      <w:pPr>
        <w:pStyle w:val="106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bl>
      <w:tblPr>
        <w:tblStyle w:val="1051"/>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9"/>
        <w:gridCol w:w="2339"/>
        <w:gridCol w:w="536"/>
        <w:gridCol w:w="531"/>
        <w:gridCol w:w="724"/>
        <w:gridCol w:w="1141"/>
        <w:gridCol w:w="973"/>
        <w:gridCol w:w="1127"/>
        <w:gridCol w:w="1028"/>
      </w:tblGrid>
      <w:tr>
        <w:trPr>
          <w:jc w:val="center"/>
          <w:trHeight w:val="67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制造商和国别</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单价</w:t>
            </w:r>
            <w:r/>
          </w:p>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总价</w:t>
            </w:r>
            <w:r/>
          </w:p>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ZDJ9</w:t>
            </w:r>
            <w:r>
              <w:rPr>
                <w:rFonts w:hint="eastAsia"/>
                <w:highlight w:val="none"/>
                <w:lang w:val="en-US" w:eastAsia="zh-CN"/>
              </w:rPr>
              <w:t xml:space="preserve">系列转辙机</w:t>
            </w:r>
            <w:r>
              <w:rPr>
                <w:rFonts w:hint="eastAsia" w:ascii="宋体" w:hAnsi="宋体" w:eastAsia="宋体" w:cs="宋体"/>
                <w:color w:val="000000"/>
                <w:sz w:val="21"/>
                <w:szCs w:val="21"/>
                <w:highlight w:val="none"/>
              </w:rPr>
              <w:t xml:space="preserve">施工配线与故障处理实训台</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ZDJ9</w:t>
            </w:r>
            <w:r>
              <w:rPr>
                <w:rFonts w:hint="eastAsia"/>
                <w:highlight w:val="none"/>
                <w:lang w:val="en-US" w:eastAsia="zh-CN"/>
              </w:rPr>
              <w:t xml:space="preserve">系列</w:t>
            </w:r>
            <w:r>
              <w:rPr>
                <w:rFonts w:hint="eastAsia" w:ascii="宋体" w:hAnsi="宋体" w:eastAsia="宋体" w:cs="宋体"/>
                <w:color w:val="000000"/>
                <w:sz w:val="21"/>
                <w:szCs w:val="21"/>
                <w:highlight w:val="none"/>
              </w:rPr>
              <w:t xml:space="preserve">电动转辙机</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ZD6</w:t>
            </w:r>
            <w:r>
              <w:rPr>
                <w:rFonts w:hint="eastAsia"/>
                <w:highlight w:val="none"/>
                <w:lang w:val="en-US" w:eastAsia="zh-CN"/>
              </w:rPr>
              <w:t xml:space="preserve">系列转辙机</w:t>
            </w:r>
            <w:r>
              <w:rPr>
                <w:rFonts w:hint="eastAsia" w:ascii="宋体" w:hAnsi="宋体" w:eastAsia="宋体" w:cs="宋体"/>
                <w:color w:val="000000"/>
                <w:sz w:val="21"/>
                <w:szCs w:val="21"/>
                <w:highlight w:val="none"/>
              </w:rPr>
              <w:t xml:space="preserve">施工配线与故障处理实训台</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ZD6</w:t>
            </w:r>
            <w:r>
              <w:rPr>
                <w:rFonts w:hint="eastAsia"/>
                <w:highlight w:val="none"/>
                <w:lang w:val="en-US" w:eastAsia="zh-CN"/>
              </w:rPr>
              <w:t xml:space="preserve">系列</w:t>
            </w:r>
            <w:r>
              <w:rPr>
                <w:rFonts w:hint="eastAsia" w:ascii="宋体" w:hAnsi="宋体" w:eastAsia="宋体" w:cs="宋体"/>
                <w:color w:val="000000"/>
                <w:sz w:val="21"/>
                <w:szCs w:val="21"/>
                <w:highlight w:val="none"/>
              </w:rPr>
              <w:t xml:space="preserve">电动转辙机</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LED 信号机施工配线与故障处理实训台</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三显示 LED 信号机</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调车信号机施工配线与故障处理实训台</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调车信号机</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50Hz 轨道电路施工配线与故障处理实训台</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50Hz 微电子相敏轨道电路</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方向盒和终端盒</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车站 ATS 终端</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车辆段联锁终端</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车站 ATS 系统</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车辆段联锁系统</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故障设置与提交系统</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教员管理系统</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工具套装</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应答器实训系统</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轨道与道岔</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计轴实训系统</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轨道测试小车</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47"/>
        </w:trPr>
        <w:tc>
          <w:tcPr>
            <w:gridSpan w:val="8"/>
            <w:shd w:val="clear" w:color="auto" w:fill="auto"/>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宋体"/>
                <w:sz w:val="21"/>
                <w:szCs w:val="21"/>
                <w:highlight w:val="none"/>
                <w:lang w:val="en-US" w:eastAsia="zh-CN" w:bidi="ar-SA"/>
              </w:rPr>
              <w:suppressLineNumbers w:val="0"/>
            </w:pPr>
            <w:r>
              <w:rPr>
                <w:rFonts w:hint="eastAsia" w:ascii="宋体" w:eastAsia="宋体" w:cs="宋体"/>
                <w:szCs w:val="21"/>
                <w:highlight w:val="none"/>
                <w:lang w:val="en-US" w:eastAsia="zh-CN"/>
              </w:rPr>
              <w:t xml:space="preserve">是否属于小、微型企业的产品</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top"/>
            <w:textDirection w:val="lrTb"/>
            <w:noWrap w:val="false"/>
          </w:tcPr>
          <w:p>
            <w:pPr>
              <w:ind w:left="0" w:right="0"/>
              <w:jc w:val="left"/>
              <w:keepLines w:val="0"/>
              <w:keepNext w:val="0"/>
              <w:spacing w:before="0" w:beforeAutospacing="0" w:after="0" w:afterAutospacing="0" w:line="4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547"/>
        </w:trPr>
        <w:tc>
          <w:tcPr>
            <w:gridSpan w:val="9"/>
            <w:shd w:val="clear" w:color="auto" w:fill="auto"/>
            <w:tcW w:w="8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Cs w:val="21"/>
                <w:highlight w:val="none"/>
              </w:rPr>
              <w:t xml:space="preserve">本项目中提供的符合本国产品标准的产品成本之和占本项目提供的全部产品成本之和的比例为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tc>
      </w:tr>
    </w:tbl>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投标单位（加盖电子公章）：</w:t>
      </w:r>
      <w:r>
        <w:rPr>
          <w:rFonts w:hint="eastAsia" w:ascii="宋体" w:hAnsi="宋体" w:eastAsia="宋体" w:cs="宋体"/>
          <w:sz w:val="21"/>
          <w:szCs w:val="21"/>
          <w:highlight w:val="none"/>
          <w:u w:val="single"/>
        </w:rPr>
        <w:t xml:space="preserve">                             </w:t>
      </w:r>
      <w:r/>
    </w:p>
    <w:p>
      <w:pPr>
        <w:pStyle w:val="1108"/>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jc w:val="left"/>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说明：1、本项目仅接受一个价格，不得填报有选择性报价方案。若有优惠条款须注明，但不得影响报价，影响产品整体功能；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2、分项报价表总价需与开标一览表中投标总价一致，若不一致以开标一览表中投标总价为准。</w:t>
      </w:r>
      <w:r/>
    </w:p>
    <w:p>
      <w:pPr>
        <w:ind w:firstLine="422"/>
        <w:jc w:val="left"/>
        <w:spacing w:line="360" w:lineRule="auto"/>
        <w:shd w:val="clear" w:color="auto" w:fill="ffffff"/>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3、在“是否属于小、微型企业的产品”栏填写“是”或“否”；如填写“是”，供应商需同时提供有效的《中小企业声明函》；如果小微型企业的产品报价无法划分计算的，评标时将不予认可。</w:t>
      </w:r>
      <w:r/>
    </w:p>
    <w:p>
      <w:pPr>
        <w:ind w:firstLine="422"/>
        <w:jc w:val="left"/>
        <w:spacing w:line="360" w:lineRule="auto"/>
        <w:shd w:val="clear" w:color="auto" w:fill="ffffff"/>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422"/>
        <w:jc w:val="left"/>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、本项目中含有多种产品时，供应商未填写本项目中提供的符合本国产品标准的产品成本之和占该项目提供的全部产品成本之和的比例数值的，或比例数值未达到 80%的，将不享受本国产品价格评审优惠。</w:t>
      </w:r>
      <w:r/>
    </w:p>
    <w:p>
      <w:pPr>
        <w:jc w:val="left"/>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附件五、技术条款偏离表</w:t>
      </w:r>
      <w:r/>
    </w:p>
    <w:p>
      <w:pPr>
        <w:ind w:left="420"/>
        <w:jc w:val="center"/>
        <w:spacing w:line="360" w:lineRule="auto"/>
        <w:shd w:val="clear" w:color="auto" w:fill="ffffff"/>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技术条款偏离表</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bl>
      <w:tblPr>
        <w:tblStyle w:val="1051"/>
        <w:tblW w:w="48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5"/>
        <w:gridCol w:w="1397"/>
        <w:gridCol w:w="4547"/>
        <w:gridCol w:w="1092"/>
        <w:gridCol w:w="885"/>
        <w:gridCol w:w="806"/>
      </w:tblGrid>
      <w:tr>
        <w:trPr>
          <w:jc w:val="center"/>
          <w:trHeight w:val="284"/>
        </w:trPr>
        <w:tc>
          <w:tcPr>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序号</w:t>
            </w:r>
            <w:r/>
          </w:p>
        </w:tc>
        <w:tc>
          <w:tcPr>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招标文件条目号</w:t>
            </w:r>
            <w:r/>
          </w:p>
        </w:tc>
        <w:tc>
          <w:tcPr>
            <w:tcMar>
              <w:left w:w="10" w:type="dxa"/>
              <w:top w:w="0" w:type="dxa"/>
              <w:right w:w="10" w:type="dxa"/>
              <w:bottom w:w="0" w:type="dxa"/>
            </w:tcMar>
            <w:tcW w:w="241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招标要求规格</w:t>
            </w:r>
            <w:r/>
          </w:p>
        </w:tc>
        <w:tc>
          <w:tcPr>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投标响应</w:t>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偏离</w:t>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cs="宋体"/>
                <w:b/>
                <w:color w:val="auto"/>
                <w:sz w:val="21"/>
                <w:szCs w:val="21"/>
                <w:lang w:val="en-US" w:eastAsia="zh-CN"/>
              </w:rPr>
              <w:t xml:space="preserve">证明材料页码</w:t>
            </w:r>
            <w:r/>
          </w:p>
        </w:tc>
      </w:tr>
      <w:tr>
        <w:trPr>
          <w:jc w:val="center"/>
          <w:trHeight w:val="284"/>
        </w:trPr>
        <w:tc>
          <w:tcPr>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第四章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采购需求</w:t>
            </w:r>
            <w:r>
              <w:rPr>
                <w:rFonts w:hint="eastAsia" w:ascii="宋体" w:hAnsi="宋体" w:eastAsia="宋体" w:cs="宋体"/>
                <w:color w:val="auto"/>
                <w:sz w:val="21"/>
                <w:szCs w:val="21"/>
                <w:lang w:eastAsia="zh-CN"/>
              </w:rPr>
              <w:t xml:space="preserve">，二、技术指标及要求</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lang w:eastAsia="zh-CN"/>
              </w:rPr>
              <w:t xml:space="preserve">（一）ZDJ9 系列转辙机施工配线与故障处理实训台</w:t>
            </w:r>
            <w:r/>
          </w:p>
        </w:tc>
        <w:tc>
          <w:tcPr>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cs="宋体"/>
                <w:color w:val="000000"/>
                <w:szCs w:val="24"/>
                <w:highlight w:val="none"/>
              </w:rPr>
              <w:t xml:space="preserve">▲</w:t>
            </w:r>
            <w:r>
              <w:rPr>
                <w:rFonts w:hint="eastAsia"/>
                <w:highlight w:val="none"/>
                <w:lang w:val="en-US" w:eastAsia="zh-CN"/>
              </w:rPr>
              <w:t xml:space="preserve">实训台为独立硬件单元，集成转辙机组合架、继电器组合、分线盘、接口层于一体；台面配备故障模拟箱，可模拟转辙机电气回路故障，满足学生对五线制道岔转辙机施工配线、焊接、控制与故障处理实训与考核。</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tc>
        <w:tc>
          <w:tcPr>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284"/>
        </w:trPr>
        <w:tc>
          <w:tcPr>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highlight w:val="none"/>
                <w:lang w:val="en-US" w:eastAsia="zh-CN"/>
              </w:rPr>
              <w:suppressLineNumbers w:val="0"/>
            </w:pPr>
            <w:r>
              <w:rPr>
                <w:rFonts w:hint="eastAsia"/>
                <w:highlight w:val="none"/>
                <w:lang w:val="en-US" w:eastAsia="zh-CN"/>
              </w:rPr>
              <w:t xml:space="preserve">电烙铁插座采用断路器进行安全防护。实训台内置 I/O 控制板，作为连接整套实训平台的数据接口，用于转辙机组合及转辙机状态的采集上传与控制指令接收。</w:t>
            </w:r>
            <w:r/>
          </w:p>
        </w:tc>
        <w:tc>
          <w:tcPr>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284"/>
        </w:trPr>
        <w:tc>
          <w:tcPr>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i w:val="0"/>
                <w:iCs w:val="0"/>
                <w:color w:val="000000"/>
                <w:sz w:val="22"/>
                <w:szCs w:val="22"/>
                <w:u w:val="none"/>
                <w:lang w:val="en-US" w:eastAsia="zh-CN" w:bidi="ar"/>
              </w:rPr>
              <w:t xml:space="preserve">3</w:t>
            </w:r>
            <w:r/>
          </w:p>
        </w:tc>
        <w:tc>
          <w:tcPr>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auto"/>
                <w:sz w:val="21"/>
                <w:szCs w:val="21"/>
              </w:rPr>
              <w:t xml:space="preserve">第四章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采购需求</w:t>
            </w:r>
            <w:r>
              <w:rPr>
                <w:rFonts w:hint="eastAsia" w:ascii="宋体" w:hAnsi="宋体" w:eastAsia="宋体" w:cs="宋体"/>
                <w:color w:val="auto"/>
                <w:sz w:val="21"/>
                <w:szCs w:val="21"/>
                <w:lang w:eastAsia="zh-CN"/>
              </w:rPr>
              <w:t xml:space="preserve">，二、技术指标及要求</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lang w:eastAsia="zh-CN"/>
              </w:rPr>
              <w:t xml:space="preserve">（二）ZDJ9 系列电动转辙机</w:t>
            </w:r>
            <w:r/>
          </w:p>
        </w:tc>
        <w:tc>
          <w:tcPr>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rPr>
              <w:t xml:space="preserve">ZDJ9</w:t>
            </w:r>
            <w:r>
              <w:rPr>
                <w:rFonts w:hint="eastAsia" w:ascii="宋体" w:hAnsi="宋体" w:cs="宋体"/>
                <w:color w:val="000000"/>
                <w:sz w:val="21"/>
                <w:szCs w:val="21"/>
                <w:highlight w:val="none"/>
                <w:lang w:val="en-US" w:eastAsia="zh-CN"/>
              </w:rPr>
              <w:t xml:space="preserve">系列</w:t>
            </w:r>
            <w:r>
              <w:rPr>
                <w:rFonts w:hint="eastAsia" w:ascii="宋体" w:hAnsi="宋体" w:eastAsia="宋体" w:cs="宋体"/>
                <w:color w:val="000000"/>
                <w:sz w:val="21"/>
                <w:szCs w:val="21"/>
                <w:highlight w:val="none"/>
                <w:lang w:val="en-US" w:eastAsia="zh-CN"/>
              </w:rPr>
              <w:t xml:space="preserve">交流电动转辙机</w:t>
            </w:r>
            <w:r>
              <w:rPr>
                <w:rFonts w:hint="eastAsia" w:ascii="宋体" w:hAnsi="宋体" w:eastAsia="宋体" w:cs="宋体"/>
                <w:b w:val="0"/>
                <w:bCs w:val="0"/>
                <w:color w:val="000000"/>
                <w:sz w:val="21"/>
                <w:szCs w:val="21"/>
                <w:highlight w:val="none"/>
              </w:rPr>
              <w:t xml:space="preserve">或同等性能、纳入国家铁路局型号目录、具备铁路运输基础设备生产许可证的产品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采用三相交流五线制 AC380V 供电制式，主要由交流电动机、减速器、滚珠丝杠、摩擦连接器、自动开闭器、安全接点、接线端子、动作杆、锁闭杆（表示杆）、挤脱器等组成；额定转换力 4kN，动作杆动程 170±2mm，锁闭（表示）杆动程 152±4mm，工作电流 ≤2.0</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A，动作时间 ≤5.8s，单线电阻 ≤54Ω，挤脱力 28±2kN。</w:t>
            </w:r>
            <w:r/>
          </w:p>
        </w:tc>
        <w:tc>
          <w:tcPr>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284"/>
        </w:trPr>
        <w:tc>
          <w:tcPr>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i w:val="0"/>
                <w:iCs w:val="0"/>
                <w:color w:val="000000"/>
                <w:sz w:val="22"/>
                <w:szCs w:val="22"/>
                <w:u w:val="none"/>
                <w:lang w:val="en-US" w:eastAsia="zh-CN" w:bidi="ar"/>
              </w:rPr>
              <w:t xml:space="preserve">4</w:t>
            </w:r>
            <w:r/>
          </w:p>
        </w:tc>
        <w:tc>
          <w:tcPr>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auto"/>
                <w:sz w:val="21"/>
                <w:szCs w:val="21"/>
              </w:rPr>
              <w:t xml:space="preserve">第四章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采购需求</w:t>
            </w:r>
            <w:r>
              <w:rPr>
                <w:rFonts w:hint="eastAsia" w:ascii="宋体" w:hAnsi="宋体" w:eastAsia="宋体" w:cs="宋体"/>
                <w:color w:val="auto"/>
                <w:sz w:val="21"/>
                <w:szCs w:val="21"/>
                <w:lang w:eastAsia="zh-CN"/>
              </w:rPr>
              <w:t xml:space="preserve">，二、技术指标及要求</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lang w:eastAsia="zh-CN"/>
              </w:rPr>
              <w:t xml:space="preserve">（三）ZD6 系列转辙机施工配线与故障处理实训台</w:t>
            </w:r>
            <w:r/>
          </w:p>
        </w:tc>
        <w:tc>
          <w:tcPr>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cs="宋体"/>
                <w:color w:val="000000"/>
                <w:szCs w:val="24"/>
                <w:highlight w:val="none"/>
              </w:rPr>
              <w:t xml:space="preserve">▲</w:t>
            </w:r>
            <w:r>
              <w:rPr>
                <w:rFonts w:hint="eastAsia" w:ascii="宋体" w:hAnsi="宋体" w:eastAsia="宋体" w:cs="宋体"/>
                <w:color w:val="000000"/>
                <w:sz w:val="21"/>
                <w:szCs w:val="21"/>
                <w:highlight w:val="none"/>
                <w:lang w:val="en-US" w:eastAsia="zh-CN"/>
              </w:rPr>
              <w:t xml:space="preserve">实训台为独立硬件单元，集成转辙机组合架、继电器组合、分线盘、接口层于一体；台面配备故障模拟箱，可模拟转辙机电气回路故障，满足学员对四线制道岔转辙机施工配线、焊接、控制与故障处理实训与考核。</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tc>
        <w:tc>
          <w:tcPr>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284"/>
        </w:trPr>
        <w:tc>
          <w:tcPr>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电烙铁插座采用断路器进行安全防护。实训台内置 I/O 控制板，作为连接整套实训平台的数据接口，用于转辙机组合及转辙机状态的采集上传与控制指令接收。</w:t>
            </w:r>
            <w:r/>
          </w:p>
        </w:tc>
        <w:tc>
          <w:tcPr>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6</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第四章  采购需求，二、技术指标及要求，</w:t>
            </w:r>
            <w:r/>
          </w:p>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b/>
                <w:bCs/>
                <w:sz w:val="21"/>
                <w:szCs w:val="21"/>
              </w:rPr>
              <w:t xml:space="preserve">（四）ZD6 电动转辙机</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ZD6 </w:t>
            </w:r>
            <w:r>
              <w:rPr>
                <w:rFonts w:hint="eastAsia" w:ascii="宋体" w:hAnsi="宋体" w:cs="宋体"/>
                <w:color w:val="000000"/>
                <w:sz w:val="21"/>
                <w:szCs w:val="21"/>
                <w:highlight w:val="none"/>
                <w:lang w:val="en-US" w:eastAsia="zh-CN"/>
              </w:rPr>
              <w:t xml:space="preserve">系列</w:t>
            </w:r>
            <w:r>
              <w:rPr>
                <w:rFonts w:hint="eastAsia" w:ascii="宋体" w:hAnsi="宋体" w:eastAsia="宋体" w:cs="宋体"/>
                <w:color w:val="000000"/>
                <w:sz w:val="21"/>
                <w:szCs w:val="21"/>
                <w:highlight w:val="none"/>
                <w:lang w:val="en-US" w:eastAsia="zh-CN"/>
              </w:rPr>
              <w:t xml:space="preserve">直流电动转辙机</w:t>
            </w:r>
            <w:r>
              <w:rPr>
                <w:rFonts w:hint="eastAsia" w:ascii="宋体" w:hAnsi="宋体" w:eastAsia="宋体" w:cs="宋体"/>
                <w:b w:val="0"/>
                <w:bCs w:val="0"/>
                <w:color w:val="000000"/>
                <w:sz w:val="21"/>
                <w:szCs w:val="21"/>
                <w:highlight w:val="none"/>
              </w:rPr>
              <w:t xml:space="preserve">或同等性能、纳入国家铁路局型号目录、具备铁路运输基础设备生产许可证的产品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主要由电动机、减速器、摩擦连接器、自动开闭器、主轴、动作杆、表示杆、移位接触器、遮断器等组成，含手摇把、遮断器钥匙等附件。</w:t>
            </w:r>
            <w:r>
              <w:rPr>
                <w:rFonts w:hint="eastAsia"/>
                <w:szCs w:val="24"/>
                <w:highlight w:val="none"/>
              </w:rPr>
              <w:t xml:space="preserve">额定电压为DC160V，额定转换力为3430N,动作杆动程为165±2mm，表示杆动程为135-185mm，工作电流≤2.0A，动作时间≤5.5s。</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7</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（五）LED 信号机施工配线与故障处理实训台</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Cs w:val="21"/>
                <w:highlight w:val="none"/>
              </w:rPr>
              <w:t xml:space="preserve">实训台为独立硬件单元，集成信号机组合架、继电器组合、分线盘、接口层于一体；台面配备故障模拟箱，可模拟信号机电气回路故障，满足学员对三显示 LED 信号机施工配线、焊接、控制与故障处理实训与考核。</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8</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电烙铁插座采用断路器进行安全防护。实训台内置 I/O  控制板，作为连接整套实训平台的数据接口，用于信号机点灯组合及信号机状态的采集上传与控制指令接收。</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9</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（六）三显示 LED 信号机</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信号机采用黄、绿、红三显示 LED 矮型信号机。信号机由铝合金机构、光学透镜（蜂房式）、LED 发光盘、智能点灯单元等组成。机构采用铝合金材料压铸；光学系统采用透镜式（蜂房式）聚光结构；光源为 LED 发光盘（每灯不少于100 只高亮 LED，个别损坏不影响整体显示）。智能点灯单元具备断丝/故障自动报警并导向安全侧功能。</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10</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主要性能：显示距离≥200 m，防护等级≥IP53，LED 寿命≥5 万小时，工作电压 AC110 V。</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11</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（七）调车信号机施工配线与故障处理实训台</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Cs w:val="21"/>
                <w:highlight w:val="none"/>
              </w:rPr>
              <w:t xml:space="preserve">实训台为独立硬件单元，集成信号机组合架、继电器组合、分线盘、接口层于一体；台面配备故障模拟箱，可模拟信号机电气回路故障，满足学员对调车信号机施工配线、焊接、控制与故障处理实训与考核。</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12</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cs="宋体"/>
                <w:color w:val="000000"/>
                <w:szCs w:val="21"/>
                <w:highlight w:val="none"/>
              </w:rPr>
              <w:suppressLineNumbers w:val="0"/>
            </w:pPr>
            <w:r>
              <w:rPr>
                <w:rFonts w:hint="eastAsia"/>
              </w:rPr>
              <w:t xml:space="preserve">电烙铁插座采用断路器进行安全防护。实训台内置 I/O  控制板，作为连接整套实训平台的数据接口，用于信号机点灯组合及信号机状态的采集上传与控制指令接收。</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13</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（八）调车信号机</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信号机采用蓝、月白二显示调车矮型信号机。信号机由铝合金机构、LED 发光盘、智能点灯单元等组成。机构采用铝合金材料压铸。智能点灯单元具备断丝/故障自动报警并导向安全侧功能。</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14</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主要性能：显示距离≥200 m，防护等级≥IP53，LED 寿命≥5 万小时。</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（九）50Hz 轨道电路施工配线与故障处理实训台</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Cs w:val="21"/>
                <w:highlight w:val="none"/>
              </w:rPr>
              <w:t xml:space="preserve">实训台为独立硬件单元，集成 50Hz 轨道电路组合架、继电器组合、分线盘、接口层于一体；台面配备故障模拟箱，可模拟轨道电路设备电气回路故障，满足学员对轨道电路设备施工配线、焊接、控制与故障处理实训与考核。</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电烙铁插座采用断路器进行安全防护。配备I/O控制板，采集轨道电路的状态，同步在联锁软件系统上显示区段占用与空闲状态。</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7</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（十）50Hz 微电子相敏轨道电路</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真实一送一受式50 Hz微电子相敏轨道电路，包含送电端电源变压器、受电端中继变压器、限流变阻器、断路器、变压器箱、微电子相敏接收器、轨道继电器、调相防雷器等，并配备钢轨绝缘、钢轨引接线、钢轨接续线。同时配备模拟钢轨段，变压器通过钢轨引接线接向</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3m</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长60 kg/m</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的钢轨。</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8</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（十一）方向盒和终端盒</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采用真实城轨在用的方向电缆盒（分向盒）和终端电缆盒，用于室外信号设备电缆分向与终端配线，满足学生室外设备间配线施工、导通测试等实训要求。方向电缆盒宜选用 HF-4/HF-7 型（或同等），终端电缆盒宜选用 HZ-12/HZ-24 型（或同等），壳体材质为铸铁或 SMC 复合材料，端子采用瓷端子或万可端子。</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9</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（十二）车站 ATS 终端</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本终端为适配车站ATS系统运行的专用操作终端，设备整体性能需完全满足城轨车站ATS系统全天候、不间断稳定运行要求，适配系统实时数据处理、界面监控、业务操作等全部功能场景，配套标准操控外设，可满足现场日常运维、参数操作、设备监控等所有作业需求。</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（十三）车辆段联锁终端</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本终端为适配车辆段联锁系统运行的专用操作终端，设备整体性能需适配车辆段联锁系统高稳定性、高安全性运行标准，可支撑系统逻辑运算、设备状态监测、行车进路管控等核心业务运行，配套标准操控外设，满足车辆段日常联锁作业、设备调试、运行管控等工作需求。</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21</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（十四）车站 ATS 系统</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系统应能实现以下进路控制功能：排列进路、取消进路、人工解锁进路、开放引导信号、进路自动解锁、设置/取消自动通过进路、进路控制模式切换（人工控制/自动控制）等。</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22</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系统应能实现以下轨道设备功能：轨道占用/出清、轨道封锁/解封、区段故障解锁、计轴预复位、设置临时限速等。</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23</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系统应能实现以下信号机设备功能：信号重开、信号封锁/解封、强制点灯/取消强制点灯等。</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24</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▲系统应能实现以下道岔设备功能：道岔定操/反操、设置/取消道岔强扳授权、道岔单锁/单解、道岔封锁/解封等。</w:t>
            </w:r>
            <w:r>
              <w:rPr>
                <w:rFonts w:hint="eastAsia" w:ascii="宋体" w:hAnsi="宋体" w:eastAsia="宋体" w:cs="宋体"/>
                <w:b/>
                <w:bCs/>
                <w:i w:val="0"/>
                <w:iCs w:val="0"/>
                <w:color w:val="000000"/>
                <w:sz w:val="21"/>
                <w:szCs w:val="21"/>
                <w:u w:val="none"/>
                <w:lang w:val="en-US" w:eastAsia="zh-CN" w:bidi="ar"/>
              </w:rPr>
              <w:t xml:space="preserve">（提供公开发行的产品彩页或产品说明书或第三方检测机构的检测报告或功能界面截图或其他能够佐证该项技术功能的证明材料）</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25</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车站</w:t>
            </w:r>
            <w:r>
              <w:rPr>
                <w:rFonts w:hint="eastAsia" w:ascii="宋体" w:hAnsi="宋体" w:cs="宋体"/>
                <w:color w:val="000000"/>
                <w:szCs w:val="21"/>
                <w:highlight w:val="none"/>
                <w:lang w:eastAsia="zh-CN"/>
              </w:rPr>
              <w:t xml:space="preserve">A</w:t>
            </w:r>
            <w:r>
              <w:rPr>
                <w:rFonts w:hint="eastAsia" w:ascii="宋体" w:hAnsi="宋体" w:cs="宋体"/>
                <w:color w:val="000000"/>
                <w:szCs w:val="21"/>
                <w:highlight w:val="none"/>
                <w:lang w:val="en-US" w:eastAsia="zh-CN"/>
              </w:rPr>
              <w:t xml:space="preserve">TS系统</w:t>
            </w:r>
            <w:r>
              <w:rPr>
                <w:rFonts w:hint="eastAsia" w:ascii="宋体" w:hAnsi="宋体" w:cs="宋体"/>
                <w:color w:val="000000"/>
                <w:szCs w:val="21"/>
                <w:highlight w:val="none"/>
              </w:rPr>
              <w:t xml:space="preserve">配套专业</w:t>
            </w:r>
            <w:r>
              <w:rPr>
                <w:rFonts w:hint="eastAsia" w:ascii="宋体" w:hAnsi="宋体" w:cs="宋体"/>
                <w:color w:val="000000"/>
                <w:szCs w:val="21"/>
                <w:highlight w:val="none"/>
                <w:lang w:val="en-US" w:eastAsia="zh-CN"/>
              </w:rPr>
              <w:t xml:space="preserve">数字</w:t>
            </w:r>
            <w:r>
              <w:rPr>
                <w:rFonts w:hint="eastAsia" w:ascii="宋体" w:hAnsi="宋体" w:cs="宋体"/>
                <w:color w:val="000000"/>
                <w:szCs w:val="21"/>
                <w:highlight w:val="none"/>
              </w:rPr>
              <w:t xml:space="preserve">资源</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城市轨道交通ATS行车组织</w:t>
            </w:r>
            <w:r>
              <w:rPr>
                <w:rFonts w:hint="eastAsia" w:ascii="宋体" w:hAnsi="宋体" w:cs="宋体"/>
                <w:color w:val="000000"/>
                <w:szCs w:val="21"/>
                <w:highlight w:val="none"/>
                <w:lang w:val="en-US" w:eastAsia="zh-CN"/>
              </w:rPr>
              <w:t xml:space="preserve">数字</w:t>
            </w:r>
            <w:r>
              <w:rPr>
                <w:rFonts w:hint="eastAsia" w:ascii="宋体" w:hAnsi="宋体" w:cs="宋体"/>
                <w:color w:val="000000"/>
                <w:szCs w:val="21"/>
                <w:highlight w:val="none"/>
              </w:rPr>
              <w:t xml:space="preserve">资源：包含列车运行图、运输计划、行车闭塞法、运行进路及行车凭证、正常情况下行车组织、非正常情况下的行车组织、救援列车</w:t>
            </w:r>
            <w:r>
              <w:rPr>
                <w:rFonts w:hint="eastAsia" w:ascii="宋体" w:hAnsi="宋体" w:cs="宋体"/>
                <w:color w:val="000000"/>
                <w:szCs w:val="21"/>
                <w:highlight w:val="none"/>
                <w:lang w:val="en-US" w:eastAsia="zh-CN"/>
              </w:rPr>
              <w:t xml:space="preserve">与</w:t>
            </w:r>
            <w:r>
              <w:rPr>
                <w:rFonts w:hint="eastAsia" w:ascii="宋体" w:hAnsi="宋体" w:cs="宋体"/>
                <w:color w:val="000000"/>
                <w:szCs w:val="21"/>
                <w:highlight w:val="none"/>
              </w:rPr>
              <w:t xml:space="preserve">工程车、行车事故处理及预防等</w:t>
            </w:r>
            <w:r>
              <w:rPr>
                <w:rFonts w:hint="eastAsia" w:ascii="宋体" w:hAnsi="宋体" w:cs="宋体"/>
                <w:color w:val="000000"/>
                <w:szCs w:val="21"/>
                <w:highlight w:val="none"/>
                <w:lang w:val="en-US" w:eastAsia="zh-CN"/>
              </w:rPr>
              <w:t xml:space="preserve">数字资源</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城市轨道客运组织</w:t>
            </w:r>
            <w:r>
              <w:rPr>
                <w:rFonts w:hint="eastAsia" w:ascii="宋体" w:hAnsi="宋体" w:cs="宋体"/>
                <w:color w:val="000000"/>
                <w:szCs w:val="21"/>
                <w:highlight w:val="none"/>
                <w:lang w:val="en-US" w:eastAsia="zh-CN"/>
              </w:rPr>
              <w:t xml:space="preserve">数字</w:t>
            </w:r>
            <w:r>
              <w:rPr>
                <w:rFonts w:hint="eastAsia" w:ascii="宋体" w:hAnsi="宋体" w:cs="宋体"/>
                <w:color w:val="000000"/>
                <w:szCs w:val="21"/>
                <w:highlight w:val="none"/>
              </w:rPr>
              <w:t xml:space="preserve">资源：包含城市轨道交通系统运营、城市轨道交通客流预测分析、车站客运作业组织、车站换乘作业组织、城市轨道交通大客流管理等</w:t>
            </w:r>
            <w:r>
              <w:rPr>
                <w:rFonts w:hint="eastAsia" w:ascii="宋体" w:hAnsi="宋体" w:cs="宋体"/>
                <w:color w:val="000000"/>
                <w:szCs w:val="21"/>
                <w:highlight w:val="none"/>
                <w:lang w:val="en-US" w:eastAsia="zh-CN"/>
              </w:rPr>
              <w:t xml:space="preserve">数字资源</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Cs w:val="21"/>
                <w:highlight w:val="none"/>
              </w:rPr>
              <w:t xml:space="preserve">城市轨道交通信号与通信设备教学培训系统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系统可以</w:t>
            </w:r>
            <w:r>
              <w:rPr>
                <w:rFonts w:hint="eastAsia" w:ascii="宋体" w:hAnsi="宋体" w:cs="宋体"/>
                <w:color w:val="000000"/>
                <w:szCs w:val="21"/>
                <w:highlight w:val="none"/>
              </w:rPr>
              <w:t xml:space="preserve">将城市轨道交通通信与信号真实设备</w:t>
            </w:r>
            <w:r>
              <w:rPr>
                <w:rFonts w:hint="eastAsia" w:ascii="宋体" w:hAnsi="宋体" w:cs="宋体"/>
                <w:color w:val="000000"/>
                <w:szCs w:val="21"/>
                <w:highlight w:val="none"/>
                <w:lang w:val="en-US" w:eastAsia="zh-CN"/>
              </w:rPr>
              <w:t xml:space="preserve">的结构</w:t>
            </w:r>
            <w:r>
              <w:rPr>
                <w:rFonts w:hint="eastAsia" w:ascii="宋体" w:hAnsi="宋体" w:cs="宋体"/>
                <w:color w:val="000000"/>
                <w:szCs w:val="21"/>
                <w:highlight w:val="none"/>
              </w:rPr>
              <w:t xml:space="preserve">组成、</w:t>
            </w:r>
            <w:r>
              <w:rPr>
                <w:rFonts w:hint="eastAsia" w:ascii="宋体" w:hAnsi="宋体" w:cs="宋体"/>
                <w:color w:val="000000"/>
                <w:szCs w:val="21"/>
                <w:highlight w:val="none"/>
                <w:lang w:val="en-US" w:eastAsia="zh-CN"/>
              </w:rPr>
              <w:t xml:space="preserve">工作</w:t>
            </w:r>
            <w:r>
              <w:rPr>
                <w:rFonts w:hint="eastAsia" w:ascii="宋体" w:hAnsi="宋体" w:cs="宋体"/>
                <w:color w:val="000000"/>
                <w:szCs w:val="21"/>
                <w:highlight w:val="none"/>
              </w:rPr>
              <w:t xml:space="preserve">原理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操作</w:t>
            </w:r>
            <w:r>
              <w:rPr>
                <w:rFonts w:hint="eastAsia" w:ascii="宋体" w:hAnsi="宋体" w:cs="宋体"/>
                <w:color w:val="000000"/>
                <w:szCs w:val="21"/>
                <w:highlight w:val="none"/>
                <w:lang w:val="en-US" w:eastAsia="zh-CN"/>
              </w:rPr>
              <w:t xml:space="preserve">步骤</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en-US" w:eastAsia="zh-CN"/>
              </w:rPr>
              <w:t xml:space="preserve">虚拟软件</w:t>
            </w:r>
            <w:r>
              <w:rPr>
                <w:rFonts w:hint="eastAsia" w:ascii="宋体" w:hAnsi="宋体" w:cs="宋体"/>
                <w:color w:val="000000"/>
                <w:szCs w:val="21"/>
                <w:highlight w:val="none"/>
              </w:rPr>
              <w:t xml:space="preserve">中进行</w:t>
            </w:r>
            <w:r>
              <w:rPr>
                <w:rFonts w:hint="eastAsia" w:ascii="宋体" w:hAnsi="宋体" w:cs="宋体"/>
                <w:color w:val="000000"/>
                <w:szCs w:val="21"/>
                <w:highlight w:val="none"/>
                <w:lang w:val="en-US" w:eastAsia="zh-CN"/>
              </w:rPr>
              <w:t xml:space="preserve">呈现；</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26</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（十五）车辆段联锁系统</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应能显示信号设备的状态信息和列车位置信息等，显示的主要内容包括但不限于：车辆基地的线路布局；信号元素（包括信号机、轨道区段、道岔等）状态及编号（可调显）；信号机状态，道岔状态，轨道区段状态，进路状态。</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7</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信号设备操作系统：应具备信号机操作功能：信号封锁/解封，重开列车信号/重开调车信号等；应具备道岔操作功能：道岔定操/反操，道岔封锁/解封，道岔单锁/单解等；应具备区段操作功能：区段故障解锁，区段封锁/解封；应具备进路控制功能：排列/取消列车进路，排列/人工解锁引导进路；应具备全站解锁/封锁、上电解锁，设置/取消引导总锁等操作。</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28</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故障报警系统：应具有设备运行状态监视及故障报警功能，当列车运行或信号设备发生异常时，应自动在工作站给出报警提示；报警应按预定义逻辑分为一、二、三级（与（十四）微机监测报警分级保持一致）；系统报警应分等级显示在工作站上，报警信息包含：年/月/日/时/分/秒、报警名称、报警内容、报警类型、报警地点、报警确认时间等。</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29</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配备城轨信号维修综合仿真实训系统，系统由</w:t>
            </w:r>
            <w:r>
              <w:rPr>
                <w:rFonts w:hint="default" w:ascii="Times New Roman" w:hAnsi="Times New Roman" w:eastAsia="宋体" w:cs="Times New Roman"/>
                <w:i w:val="0"/>
                <w:iCs w:val="0"/>
                <w:color w:val="000000"/>
                <w:sz w:val="21"/>
                <w:szCs w:val="21"/>
                <w:u w:val="none"/>
                <w:lang w:val="en-US" w:eastAsia="zh-CN" w:bidi="ar"/>
              </w:rPr>
              <w:t xml:space="preserve">Web</w:t>
            </w:r>
            <w:r>
              <w:rPr>
                <w:rFonts w:hint="eastAsia" w:ascii="宋体" w:hAnsi="宋体" w:eastAsia="宋体" w:cs="宋体"/>
                <w:i w:val="0"/>
                <w:iCs w:val="0"/>
                <w:color w:val="000000"/>
                <w:sz w:val="21"/>
                <w:szCs w:val="21"/>
                <w:u w:val="none"/>
                <w:lang w:val="en-US" w:eastAsia="zh-CN" w:bidi="ar"/>
              </w:rPr>
              <w:t xml:space="preserve">管理系统、</w:t>
            </w:r>
            <w:r>
              <w:rPr>
                <w:rFonts w:hint="default" w:ascii="Times New Roman" w:hAnsi="Times New Roman" w:eastAsia="宋体" w:cs="Times New Roman"/>
                <w:i w:val="0"/>
                <w:iCs w:val="0"/>
                <w:color w:val="000000"/>
                <w:sz w:val="21"/>
                <w:szCs w:val="21"/>
                <w:u w:val="none"/>
                <w:lang w:val="en-US" w:eastAsia="zh-CN" w:bidi="ar"/>
              </w:rPr>
              <w:t xml:space="preserve">Web</w:t>
            </w:r>
            <w:r>
              <w:rPr>
                <w:rFonts w:hint="eastAsia" w:ascii="宋体" w:hAnsi="宋体" w:eastAsia="宋体" w:cs="宋体"/>
                <w:i w:val="0"/>
                <w:iCs w:val="0"/>
                <w:color w:val="000000"/>
                <w:sz w:val="21"/>
                <w:szCs w:val="21"/>
                <w:u w:val="none"/>
                <w:lang w:val="en-US" w:eastAsia="zh-CN" w:bidi="ar"/>
              </w:rPr>
              <w:t xml:space="preserve">学员系统和客户端应用系统等组成。仿真实训系统中构建虚拟的三维数字化车站室内外信号设备场景，包含</w:t>
            </w:r>
            <w:r>
              <w:rPr>
                <w:rFonts w:hint="default" w:ascii="Times New Roman" w:hAnsi="Times New Roman" w:eastAsia="宋体" w:cs="Times New Roman"/>
                <w:i w:val="0"/>
                <w:iCs w:val="0"/>
                <w:color w:val="000000"/>
                <w:sz w:val="21"/>
                <w:szCs w:val="21"/>
                <w:u w:val="none"/>
                <w:lang w:val="en-US" w:eastAsia="zh-CN" w:bidi="ar"/>
              </w:rPr>
              <w:t xml:space="preserve">ZC</w:t>
            </w:r>
            <w:r>
              <w:rPr>
                <w:rFonts w:hint="eastAsia" w:ascii="宋体" w:hAnsi="宋体" w:eastAsia="宋体" w:cs="宋体"/>
                <w:i w:val="0"/>
                <w:iCs w:val="0"/>
                <w:color w:val="000000"/>
                <w:sz w:val="21"/>
                <w:szCs w:val="21"/>
                <w:u w:val="none"/>
                <w:lang w:val="en-US" w:eastAsia="zh-CN" w:bidi="ar"/>
              </w:rPr>
              <w:t xml:space="preserve">机柜、计算机联锁机柜、计轴设备、道岔转辙机、信号机等。三维仿真设备的组成和结构需按照真实地铁车站设备进行仿真，设备的外观、形状、布局需与实际一致，主要的操作、发光、发声、报警、显示等设备的功能、内容、动作方式、控制方式、操作方式等属性与实际一致，并且按照实际的逻辑关系实时响应，响应的方式及结果与实际相同。可在三维场景中开展各个设备的标准化检修作业和故障分析与处理等培训</w:t>
            </w:r>
            <w:r>
              <w:rPr>
                <w:rFonts w:hint="eastAsia" w:ascii="宋体" w:hAnsi="宋体" w:eastAsia="宋体" w:cs="宋体"/>
                <w:i w:val="0"/>
                <w:iCs w:val="0"/>
                <w:color w:val="0000ff"/>
                <w:sz w:val="21"/>
                <w:szCs w:val="21"/>
                <w:u w:val="single"/>
                <w:lang w:val="en-US" w:eastAsia="zh-CN" w:bidi="ar"/>
              </w:rPr>
              <w:t xml:space="preserve">。</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30</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城轨车辆段联锁系统配套数字</w:t>
            </w:r>
            <w:r>
              <w:rPr>
                <w:rFonts w:hint="eastAsia" w:ascii="宋体" w:hAnsi="宋体" w:cs="宋体"/>
                <w:color w:val="000000"/>
                <w:szCs w:val="21"/>
                <w:highlight w:val="none"/>
              </w:rPr>
              <w:t xml:space="preserve">资源</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电务信号系统人身安全标准</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信号设备的仪表使用及电气特性测试</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S700K分动外锁闭道岔结构原理</w:t>
            </w:r>
            <w:r>
              <w:rPr>
                <w:rFonts w:hint="eastAsia" w:ascii="宋体" w:hAnsi="宋体" w:cs="宋体"/>
                <w:color w:val="000000"/>
                <w:szCs w:val="21"/>
                <w:highlight w:val="none"/>
                <w:lang w:val="en-US" w:eastAsia="zh-CN"/>
              </w:rPr>
              <w:t xml:space="preserve">与</w:t>
            </w:r>
            <w:r>
              <w:rPr>
                <w:rFonts w:hint="eastAsia" w:ascii="宋体" w:hAnsi="宋体" w:cs="宋体"/>
                <w:color w:val="000000"/>
                <w:szCs w:val="21"/>
                <w:highlight w:val="none"/>
              </w:rPr>
              <w:t xml:space="preserve">应急处理</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密贴调整</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信号电源屏柜设备工作原理及维修程序</w:t>
            </w:r>
            <w:r>
              <w:rPr>
                <w:rFonts w:hint="eastAsia" w:ascii="宋体" w:hAnsi="宋体" w:cs="宋体"/>
                <w:color w:val="000000"/>
                <w:szCs w:val="21"/>
                <w:highlight w:val="none"/>
                <w:lang w:val="en-US" w:eastAsia="zh-CN"/>
              </w:rPr>
              <w:t xml:space="preserve">与</w:t>
            </w:r>
            <w:r>
              <w:rPr>
                <w:rFonts w:hint="eastAsia" w:ascii="宋体" w:hAnsi="宋体" w:cs="宋体"/>
                <w:color w:val="000000"/>
                <w:szCs w:val="21"/>
                <w:highlight w:val="none"/>
              </w:rPr>
              <w:t xml:space="preserve">标准</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轨道电路原理及应急故障处理</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cs="宋体"/>
                <w:color w:val="000000"/>
                <w:szCs w:val="21"/>
                <w:highlight w:val="none"/>
                <w:lang w:eastAsia="zh-CN"/>
              </w:rPr>
              <w:suppressLineNumbers w:val="0"/>
            </w:pPr>
            <w:r>
              <w:rPr>
                <w:rFonts w:hint="eastAsia" w:ascii="宋体" w:hAnsi="宋体" w:cs="宋体"/>
                <w:color w:val="000000"/>
                <w:szCs w:val="21"/>
                <w:highlight w:val="none"/>
              </w:rPr>
              <w:t xml:space="preserve">6502电气集中室内设备故障处理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联锁设备工作原理</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计算机连锁系统原理及故障处理</w:t>
            </w:r>
            <w:r>
              <w:rPr>
                <w:rFonts w:hint="eastAsia" w:ascii="宋体" w:hAnsi="宋体" w:cs="宋体"/>
                <w:color w:val="000000"/>
                <w:szCs w:val="21"/>
                <w:highlight w:val="none"/>
                <w:lang w:eastAsia="zh-CN"/>
              </w:rPr>
              <w:t xml:space="preserve">；</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Cs w:val="21"/>
                <w:highlight w:val="none"/>
              </w:rPr>
              <w:t xml:space="preserve">ZDJ9</w:t>
            </w:r>
            <w:r>
              <w:rPr>
                <w:rFonts w:hint="eastAsia" w:ascii="宋体" w:hAnsi="宋体" w:cs="宋体"/>
                <w:color w:val="000000"/>
                <w:szCs w:val="21"/>
                <w:highlight w:val="none"/>
                <w:lang w:val="en-US" w:eastAsia="zh-CN"/>
              </w:rPr>
              <w:t xml:space="preserve">系列</w:t>
            </w:r>
            <w:r>
              <w:rPr>
                <w:rFonts w:hint="eastAsia" w:ascii="宋体" w:hAnsi="宋体" w:cs="宋体"/>
                <w:color w:val="000000"/>
                <w:szCs w:val="21"/>
                <w:highlight w:val="none"/>
              </w:rPr>
              <w:t xml:space="preserve">电动转辙机的结构原理</w:t>
            </w:r>
            <w:r>
              <w:rPr>
                <w:rFonts w:hint="eastAsia" w:ascii="宋体" w:hAnsi="宋体" w:cs="宋体"/>
                <w:color w:val="000000"/>
                <w:szCs w:val="21"/>
                <w:highlight w:val="none"/>
                <w:lang w:eastAsia="zh-CN"/>
              </w:rPr>
              <w:t xml:space="preserve">；</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31</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（十六）故障设置与提交系统</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Cs w:val="24"/>
                <w:highlight w:val="none"/>
                <w:lang w:bidi="ar"/>
              </w:rPr>
              <w:t xml:space="preserve">▲</w:t>
            </w:r>
            <w:r>
              <w:rPr>
                <w:rFonts w:hint="eastAsia"/>
                <w:highlight w:val="none"/>
                <w:lang w:val="en-US" w:eastAsia="zh-CN"/>
              </w:rPr>
              <w:t xml:space="preserve">故障设置功能：支持在信号设备电路图上选取故障点，下发断线、短路或混线等故障设置，并支持对故障进行修复；故障设置范围应覆盖各类信号设备（至少包含列车或调车信号机、轨道电路、转辙机、计轴设备）。</w:t>
            </w:r>
            <w:r>
              <w:rPr>
                <w:rFonts w:hint="eastAsia" w:ascii="宋体" w:hAnsi="宋体" w:cs="宋体"/>
                <w:b/>
                <w:bCs/>
                <w:color w:val="000000"/>
                <w:sz w:val="21"/>
                <w:szCs w:val="21"/>
                <w:highlight w:val="none"/>
                <w:u w:val="none"/>
                <w:lang w:eastAsia="zh-CN"/>
              </w:rPr>
              <w:t xml:space="preserve">（提供公开发行的产品彩页或产品说明书或第三方检测机构的检测报告或功能界面截图或其他能够佐证该项技术功能的证明材料）</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32</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highlight w:val="none"/>
                <w:lang w:val="en-US" w:eastAsia="zh-CN"/>
              </w:rPr>
              <w:t xml:space="preserve">故障提交与评判功能：故障点排查后，可通过信号设备电路图提交排故答案；系统应对答案正确性自动评判，实现自动化考核。</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33</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（十七）教员管理系统</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系统监管与维护：应支持对整套系统的全方位监管、控制与系统维护，覆盖设备运转前准备、培训中状态监测至培训后数据处理与评价的全流程。</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34</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培训与考核管理：应支持培训课程设计与基础数据准备，支持实训任务及考核试卷的下发与终止；考核试卷应可编辑（添加、删除、修改）；考核内容应支持自由或随机选取设备故障点。</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35</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成绩与记录管理：应同步记录实训练习与考核成绩，支持查看实操记录、提交记录，提供评分标准并支持成绩导出。</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36</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设备集中控制：应支持系统设备一键开关机，减少实作前后设备启动与恢复时间。</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37</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▲系统能够实现终端管理、试卷管理、成绩管理以及教员管理功能；能够查看考试信息、考试成绩、操作记录功能。</w:t>
            </w:r>
            <w:r>
              <w:rPr>
                <w:rFonts w:hint="eastAsia" w:ascii="宋体" w:hAnsi="宋体" w:eastAsia="宋体" w:cs="宋体"/>
                <w:b/>
                <w:bCs/>
                <w:i w:val="0"/>
                <w:iCs w:val="0"/>
                <w:color w:val="000000"/>
                <w:sz w:val="21"/>
                <w:szCs w:val="21"/>
                <w:u w:val="none"/>
                <w:lang w:val="en-US" w:eastAsia="zh-CN" w:bidi="ar"/>
              </w:rPr>
              <w:t xml:space="preserve">（提供公开发行的产品彩页或产品说明书或第三方检测机构的检测报告或功能界面截图或其他能够佐证该项技术功能的证明材料）</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8</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（十八）工具套装</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rPr>
              <w:t xml:space="preserve">每个实训工位配置一套工具套装，至少包含：数字万用表、电烙铁、焊锡丝、焊台等。</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9</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（十九）应答器实训系统</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有源应答器：1个；真实 450 mm×260 mm×40 mm 应答器，含可变应答器电缆（接 LEU）。</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40</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无源应答器：1个；真实 450 mm×260 mm×40 mm 应答器。</w:t>
            </w:r>
            <w:bookmarkStart w:id="38" w:name="_GoBack"/>
            <w:r/>
            <w:bookmarkEnd w:id="38"/>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41</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应答器报文读写器：1个；用于应答器报文的烧写、读取及检查。</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42</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highlight w:val="none"/>
                <w:lang w:val="en-US" w:eastAsia="zh-CN" w:bidi="ar-SA"/>
              </w:rPr>
              <w:t xml:space="preserve">（二十）轨道与道岔</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color w:val="000000"/>
                <w:sz w:val="21"/>
                <w:szCs w:val="21"/>
                <w:highlight w:val="none"/>
                <w:lang w:val="en-US" w:eastAsia="zh-CN"/>
              </w:rPr>
              <w:t xml:space="preserve">轨道与</w:t>
            </w:r>
            <w:r>
              <w:rPr>
                <w:rFonts w:hint="eastAsia" w:ascii="宋体" w:hAnsi="宋体" w:eastAsia="宋体" w:cs="宋体"/>
                <w:color w:val="000000"/>
                <w:sz w:val="21"/>
                <w:szCs w:val="21"/>
                <w:highlight w:val="none"/>
                <w:lang w:val="en-US" w:eastAsia="zh-CN"/>
              </w:rPr>
              <w:t xml:space="preserve">道岔平台</w:t>
            </w:r>
            <w:r>
              <w:rPr>
                <w:rFonts w:hint="eastAsia" w:ascii="宋体" w:hAnsi="宋体" w:cs="宋体"/>
                <w:color w:val="000000"/>
                <w:sz w:val="21"/>
                <w:szCs w:val="21"/>
                <w:highlight w:val="none"/>
                <w:lang w:val="en-US" w:eastAsia="zh-CN"/>
              </w:rPr>
              <w:t xml:space="preserve">长度不小于3m,</w:t>
            </w:r>
            <w:r>
              <w:rPr>
                <w:rFonts w:hint="eastAsia" w:ascii="宋体" w:hAnsi="宋体" w:eastAsia="宋体" w:cs="宋体"/>
                <w:color w:val="000000"/>
                <w:sz w:val="21"/>
                <w:szCs w:val="21"/>
                <w:highlight w:val="none"/>
                <w:lang w:val="en-US" w:eastAsia="zh-CN"/>
              </w:rPr>
              <w:t xml:space="preserve">含实物60 kg/m钢轨</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单开道岔岔尖及道岔安装平台，道岔钢轨扣件位置正确、齐全、有效，尖轨操动灵活、贴靠。直股钢轨用于安装轨旁计轴磁头设备（与（二十一）计轴实训系统配套）。</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43</w:t>
            </w:r>
            <w:r/>
          </w:p>
        </w:tc>
        <w:tc>
          <w:tcPr>
            <w:shd w:val="clear" w:color="auto" w:fill="auto"/>
            <w:tcMar>
              <w:left w:w="10" w:type="dxa"/>
              <w:top w:w="0" w:type="dxa"/>
              <w:right w:w="10" w:type="dxa"/>
              <w:bottom w:w="0" w:type="dxa"/>
            </w:tcMar>
            <w:tcW w:w="74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（二十一）计轴实训系统</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计轴机柜：采用仿真计轴机柜，实现计轴设备对轨道物理占用的检测功能。主要包含放大板、计轴板、输出板、复零板和电源板等功能单元，其外观、板卡面板、指示灯显示及接口与真实设备一致。能够检测列车并给出区段占用信息，控制轨道继电器动作，同时可实现计轴预复位功能；能判断列车行进方向。计轴机柜应具备故障注入</w:t>
            </w:r>
            <w:r>
              <w:rPr>
                <w:rFonts w:hint="eastAsia" w:ascii="宋体" w:hAnsi="宋体" w:cs="宋体"/>
                <w:color w:val="000000"/>
                <w:sz w:val="21"/>
                <w:szCs w:val="21"/>
                <w:highlight w:val="none"/>
                <w:lang w:val="en-US" w:eastAsia="zh-CN"/>
              </w:rPr>
              <w:t xml:space="preserve">与</w:t>
            </w:r>
            <w:r>
              <w:rPr>
                <w:rFonts w:hint="eastAsia" w:ascii="宋体" w:hAnsi="宋体" w:eastAsia="宋体" w:cs="宋体"/>
                <w:color w:val="000000"/>
                <w:sz w:val="21"/>
                <w:szCs w:val="21"/>
                <w:highlight w:val="none"/>
                <w:lang w:val="en-US" w:eastAsia="zh-CN"/>
              </w:rPr>
              <w:t xml:space="preserve">执行功能，可根据实训场景脚本快速改变面板指示灯状态。</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44</w:t>
            </w:r>
            <w:r/>
          </w:p>
        </w:tc>
        <w:tc>
          <w:tcPr>
            <w:shd w:val="clear" w:color="auto" w:fill="auto"/>
            <w:tcMar>
              <w:left w:w="10" w:type="dxa"/>
              <w:top w:w="0" w:type="dxa"/>
              <w:right w:w="10" w:type="dxa"/>
              <w:bottom w:w="0" w:type="dxa"/>
            </w:tcMar>
            <w:tcW w:w="74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室外计轴设备：包含仿真计轴磁头及仿真计轴轨旁盒，实现计轴区段占用、出清状态采集。</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284"/>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45</w:t>
            </w:r>
            <w:r/>
          </w:p>
        </w:tc>
        <w:tc>
          <w:tcPr>
            <w:shd w:val="clear" w:color="auto" w:fill="auto"/>
            <w:tcMar>
              <w:left w:w="10" w:type="dxa"/>
              <w:top w:w="0" w:type="dxa"/>
              <w:right w:w="10" w:type="dxa"/>
              <w:bottom w:w="0" w:type="dxa"/>
            </w:tcMar>
            <w:tcW w:w="74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lang w:val="en-US" w:eastAsia="zh-CN" w:bidi="ar"/>
              </w:rPr>
              <w:t xml:space="preserve">第四章  采购需求，二、技术指标及要求，</w:t>
            </w:r>
            <w:r>
              <w:rPr>
                <w:rFonts w:hint="eastAsia" w:ascii="宋体" w:hAnsi="宋体" w:eastAsia="宋体" w:cs="宋体"/>
                <w:b/>
                <w:bCs/>
                <w:sz w:val="21"/>
                <w:szCs w:val="21"/>
              </w:rPr>
              <w:t xml:space="preserve">（二十二）轨道测试小车</w:t>
            </w:r>
            <w:r/>
          </w:p>
        </w:tc>
        <w:tc>
          <w:tcPr>
            <w:shd w:val="clear" w:color="auto" w:fill="auto"/>
            <w:tcMar>
              <w:left w:w="10" w:type="dxa"/>
              <w:top w:w="0" w:type="dxa"/>
              <w:right w:w="10" w:type="dxa"/>
              <w:bottom w:w="0" w:type="dxa"/>
            </w:tcMar>
            <w:tcW w:w="2414"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rPr>
              <w:t xml:space="preserve">可在轨道上推行，模拟列车通过；小车车轮应能在钢轨上运行并触发轨旁计轴磁头（实现计轴区段占用），同时可短接轨道电路（实现轨道占用与空闲），覆盖（十）轨道电路与（二十一）计轴实训的占用/空闲演示需求。</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shd w:val="clear" w:color="auto" w:fill="auto"/>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r>
      <w:tr>
        <w:trPr>
          <w:jc w:val="center"/>
          <w:trHeight w:val="1161"/>
        </w:trPr>
        <w:tc>
          <w:tcPr>
            <w:shd w:val="clear" w:color="auto" w:fill="auto"/>
            <w:tcMar>
              <w:left w:w="10" w:type="dxa"/>
              <w:top w:w="0" w:type="dxa"/>
              <w:right w:w="10" w:type="dxa"/>
              <w:bottom w:w="0" w:type="dxa"/>
            </w:tcMar>
            <w:tcW w:w="3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46</w:t>
            </w:r>
            <w:r/>
          </w:p>
        </w:tc>
        <w:tc>
          <w:tcPr>
            <w:gridSpan w:val="2"/>
            <w:shd w:val="clear" w:color="auto" w:fill="auto"/>
            <w:tcMar>
              <w:left w:w="10" w:type="dxa"/>
              <w:top w:w="0" w:type="dxa"/>
              <w:right w:w="10" w:type="dxa"/>
              <w:bottom w:w="0" w:type="dxa"/>
            </w:tcMar>
            <w:tcW w:w="315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我单位承诺，其余普通条款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除了要求证明材料的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均满足采购文件要求，无偏离</w:t>
            </w:r>
            <w:r/>
          </w:p>
        </w:tc>
        <w:tc>
          <w:tcPr>
            <w:shd w:val="clear" w:color="auto" w:fill="auto"/>
            <w:tcMar>
              <w:left w:w="10" w:type="dxa"/>
              <w:top w:w="0" w:type="dxa"/>
              <w:right w:w="10" w:type="dxa"/>
              <w:bottom w:w="0" w:type="dxa"/>
            </w:tcMar>
            <w:tcW w:w="58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均满足采购文件要求，无偏离</w:t>
            </w:r>
            <w:r/>
          </w:p>
        </w:tc>
        <w:tc>
          <w:tcPr>
            <w:tcMar>
              <w:left w:w="10" w:type="dxa"/>
              <w:top w:w="0" w:type="dxa"/>
              <w:right w:w="10" w:type="dxa"/>
              <w:bottom w:w="0" w:type="dxa"/>
            </w:tcMar>
            <w:tcW w:w="47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无偏离</w:t>
            </w:r>
            <w:r/>
          </w:p>
        </w:tc>
        <w:tc>
          <w:tcPr>
            <w:tcMar>
              <w:left w:w="10" w:type="dxa"/>
              <w:top w:w="0" w:type="dxa"/>
              <w:right w:w="10" w:type="dxa"/>
              <w:bottom w:w="0" w:type="dxa"/>
            </w:tcMar>
            <w:tcW w:w="42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w:t>
            </w:r>
            <w:r/>
          </w:p>
        </w:tc>
      </w:tr>
    </w:tbl>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p>
      <w:pPr>
        <w:ind w:firstLine="422"/>
        <w:jc w:val="left"/>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“★”“▲”的技术参数响应需提供支撑资料（提供相关证明材料并加盖投标单位公章</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包括但不限于明确说明该技术内容的公开发行的产品彩页或产品说明书或第三方检测机构的检测报告等，自拟无效</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），如未附有效支撑材料或者所附的支撑材料由评标委员会认为不能佐证技术指标的有效性的，则视为负偏离。）</w:t>
      </w:r>
      <w:r>
        <w:rPr>
          <w:rFonts w:hint="eastAsia" w:ascii="宋体" w:hAnsi="宋体" w:eastAsia="宋体" w:cs="宋体"/>
          <w:b/>
          <w:bCs/>
          <w:i/>
          <w:iCs/>
          <w:sz w:val="21"/>
          <w:szCs w:val="21"/>
          <w:highlight w:val="none"/>
          <w:u w:val="single"/>
          <w:lang w:val="en-US" w:eastAsia="zh-CN"/>
        </w:rPr>
        <w:t xml:space="preserve">如文件中要求提供证明材料，建议采用</w:t>
      </w:r>
      <w:r>
        <w:rPr>
          <w:rFonts w:hint="eastAsia" w:ascii="宋体" w:hAnsi="宋体" w:cs="宋体"/>
          <w:b/>
          <w:bCs/>
          <w:i/>
          <w:iCs/>
          <w:sz w:val="21"/>
          <w:szCs w:val="21"/>
          <w:highlight w:val="none"/>
          <w:u w:val="single"/>
          <w:lang w:val="en-US" w:eastAsia="zh-CN"/>
        </w:rPr>
        <w:t xml:space="preserve">页码、箭头</w:t>
      </w:r>
      <w:r>
        <w:rPr>
          <w:rFonts w:hint="eastAsia" w:ascii="宋体" w:hAnsi="宋体" w:eastAsia="宋体" w:cs="宋体"/>
          <w:b/>
          <w:bCs/>
          <w:i/>
          <w:iCs/>
          <w:sz w:val="21"/>
          <w:szCs w:val="21"/>
          <w:highlight w:val="none"/>
          <w:u w:val="single"/>
          <w:lang w:val="en-US" w:eastAsia="zh-CN"/>
        </w:rPr>
        <w:t xml:space="preserve">、标红、下划线或页码等进行明显标注，方便评委查看。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、如果行数不够，请自行增加。</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、“偏离”栏应注明“无偏离”或“正偏离”或“负偏离”。</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投标单位（加盖电子公章）：</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附件六、商务条款偏离表格式</w:t>
      </w:r>
      <w:r/>
    </w:p>
    <w:p>
      <w:pPr>
        <w:ind w:left="420"/>
        <w:jc w:val="center"/>
        <w:spacing w:line="360" w:lineRule="auto"/>
        <w:shd w:val="clear" w:color="auto" w:fill="ffffff"/>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商务条款偏离表</w:t>
      </w:r>
      <w:r/>
    </w:p>
    <w:tbl>
      <w:tblPr>
        <w:tblStyle w:val="105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1、如果行数不够，请自行增加。</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2、“偏离”栏应注明“无偏离”或“正偏离”或“负偏离”。</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投标单位（加盖电子公章）：</w:t>
      </w:r>
      <w:r>
        <w:rPr>
          <w:rFonts w:hint="eastAsia" w:ascii="宋体" w:hAnsi="宋体" w:eastAsia="宋体" w:cs="宋体"/>
          <w:sz w:val="21"/>
          <w:szCs w:val="21"/>
          <w:highlight w:val="none"/>
          <w:u w:val="single"/>
        </w:rPr>
        <w:t xml:space="preserve">                             </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widowControl/>
        <w:rPr>
          <w:rFonts w:hint="eastAsia" w:ascii="宋体" w:hAnsi="宋体" w:eastAsia="宋体" w:cs="宋体"/>
          <w:b/>
          <w:sz w:val="21"/>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 w:val="21"/>
          <w:szCs w:val="21"/>
          <w:highlight w:val="none"/>
        </w:rPr>
        <w:t xml:space="preserve">附件七、方案</w:t>
      </w:r>
      <w:r/>
    </w:p>
    <w:p>
      <w:pPr>
        <w:jc w:val="left"/>
        <w:spacing w:line="360" w:lineRule="auto"/>
        <w:shd w:val="clear" w:color="auto" w:fill="ffffff"/>
        <w:widowControl/>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r>
      <w:r/>
    </w:p>
    <w:p>
      <w:pPr>
        <w:pStyle w:val="1236"/>
        <w:ind w:firstLine="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方案应根据招标人对项目的要求、评标标准的要求及项目本身的特点编写。</w:t>
      </w:r>
      <w:r/>
    </w:p>
    <w:p>
      <w:pPr>
        <w:pStyle w:val="1236"/>
        <w:ind w:firstLine="42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Arial" w:hAnsi="Arial" w:eastAsia="宋体" w:cs="Arial"/>
          <w:b/>
          <w:bCs/>
          <w:sz w:val="21"/>
          <w:szCs w:val="21"/>
          <w:highlight w:val="none"/>
          <w:lang w:eastAsia="zh-CN"/>
        </w:rPr>
      </w:pPr>
      <w:r>
        <w:rPr>
          <w:rFonts w:hint="eastAsia" w:ascii="Arial" w:hAnsi="Arial" w:cs="Arial"/>
          <w:b/>
          <w:bCs/>
          <w:sz w:val="21"/>
          <w:szCs w:val="21"/>
          <w:highlight w:val="none"/>
        </w:rPr>
        <w:t xml:space="preserve">相关内容请在苏采云平台对应模块填写</w:t>
      </w:r>
      <w:r>
        <w:rPr>
          <w:rFonts w:hint="eastAsia" w:ascii="Arial" w:hAnsi="Arial" w:cs="Arial"/>
          <w:b/>
          <w:bCs/>
          <w:sz w:val="21"/>
          <w:szCs w:val="21"/>
          <w:highlight w:val="none"/>
          <w:lang w:eastAsia="zh-CN"/>
        </w:rPr>
        <w:t xml:space="preserve">！</w:t>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附件八、拟参与本项目服务人员一览表</w:t>
      </w:r>
      <w:r/>
    </w:p>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拟参与本项目服务人员一览表</w:t>
      </w:r>
      <w:r/>
    </w:p>
    <w:tbl>
      <w:tblPr>
        <w:tblStyle w:val="105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执业</w:t>
            </w:r>
            <w:r/>
          </w:p>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投标单位（加盖电子公章）：</w:t>
      </w:r>
      <w:r>
        <w:rPr>
          <w:rFonts w:hint="eastAsia" w:ascii="宋体" w:hAnsi="宋体" w:eastAsia="宋体" w:cs="宋体"/>
          <w:sz w:val="21"/>
          <w:szCs w:val="21"/>
          <w:highlight w:val="none"/>
          <w:u w:val="single"/>
        </w:rPr>
        <w:t xml:space="preserve">                             </w:t>
      </w:r>
      <w:r/>
    </w:p>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1"/>
          <w:szCs w:val="21"/>
          <w:highlight w:val="none"/>
        </w:rPr>
        <w:t xml:space="preserve">附件九、供应商类似业绩情况表</w:t>
      </w:r>
      <w:r/>
    </w:p>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供应商类似业绩情况表</w:t>
      </w:r>
      <w:r/>
    </w:p>
    <w:tbl>
      <w:tblPr>
        <w:tblStyle w:val="105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签约及服务</w:t>
            </w:r>
            <w:r/>
          </w:p>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jc w:val="lef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投标单位（加盖电子公章）：</w:t>
      </w:r>
      <w:r>
        <w:rPr>
          <w:rFonts w:hint="eastAsia" w:ascii="宋体" w:hAnsi="宋体" w:eastAsia="宋体" w:cs="宋体"/>
          <w:sz w:val="21"/>
          <w:szCs w:val="21"/>
          <w:highlight w:val="none"/>
          <w:u w:val="single"/>
        </w:rPr>
        <w:t xml:space="preserve">                             </w:t>
      </w:r>
      <w:r/>
    </w:p>
    <w:p>
      <w:pPr>
        <w:spacing w:line="360" w:lineRule="auto"/>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u w:val="single"/>
        </w:rPr>
        <w:br w:type="page" w:clear="all"/>
      </w:r>
      <w:r>
        <w:rPr>
          <w:rFonts w:hint="eastAsia" w:ascii="宋体" w:hAnsi="宋体" w:eastAsia="宋体" w:cs="宋体"/>
          <w:b/>
          <w:bCs/>
          <w:sz w:val="21"/>
          <w:szCs w:val="21"/>
          <w:highlight w:val="none"/>
        </w:rPr>
        <w:t xml:space="preserve">附件十</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企业声明函格式</w:t>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中小企业声明函（货物）</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rPr>
        <w:t xml:space="preserve">南京工业职业技术大学</w:t>
      </w:r>
      <w:r>
        <w:rPr>
          <w:rFonts w:hint="eastAsia" w:ascii="宋体" w:hAnsi="宋体" w:eastAsia="宋体" w:cs="宋体"/>
          <w:sz w:val="21"/>
          <w:szCs w:val="21"/>
          <w:highlight w:val="none"/>
        </w:rPr>
        <w:t xml:space="preserve">的</w:t>
      </w:r>
      <w:r>
        <w:rPr>
          <w:rFonts w:hint="eastAsia" w:ascii="宋体" w:hAnsi="宋体" w:cs="宋体"/>
          <w:sz w:val="21"/>
          <w:szCs w:val="21"/>
          <w:highlight w:val="none"/>
          <w:u w:val="single"/>
          <w:lang w:eastAsia="zh-CN"/>
        </w:rPr>
        <w:t xml:space="preserve">城市轨道交通信号基础实训系统</w:t>
      </w:r>
      <w:r>
        <w:rPr>
          <w:rFonts w:hint="eastAsia" w:ascii="宋体" w:hAnsi="宋体" w:eastAsia="宋体" w:cs="宋体"/>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lang w:val="en-US" w:eastAsia="zh-CN"/>
        </w:rPr>
        <w:t xml:space="preserve">工业</w:t>
      </w:r>
      <w:r>
        <w:rPr>
          <w:rFonts w:hint="eastAsia" w:ascii="宋体" w:hAnsi="宋体" w:eastAsia="宋体" w:cs="宋体"/>
          <w:sz w:val="21"/>
          <w:szCs w:val="21"/>
          <w:highlight w:val="none"/>
        </w:rPr>
        <w:t xml:space="preserve">行业；制造商为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万元，属于（中型企业、小型企业、微型企业）；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lang w:val="en-US" w:eastAsia="zh-CN"/>
        </w:rPr>
        <w:t xml:space="preserve">工业</w:t>
      </w:r>
      <w:r>
        <w:rPr>
          <w:rFonts w:hint="eastAsia" w:ascii="宋体" w:hAnsi="宋体" w:eastAsia="宋体" w:cs="宋体"/>
          <w:sz w:val="21"/>
          <w:szCs w:val="21"/>
          <w:highlight w:val="none"/>
        </w:rPr>
        <w:t xml:space="preserve">行业；制造商为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万元，属于（中型企业、小型企业、微型企业）；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righ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w:t>
      </w:r>
      <w:r>
        <w:rPr>
          <w:rFonts w:hint="eastAsia" w:ascii="宋体" w:hAnsi="宋体" w:eastAsia="宋体" w:cs="宋体"/>
          <w:sz w:val="21"/>
          <w:szCs w:val="21"/>
          <w:highlight w:val="none"/>
        </w:rPr>
        <w:t xml:space="preserve">（加盖电子公章）</w:t>
      </w:r>
      <w:r>
        <w:rPr>
          <w:rFonts w:hint="eastAsia" w:ascii="宋体" w:hAnsi="宋体" w:eastAsia="宋体" w:cs="宋体"/>
          <w:sz w:val="21"/>
          <w:szCs w:val="21"/>
          <w:highlight w:val="none"/>
        </w:rPr>
        <w:t xml:space="preserve">：</w:t>
      </w:r>
      <w:r/>
    </w:p>
    <w:p>
      <w:pPr>
        <w:jc w:val="right"/>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p>
    <w:p>
      <w:pPr>
        <w:ind w:firstLine="360"/>
        <w:keepLines/>
        <w:keepNext/>
        <w:pageBreakBefore w:val="0"/>
        <w:spacing w:line="36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备注：</w:t>
      </w:r>
      <w:r/>
    </w:p>
    <w:p>
      <w:pPr>
        <w:ind w:left="0" w:firstLine="360"/>
        <w:keepLines/>
        <w:keepNext/>
        <w:pageBreakBefore w:val="0"/>
        <w:spacing w:line="360" w:lineRule="auto"/>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1.从业人员、营业收入、资产总额填报上一年度数据，无上一年度数据的新成立企业可不填报。</w:t>
      </w:r>
      <w:r/>
    </w:p>
    <w:p>
      <w:pPr>
        <w:ind w:left="0" w:firstLine="360"/>
        <w:keepLines/>
        <w:keepNext/>
        <w:pageBreakBefore w:val="0"/>
        <w:spacing w:line="360" w:lineRule="auto"/>
        <w:widowControl w:val="off"/>
        <w:rPr>
          <w:rFonts w:hint="eastAsia" w:ascii="宋体" w:hAnsi="宋体" w:eastAsia="宋体" w:cs="宋体"/>
          <w:b/>
          <w:bCs/>
          <w:sz w:val="18"/>
          <w:szCs w:val="18"/>
          <w:highlight w:val="none"/>
        </w:rPr>
      </w:pPr>
      <w:r>
        <w:rPr>
          <w:rFonts w:hint="eastAsia" w:ascii="宋体" w:hAnsi="宋体" w:eastAsia="宋体" w:cs="宋体"/>
          <w:sz w:val="18"/>
          <w:szCs w:val="18"/>
          <w:highlight w:val="none"/>
        </w:rPr>
        <w:t xml:space="preserve">2.在货物采购项目中，货物由中小企业制造，即货物由中小企业生产且使用该中小企业商号或者注册商标。</w:t>
      </w:r>
      <w:r>
        <w:rPr>
          <w:rFonts w:hint="eastAsia" w:ascii="宋体" w:hAnsi="宋体" w:eastAsia="宋体" w:cs="宋体"/>
          <w:b/>
          <w:bCs/>
          <w:sz w:val="18"/>
          <w:szCs w:val="18"/>
          <w:highlight w:val="none"/>
        </w:rPr>
        <w:t xml:space="preserve">供应商提供的货物既有中小企业制造货物，也有大型企业制造货物的，不享受相应扶持政策。</w:t>
      </w:r>
      <w:r/>
    </w:p>
    <w:p>
      <w:pPr>
        <w:ind w:left="0" w:firstLine="360"/>
        <w:keepLines/>
        <w:keepNext/>
        <w:pageBreakBefore w:val="0"/>
        <w:spacing w:line="360" w:lineRule="auto"/>
        <w:widowControl w:val="off"/>
        <w:rPr>
          <w:rFonts w:hint="eastAsia" w:ascii="宋体" w:hAnsi="宋体" w:eastAsia="宋体" w:cs="宋体"/>
          <w:b/>
          <w:bCs/>
          <w:sz w:val="18"/>
          <w:szCs w:val="18"/>
          <w:highlight w:val="none"/>
        </w:rPr>
      </w:pPr>
      <w:r>
        <w:rPr>
          <w:rFonts w:hint="eastAsia" w:ascii="宋体" w:hAnsi="宋体" w:eastAsia="宋体" w:cs="宋体"/>
          <w:sz w:val="18"/>
          <w:szCs w:val="18"/>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 w:val="18"/>
          <w:szCs w:val="18"/>
          <w:highlight w:val="none"/>
        </w:rPr>
        <w:t xml:space="preserve">本采购标的对应的中小企业划分标准所属行业，以招标文件中具体规定为准。</w:t>
      </w:r>
      <w:r/>
    </w:p>
    <w:p>
      <w:pPr>
        <w:ind w:left="0" w:firstLine="361"/>
        <w:keepLines/>
        <w:keepNext/>
        <w:pageBreakBefore w:val="0"/>
        <w:spacing w:line="360" w:lineRule="auto"/>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4.如未对（中型企业、小型企业、微型企业）进行</w:t>
      </w:r>
      <w:r>
        <w:rPr>
          <w:rFonts w:hint="eastAsia" w:ascii="宋体" w:hAnsi="宋体" w:eastAsia="宋体" w:cs="宋体"/>
          <w:b/>
          <w:bCs/>
          <w:sz w:val="18"/>
          <w:szCs w:val="18"/>
          <w:highlight w:val="none"/>
          <w:lang w:val="en-US" w:eastAsia="zh-CN"/>
        </w:rPr>
        <w:t xml:space="preserve">填写</w:t>
      </w:r>
      <w:r>
        <w:rPr>
          <w:rFonts w:hint="eastAsia" w:ascii="宋体" w:hAnsi="宋体" w:eastAsia="宋体" w:cs="宋体"/>
          <w:b/>
          <w:bCs/>
          <w:sz w:val="18"/>
          <w:szCs w:val="18"/>
          <w:highlight w:val="none"/>
        </w:rPr>
        <w:t xml:space="preserve">，视同非中小微企业，不可享受相应扶持政策。</w:t>
      </w:r>
      <w:r/>
    </w:p>
    <w:p>
      <w:pPr>
        <w:ind w:left="0" w:firstLine="360"/>
        <w:pageBreakBefore w:val="0"/>
        <w:spacing w:line="360" w:lineRule="auto"/>
        <w:widowControl w:val="off"/>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5.中标单位为中小企业的，《中小企业声明函》将随中标结果同时公告</w:t>
      </w:r>
      <w:r>
        <w:rPr>
          <w:rFonts w:hint="eastAsia" w:ascii="宋体" w:hAnsi="宋体" w:eastAsia="宋体" w:cs="宋体"/>
          <w:sz w:val="18"/>
          <w:szCs w:val="18"/>
          <w:highlight w:val="none"/>
          <w:lang w:val="zh-CN"/>
        </w:rPr>
        <w:t xml:space="preserve">。</w:t>
      </w:r>
      <w:r/>
    </w:p>
    <w:p>
      <w:pPr>
        <w:ind w:firstLine="361"/>
        <w:spacing w:line="360" w:lineRule="auto"/>
        <w:rPr>
          <w:rFonts w:hint="eastAsia" w:ascii="宋体" w:hAnsi="宋体" w:eastAsia="宋体" w:cs="宋体"/>
          <w:b/>
          <w:sz w:val="18"/>
          <w:szCs w:val="21"/>
          <w:highlight w:val="none"/>
        </w:rPr>
      </w:pPr>
      <w:r>
        <w:rPr>
          <w:rFonts w:hint="eastAsia" w:ascii="宋体" w:hAnsi="宋体" w:eastAsia="宋体" w:cs="宋体"/>
          <w:b/>
          <w:bCs/>
          <w:sz w:val="18"/>
          <w:szCs w:val="18"/>
          <w:highlight w:val="none"/>
          <w:lang w:val="en-US" w:eastAsia="zh-CN"/>
        </w:rPr>
        <w:t xml:space="preserve">6.</w:t>
      </w:r>
      <w:r>
        <w:rPr>
          <w:rFonts w:hint="eastAsia" w:ascii="宋体" w:hAnsi="宋体" w:eastAsia="宋体" w:cs="宋体"/>
          <w:b/>
          <w:bCs/>
          <w:sz w:val="18"/>
          <w:szCs w:val="18"/>
          <w:highlight w:val="none"/>
        </w:rPr>
        <w:t xml:space="preserve">为方便</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识别企业规模类型，工业和信息化部组织开发了中小企业规模类型自测小程序，在国务院客户端和工业和信息化部网站上均有链接，</w:t>
      </w:r>
      <w:r>
        <w:rPr>
          <w:rFonts w:hint="eastAsia" w:ascii="宋体" w:hAnsi="宋体" w:eastAsia="宋体" w:cs="宋体"/>
          <w:b/>
          <w:bCs/>
          <w:sz w:val="18"/>
          <w:szCs w:val="18"/>
          <w:highlight w:val="none"/>
          <w:lang w:eastAsia="zh-CN"/>
        </w:rPr>
        <w:t xml:space="preserve">投标人</w:t>
      </w:r>
      <w:r>
        <w:rPr>
          <w:rFonts w:hint="eastAsia" w:ascii="宋体" w:hAnsi="宋体" w:eastAsia="宋体" w:cs="宋体"/>
          <w:b/>
          <w:bCs/>
          <w:sz w:val="18"/>
          <w:szCs w:val="18"/>
          <w:highlight w:val="none"/>
        </w:rPr>
        <w:t xml:space="preserve">可填写企业所属的行业和指标数据自动生成企业规模类型测试结果。</w:t>
      </w:r>
      <w:r/>
    </w:p>
    <w:p>
      <w:pPr>
        <w:ind w:left="0" w:firstLine="361"/>
        <w:pageBreakBefore w:val="0"/>
        <w:spacing w:line="360" w:lineRule="auto"/>
        <w:widowControl w:val="off"/>
        <w:rPr>
          <w:rFonts w:hint="eastAsia" w:eastAsia="宋体" w:cs="宋体"/>
          <w:b/>
          <w:bCs/>
          <w:color w:val="auto"/>
          <w:sz w:val="18"/>
          <w:szCs w:val="18"/>
          <w:highlight w:val="none"/>
          <w:lang w:val="en-US" w:eastAsia="zh-CN"/>
        </w:rPr>
      </w:pPr>
      <w:r>
        <w:rPr>
          <w:rFonts w:hint="eastAsia" w:eastAsia="宋体" w:cs="宋体"/>
          <w:b/>
          <w:bCs/>
          <w:color w:val="auto"/>
          <w:sz w:val="18"/>
          <w:szCs w:val="18"/>
          <w:highlight w:val="none"/>
          <w:lang w:val="en-US" w:eastAsia="zh-CN"/>
        </w:rPr>
        <w:t xml:space="preserve">7.工业划分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361"/>
        <w:pageBreakBefore w:val="0"/>
        <w:spacing w:line="360" w:lineRule="auto"/>
        <w:widowControl w:val="off"/>
        <w:rPr>
          <w:rFonts w:hint="default" w:eastAsia="宋体" w:cs="宋体"/>
          <w:b/>
          <w:bCs/>
          <w:color w:val="auto"/>
          <w:sz w:val="18"/>
          <w:szCs w:val="18"/>
          <w:highlight w:val="none"/>
          <w:lang w:val="en-US" w:eastAsia="zh-CN"/>
        </w:rPr>
      </w:pPr>
      <w:r>
        <w:rPr>
          <w:rFonts w:hint="eastAsia" w:eastAsia="宋体" w:cs="宋体"/>
          <w:b/>
          <w:bCs/>
          <w:color w:val="auto"/>
          <w:sz w:val="18"/>
          <w:szCs w:val="18"/>
          <w:highlight w:val="none"/>
          <w:lang w:val="en-US" w:eastAsia="zh-CN"/>
        </w:rPr>
        <w:t xml:space="preserve">8.如可以享受中小企业政策的供应商，按照如上声明函的格式如实填写，对照采购清单内的每一项和采购文件明确的采购标的所属行业逐项填报每一种货物的制造商信息。如缺任意一项报价将不参与优惠。</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关于符合本国产品标准的声明函</w:t>
      </w:r>
      <w:r/>
    </w:p>
    <w:p>
      <w:pPr>
        <w:pStyle w:val="1082"/>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1.</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（产品名称1）</w:t>
      </w:r>
      <w:r>
        <w:rPr>
          <w:rStyle w:val="1092"/>
          <w:rFonts w:hint="eastAsia" w:ascii="宋体" w:hAnsi="宋体" w:eastAsia="宋体" w:cs="宋体"/>
          <w:i w:val="0"/>
          <w:iCs w:val="0"/>
          <w:caps w:val="0"/>
          <w:color w:val="000000" w:themeColor="text1"/>
          <w:spacing w:val="0"/>
          <w:sz w:val="21"/>
          <w:szCs w:val="21"/>
          <w:highlight w:val="none"/>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，生产厂为</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（厂名）</w:t>
      </w:r>
      <w:r>
        <w:rPr>
          <w:rStyle w:val="1092"/>
          <w:rFonts w:hint="eastAsia" w:ascii="宋体" w:hAnsi="宋体" w:eastAsia="宋体" w:cs="宋体"/>
          <w:i w:val="0"/>
          <w:iCs w:val="0"/>
          <w:caps w:val="0"/>
          <w:color w:val="000000" w:themeColor="text1"/>
          <w:spacing w:val="0"/>
          <w:sz w:val="21"/>
          <w:szCs w:val="21"/>
          <w:highlight w:val="none"/>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，厂址为</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在中国境内完成。</w:t>
      </w:r>
      <w:r/>
    </w:p>
    <w:p>
      <w:pPr>
        <w:pStyle w:val="108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（产品名称</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2</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，生产厂为</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，厂址为</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在中国境内完成。</w:t>
      </w:r>
      <w:r/>
    </w:p>
    <w:p>
      <w:pPr>
        <w:pStyle w:val="108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w:t>
      </w:r>
      <w:r/>
    </w:p>
    <w:p>
      <w:pPr>
        <w:pStyle w:val="108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082"/>
        <w:ind w:firstLine="420"/>
        <w:jc w:val="both"/>
        <w:spacing w:before="0" w:beforeAutospacing="0" w:after="0" w:afterAutospacing="0" w:line="360" w:lineRule="auto"/>
        <w:shd w:val="clear" w:color="auto" w:fill="ffffff"/>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r>
      <w:r/>
    </w:p>
    <w:p>
      <w:pPr>
        <w:pStyle w:val="1082"/>
        <w:ind w:firstLine="420"/>
        <w:jc w:val="right"/>
        <w:spacing w:before="0" w:beforeAutospacing="0" w:after="0" w:afterAutospacing="0" w:line="360" w:lineRule="auto"/>
        <w:shd w:val="clear" w:color="auto" w:fill="ffffff"/>
        <w:rPr>
          <w:rFonts w:hint="eastAsia" w:ascii="宋体" w:hAnsi="宋体" w:eastAsia="宋体" w:cs="宋体"/>
          <w:color w:val="333333"/>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单位</w:t>
      </w:r>
      <w:r>
        <w:rPr>
          <w:rFonts w:hint="eastAsia" w:ascii="宋体" w:hAnsi="宋体" w:eastAsia="宋体" w:cs="宋体"/>
          <w:color w:val="333333"/>
          <w:sz w:val="21"/>
          <w:szCs w:val="21"/>
          <w:highlight w:val="none"/>
          <w:shd w:val="clear" w:color="auto" w:fill="ffffff"/>
        </w:rPr>
        <w:t xml:space="preserve">名称（</w:t>
      </w:r>
      <w:r>
        <w:rPr>
          <w:rFonts w:hint="eastAsia" w:ascii="宋体" w:hAnsi="宋体" w:eastAsia="宋体" w:cs="宋体"/>
          <w:sz w:val="21"/>
          <w:szCs w:val="21"/>
          <w:highlight w:val="none"/>
        </w:rPr>
        <w:t xml:space="preserve">加盖电子公章</w:t>
      </w:r>
      <w:r>
        <w:rPr>
          <w:rFonts w:hint="eastAsia" w:ascii="宋体" w:hAnsi="宋体" w:eastAsia="宋体" w:cs="宋体"/>
          <w:color w:val="333333"/>
          <w:sz w:val="21"/>
          <w:szCs w:val="21"/>
          <w:highlight w:val="none"/>
          <w:shd w:val="clear" w:color="auto" w:fill="ffffff"/>
        </w:rPr>
        <w:t xml:space="preserve">）：</w:t>
      </w:r>
      <w:r/>
    </w:p>
    <w:p>
      <w:pPr>
        <w:pStyle w:val="1082"/>
        <w:ind w:firstLine="420"/>
        <w:jc w:val="right"/>
        <w:spacing w:before="0" w:beforeAutospacing="0" w:after="0" w:afterAutospacing="0" w:line="360" w:lineRule="auto"/>
        <w:shd w:val="clear" w:color="auto" w:fill="ffffff"/>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lang w:val="en-US" w:eastAsia="zh-CN"/>
        </w:rPr>
        <w:t xml:space="preserve">                                        </w:t>
      </w:r>
      <w:r>
        <w:rPr>
          <w:rFonts w:hint="eastAsia" w:ascii="宋体" w:hAnsi="宋体" w:eastAsia="宋体" w:cs="宋体"/>
          <w:color w:val="333333"/>
          <w:sz w:val="21"/>
          <w:szCs w:val="21"/>
          <w:highlight w:val="none"/>
          <w:shd w:val="clear" w:color="auto" w:fill="ffffff"/>
        </w:rPr>
        <w:t xml:space="preserve">日期：　　　年　　月　日</w:t>
      </w:r>
      <w:r/>
    </w:p>
    <w:p>
      <w:pPr>
        <w:pStyle w:val="1082"/>
        <w:ind w:firstLine="420"/>
        <w:spacing w:before="0" w:beforeAutospacing="0" w:after="0" w:afterAutospacing="0" w:line="360" w:lineRule="auto"/>
        <w:shd w:val="clear" w:color="auto" w:fill="ffffff"/>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r>
      <w:r/>
    </w:p>
    <w:p>
      <w:pPr>
        <w:pStyle w:val="1082"/>
        <w:ind w:firstLine="420"/>
        <w:spacing w:before="0" w:beforeAutospacing="0" w:after="0" w:afterAutospacing="0" w:line="360" w:lineRule="auto"/>
        <w:shd w:val="clear" w:color="auto" w:fill="ffffff"/>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t xml:space="preserve">备注：</w:t>
      </w:r>
      <w:r/>
    </w:p>
    <w:p>
      <w:pPr>
        <w:pStyle w:val="1082"/>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1.产品如有型号，请在“产品名称”栏一并填写。</w:t>
      </w:r>
      <w:r/>
    </w:p>
    <w:p>
      <w:pPr>
        <w:pStyle w:val="1082"/>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1082"/>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082"/>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4.该产品的关键组件要求实施前，“关键组件”栏可不填，下同。</w:t>
      </w:r>
      <w:r/>
    </w:p>
    <w:p>
      <w:pPr>
        <w:pStyle w:val="1082"/>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5.该产品的关键工序要求实施前，“关键工序”栏可不填，下同。</w:t>
      </w:r>
      <w:r/>
    </w:p>
    <w:p>
      <w:pPr>
        <w:pStyle w:val="1082"/>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Style w:val="1092"/>
          <w:rFonts w:hint="eastAsia" w:ascii="宋体" w:hAnsi="宋体" w:eastAsia="宋体" w:cs="宋体"/>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”的地方无需填写。</w:t>
      </w:r>
      <w:r/>
    </w:p>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sz w:val="28"/>
          <w:highlight w:val="none"/>
        </w:rPr>
        <w:br w:type="page" w:clear="all"/>
      </w:r>
      <w:r>
        <w:rPr>
          <w:rFonts w:hint="eastAsia" w:ascii="宋体" w:hAnsi="宋体" w:eastAsia="宋体" w:cs="宋体"/>
          <w:b/>
          <w:bCs/>
          <w:sz w:val="21"/>
          <w:szCs w:val="21"/>
          <w:highlight w:val="none"/>
        </w:rPr>
        <w:t xml:space="preserve">产品成本占比承诺函</w:t>
      </w:r>
      <w:r>
        <w:rPr>
          <w:rFonts w:hint="eastAsia" w:ascii="宋体" w:hAnsi="宋体" w:eastAsia="宋体" w:cs="宋体"/>
          <w:b/>
          <w:bCs w:val="0"/>
          <w:sz w:val="21"/>
          <w:szCs w:val="21"/>
          <w:highlight w:val="none"/>
        </w:rPr>
        <w:t xml:space="preserve">（如适用） </w:t>
      </w:r>
      <w:r/>
    </w:p>
    <w:p>
      <w:pPr>
        <w:jc w:val="center"/>
        <w:spacing w:line="360" w:lineRule="auto"/>
        <w:rPr>
          <w:rStyle w:val="1089"/>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（适用于采购项目或者采购包中含有多种产品时，不提供或者提供声明的比例达不到要求时，不享受价格扣除） </w:t>
      </w:r>
      <w:r/>
    </w:p>
    <w:p>
      <w:pPr>
        <w:ind w:firstLine="420"/>
        <w:jc w:val="left"/>
        <w:spacing w:line="360" w:lineRule="auto"/>
        <w:widowControl/>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eastAsia="宋体" w:cs="宋体"/>
          <w:spacing w:val="6"/>
          <w:sz w:val="21"/>
          <w:szCs w:val="21"/>
          <w:highlight w:val="none"/>
        </w:rPr>
      </w:pPr>
      <w:r>
        <w:rPr>
          <w:rFonts w:hint="eastAsia" w:ascii="宋体" w:hAnsi="宋体" w:eastAsia="宋体" w:cs="宋体"/>
          <w:color w:val="333333"/>
          <w:sz w:val="21"/>
          <w:szCs w:val="21"/>
          <w:highlight w:val="none"/>
          <w:shd w:val="clear" w:color="auto" w:fill="ffffff"/>
        </w:rPr>
        <w:t xml:space="preserve">为本采购项目或者采购包提供的符合本国产品标准的产品成本之和占提供的全部产品成本之和的比例为</w:t>
      </w:r>
      <w:r>
        <w:rPr>
          <w:rFonts w:hint="eastAsia" w:ascii="宋体" w:hAnsi="宋体" w:eastAsia="宋体" w:cs="宋体"/>
          <w:spacing w:val="6"/>
          <w:sz w:val="21"/>
          <w:szCs w:val="21"/>
          <w:highlight w:val="none"/>
        </w:rPr>
        <w:t xml:space="preserve">______%。</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2"/>
        <w:jc w:val="right"/>
        <w:spacing w:before="0" w:beforeAutospacing="0" w:after="0" w:afterAutospacing="0" w:line="360" w:lineRule="auto"/>
        <w:shd w:val="clear" w:color="auto" w:fill="ffffff"/>
        <w:rPr>
          <w:rFonts w:hint="eastAsia" w:ascii="宋体" w:hAnsi="宋体" w:eastAsia="宋体" w:cs="宋体"/>
          <w:color w:val="333333"/>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color w:val="333333"/>
          <w:sz w:val="21"/>
          <w:szCs w:val="21"/>
          <w:highlight w:val="none"/>
          <w:shd w:val="clear" w:color="auto" w:fill="ffffff"/>
        </w:rPr>
        <w:t xml:space="preserve">名称（</w:t>
      </w:r>
      <w:r>
        <w:rPr>
          <w:rFonts w:hint="eastAsia" w:ascii="宋体" w:hAnsi="宋体" w:eastAsia="宋体" w:cs="宋体"/>
          <w:sz w:val="21"/>
          <w:szCs w:val="21"/>
          <w:highlight w:val="none"/>
        </w:rPr>
        <w:t xml:space="preserve">加盖电子公章</w:t>
      </w:r>
      <w:r>
        <w:rPr>
          <w:rFonts w:hint="eastAsia" w:ascii="宋体" w:hAnsi="宋体" w:eastAsia="宋体" w:cs="宋体"/>
          <w:color w:val="333333"/>
          <w:sz w:val="21"/>
          <w:szCs w:val="21"/>
          <w:highlight w:val="none"/>
          <w:shd w:val="clear" w:color="auto" w:fill="ffffff"/>
        </w:rPr>
        <w:t xml:space="preserve">）：　</w:t>
      </w:r>
      <w:r/>
    </w:p>
    <w:p>
      <w:pPr>
        <w:jc w:val="right"/>
        <w:spacing w:line="360" w:lineRule="auto"/>
        <w:rPr>
          <w:rFonts w:hint="eastAsia" w:ascii="宋体" w:hAnsi="宋体" w:eastAsia="宋体" w:cs="宋体"/>
          <w:b/>
          <w:bCs/>
          <w:sz w:val="21"/>
          <w:szCs w:val="21"/>
          <w:highlight w:val="none"/>
        </w:rPr>
      </w:pPr>
      <w:r>
        <w:rPr>
          <w:rFonts w:hint="eastAsia" w:ascii="宋体" w:hAnsi="宋体" w:eastAsia="宋体" w:cs="宋体"/>
          <w:color w:val="333333"/>
          <w:sz w:val="21"/>
          <w:szCs w:val="21"/>
          <w:highlight w:val="none"/>
          <w:shd w:val="clear" w:color="auto" w:fill="ffffff"/>
        </w:rPr>
        <w:t xml:space="preserve">                </w:t>
      </w:r>
      <w:r>
        <w:rPr>
          <w:rFonts w:hint="eastAsia" w:ascii="宋体" w:hAnsi="宋体" w:eastAsia="宋体" w:cs="宋体"/>
          <w:color w:val="333333"/>
          <w:sz w:val="21"/>
          <w:szCs w:val="21"/>
          <w:highlight w:val="none"/>
          <w:shd w:val="clear" w:color="auto" w:fill="ffffff"/>
          <w:lang w:val="en-US" w:eastAsia="zh-CN"/>
        </w:rPr>
        <w:t xml:space="preserve">                       </w:t>
      </w:r>
      <w:r>
        <w:rPr>
          <w:rFonts w:hint="eastAsia" w:ascii="宋体" w:hAnsi="宋体" w:eastAsia="宋体" w:cs="宋体"/>
          <w:color w:val="333333"/>
          <w:sz w:val="21"/>
          <w:szCs w:val="21"/>
          <w:highlight w:val="none"/>
          <w:shd w:val="clear" w:color="auto" w:fill="ffffff"/>
        </w:rPr>
        <w:t xml:space="preserve">日期：　     年　  月　  日 </w:t>
      </w:r>
      <w:r/>
    </w:p>
    <w:p>
      <w:pPr>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备</w:t>
      </w:r>
      <w:r>
        <w:rPr>
          <w:rFonts w:hint="eastAsia" w:ascii="宋体" w:hAnsi="宋体" w:eastAsia="宋体" w:cs="宋体"/>
          <w:b w:val="0"/>
          <w:bCs w:val="0"/>
          <w:sz w:val="21"/>
          <w:szCs w:val="21"/>
          <w:highlight w:val="none"/>
        </w:rPr>
        <w:t xml:space="preserve">注：采购本国产品的支持政策</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供应商需在《声明函》中逐一、准确填写产品名称、厂名、生产厂址三项信息（《声明函》中标注“/ ”的地方无需填写）。</w:t>
      </w:r>
      <w:r/>
    </w:p>
    <w:p>
      <w:pPr>
        <w:ind w:firstLine="420"/>
        <w:keepLines w:val="0"/>
        <w:keepNext w:val="0"/>
        <w:pageBreakBefore w:val="0"/>
        <w:spacing w:line="360" w:lineRule="auto"/>
        <w:widowControl w:val="off"/>
        <w:rPr>
          <w:rFonts w:hint="eastAsia" w:ascii="宋体" w:hAnsi="宋体" w:eastAsia="宋体" w:cs="宋体"/>
          <w:b/>
          <w:bCs/>
          <w:sz w:val="28"/>
          <w:highlight w:val="none"/>
        </w:rPr>
      </w:pP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残疾人福利性单位声明函</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ind w:firstLine="50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rPr>
        <w:t xml:space="preserve">加盖电子公章</w:t>
      </w:r>
      <w:r>
        <w:rPr>
          <w:rFonts w:hint="eastAsia" w:ascii="宋体" w:hAnsi="宋体" w:eastAsia="宋体" w:cs="宋体"/>
          <w:sz w:val="21"/>
          <w:szCs w:val="21"/>
          <w:highlight w:val="none"/>
        </w:rPr>
        <w:t xml:space="preserve">）：</w:t>
      </w:r>
      <w:r/>
    </w:p>
    <w:p>
      <w:pPr>
        <w:ind w:firstLine="50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属于监狱企业的证明文件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出具的属于监狱企业的证明文件）</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节能产品认证证书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环境标志产品认证证书</w:t>
      </w:r>
      <w:r/>
    </w:p>
    <w:p>
      <w:pP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进口产品转让技术、消化吸收再创新方案</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Cs w:val="21"/>
          <w:highlight w:val="none"/>
          <w:lang w:val="zh-CN"/>
        </w:rPr>
        <w:br w:type="page" w:clear="all"/>
      </w:r>
      <w:r>
        <w:rPr>
          <w:rFonts w:hint="eastAsia" w:ascii="宋体" w:hAnsi="宋体" w:eastAsia="宋体" w:cs="宋体"/>
          <w:b/>
          <w:sz w:val="21"/>
          <w:szCs w:val="21"/>
          <w:highlight w:val="none"/>
        </w:rPr>
        <w:t xml:space="preserve">附件十一、无重大违法记录声明格式</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无重大违法记录声明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南京苏宁工程咨询有限公司、</w:t>
      </w:r>
      <w:r>
        <w:rPr>
          <w:rFonts w:hint="eastAsia" w:ascii="宋体" w:hAnsi="宋体" w:eastAsia="宋体" w:cs="宋体"/>
          <w:b w:val="0"/>
          <w:bCs w:val="0"/>
          <w:sz w:val="21"/>
          <w:szCs w:val="21"/>
          <w:highlight w:val="none"/>
        </w:rPr>
        <w:t xml:space="preserve">南京工业职业技术大学</w:t>
      </w:r>
      <w:r>
        <w:rPr>
          <w:rFonts w:hint="eastAsia" w:ascii="宋体" w:hAnsi="宋体" w:eastAsia="宋体" w:cs="宋体"/>
          <w:sz w:val="21"/>
          <w:szCs w:val="21"/>
          <w:highlight w:val="none"/>
        </w:rPr>
        <w:t xml:space="preserve">：</w:t>
      </w:r>
      <w:r/>
    </w:p>
    <w:p>
      <w:pPr>
        <w:ind w:firstLine="33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我单位（供应商名称）郑重声明：</w:t>
      </w:r>
      <w:r/>
    </w:p>
    <w:p>
      <w:pPr>
        <w:ind w:firstLine="308"/>
        <w:spacing w:line="360" w:lineRule="auto"/>
        <w:shd w:val="clear" w:color="auto" w:fill="ffffff"/>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rPr>
        <w:t xml:space="preserve">参加政府采购活动前3年内在经营活动中（</w:t>
      </w:r>
      <w:r>
        <w:rPr>
          <w:rFonts w:hint="eastAsia" w:ascii="宋体" w:hAnsi="宋体" w:eastAsia="宋体" w:cs="宋体"/>
          <w:b/>
          <w:i/>
          <w:sz w:val="21"/>
          <w:szCs w:val="21"/>
          <w:highlight w:val="none"/>
          <w:u w:val="single"/>
        </w:rPr>
        <w:t xml:space="preserve">在下划线上如实填写：有或没有</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重大违法记录</w:t>
      </w:r>
      <w:r>
        <w:rPr>
          <w:rFonts w:hint="eastAsia" w:ascii="宋体" w:hAnsi="宋体" w:eastAsia="宋体" w:cs="宋体"/>
          <w:b/>
          <w:sz w:val="21"/>
          <w:szCs w:val="21"/>
          <w:highlight w:val="none"/>
        </w:rPr>
        <w:t xml:space="preserve">，且不是失信被执行人、重大税收违法失信主体名单、政府采购严重违法失信行为记录名单的供应商。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103"/>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rPr>
        <w:t xml:space="preserve">加盖电子公章</w:t>
      </w:r>
      <w:r>
        <w:rPr>
          <w:rFonts w:hint="eastAsia" w:ascii="宋体" w:hAnsi="宋体" w:eastAsia="宋体" w:cs="宋体"/>
          <w:sz w:val="21"/>
          <w:szCs w:val="21"/>
          <w:highlight w:val="none"/>
        </w:rPr>
        <w:t xml:space="preserve">）</w:t>
      </w:r>
      <w:r/>
    </w:p>
    <w:p>
      <w:pPr>
        <w:ind w:firstLine="5103"/>
        <w:jc w:val="righ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p>
    <w:p>
      <w:pPr>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jc w:val="center"/>
        <w:spacing w:line="360" w:lineRule="auto"/>
        <w:rPr>
          <w:rFonts w:hint="eastAsia" w:ascii="宋体" w:hAnsi="宋体" w:eastAsia="宋体" w:cs="宋体"/>
          <w:b/>
          <w:bCs w:val="0"/>
          <w:highlight w:val="none"/>
        </w:rPr>
      </w:pPr>
      <w:r>
        <w:rPr>
          <w:rFonts w:hint="eastAsia" w:ascii="宋体" w:hAnsi="宋体" w:eastAsia="宋体" w:cs="宋体"/>
          <w:b/>
          <w:bCs w:val="0"/>
          <w:highlight w:val="none"/>
        </w:rPr>
      </w:r>
      <w:r/>
    </w:p>
    <w:p>
      <w:pPr>
        <w:jc w:val="center"/>
        <w:spacing w:line="360" w:lineRule="auto"/>
        <w:rPr>
          <w:rFonts w:ascii="Arial" w:hAnsi="Arial" w:cs="Arial"/>
          <w:b/>
          <w:bCs w:val="0"/>
          <w:highlight w:val="none"/>
        </w:rPr>
      </w:pPr>
      <w:r>
        <w:rPr>
          <w:rFonts w:hint="eastAsia" w:ascii="Arial" w:hAnsi="Arial" w:cs="Arial"/>
          <w:b/>
          <w:bCs w:val="0"/>
          <w:highlight w:val="none"/>
        </w:rPr>
        <w:t xml:space="preserve">根据采购公告中</w:t>
      </w:r>
      <w:r>
        <w:rPr>
          <w:rFonts w:hint="eastAsia" w:ascii="Arial" w:hAnsi="Arial" w:cs="Arial"/>
          <w:b/>
          <w:bCs w:val="0"/>
          <w:highlight w:val="none"/>
          <w:lang w:eastAsia="zh-CN"/>
        </w:rPr>
        <w:t xml:space="preserve">“</w:t>
      </w:r>
      <w:r>
        <w:rPr>
          <w:rFonts w:hint="eastAsia" w:ascii="Arial" w:hAnsi="Arial" w:cs="Arial"/>
          <w:b/>
          <w:bCs w:val="0"/>
          <w:highlight w:val="none"/>
        </w:rPr>
        <w:t xml:space="preserve">二、申请人的资格要求</w:t>
      </w:r>
      <w:r>
        <w:rPr>
          <w:rFonts w:hint="eastAsia" w:ascii="Arial" w:hAnsi="Arial" w:cs="Arial"/>
          <w:b/>
          <w:bCs w:val="0"/>
          <w:highlight w:val="none"/>
          <w:lang w:eastAsia="zh-CN"/>
        </w:rPr>
        <w:t xml:space="preserve">”</w:t>
      </w:r>
      <w:r>
        <w:rPr>
          <w:rFonts w:hint="eastAsia" w:ascii="Arial" w:hAnsi="Arial" w:cs="Arial"/>
          <w:b/>
          <w:bCs w:val="0"/>
          <w:highlight w:val="none"/>
        </w:rPr>
        <w:t xml:space="preserve">在苏采云平台对应模块填写</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jc w:val="both"/>
        <w:spacing w:line="360" w:lineRule="auto"/>
        <w:rPr>
          <w:rStyle w:val="1328"/>
          <w:rFonts w:ascii="宋体" w:hAnsi="宋体" w:eastAsia="宋体" w:cs="宋体"/>
          <w:b/>
          <w:bCs/>
          <w:szCs w:val="21"/>
          <w:highlight w:val="none"/>
        </w:rPr>
      </w:pPr>
      <w:r>
        <w:rPr>
          <w:rFonts w:hint="eastAsia" w:ascii="宋体" w:hAnsi="宋体" w:eastAsia="宋体" w:cs="宋体"/>
          <w:b/>
          <w:highlight w:val="none"/>
        </w:rPr>
        <w:t xml:space="preserve">附件十三、</w:t>
      </w:r>
      <w:bookmarkStart w:id="36" w:name="_Toc1635_WPSOffice_Level2"/>
      <w:r/>
      <w:bookmarkStart w:id="37" w:name="_Toc11668_WPSOffice_Level2"/>
      <w:r>
        <w:rPr>
          <w:rStyle w:val="1328"/>
          <w:rFonts w:hint="eastAsia" w:ascii="宋体" w:hAnsi="宋体" w:eastAsia="宋体" w:cs="宋体"/>
          <w:b/>
          <w:bCs/>
          <w:szCs w:val="21"/>
          <w:highlight w:val="none"/>
        </w:rPr>
        <w:t xml:space="preserve">具备履行合同所必需的设备和专业技术能力的声明格式</w:t>
      </w:r>
      <w:bookmarkEnd w:id="36"/>
      <w:r/>
      <w:bookmarkEnd w:id="37"/>
      <w:r/>
      <w:r/>
    </w:p>
    <w:p>
      <w:pPr>
        <w:ind w:firstLine="420"/>
        <w:jc w:val="center"/>
        <w:spacing w:line="360" w:lineRule="auto"/>
        <w:rPr>
          <w:rStyle w:val="1328"/>
          <w:rFonts w:hint="eastAsia" w:ascii="宋体" w:hAnsi="宋体" w:eastAsia="宋体" w:cs="宋体"/>
          <w:b w:val="0"/>
          <w:bCs w:val="0"/>
          <w:szCs w:val="21"/>
          <w:highlight w:val="none"/>
        </w:rPr>
      </w:pPr>
      <w:r>
        <w:rPr>
          <w:rStyle w:val="1328"/>
          <w:rFonts w:hint="eastAsia" w:ascii="宋体" w:hAnsi="宋体" w:eastAsia="宋体" w:cs="宋体"/>
          <w:b w:val="0"/>
          <w:bCs w:val="0"/>
          <w:szCs w:val="21"/>
          <w:highlight w:val="none"/>
        </w:rPr>
        <w:t xml:space="preserve">具备履行合同所必需的设备和专业技术能力的声明</w:t>
      </w:r>
      <w:r/>
    </w:p>
    <w:p>
      <w:pP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致：南京工业职业技术大学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我公司</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（供应商名称）郑重声明：</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我公司具备履行本项采购合同所必需的设备和专业技术能力，为履行本项采购合同我单位具备如下主要设备和主要专业技术能力：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主要设备有：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（若有）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主要专业技术能力有：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（若有）</w:t>
      </w:r>
      <w:r/>
    </w:p>
    <w:p>
      <w:pPr>
        <w:ind w:firstLine="5103"/>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rPr>
        <w:t xml:space="preserve">加盖电子公章</w:t>
      </w:r>
      <w:r>
        <w:rPr>
          <w:rFonts w:hint="eastAsia" w:ascii="宋体" w:hAnsi="宋体" w:eastAsia="宋体" w:cs="宋体"/>
          <w:sz w:val="21"/>
          <w:szCs w:val="21"/>
          <w:highlight w:val="none"/>
        </w:rPr>
        <w:t xml:space="preserve">）</w:t>
      </w:r>
      <w:r/>
    </w:p>
    <w:p>
      <w:pPr>
        <w:ind w:firstLine="5103"/>
        <w:jc w:val="righ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p>
    <w:p>
      <w:pPr>
        <w:spacing w:line="360" w:lineRule="auto"/>
        <w:rPr>
          <w:rFonts w:hint="eastAsia" w:ascii="宋体" w:hAnsi="宋体" w:eastAsia="宋体" w:cs="宋体"/>
          <w:b/>
          <w:highlight w:val="none"/>
        </w:rPr>
      </w:pPr>
      <w:r>
        <w:rPr>
          <w:rFonts w:hint="eastAsia" w:ascii="宋体" w:hAnsi="宋体" w:eastAsia="宋体" w:cs="宋体"/>
          <w:b w:val="0"/>
          <w:bCs/>
          <w:sz w:val="21"/>
          <w:szCs w:val="21"/>
          <w:highlight w:val="none"/>
        </w:rPr>
        <w:t xml:space="preserve">证明材料（如果供应商认为需要提供的话）：</w:t>
      </w: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cs="宋体"/>
          <w:b/>
          <w:sz w:val="21"/>
          <w:szCs w:val="21"/>
          <w:highlight w:val="none"/>
          <w:lang w:val="en-US" w:eastAsia="zh-CN"/>
        </w:rPr>
        <w:t xml:space="preserve">附件十四、</w:t>
      </w:r>
      <w:r>
        <w:rPr>
          <w:rFonts w:hint="eastAsia" w:ascii="宋体" w:hAnsi="宋体" w:eastAsia="宋体" w:cs="宋体"/>
          <w:b/>
          <w:highlight w:val="none"/>
        </w:rPr>
        <w:t xml:space="preserve">其他</w:t>
      </w:r>
      <w:r/>
    </w:p>
    <w:p>
      <w:pPr>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承 诺 书</w:t>
      </w:r>
      <w:r/>
    </w:p>
    <w:p>
      <w:p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致南京工业职业技术大学：</w:t>
      </w:r>
      <w:r/>
    </w:p>
    <w:p>
      <w:pPr>
        <w:ind w:firstLine="420"/>
        <w:jc w:val="both"/>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我单位拟参与投标的“城市轨道交通信号基础实训系统”，郑重承诺：</w:t>
      </w:r>
      <w:r/>
    </w:p>
    <w:p>
      <w:pPr>
        <w:ind w:firstLine="452"/>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cs="宋体"/>
          <w:b w:val="0"/>
          <w:bCs w:val="0"/>
          <w:color w:val="000000" w:themeColor="text1"/>
          <w:spacing w:val="8"/>
          <w:szCs w:val="21"/>
          <w:highlight w:val="none"/>
          <w:lang w:val="en-US" w:eastAsia="zh-CN"/>
          <w14:textFill>
            <w14:solidFill>
              <w14:schemeClr w14:val="tx1"/>
            </w14:solidFill>
          </w14:textFill>
        </w:rPr>
        <w:t xml:space="preserve">为推进校企合作共建实验实训室，我单位如中标本项目，中标后为学校提供配套投入，具体投入内容在签订合同前与学校按相关制度协商确定。</w:t>
      </w:r>
      <w:r/>
    </w:p>
    <w:p>
      <w:pPr>
        <w:ind w:firstLine="420"/>
        <w:jc w:val="righ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承诺书供应商：（盖章）</w:t>
      </w:r>
      <w:r/>
    </w:p>
    <w:p>
      <w:pPr>
        <w:ind w:firstLine="420"/>
        <w:jc w:val="righ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日期：年月日</w:t>
      </w:r>
      <w:r/>
    </w:p>
    <w:p>
      <w:pPr>
        <w:jc w:val="both"/>
        <w:spacing w:line="360"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r>
      <w:r/>
    </w:p>
    <w:p>
      <w:pPr>
        <w:jc w:val="both"/>
        <w:spacing w:line="360"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r>
      <w:r/>
    </w:p>
    <w:p>
      <w:pPr>
        <w:jc w:val="both"/>
        <w:spacing w:line="360" w:lineRule="auto"/>
        <w:rPr>
          <w:rFonts w:hint="eastAsia" w:ascii="宋体" w:hAnsi="宋体" w:eastAsia="宋体" w:cs="宋体"/>
          <w:b/>
          <w:bCs/>
          <w:sz w:val="21"/>
          <w:szCs w:val="21"/>
          <w:highlight w:val="none"/>
        </w:rPr>
      </w:pPr>
      <w:r>
        <w:rPr>
          <w:rFonts w:hint="eastAsia" w:ascii="宋体" w:hAnsi="宋体" w:cs="宋体"/>
          <w:b/>
          <w:sz w:val="21"/>
          <w:szCs w:val="21"/>
          <w:highlight w:val="none"/>
          <w:lang w:val="en-US" w:eastAsia="zh-CN"/>
        </w:rPr>
        <w:t xml:space="preserve">附件十五、</w:t>
      </w:r>
      <w:r>
        <w:rPr>
          <w:rFonts w:hint="eastAsia" w:ascii="宋体" w:hAnsi="宋体" w:eastAsia="宋体" w:cs="宋体"/>
          <w:b/>
          <w:sz w:val="21"/>
          <w:szCs w:val="21"/>
          <w:highlight w:val="none"/>
          <w:lang w:val="en-US" w:eastAsia="zh-CN"/>
        </w:rPr>
        <w:t xml:space="preserve">供应商需要补充的其他内容</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highlight w:val="none"/>
        </w:rPr>
      </w:pPr>
      <w:r>
        <w:rPr>
          <w:highlight w:val="none"/>
        </w:rPr>
      </w:r>
      <w:r/>
    </w:p>
    <w:p>
      <w:pPr>
        <w:rPr>
          <w:highlight w:val="none"/>
        </w:rPr>
      </w:pPr>
      <w:r>
        <w:rPr>
          <w:highlight w:val="none"/>
        </w:rPr>
      </w:r>
      <w:r/>
    </w:p>
    <w:sectPr>
      <w:headerReference w:type="default" r:id="rId11"/>
      <w:footerReference w:type="default" r:id="rId14"/>
      <w:footerReference w:type="first" r:id="rId15"/>
      <w:footnotePr/>
      <w:endnotePr/>
      <w:type w:val="nextPage"/>
      <w:pgSz w:w="11905" w:h="16838" w:orient="portrait"/>
      <w:pgMar w:top="1440" w:right="1080" w:bottom="1440" w:left="1080" w:header="850" w:footer="992" w:gutter="0"/>
      <w:pgNumType w:start="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2"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3"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2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1041"/>
      <w:isLgl w:val="false"/>
      <w:suff w:val="nothing"/>
      <w:lvlText w:val="第%1章"/>
      <w:lvlJc w:val="left"/>
      <w:pPr>
        <w:ind w:left="0" w:firstLine="0"/>
      </w:pPr>
    </w:lvl>
    <w:lvl w:ilvl="1">
      <w:start w:val="1"/>
      <w:numFmt w:val="none"/>
      <w:pStyle w:val="1042"/>
      <w:isLgl w:val="false"/>
      <w:suff w:val="nothing"/>
      <w:lvlText w:val=""/>
      <w:lvlJc w:val="left"/>
      <w:pPr>
        <w:ind w:left="0" w:firstLine="0"/>
      </w:pPr>
    </w:lvl>
    <w:lvl w:ilvl="2">
      <w:start w:val="1"/>
      <w:numFmt w:val="none"/>
      <w:pStyle w:val="1043"/>
      <w:isLgl w:val="false"/>
      <w:suff w:val="nothing"/>
      <w:lvlText w:val=""/>
      <w:lvlJc w:val="left"/>
      <w:pPr>
        <w:ind w:left="0" w:firstLine="0"/>
      </w:pPr>
    </w:lvl>
    <w:lvl w:ilvl="3">
      <w:start w:val="1"/>
      <w:numFmt w:val="none"/>
      <w:pStyle w:val="1044"/>
      <w:isLgl w:val="false"/>
      <w:suff w:val="nothing"/>
      <w:lvlText w:val=""/>
      <w:lvlJc w:val="left"/>
      <w:pPr>
        <w:ind w:left="0" w:firstLine="0"/>
      </w:pPr>
    </w:lvl>
    <w:lvl w:ilvl="4">
      <w:start w:val="1"/>
      <w:numFmt w:val="none"/>
      <w:pStyle w:val="1045"/>
      <w:isLgl w:val="false"/>
      <w:suff w:val="nothing"/>
      <w:lvlText w:val=""/>
      <w:lvlJc w:val="left"/>
      <w:pPr>
        <w:ind w:left="0" w:firstLine="0"/>
      </w:pPr>
    </w:lvl>
    <w:lvl w:ilvl="5">
      <w:start w:val="1"/>
      <w:numFmt w:val="none"/>
      <w:pStyle w:val="1046"/>
      <w:isLgl w:val="false"/>
      <w:suff w:val="nothing"/>
      <w:lvlText w:val=""/>
      <w:lvlJc w:val="left"/>
      <w:pPr>
        <w:ind w:left="0" w:firstLine="0"/>
      </w:pPr>
    </w:lvl>
    <w:lvl w:ilvl="6">
      <w:start w:val="1"/>
      <w:numFmt w:val="none"/>
      <w:pStyle w:val="1047"/>
      <w:isLgl w:val="false"/>
      <w:suff w:val="nothing"/>
      <w:lvlText w:val=""/>
      <w:lvlJc w:val="left"/>
      <w:pPr>
        <w:ind w:left="0" w:firstLine="0"/>
      </w:pPr>
    </w:lvl>
    <w:lvl w:ilvl="7">
      <w:start w:val="1"/>
      <w:numFmt w:val="none"/>
      <w:pStyle w:val="1048"/>
      <w:isLgl w:val="false"/>
      <w:suff w:val="nothing"/>
      <w:lvlText w:val=""/>
      <w:lvlJc w:val="left"/>
      <w:pPr>
        <w:ind w:left="0" w:firstLine="0"/>
      </w:pPr>
    </w:lvl>
    <w:lvl w:ilvl="8">
      <w:start w:val="1"/>
      <w:numFmt w:val="none"/>
      <w:pStyle w:val="1049"/>
      <w:isLgl w:val="false"/>
      <w:suff w:val="nothing"/>
      <w:lvlText w:val=""/>
      <w:lvlJc w:val="left"/>
      <w:pPr>
        <w:ind w:left="0" w:firstLine="0"/>
      </w:pPr>
    </w:lvl>
  </w:abstractNum>
  <w:abstractNum w:abstractNumId="2">
    <w:multiLevelType w:val="hybridMultilevel"/>
    <w:lvl w:ilvl="0">
      <w:start w:val="1"/>
      <w:numFmt w:val="chineseCountingThousand"/>
      <w:pStyle w:val="120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20"/>
      <w:isLgl/>
      <w:suff w:val="tab"/>
      <w:lvlText w:val="%1.%2"/>
      <w:lvlJc w:val="left"/>
      <w:pPr>
        <w:ind w:left="425" w:hanging="425"/>
      </w:pPr>
      <w:rPr>
        <w:rFonts w:hint="eastAsia" w:ascii="Arial Unicode MS" w:hAnsi="Arial Unicode MS" w:eastAsia="微软雅黑"/>
        <w:b/>
        <w:i w:val="0"/>
      </w:rPr>
    </w:lvl>
    <w:lvl w:ilvl="2">
      <w:start w:val="1"/>
      <w:numFmt w:val="decimal"/>
      <w:pStyle w:val="123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5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8">
    <w:name w:val="Heading 1 Char"/>
    <w:basedOn w:val="1050"/>
    <w:link w:val="1041"/>
    <w:uiPriority w:val="9"/>
    <w:rPr>
      <w:rFonts w:ascii="Arial" w:hAnsi="Arial" w:eastAsia="Arial" w:cs="Arial"/>
      <w:sz w:val="40"/>
      <w:szCs w:val="40"/>
    </w:rPr>
  </w:style>
  <w:style w:type="character" w:styleId="889">
    <w:name w:val="Heading 2 Char"/>
    <w:basedOn w:val="1050"/>
    <w:link w:val="1042"/>
    <w:uiPriority w:val="9"/>
    <w:rPr>
      <w:rFonts w:ascii="Arial" w:hAnsi="Arial" w:eastAsia="Arial" w:cs="Arial"/>
      <w:sz w:val="34"/>
    </w:rPr>
  </w:style>
  <w:style w:type="character" w:styleId="890">
    <w:name w:val="Heading 3 Char"/>
    <w:basedOn w:val="1050"/>
    <w:link w:val="1043"/>
    <w:uiPriority w:val="9"/>
    <w:rPr>
      <w:rFonts w:ascii="Arial" w:hAnsi="Arial" w:eastAsia="Arial" w:cs="Arial"/>
      <w:sz w:val="30"/>
      <w:szCs w:val="30"/>
    </w:rPr>
  </w:style>
  <w:style w:type="character" w:styleId="891">
    <w:name w:val="Heading 4 Char"/>
    <w:basedOn w:val="1050"/>
    <w:link w:val="1044"/>
    <w:uiPriority w:val="9"/>
    <w:rPr>
      <w:rFonts w:ascii="Arial" w:hAnsi="Arial" w:eastAsia="Arial" w:cs="Arial"/>
      <w:b/>
      <w:bCs/>
      <w:sz w:val="26"/>
      <w:szCs w:val="26"/>
    </w:rPr>
  </w:style>
  <w:style w:type="character" w:styleId="892">
    <w:name w:val="Heading 5 Char"/>
    <w:basedOn w:val="1050"/>
    <w:link w:val="1045"/>
    <w:uiPriority w:val="9"/>
    <w:rPr>
      <w:rFonts w:ascii="Arial" w:hAnsi="Arial" w:eastAsia="Arial" w:cs="Arial"/>
      <w:b/>
      <w:bCs/>
      <w:sz w:val="24"/>
      <w:szCs w:val="24"/>
    </w:rPr>
  </w:style>
  <w:style w:type="character" w:styleId="893">
    <w:name w:val="Heading 6 Char"/>
    <w:basedOn w:val="1050"/>
    <w:link w:val="1046"/>
    <w:uiPriority w:val="9"/>
    <w:rPr>
      <w:rFonts w:ascii="Arial" w:hAnsi="Arial" w:eastAsia="Arial" w:cs="Arial"/>
      <w:b/>
      <w:bCs/>
      <w:sz w:val="22"/>
      <w:szCs w:val="22"/>
    </w:rPr>
  </w:style>
  <w:style w:type="character" w:styleId="894">
    <w:name w:val="Heading 7 Char"/>
    <w:basedOn w:val="1050"/>
    <w:link w:val="1047"/>
    <w:uiPriority w:val="9"/>
    <w:rPr>
      <w:rFonts w:ascii="Arial" w:hAnsi="Arial" w:eastAsia="Arial" w:cs="Arial"/>
      <w:b/>
      <w:bCs/>
      <w:i/>
      <w:iCs/>
      <w:sz w:val="22"/>
      <w:szCs w:val="22"/>
    </w:rPr>
  </w:style>
  <w:style w:type="character" w:styleId="895">
    <w:name w:val="Heading 8 Char"/>
    <w:basedOn w:val="1050"/>
    <w:link w:val="1048"/>
    <w:uiPriority w:val="9"/>
    <w:rPr>
      <w:rFonts w:ascii="Arial" w:hAnsi="Arial" w:eastAsia="Arial" w:cs="Arial"/>
      <w:i/>
      <w:iCs/>
      <w:sz w:val="22"/>
      <w:szCs w:val="22"/>
    </w:rPr>
  </w:style>
  <w:style w:type="character" w:styleId="896">
    <w:name w:val="Heading 9 Char"/>
    <w:basedOn w:val="1050"/>
    <w:link w:val="1049"/>
    <w:uiPriority w:val="9"/>
    <w:rPr>
      <w:rFonts w:ascii="Arial" w:hAnsi="Arial" w:eastAsia="Arial" w:cs="Arial"/>
      <w:i/>
      <w:iCs/>
      <w:sz w:val="21"/>
      <w:szCs w:val="21"/>
    </w:rPr>
  </w:style>
  <w:style w:type="paragraph" w:styleId="897">
    <w:name w:val="No Spacing"/>
    <w:uiPriority w:val="1"/>
    <w:qFormat/>
    <w:pPr>
      <w:spacing w:before="0" w:after="0" w:line="240" w:lineRule="auto"/>
    </w:pPr>
  </w:style>
  <w:style w:type="character" w:styleId="898">
    <w:name w:val="Title Char"/>
    <w:basedOn w:val="1050"/>
    <w:link w:val="1084"/>
    <w:uiPriority w:val="10"/>
    <w:rPr>
      <w:sz w:val="48"/>
      <w:szCs w:val="48"/>
    </w:rPr>
  </w:style>
  <w:style w:type="character" w:styleId="899">
    <w:name w:val="Subtitle Char"/>
    <w:basedOn w:val="1050"/>
    <w:link w:val="1076"/>
    <w:uiPriority w:val="11"/>
    <w:rPr>
      <w:sz w:val="24"/>
      <w:szCs w:val="24"/>
    </w:rPr>
  </w:style>
  <w:style w:type="paragraph" w:styleId="900">
    <w:name w:val="Quote"/>
    <w:basedOn w:val="1040"/>
    <w:next w:val="1040"/>
    <w:link w:val="901"/>
    <w:uiPriority w:val="29"/>
    <w:qFormat/>
    <w:pPr>
      <w:ind w:left="720" w:right="720"/>
    </w:pPr>
    <w:rPr>
      <w:i/>
    </w:rPr>
  </w:style>
  <w:style w:type="character" w:styleId="901">
    <w:name w:val="Quote Char"/>
    <w:link w:val="900"/>
    <w:uiPriority w:val="29"/>
    <w:rPr>
      <w:i/>
    </w:rPr>
  </w:style>
  <w:style w:type="paragraph" w:styleId="902">
    <w:name w:val="Intense Quote"/>
    <w:basedOn w:val="1040"/>
    <w:next w:val="1040"/>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character" w:styleId="904">
    <w:name w:val="Header Char"/>
    <w:basedOn w:val="1050"/>
    <w:link w:val="1073"/>
    <w:uiPriority w:val="99"/>
  </w:style>
  <w:style w:type="character" w:styleId="905">
    <w:name w:val="Footer Char"/>
    <w:basedOn w:val="1050"/>
    <w:link w:val="1071"/>
    <w:uiPriority w:val="99"/>
  </w:style>
  <w:style w:type="character" w:styleId="906">
    <w:name w:val="Caption Char"/>
    <w:basedOn w:val="1056"/>
    <w:link w:val="1071"/>
    <w:uiPriority w:val="99"/>
  </w:style>
  <w:style w:type="table" w:styleId="907">
    <w:name w:val="Table Grid Light"/>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10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10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basedOn w:val="10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basedOn w:val="10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basedOn w:val="10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basedOn w:val="10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basedOn w:val="10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basedOn w:val="10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basedOn w:val="10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basedOn w:val="10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basedOn w:val="10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basedOn w:val="10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basedOn w:val="10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basedOn w:val="10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basedOn w:val="10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basedOn w:val="10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basedOn w:val="10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basedOn w:val="10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basedOn w:val="10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basedOn w:val="10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basedOn w:val="10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basedOn w:val="10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basedOn w:val="10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basedOn w:val="10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basedOn w:val="10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basedOn w:val="10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basedOn w:val="10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3">
    <w:name w:val="Grid Table 5 Dark - Accent 2"/>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4">
    <w:name w:val="Grid Table 5 Dark - Accent 3"/>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5">
    <w:name w:val="Grid Table 5 Dark- Accent 4"/>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6">
    <w:name w:val="Grid Table 5 Dark - Accent 5"/>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7">
    <w:name w:val="Grid Table 5 Dark - Accent 6"/>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8">
    <w:name w:val="Grid Table 6 Colorful"/>
    <w:basedOn w:val="10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basedOn w:val="10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basedOn w:val="10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basedOn w:val="10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basedOn w:val="10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basedOn w:val="10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6 Colorful - Accent 6"/>
    <w:basedOn w:val="10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7 Colorful"/>
    <w:basedOn w:val="10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basedOn w:val="10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basedOn w:val="10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basedOn w:val="10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basedOn w:val="10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basedOn w:val="10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basedOn w:val="10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basedOn w:val="10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basedOn w:val="10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basedOn w:val="10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basedOn w:val="10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basedOn w:val="10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basedOn w:val="10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basedOn w:val="10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basedOn w:val="10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basedOn w:val="10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basedOn w:val="10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basedOn w:val="10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basedOn w:val="10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basedOn w:val="10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basedOn w:val="10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basedOn w:val="10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3 - Accent 2"/>
    <w:basedOn w:val="10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9">
    <w:name w:val="List Table 3 - Accent 3"/>
    <w:basedOn w:val="10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0">
    <w:name w:val="List Table 3 - Accent 4"/>
    <w:basedOn w:val="10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1">
    <w:name w:val="List Table 3 - Accent 5"/>
    <w:basedOn w:val="10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2">
    <w:name w:val="List Table 3 - Accent 6"/>
    <w:basedOn w:val="10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3">
    <w:name w:val="List Table 4"/>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basedOn w:val="10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4 - Accent 2"/>
    <w:basedOn w:val="10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6">
    <w:name w:val="List Table 4 - Accent 3"/>
    <w:basedOn w:val="10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7">
    <w:name w:val="List Table 4 - Accent 4"/>
    <w:basedOn w:val="10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8">
    <w:name w:val="List Table 4 - Accent 5"/>
    <w:basedOn w:val="10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9">
    <w:name w:val="List Table 4 - Accent 6"/>
    <w:basedOn w:val="10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0">
    <w:name w:val="List Table 5 Dark"/>
    <w:basedOn w:val="10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basedOn w:val="10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basedOn w:val="10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basedOn w:val="10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basedOn w:val="10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basedOn w:val="10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basedOn w:val="10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basedOn w:val="10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basedOn w:val="10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9">
    <w:name w:val="List Table 6 Colorful - Accent 2"/>
    <w:basedOn w:val="10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0">
    <w:name w:val="List Table 6 Colorful - Accent 3"/>
    <w:basedOn w:val="10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1">
    <w:name w:val="List Table 6 Colorful - Accent 4"/>
    <w:basedOn w:val="10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2">
    <w:name w:val="List Table 6 Colorful - Accent 5"/>
    <w:basedOn w:val="10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3">
    <w:name w:val="List Table 6 Colorful - Accent 6"/>
    <w:basedOn w:val="10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4">
    <w:name w:val="List Table 7 Colorful"/>
    <w:basedOn w:val="10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basedOn w:val="10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6">
    <w:name w:val="List Table 7 Colorful - Accent 2"/>
    <w:basedOn w:val="10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7">
    <w:name w:val="List Table 7 Colorful - Accent 3"/>
    <w:basedOn w:val="10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8">
    <w:name w:val="List Table 7 Colorful - Accent 4"/>
    <w:basedOn w:val="10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9">
    <w:name w:val="List Table 7 Colorful - Accent 5"/>
    <w:basedOn w:val="10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0">
    <w:name w:val="List Table 7 Colorful - Accent 6"/>
    <w:basedOn w:val="10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1">
    <w:name w:val="Lined - Accent"/>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Lined - Accent 2"/>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Lined - Accent 3"/>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Lined - Accent 4"/>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Lined - Accent 5"/>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Lined - Accent 6"/>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amp; Lined - Accent"/>
    <w:basedOn w:val="10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basedOn w:val="10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Bordered &amp; Lined - Accent 2"/>
    <w:basedOn w:val="10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Bordered &amp; Lined - Accent 3"/>
    <w:basedOn w:val="10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Bordered &amp; Lined - Accent 4"/>
    <w:basedOn w:val="10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Bordered &amp; Lined - Accent 5"/>
    <w:basedOn w:val="10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Bordered &amp; Lined - Accent 6"/>
    <w:basedOn w:val="10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w:basedOn w:val="10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basedOn w:val="10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basedOn w:val="10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basedOn w:val="10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basedOn w:val="10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basedOn w:val="10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basedOn w:val="10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2">
    <w:name w:val="footnote text"/>
    <w:basedOn w:val="1040"/>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basedOn w:val="1050"/>
    <w:uiPriority w:val="99"/>
    <w:unhideWhenUsed/>
    <w:rPr>
      <w:vertAlign w:val="superscript"/>
    </w:rPr>
  </w:style>
  <w:style w:type="paragraph" w:styleId="1035">
    <w:name w:val="endnote text"/>
    <w:basedOn w:val="1040"/>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basedOn w:val="1050"/>
    <w:uiPriority w:val="99"/>
    <w:semiHidden/>
    <w:unhideWhenUsed/>
    <w:rPr>
      <w:vertAlign w:val="superscript"/>
    </w:r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1">
    <w:name w:val="Heading 1"/>
    <w:basedOn w:val="1040"/>
    <w:next w:val="1040"/>
    <w:link w:val="1188"/>
    <w:uiPriority w:val="0"/>
    <w:qFormat/>
    <w:pPr>
      <w:numPr>
        <w:ilvl w:val="0"/>
        <w:numId w:val="1"/>
      </w:numPr>
      <w:jc w:val="center"/>
      <w:keepLines/>
      <w:keepNext/>
      <w:spacing w:before="340" w:after="330" w:line="578" w:lineRule="auto"/>
      <w:outlineLvl w:val="0"/>
    </w:pPr>
    <w:rPr>
      <w:b/>
      <w:bCs/>
      <w:sz w:val="32"/>
      <w:szCs w:val="44"/>
    </w:rPr>
  </w:style>
  <w:style w:type="paragraph" w:styleId="1042">
    <w:name w:val="Heading 2"/>
    <w:basedOn w:val="1040"/>
    <w:next w:val="1040"/>
    <w:link w:val="111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43">
    <w:name w:val="Heading 3"/>
    <w:basedOn w:val="1040"/>
    <w:next w:val="1040"/>
    <w:link w:val="1156"/>
    <w:uiPriority w:val="0"/>
    <w:qFormat/>
    <w:pPr>
      <w:numPr>
        <w:ilvl w:val="2"/>
        <w:numId w:val="1"/>
      </w:numPr>
      <w:keepLines/>
      <w:keepNext/>
      <w:spacing w:before="260" w:after="260" w:line="416" w:lineRule="auto"/>
      <w:outlineLvl w:val="2"/>
    </w:pPr>
    <w:rPr>
      <w:b/>
      <w:bCs/>
      <w:sz w:val="32"/>
      <w:szCs w:val="32"/>
    </w:rPr>
  </w:style>
  <w:style w:type="paragraph" w:styleId="1044">
    <w:name w:val="Heading 4"/>
    <w:basedOn w:val="1040"/>
    <w:next w:val="1040"/>
    <w:link w:val="119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5">
    <w:name w:val="Heading 5"/>
    <w:basedOn w:val="1040"/>
    <w:next w:val="1040"/>
    <w:link w:val="1146"/>
    <w:uiPriority w:val="0"/>
    <w:qFormat/>
    <w:pPr>
      <w:numPr>
        <w:ilvl w:val="4"/>
        <w:numId w:val="1"/>
      </w:numPr>
      <w:keepLines/>
      <w:keepNext/>
      <w:spacing w:before="280" w:after="290" w:line="376" w:lineRule="auto"/>
      <w:outlineLvl w:val="4"/>
    </w:pPr>
    <w:rPr>
      <w:b/>
      <w:bCs/>
      <w:sz w:val="28"/>
      <w:szCs w:val="28"/>
    </w:rPr>
  </w:style>
  <w:style w:type="paragraph" w:styleId="1046">
    <w:name w:val="Heading 6"/>
    <w:basedOn w:val="1040"/>
    <w:next w:val="1040"/>
    <w:link w:val="1132"/>
    <w:uiPriority w:val="0"/>
    <w:qFormat/>
    <w:pPr>
      <w:numPr>
        <w:ilvl w:val="5"/>
        <w:numId w:val="1"/>
      </w:numPr>
      <w:keepLines/>
      <w:keepNext/>
      <w:spacing w:before="240" w:after="64" w:line="320" w:lineRule="auto"/>
      <w:outlineLvl w:val="5"/>
    </w:pPr>
    <w:rPr>
      <w:rFonts w:ascii="Cambria" w:hAnsi="Cambria"/>
      <w:b/>
      <w:bCs/>
      <w:sz w:val="24"/>
    </w:rPr>
  </w:style>
  <w:style w:type="paragraph" w:styleId="1047">
    <w:name w:val="Heading 7"/>
    <w:basedOn w:val="1040"/>
    <w:next w:val="1040"/>
    <w:link w:val="1187"/>
    <w:uiPriority w:val="0"/>
    <w:qFormat/>
    <w:pPr>
      <w:numPr>
        <w:ilvl w:val="6"/>
        <w:numId w:val="1"/>
      </w:numPr>
      <w:keepLines/>
      <w:keepNext/>
      <w:spacing w:before="240" w:after="64" w:line="320" w:lineRule="auto"/>
      <w:outlineLvl w:val="6"/>
    </w:pPr>
    <w:rPr>
      <w:b/>
      <w:bCs/>
      <w:sz w:val="24"/>
    </w:rPr>
  </w:style>
  <w:style w:type="paragraph" w:styleId="1048">
    <w:name w:val="Heading 8"/>
    <w:basedOn w:val="1040"/>
    <w:next w:val="1040"/>
    <w:link w:val="1172"/>
    <w:uiPriority w:val="0"/>
    <w:qFormat/>
    <w:pPr>
      <w:numPr>
        <w:ilvl w:val="7"/>
        <w:numId w:val="1"/>
      </w:numPr>
      <w:keepLines/>
      <w:keepNext/>
      <w:spacing w:before="240" w:after="64" w:line="320" w:lineRule="auto"/>
      <w:outlineLvl w:val="7"/>
    </w:pPr>
    <w:rPr>
      <w:rFonts w:ascii="Cambria" w:hAnsi="Cambria"/>
      <w:sz w:val="24"/>
    </w:rPr>
  </w:style>
  <w:style w:type="paragraph" w:styleId="1049">
    <w:name w:val="Heading 9"/>
    <w:basedOn w:val="1040"/>
    <w:next w:val="1040"/>
    <w:link w:val="1150"/>
    <w:uiPriority w:val="0"/>
    <w:qFormat/>
    <w:pPr>
      <w:numPr>
        <w:ilvl w:val="8"/>
        <w:numId w:val="1"/>
      </w:numPr>
      <w:keepLines/>
      <w:keepNext/>
      <w:spacing w:before="240" w:after="64" w:line="320" w:lineRule="auto"/>
      <w:outlineLvl w:val="8"/>
    </w:pPr>
    <w:rPr>
      <w:rFonts w:ascii="Cambria" w:hAnsi="Cambria"/>
      <w:szCs w:val="21"/>
    </w:rPr>
  </w:style>
  <w:style w:type="character" w:styleId="1050" w:default="1">
    <w:name w:val="Default Paragraph Font"/>
    <w:uiPriority w:val="1"/>
    <w:semiHidden/>
    <w:unhideWhenUsed/>
    <w:qFormat/>
  </w:style>
  <w:style w:type="table" w:styleId="105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52">
    <w:name w:val="List 3"/>
    <w:basedOn w:val="1040"/>
    <w:uiPriority w:val="99"/>
    <w:unhideWhenUsed/>
    <w:qFormat/>
    <w:pPr>
      <w:ind w:left="1260" w:hanging="420"/>
      <w:spacing w:before="100" w:beforeAutospacing="1" w:after="100" w:afterAutospacing="1"/>
    </w:pPr>
    <w:rPr>
      <w:szCs w:val="21"/>
    </w:rPr>
  </w:style>
  <w:style w:type="paragraph" w:styleId="1053">
    <w:name w:val="toc 7"/>
    <w:basedOn w:val="1040"/>
    <w:next w:val="1040"/>
    <w:uiPriority w:val="39"/>
    <w:unhideWhenUsed/>
    <w:qFormat/>
    <w:pPr>
      <w:ind w:left="2520"/>
    </w:pPr>
    <w:rPr>
      <w:rFonts w:ascii="Calibri" w:hAnsi="Calibri"/>
      <w:szCs w:val="22"/>
    </w:rPr>
  </w:style>
  <w:style w:type="paragraph" w:styleId="1054">
    <w:name w:val="List Number"/>
    <w:basedOn w:val="1040"/>
    <w:uiPriority w:val="0"/>
    <w:qFormat/>
    <w:pPr>
      <w:numPr>
        <w:ilvl w:val="0"/>
        <w:numId w:val="2"/>
      </w:numPr>
      <w:contextualSpacing/>
    </w:pPr>
    <w:rPr>
      <w:rFonts w:ascii="Calibri" w:hAnsi="Calibri"/>
    </w:rPr>
  </w:style>
  <w:style w:type="paragraph" w:styleId="1055">
    <w:name w:val="Normal Indent"/>
    <w:basedOn w:val="1040"/>
    <w:link w:val="1274"/>
    <w:uiPriority w:val="0"/>
    <w:qFormat/>
    <w:pPr>
      <w:ind w:firstLine="420"/>
    </w:pPr>
    <w:rPr>
      <w:b/>
      <w:sz w:val="24"/>
      <w:szCs w:val="20"/>
    </w:rPr>
  </w:style>
  <w:style w:type="paragraph" w:styleId="1056">
    <w:name w:val="Caption"/>
    <w:basedOn w:val="1040"/>
    <w:next w:val="1040"/>
    <w:uiPriority w:val="0"/>
    <w:qFormat/>
    <w:rPr>
      <w:rFonts w:ascii="Cambria" w:hAnsi="Cambria" w:eastAsia="黑体"/>
      <w:sz w:val="20"/>
      <w:szCs w:val="22"/>
    </w:rPr>
  </w:style>
  <w:style w:type="paragraph" w:styleId="1057">
    <w:name w:val="Document Map"/>
    <w:basedOn w:val="1040"/>
    <w:link w:val="1140"/>
    <w:uiPriority w:val="0"/>
    <w:qFormat/>
    <w:rPr>
      <w:rFonts w:ascii="宋体"/>
      <w:sz w:val="18"/>
      <w:szCs w:val="18"/>
    </w:rPr>
  </w:style>
  <w:style w:type="paragraph" w:styleId="1058">
    <w:name w:val="annotation text"/>
    <w:basedOn w:val="1040"/>
    <w:link w:val="1164"/>
    <w:uiPriority w:val="0"/>
    <w:qFormat/>
    <w:pPr>
      <w:jc w:val="left"/>
    </w:pPr>
  </w:style>
  <w:style w:type="paragraph" w:styleId="1059">
    <w:name w:val="Body Text 3"/>
    <w:basedOn w:val="1040"/>
    <w:link w:val="1183"/>
    <w:uiPriority w:val="0"/>
    <w:qFormat/>
    <w:rPr>
      <w:rFonts w:ascii="宋体"/>
      <w:sz w:val="24"/>
      <w:szCs w:val="20"/>
    </w:rPr>
  </w:style>
  <w:style w:type="paragraph" w:styleId="1060">
    <w:name w:val="Body Text"/>
    <w:basedOn w:val="1040"/>
    <w:next w:val="1040"/>
    <w:link w:val="1171"/>
    <w:uiPriority w:val="0"/>
    <w:qFormat/>
    <w:pPr>
      <w:jc w:val="center"/>
    </w:pPr>
    <w:rPr>
      <w:rFonts w:eastAsia="幼圆"/>
      <w:b/>
      <w:bCs/>
      <w:sz w:val="44"/>
    </w:rPr>
  </w:style>
  <w:style w:type="paragraph" w:styleId="1061">
    <w:name w:val="Body Text Indent"/>
    <w:basedOn w:val="1040"/>
    <w:link w:val="1127"/>
    <w:uiPriority w:val="0"/>
    <w:qFormat/>
    <w:pPr>
      <w:ind w:left="420"/>
      <w:spacing w:after="120"/>
    </w:pPr>
  </w:style>
  <w:style w:type="paragraph" w:styleId="1062">
    <w:name w:val="Block Text"/>
    <w:basedOn w:val="1040"/>
    <w:next w:val="1040"/>
    <w:uiPriority w:val="99"/>
    <w:unhideWhenUsed/>
    <w:qFormat/>
    <w:pPr>
      <w:ind w:left="1440" w:right="1440"/>
      <w:spacing w:after="120"/>
    </w:pPr>
  </w:style>
  <w:style w:type="paragraph" w:styleId="1063">
    <w:name w:val="index 4"/>
    <w:basedOn w:val="1040"/>
    <w:next w:val="1040"/>
    <w:uiPriority w:val="0"/>
    <w:qFormat/>
    <w:pPr>
      <w:ind w:left="600"/>
    </w:pPr>
    <w:rPr>
      <w:rFonts w:ascii="Calibri" w:hAnsi="Calibri"/>
    </w:rPr>
  </w:style>
  <w:style w:type="paragraph" w:styleId="1064">
    <w:name w:val="toc 5"/>
    <w:basedOn w:val="1040"/>
    <w:next w:val="1040"/>
    <w:uiPriority w:val="39"/>
    <w:unhideWhenUsed/>
    <w:qFormat/>
    <w:pPr>
      <w:ind w:left="1680"/>
    </w:pPr>
    <w:rPr>
      <w:rFonts w:ascii="Calibri" w:hAnsi="Calibri"/>
      <w:szCs w:val="22"/>
    </w:rPr>
  </w:style>
  <w:style w:type="paragraph" w:styleId="1065">
    <w:name w:val="toc 3"/>
    <w:basedOn w:val="1040"/>
    <w:next w:val="1040"/>
    <w:uiPriority w:val="39"/>
    <w:qFormat/>
    <w:pPr>
      <w:ind w:left="840"/>
    </w:pPr>
    <w:rPr>
      <w:rFonts w:ascii="Calibri" w:hAnsi="Calibri"/>
      <w:szCs w:val="22"/>
    </w:rPr>
  </w:style>
  <w:style w:type="paragraph" w:styleId="1066">
    <w:name w:val="Plain Text"/>
    <w:basedOn w:val="1040"/>
    <w:link w:val="1133"/>
    <w:uiPriority w:val="0"/>
    <w:qFormat/>
    <w:rPr>
      <w:rFonts w:ascii="Ari"/>
    </w:rPr>
  </w:style>
  <w:style w:type="paragraph" w:styleId="1067">
    <w:name w:val="toc 8"/>
    <w:basedOn w:val="1040"/>
    <w:next w:val="1040"/>
    <w:uiPriority w:val="39"/>
    <w:unhideWhenUsed/>
    <w:qFormat/>
    <w:pPr>
      <w:ind w:left="2940"/>
    </w:pPr>
    <w:rPr>
      <w:rFonts w:ascii="Calibri" w:hAnsi="Calibri"/>
      <w:szCs w:val="22"/>
    </w:rPr>
  </w:style>
  <w:style w:type="paragraph" w:styleId="1068">
    <w:name w:val="Date"/>
    <w:basedOn w:val="1040"/>
    <w:next w:val="1040"/>
    <w:link w:val="1141"/>
    <w:uiPriority w:val="0"/>
    <w:unhideWhenUsed/>
    <w:qFormat/>
  </w:style>
  <w:style w:type="paragraph" w:styleId="1069">
    <w:name w:val="Body Text Indent 2"/>
    <w:basedOn w:val="1040"/>
    <w:link w:val="1163"/>
    <w:uiPriority w:val="99"/>
    <w:unhideWhenUsed/>
    <w:qFormat/>
    <w:pPr>
      <w:ind w:firstLine="525"/>
      <w:spacing w:line="420" w:lineRule="exact"/>
    </w:pPr>
    <w:rPr>
      <w:rFonts w:ascii="宋体"/>
      <w:sz w:val="20"/>
      <w:szCs w:val="20"/>
    </w:rPr>
  </w:style>
  <w:style w:type="paragraph" w:styleId="1070">
    <w:name w:val="Balloon Text"/>
    <w:basedOn w:val="1040"/>
    <w:link w:val="1186"/>
    <w:uiPriority w:val="0"/>
    <w:qFormat/>
    <w:rPr>
      <w:sz w:val="18"/>
      <w:szCs w:val="18"/>
    </w:rPr>
  </w:style>
  <w:style w:type="paragraph" w:styleId="1071">
    <w:name w:val="Footer"/>
    <w:basedOn w:val="1040"/>
    <w:link w:val="1176"/>
    <w:uiPriority w:val="99"/>
    <w:qFormat/>
    <w:pPr>
      <w:jc w:val="left"/>
      <w:tabs>
        <w:tab w:val="center" w:pos="4153" w:leader="none"/>
        <w:tab w:val="right" w:pos="8306" w:leader="none"/>
      </w:tabs>
    </w:pPr>
    <w:rPr>
      <w:sz w:val="18"/>
      <w:szCs w:val="18"/>
    </w:rPr>
  </w:style>
  <w:style w:type="paragraph" w:styleId="1072">
    <w:name w:val="envelope return"/>
    <w:basedOn w:val="1040"/>
    <w:uiPriority w:val="0"/>
    <w:qFormat/>
    <w:rPr>
      <w:rFonts w:ascii="Arial" w:hAnsi="Arial"/>
    </w:rPr>
  </w:style>
  <w:style w:type="paragraph" w:styleId="1073">
    <w:name w:val="Header"/>
    <w:basedOn w:val="1040"/>
    <w:link w:val="1131"/>
    <w:uiPriority w:val="0"/>
    <w:qFormat/>
    <w:pPr>
      <w:jc w:val="center"/>
      <w:tabs>
        <w:tab w:val="center" w:pos="4153" w:leader="none"/>
        <w:tab w:val="right" w:pos="8306" w:leader="none"/>
      </w:tabs>
      <w:pBdr>
        <w:bottom w:val="single" w:color="auto" w:sz="6" w:space="1"/>
      </w:pBdr>
    </w:pPr>
    <w:rPr>
      <w:sz w:val="18"/>
      <w:szCs w:val="18"/>
    </w:rPr>
  </w:style>
  <w:style w:type="paragraph" w:styleId="1074">
    <w:name w:val="toc 1"/>
    <w:basedOn w:val="1040"/>
    <w:next w:val="1040"/>
    <w:uiPriority w:val="39"/>
    <w:qFormat/>
  </w:style>
  <w:style w:type="paragraph" w:styleId="1075">
    <w:name w:val="toc 4"/>
    <w:basedOn w:val="1040"/>
    <w:next w:val="1040"/>
    <w:uiPriority w:val="39"/>
    <w:unhideWhenUsed/>
    <w:qFormat/>
    <w:pPr>
      <w:ind w:left="1260"/>
    </w:pPr>
    <w:rPr>
      <w:rFonts w:ascii="Calibri" w:hAnsi="Calibri"/>
      <w:szCs w:val="22"/>
    </w:rPr>
  </w:style>
  <w:style w:type="paragraph" w:styleId="1076">
    <w:name w:val="Subtitle"/>
    <w:basedOn w:val="1040"/>
    <w:next w:val="1040"/>
    <w:link w:val="1159"/>
    <w:uiPriority w:val="0"/>
    <w:qFormat/>
    <w:pPr>
      <w:jc w:val="center"/>
      <w:spacing w:before="240" w:after="60" w:line="312" w:lineRule="auto"/>
      <w:outlineLvl w:val="1"/>
    </w:pPr>
    <w:rPr>
      <w:rFonts w:ascii="Cambria" w:hAnsi="Cambria"/>
      <w:b/>
      <w:bCs/>
      <w:sz w:val="32"/>
      <w:szCs w:val="32"/>
    </w:rPr>
  </w:style>
  <w:style w:type="paragraph" w:styleId="1077">
    <w:name w:val="toc 6"/>
    <w:basedOn w:val="1040"/>
    <w:next w:val="1040"/>
    <w:uiPriority w:val="39"/>
    <w:unhideWhenUsed/>
    <w:qFormat/>
    <w:pPr>
      <w:ind w:left="2100"/>
    </w:pPr>
    <w:rPr>
      <w:rFonts w:ascii="Calibri" w:hAnsi="Calibri"/>
      <w:szCs w:val="22"/>
    </w:rPr>
  </w:style>
  <w:style w:type="paragraph" w:styleId="1078">
    <w:name w:val="Body Text Indent 3"/>
    <w:basedOn w:val="1040"/>
    <w:link w:val="1184"/>
    <w:uiPriority w:val="0"/>
    <w:qFormat/>
    <w:pPr>
      <w:ind w:left="420"/>
      <w:spacing w:after="120"/>
    </w:pPr>
    <w:rPr>
      <w:sz w:val="16"/>
      <w:szCs w:val="20"/>
    </w:rPr>
  </w:style>
  <w:style w:type="paragraph" w:styleId="1079">
    <w:name w:val="toc 2"/>
    <w:basedOn w:val="1040"/>
    <w:next w:val="1040"/>
    <w:uiPriority w:val="39"/>
    <w:qFormat/>
    <w:pPr>
      <w:ind w:left="420"/>
    </w:pPr>
    <w:rPr>
      <w:rFonts w:ascii="Calibri" w:hAnsi="Calibri"/>
      <w:szCs w:val="22"/>
    </w:rPr>
  </w:style>
  <w:style w:type="paragraph" w:styleId="1080">
    <w:name w:val="toc 9"/>
    <w:basedOn w:val="1040"/>
    <w:next w:val="1040"/>
    <w:uiPriority w:val="39"/>
    <w:unhideWhenUsed/>
    <w:qFormat/>
    <w:pPr>
      <w:ind w:left="3360"/>
    </w:pPr>
    <w:rPr>
      <w:rFonts w:ascii="Calibri" w:hAnsi="Calibri"/>
      <w:szCs w:val="22"/>
    </w:rPr>
  </w:style>
  <w:style w:type="paragraph" w:styleId="1081">
    <w:name w:val="HTML Preformatted"/>
    <w:basedOn w:val="1040"/>
    <w:link w:val="12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2">
    <w:name w:val="Normal (Web)"/>
    <w:basedOn w:val="1040"/>
    <w:uiPriority w:val="0"/>
    <w:qFormat/>
    <w:pPr>
      <w:jc w:val="left"/>
      <w:spacing w:before="100" w:beforeAutospacing="1" w:after="100" w:afterAutospacing="1"/>
      <w:widowControl/>
    </w:pPr>
    <w:rPr>
      <w:rFonts w:ascii="宋体" w:hAnsi="宋体" w:cs="宋体"/>
      <w:sz w:val="24"/>
    </w:rPr>
  </w:style>
  <w:style w:type="paragraph" w:styleId="1083">
    <w:name w:val="index 1"/>
    <w:basedOn w:val="1040"/>
    <w:next w:val="1040"/>
    <w:uiPriority w:val="0"/>
    <w:qFormat/>
    <w:pPr>
      <w:jc w:val="center"/>
      <w:spacing w:line="220" w:lineRule="exact"/>
    </w:pPr>
    <w:rPr>
      <w:rFonts w:ascii="仿宋_GB2312" w:hAnsi="Calibri" w:eastAsia="仿宋_GB2312"/>
      <w:szCs w:val="22"/>
    </w:rPr>
  </w:style>
  <w:style w:type="paragraph" w:styleId="1084">
    <w:name w:val="Title"/>
    <w:basedOn w:val="1040"/>
    <w:link w:val="1136"/>
    <w:uiPriority w:val="0"/>
    <w:qFormat/>
    <w:pPr>
      <w:jc w:val="center"/>
      <w:spacing w:before="240" w:after="60" w:line="420" w:lineRule="atLeast"/>
      <w:outlineLvl w:val="0"/>
    </w:pPr>
    <w:rPr>
      <w:rFonts w:ascii="Arial" w:hAnsi="Arial"/>
      <w:b/>
      <w:sz w:val="32"/>
      <w:szCs w:val="20"/>
    </w:rPr>
  </w:style>
  <w:style w:type="paragraph" w:styleId="1085">
    <w:name w:val="annotation subject"/>
    <w:basedOn w:val="1058"/>
    <w:next w:val="1058"/>
    <w:link w:val="1174"/>
    <w:uiPriority w:val="0"/>
    <w:qFormat/>
    <w:rPr>
      <w:b/>
      <w:bCs/>
    </w:rPr>
  </w:style>
  <w:style w:type="paragraph" w:styleId="1086">
    <w:name w:val="Body Text First Indent"/>
    <w:basedOn w:val="1060"/>
    <w:uiPriority w:val="99"/>
    <w:unhideWhenUsed/>
    <w:qFormat/>
    <w:pPr>
      <w:ind w:firstLine="426"/>
      <w:spacing w:line="400" w:lineRule="atLeast"/>
    </w:pPr>
    <w:rPr>
      <w:sz w:val="24"/>
      <w:szCs w:val="20"/>
    </w:rPr>
  </w:style>
  <w:style w:type="paragraph" w:styleId="1087">
    <w:name w:val="Body Text First Indent 2"/>
    <w:basedOn w:val="1061"/>
    <w:uiPriority w:val="99"/>
    <w:unhideWhenUsed/>
    <w:qFormat/>
    <w:pPr>
      <w:ind w:firstLine="420"/>
    </w:pPr>
  </w:style>
  <w:style w:type="table" w:styleId="1088">
    <w:name w:val="Table Grid"/>
    <w:basedOn w:val="10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basedOn w:val="1050"/>
    <w:uiPriority w:val="0"/>
    <w:qFormat/>
    <w:rPr>
      <w:rFonts w:cs="Times New Roman"/>
      <w:b/>
    </w:rPr>
  </w:style>
  <w:style w:type="character" w:styleId="1090">
    <w:name w:val="page number"/>
    <w:uiPriority w:val="0"/>
    <w:qFormat/>
    <w:rPr>
      <w:rFonts w:eastAsia="宋体"/>
      <w:b/>
      <w:spacing w:val="0"/>
      <w:sz w:val="24"/>
      <w:szCs w:val="24"/>
      <w:vertAlign w:val="baseline"/>
      <w:lang w:val="en-US" w:eastAsia="zh-CN" w:bidi="ar-SA"/>
    </w:rPr>
  </w:style>
  <w:style w:type="character" w:styleId="1091">
    <w:name w:val="FollowedHyperlink"/>
    <w:uiPriority w:val="0"/>
    <w:qFormat/>
    <w:rPr>
      <w:color w:val="800080"/>
      <w:u w:val="single"/>
    </w:rPr>
  </w:style>
  <w:style w:type="character" w:styleId="1092">
    <w:name w:val="Emphasis"/>
    <w:basedOn w:val="1050"/>
    <w:uiPriority w:val="0"/>
    <w:qFormat/>
    <w:rPr>
      <w:color w:val="cc0000"/>
    </w:rPr>
  </w:style>
  <w:style w:type="character" w:styleId="1093">
    <w:name w:val="Hyperlink"/>
    <w:uiPriority w:val="99"/>
    <w:qFormat/>
    <w:rPr>
      <w:color w:val="0000ff"/>
      <w:u w:val="single"/>
    </w:rPr>
  </w:style>
  <w:style w:type="character" w:styleId="1094">
    <w:name w:val="annotation reference"/>
    <w:uiPriority w:val="0"/>
    <w:qFormat/>
    <w:rPr>
      <w:sz w:val="21"/>
      <w:szCs w:val="21"/>
    </w:rPr>
  </w:style>
  <w:style w:type="character" w:styleId="1095">
    <w:name w:val="HTML Cite"/>
    <w:uiPriority w:val="0"/>
    <w:qFormat/>
    <w:rPr>
      <w:color w:val="008000"/>
    </w:rPr>
  </w:style>
  <w:style w:type="paragraph" w:styleId="1096" w:customStyle="1">
    <w:name w:val="一级条标题"/>
    <w:basedOn w:val="1097"/>
    <w:next w:val="10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7" w:customStyle="1">
    <w:name w:val="章标题"/>
    <w:next w:val="104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8" w:customStyle="1">
    <w:name w:val="段"/>
    <w:basedOn w:val="1099"/>
    <w:next w:val="1040"/>
    <w:uiPriority w:val="0"/>
    <w:qFormat/>
    <w:pPr>
      <w:ind w:firstLine="200"/>
      <w:widowControl/>
    </w:pPr>
    <w:rPr>
      <w:rFonts w:hint="eastAsia" w:ascii="宋体"/>
    </w:rPr>
  </w:style>
  <w:style w:type="paragraph" w:styleId="1099" w:customStyle="1">
    <w:name w:val="正文1"/>
    <w:next w:val="1100"/>
    <w:uiPriority w:val="0"/>
    <w:qFormat/>
    <w:pPr>
      <w:jc w:val="both"/>
      <w:widowControl w:val="off"/>
    </w:pPr>
    <w:rPr>
      <w:rFonts w:ascii="Calibri" w:hAnsi="Calibri" w:eastAsia="宋体" w:cs="Times New Roman"/>
      <w:lang w:val="en-US" w:eastAsia="zh-CN" w:bidi="ar-SA"/>
    </w:rPr>
  </w:style>
  <w:style w:type="paragraph" w:styleId="1100" w:customStyle="1">
    <w:name w:val="正文文本1"/>
    <w:basedOn w:val="1101"/>
    <w:next w:val="1096"/>
    <w:uiPriority w:val="0"/>
    <w:qFormat/>
    <w:rPr>
      <w:rFonts w:ascii="楷体_GB2312" w:hAnsi="Arial" w:eastAsia="楷体_GB2312"/>
      <w:sz w:val="28"/>
      <w:szCs w:val="28"/>
    </w:rPr>
  </w:style>
  <w:style w:type="paragraph" w:styleId="1101" w:customStyle="1">
    <w:name w:val="正文111"/>
    <w:next w:val="1102"/>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正文文本缩进1"/>
    <w:basedOn w:val="1103"/>
    <w:next w:val="1106"/>
    <w:uiPriority w:val="0"/>
    <w:qFormat/>
    <w:pPr>
      <w:ind w:left="420"/>
      <w:spacing w:after="120"/>
    </w:pPr>
  </w:style>
  <w:style w:type="paragraph" w:styleId="1103" w:customStyle="1">
    <w:name w:val="正文11"/>
    <w:next w:val="1104"/>
    <w:uiPriority w:val="0"/>
    <w:qFormat/>
    <w:rPr>
      <w:rFonts w:ascii="Calibri" w:hAnsi="Calibri" w:eastAsia="宋体" w:cs="Calibri"/>
      <w:sz w:val="24"/>
      <w:szCs w:val="24"/>
      <w:lang w:val="en-US" w:eastAsia="zh-CN" w:bidi="ar-SA"/>
    </w:rPr>
  </w:style>
  <w:style w:type="paragraph" w:styleId="1104" w:customStyle="1">
    <w:name w:val="文本块1"/>
    <w:basedOn w:val="1101"/>
    <w:next w:val="1105"/>
    <w:uiPriority w:val="0"/>
    <w:qFormat/>
    <w:pPr>
      <w:ind w:left="256" w:right="6" w:firstLine="624"/>
    </w:pPr>
    <w:rPr>
      <w:rFonts w:eastAsia="仿宋_GB2312"/>
      <w:sz w:val="28"/>
    </w:rPr>
  </w:style>
  <w:style w:type="paragraph" w:styleId="1105" w:customStyle="1">
    <w:name w:val="标题 41"/>
    <w:basedOn w:val="1103"/>
    <w:next w:val="1103"/>
    <w:uiPriority w:val="0"/>
    <w:qFormat/>
    <w:pPr>
      <w:keepLines/>
      <w:keepNext/>
      <w:spacing w:before="280" w:after="290" w:line="376" w:lineRule="auto"/>
      <w:outlineLvl w:val="3"/>
    </w:pPr>
    <w:rPr>
      <w:rFonts w:ascii="Cambria" w:hAnsi="Cambria"/>
      <w:b/>
      <w:bCs/>
      <w:sz w:val="28"/>
      <w:szCs w:val="28"/>
    </w:rPr>
  </w:style>
  <w:style w:type="paragraph" w:styleId="1106" w:customStyle="1">
    <w:name w:val="寄信人地址1"/>
    <w:basedOn w:val="1040"/>
    <w:uiPriority w:val="0"/>
    <w:qFormat/>
    <w:rPr>
      <w:rFonts w:ascii="Arial" w:hAnsi="Arial"/>
    </w:rPr>
  </w:style>
  <w:style w:type="paragraph" w:styleId="11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Body Text First Indent 21"/>
    <w:basedOn w:val="1110"/>
    <w:uiPriority w:val="0"/>
    <w:qFormat/>
    <w:pPr>
      <w:ind w:firstLine="420"/>
    </w:pPr>
  </w:style>
  <w:style w:type="paragraph" w:styleId="1110" w:customStyle="1">
    <w:name w:val="Body Text Indent1"/>
    <w:basedOn w:val="1040"/>
    <w:uiPriority w:val="0"/>
    <w:qFormat/>
    <w:pPr>
      <w:ind w:left="420"/>
    </w:pPr>
  </w:style>
  <w:style w:type="paragraph" w:styleId="1111">
    <w:name w:val="List Paragraph"/>
    <w:basedOn w:val="1040"/>
    <w:link w:val="1291"/>
    <w:uiPriority w:val="99"/>
    <w:qFormat/>
    <w:pPr>
      <w:ind w:firstLine="420"/>
    </w:pPr>
  </w:style>
  <w:style w:type="character" w:styleId="1112" w:customStyle="1">
    <w:name w:val="明显强调1"/>
    <w:uiPriority w:val="0"/>
    <w:qFormat/>
    <w:rPr>
      <w:b/>
      <w:bCs/>
      <w:i/>
      <w:iCs/>
      <w:color w:val="4f81bd"/>
    </w:rPr>
  </w:style>
  <w:style w:type="character" w:styleId="1113" w:customStyle="1">
    <w:name w:val="批注文字 Char2"/>
    <w:uiPriority w:val="0"/>
    <w:qFormat/>
    <w:rPr>
      <w:sz w:val="21"/>
    </w:rPr>
  </w:style>
  <w:style w:type="character" w:styleId="1114" w:customStyle="1">
    <w:name w:val="标题 3 Char_0"/>
    <w:link w:val="1115"/>
    <w:uiPriority w:val="0"/>
    <w:qFormat/>
    <w:rPr>
      <w:b/>
      <w:bCs/>
      <w:sz w:val="32"/>
      <w:szCs w:val="32"/>
    </w:rPr>
  </w:style>
  <w:style w:type="paragraph" w:styleId="1115" w:customStyle="1">
    <w:name w:val="标题 3_0"/>
    <w:basedOn w:val="1116"/>
    <w:next w:val="1116"/>
    <w:link w:val="1114"/>
    <w:uiPriority w:val="0"/>
    <w:qFormat/>
    <w:pPr>
      <w:keepLines/>
      <w:keepNext/>
      <w:spacing w:before="260" w:after="260" w:line="416" w:lineRule="auto"/>
      <w:outlineLvl w:val="2"/>
    </w:pPr>
    <w:rPr>
      <w:b/>
      <w:bCs/>
      <w:sz w:val="32"/>
      <w:szCs w:val="32"/>
    </w:rPr>
  </w:style>
  <w:style w:type="paragraph" w:styleId="111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7" w:customStyle="1">
    <w:name w:val="标题 2 字符"/>
    <w:link w:val="1042"/>
    <w:uiPriority w:val="0"/>
    <w:qFormat/>
    <w:rPr>
      <w:rFonts w:ascii="Cambria" w:hAnsi="Cambria"/>
      <w:b/>
      <w:bCs/>
      <w:sz w:val="32"/>
      <w:szCs w:val="32"/>
    </w:rPr>
  </w:style>
  <w:style w:type="character" w:styleId="1118" w:customStyle="1">
    <w:name w:val="正文文本 Char2"/>
    <w:uiPriority w:val="99"/>
    <w:semiHidden/>
    <w:qFormat/>
    <w:rPr>
      <w:rFonts w:ascii="Calibri" w:hAnsi="Calibri" w:eastAsia="宋体" w:cs="Times New Roman"/>
    </w:rPr>
  </w:style>
  <w:style w:type="character" w:styleId="1119" w:customStyle="1">
    <w:name w:val="页脚 Char1"/>
    <w:uiPriority w:val="99"/>
    <w:semiHidden/>
    <w:qFormat/>
    <w:rPr>
      <w:rFonts w:ascii="Calibri" w:hAnsi="Calibri" w:eastAsia="宋体" w:cs="Times New Roman"/>
      <w:sz w:val="18"/>
      <w:szCs w:val="18"/>
    </w:rPr>
  </w:style>
  <w:style w:type="character" w:styleId="1120" w:customStyle="1">
    <w:name w:val="明显引用 Char2"/>
    <w:uiPriority w:val="99"/>
    <w:qFormat/>
    <w:rPr>
      <w:b/>
      <w:bCs/>
      <w:i/>
      <w:iCs/>
      <w:color w:val="4f81bd"/>
      <w:sz w:val="21"/>
      <w:szCs w:val="24"/>
    </w:rPr>
  </w:style>
  <w:style w:type="character" w:styleId="1121" w:customStyle="1">
    <w:name w:val="引用 Char"/>
    <w:link w:val="1122"/>
    <w:uiPriority w:val="0"/>
    <w:qFormat/>
    <w:rPr>
      <w:i/>
      <w:iCs/>
      <w:color w:val="000000"/>
    </w:rPr>
  </w:style>
  <w:style w:type="paragraph" w:styleId="1122" w:customStyle="1">
    <w:name w:val="引用1"/>
    <w:basedOn w:val="1040"/>
    <w:next w:val="1040"/>
    <w:link w:val="1121"/>
    <w:uiPriority w:val="0"/>
    <w:qFormat/>
    <w:rPr>
      <w:i/>
      <w:iCs/>
      <w:color w:val="000000"/>
      <w:sz w:val="20"/>
      <w:szCs w:val="20"/>
    </w:rPr>
  </w:style>
  <w:style w:type="character" w:styleId="1123" w:customStyle="1">
    <w:name w:val="标题 1 Char_0"/>
    <w:link w:val="1124"/>
    <w:uiPriority w:val="0"/>
    <w:qFormat/>
    <w:rPr>
      <w:b/>
      <w:bCs/>
      <w:sz w:val="44"/>
      <w:szCs w:val="44"/>
    </w:rPr>
  </w:style>
  <w:style w:type="paragraph" w:styleId="1124" w:customStyle="1">
    <w:name w:val="标题 1_0"/>
    <w:basedOn w:val="1116"/>
    <w:next w:val="1116"/>
    <w:link w:val="1123"/>
    <w:uiPriority w:val="0"/>
    <w:qFormat/>
    <w:pPr>
      <w:keepLines/>
      <w:keepNext/>
      <w:spacing w:before="340" w:after="330" w:line="578" w:lineRule="auto"/>
      <w:outlineLvl w:val="0"/>
    </w:pPr>
    <w:rPr>
      <w:b/>
      <w:bCs/>
      <w:sz w:val="44"/>
      <w:szCs w:val="44"/>
    </w:rPr>
  </w:style>
  <w:style w:type="character" w:styleId="1125" w:customStyle="1">
    <w:name w:val="正文文本缩进 3 Char1"/>
    <w:uiPriority w:val="99"/>
    <w:semiHidden/>
    <w:qFormat/>
    <w:rPr>
      <w:sz w:val="16"/>
      <w:szCs w:val="16"/>
    </w:rPr>
  </w:style>
  <w:style w:type="character" w:styleId="1126" w:customStyle="1">
    <w:name w:val="引用 Char1"/>
    <w:uiPriority w:val="29"/>
    <w:qFormat/>
    <w:rPr>
      <w:i/>
      <w:iCs/>
      <w:color w:val="000000"/>
      <w:sz w:val="21"/>
    </w:rPr>
  </w:style>
  <w:style w:type="character" w:styleId="1127" w:customStyle="1">
    <w:name w:val="正文文本缩进 字符"/>
    <w:link w:val="1061"/>
    <w:uiPriority w:val="0"/>
    <w:qFormat/>
    <w:rPr>
      <w:sz w:val="21"/>
      <w:szCs w:val="24"/>
    </w:rPr>
  </w:style>
  <w:style w:type="character" w:styleId="1128" w:customStyle="1">
    <w:name w:val="font161"/>
    <w:uiPriority w:val="0"/>
    <w:qFormat/>
    <w:rPr>
      <w:b/>
      <w:sz w:val="32"/>
    </w:rPr>
  </w:style>
  <w:style w:type="character" w:styleId="1129" w:customStyle="1">
    <w:name w:val="标题 4 Char_0"/>
    <w:link w:val="1130"/>
    <w:uiPriority w:val="0"/>
    <w:qFormat/>
    <w:rPr>
      <w:rFonts w:ascii="Arial" w:hAnsi="Arial" w:eastAsia="黑体"/>
      <w:b/>
      <w:bCs/>
      <w:sz w:val="28"/>
      <w:szCs w:val="28"/>
    </w:rPr>
  </w:style>
  <w:style w:type="paragraph" w:styleId="1130" w:customStyle="1">
    <w:name w:val="标题 4_0"/>
    <w:basedOn w:val="1116"/>
    <w:next w:val="1116"/>
    <w:link w:val="1129"/>
    <w:uiPriority w:val="0"/>
    <w:qFormat/>
    <w:pPr>
      <w:keepLines/>
      <w:keepNext/>
      <w:spacing w:before="280" w:after="290" w:line="376" w:lineRule="auto"/>
      <w:outlineLvl w:val="3"/>
    </w:pPr>
    <w:rPr>
      <w:rFonts w:ascii="Arial" w:hAnsi="Arial" w:eastAsia="黑体"/>
      <w:b/>
      <w:bCs/>
      <w:sz w:val="28"/>
      <w:szCs w:val="28"/>
    </w:rPr>
  </w:style>
  <w:style w:type="character" w:styleId="1131" w:customStyle="1">
    <w:name w:val="页眉 字符"/>
    <w:link w:val="1073"/>
    <w:uiPriority w:val="0"/>
    <w:qFormat/>
    <w:rPr>
      <w:sz w:val="18"/>
      <w:szCs w:val="18"/>
    </w:rPr>
  </w:style>
  <w:style w:type="character" w:styleId="1132" w:customStyle="1">
    <w:name w:val="标题 6 字符"/>
    <w:link w:val="1046"/>
    <w:uiPriority w:val="0"/>
    <w:qFormat/>
    <w:rPr>
      <w:rFonts w:ascii="Cambria" w:hAnsi="Cambria"/>
      <w:b/>
      <w:bCs/>
      <w:sz w:val="24"/>
      <w:szCs w:val="24"/>
    </w:rPr>
  </w:style>
  <w:style w:type="character" w:styleId="1133" w:customStyle="1">
    <w:name w:val="纯文本 字符"/>
    <w:link w:val="1066"/>
    <w:uiPriority w:val="99"/>
    <w:qFormat/>
    <w:rPr>
      <w:rFonts w:ascii="Ari"/>
      <w:lang w:val="en-US" w:eastAsia="zh-CN" w:bidi="ar-SA"/>
    </w:rPr>
  </w:style>
  <w:style w:type="character" w:styleId="1134" w:customStyle="1">
    <w:name w:val="引用 Char2"/>
    <w:uiPriority w:val="99"/>
    <w:qFormat/>
    <w:rPr>
      <w:i/>
      <w:iCs/>
      <w:color w:val="000000"/>
      <w:sz w:val="21"/>
      <w:szCs w:val="24"/>
    </w:rPr>
  </w:style>
  <w:style w:type="character" w:styleId="1135" w:customStyle="1">
    <w:name w:val="rvts11"/>
    <w:uiPriority w:val="0"/>
    <w:qFormat/>
    <w:rPr>
      <w:rFonts w:hint="default" w:ascii="KNLe" w:hAnsi="KNLe"/>
      <w:sz w:val="24"/>
      <w:szCs w:val="24"/>
      <w:u w:val="single"/>
    </w:rPr>
  </w:style>
  <w:style w:type="character" w:styleId="1136" w:customStyle="1">
    <w:name w:val="标题 字符"/>
    <w:link w:val="1084"/>
    <w:uiPriority w:val="0"/>
    <w:qFormat/>
    <w:rPr>
      <w:rFonts w:ascii="Arial" w:hAnsi="Arial"/>
      <w:b/>
      <w:sz w:val="32"/>
    </w:rPr>
  </w:style>
  <w:style w:type="character" w:styleId="1137" w:customStyle="1">
    <w:name w:val="标题5 Char Char"/>
    <w:link w:val="1138"/>
    <w:uiPriority w:val="0"/>
    <w:qFormat/>
    <w:rPr>
      <w:rFonts w:ascii="Arial" w:hAnsi="Arial"/>
      <w:b/>
      <w:bCs/>
      <w:sz w:val="24"/>
      <w:szCs w:val="32"/>
    </w:rPr>
  </w:style>
  <w:style w:type="paragraph" w:styleId="1138" w:customStyle="1">
    <w:name w:val="标题5"/>
    <w:basedOn w:val="1043"/>
    <w:link w:val="1137"/>
    <w:uiPriority w:val="0"/>
    <w:qFormat/>
    <w:pPr>
      <w:numPr>
        <w:ilvl w:val="0"/>
        <w:numId w:val="0"/>
      </w:numPr>
      <w:spacing w:line="413" w:lineRule="auto"/>
    </w:pPr>
    <w:rPr>
      <w:rFonts w:ascii="Arial" w:hAnsi="Arial"/>
      <w:sz w:val="24"/>
    </w:rPr>
  </w:style>
  <w:style w:type="character" w:styleId="1139" w:customStyle="1">
    <w:name w:val="副标题 Char2"/>
    <w:uiPriority w:val="11"/>
    <w:qFormat/>
    <w:rPr>
      <w:rFonts w:ascii="Cambria" w:hAnsi="Cambria" w:cs="Times New Roman"/>
      <w:b/>
      <w:bCs/>
      <w:sz w:val="32"/>
      <w:szCs w:val="32"/>
    </w:rPr>
  </w:style>
  <w:style w:type="character" w:styleId="1140" w:customStyle="1">
    <w:name w:val="文档结构图 字符"/>
    <w:link w:val="1057"/>
    <w:uiPriority w:val="0"/>
    <w:qFormat/>
    <w:rPr>
      <w:rFonts w:ascii="宋体"/>
      <w:sz w:val="18"/>
      <w:szCs w:val="18"/>
    </w:rPr>
  </w:style>
  <w:style w:type="character" w:styleId="1141" w:customStyle="1">
    <w:name w:val="日期 字符"/>
    <w:link w:val="1068"/>
    <w:uiPriority w:val="0"/>
    <w:qFormat/>
    <w:rPr>
      <w:sz w:val="21"/>
      <w:szCs w:val="24"/>
    </w:rPr>
  </w:style>
  <w:style w:type="character" w:styleId="1142" w:customStyle="1">
    <w:name w:val="批注主题 Char1"/>
    <w:uiPriority w:val="0"/>
    <w:qFormat/>
    <w:rPr>
      <w:b/>
      <w:bCs/>
      <w:sz w:val="21"/>
      <w:szCs w:val="22"/>
    </w:rPr>
  </w:style>
  <w:style w:type="character" w:styleId="1143" w:customStyle="1">
    <w:name w:val="font31"/>
    <w:uiPriority w:val="0"/>
    <w:qFormat/>
    <w:rPr>
      <w:rFonts w:hint="eastAsia" w:ascii="宋体" w:hAnsi="宋体" w:eastAsia="宋体" w:cs="宋体"/>
      <w:color w:val="000000"/>
      <w:sz w:val="20"/>
      <w:szCs w:val="20"/>
      <w:u w:val="none"/>
    </w:rPr>
  </w:style>
  <w:style w:type="character" w:styleId="1144" w:customStyle="1">
    <w:name w:val="明显引用 Char"/>
    <w:link w:val="1145"/>
    <w:uiPriority w:val="0"/>
    <w:qFormat/>
    <w:rPr>
      <w:b/>
      <w:bCs/>
      <w:i/>
      <w:iCs/>
      <w:color w:val="4f81bd"/>
    </w:rPr>
  </w:style>
  <w:style w:type="paragraph" w:styleId="1145" w:customStyle="1">
    <w:name w:val="明显引用1"/>
    <w:basedOn w:val="1040"/>
    <w:next w:val="1040"/>
    <w:link w:val="1144"/>
    <w:uiPriority w:val="0"/>
    <w:qFormat/>
    <w:pPr>
      <w:ind w:left="936" w:right="936"/>
      <w:spacing w:before="200" w:after="280"/>
      <w:pBdr>
        <w:bottom w:val="single" w:color="4F81BD" w:sz="4" w:space="4"/>
      </w:pBdr>
    </w:pPr>
    <w:rPr>
      <w:b/>
      <w:bCs/>
      <w:i/>
      <w:iCs/>
      <w:color w:val="4f81bd"/>
      <w:sz w:val="20"/>
      <w:szCs w:val="20"/>
    </w:rPr>
  </w:style>
  <w:style w:type="character" w:styleId="1146" w:customStyle="1">
    <w:name w:val="标题 5 字符"/>
    <w:link w:val="1045"/>
    <w:uiPriority w:val="0"/>
    <w:qFormat/>
    <w:rPr>
      <w:b/>
      <w:bCs/>
      <w:sz w:val="28"/>
      <w:szCs w:val="28"/>
    </w:rPr>
  </w:style>
  <w:style w:type="character" w:styleId="1147" w:customStyle="1">
    <w:name w:val="日期 Char1"/>
    <w:uiPriority w:val="0"/>
    <w:qFormat/>
    <w:rPr>
      <w:rFonts w:ascii="Calibri" w:hAnsi="Calibri" w:eastAsia="宋体" w:cs="Times New Roman"/>
    </w:rPr>
  </w:style>
  <w:style w:type="character" w:styleId="1148" w:customStyle="1">
    <w:name w:val="批注框文本 Char1"/>
    <w:uiPriority w:val="0"/>
    <w:qFormat/>
    <w:rPr>
      <w:sz w:val="18"/>
      <w:szCs w:val="18"/>
    </w:rPr>
  </w:style>
  <w:style w:type="character" w:styleId="1149" w:customStyle="1">
    <w:name w:val="标题 Char1"/>
    <w:uiPriority w:val="10"/>
    <w:qFormat/>
    <w:rPr>
      <w:rFonts w:ascii="Cambria" w:hAnsi="Cambria" w:eastAsia="宋体" w:cs="Times New Roman"/>
      <w:b/>
      <w:bCs/>
      <w:sz w:val="32"/>
      <w:szCs w:val="32"/>
    </w:rPr>
  </w:style>
  <w:style w:type="character" w:styleId="1150" w:customStyle="1">
    <w:name w:val="标题 9 字符"/>
    <w:link w:val="1049"/>
    <w:uiPriority w:val="0"/>
    <w:qFormat/>
    <w:rPr>
      <w:rFonts w:ascii="Cambria" w:hAnsi="Cambria"/>
      <w:sz w:val="21"/>
      <w:szCs w:val="21"/>
    </w:rPr>
  </w:style>
  <w:style w:type="character" w:styleId="1151" w:customStyle="1">
    <w:name w:val="不明显参考1"/>
    <w:uiPriority w:val="0"/>
    <w:qFormat/>
    <w:rPr>
      <w:smallCaps/>
      <w:color w:val="c0504d"/>
      <w:u w:val="single"/>
    </w:rPr>
  </w:style>
  <w:style w:type="character" w:styleId="1152" w:customStyle="1">
    <w:name w:val="批注文字 Char1"/>
    <w:uiPriority w:val="0"/>
    <w:qFormat/>
    <w:rPr>
      <w:rFonts w:ascii="Calibri" w:hAnsi="Calibri" w:eastAsia="宋体" w:cs="Times New Roman"/>
    </w:rPr>
  </w:style>
  <w:style w:type="character" w:styleId="1153" w:customStyle="1">
    <w:name w:val="标题 Char2"/>
    <w:uiPriority w:val="10"/>
    <w:qFormat/>
    <w:rPr>
      <w:rFonts w:ascii="Cambria" w:hAnsi="Cambria" w:cs="Times New Roman"/>
      <w:b/>
      <w:bCs/>
      <w:sz w:val="32"/>
      <w:szCs w:val="32"/>
    </w:rPr>
  </w:style>
  <w:style w:type="character" w:styleId="1154" w:customStyle="1">
    <w:name w:val="正文文本 3 Char1"/>
    <w:uiPriority w:val="99"/>
    <w:semiHidden/>
    <w:qFormat/>
    <w:rPr>
      <w:sz w:val="16"/>
      <w:szCs w:val="16"/>
    </w:rPr>
  </w:style>
  <w:style w:type="character" w:styleId="1155" w:customStyle="1">
    <w:name w:val="批注主题 Char2"/>
    <w:uiPriority w:val="0"/>
    <w:qFormat/>
    <w:rPr>
      <w:b/>
      <w:bCs/>
      <w:sz w:val="21"/>
    </w:rPr>
  </w:style>
  <w:style w:type="character" w:styleId="1156" w:customStyle="1">
    <w:name w:val="标题 3 字符"/>
    <w:link w:val="1043"/>
    <w:uiPriority w:val="0"/>
    <w:qFormat/>
    <w:rPr>
      <w:b/>
      <w:bCs/>
      <w:sz w:val="32"/>
      <w:szCs w:val="32"/>
    </w:rPr>
  </w:style>
  <w:style w:type="character" w:styleId="1157" w:customStyle="1">
    <w:name w:val="正文文本 Char_0"/>
    <w:link w:val="1158"/>
    <w:uiPriority w:val="0"/>
    <w:qFormat/>
    <w:rPr>
      <w:szCs w:val="24"/>
    </w:rPr>
  </w:style>
  <w:style w:type="paragraph" w:styleId="1158" w:customStyle="1">
    <w:name w:val="正文文本_0"/>
    <w:basedOn w:val="1116"/>
    <w:link w:val="1157"/>
    <w:uiPriority w:val="0"/>
    <w:qFormat/>
    <w:pPr>
      <w:spacing w:after="120"/>
    </w:pPr>
    <w:rPr>
      <w:sz w:val="20"/>
    </w:rPr>
  </w:style>
  <w:style w:type="character" w:styleId="1159" w:customStyle="1">
    <w:name w:val="副标题 字符"/>
    <w:link w:val="1076"/>
    <w:uiPriority w:val="0"/>
    <w:qFormat/>
    <w:rPr>
      <w:rFonts w:ascii="Cambria" w:hAnsi="Cambria"/>
      <w:b/>
      <w:bCs/>
      <w:sz w:val="32"/>
      <w:szCs w:val="32"/>
    </w:rPr>
  </w:style>
  <w:style w:type="character" w:styleId="1160" w:customStyle="1">
    <w:name w:val="bookmark"/>
    <w:basedOn w:val="1050"/>
    <w:uiPriority w:val="0"/>
    <w:qFormat/>
  </w:style>
  <w:style w:type="character" w:styleId="1161" w:customStyle="1">
    <w:name w:val="标题 5 Char_0"/>
    <w:link w:val="1162"/>
    <w:uiPriority w:val="0"/>
    <w:qFormat/>
    <w:rPr>
      <w:rFonts w:ascii="Calibri" w:hAnsi="Calibri"/>
      <w:b/>
      <w:bCs/>
      <w:sz w:val="28"/>
      <w:szCs w:val="28"/>
    </w:rPr>
  </w:style>
  <w:style w:type="paragraph" w:styleId="1162" w:customStyle="1">
    <w:name w:val="标题 5_0"/>
    <w:basedOn w:val="1116"/>
    <w:next w:val="1116"/>
    <w:link w:val="1161"/>
    <w:uiPriority w:val="0"/>
    <w:qFormat/>
    <w:pPr>
      <w:keepLines/>
      <w:keepNext/>
      <w:spacing w:before="280" w:after="290" w:line="372" w:lineRule="auto"/>
      <w:outlineLvl w:val="4"/>
    </w:pPr>
    <w:rPr>
      <w:rFonts w:ascii="Calibri" w:hAnsi="Calibri"/>
      <w:b/>
      <w:bCs/>
      <w:sz w:val="28"/>
      <w:szCs w:val="28"/>
    </w:rPr>
  </w:style>
  <w:style w:type="character" w:styleId="1163" w:customStyle="1">
    <w:name w:val="正文文本缩进 2 字符"/>
    <w:link w:val="1069"/>
    <w:uiPriority w:val="99"/>
    <w:qFormat/>
    <w:rPr>
      <w:rFonts w:ascii="宋体"/>
    </w:rPr>
  </w:style>
  <w:style w:type="character" w:styleId="1164" w:customStyle="1">
    <w:name w:val="批注文字 字符"/>
    <w:link w:val="1058"/>
    <w:uiPriority w:val="0"/>
    <w:qFormat/>
    <w:rPr>
      <w:sz w:val="21"/>
      <w:szCs w:val="24"/>
    </w:rPr>
  </w:style>
  <w:style w:type="character" w:styleId="1165" w:customStyle="1">
    <w:name w:val="font11"/>
    <w:uiPriority w:val="0"/>
    <w:qFormat/>
    <w:rPr>
      <w:rFonts w:hint="eastAsia" w:ascii="宋体" w:hAnsi="宋体" w:eastAsia="宋体" w:cs="宋体"/>
      <w:color w:val="000000"/>
      <w:sz w:val="20"/>
      <w:szCs w:val="20"/>
      <w:u w:val="none"/>
    </w:rPr>
  </w:style>
  <w:style w:type="character" w:styleId="1166" w:customStyle="1">
    <w:name w:val="明显参考1"/>
    <w:uiPriority w:val="0"/>
    <w:qFormat/>
    <w:rPr>
      <w:b/>
      <w:bCs/>
      <w:smallCaps/>
      <w:color w:val="c0504d"/>
      <w:spacing w:val="5"/>
      <w:u w:val="single"/>
    </w:rPr>
  </w:style>
  <w:style w:type="character" w:styleId="1167" w:customStyle="1">
    <w:name w:val="超链接_0"/>
    <w:uiPriority w:val="99"/>
    <w:qFormat/>
    <w:rPr>
      <w:rFonts w:ascii="Calibri" w:hAnsi="Calibri"/>
      <w:color w:val="0000ff"/>
      <w:u w:val="single"/>
    </w:rPr>
  </w:style>
  <w:style w:type="character" w:styleId="1168" w:customStyle="1">
    <w:name w:val="文档结构图 Char2"/>
    <w:uiPriority w:val="99"/>
    <w:semiHidden/>
    <w:qFormat/>
    <w:rPr>
      <w:rFonts w:ascii="宋体" w:hAnsi="Calibri" w:eastAsia="宋体" w:cs="Times New Roman"/>
      <w:sz w:val="18"/>
      <w:szCs w:val="18"/>
    </w:rPr>
  </w:style>
  <w:style w:type="character" w:styleId="1169" w:customStyle="1">
    <w:name w:val="textcontents"/>
    <w:uiPriority w:val="0"/>
    <w:qFormat/>
    <w:rPr>
      <w:rFonts w:cs="Times New Roman"/>
    </w:rPr>
  </w:style>
  <w:style w:type="character" w:styleId="1170" w:customStyle="1">
    <w:name w:val="标题 1 Char"/>
    <w:uiPriority w:val="0"/>
    <w:qFormat/>
    <w:rPr>
      <w:b/>
      <w:bCs/>
      <w:sz w:val="32"/>
      <w:szCs w:val="44"/>
    </w:rPr>
  </w:style>
  <w:style w:type="character" w:styleId="1171" w:customStyle="1">
    <w:name w:val="正文文本 字符"/>
    <w:link w:val="1060"/>
    <w:uiPriority w:val="0"/>
    <w:qFormat/>
    <w:rPr>
      <w:rFonts w:eastAsia="幼圆"/>
      <w:b/>
      <w:bCs/>
      <w:sz w:val="44"/>
      <w:szCs w:val="24"/>
    </w:rPr>
  </w:style>
  <w:style w:type="character" w:styleId="1172" w:customStyle="1">
    <w:name w:val="标题 8 字符"/>
    <w:link w:val="1048"/>
    <w:uiPriority w:val="0"/>
    <w:qFormat/>
    <w:rPr>
      <w:rFonts w:ascii="Cambria" w:hAnsi="Cambria"/>
      <w:sz w:val="24"/>
      <w:szCs w:val="24"/>
    </w:rPr>
  </w:style>
  <w:style w:type="character" w:styleId="1173" w:customStyle="1">
    <w:name w:val="副标题 Char1"/>
    <w:uiPriority w:val="11"/>
    <w:qFormat/>
    <w:rPr>
      <w:rFonts w:ascii="Cambria" w:hAnsi="Cambria" w:cs="Times New Roman"/>
      <w:b/>
      <w:bCs/>
      <w:sz w:val="32"/>
      <w:szCs w:val="32"/>
    </w:rPr>
  </w:style>
  <w:style w:type="character" w:styleId="1174" w:customStyle="1">
    <w:name w:val="批注主题 字符"/>
    <w:link w:val="1085"/>
    <w:uiPriority w:val="0"/>
    <w:qFormat/>
    <w:rPr>
      <w:b/>
      <w:bCs/>
      <w:sz w:val="21"/>
      <w:szCs w:val="24"/>
    </w:rPr>
  </w:style>
  <w:style w:type="character" w:styleId="1175" w:customStyle="1">
    <w:name w:val="书籍标题1"/>
    <w:uiPriority w:val="0"/>
    <w:qFormat/>
    <w:rPr>
      <w:b/>
      <w:bCs/>
      <w:smallCaps/>
      <w:spacing w:val="5"/>
    </w:rPr>
  </w:style>
  <w:style w:type="character" w:styleId="1176" w:customStyle="1">
    <w:name w:val="页脚 字符"/>
    <w:link w:val="1071"/>
    <w:uiPriority w:val="99"/>
    <w:qFormat/>
    <w:rPr>
      <w:sz w:val="18"/>
      <w:szCs w:val="18"/>
    </w:rPr>
  </w:style>
  <w:style w:type="character" w:styleId="1177" w:customStyle="1">
    <w:name w:val="标题4 Char Char"/>
    <w:link w:val="1178"/>
    <w:uiPriority w:val="0"/>
    <w:qFormat/>
    <w:rPr>
      <w:rFonts w:ascii="Arial" w:hAnsi="Arial"/>
      <w:b/>
      <w:bCs/>
      <w:sz w:val="24"/>
      <w:szCs w:val="32"/>
    </w:rPr>
  </w:style>
  <w:style w:type="paragraph" w:styleId="1178" w:customStyle="1">
    <w:name w:val="标题4"/>
    <w:basedOn w:val="1042"/>
    <w:next w:val="1063"/>
    <w:link w:val="1177"/>
    <w:uiPriority w:val="0"/>
    <w:qFormat/>
    <w:pPr>
      <w:numPr>
        <w:ilvl w:val="0"/>
        <w:numId w:val="0"/>
      </w:numPr>
      <w:spacing w:line="413" w:lineRule="auto"/>
    </w:pPr>
    <w:rPr>
      <w:rFonts w:ascii="Arial" w:hAnsi="Arial"/>
      <w:sz w:val="24"/>
    </w:rPr>
  </w:style>
  <w:style w:type="character" w:styleId="1179" w:customStyle="1">
    <w:name w:val="正文文本 Char1"/>
    <w:uiPriority w:val="0"/>
    <w:qFormat/>
    <w:rPr>
      <w:rFonts w:ascii="Calibri" w:hAnsi="Calibri" w:eastAsia="宋体" w:cs="Times New Roman"/>
    </w:rPr>
  </w:style>
  <w:style w:type="character" w:styleId="1180" w:customStyle="1">
    <w:name w:val="明显引用 Char1"/>
    <w:uiPriority w:val="30"/>
    <w:qFormat/>
    <w:rPr>
      <w:b/>
      <w:bCs/>
      <w:i/>
      <w:iCs/>
      <w:color w:val="4f81bd"/>
      <w:sz w:val="21"/>
    </w:rPr>
  </w:style>
  <w:style w:type="character" w:styleId="1181" w:customStyle="1">
    <w:name w:val="页眉 Char1"/>
    <w:uiPriority w:val="99"/>
    <w:semiHidden/>
    <w:qFormat/>
    <w:rPr>
      <w:rFonts w:ascii="Calibri" w:hAnsi="Calibri" w:eastAsia="宋体" w:cs="Times New Roman"/>
      <w:sz w:val="18"/>
      <w:szCs w:val="18"/>
    </w:rPr>
  </w:style>
  <w:style w:type="character" w:styleId="1182" w:customStyle="1">
    <w:name w:val="不明显强调1"/>
    <w:uiPriority w:val="0"/>
    <w:qFormat/>
    <w:rPr>
      <w:i/>
      <w:iCs/>
      <w:color w:val="808080"/>
    </w:rPr>
  </w:style>
  <w:style w:type="character" w:styleId="1183" w:customStyle="1">
    <w:name w:val="正文文本 3 字符"/>
    <w:link w:val="1059"/>
    <w:uiPriority w:val="0"/>
    <w:qFormat/>
    <w:rPr>
      <w:rFonts w:ascii="宋体"/>
      <w:sz w:val="24"/>
    </w:rPr>
  </w:style>
  <w:style w:type="character" w:styleId="1184" w:customStyle="1">
    <w:name w:val="正文文本缩进 3 字符"/>
    <w:link w:val="1078"/>
    <w:uiPriority w:val="0"/>
    <w:qFormat/>
    <w:rPr>
      <w:sz w:val="16"/>
    </w:rPr>
  </w:style>
  <w:style w:type="character" w:styleId="1185" w:customStyle="1">
    <w:name w:val="font21"/>
    <w:uiPriority w:val="0"/>
    <w:qFormat/>
    <w:rPr>
      <w:rFonts w:hint="eastAsia" w:ascii="宋体" w:hAnsi="宋体" w:eastAsia="宋体" w:cs="宋体"/>
      <w:color w:val="000000"/>
      <w:sz w:val="20"/>
      <w:szCs w:val="20"/>
      <w:u w:val="none"/>
    </w:rPr>
  </w:style>
  <w:style w:type="character" w:styleId="1186" w:customStyle="1">
    <w:name w:val="批注框文本 字符"/>
    <w:link w:val="1070"/>
    <w:uiPriority w:val="0"/>
    <w:qFormat/>
    <w:rPr>
      <w:sz w:val="18"/>
      <w:szCs w:val="18"/>
    </w:rPr>
  </w:style>
  <w:style w:type="character" w:styleId="1187" w:customStyle="1">
    <w:name w:val="标题 7 字符"/>
    <w:link w:val="1047"/>
    <w:uiPriority w:val="0"/>
    <w:qFormat/>
    <w:rPr>
      <w:b/>
      <w:bCs/>
      <w:sz w:val="24"/>
      <w:szCs w:val="24"/>
    </w:rPr>
  </w:style>
  <w:style w:type="character" w:styleId="1188" w:customStyle="1">
    <w:name w:val="标题 1 字符"/>
    <w:link w:val="1041"/>
    <w:uiPriority w:val="0"/>
    <w:qFormat/>
    <w:rPr>
      <w:b/>
      <w:bCs/>
      <w:sz w:val="32"/>
      <w:szCs w:val="44"/>
    </w:rPr>
  </w:style>
  <w:style w:type="character" w:styleId="1189" w:customStyle="1">
    <w:name w:val="文档结构图 Char1"/>
    <w:uiPriority w:val="0"/>
    <w:qFormat/>
    <w:rPr>
      <w:rFonts w:ascii="宋体" w:hAnsi="Calibri" w:eastAsia="宋体" w:cs="Times New Roman"/>
      <w:sz w:val="18"/>
      <w:szCs w:val="18"/>
    </w:rPr>
  </w:style>
  <w:style w:type="character" w:styleId="1190" w:customStyle="1">
    <w:name w:val="标题 2 Char_0"/>
    <w:link w:val="1191"/>
    <w:uiPriority w:val="0"/>
    <w:qFormat/>
    <w:rPr>
      <w:rFonts w:ascii="Cambria" w:hAnsi="Cambria"/>
      <w:b/>
      <w:bCs/>
      <w:sz w:val="32"/>
      <w:szCs w:val="32"/>
    </w:rPr>
  </w:style>
  <w:style w:type="paragraph" w:styleId="1191" w:customStyle="1">
    <w:name w:val="标题 2_0"/>
    <w:basedOn w:val="1116"/>
    <w:next w:val="1116"/>
    <w:link w:val="1190"/>
    <w:uiPriority w:val="0"/>
    <w:unhideWhenUsed/>
    <w:qFormat/>
    <w:pPr>
      <w:keepLines/>
      <w:keepNext/>
      <w:spacing w:before="260" w:after="260" w:line="416" w:lineRule="auto"/>
      <w:outlineLvl w:val="1"/>
    </w:pPr>
    <w:rPr>
      <w:rFonts w:ascii="Cambria" w:hAnsi="Cambria"/>
      <w:b/>
      <w:bCs/>
      <w:sz w:val="32"/>
      <w:szCs w:val="32"/>
    </w:rPr>
  </w:style>
  <w:style w:type="character" w:styleId="1192" w:customStyle="1">
    <w:name w:val="日期 Char2"/>
    <w:uiPriority w:val="99"/>
    <w:semiHidden/>
    <w:qFormat/>
    <w:rPr>
      <w:rFonts w:ascii="Calibri" w:hAnsi="Calibri" w:eastAsia="宋体" w:cs="Times New Roman"/>
    </w:rPr>
  </w:style>
  <w:style w:type="character" w:styleId="1193" w:customStyle="1">
    <w:name w:val="批注框文本 Char2"/>
    <w:uiPriority w:val="99"/>
    <w:semiHidden/>
    <w:qFormat/>
    <w:rPr>
      <w:rFonts w:ascii="Calibri" w:hAnsi="Calibri" w:eastAsia="宋体" w:cs="Times New Roman"/>
      <w:sz w:val="18"/>
      <w:szCs w:val="18"/>
    </w:rPr>
  </w:style>
  <w:style w:type="character" w:styleId="1194" w:customStyle="1">
    <w:name w:val="标题 4 字符"/>
    <w:link w:val="1044"/>
    <w:uiPriority w:val="0"/>
    <w:qFormat/>
    <w:rPr>
      <w:rFonts w:ascii="Cambria" w:hAnsi="Cambria"/>
      <w:b/>
      <w:bCs/>
      <w:sz w:val="28"/>
      <w:szCs w:val="28"/>
    </w:rPr>
  </w:style>
  <w:style w:type="character" w:styleId="1195" w:customStyle="1">
    <w:name w:val="列出段落 Char"/>
    <w:link w:val="1196"/>
    <w:uiPriority w:val="34"/>
    <w:qFormat/>
    <w:rPr>
      <w:sz w:val="21"/>
      <w:szCs w:val="24"/>
    </w:rPr>
  </w:style>
  <w:style w:type="paragraph" w:styleId="1196" w:customStyle="1">
    <w:name w:val="List Paragraph1"/>
    <w:basedOn w:val="1040"/>
    <w:link w:val="1195"/>
    <w:uiPriority w:val="34"/>
    <w:qFormat/>
    <w:pPr>
      <w:ind w:firstLine="420"/>
    </w:pPr>
  </w:style>
  <w:style w:type="paragraph" w:styleId="1197" w:customStyle="1">
    <w:name w:val="样式 标题 3 + (中文) 黑体 小四 非加粗 段前: 7.8 磅 段后: 0 磅 行距: 固定值 20 磅"/>
    <w:basedOn w:val="1043"/>
    <w:next w:val="1040"/>
    <w:uiPriority w:val="0"/>
    <w:qFormat/>
    <w:pPr>
      <w:spacing w:before="0" w:after="0" w:line="400" w:lineRule="exact"/>
    </w:pPr>
    <w:rPr>
      <w:rFonts w:eastAsia="黑体" w:cs="宋体"/>
      <w:b w:val="0"/>
      <w:bCs w:val="0"/>
      <w:sz w:val="24"/>
      <w:szCs w:val="20"/>
    </w:rPr>
  </w:style>
  <w:style w:type="paragraph" w:styleId="1198" w:customStyle="1">
    <w:name w:val="_Style 34"/>
    <w:next w:val="1040"/>
    <w:uiPriority w:val="0"/>
    <w:qFormat/>
    <w:pPr>
      <w:jc w:val="both"/>
      <w:widowControl w:val="off"/>
    </w:pPr>
    <w:rPr>
      <w:rFonts w:ascii="Times New Roman" w:hAnsi="Times New Roman" w:eastAsia="宋体" w:cs="Times New Roman"/>
      <w:sz w:val="21"/>
      <w:lang w:val="en-US" w:eastAsia="zh-CN" w:bidi="ar-SA"/>
    </w:rPr>
  </w:style>
  <w:style w:type="paragraph" w:styleId="119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_Style 36"/>
    <w:next w:val="1040"/>
    <w:uiPriority w:val="0"/>
    <w:qFormat/>
    <w:pPr>
      <w:jc w:val="both"/>
      <w:widowControl w:val="off"/>
    </w:pPr>
    <w:rPr>
      <w:rFonts w:ascii="Times New Roman" w:hAnsi="Times New Roman" w:eastAsia="宋体" w:cs="Times New Roman"/>
      <w:sz w:val="21"/>
      <w:lang w:val="en-US" w:eastAsia="zh-CN" w:bidi="ar-SA"/>
    </w:rPr>
  </w:style>
  <w:style w:type="paragraph" w:styleId="1201" w:customStyle="1">
    <w:name w:val="空半行"/>
    <w:basedOn w:val="1040"/>
    <w:uiPriority w:val="0"/>
    <w:qFormat/>
    <w:pPr>
      <w:spacing w:line="120" w:lineRule="exact"/>
    </w:pPr>
    <w:rPr>
      <w:rFonts w:ascii="Calibri" w:hAnsi="Calibri" w:eastAsia="仿宋_GB2312"/>
      <w:color w:val="ffffff"/>
      <w:sz w:val="30"/>
      <w:szCs w:val="22"/>
    </w:rPr>
  </w:style>
  <w:style w:type="paragraph" w:styleId="1202" w:customStyle="1">
    <w:name w:val="1方案格式1"/>
    <w:basedOn w:val="1041"/>
    <w:uiPriority w:val="0"/>
    <w:qFormat/>
    <w:pPr>
      <w:numPr>
        <w:numId w:val="3"/>
      </w:numPr>
      <w:ind w:left="0" w:firstLine="0"/>
      <w:spacing w:line="360" w:lineRule="auto"/>
      <w:tabs>
        <w:tab w:val="left" w:pos="360" w:leader="none"/>
      </w:tabs>
    </w:pPr>
    <w:rPr>
      <w:rFonts w:eastAsia="微软雅黑"/>
      <w:bCs w:val="0"/>
      <w:sz w:val="48"/>
    </w:rPr>
  </w:style>
  <w:style w:type="paragraph" w:styleId="1203" w:customStyle="1">
    <w:name w:val="格式３"/>
    <w:basedOn w:val="1040"/>
    <w:uiPriority w:val="0"/>
    <w:qFormat/>
    <w:pPr>
      <w:ind w:left="600" w:hanging="600"/>
      <w:spacing w:line="420" w:lineRule="exact"/>
    </w:pPr>
    <w:rPr>
      <w:rFonts w:ascii="宋体" w:hAnsi="宋体"/>
      <w:color w:val="000000"/>
      <w:sz w:val="24"/>
      <w:szCs w:val="20"/>
    </w:rPr>
  </w:style>
  <w:style w:type="paragraph" w:styleId="1204" w:customStyle="1">
    <w:name w:val="列出段落1"/>
    <w:basedOn w:val="1040"/>
    <w:uiPriority w:val="99"/>
    <w:qFormat/>
    <w:pPr>
      <w:contextualSpacing/>
      <w:ind w:left="720"/>
      <w:jc w:val="left"/>
      <w:widowControl/>
    </w:pPr>
    <w:rPr>
      <w:rFonts w:ascii="Arial" w:hAnsi="Arial" w:eastAsia="黑体"/>
      <w:sz w:val="24"/>
      <w:lang w:eastAsia="en-US"/>
    </w:rPr>
  </w:style>
  <w:style w:type="paragraph" w:styleId="1205" w:customStyle="1">
    <w:name w:val="正文空2字"/>
    <w:basedOn w:val="1040"/>
    <w:uiPriority w:val="0"/>
    <w:qFormat/>
    <w:pPr>
      <w:ind w:firstLine="200"/>
      <w:spacing w:line="360" w:lineRule="auto"/>
    </w:pPr>
    <w:rPr>
      <w:sz w:val="24"/>
      <w:lang w:bidi="en-US"/>
    </w:rPr>
  </w:style>
  <w:style w:type="paragraph" w:styleId="120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7" w:customStyle="1">
    <w:name w:val="目录 5_0"/>
    <w:basedOn w:val="1116"/>
    <w:next w:val="1116"/>
    <w:uiPriority w:val="39"/>
    <w:qFormat/>
    <w:pPr>
      <w:ind w:left="1680"/>
    </w:pPr>
    <w:rPr>
      <w:rFonts w:ascii="Calibri" w:hAnsi="Calibri"/>
    </w:rPr>
  </w:style>
  <w:style w:type="paragraph" w:styleId="1208" w:customStyle="1">
    <w:name w:val="修订1"/>
    <w:uiPriority w:val="0"/>
    <w:qFormat/>
    <w:rPr>
      <w:rFonts w:ascii="Times New Roman" w:hAnsi="Times New Roman" w:eastAsia="宋体" w:cs="Times New Roman"/>
      <w:sz w:val="21"/>
      <w:szCs w:val="24"/>
      <w:lang w:val="en-US" w:eastAsia="zh-CN" w:bidi="ar-SA"/>
    </w:rPr>
  </w:style>
  <w:style w:type="paragraph" w:styleId="1209" w:customStyle="1">
    <w:name w:val="标题 11"/>
    <w:basedOn w:val="1099"/>
    <w:next w:val="109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10" w:customStyle="1">
    <w:name w:val="正文 + 行距: 固定值 20 磅"/>
    <w:basedOn w:val="1040"/>
    <w:uiPriority w:val="0"/>
    <w:qFormat/>
    <w:pPr>
      <w:ind w:firstLine="716"/>
      <w:spacing w:line="400" w:lineRule="exact"/>
    </w:pPr>
    <w:rPr>
      <w:rFonts w:ascii="Calibri" w:hAnsi="Calibri"/>
      <w:szCs w:val="22"/>
    </w:rPr>
  </w:style>
  <w:style w:type="paragraph" w:styleId="1211" w:customStyle="1">
    <w:name w:val="TOC 标题1"/>
    <w:basedOn w:val="1041"/>
    <w:next w:val="104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12" w:customStyle="1">
    <w:name w:val="表格文字"/>
    <w:basedOn w:val="1040"/>
    <w:link w:val="1240"/>
    <w:uiPriority w:val="0"/>
    <w:qFormat/>
    <w:pPr>
      <w:jc w:val="left"/>
      <w:spacing w:line="420" w:lineRule="atLeast"/>
    </w:pPr>
    <w:rPr>
      <w:rFonts w:ascii="Calibri" w:hAnsi="Calibri"/>
      <w:szCs w:val="22"/>
    </w:rPr>
  </w:style>
  <w:style w:type="paragraph" w:styleId="1213" w:customStyle="1">
    <w:name w:val="flNote"/>
    <w:basedOn w:val="1040"/>
    <w:uiPriority w:val="0"/>
    <w:qFormat/>
    <w:pPr>
      <w:jc w:val="center"/>
      <w:spacing w:before="320" w:after="160" w:line="360" w:lineRule="atLeast"/>
    </w:pPr>
    <w:rPr>
      <w:rFonts w:ascii="Arial" w:hAnsi="Calibri" w:eastAsia="黑体"/>
      <w:sz w:val="30"/>
      <w:szCs w:val="22"/>
    </w:rPr>
  </w:style>
  <w:style w:type="paragraph" w:styleId="1214" w:customStyle="1">
    <w:name w:val="文章正文"/>
    <w:basedOn w:val="1040"/>
    <w:uiPriority w:val="99"/>
    <w:qFormat/>
    <w:pPr>
      <w:ind w:firstLine="480"/>
      <w:spacing w:line="360" w:lineRule="auto"/>
    </w:pPr>
    <w:rPr>
      <w:rFonts w:ascii="仿宋_GB2312" w:hAnsi="宋体" w:eastAsia="仿宋_GB2312"/>
      <w:color w:val="ff0000"/>
      <w:sz w:val="24"/>
    </w:rPr>
  </w:style>
  <w:style w:type="paragraph" w:styleId="1215" w:customStyle="1">
    <w:name w:val="表格"/>
    <w:basedOn w:val="1040"/>
    <w:uiPriority w:val="0"/>
    <w:qFormat/>
    <w:pPr>
      <w:jc w:val="center"/>
    </w:pPr>
    <w:rPr>
      <w:rFonts w:ascii="华文细黑" w:hAnsi="华文细黑"/>
      <w:szCs w:val="22"/>
    </w:rPr>
  </w:style>
  <w:style w:type="paragraph" w:styleId="1216" w:customStyle="1">
    <w:name w:val="Char"/>
    <w:basedOn w:val="1040"/>
    <w:uiPriority w:val="0"/>
    <w:qFormat/>
    <w:pPr>
      <w:jc w:val="left"/>
      <w:spacing w:after="160" w:line="240" w:lineRule="exact"/>
      <w:widowControl/>
    </w:pPr>
    <w:rPr>
      <w:rFonts w:ascii="Verdana" w:hAnsi="Verdana"/>
      <w:sz w:val="20"/>
      <w:szCs w:val="20"/>
      <w:lang w:eastAsia="en-US"/>
    </w:rPr>
  </w:style>
  <w:style w:type="paragraph" w:styleId="1217" w:customStyle="1">
    <w:name w:val="列出段落2"/>
    <w:basedOn w:val="1040"/>
    <w:uiPriority w:val="34"/>
    <w:qFormat/>
    <w:pPr>
      <w:ind w:firstLine="420"/>
    </w:pPr>
  </w:style>
  <w:style w:type="paragraph" w:styleId="1218" w:customStyle="1">
    <w:name w:val="6'"/>
    <w:basedOn w:val="1040"/>
    <w:uiPriority w:val="0"/>
    <w:qFormat/>
    <w:pPr>
      <w:jc w:val="center"/>
      <w:spacing w:line="320" w:lineRule="exact"/>
    </w:pPr>
    <w:rPr>
      <w:rFonts w:ascii="Calibri" w:hAnsi="Calibri"/>
      <w:spacing w:val="20"/>
      <w:szCs w:val="22"/>
    </w:rPr>
  </w:style>
  <w:style w:type="paragraph" w:styleId="1219" w:customStyle="1">
    <w:name w:val="Char Char Char Char Char Char Char"/>
    <w:basedOn w:val="1040"/>
    <w:uiPriority w:val="0"/>
    <w:qFormat/>
    <w:pPr>
      <w:spacing w:line="360" w:lineRule="auto"/>
    </w:pPr>
    <w:rPr>
      <w:sz w:val="24"/>
      <w:szCs w:val="20"/>
    </w:rPr>
  </w:style>
  <w:style w:type="paragraph" w:styleId="1220" w:customStyle="1">
    <w:name w:val="2方案格式2"/>
    <w:basedOn w:val="1202"/>
    <w:uiPriority w:val="0"/>
    <w:qFormat/>
    <w:pPr>
      <w:numPr>
        <w:ilvl w:val="1"/>
      </w:numPr>
      <w:spacing w:before="50" w:after="50" w:line="240" w:lineRule="auto"/>
      <w:outlineLvl w:val="1"/>
    </w:pPr>
    <w:rPr>
      <w:sz w:val="44"/>
    </w:rPr>
  </w:style>
  <w:style w:type="paragraph" w:styleId="1221" w:customStyle="1">
    <w:name w:val="文档正文"/>
    <w:basedOn w:val="1040"/>
    <w:uiPriority w:val="0"/>
    <w:qFormat/>
    <w:pPr>
      <w:ind w:firstLine="567"/>
      <w:spacing w:line="480" w:lineRule="atLeast"/>
    </w:pPr>
    <w:rPr>
      <w:rFonts w:ascii="Ari" w:eastAsia="Ari"/>
      <w:sz w:val="28"/>
      <w:szCs w:val="20"/>
    </w:rPr>
  </w:style>
  <w:style w:type="paragraph" w:styleId="1222" w:customStyle="1">
    <w:name w:val="txt"/>
    <w:basedOn w:val="1040"/>
    <w:uiPriority w:val="0"/>
    <w:qFormat/>
    <w:pPr>
      <w:jc w:val="left"/>
      <w:spacing w:before="100" w:beforeAutospacing="1" w:after="100" w:afterAutospacing="1"/>
      <w:widowControl/>
    </w:pPr>
    <w:rPr>
      <w:rFonts w:ascii="宋体" w:hAnsi="宋体" w:cs="宋体"/>
      <w:sz w:val="24"/>
    </w:rPr>
  </w:style>
  <w:style w:type="paragraph" w:styleId="1223" w:customStyle="1">
    <w:name w:val="目录 4_0"/>
    <w:basedOn w:val="1116"/>
    <w:next w:val="1116"/>
    <w:uiPriority w:val="39"/>
    <w:qFormat/>
    <w:pPr>
      <w:ind w:left="1260"/>
    </w:pPr>
    <w:rPr>
      <w:rFonts w:ascii="Calibri" w:hAnsi="Calibri"/>
    </w:rPr>
  </w:style>
  <w:style w:type="paragraph" w:styleId="1224" w:customStyle="1">
    <w:name w:val="目录 3_0"/>
    <w:basedOn w:val="1116"/>
    <w:next w:val="1116"/>
    <w:uiPriority w:val="39"/>
    <w:qFormat/>
    <w:pPr>
      <w:ind w:left="840"/>
    </w:pPr>
    <w:rPr>
      <w:rFonts w:ascii="Calibri" w:hAnsi="Calibri"/>
    </w:rPr>
  </w:style>
  <w:style w:type="paragraph" w:styleId="1225" w:customStyle="1">
    <w:name w:val="样式 标题 1 + 黑体 三号 非加粗 居中 段前: 6 磅 段后: 6 磅 行距: 固定值 20 磅"/>
    <w:basedOn w:val="1041"/>
    <w:uiPriority w:val="0"/>
    <w:qFormat/>
    <w:pPr>
      <w:numPr>
        <w:numId w:val="0"/>
      </w:numPr>
      <w:spacing w:before="120" w:after="120" w:line="400" w:lineRule="exact"/>
    </w:pPr>
    <w:rPr>
      <w:rFonts w:ascii="黑体" w:hAnsi="黑体" w:eastAsia="黑体"/>
      <w:b w:val="0"/>
      <w:bCs w:val="0"/>
      <w:szCs w:val="20"/>
    </w:rPr>
  </w:style>
  <w:style w:type="paragraph" w:styleId="1226" w:customStyle="1">
    <w:name w:val="1"/>
    <w:basedOn w:val="1040"/>
    <w:next w:val="1040"/>
    <w:uiPriority w:val="0"/>
    <w:qFormat/>
    <w:rPr>
      <w:rFonts w:ascii="Calibri" w:hAnsi="Calibri"/>
      <w:szCs w:val="22"/>
    </w:rPr>
  </w:style>
  <w:style w:type="paragraph" w:styleId="1227" w:customStyle="1">
    <w:name w:val="Blockquote_0"/>
    <w:basedOn w:val="1116"/>
    <w:uiPriority w:val="0"/>
    <w:qFormat/>
    <w:pPr>
      <w:ind w:left="360" w:right="360"/>
      <w:jc w:val="left"/>
      <w:spacing w:before="100" w:after="100"/>
    </w:pPr>
    <w:rPr>
      <w:rFonts w:ascii="Calibri" w:hAnsi="Calibri" w:eastAsia="Times New Roman"/>
      <w:sz w:val="24"/>
      <w:szCs w:val="20"/>
    </w:rPr>
  </w:style>
  <w:style w:type="paragraph" w:styleId="1228" w:customStyle="1">
    <w:name w:val="列出段落11"/>
    <w:basedOn w:val="1040"/>
    <w:uiPriority w:val="0"/>
    <w:qFormat/>
    <w:pPr>
      <w:contextualSpacing/>
      <w:ind w:left="720"/>
      <w:jc w:val="left"/>
      <w:widowControl/>
    </w:pPr>
    <w:rPr>
      <w:rFonts w:ascii="Arial" w:hAnsi="Arial" w:eastAsia="黑体"/>
      <w:sz w:val="24"/>
      <w:lang w:eastAsia="en-US"/>
    </w:rPr>
  </w:style>
  <w:style w:type="paragraph" w:styleId="1229" w:customStyle="1">
    <w:name w:val="样式 标题 2 + Times New Roman 四号 非加粗 段前: 5 磅 段后: 0 磅 行距: 固定值 20..._0"/>
    <w:basedOn w:val="1040"/>
    <w:uiPriority w:val="0"/>
    <w:qFormat/>
    <w:pPr>
      <w:keepLines/>
      <w:keepNext/>
      <w:spacing w:before="100" w:line="360" w:lineRule="auto"/>
      <w:outlineLvl w:val="1"/>
    </w:pPr>
    <w:rPr>
      <w:rFonts w:eastAsia="Times New Roman" w:cs="宋体"/>
      <w:sz w:val="28"/>
      <w:szCs w:val="20"/>
    </w:rPr>
  </w:style>
  <w:style w:type="paragraph" w:styleId="1230" w:customStyle="1">
    <w:name w:val="op_mapdots_left"/>
    <w:basedOn w:val="1040"/>
    <w:uiPriority w:val="0"/>
    <w:qFormat/>
    <w:pPr>
      <w:jc w:val="left"/>
      <w:spacing w:before="100" w:beforeAutospacing="1" w:after="100" w:afterAutospacing="1"/>
      <w:widowControl/>
    </w:pPr>
    <w:rPr>
      <w:rFonts w:ascii="宋体" w:hAnsi="宋体" w:cs="宋体"/>
      <w:sz w:val="24"/>
    </w:rPr>
  </w:style>
  <w:style w:type="paragraph" w:styleId="1231" w:customStyle="1">
    <w:name w:val="p0"/>
    <w:basedOn w:val="1040"/>
    <w:uiPriority w:val="0"/>
    <w:qFormat/>
    <w:pPr>
      <w:widowControl/>
    </w:pPr>
    <w:rPr>
      <w:b/>
      <w:bCs/>
      <w:sz w:val="24"/>
    </w:rPr>
  </w:style>
  <w:style w:type="paragraph" w:styleId="1232" w:customStyle="1">
    <w:name w:val="Blockquote"/>
    <w:basedOn w:val="1040"/>
    <w:uiPriority w:val="0"/>
    <w:qFormat/>
    <w:pPr>
      <w:ind w:left="360" w:right="360"/>
      <w:jc w:val="left"/>
      <w:spacing w:before="100" w:after="100"/>
    </w:pPr>
    <w:rPr>
      <w:rFonts w:ascii="Calibri" w:hAnsi="Calibri"/>
      <w:sz w:val="24"/>
      <w:szCs w:val="22"/>
    </w:rPr>
  </w:style>
  <w:style w:type="paragraph" w:styleId="1233" w:customStyle="1">
    <w:name w:val="3方案格式3"/>
    <w:basedOn w:val="1220"/>
    <w:uiPriority w:val="0"/>
    <w:qFormat/>
    <w:pPr>
      <w:numPr>
        <w:ilvl w:val="2"/>
      </w:numPr>
      <w:outlineLvl w:val="2"/>
    </w:pPr>
    <w:rPr>
      <w:sz w:val="32"/>
    </w:rPr>
  </w:style>
  <w:style w:type="paragraph" w:styleId="1234" w:customStyle="1">
    <w:name w:val="样式 标题 2 + Times New Roman 四号 非加粗 段前: 5 磅 段后: 0 磅 行距: 固定值 20..."/>
    <w:basedOn w:val="104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5" w:customStyle="1">
    <w:name w:val="标题2"/>
    <w:basedOn w:val="1042"/>
    <w:next w:val="1060"/>
    <w:uiPriority w:val="0"/>
    <w:qFormat/>
    <w:pPr>
      <w:spacing w:before="156" w:after="156" w:line="360" w:lineRule="auto"/>
    </w:pPr>
    <w:rPr>
      <w:bCs w:val="0"/>
      <w:sz w:val="24"/>
    </w:rPr>
  </w:style>
  <w:style w:type="paragraph" w:styleId="1236" w:customStyle="1">
    <w:name w:val="普通正文"/>
    <w:basedOn w:val="1040"/>
    <w:uiPriority w:val="0"/>
    <w:qFormat/>
    <w:pPr>
      <w:ind w:firstLine="480"/>
      <w:jc w:val="left"/>
      <w:spacing w:before="120" w:after="120" w:line="360" w:lineRule="auto"/>
    </w:pPr>
    <w:rPr>
      <w:rFonts w:ascii="Arial" w:hAnsi="Arial"/>
      <w:sz w:val="24"/>
    </w:rPr>
  </w:style>
  <w:style w:type="paragraph" w:styleId="1237" w:customStyle="1">
    <w:name w:val="正文2"/>
    <w:uiPriority w:val="0"/>
    <w:qFormat/>
    <w:rPr>
      <w:rFonts w:ascii="Times New Roman" w:hAnsi="Times New Roman" w:eastAsia="微软雅黑" w:cs="Times New Roman"/>
      <w:sz w:val="24"/>
      <w:szCs w:val="24"/>
      <w:lang w:val="en-US" w:eastAsia="zh-CN" w:bidi="ar-SA"/>
    </w:rPr>
  </w:style>
  <w:style w:type="paragraph" w:styleId="1238" w:customStyle="1">
    <w:name w:val="列出段落3"/>
    <w:basedOn w:val="1040"/>
    <w:uiPriority w:val="0"/>
    <w:qFormat/>
    <w:pPr>
      <w:ind w:firstLine="420"/>
      <w:jc w:val="left"/>
      <w:spacing w:after="200"/>
      <w:widowControl/>
    </w:pPr>
    <w:rPr>
      <w:rFonts w:ascii="Tahoma" w:hAnsi="Tahoma" w:eastAsia="微软雅黑"/>
      <w:sz w:val="22"/>
      <w:szCs w:val="22"/>
    </w:rPr>
  </w:style>
  <w:style w:type="paragraph" w:styleId="1239" w:customStyle="1">
    <w:name w:val="纯文本2"/>
    <w:basedOn w:val="1040"/>
    <w:uiPriority w:val="0"/>
    <w:qFormat/>
    <w:pPr>
      <w:jc w:val="left"/>
    </w:pPr>
    <w:rPr>
      <w:rFonts w:hint="eastAsia" w:ascii="宋体" w:hAnsi="宋体" w:cs="Courier New"/>
      <w:sz w:val="24"/>
      <w:szCs w:val="20"/>
      <w:lang w:bidi="hi-IN"/>
    </w:rPr>
  </w:style>
  <w:style w:type="character" w:styleId="1240" w:customStyle="1">
    <w:name w:val="表格文字 字符"/>
    <w:link w:val="1212"/>
    <w:uiPriority w:val="0"/>
    <w:qFormat/>
    <w:rPr>
      <w:rFonts w:ascii="Calibri" w:hAnsi="Calibri" w:eastAsia="宋体" w:cs="Times New Roman"/>
      <w:sz w:val="21"/>
      <w:szCs w:val="22"/>
    </w:rPr>
  </w:style>
  <w:style w:type="paragraph" w:styleId="1241" w:customStyle="1">
    <w:name w:val="trs_editor"/>
    <w:basedOn w:val="1040"/>
    <w:uiPriority w:val="0"/>
    <w:qFormat/>
    <w:pPr>
      <w:jc w:val="left"/>
      <w:spacing w:before="100" w:beforeAutospacing="1" w:after="100" w:afterAutospacing="1"/>
      <w:widowControl/>
    </w:pPr>
    <w:rPr>
      <w:rFonts w:ascii="宋体" w:hAnsi="宋体" w:cs="宋体"/>
      <w:sz w:val="24"/>
    </w:rPr>
  </w:style>
  <w:style w:type="character" w:styleId="1242" w:customStyle="1">
    <w:name w:val="未处理的提及1"/>
    <w:basedOn w:val="1050"/>
    <w:uiPriority w:val="99"/>
    <w:semiHidden/>
    <w:unhideWhenUsed/>
    <w:qFormat/>
    <w:rPr>
      <w:color w:val="605e5c"/>
      <w:shd w:val="clear" w:color="auto" w:fill="e1dfdd"/>
    </w:rPr>
  </w:style>
  <w:style w:type="paragraph" w:styleId="1243" w:customStyle="1">
    <w:name w:val="_Style 3"/>
    <w:basedOn w:val="1040"/>
    <w:uiPriority w:val="99"/>
    <w:qFormat/>
    <w:pPr>
      <w:ind w:firstLine="420"/>
    </w:pPr>
    <w:rPr>
      <w:szCs w:val="22"/>
    </w:rPr>
  </w:style>
  <w:style w:type="table" w:styleId="1244" w:customStyle="1">
    <w:name w:val="网格型1"/>
    <w:basedOn w:val="10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批注文字 字符1"/>
    <w:uiPriority w:val="99"/>
    <w:qFormat/>
    <w:rPr>
      <w:sz w:val="24"/>
      <w:szCs w:val="22"/>
    </w:rPr>
  </w:style>
  <w:style w:type="character" w:styleId="1246" w:customStyle="1">
    <w:name w:val="f141"/>
    <w:uiPriority w:val="0"/>
    <w:qFormat/>
    <w:rPr>
      <w:sz w:val="21"/>
      <w:szCs w:val="21"/>
    </w:rPr>
  </w:style>
  <w:style w:type="character" w:styleId="1247" w:customStyle="1">
    <w:name w:val="p141"/>
    <w:uiPriority w:val="0"/>
    <w:qFormat/>
    <w:rPr>
      <w:sz w:val="21"/>
      <w:szCs w:val="21"/>
    </w:rPr>
  </w:style>
  <w:style w:type="character" w:styleId="1248" w:customStyle="1">
    <w:name w:val="s10pv000000"/>
    <w:basedOn w:val="1050"/>
    <w:uiPriority w:val="0"/>
    <w:qFormat/>
  </w:style>
  <w:style w:type="paragraph" w:styleId="1249" w:customStyle="1">
    <w:name w:val="样式 标题 4 + 段前: 5 磅 段后: 5 磅 行距: 单倍行距"/>
    <w:basedOn w:val="1044"/>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50" w:customStyle="1">
    <w:name w:val="基准标题"/>
    <w:basedOn w:val="1060"/>
    <w:next w:val="1060"/>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51" w:customStyle="1">
    <w:name w:val="font6"/>
    <w:basedOn w:val="1040"/>
    <w:uiPriority w:val="0"/>
    <w:qFormat/>
    <w:pPr>
      <w:jc w:val="left"/>
      <w:spacing w:before="100" w:beforeAutospacing="1" w:after="100" w:afterAutospacing="1"/>
      <w:widowControl/>
    </w:pPr>
    <w:rPr>
      <w:rFonts w:hint="eastAsia" w:ascii="宋体" w:hAnsi="宋体"/>
      <w:sz w:val="24"/>
    </w:rPr>
  </w:style>
  <w:style w:type="paragraph" w:styleId="1252" w:customStyle="1">
    <w:name w:val="样式4"/>
    <w:basedOn w:val="1040"/>
    <w:uiPriority w:val="0"/>
    <w:qFormat/>
    <w:pPr>
      <w:ind w:left="2328" w:hanging="708"/>
      <w:tabs>
        <w:tab w:val="left" w:pos="2328" w:leader="none"/>
      </w:tabs>
    </w:pPr>
  </w:style>
  <w:style w:type="paragraph" w:styleId="1253" w:customStyle="1">
    <w:name w:val="font5"/>
    <w:basedOn w:val="1040"/>
    <w:uiPriority w:val="0"/>
    <w:qFormat/>
    <w:pPr>
      <w:jc w:val="left"/>
      <w:spacing w:before="100" w:beforeAutospacing="1" w:after="100" w:afterAutospacing="1"/>
      <w:widowControl/>
    </w:pPr>
    <w:rPr>
      <w:rFonts w:hint="eastAsia" w:ascii="宋体" w:hAnsi="宋体"/>
      <w:sz w:val="18"/>
      <w:szCs w:val="18"/>
    </w:rPr>
  </w:style>
  <w:style w:type="paragraph" w:styleId="1254" w:customStyle="1">
    <w:name w:val="3 Char"/>
    <w:basedOn w:val="1040"/>
    <w:uiPriority w:val="0"/>
    <w:qFormat/>
    <w:pPr>
      <w:jc w:val="center"/>
      <w:spacing w:line="400" w:lineRule="exact"/>
      <w:widowControl/>
    </w:pPr>
    <w:rPr>
      <w:rFonts w:ascii="Verdana" w:hAnsi="Verdana"/>
      <w:szCs w:val="20"/>
      <w:lang w:eastAsia="en-US"/>
    </w:rPr>
  </w:style>
  <w:style w:type="paragraph" w:styleId="1255" w:customStyle="1">
    <w:name w:val="样式 标题 2 + 宋体 五号 非加粗 黑色"/>
    <w:basedOn w:val="1042"/>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56" w:customStyle="1">
    <w:name w:val="xl29"/>
    <w:basedOn w:val="1040"/>
    <w:uiPriority w:val="0"/>
    <w:qFormat/>
    <w:pPr>
      <w:jc w:val="center"/>
      <w:spacing w:before="100" w:beforeAutospacing="1" w:after="100" w:afterAutospacing="1"/>
      <w:widowControl/>
    </w:pPr>
    <w:rPr>
      <w:rFonts w:ascii="宋体" w:hAnsi="宋体"/>
      <w:sz w:val="28"/>
      <w:szCs w:val="28"/>
    </w:rPr>
  </w:style>
  <w:style w:type="paragraph" w:styleId="1257" w:customStyle="1">
    <w:name w:val="图"/>
    <w:basedOn w:val="1040"/>
    <w:uiPriority w:val="0"/>
    <w:qFormat/>
    <w:pPr>
      <w:jc w:val="center"/>
      <w:keepNext/>
      <w:spacing w:before="60" w:after="60" w:line="300" w:lineRule="auto"/>
    </w:pPr>
    <w:rPr>
      <w:spacing w:val="20"/>
      <w:sz w:val="24"/>
      <w:szCs w:val="20"/>
    </w:rPr>
  </w:style>
  <w:style w:type="paragraph" w:styleId="1258" w:customStyle="1">
    <w:name w:val="设计方案"/>
    <w:basedOn w:val="1040"/>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9" w:customStyle="1">
    <w:name w:val="xl24"/>
    <w:basedOn w:val="10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0" w:customStyle="1">
    <w:name w:val="样式1"/>
    <w:basedOn w:val="1040"/>
    <w:uiPriority w:val="0"/>
    <w:qFormat/>
    <w:pPr>
      <w:ind w:left="425" w:hanging="425"/>
      <w:tabs>
        <w:tab w:val="left" w:pos="425" w:leader="none"/>
        <w:tab w:val="left" w:pos="709" w:leader="none"/>
      </w:tabs>
    </w:pPr>
    <w:rPr>
      <w:rFonts w:ascii="宋体" w:hAnsi="宋体"/>
      <w:szCs w:val="20"/>
    </w:rPr>
  </w:style>
  <w:style w:type="paragraph" w:styleId="1261" w:customStyle="1">
    <w:name w:val="head"/>
    <w:basedOn w:val="1040"/>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62" w:customStyle="1">
    <w:name w:val="默认段落字体 Para Char Char Char Char"/>
    <w:basedOn w:val="1040"/>
    <w:uiPriority w:val="0"/>
    <w:qFormat/>
    <w:rPr>
      <w:szCs w:val="20"/>
    </w:rPr>
  </w:style>
  <w:style w:type="paragraph" w:styleId="1263" w:customStyle="1">
    <w:name w:val="Char Char Char Char"/>
    <w:basedOn w:val="1040"/>
    <w:uiPriority w:val="0"/>
    <w:qFormat/>
    <w:pPr>
      <w:jc w:val="left"/>
      <w:spacing w:after="160" w:line="240" w:lineRule="exact"/>
      <w:widowControl/>
    </w:pPr>
    <w:rPr>
      <w:rFonts w:ascii="Verdana" w:hAnsi="Verdana" w:eastAsia="仿宋_GB2312"/>
      <w:sz w:val="24"/>
      <w:szCs w:val="20"/>
      <w:lang w:eastAsia="en-US"/>
    </w:rPr>
  </w:style>
  <w:style w:type="paragraph" w:styleId="1264" w:customStyle="1">
    <w:name w:val="font0"/>
    <w:basedOn w:val="1040"/>
    <w:uiPriority w:val="0"/>
    <w:qFormat/>
    <w:pPr>
      <w:jc w:val="left"/>
      <w:spacing w:before="100" w:beforeAutospacing="1" w:after="100" w:afterAutospacing="1"/>
      <w:widowControl/>
    </w:pPr>
    <w:rPr>
      <w:rFonts w:hint="eastAsia" w:ascii="宋体" w:hAnsi="宋体"/>
      <w:sz w:val="24"/>
    </w:rPr>
  </w:style>
  <w:style w:type="paragraph" w:styleId="1265" w:customStyle="1">
    <w:name w:val="样式 标题 3h3H3sect1.2.3 + 五号 段前: 6 磅 段后: 6 磅 行距: 单倍行距"/>
    <w:basedOn w:val="1043"/>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66" w:customStyle="1">
    <w:name w:val="纯文本 Char1"/>
    <w:basedOn w:val="1050"/>
    <w:uiPriority w:val="0"/>
    <w:qFormat/>
    <w:rPr>
      <w:rFonts w:ascii="宋体" w:hAnsi="Courier New" w:eastAsia="宋体" w:cs="Courier New"/>
      <w:szCs w:val="21"/>
    </w:rPr>
  </w:style>
  <w:style w:type="character" w:styleId="1267" w:customStyle="1">
    <w:name w:val="HTML 预设格式 字符"/>
    <w:basedOn w:val="1050"/>
    <w:link w:val="1081"/>
    <w:uiPriority w:val="99"/>
    <w:qFormat/>
    <w:rPr>
      <w:rFonts w:ascii="宋体" w:hAnsi="宋体"/>
      <w:sz w:val="24"/>
      <w:szCs w:val="24"/>
    </w:rPr>
  </w:style>
  <w:style w:type="paragraph" w:styleId="1268" w:customStyle="1">
    <w:name w:val="Char1 Char Char Char"/>
    <w:basedOn w:val="1040"/>
    <w:uiPriority w:val="0"/>
    <w:qFormat/>
    <w:rPr>
      <w:szCs w:val="20"/>
    </w:rPr>
  </w:style>
  <w:style w:type="paragraph" w:styleId="1269" w:customStyle="1">
    <w:name w:val="Char1"/>
    <w:basedOn w:val="1040"/>
    <w:uiPriority w:val="0"/>
    <w:qFormat/>
    <w:pPr>
      <w:jc w:val="left"/>
      <w:spacing w:after="160" w:line="240" w:lineRule="exact"/>
      <w:widowControl/>
    </w:pPr>
    <w:rPr>
      <w:sz w:val="24"/>
    </w:rPr>
  </w:style>
  <w:style w:type="paragraph" w:styleId="1270" w:customStyle="1">
    <w:name w:val="默认段落字体 Para Char"/>
    <w:basedOn w:val="1040"/>
    <w:uiPriority w:val="0"/>
    <w:qFormat/>
  </w:style>
  <w:style w:type="paragraph" w:styleId="1271" w:customStyle="1">
    <w:name w:val="Char1 Char Char Char Char Char Char Char Char Char"/>
    <w:basedOn w:val="1040"/>
    <w:uiPriority w:val="0"/>
    <w:qFormat/>
    <w:pPr>
      <w:jc w:val="center"/>
      <w:spacing w:line="400" w:lineRule="exact"/>
      <w:widowControl/>
    </w:pPr>
    <w:rPr>
      <w:rFonts w:ascii="Verdana" w:hAnsi="Verdana"/>
      <w:szCs w:val="20"/>
      <w:lang w:eastAsia="en-US"/>
    </w:rPr>
  </w:style>
  <w:style w:type="paragraph" w:styleId="1272" w:customStyle="1">
    <w:name w:val="普通(网站)1"/>
    <w:basedOn w:val="1040"/>
    <w:uiPriority w:val="0"/>
    <w:qFormat/>
    <w:pPr>
      <w:jc w:val="left"/>
      <w:spacing w:before="100" w:beforeAutospacing="1" w:after="100" w:afterAutospacing="1"/>
      <w:widowControl/>
    </w:pPr>
    <w:rPr>
      <w:rFonts w:ascii="宋体" w:hAnsi="宋体"/>
      <w:sz w:val="24"/>
    </w:rPr>
  </w:style>
  <w:style w:type="paragraph" w:styleId="1273" w:customStyle="1">
    <w:name w:val="Char Char2 Char"/>
    <w:basedOn w:val="1040"/>
    <w:uiPriority w:val="0"/>
    <w:qFormat/>
    <w:rPr>
      <w:rFonts w:ascii="宋体" w:hAnsi="宋体"/>
      <w:b/>
      <w:sz w:val="28"/>
      <w:szCs w:val="28"/>
    </w:rPr>
  </w:style>
  <w:style w:type="character" w:styleId="1274" w:customStyle="1">
    <w:name w:val="正文缩进 字符"/>
    <w:link w:val="1055"/>
    <w:uiPriority w:val="0"/>
    <w:qFormat/>
    <w:rPr>
      <w:b/>
      <w:sz w:val="24"/>
    </w:rPr>
  </w:style>
  <w:style w:type="paragraph" w:styleId="1275" w:customStyle="1">
    <w:name w:val="Char Char Char"/>
    <w:basedOn w:val="1040"/>
    <w:uiPriority w:val="0"/>
    <w:qFormat/>
    <w:rPr>
      <w:rFonts w:ascii="宋体" w:hAnsi="宋体"/>
      <w:b/>
      <w:sz w:val="28"/>
      <w:szCs w:val="28"/>
    </w:rPr>
  </w:style>
  <w:style w:type="paragraph" w:styleId="1276" w:customStyle="1">
    <w:name w:val="Char2"/>
    <w:basedOn w:val="1040"/>
    <w:uiPriority w:val="0"/>
    <w:qFormat/>
    <w:pPr>
      <w:jc w:val="left"/>
      <w:spacing w:after="160" w:line="240" w:lineRule="exact"/>
      <w:widowControl/>
    </w:pPr>
    <w:rPr>
      <w:szCs w:val="20"/>
    </w:rPr>
  </w:style>
  <w:style w:type="paragraph" w:styleId="1277" w:customStyle="1">
    <w:name w:val="a"/>
    <w:basedOn w:val="1040"/>
    <w:uiPriority w:val="0"/>
    <w:qFormat/>
    <w:pPr>
      <w:jc w:val="left"/>
      <w:spacing w:before="100" w:beforeAutospacing="1" w:after="100" w:afterAutospacing="1"/>
      <w:widowControl/>
    </w:pPr>
    <w:rPr>
      <w:rFonts w:ascii="宋体" w:hAnsi="宋体" w:cs="宋体"/>
      <w:sz w:val="24"/>
    </w:rPr>
  </w:style>
  <w:style w:type="character" w:styleId="1278" w:customStyle="1">
    <w:name w:val="description5"/>
    <w:basedOn w:val="1050"/>
    <w:uiPriority w:val="0"/>
    <w:qFormat/>
  </w:style>
  <w:style w:type="character" w:styleId="1279">
    <w:name w:val="Placeholder Text"/>
    <w:uiPriority w:val="99"/>
    <w:semiHidden/>
    <w:qFormat/>
    <w:rPr>
      <w:color w:val="808080"/>
    </w:rPr>
  </w:style>
  <w:style w:type="paragraph" w:styleId="1280" w:customStyle="1">
    <w:name w:val="Table Paragraph"/>
    <w:basedOn w:val="1040"/>
    <w:uiPriority w:val="1"/>
    <w:qFormat/>
    <w:pPr>
      <w:jc w:val="left"/>
    </w:pPr>
    <w:rPr>
      <w:sz w:val="24"/>
    </w:rPr>
  </w:style>
  <w:style w:type="character" w:styleId="1281" w:customStyle="1">
    <w:name w:val="Char Char7"/>
    <w:uiPriority w:val="0"/>
    <w:qFormat/>
    <w:rPr>
      <w:rFonts w:ascii="Tahoma" w:hAnsi="Tahoma" w:eastAsia="微软雅黑"/>
      <w:b/>
      <w:bCs/>
      <w:sz w:val="32"/>
      <w:szCs w:val="32"/>
      <w:lang w:val="en-US" w:eastAsia="zh-CN" w:bidi="ar-SA"/>
    </w:rPr>
  </w:style>
  <w:style w:type="character" w:styleId="1282" w:customStyle="1">
    <w:name w:val="font01"/>
    <w:uiPriority w:val="0"/>
    <w:qFormat/>
    <w:rPr>
      <w:rFonts w:hint="eastAsia" w:ascii="宋体" w:hAnsi="宋体" w:eastAsia="宋体" w:cs="宋体"/>
      <w:color w:val="000000"/>
      <w:sz w:val="20"/>
      <w:szCs w:val="20"/>
      <w:u w:val="none"/>
    </w:rPr>
  </w:style>
  <w:style w:type="character" w:styleId="1283" w:customStyle="1">
    <w:name w:val="font81"/>
    <w:uiPriority w:val="0"/>
    <w:qFormat/>
    <w:rPr>
      <w:rFonts w:hint="eastAsia" w:ascii="宋体" w:hAnsi="宋体" w:eastAsia="宋体" w:cs="宋体"/>
      <w:color w:val="000000"/>
      <w:sz w:val="22"/>
      <w:szCs w:val="22"/>
      <w:u w:val="none"/>
    </w:rPr>
  </w:style>
  <w:style w:type="character" w:styleId="1284" w:customStyle="1">
    <w:name w:val="font71"/>
    <w:uiPriority w:val="0"/>
    <w:qFormat/>
    <w:rPr>
      <w:rFonts w:hint="eastAsia" w:ascii="宋体" w:hAnsi="宋体" w:eastAsia="宋体" w:cs="宋体"/>
      <w:color w:val="000000"/>
      <w:sz w:val="22"/>
      <w:szCs w:val="22"/>
      <w:u w:val="none"/>
    </w:rPr>
  </w:style>
  <w:style w:type="character" w:styleId="1285" w:customStyle="1">
    <w:name w:val="font51"/>
    <w:uiPriority w:val="0"/>
    <w:qFormat/>
    <w:rPr>
      <w:rFonts w:hint="default" w:ascii="Calibri" w:hAnsi="Calibri" w:cs="Calibri"/>
      <w:color w:val="000000"/>
      <w:sz w:val="22"/>
      <w:szCs w:val="22"/>
      <w:u w:val="none"/>
    </w:rPr>
  </w:style>
  <w:style w:type="character" w:styleId="1286" w:customStyle="1">
    <w:name w:val="font61"/>
    <w:uiPriority w:val="0"/>
    <w:qFormat/>
    <w:rPr>
      <w:rFonts w:hint="default" w:ascii="Calibri" w:hAnsi="Calibri" w:cs="Calibri"/>
      <w:color w:val="000000"/>
      <w:sz w:val="22"/>
      <w:szCs w:val="22"/>
      <w:u w:val="none"/>
    </w:rPr>
  </w:style>
  <w:style w:type="character" w:styleId="1287" w:customStyle="1">
    <w:name w:val="font41"/>
    <w:uiPriority w:val="0"/>
    <w:qFormat/>
    <w:rPr>
      <w:rFonts w:hint="eastAsia" w:ascii="宋体" w:hAnsi="宋体" w:eastAsia="宋体" w:cs="宋体"/>
      <w:color w:val="000000"/>
      <w:sz w:val="22"/>
      <w:szCs w:val="22"/>
      <w:u w:val="none"/>
    </w:rPr>
  </w:style>
  <w:style w:type="character" w:styleId="1288" w:customStyle="1">
    <w:name w:val="未处理的提及2"/>
    <w:basedOn w:val="1050"/>
    <w:uiPriority w:val="99"/>
    <w:semiHidden/>
    <w:unhideWhenUsed/>
    <w:qFormat/>
    <w:rPr>
      <w:color w:val="605e5c"/>
      <w:shd w:val="clear" w:color="auto" w:fill="e1dfdd"/>
    </w:rPr>
  </w:style>
  <w:style w:type="character" w:styleId="1289" w:customStyle="1">
    <w:name w:val="未处理的提及3"/>
    <w:basedOn w:val="1050"/>
    <w:uiPriority w:val="99"/>
    <w:semiHidden/>
    <w:unhideWhenUsed/>
    <w:qFormat/>
    <w:rPr>
      <w:color w:val="605e5c"/>
      <w:shd w:val="clear" w:color="auto" w:fill="e1dfdd"/>
    </w:rPr>
  </w:style>
  <w:style w:type="paragraph" w:styleId="1290" w:customStyle="1">
    <w:name w:val="_Style 234"/>
    <w:basedOn w:val="1040"/>
    <w:next w:val="1111"/>
    <w:uiPriority w:val="34"/>
    <w:qFormat/>
    <w:pPr>
      <w:ind w:left="420" w:firstLine="420"/>
      <w:spacing w:line="400" w:lineRule="exact"/>
    </w:pPr>
    <w:rPr>
      <w:rFonts w:ascii="Calibri" w:hAnsi="Calibri"/>
    </w:rPr>
  </w:style>
  <w:style w:type="character" w:styleId="1291" w:customStyle="1">
    <w:name w:val="列出段落 字符"/>
    <w:link w:val="1111"/>
    <w:uiPriority w:val="99"/>
    <w:qFormat/>
    <w:rPr>
      <w:sz w:val="21"/>
      <w:szCs w:val="24"/>
    </w:rPr>
  </w:style>
  <w:style w:type="character" w:styleId="1292" w:customStyle="1">
    <w:name w:val="彩色列表 - 强调文字颜色 1字符"/>
    <w:uiPriority w:val="34"/>
    <w:qFormat/>
    <w:rPr>
      <w:rFonts w:ascii="Calibri" w:hAnsi="Calibri"/>
      <w:sz w:val="21"/>
      <w:szCs w:val="24"/>
    </w:rPr>
  </w:style>
  <w:style w:type="character" w:styleId="1293" w:customStyle="1">
    <w:name w:val="批注主题 字符1"/>
    <w:basedOn w:val="1245"/>
    <w:uiPriority w:val="99"/>
    <w:semiHidden/>
    <w:qFormat/>
    <w:rPr>
      <w:rFonts w:ascii="Calibri" w:hAnsi="Calibri" w:eastAsia="宋体" w:cs="Times New Roman"/>
      <w:b/>
      <w:bCs/>
      <w:sz w:val="24"/>
      <w:szCs w:val="24"/>
    </w:rPr>
  </w:style>
  <w:style w:type="character" w:styleId="1294" w:customStyle="1">
    <w:name w:val="正文文本缩进 2 字符1"/>
    <w:basedOn w:val="1050"/>
    <w:uiPriority w:val="99"/>
    <w:semiHidden/>
    <w:qFormat/>
    <w:rPr>
      <w:rFonts w:ascii="Calibri" w:hAnsi="Calibri" w:eastAsia="宋体" w:cs="Times New Roman"/>
      <w:szCs w:val="24"/>
    </w:rPr>
  </w:style>
  <w:style w:type="character" w:styleId="1295" w:customStyle="1">
    <w:name w:val="标题 字符1"/>
    <w:basedOn w:val="1050"/>
    <w:uiPriority w:val="10"/>
    <w:qFormat/>
    <w:rPr>
      <w:rFonts w:asciiTheme="majorHAnsi" w:hAnsiTheme="majorHAnsi" w:eastAsiaTheme="majorEastAsia" w:cstheme="majorBidi"/>
      <w:b/>
      <w:bCs/>
      <w:sz w:val="32"/>
      <w:szCs w:val="32"/>
    </w:rPr>
  </w:style>
  <w:style w:type="character" w:styleId="1296" w:customStyle="1">
    <w:name w:val="正文文本缩进 字符1"/>
    <w:basedOn w:val="1050"/>
    <w:uiPriority w:val="99"/>
    <w:semiHidden/>
    <w:qFormat/>
    <w:rPr>
      <w:rFonts w:ascii="Calibri" w:hAnsi="Calibri" w:eastAsia="宋体" w:cs="Times New Roman"/>
      <w:szCs w:val="24"/>
    </w:rPr>
  </w:style>
  <w:style w:type="character" w:styleId="1297" w:customStyle="1">
    <w:name w:val="副标题 字符1"/>
    <w:basedOn w:val="1050"/>
    <w:uiPriority w:val="11"/>
    <w:qFormat/>
    <w:rPr>
      <w:b/>
      <w:bCs/>
      <w:sz w:val="32"/>
      <w:szCs w:val="32"/>
    </w:rPr>
  </w:style>
  <w:style w:type="character" w:styleId="1298" w:customStyle="1">
    <w:name w:val="日期 字符1"/>
    <w:basedOn w:val="1050"/>
    <w:uiPriority w:val="99"/>
    <w:semiHidden/>
    <w:qFormat/>
    <w:rPr>
      <w:rFonts w:ascii="Calibri" w:hAnsi="Calibri" w:eastAsia="宋体" w:cs="Times New Roman"/>
      <w:szCs w:val="24"/>
    </w:rPr>
  </w:style>
  <w:style w:type="paragraph" w:styleId="1299" w:customStyle="1">
    <w:name w:val="修订2"/>
    <w:uiPriority w:val="99"/>
    <w:unhideWhenUsed/>
    <w:qFormat/>
    <w:rPr>
      <w:rFonts w:ascii="Calibri" w:hAnsi="Calibri" w:eastAsia="宋体" w:cs="Times New Roman"/>
      <w:sz w:val="21"/>
      <w:szCs w:val="24"/>
      <w:lang w:val="en-US" w:eastAsia="zh-CN" w:bidi="ar-SA"/>
    </w:rPr>
  </w:style>
  <w:style w:type="character" w:styleId="1300" w:customStyle="1">
    <w:name w:val="正文文本 字符1"/>
    <w:basedOn w:val="1050"/>
    <w:uiPriority w:val="99"/>
    <w:semiHidden/>
    <w:qFormat/>
    <w:rPr>
      <w:rFonts w:ascii="Calibri" w:hAnsi="Calibri" w:eastAsia="宋体" w:cs="Times New Roman"/>
      <w:szCs w:val="24"/>
    </w:rPr>
  </w:style>
  <w:style w:type="character" w:styleId="1301" w:customStyle="1">
    <w:name w:val="批注框文本 字符1"/>
    <w:basedOn w:val="1050"/>
    <w:uiPriority w:val="99"/>
    <w:semiHidden/>
    <w:qFormat/>
    <w:rPr>
      <w:rFonts w:ascii="Calibri" w:hAnsi="Calibri" w:eastAsia="宋体" w:cs="Times New Roman"/>
      <w:sz w:val="18"/>
      <w:szCs w:val="18"/>
    </w:rPr>
  </w:style>
  <w:style w:type="paragraph" w:styleId="1302" w:customStyle="1">
    <w:name w:val="小四 段落 宋体 Char Char Char"/>
    <w:basedOn w:val="1054"/>
    <w:uiPriority w:val="0"/>
    <w:qFormat/>
    <w:pPr>
      <w:numPr>
        <w:ilvl w:val="0"/>
        <w:numId w:val="0"/>
      </w:numPr>
      <w:ind w:right="-33" w:firstLine="480"/>
      <w:jc w:val="left"/>
      <w:spacing w:line="360" w:lineRule="auto"/>
    </w:pPr>
    <w:rPr>
      <w:rFonts w:ascii="Times New Roman" w:hAnsi="Times New Roman"/>
      <w:sz w:val="24"/>
      <w:szCs w:val="20"/>
    </w:rPr>
  </w:style>
  <w:style w:type="character" w:styleId="1303" w:customStyle="1">
    <w:name w:val="纯文本 字符1"/>
    <w:basedOn w:val="1050"/>
    <w:uiPriority w:val="99"/>
    <w:semiHidden/>
    <w:qFormat/>
    <w:rPr>
      <w:rFonts w:hAnsi="Courier New" w:cs="Courier New" w:asciiTheme="minorEastAsia"/>
      <w:szCs w:val="24"/>
    </w:rPr>
  </w:style>
  <w:style w:type="character" w:styleId="1304" w:customStyle="1">
    <w:name w:val="文档结构图 字符1"/>
    <w:basedOn w:val="1050"/>
    <w:uiPriority w:val="99"/>
    <w:semiHidden/>
    <w:qFormat/>
    <w:rPr>
      <w:rFonts w:ascii="Microsoft YaHei UI" w:hAnsi="Calibri" w:eastAsia="Microsoft YaHei UI" w:cs="Times New Roman"/>
      <w:sz w:val="18"/>
      <w:szCs w:val="18"/>
    </w:rPr>
  </w:style>
  <w:style w:type="character" w:styleId="1305" w:customStyle="1">
    <w:name w:val="正文文本 3 字符1"/>
    <w:basedOn w:val="1050"/>
    <w:uiPriority w:val="99"/>
    <w:semiHidden/>
    <w:qFormat/>
    <w:rPr>
      <w:rFonts w:ascii="Calibri" w:hAnsi="Calibri" w:eastAsia="宋体" w:cs="Times New Roman"/>
      <w:sz w:val="16"/>
      <w:szCs w:val="16"/>
    </w:rPr>
  </w:style>
  <w:style w:type="paragraph" w:styleId="1306" w:customStyle="1">
    <w:name w:val="_Style 106"/>
    <w:basedOn w:val="1040"/>
    <w:next w:val="1111"/>
    <w:uiPriority w:val="34"/>
    <w:qFormat/>
    <w:pPr>
      <w:ind w:left="420" w:firstLine="420"/>
      <w:spacing w:line="400" w:lineRule="exact"/>
    </w:pPr>
    <w:rPr>
      <w:rFonts w:ascii="Calibri" w:hAnsi="Calibri"/>
    </w:rPr>
  </w:style>
  <w:style w:type="character" w:styleId="1307" w:customStyle="1">
    <w:name w:val="正文文本缩进 3 字符1"/>
    <w:basedOn w:val="1050"/>
    <w:uiPriority w:val="99"/>
    <w:semiHidden/>
    <w:qFormat/>
    <w:rPr>
      <w:rFonts w:ascii="Calibri" w:hAnsi="Calibri" w:eastAsia="宋体" w:cs="Times New Roman"/>
      <w:sz w:val="16"/>
      <w:szCs w:val="16"/>
    </w:rPr>
  </w:style>
  <w:style w:type="character" w:styleId="1308" w:customStyle="1">
    <w:name w:val="未处理的提及4"/>
    <w:basedOn w:val="1050"/>
    <w:uiPriority w:val="99"/>
    <w:semiHidden/>
    <w:unhideWhenUsed/>
    <w:qFormat/>
    <w:rPr>
      <w:color w:val="605e5c"/>
      <w:shd w:val="clear" w:color="auto" w:fill="e1dfdd"/>
    </w:rPr>
  </w:style>
  <w:style w:type="character" w:styleId="1309" w:customStyle="1">
    <w:name w:val="未处理的提及5"/>
    <w:basedOn w:val="1050"/>
    <w:uiPriority w:val="99"/>
    <w:semiHidden/>
    <w:unhideWhenUsed/>
    <w:qFormat/>
    <w:rPr>
      <w:color w:val="605e5c"/>
      <w:shd w:val="clear" w:color="auto" w:fill="e1dfdd"/>
    </w:rPr>
  </w:style>
  <w:style w:type="character" w:styleId="1310" w:customStyle="1">
    <w:name w:val="未处理的提及6"/>
    <w:basedOn w:val="1050"/>
    <w:uiPriority w:val="99"/>
    <w:semiHidden/>
    <w:unhideWhenUsed/>
    <w:qFormat/>
    <w:rPr>
      <w:color w:val="605e5c"/>
      <w:shd w:val="clear" w:color="auto" w:fill="e1dfdd"/>
    </w:rPr>
  </w:style>
  <w:style w:type="character" w:styleId="1311" w:customStyle="1">
    <w:name w:val="font101"/>
    <w:uiPriority w:val="0"/>
    <w:qFormat/>
    <w:rPr>
      <w:rFonts w:ascii="PingFangTC-light" w:hAnsi="PingFangTC-light" w:eastAsia="PingFangTC-light" w:cs="PingFangTC-light"/>
      <w:color w:val="ff0000"/>
      <w:sz w:val="22"/>
      <w:szCs w:val="22"/>
      <w:u w:val="none"/>
    </w:rPr>
  </w:style>
  <w:style w:type="character" w:styleId="1312" w:customStyle="1">
    <w:name w:val="font112"/>
    <w:uiPriority w:val="0"/>
    <w:qFormat/>
    <w:rPr>
      <w:rFonts w:ascii="Calibri" w:hAnsi="Calibri" w:cs="Calibri"/>
      <w:color w:val="ff0000"/>
      <w:sz w:val="21"/>
      <w:szCs w:val="21"/>
      <w:u w:val="none"/>
    </w:rPr>
  </w:style>
  <w:style w:type="character" w:styleId="1313" w:customStyle="1">
    <w:name w:val="font121"/>
    <w:uiPriority w:val="0"/>
    <w:qFormat/>
    <w:rPr>
      <w:rFonts w:hint="eastAsia" w:ascii="宋体" w:hAnsi="宋体" w:eastAsia="宋体" w:cs="宋体"/>
      <w:color w:val="000000"/>
      <w:sz w:val="20"/>
      <w:szCs w:val="20"/>
      <w:u w:val="none"/>
    </w:rPr>
  </w:style>
  <w:style w:type="character" w:styleId="1314" w:customStyle="1">
    <w:name w:val="纯文本 Char"/>
    <w:uiPriority w:val="0"/>
    <w:qFormat/>
    <w:rPr>
      <w:rFonts w:ascii="宋体" w:hAnsi="Courier New" w:eastAsia="宋体" w:cs="Courier New"/>
      <w:szCs w:val="21"/>
    </w:rPr>
  </w:style>
  <w:style w:type="character" w:styleId="1315" w:customStyle="1">
    <w:name w:val="NormalCharacter"/>
    <w:uiPriority w:val="0"/>
    <w:qFormat/>
    <w:rPr>
      <w:rFonts w:ascii="Times New Roman" w:hAnsi="Times New Roman" w:eastAsia="宋体" w:cs="Times New Roman"/>
      <w:sz w:val="21"/>
      <w:szCs w:val="22"/>
      <w:lang w:val="en-US" w:eastAsia="zh-CN" w:bidi="ar-SA"/>
    </w:rPr>
  </w:style>
  <w:style w:type="paragraph" w:styleId="1316" w:customStyle="1">
    <w:name w:val="样式 宋体 五号 行距: 单倍行距"/>
    <w:basedOn w:val="1040"/>
    <w:uiPriority w:val="0"/>
    <w:qFormat/>
    <w:pPr>
      <w:jc w:val="left"/>
    </w:pPr>
    <w:rPr>
      <w:rFonts w:ascii="宋体" w:hAnsi="宋体"/>
      <w:szCs w:val="20"/>
    </w:rPr>
  </w:style>
  <w:style w:type="paragraph" w:styleId="1317" w:customStyle="1">
    <w:name w:val="列表段落1"/>
    <w:basedOn w:val="1040"/>
    <w:uiPriority w:val="99"/>
    <w:qFormat/>
    <w:pPr>
      <w:ind w:firstLine="420"/>
    </w:pPr>
    <w:rPr>
      <w:szCs w:val="20"/>
    </w:rPr>
  </w:style>
  <w:style w:type="character" w:styleId="1318" w:customStyle="1">
    <w:name w:val="fontstyle31"/>
    <w:uiPriority w:val="0"/>
    <w:qFormat/>
    <w:rPr>
      <w:rFonts w:hint="default" w:ascii="TimesNewRomanPS-BoldMT" w:hAnsi="TimesNewRomanPS-BoldMT"/>
      <w:b/>
      <w:bCs/>
      <w:color w:val="000000"/>
      <w:sz w:val="22"/>
      <w:szCs w:val="22"/>
    </w:rPr>
  </w:style>
  <w:style w:type="paragraph" w:styleId="131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21"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322" w:customStyle="1">
    <w:name w:val="招标"/>
    <w:basedOn w:val="1040"/>
    <w:uiPriority w:val="0"/>
    <w:qFormat/>
    <w:pPr>
      <w:ind w:firstLine="420"/>
      <w:jc w:val="left"/>
      <w:spacing w:line="400" w:lineRule="exact"/>
    </w:pPr>
    <w:rPr>
      <w:rFonts w:ascii="宋体" w:hAnsi="宋体"/>
    </w:rPr>
  </w:style>
  <w:style w:type="paragraph" w:styleId="132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24" w:customStyle="1">
    <w:name w:val="二级目录"/>
    <w:next w:val="1040"/>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32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32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27"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328" w:customStyle="1">
    <w:name w:val="NormalCharacter1"/>
    <w:uiPriority w:val="0"/>
    <w:qFormat/>
    <w:rPr>
      <w:sz w:val="21"/>
      <w:szCs w:val="24"/>
      <w:lang w:val="en-US" w:eastAsia="zh-CN" w:bidi="ar-SA"/>
    </w:rPr>
  </w:style>
  <w:style w:type="numbering" w:styleId="1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陆蓉</cp:lastModifiedBy>
  <cp:revision>6</cp:revision>
  <dcterms:created xsi:type="dcterms:W3CDTF">2026-04-24T07:10:00Z</dcterms:created>
  <dcterms:modified xsi:type="dcterms:W3CDTF">2026-11-06T08:34:33Z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C0784588B68248289092F5E1A0E40296_13</vt:lpwstr>
  </property>
  <property fmtid="{D5CDD505-2E9C-101B-9397-08002B2CF9AE}" pid="4" name="KSOTemplateDocerSaveRecord">
    <vt:lpwstr>eyJoZGlkIjoiNDlmMGEzZDVhYTA0YWM5MGMzZGQ2YmU4MGMwMDk0MzgiLCJ1c2VySWQiOiIxMzYyMTQ5MzYyIn0=</vt:lpwstr>
  </property>
</Properties>
</file>