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90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90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90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项目名称：江苏省电气焊数字化监管模块建设</w:t>
      </w:r>
      <w:r>
        <w:rPr>
          <w:rFonts w:hint="eastAsia" w:ascii="方正黑体_GBK" w:hAnsi="方正黑体_GBK" w:eastAsia="方正黑体_GBK" w:cs="方正黑体_GBK"/>
          <w:b w:val="0"/>
          <w:bCs w:val="0"/>
          <w:color w:val="000000"/>
          <w:sz w:val="28"/>
          <w:szCs w:val="28"/>
        </w:rPr>
      </w:r>
      <w:r/>
    </w:p>
    <w:p>
      <w:pPr>
        <w:pStyle w:val="904"/>
        <w:ind w:firstLine="84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JSZC-320000-SCZX-C2026-0549  </w:t>
      </w:r>
      <w:r>
        <w:rPr>
          <w:rFonts w:ascii="Arial" w:hAnsi="Arial"/>
          <w:b/>
          <w:bCs/>
          <w:color w:val="000000"/>
          <w:sz w:val="28"/>
          <w:szCs w:val="28"/>
        </w:rPr>
        <w:t xml:space="preserve">            </w:t>
      </w:r>
      <w:r>
        <w:rPr>
          <w:rFonts w:ascii="Arial" w:hAnsi="Arial"/>
          <w:b/>
          <w:bCs/>
          <w:color w:val="000000"/>
          <w:sz w:val="28"/>
          <w:szCs w:val="28"/>
        </w:rPr>
      </w:r>
      <w:r/>
    </w:p>
    <w:p>
      <w:pPr>
        <w:pStyle w:val="904"/>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left"/>
        <w:spacing w:line="360" w:lineRule="auto"/>
        <w:rPr>
          <w:rFonts w:hint="eastAsia" w:ascii="宋体" w:hAnsi="宋体"/>
          <w:sz w:val="24"/>
          <w:szCs w:val="24"/>
        </w:rPr>
      </w:pPr>
      <w:r>
        <w:rPr>
          <w:rFonts w:hint="eastAsia" w:ascii="宋体" w:hAnsi="宋体"/>
          <w:sz w:val="24"/>
          <w:szCs w:val="24"/>
        </w:rPr>
      </w:r>
      <w:r/>
    </w:p>
    <w:p>
      <w:pPr>
        <w:pStyle w:val="90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90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11</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90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4"/>
        <w:jc w:val="center"/>
        <w:spacing w:before="120" w:after="120" w:line="360" w:lineRule="auto"/>
        <w:rPr>
          <w:rFonts w:hint="eastAsia" w:ascii="Arial" w:hAnsi="Arial"/>
          <w:sz w:val="24"/>
          <w:szCs w:val="24"/>
        </w:rPr>
      </w:pPr>
      <w:r>
        <w:rPr>
          <w:rFonts w:hint="eastAsia" w:ascii="Arial" w:hAnsi="Arial"/>
          <w:sz w:val="24"/>
          <w:szCs w:val="24"/>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r>
      <w:r/>
    </w:p>
    <w:p>
      <w:pPr>
        <w:pStyle w:val="90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90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90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36</w:t>
      </w:r>
      <w:r>
        <w:rPr>
          <w:rFonts w:ascii="方正黑体_GBK" w:hAnsi="方正黑体_GBK" w:eastAsia="方正黑体_GBK" w:cs="方正黑体_GBK"/>
          <w:b w:val="0"/>
          <w:bCs/>
          <w:sz w:val="28"/>
          <w:szCs w:val="28"/>
          <w:lang w:val="en-US" w:eastAsia="zh-CN"/>
        </w:rPr>
      </w:r>
      <w:r/>
    </w:p>
    <w:p>
      <w:pPr>
        <w:pStyle w:val="90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46</w:t>
      </w:r>
      <w:r>
        <w:rPr>
          <w:rFonts w:ascii="方正黑体_GBK" w:hAnsi="方正黑体_GBK" w:eastAsia="方正黑体_GBK" w:cs="方正黑体_GBK"/>
          <w:b w:val="0"/>
          <w:bCs/>
          <w:sz w:val="28"/>
          <w:szCs w:val="28"/>
          <w:lang w:val="en-US" w:eastAsia="zh-CN"/>
        </w:rPr>
      </w:r>
      <w:r/>
    </w:p>
    <w:p>
      <w:pPr>
        <w:pStyle w:val="904"/>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r>
      <w:r>
        <w:rPr>
          <w:rFonts w:hint="eastAsia" w:ascii="方正黑体_GBK" w:hAnsi="方正黑体_GBK" w:eastAsia="方正黑体_GBK" w:cs="方正黑体_GBK"/>
          <w:sz w:val="28"/>
          <w:szCs w:val="28"/>
          <w:highlight w:val="none"/>
        </w:rPr>
      </w:r>
      <w:r/>
    </w:p>
    <w:p>
      <w:pPr>
        <w:pStyle w:val="904"/>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受江苏省应急管理厅（机关）的委托，江苏省政府采购中心就江苏省电气焊数字化监管模块建设(JSZC-320000-SCZX-C2026-0549)项目进行竞争性磋商采购，欢迎符合条件的供应商参加磋商。</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(江苏省电气焊数字化监管模块建设)</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17</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w:t>
      </w:r>
      <w:r>
        <w:rPr>
          <w:rFonts w:hint="eastAsia" w:ascii="Times New Roman" w:hAnsi="Times New Roman" w:eastAsia="方正黑体_GBK" w:cs="Times New Roman"/>
          <w:b w:val="0"/>
          <w:bCs w:val="0"/>
          <w:sz w:val="28"/>
          <w:szCs w:val="28"/>
          <w:lang w:val="en-US" w:eastAsia="zh-CN"/>
        </w:rPr>
        <w:t xml:space="preserve">SCZX-C2026-0549</w:t>
      </w:r>
      <w:r>
        <w:rPr>
          <w:rFonts w:hint="eastAsia" w:ascii="Times New Roman" w:hAnsi="Times New Roman" w:eastAsia="方正黑体_GBK" w:cs="Times New Roman"/>
          <w:b w:val="0"/>
          <w:bCs w:val="0"/>
          <w:sz w:val="28"/>
          <w:szCs w:val="28"/>
        </w:rPr>
        <w:t xml:space="preserve"> </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2.项目名称：江苏省电气焊数字化监管模块建设</w:t>
      </w:r>
      <w:r>
        <w:rPr>
          <w:rFonts w:hint="eastAsia" w:ascii="方正仿宋_GBK" w:hAnsi="方正仿宋_GBK" w:eastAsia="方正仿宋_GBK" w:cs="方正仿宋_GBK"/>
          <w:sz w:val="28"/>
          <w:szCs w:val="28"/>
          <w:lang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04"/>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44.03</w:t>
            </w:r>
            <w:r>
              <w:rPr>
                <w:rFonts w:ascii="方正仿宋_GBK" w:hAnsi="方正仿宋_GBK" w:eastAsia="方正仿宋_GBK" w:cs="方正仿宋_GBK"/>
                <w:sz w:val="28"/>
                <w:szCs w:val="28"/>
                <w:lang w:val="en-US" w:eastAsia="zh-CN"/>
              </w:rPr>
            </w:r>
            <w:r/>
          </w:p>
        </w:tc>
      </w:tr>
    </w:tbl>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0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0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0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0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0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04"/>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44.03</w:t>
            </w:r>
            <w:r>
              <w:rPr>
                <w:rFonts w:ascii="方正仿宋_GBK" w:hAnsi="方正仿宋_GBK" w:eastAsia="方正仿宋_GBK" w:cs="方正仿宋_GBK"/>
                <w:color w:val="000000"/>
                <w:sz w:val="28"/>
                <w:szCs w:val="28"/>
                <w:lang w:val="en-US" w:eastAsia="zh-CN"/>
              </w:rPr>
            </w:r>
            <w:r/>
          </w:p>
        </w:tc>
      </w:tr>
    </w:tbl>
    <w:p>
      <w:pPr>
        <w:pStyle w:val="904"/>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.采购需求（简介）：详细内容见本磋商文件第四章</w:t>
      </w:r>
      <w:r>
        <w:rPr>
          <w:rFonts w:ascii="宋体" w:hAnsi="宋体"/>
          <w:sz w:val="28"/>
          <w:szCs w:val="28"/>
          <w:u w:val="single"/>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.合同履行期限：详细内容见本磋商文件第四章</w:t>
      </w:r>
      <w:r>
        <w:rPr>
          <w:rFonts w:hint="eastAsia" w:ascii="方正仿宋_GBK" w:hAnsi="方正仿宋_GBK" w:eastAsia="方正仿宋_GBK" w:cs="方正仿宋_GBK"/>
          <w:sz w:val="28"/>
          <w:szCs w:val="28"/>
          <w:lang w:eastAsia="zh-CN"/>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8985264"/>
      <w:r/>
      <w:bookmarkStart w:id="13" w:name="_Toc28359003"/>
      <w:r/>
      <w:bookmarkStart w:id="14" w:name="_Toc28359080"/>
      <w:r/>
      <w:bookmarkStart w:id="15" w:name="_Toc35393791"/>
      <w:r/>
      <w:bookmarkStart w:id="16" w:name="_Toc35393622"/>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8985265"/>
      <w:r/>
      <w:bookmarkStart w:id="18" w:name="_Toc35393792"/>
      <w:r/>
      <w:bookmarkStart w:id="19" w:name="_Toc28359081"/>
      <w:r/>
      <w:bookmarkStart w:id="20" w:name="_Toc35393623"/>
      <w:r/>
      <w:bookmarkStart w:id="21" w:name="_Toc28359004"/>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0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17</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84"/>
      <w:r/>
      <w:bookmarkStart w:id="28" w:name="_Toc28359007"/>
      <w:r/>
      <w:bookmarkStart w:id="29" w:name="_Toc35393625"/>
      <w:r/>
      <w:bookmarkStart w:id="30" w:name="_Toc38985267"/>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08"/>
      <w:r/>
      <w:bookmarkStart w:id="36" w:name="_Toc38985269"/>
      <w:r/>
      <w:bookmarkStart w:id="37" w:name="_Toc35393627"/>
      <w:r/>
      <w:bookmarkStart w:id="38" w:name="_Toc35393796"/>
      <w:r/>
      <w:bookmarkStart w:id="39" w:name="_Toc28359085"/>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904"/>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江苏省应急管理厅（机关）　　</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南京市北京西路15-1号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周小云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025-83332331</w:t>
      </w:r>
      <w:r>
        <w:rPr>
          <w:rFonts w:hint="eastAsia" w:ascii="方正仿宋_GBK" w:hAnsi="方正仿宋_GBK" w:eastAsia="方正仿宋_GBK" w:cs="方正仿宋_GBK"/>
          <w:sz w:val="28"/>
          <w:szCs w:val="28"/>
          <w:u w:val="single"/>
        </w:rPr>
        <w:t xml:space="preserve">　　 </w:t>
      </w:r>
      <w:bookmarkStart w:id="42" w:name="_Toc28359009"/>
      <w:r/>
      <w:bookmarkStart w:id="43" w:name="_Toc28359086"/>
      <w:r>
        <w:rPr>
          <w:rFonts w:hint="eastAsia" w:ascii="方正仿宋_GBK" w:hAnsi="方正仿宋_GBK" w:eastAsia="方正仿宋_GBK" w:cs="方正仿宋_GBK"/>
          <w:sz w:val="28"/>
          <w:szCs w:val="28"/>
          <w:u w:val="single"/>
        </w:rPr>
      </w:r>
      <w:r/>
    </w:p>
    <w:p>
      <w:pPr>
        <w:pStyle w:val="90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南京市建邺区汉中门大街145号二期三楼</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时富荣</w:t>
      </w:r>
      <w:r>
        <w:rPr>
          <w:rFonts w:hint="eastAsia" w:ascii="方正仿宋_GBK" w:hAnsi="方正仿宋_GBK" w:eastAsia="方正仿宋_GBK" w:cs="方正仿宋_GBK"/>
          <w:sz w:val="28"/>
          <w:szCs w:val="28"/>
          <w:u w:val="single"/>
        </w:rPr>
        <w:t xml:space="preserve">、许滢</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025-83668559　　　　　　　　　　</w:t>
      </w:r>
      <w:r>
        <w:rPr>
          <w:rFonts w:hint="eastAsia" w:ascii="方正仿宋_GBK" w:hAnsi="方正仿宋_GBK" w:eastAsia="方正仿宋_GBK" w:cs="方正仿宋_GBK"/>
          <w:sz w:val="28"/>
          <w:szCs w:val="28"/>
          <w:highlight w:val="none"/>
          <w:shd w:val="clear" w:color="ffffff" w:fill="d9d9d9"/>
        </w:rPr>
      </w:r>
      <w:r/>
    </w:p>
    <w:p>
      <w:pPr>
        <w:pStyle w:val="90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40"/>
      <w:r/>
      <w:bookmarkEnd w:id="41"/>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ind w:right="840"/>
        <w:rPr>
          <w:rFonts w:hint="eastAsia" w:ascii="宋体" w:hAnsi="宋体"/>
          <w:sz w:val="24"/>
          <w:szCs w:val="24"/>
        </w:rPr>
      </w:pPr>
      <w:r>
        <w:rPr>
          <w:rFonts w:hint="eastAsia" w:ascii="宋体" w:hAnsi="宋体"/>
          <w:sz w:val="24"/>
          <w:szCs w:val="24"/>
        </w:rPr>
      </w:r>
      <w:r/>
    </w:p>
    <w:p>
      <w:pPr>
        <w:pStyle w:val="90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513029203"/>
      <w:r/>
      <w:bookmarkStart w:id="46" w:name="_Toc20823275"/>
      <w:r/>
      <w:bookmarkStart w:id="47" w:name="_Toc16938519"/>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513029209"/>
      <w:r/>
      <w:bookmarkStart w:id="50" w:name="_Toc120614215"/>
      <w:r/>
      <w:bookmarkStart w:id="51" w:name="_Toc16938525"/>
      <w:r/>
      <w:bookmarkStart w:id="52" w:name="_Toc20823281"/>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513029206"/>
      <w:r/>
      <w:bookmarkStart w:id="62" w:name="_Toc20823278"/>
      <w:r/>
      <w:bookmarkStart w:id="63" w:name="_Toc16938522"/>
      <w:r/>
      <w:bookmarkStart w:id="64" w:name="_Toc16938523"/>
      <w:r/>
      <w:bookmarkStart w:id="65" w:name="_Toc20823279"/>
      <w:r/>
      <w:bookmarkStart w:id="66" w:name="_Toc462564067"/>
      <w:r/>
      <w:bookmarkStart w:id="67" w:name="_Toc51302920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20614216"/>
      <w:r/>
      <w:bookmarkStart w:id="69" w:name="_Toc16938529"/>
      <w:r/>
      <w:bookmarkStart w:id="70" w:name="_Toc20823285"/>
      <w:r/>
      <w:bookmarkStart w:id="71" w:name="_Toc462564072"/>
      <w:r/>
      <w:bookmarkStart w:id="72"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16938526"/>
      <w:r/>
      <w:bookmarkStart w:id="74" w:name="_Toc20823282"/>
      <w:r/>
      <w:bookmarkStart w:id="75"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20823284"/>
      <w:r/>
      <w:bookmarkStart w:id="77" w:name="_Toc513029212"/>
      <w:r/>
      <w:bookmarkStart w:id="78" w:name="_Toc462564071"/>
      <w:r/>
      <w:bookmarkStart w:id="79"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16938530"/>
      <w:r/>
      <w:bookmarkStart w:id="83" w:name="_Toc462564073"/>
      <w:r/>
      <w:bookmarkStart w:id="84" w:name="_Toc513029214"/>
      <w:r/>
      <w:bookmarkStart w:id="85" w:name="_Toc20823286"/>
      <w:r/>
      <w:bookmarkStart w:id="86" w:name="_Toc120614217"/>
      <w:r/>
      <w:bookmarkStart w:id="87" w:name="_Toc513029224"/>
      <w:r/>
      <w:bookmarkStart w:id="88" w:name="_Toc16938540"/>
      <w:r/>
      <w:bookmarkStart w:id="89" w:name="_Toc20823296"/>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462564074"/>
      <w:r/>
      <w:bookmarkStart w:id="92" w:name="_Toc16938531"/>
      <w:r/>
      <w:bookmarkStart w:id="93"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14577354"/>
      <w:r/>
      <w:bookmarkStart w:id="97" w:name="_Toc513029216"/>
      <w:r/>
      <w:bookmarkStart w:id="98" w:name="_Toc49090507"/>
      <w:r/>
      <w:bookmarkStart w:id="99" w:name="_Toc14577355"/>
      <w:r/>
      <w:bookmarkStart w:id="100" w:name="_Toc49090508"/>
      <w:r/>
      <w:bookmarkStart w:id="101" w:name="_Hlt26668975"/>
      <w:r/>
      <w:bookmarkEnd w:id="101"/>
      <w:r/>
      <w:bookmarkStart w:id="102" w:name="_Hlt26670360"/>
      <w:r/>
      <w:bookmarkEnd w:id="102"/>
      <w:r/>
      <w:bookmarkStart w:id="103" w:name="_Hlt26954838"/>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954848"/>
      <w:r/>
      <w:bookmarkEnd w:id="106"/>
      <w:r/>
      <w:bookmarkStart w:id="107" w:name="_Hlt26670482"/>
      <w:r/>
      <w:bookmarkEnd w:id="107"/>
      <w:r/>
      <w:bookmarkStart w:id="108" w:name="_Hlt26670486"/>
      <w:r/>
      <w:bookmarkEnd w:id="108"/>
      <w:r/>
      <w:bookmarkStart w:id="109" w:name="_Hlt26954731"/>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120614218"/>
      <w:r/>
      <w:bookmarkStart w:id="115" w:name="_Toc16938545"/>
      <w:r/>
      <w:bookmarkStart w:id="116" w:name="_Toc20823301"/>
      <w:r/>
      <w:bookmarkStart w:id="117" w:name="_Toc513029229"/>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513029225"/>
      <w:r/>
      <w:bookmarkStart w:id="119" w:name="_Toc16938541"/>
      <w:r/>
      <w:bookmarkStart w:id="120" w:name="_Toc20823297"/>
      <w:r/>
      <w:bookmarkStart w:id="121"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513029227"/>
      <w:r/>
      <w:bookmarkStart w:id="127" w:name="_Toc20823299"/>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20823302"/>
      <w:r/>
      <w:bookmarkStart w:id="133" w:name="_Toc513029230"/>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513029233"/>
      <w:r/>
      <w:bookmarkStart w:id="141" w:name="_Toc20823305"/>
      <w:r/>
      <w:bookmarkStart w:id="142"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90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904"/>
        <w:ind w:firstLine="56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w:t>
      </w:r>
      <w:r>
        <w:rPr>
          <w:rFonts w:hint="eastAsia"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lang w:val="en-US" w:eastAsia="zh-CN"/>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16938550"/>
      <w:r/>
      <w:bookmarkStart w:id="144" w:name="_Toc513029234"/>
      <w:r/>
      <w:bookmarkStart w:id="145"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90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20614219"/>
      <w:r/>
      <w:bookmarkStart w:id="147" w:name="_Toc513029235"/>
      <w:r/>
      <w:bookmarkStart w:id="148" w:name="_Toc16938551"/>
      <w:r/>
      <w:bookmarkStart w:id="149" w:name="_Toc20823307"/>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90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904"/>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904"/>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90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20823308"/>
      <w:r/>
      <w:bookmarkStart w:id="157"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90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513029242"/>
      <w:r/>
      <w:bookmarkStart w:id="159" w:name="_Toc120614221"/>
      <w:r/>
      <w:bookmarkStart w:id="160" w:name="_Toc20823314"/>
      <w:r/>
      <w:bookmarkStart w:id="161" w:name="_Toc16938558"/>
      <w:r/>
      <w:bookmarkStart w:id="162" w:name="_Toc479757207"/>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16938553"/>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90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0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04"/>
        <w:spacing w:line="400" w:lineRule="exact"/>
        <w:rPr>
          <w:rFonts w:ascii="宋体" w:hAnsi="宋体"/>
          <w:bCs/>
          <w:color w:val="000000"/>
          <w:sz w:val="28"/>
          <w:szCs w:val="28"/>
          <w:highlight w:val="yellow"/>
        </w:rPr>
      </w:pPr>
      <w:r/>
      <w:bookmarkStart w:id="166" w:name="_Toc16938559"/>
      <w:r/>
      <w:bookmarkStart w:id="167" w:name="_Toc20823315"/>
      <w:r/>
      <w:bookmarkStart w:id="168" w:name="_Toc513029243"/>
      <w:r>
        <w:rPr>
          <w:rFonts w:ascii="宋体" w:hAnsi="宋体"/>
          <w:bCs/>
          <w:color w:val="000000"/>
          <w:sz w:val="28"/>
          <w:szCs w:val="28"/>
          <w:highlight w:val="yellow"/>
        </w:rPr>
      </w:r>
      <w:r/>
    </w:p>
    <w:p>
      <w:pPr>
        <w:pStyle w:val="904"/>
        <w:jc w:val="center"/>
        <w:spacing w:before="156" w:after="156"/>
        <w:rPr>
          <w:rFonts w:hint="eastAsia" w:ascii="宋体" w:hAnsi="宋体"/>
          <w:b/>
          <w:sz w:val="30"/>
          <w:szCs w:val="21"/>
        </w:rPr>
        <w:outlineLvl w:val="0"/>
      </w:pPr>
      <w:r>
        <w:rPr>
          <w:rFonts w:hint="eastAsia" w:ascii="宋体" w:hAnsi="宋体"/>
          <w:b/>
          <w:sz w:val="30"/>
          <w:szCs w:val="21"/>
        </w:rPr>
      </w:r>
      <w:r/>
    </w:p>
    <w:p>
      <w:pPr>
        <w:pStyle w:val="935"/>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04"/>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4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90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90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90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90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904"/>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04"/>
        <w:ind w:firstLine="480"/>
        <w:jc w:val="right"/>
        <w:spacing w:line="500" w:lineRule="exact"/>
        <w:rPr>
          <w:rFonts w:ascii="Times New Roman" w:hAnsi="Times New Roman"/>
          <w:sz w:val="24"/>
          <w:szCs w:val="24"/>
        </w:rPr>
      </w:pPr>
      <w:r>
        <w:rPr>
          <w:rFonts w:ascii="Times New Roman" w:hAnsi="Times New Roman"/>
          <w:sz w:val="24"/>
          <w:szCs w:val="24"/>
        </w:rPr>
      </w:r>
      <w:r/>
    </w:p>
    <w:p>
      <w:pPr>
        <w:pStyle w:val="904"/>
        <w:ind w:firstLine="480"/>
        <w:jc w:val="right"/>
        <w:spacing w:line="500" w:lineRule="exact"/>
        <w:rPr>
          <w:rFonts w:ascii="Times New Roman" w:hAnsi="Times New Roman"/>
          <w:sz w:val="24"/>
          <w:szCs w:val="24"/>
        </w:rPr>
      </w:pPr>
      <w:r>
        <w:rPr>
          <w:rFonts w:hint="eastAsia" w:ascii="Times New Roman" w:hAnsi="Times New Roman"/>
          <w:sz w:val="24"/>
          <w:szCs w:val="24"/>
          <w:lang w:val="en-US" w:eastAsia="zh-CN"/>
        </w:rPr>
        <w:t xml:space="preserve"> </w:t>
      </w:r>
      <w:r>
        <w:rPr>
          <w:rFonts w:ascii="Times New Roman" w:hAnsi="Times New Roman"/>
          <w:sz w:val="24"/>
          <w:szCs w:val="24"/>
        </w:rPr>
      </w:r>
      <w:r/>
    </w:p>
    <w:p>
      <w:pPr>
        <w:pStyle w:val="906"/>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Toc26554093"/>
      <w:r/>
      <w:bookmarkStart w:id="171" w:name="_Toc49090575"/>
      <w:r/>
      <w:bookmarkStart w:id="172" w:name="_Toc479757211"/>
      <w:r/>
      <w:bookmarkStart w:id="173" w:name="_Toc462564139"/>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90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lang w:eastAsia="zh-CN"/>
              </w:rPr>
            </w:r>
            <w:r/>
          </w:p>
        </w:tc>
        <w:tc>
          <w:tcPr>
            <w:tcW w:w="1007"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904"/>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江苏省电气焊数字化监管模块建设</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90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0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0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i/>
          <w:sz w:val="28"/>
          <w:szCs w:val="28"/>
          <w:u w:val="single"/>
        </w:rPr>
      </w:r>
      <w:r/>
    </w:p>
    <w:p>
      <w:pPr>
        <w:pStyle w:val="904"/>
        <w:ind w:firstLine="561"/>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bookmarkStart w:id="174" w:name="_Toc47898962"/>
      <w:r/>
      <w:bookmarkStart w:id="175" w:name="_Toc35014671"/>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en-US" w:eastAsia="zh-CN"/>
        </w:rPr>
        <w:t xml:space="preserve">一）项目背景</w:t>
      </w:r>
      <w:r>
        <w:rPr>
          <w:rFonts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eastAsia="zh-CN"/>
        </w:rPr>
        <w:t xml:space="preserve">近年来，党中央、国务院高度重视安全生产工作，习近平总书记强调安全生产要坚持防患未然，做到“全覆盖、零容忍、严执法、重实效”。国务院安委会办公室印发《关于深刻汲取去年以来重特大火灾事故教训坚决整治违规施工和违规电气焊作业的通知》（安委办函〔2023〕38号），明确要求对电气焊作业严格实施全链条管理；《中华人民共和国安全生产法》《工贸企业重大事故隐患</w:t>
      </w:r>
      <w:r>
        <w:rPr>
          <w:rFonts w:hint="eastAsia" w:ascii="方正仿宋_GBK" w:hAnsi="方正仿宋_GBK" w:eastAsia="方正仿宋_GBK" w:cs="方正仿宋_GBK"/>
          <w:sz w:val="28"/>
          <w:szCs w:val="28"/>
          <w:lang w:val="zh-CN"/>
        </w:rPr>
        <w:t xml:space="preserve">判定标准》等法律法规亦对特种作业人员持证上岗、电气焊作业规范监管提出明确要求。江苏省深入贯彻落实国家战略部署，省政府印发《江苏省</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人工智能+</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行动方案》（苏政发〔2025〕108号），提出构建应急管理高质量数据集，打造监测预警、监管执法等典型应用场景；省应急管理厅同步制定《关于深入开展</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人工智能+</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应急管理行动的实施方案》，推动应急管理工作模式从传统治理向现代"智</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理转变，在“AI+风险监测预警</w:t>
      </w:r>
      <w:r>
        <w:rPr>
          <w:rFonts w:hint="eastAsia" w:ascii="方正仿宋_GBK" w:hAnsi="方正仿宋_GBK" w:eastAsia="方正仿宋_GBK" w:cs="方正仿宋_GBK"/>
          <w:sz w:val="28"/>
          <w:szCs w:val="28"/>
          <w:lang w:val="zh-CN" w:eastAsia="zh-CN"/>
        </w:rPr>
        <w:t xml:space="preserve">”</w:t>
      </w:r>
      <w:r>
        <w:rPr>
          <w:rFonts w:hint="eastAsia" w:ascii="方正仿宋_GBK" w:hAnsi="方正仿宋_GBK" w:eastAsia="方正仿宋_GBK" w:cs="方正仿宋_GBK"/>
          <w:sz w:val="28"/>
          <w:szCs w:val="28"/>
          <w:lang w:val="zh-CN"/>
        </w:rPr>
        <w:t xml:space="preserve">场景中明确要求围绕临时动火作业过程管控开展场景增强训练，利用AI算法识别作业环境风险隐患，监测各类违规违章作业行为。</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zh-CN" w:eastAsia="zh-CN"/>
        </w:rPr>
        <w:t xml:space="preserve">结合江苏省当前电气焊应用主体分散、从业人员持证意识薄弱、多部门监管数据难以互通、缺乏数字化预警机制等现状，以及全省涉焊企业众多、焊机总量大的实际需求。按照统一体系、统一架构，充分运用人工智能、物联网、大数据等技术推动安全生产管理创新，实现电气焊作业从</w:t>
      </w:r>
      <w:r>
        <w:rPr>
          <w:rFonts w:hint="eastAsia"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sz w:val="28"/>
          <w:szCs w:val="28"/>
          <w:lang w:val="zh-CN" w:eastAsia="zh-CN"/>
        </w:rPr>
        <w:t xml:space="preserve">以人管人”向</w:t>
      </w:r>
      <w:r>
        <w:rPr>
          <w:rFonts w:hint="eastAsia"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sz w:val="28"/>
          <w:szCs w:val="28"/>
          <w:lang w:val="zh-CN" w:eastAsia="zh-CN"/>
        </w:rPr>
        <w:t xml:space="preserve">以码管机、以机管人、以智管焊”转变，对全省电焊机“加芯赋码”、智能化改造，通过动火作业过程智能管控、焊机物联感知与智能预警等手段，实现“人、机、事”一体化管理，从源头防范化解安全风险，保障人民群众生命财产安全，江苏省应急管理厅需要搭建“江苏省电气焊数字化监管模块”。</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bookmarkEnd w:id="174"/>
      <w:r/>
      <w:bookmarkEnd w:id="175"/>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二）</w:t>
      </w:r>
      <w:r>
        <w:rPr>
          <w:rFonts w:hint="eastAsia" w:ascii="方正仿宋_GBK" w:hAnsi="方正仿宋_GBK" w:eastAsia="方正仿宋_GBK" w:cs="方正仿宋_GBK"/>
          <w:sz w:val="28"/>
          <w:szCs w:val="28"/>
        </w:rPr>
        <w:t xml:space="preserve">项目目标</w:t>
      </w:r>
      <w:r>
        <w:rPr>
          <w:rFonts w:hint="eastAsia" w:ascii="方正仿宋_GBK" w:hAnsi="方正仿宋_GBK" w:eastAsia="方正仿宋_GBK" w:cs="方正仿宋_GBK"/>
          <w:sz w:val="28"/>
          <w:szCs w:val="28"/>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委托第三方软件技术公司开发“江苏省电气焊数字化监管模块”，按照有关法律法规和规章制度，以规范电气焊作业秩序为导向，以破解无证作业、未批作业等突出问题为主线，以人工智能辅助隐患排查为突破口，以打通跨部门数据壁垒为重要支撑，全面提升电气焊作业安全监管效能。</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江苏省电气焊数字化监管模块的建设，旨在满足全省涉焊企业、电焊作业人员、监管人员等电气焊作业安全监管工作需求，以服务安全生产工作为导向，加强焊机设备、持证人员、动火作业数据资源共享，创新电气焊作业数字化监管方式，依托AI算法构建风险智能识别与预警模型，实现电气焊作业全流程闭环管理，并与政务服务网、应急管理</w:t>
      </w:r>
      <w:r>
        <w:rPr>
          <w:rFonts w:hint="eastAsia" w:ascii="方正仿宋_GBK" w:hAnsi="方正仿宋_GBK" w:eastAsia="方正仿宋_GBK" w:cs="方正仿宋_GBK"/>
          <w:sz w:val="28"/>
          <w:szCs w:val="28"/>
          <w:lang w:val="en-US" w:eastAsia="zh-CN"/>
        </w:rPr>
        <w:t xml:space="preserve">厅</w:t>
      </w:r>
      <w:r>
        <w:rPr>
          <w:rFonts w:hint="eastAsia" w:ascii="方正仿宋_GBK" w:hAnsi="方正仿宋_GBK" w:eastAsia="方正仿宋_GBK" w:cs="方正仿宋_GBK"/>
          <w:sz w:val="28"/>
          <w:szCs w:val="28"/>
          <w:lang w:val="zh-CN"/>
        </w:rPr>
        <w:t xml:space="preserve">相关信息平台等实现数据互联互通，提高服务水平和监管效率。</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三）功能要求</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3.1人工智能+风险监测预警</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依托人工智能技术，对动火作业现场风险要素进行自动化、智能化识别与分级预警，为后续动火作业控制提供明确风险依据，具体包含以下子模块。</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3.1.1大模型管理</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en-US" w:eastAsia="zh-CN"/>
        </w:rPr>
        <w:t xml:space="preserve">支持</w:t>
      </w:r>
      <w:r>
        <w:rPr>
          <w:rFonts w:hint="eastAsia" w:ascii="方正仿宋_GBK" w:hAnsi="方正仿宋_GBK" w:eastAsia="方正仿宋_GBK" w:cs="方正仿宋_GBK"/>
          <w:sz w:val="28"/>
          <w:szCs w:val="28"/>
          <w:lang w:val="zh-CN"/>
        </w:rPr>
        <w:t xml:space="preserve">对接主流大模型，借助大模型强大的图像识别能力，实现动火作业现场风险要素的自动化、智能化识别，为后续环境风险识别、消防设施识别等模块提供核心技术支撑；提供大模型接口配置管理功能，支持在后台配置大模型API地址、接入密钥、模型版本、调用超时时间、并发数等参数，支持</w:t>
      </w:r>
      <w:r>
        <w:rPr>
          <w:rFonts w:hint="eastAsia" w:ascii="方正仿宋_GBK" w:hAnsi="方正仿宋_GBK" w:eastAsia="方正仿宋_GBK" w:cs="方正仿宋_GBK"/>
          <w:sz w:val="28"/>
          <w:szCs w:val="28"/>
          <w:lang w:val="en-US" w:eastAsia="zh-CN"/>
        </w:rPr>
        <w:t xml:space="preserve">进行</w:t>
      </w:r>
      <w:r>
        <w:rPr>
          <w:rFonts w:hint="eastAsia" w:ascii="方正仿宋_GBK" w:hAnsi="方正仿宋_GBK" w:eastAsia="方正仿宋_GBK" w:cs="方正仿宋_GBK"/>
          <w:sz w:val="28"/>
          <w:szCs w:val="28"/>
          <w:lang w:val="zh-CN"/>
        </w:rPr>
        <w:t xml:space="preserve">模型切换。</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3.1.2焊机监测预警</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承接图像识别大模型接入模块的识别能力，该模块是风险管控的核心前置环节，分为易燃物检测、可燃物分类预警两个子模块，核心作用是基于大模型识别能力，精准识别作业现场环境中的易燃物风险，并根据风险等级进行分级预警，提前防范环境风险，为后续动火作业控制提供明确的风险依据。</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3.1.2.1易燃物检测</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en-US" w:eastAsia="zh-CN"/>
        </w:rPr>
        <w:t xml:space="preserve">支持</w:t>
      </w:r>
      <w:r>
        <w:rPr>
          <w:rFonts w:hint="eastAsia" w:ascii="方正仿宋_GBK" w:hAnsi="方正仿宋_GBK" w:eastAsia="方正仿宋_GBK" w:cs="方正仿宋_GBK"/>
          <w:sz w:val="28"/>
          <w:szCs w:val="28"/>
          <w:lang w:val="zh-CN"/>
        </w:rPr>
        <w:t xml:space="preserve">对作业现场各类易燃可燃物进行精准识别，覆盖作业现场可能存在的易燃物类型，确保无遗漏、无误判。</w:t>
      </w:r>
      <w:r>
        <w:rPr>
          <w:rFonts w:hint="eastAsia" w:ascii="方正仿宋_GBK" w:hAnsi="方正仿宋_GBK" w:eastAsia="方正仿宋_GBK" w:cs="方正仿宋_GBK"/>
          <w:sz w:val="28"/>
          <w:szCs w:val="28"/>
          <w:lang w:val="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3.1.2.2可燃物分类预警</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根据各类可燃物的危险程度，将其划分为高、中、低三个危险等级，对应设置不同的报警级别，针对不同等级的风险自动触发相应的预警机制，及时提醒相关人员关注并处置风险，实现风险的分级管控、精准预警。</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3.2动火作业全流程数字化管理</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在已有系统基础上扩展构建覆盖动火作业全生命周期的数字化管理应用，实现作业流程的标准化、透明化与责任可追溯。在作业现场，通过对接省数据局苏服办人脸识别等人工智能技术组件实现人员资质的核验，并强制关键节点如"进场、过程监控、退场"需经安全员或作业人员在线确认，杜绝管理漏洞。集成"一键报警"应急功能，在火情等险情发生时，通过短信、小程序等多渠道向行业监管部门、企业等部门进行预警，通过全流程数据留痕，全面提升动火作业的安全监管效能与应急处置能力，筑牢安全防线。</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3.2.1动火作业前规范行为</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配置在动火作业开始前，对作业现场的环境安全条件进行自动化核验，重点核查易燃物清理情况、消防设施配备情况、作业人员资质等核心安全条件，只有全部满足安全要求后，方可允许作业开展，从源头防范作业风险。</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3.2.2动火作业时过程管控</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在动火作业过程中，对作业现场风险进行实时监测，当系统发现高危隐患时，自动触发作业暂停提醒，必要时强制暂停作业，同时通知安全员、监管人员及时到场处置，避免风险扩大，保障作业人员人身安全与现场财产安全。</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3.2.3动火作业后信息复盘</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支持电气焊作业后对每起动火作业数据进行分析研判，通过大数据算法排出高危焊工和高危企业，为各地各部门分级分类监管提供支撑。</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3.3动火作业AI助手</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构建智能化知识服务与现场作业支撑体系，为用户提供精准知识查询与场景化作业赋能。模块整合动火作业相关知识资源，搭建专项知识库，支持按地域等维度精准检索；依托智能联想算法，实现输入关键词时自动推荐关联问题，提升查询效率。通过打造集知识检索、智能问答、资源匹配于一体的AI助手，打通知识管理与现场作业的衔接通道，降低信息获取门槛，为作业人员、安全员等提供高效知识支撑。</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3.3.1专项知识库管理</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动火作业相关知识资源的统一管理，建立涵盖多类别条目专项知识库，支持知识条目的新增、编辑、删除、分类标签管理及按地域、作业类型等维度的检索。支持预警阈值可视化配置，可动态设置和调整各类预警规则的灵敏度阈值，支持阈值的批量配置和一键生效。支持统一管理结构化数据、图像数据、芯片数据，实现对复合违规行为识别。</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3.3.2智能检索与问答</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知识库关键词全局检索，用户输入关键词后，系统对知识库中各类知识条目进行全文匹配检索，返回相关条目列表并按相关度排序展示。支持多维度条件精准筛选，在检索结果基础上，可结合地域、作业类型、知识分类等维度条件进行组合筛选，支持筛选条件的添加、移除和重置，快速定位所需知识内容。</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3.3.3场景化作业支撑</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3.3.3.1风险感知</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支持作业前作业环境风险识别结果的自动预警推送，当大模型图像识别出作业现场存在风险要素时，系统根据风险等级自动向作业人员、安全员发送预警提醒，支持多渠道推送预警信息。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支持基于预设预警规则的焊机作业联动控制，管理员可在后台配置不同风险等级对应的设备管控策略，当识别到对应等级风险时，系统自动向关联焊机下发控制指令，实现风险识别与设备管控的自动联动。</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3.3.3.2动态决策分析</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集成规则引擎与机器学习模型，对作业现场风险进行实时分级评估，根据风险等级自动触发对应的管控策略：一级风险（低）自动推送预警信息至作业人员；二级风险（中）强制暂停作业并通知安全员现场核验；三级风险（高）立即切断作业电源并启动应急预案；同时通过物联网设备联动实现自动化管控。</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3.3.3.3物联网设备联动管控</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在动火作业控制模块的基础上，进一步强化管控能力，对流动焊机实施电子围栏管理，超范围作业无法开展；对高风险作业区域实施权限控制，未授权人员无法使用；对作业时长进行智能监控，规范作业全流程管控，保障作业安全。</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3.3.3.4作业环境识别预警</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整合各模块核心算法与模型能力，主要针对于人不安全行为、物的不安全状态、环境不安全因素进行全方位预警，实现作业环境风险的早发现、早预警、早处置，进一步完善闭环管控体系。</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3.4短信平台</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（1）短信平台接口配置</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支持对系统调用的短信平台接口进行管理和维护。可新增、保存、启用、删除、显示已删除等。</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（2）短信发送</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支持定向或群发短信功能。可根据不同用户群体进行选择性群发短信。</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（3）短信发送情况</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支持对系统中待发送、发送成功、发送失败的短信进行监控、查询。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3.5历史数据迁移</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做好现有历史数据的迁移、保存和维护，充分利用历史数据做好信息查询和复用，同时，利用数据挖掘技术做好数据分析</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（四）技术要求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本部分描述业务应用系统需要满足的通用技术要求，业务应用系统原则上采用统建模式，在江苏省推广应用，具体包括但不限于以下内容：</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bookmarkStart w:id="176" w:name="_Toc17651"/>
      <w:r>
        <w:rPr>
          <w:rFonts w:hint="eastAsia" w:ascii="方正仿宋_GBK" w:hAnsi="方正仿宋_GBK" w:eastAsia="方正仿宋_GBK" w:cs="方正仿宋_GBK"/>
          <w:sz w:val="28"/>
          <w:szCs w:val="28"/>
          <w:lang w:val="en-US" w:eastAsia="zh-CN"/>
        </w:rPr>
        <w:t xml:space="preserve">4.1系统架构、开发及集成要求</w:t>
      </w:r>
      <w:bookmarkEnd w:id="176"/>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依据《GBT30882.1-2014信息技术应用软件系统技术要求》等规范（相关规范中标后提供），满足业务系统在政务云上设计、开发、测试、部署、上线、交付等相关要求，遵循政务云应用统一技术路线，系统架构、开发及集成通用要求包括但不限于以下：</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（1）架构要求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投标人需遵循微服务架构按照用户层、业务层、数据层分层设计，前后端分离，跨网业务系统需要按照分网部署设计，满足系统高可用、高安全、高性能的要求。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（2）开发要求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基于政务云资源和云服务能力进行开发和设计，采用先进成熟技术，遵循政务云统一技术路线开发，需适配安全可靠开发环境要求与云环境，便于系统集成、升级迭代、运维管理以及横向扩展。客户端需适配安全可靠办公终端，原则上应采用与硬件解耦的开发语言，开发的代码能够适配安全可靠服务器环境。</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（3）系统集成</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应按照应急厅统一身份认证相关流程规范与统一身份认证系统对接（相关接口信息中标后提供），实现组织机构统一管理及政务人员、自然人、法人等账号的统一认证；按照应急厅统一门户管理与集成规范完成门户集成；按照应用服务接口管理规范完成在政务云上的业务集成；需开放免费的系统对接接口，提供各市局调用；投标人需按照业务目标配合完成集成</w:t>
      </w:r>
      <w:bookmarkStart w:id="177" w:name="_Toc3722"/>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4.2安全要求</w:t>
      </w:r>
      <w:bookmarkEnd w:id="177"/>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（1）网络安全技术要求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严格控制网络间的访问。系统将运行在多个网络上，因此，要求部署和执行网络访问控制策略，严格控制网络之间的互相访问与信息交换，特别是对互联网的访问与信息交换。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投标人需配合开展安全性评估、网络安全应急演练活动，完成漏洞修复和基线加固等工作。</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（2）系统安全要求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参照国家《中华人民共和国网络安全法》和GB/T22240-2020《信息安全技术信息系统安全等级保护定级指南》，按照平台安全、数据安全、应用系统安全和终端安全的设计思路划分安全边界责任。通过建立完善的安全保障体系、安全防护体系及安全管理体系保障项目安全可靠运行。安全保护级别自定级为等保二级。</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依据《GW0014-2017国家电子政务工程项目应用软件第三方验收测试规范》等文件要求，投标人需在项目终验前提供《第三方软件测试报告》，进行第三方软件测试，满足应用上云的标准和技术要求。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依据《GB/T28448-2019信息安全技术网络安全等级保护测评要求》，投标人需在项目终验前提供第三方源代码审计报告，从源代码级发现并修复信息系统的安全漏洞。代码安全扫描结果中hot项（重要级别项）必须进行整改；warning项(警告级别项)原则上要求整改，若不整改，须给出合理理由并提供安全承诺。</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投标人需在项目终验前提供本次项目全部源代码，方便后期因安全需求对代码层审计相关的工作。</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（3）数据安全技术要求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投标人需提出涉及的敏感数据和重要内容，配合确定数据分类分级结果、敏感数据防护范围，主动使用相关接口实现安全防护，完成数据安全对接防泄漏。</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依据《GB/T38674-2020信息安全技术应用软件安全编程指南》数据保密性中关键或重要数据应以密文方式进行存储，传输数据时应采用加密方式进行传输。</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数据备份，系统应实现数据备份功能，所有静态数据表和录入的资料在运行机器外必须有一个数据库的备份和一个通用格式文件的备份；每日发生数据变更应在运行机器外至少保存有数据库的增量备份和对应的通用格式文件的备份。</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投标人需系统开发设计必须符合信创要求，部署环境要支持国产化服务器和数据库。</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bookmarkStart w:id="178" w:name="_Toc6622"/>
      <w:r>
        <w:rPr>
          <w:rFonts w:hint="eastAsia" w:ascii="方正仿宋_GBK" w:hAnsi="方正仿宋_GBK" w:eastAsia="方正仿宋_GBK" w:cs="方正仿宋_GBK"/>
          <w:sz w:val="28"/>
          <w:szCs w:val="28"/>
          <w:lang w:val="en-US" w:eastAsia="zh-CN"/>
        </w:rPr>
        <w:t xml:space="preserve">4.3大数据通用技术要求</w:t>
      </w:r>
      <w:bookmarkEnd w:id="178"/>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（1）数据共享技术及接口要求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具体对接情况见下表：</w:t>
      </w:r>
      <w:r>
        <w:rPr>
          <w:rFonts w:hint="eastAsia" w:ascii="方正仿宋_GBK" w:hAnsi="方正仿宋_GBK" w:eastAsia="方正仿宋_GBK" w:cs="方正仿宋_GBK"/>
          <w:sz w:val="28"/>
          <w:szCs w:val="28"/>
          <w:lang w:val="en-US" w:eastAsia="zh-CN"/>
        </w:rPr>
      </w:r>
      <w:r/>
    </w:p>
    <w:tbl>
      <w:tblPr>
        <w:tblStyle w:val="9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6438"/>
      </w:tblGrid>
      <w:tr>
        <w:trPr/>
        <w:tc>
          <w:tcPr>
            <w:tcW w:w="2536" w:type="dxa"/>
            <w:vAlign w:val="top"/>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rPr>
              <w:t xml:space="preserve">外部系统名称</w:t>
            </w:r>
            <w:r>
              <w:rPr>
                <w:rFonts w:hint="eastAsia" w:ascii="方正仿宋_GBK" w:hAnsi="方正仿宋_GBK" w:eastAsia="方正仿宋_GBK" w:cs="方正仿宋_GBK"/>
                <w:sz w:val="28"/>
                <w:szCs w:val="28"/>
                <w:lang w:val="en-US"/>
              </w:rPr>
            </w:r>
            <w:r/>
          </w:p>
        </w:tc>
        <w:tc>
          <w:tcPr>
            <w:tcW w:w="6438" w:type="dxa"/>
            <w:vAlign w:val="top"/>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rPr>
              <w:t xml:space="preserve">对接内容</w:t>
            </w:r>
            <w:r>
              <w:rPr>
                <w:rFonts w:hint="eastAsia" w:ascii="方正仿宋_GBK" w:hAnsi="方正仿宋_GBK" w:eastAsia="方正仿宋_GBK" w:cs="方正仿宋_GBK"/>
                <w:sz w:val="28"/>
                <w:szCs w:val="28"/>
                <w:lang w:val="en-US"/>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江苏省工业企业安全生产风险报告系统</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获取工贸企业数据，如企业名称、企业类型、企业负责人、企业负责人联系方式等。</w:t>
            </w:r>
            <w:r>
              <w:rPr>
                <w:rFonts w:hint="eastAsia" w:ascii="方正仿宋_GBK" w:hAnsi="方正仿宋_GBK" w:eastAsia="方正仿宋_GBK" w:cs="方正仿宋_GBK"/>
                <w:sz w:val="28"/>
                <w:szCs w:val="28"/>
                <w:lang w:val="en-US" w:eastAsia="zh-CN"/>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江苏省应急管理综合应用平台</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对接统一身份认证，实现组织机构统一管理及政务人员等账号的统一认证；对接短信平台，按要求进行短信发送。</w:t>
            </w:r>
            <w:r>
              <w:rPr>
                <w:rFonts w:hint="eastAsia" w:ascii="方正仿宋_GBK" w:hAnsi="方正仿宋_GBK" w:eastAsia="方正仿宋_GBK" w:cs="方正仿宋_GBK"/>
                <w:sz w:val="28"/>
                <w:szCs w:val="28"/>
                <w:lang w:val="en-US" w:eastAsia="zh-CN"/>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江苏省安全生产三项岗位人员考核发证管理系统</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对接省考试发证系统，获取江苏省特种作业人员考核发证数据。</w:t>
            </w:r>
            <w:r>
              <w:rPr>
                <w:rFonts w:hint="eastAsia" w:ascii="方正仿宋_GBK" w:hAnsi="方正仿宋_GBK" w:eastAsia="方正仿宋_GBK" w:cs="方正仿宋_GBK"/>
                <w:sz w:val="28"/>
                <w:szCs w:val="28"/>
                <w:lang w:val="en-US" w:eastAsia="zh-CN"/>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江苏省市场监督管理局_特种设备作业人员</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获取江苏省市场监督管理局特种设备作业人员信息。</w:t>
            </w:r>
            <w:r>
              <w:rPr>
                <w:rFonts w:hint="eastAsia" w:ascii="方正仿宋_GBK" w:hAnsi="方正仿宋_GBK" w:eastAsia="方正仿宋_GBK" w:cs="方正仿宋_GBK"/>
                <w:sz w:val="28"/>
                <w:szCs w:val="28"/>
                <w:lang w:val="en-US" w:eastAsia="zh-CN"/>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江苏省住房和城乡建设厅_建筑施工特种作业操作资格证书</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获取江苏省住房和城乡建设厅建筑施工特种作业操作资格证书信息。</w:t>
            </w:r>
            <w:r>
              <w:rPr>
                <w:rFonts w:hint="eastAsia" w:ascii="方正仿宋_GBK" w:hAnsi="方正仿宋_GBK" w:eastAsia="方正仿宋_GBK" w:cs="方正仿宋_GBK"/>
                <w:sz w:val="28"/>
                <w:szCs w:val="28"/>
                <w:lang w:val="en-US" w:eastAsia="zh-CN"/>
              </w:rPr>
            </w:r>
            <w:r/>
          </w:p>
        </w:tc>
      </w:tr>
      <w:tr>
        <w:trPr/>
        <w:tc>
          <w:tcPr>
            <w:tcW w:w="2536"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安全生产知识技能考核系统</w:t>
            </w:r>
            <w:r>
              <w:rPr>
                <w:rFonts w:hint="eastAsia" w:ascii="方正仿宋_GBK" w:hAnsi="方正仿宋_GBK" w:eastAsia="方正仿宋_GBK" w:cs="方正仿宋_GBK"/>
                <w:sz w:val="28"/>
                <w:szCs w:val="28"/>
                <w:lang w:val="en-US" w:eastAsia="zh-CN"/>
              </w:rPr>
            </w:r>
            <w:r/>
          </w:p>
        </w:tc>
        <w:tc>
          <w:tcPr>
            <w:tcW w:w="6438" w:type="dxa"/>
            <w:vAlign w:val="top"/>
            <w:textDirection w:val="lrTb"/>
            <w:noWrap w:val="false"/>
          </w:tcPr>
          <w:p>
            <w:pPr>
              <w:pStyle w:val="904"/>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对接应急管理部安全生产知识技能考核系统，获取特种作业操作证信息。</w:t>
            </w:r>
            <w:r>
              <w:rPr>
                <w:rFonts w:hint="eastAsia" w:ascii="方正仿宋_GBK" w:hAnsi="方正仿宋_GBK" w:eastAsia="方正仿宋_GBK" w:cs="方正仿宋_GBK"/>
                <w:sz w:val="28"/>
                <w:szCs w:val="28"/>
                <w:lang w:val="en-US" w:eastAsia="zh-CN"/>
              </w:rPr>
            </w:r>
            <w:r/>
          </w:p>
        </w:tc>
      </w:tr>
    </w:tbl>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（2）大数据支撑工具技术要求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投标人统一使用应急管理厅大数据开发环境和工具集，原则上不得自行部署和采购开发环境和工具集。</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业务系统涉及数据建模、知识图谱、自助报表、智能语音、视频分析、大屏可视化、大模型等工具需求，应统一使用应急管理厅提供的支撑工具。若开发中需调用新工具，应将相关需求报至大数据中心进行评估。</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bookmarkStart w:id="179" w:name="_Toc14780"/>
      <w:r>
        <w:rPr>
          <w:rFonts w:hint="eastAsia" w:ascii="方正仿宋_GBK" w:hAnsi="方正仿宋_GBK" w:eastAsia="方正仿宋_GBK" w:cs="方正仿宋_GBK"/>
          <w:sz w:val="28"/>
          <w:szCs w:val="28"/>
          <w:lang w:val="en-US" w:eastAsia="zh-CN"/>
        </w:rPr>
        <w:t xml:space="preserve">4.4安全可靠技术要求</w:t>
      </w:r>
      <w:bookmarkEnd w:id="179"/>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所开发的软件需适配安全可靠设备（终端、服务器等），并符合国家对安全可靠工作的最新要求，不能满足的要做适配性改造。</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4.5性能要求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（1）系统响应时间要求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系统应具有快速响应的特性，用户打开界面和提交事务的平均响应时间应低于3秒。用户进行在线实时查询业务操作的数据处理时间应低于5秒。</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（2）系统可靠性要求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系统应具有较高的稳定性，综合可靠性包括服务器正常运行；核心系统可靠性应满足使用需求。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（3）系统易用性要求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目标系统用户界面应操作简洁、易用、灵活，风格统一易学。系统的用户帮助文档要求齐全，易于进行软件使用。充分考虑系统的易用性。</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（4）系统的并发数要求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系统能稳定支持1000用户并发写请求，支持2000用户并发读请求，性能不出现明显下降。</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4.6数据共享交换要求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需按照通用技术要求的数据共享技术要求完成数据共享交换。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4.6.1江苏省工业企业安全生产风险报告系统数据交换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4.6.1.1系统外采信息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工贸企业基本信息：包含企业名称、企业类型、企业负责人、企业负责人联系方式等。</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4.6.2江苏省安全生产三项岗位人员考核发证管理系统数据交换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4.6.2.1系统外采的数据</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江苏省特种作业人员考核发证数据：包含焊工姓名、证件号、证书编号、作业类别、操作项目、证书发证日期、证书有效期、签发机关等考核发证相关信息。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4.6.3江苏省市场监督管理局_特种设备作业人员数据交换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4.6.3.1系统外采的数据</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江苏省市场监督管理局_特种设备作业人员数据：包含姓名、发证人、发证日期、证书编号、证书有效期、身份信息、种类代码、种类名称等相关信息。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4.6.4江苏省住房和城乡建设厅_建筑施工特种作业操作资格证书_电子证照数据交换</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4.6.4.1系统外采的数据</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江苏省住房和城乡建设厅_建筑施工特种作业操作资格证书_电子证照数据：包含姓名、证件类型、证书编号、身份证号、有效期始、有效期止、发证时间、证照名称等相关信息。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4.7数据共享对接接口要求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需按照通用技术要求的数据共享技术要求提供数据共享接口。</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4.7.1安全生产知识技能考核系统接口</w:t>
      </w:r>
      <w:r>
        <w:rPr>
          <w:rFonts w:hint="eastAsia" w:ascii="方正仿宋_GBK" w:hAnsi="方正仿宋_GBK" w:eastAsia="方正仿宋_GBK" w:cs="方正仿宋_GBK"/>
          <w:sz w:val="28"/>
          <w:szCs w:val="28"/>
          <w:lang w:val="en-US" w:eastAsia="zh-CN"/>
        </w:rPr>
      </w:r>
      <w:r/>
    </w:p>
    <w:tbl>
      <w:tblPr>
        <w:tblW w:w="4997" w:type="pct"/>
        <w:tblInd w:w="-216" w:type="dxa"/>
        <w:tblLayout w:type="fixed"/>
        <w:tblCellMar>
          <w:left w:w="108" w:type="dxa"/>
          <w:top w:w="0" w:type="dxa"/>
          <w:right w:w="108" w:type="dxa"/>
          <w:bottom w:w="0" w:type="dxa"/>
        </w:tblCellMar>
        <w:tblLook w:val="04A0" w:firstRow="1" w:lastRow="0" w:firstColumn="1" w:lastColumn="0" w:noHBand="0" w:noVBand="1"/>
      </w:tblPr>
      <w:tblGrid>
        <w:gridCol w:w="750"/>
        <w:gridCol w:w="1521"/>
        <w:gridCol w:w="2695"/>
        <w:gridCol w:w="934"/>
        <w:gridCol w:w="1180"/>
        <w:gridCol w:w="718"/>
        <w:gridCol w:w="719"/>
      </w:tblGrid>
      <w:tr>
        <w:trPr>
          <w:trHeight w:val="107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序号</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信息</w:t>
            </w:r>
            <w:r>
              <w:rPr>
                <w:rFonts w:hint="eastAsia" w:ascii="方正仿宋_GBK" w:hAnsi="方正仿宋_GBK" w:eastAsia="方正仿宋_GBK" w:cs="方正仿宋_GBK"/>
                <w:sz w:val="28"/>
                <w:szCs w:val="28"/>
                <w:lang w:val="en-US" w:eastAsia="zh-CN"/>
              </w:rPr>
            </w:r>
            <w:r/>
          </w:p>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名称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信息项内容</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更新</w:t>
            </w:r>
            <w:r>
              <w:rPr>
                <w:rFonts w:hint="eastAsia" w:ascii="方正仿宋_GBK" w:hAnsi="方正仿宋_GBK" w:eastAsia="方正仿宋_GBK" w:cs="方正仿宋_GBK"/>
                <w:sz w:val="28"/>
                <w:szCs w:val="28"/>
                <w:lang w:val="en-US" w:eastAsia="zh-CN"/>
              </w:rPr>
            </w:r>
            <w:r/>
          </w:p>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频率</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协议</w:t>
            </w:r>
            <w:r>
              <w:rPr>
                <w:rFonts w:hint="eastAsia" w:ascii="方正仿宋_GBK" w:hAnsi="方正仿宋_GBK" w:eastAsia="方正仿宋_GBK" w:cs="方正仿宋_GBK"/>
                <w:sz w:val="28"/>
                <w:szCs w:val="28"/>
                <w:lang w:val="en-US" w:eastAsia="zh-CN"/>
              </w:rPr>
            </w:r>
            <w:r/>
          </w:p>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类型</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共享方式</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是否向公众开发</w:t>
            </w:r>
            <w:r>
              <w:rPr>
                <w:rFonts w:hint="eastAsia" w:ascii="方正仿宋_GBK" w:hAnsi="方正仿宋_GBK" w:eastAsia="方正仿宋_GBK" w:cs="方正仿宋_GBK"/>
                <w:sz w:val="28"/>
                <w:szCs w:val="28"/>
              </w:rPr>
            </w:r>
            <w:r/>
          </w:p>
        </w:tc>
      </w:tr>
      <w:tr>
        <w:trPr>
          <w:trHeight w:val="107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合格证信息接口</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安全生产知识和管理能力考核合格证信息</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实时</w:t>
            </w:r>
            <w:r>
              <w:rPr>
                <w:rFonts w:hint="eastAsia" w:ascii="方正仿宋_GBK" w:hAnsi="方正仿宋_GBK" w:eastAsia="方正仿宋_GBK" w:cs="方正仿宋_GBK"/>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https协议</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接口</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04"/>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否</w:t>
            </w:r>
            <w:r>
              <w:rPr>
                <w:rFonts w:hint="eastAsia" w:ascii="方正仿宋_GBK" w:hAnsi="方正仿宋_GBK" w:eastAsia="方正仿宋_GBK" w:cs="方正仿宋_GBK"/>
                <w:sz w:val="28"/>
                <w:szCs w:val="28"/>
              </w:rPr>
            </w:r>
            <w:r/>
          </w:p>
        </w:tc>
      </w:tr>
    </w:tbl>
    <w:p>
      <w:pPr>
        <w:pStyle w:val="904"/>
        <w:numPr>
          <w:ilvl w:val="0"/>
          <w:numId w:val="4"/>
        </w:numPr>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项目实施</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5.1需求分析</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本项目建设须紧密结合江苏省电气焊作业监管现状，围绕全省涉焊企业安全监管、动火作业风险防控、AI智能预警等核心目标，从业务需求、功能需求、系统性能需求、安全需求、实施要求等维度开展全面分析，明确项目建设重点难点，确保建设方案贴合实际监管场景。</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5.2项目人员要求</w:t>
      </w:r>
      <w:r>
        <w:rPr>
          <w:rFonts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项目实施采用项目经理负责制，须指派1名专职项目经理负责项目的整体实施工作，该项目经理应具备一定的项目管理能力、</w:t>
      </w:r>
      <w:bookmarkStart w:id="180" w:name="_Hlk64984354"/>
      <w:r>
        <w:rPr>
          <w:rFonts w:hint="eastAsia" w:ascii="方正仿宋_GBK" w:hAnsi="方正仿宋_GBK" w:eastAsia="方正仿宋_GBK" w:cs="方正仿宋_GBK"/>
          <w:sz w:val="28"/>
          <w:szCs w:val="28"/>
          <w:lang w:val="en-US" w:eastAsia="zh-CN"/>
        </w:rPr>
        <w:t xml:space="preserve">安全技术能力、熟悉国家网络安全政策法规、熟悉国家网络安全等级保护制度。</w:t>
      </w:r>
      <w:bookmarkEnd w:id="180"/>
      <w:r>
        <w:rPr>
          <w:rFonts w:hint="eastAsia" w:ascii="方正仿宋_GBK" w:hAnsi="方正仿宋_GBK" w:eastAsia="方正仿宋_GBK" w:cs="方正仿宋_GBK"/>
          <w:sz w:val="28"/>
          <w:szCs w:val="28"/>
          <w:lang w:val="en-US" w:eastAsia="zh-CN"/>
        </w:rPr>
        <w:t xml:space="preserve">需具备</w:t>
      </w:r>
      <w:r>
        <w:rPr>
          <w:rFonts w:ascii="Times New Roman" w:hAnsi="Times New Roman" w:eastAsia="方正仿宋_GBK" w:cs="Times New Roman"/>
          <w:color w:val="000000"/>
          <w:sz w:val="28"/>
          <w:szCs w:val="28"/>
          <w:lang w:val="en-US" w:eastAsia="zh-CN" w:bidi="ar-SA"/>
        </w:rPr>
        <w:t xml:space="preserve">高级工程师职称证书或注册安全工程师职业资格证书或高级信息系统项目管理师证书</w:t>
      </w:r>
      <w:r>
        <w:rPr>
          <w:rFonts w:hint="eastAsia" w:ascii="Times New Roman" w:hAnsi="Times New Roman" w:eastAsia="方正仿宋_GBK" w:cs="Times New Roman"/>
          <w:color w:val="000000"/>
          <w:sz w:val="28"/>
          <w:szCs w:val="28"/>
          <w:lang w:val="en-US" w:eastAsia="zh-CN" w:bidi="ar-SA"/>
        </w:rPr>
        <w:t xml:space="preserve">等相关证书。</w:t>
      </w:r>
      <w:r>
        <w:rPr>
          <w:rFonts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lang w:val="en-US" w:eastAsia="zh-CN"/>
        </w:rPr>
      </w:pPr>
      <w:r>
        <w:rPr>
          <w:rFonts w:hint="eastAsia" w:ascii="方正仿宋_GBK" w:hAnsi="方正仿宋_GBK" w:eastAsia="方正仿宋_GBK" w:cs="方正仿宋_GBK"/>
          <w:sz w:val="28"/>
          <w:szCs w:val="28"/>
          <w:lang w:val="en-US" w:eastAsia="zh-CN"/>
        </w:rPr>
        <w:t xml:space="preserve">项目组其他成员应具备一定安全技术能力且熟悉国家网络安全政策法规与国家网络等级保护制度。本次项目中提供技术服务人员数量（除项目经理外）不少于6人。需具备</w:t>
      </w:r>
      <w:r>
        <w:rPr>
          <w:rFonts w:ascii="Times New Roman" w:hAnsi="Times New Roman" w:eastAsia="方正仿宋_GBK" w:cs="Times New Roman"/>
          <w:color w:val="000000"/>
          <w:sz w:val="28"/>
          <w:szCs w:val="28"/>
          <w:lang w:val="en-US" w:eastAsia="zh-CN" w:bidi="ar-SA"/>
        </w:rPr>
        <w:t xml:space="preserve">工程类专业高级工程师职称证书、注册安全工程师职业资格证书、高级软件测评工程师、PMP证书、数据安全管理师</w:t>
      </w:r>
      <w:r>
        <w:rPr>
          <w:rFonts w:hint="eastAsia" w:ascii="Times New Roman" w:hAnsi="Times New Roman" w:eastAsia="方正仿宋_GBK" w:cs="Times New Roman"/>
          <w:color w:val="000000"/>
          <w:sz w:val="28"/>
          <w:szCs w:val="28"/>
          <w:lang w:val="en-US" w:eastAsia="zh-CN" w:bidi="ar-SA"/>
        </w:rPr>
        <w:t xml:space="preserve">等相关证书</w:t>
      </w:r>
      <w:r>
        <w:rPr>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5.3培训要求</w:t>
      </w:r>
      <w:r>
        <w:rPr>
          <w:rFonts w:hint="eastAsia"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系统上线前须完成分层分类培训，面向系统管理员开展技术运维及故障处理专项培训，面向各级监管业务人员开展系统操作及业务流程培训，面向涉焊企业用户开展移动端应用培训。培训须配套完整的培训教材与操作手册。</w:t>
      </w:r>
      <w:r>
        <w:rPr>
          <w:rFonts w:ascii="方正仿宋_GBK" w:hAnsi="方正仿宋_GBK" w:eastAsia="方正仿宋_GBK" w:cs="方正仿宋_GBK"/>
          <w:sz w:val="28"/>
          <w:szCs w:val="28"/>
          <w:lang w:val="en-US" w:eastAsia="zh-CN"/>
        </w:rPr>
      </w:r>
      <w:r/>
    </w:p>
    <w:p>
      <w:pPr>
        <w:pStyle w:val="904"/>
        <w:ind w:firstLine="561"/>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5.4售后服务需求</w:t>
      </w:r>
      <w:r>
        <w:rPr>
          <w:rFonts w:hint="eastAsia" w:ascii="方正仿宋_GBK" w:hAnsi="方正仿宋_GBK" w:eastAsia="方正仿宋_GBK" w:cs="方正仿宋_GBK"/>
          <w:sz w:val="28"/>
          <w:szCs w:val="28"/>
          <w:lang w:val="en-US" w:eastAsia="zh-CN"/>
        </w:rPr>
      </w:r>
      <w:r/>
    </w:p>
    <w:p>
      <w:pPr>
        <w:pStyle w:val="904"/>
        <w:ind w:firstLine="42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此次项目售后服务期为项目验收之日起1年。</w:t>
      </w:r>
      <w:r>
        <w:rPr>
          <w:rFonts w:hint="eastAsia" w:ascii="方正仿宋_GBK" w:hAnsi="方正仿宋_GBK" w:eastAsia="方正仿宋_GBK" w:cs="方正仿宋_GBK"/>
          <w:sz w:val="28"/>
          <w:szCs w:val="28"/>
          <w:lang w:val="en-US" w:eastAsia="zh-CN"/>
        </w:rPr>
      </w:r>
      <w:r/>
    </w:p>
    <w:p>
      <w:pPr>
        <w:pStyle w:val="904"/>
        <w:ind w:firstLine="42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服务期内提供7×24小时电话及现场售后服务和技术支持。</w:t>
      </w:r>
      <w:r>
        <w:rPr>
          <w:rFonts w:hint="eastAsia" w:ascii="方正仿宋_GBK" w:hAnsi="方正仿宋_GBK" w:eastAsia="方正仿宋_GBK" w:cs="方正仿宋_GBK"/>
          <w:sz w:val="28"/>
          <w:szCs w:val="28"/>
          <w:lang w:val="en-US" w:eastAsia="zh-CN"/>
        </w:rPr>
      </w:r>
      <w:r/>
    </w:p>
    <w:p>
      <w:pPr>
        <w:pStyle w:val="904"/>
        <w:ind w:firstLine="42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指定专人负责服务响应，接口人包括项目经理和主要技术负责人，需提供联系方式，接到报障报告后安排工程师立即响应，保证30分钟内做出实质性响应。</w:t>
      </w:r>
      <w:r>
        <w:rPr>
          <w:rFonts w:hint="eastAsia" w:ascii="方正仿宋_GBK" w:hAnsi="方正仿宋_GBK" w:eastAsia="方正仿宋_GBK" w:cs="方正仿宋_GBK"/>
          <w:sz w:val="28"/>
          <w:szCs w:val="28"/>
          <w:lang w:val="en-US" w:eastAsia="zh-CN"/>
        </w:rPr>
      </w:r>
      <w:r/>
    </w:p>
    <w:p>
      <w:pPr>
        <w:pStyle w:val="904"/>
        <w:ind w:firstLine="42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对于不影响甲方业务工作的一般性故障，工程师先通过电话或远程登录提供支持服务，以最短的时间解决问题。如果远程支持不能解决，则根据双方协商，在指定时间内到达现场，尽快解决故障问题。</w:t>
      </w:r>
      <w:r>
        <w:rPr>
          <w:rFonts w:hint="eastAsia" w:ascii="方正仿宋_GBK" w:hAnsi="方正仿宋_GBK" w:eastAsia="方正仿宋_GBK" w:cs="方正仿宋_GBK"/>
          <w:sz w:val="28"/>
          <w:szCs w:val="28"/>
          <w:lang w:val="en-US" w:eastAsia="zh-CN"/>
        </w:rPr>
      </w:r>
      <w:r/>
    </w:p>
    <w:p>
      <w:pPr>
        <w:pStyle w:val="904"/>
        <w:ind w:firstLine="42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对于已导致业务工作不能正常进行的系统故障，工程师应在接到故障报告后立即向用户提供电话支持服务，并根据用户要求及实际情况2小时内提供现场维护服务。</w:t>
      </w:r>
      <w:r>
        <w:rPr>
          <w:rFonts w:hint="eastAsia" w:ascii="方正仿宋_GBK" w:hAnsi="方正仿宋_GBK" w:eastAsia="方正仿宋_GBK" w:cs="方正仿宋_GBK"/>
          <w:sz w:val="28"/>
          <w:szCs w:val="28"/>
          <w:lang w:val="en-US" w:eastAsia="zh-CN"/>
        </w:rPr>
      </w:r>
      <w:r/>
    </w:p>
    <w:p>
      <w:pPr>
        <w:pStyle w:val="10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90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04"/>
        <w:ind w:firstLine="562"/>
        <w:jc w:val="left"/>
        <w:spacing w:line="400" w:lineRule="exact"/>
        <w:rPr>
          <w:rFonts w:ascii="Arial" w:hAnsi="Arial"/>
          <w:b/>
          <w:bCs/>
          <w:sz w:val="28"/>
          <w:szCs w:val="28"/>
        </w:rPr>
      </w:pPr>
      <w:r>
        <w:rPr>
          <w:rFonts w:hint="eastAsia" w:ascii="Arial" w:hAnsi="Arial"/>
          <w:b/>
          <w:bCs/>
          <w:sz w:val="28"/>
          <w:szCs w:val="28"/>
        </w:rPr>
        <w:t xml:space="preserve">（一）服务时间</w:t>
      </w:r>
      <w:r>
        <w:rPr>
          <w:rFonts w:ascii="Arial" w:hAnsi="Arial"/>
          <w:b/>
          <w:bCs/>
          <w:sz w:val="28"/>
          <w:szCs w:val="28"/>
        </w:rPr>
      </w:r>
      <w:r/>
    </w:p>
    <w:p>
      <w:pPr>
        <w:pStyle w:val="904"/>
        <w:ind w:firstLine="560"/>
        <w:spacing w:line="40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lang w:val="en-US" w:eastAsia="zh-CN"/>
        </w:rPr>
        <w:t xml:space="preserve">4</w:t>
      </w:r>
      <w:r>
        <w:rPr>
          <w:rFonts w:hint="eastAsia" w:eastAsia="方正仿宋_GBK"/>
          <w:sz w:val="28"/>
          <w:szCs w:val="28"/>
        </w:rPr>
        <w:t xml:space="preserve">个月内，系统部署上线试运行，合同签订后</w:t>
      </w:r>
      <w:r>
        <w:rPr>
          <w:rFonts w:eastAsia="方正仿宋_GBK"/>
          <w:sz w:val="28"/>
          <w:szCs w:val="28"/>
        </w:rPr>
        <w:t xml:space="preserve">6</w:t>
      </w:r>
      <w:r>
        <w:rPr>
          <w:rFonts w:hint="eastAsia" w:eastAsia="方正仿宋_GBK"/>
          <w:sz w:val="28"/>
          <w:szCs w:val="28"/>
        </w:rPr>
        <w:t xml:space="preserve">个月内，系统部署正式上线运行。</w:t>
      </w:r>
      <w:r>
        <w:rPr>
          <w:rFonts w:eastAsia="方正仿宋_GBK"/>
          <w:sz w:val="28"/>
          <w:szCs w:val="28"/>
        </w:rPr>
      </w:r>
      <w:r/>
    </w:p>
    <w:p>
      <w:pPr>
        <w:pStyle w:val="904"/>
        <w:ind w:firstLine="562"/>
        <w:jc w:val="left"/>
        <w:spacing w:line="400" w:lineRule="exact"/>
        <w:rPr>
          <w:rFonts w:ascii="Arial" w:hAnsi="Arial"/>
          <w:b/>
          <w:bCs/>
          <w:sz w:val="28"/>
          <w:szCs w:val="28"/>
        </w:rPr>
      </w:pPr>
      <w:r>
        <w:rPr>
          <w:rFonts w:hint="eastAsia" w:ascii="Arial" w:hAnsi="Arial"/>
          <w:b/>
          <w:bCs/>
          <w:sz w:val="28"/>
          <w:szCs w:val="28"/>
        </w:rPr>
        <w:t xml:space="preserve">（二）付款条件</w:t>
      </w:r>
      <w:r>
        <w:rPr>
          <w:rFonts w:ascii="Arial" w:hAnsi="Arial"/>
          <w:b/>
          <w:bCs/>
          <w:sz w:val="28"/>
          <w:szCs w:val="28"/>
        </w:rPr>
      </w:r>
      <w:r/>
    </w:p>
    <w:p>
      <w:pPr>
        <w:pStyle w:val="904"/>
        <w:ind w:firstLine="560"/>
        <w:jc w:val="left"/>
        <w:spacing w:line="400" w:lineRule="exact"/>
        <w:rPr>
          <w:rFonts w:hint="eastAsia" w:ascii="Arial" w:hAnsi="Arial"/>
          <w:b/>
          <w:bCs/>
          <w:sz w:val="28"/>
          <w:szCs w:val="28"/>
        </w:rPr>
      </w:pPr>
      <w:r>
        <w:rPr>
          <w:rFonts w:eastAsia="方正仿宋_GBK"/>
          <w:bCs/>
          <w:sz w:val="28"/>
          <w:szCs w:val="28"/>
        </w:rPr>
        <w:t xml:space="preserve">合同签订后，支付合同金额的</w:t>
      </w:r>
      <w:r>
        <w:rPr>
          <w:rFonts w:hint="eastAsia" w:eastAsia="方正仿宋_GBK"/>
          <w:bCs/>
          <w:sz w:val="28"/>
          <w:szCs w:val="28"/>
          <w:lang w:val="en-US" w:eastAsia="zh-CN"/>
        </w:rPr>
        <w:t xml:space="preserve">9</w:t>
      </w:r>
      <w:r>
        <w:rPr>
          <w:rFonts w:eastAsia="方正仿宋_GBK"/>
          <w:bCs/>
          <w:sz w:val="28"/>
          <w:szCs w:val="28"/>
        </w:rPr>
        <w:t xml:space="preserve">0%；</w:t>
      </w:r>
      <w:r>
        <w:rPr>
          <w:rFonts w:hint="eastAsia" w:ascii="Arial" w:hAnsi="Arial"/>
          <w:b/>
          <w:bCs/>
          <w:sz w:val="28"/>
          <w:szCs w:val="28"/>
        </w:rPr>
      </w:r>
      <w:r/>
    </w:p>
    <w:p>
      <w:pPr>
        <w:pStyle w:val="904"/>
        <w:ind w:firstLine="560"/>
        <w:jc w:val="left"/>
        <w:spacing w:line="400" w:lineRule="exact"/>
        <w:rPr>
          <w:rFonts w:hint="eastAsia" w:ascii="Arial" w:hAnsi="Arial"/>
          <w:bCs/>
          <w:sz w:val="28"/>
          <w:szCs w:val="28"/>
        </w:rPr>
      </w:pPr>
      <w:r>
        <w:rPr>
          <w:rFonts w:hint="eastAsia" w:eastAsia="方正仿宋_GBK"/>
          <w:sz w:val="28"/>
          <w:szCs w:val="28"/>
        </w:rPr>
        <w:t xml:space="preserve">系统部署正式上线运行并通过项目验收，支付合同款至</w:t>
      </w:r>
      <w:r>
        <w:rPr>
          <w:rFonts w:eastAsia="方正仿宋_GBK"/>
          <w:sz w:val="28"/>
          <w:szCs w:val="28"/>
        </w:rPr>
        <w:t xml:space="preserve">100%</w:t>
      </w:r>
      <w:r>
        <w:rPr>
          <w:rFonts w:hint="eastAsia" w:eastAsia="方正仿宋_GBK"/>
          <w:sz w:val="28"/>
          <w:szCs w:val="28"/>
        </w:rPr>
        <w:t xml:space="preserve">。</w:t>
      </w:r>
      <w:r>
        <w:rPr>
          <w:rFonts w:hint="eastAsia" w:ascii="Arial" w:hAnsi="Arial"/>
          <w:bCs/>
          <w:sz w:val="28"/>
          <w:szCs w:val="28"/>
        </w:rPr>
      </w:r>
      <w:r/>
    </w:p>
    <w:p>
      <w:pPr>
        <w:pStyle w:val="90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（备注：本服务项目中如涉及货物，采购人应当在采购需求中列明货物的具体技术要求和商务要求，包括技术参数、采购数量、质保时间、服务要求等。磋商文件定稿后该备注删除。）</w:t>
      </w:r>
      <w:r>
        <w:rPr>
          <w:rFonts w:hint="eastAsia" w:ascii="方正仿宋_GBK" w:hAnsi="方正仿宋_GBK" w:eastAsia="方正仿宋_GBK" w:cs="方正仿宋_GBK"/>
          <w:bCs/>
          <w:sz w:val="28"/>
          <w:szCs w:val="28"/>
        </w:rPr>
      </w:r>
      <w:r/>
    </w:p>
    <w:p>
      <w:pPr>
        <w:pStyle w:val="904"/>
        <w:numPr>
          <w:ilvl w:val="0"/>
          <w:numId w:val="5"/>
        </w:numPr>
        <w:ind w:firstLine="562"/>
        <w:jc w:val="left"/>
        <w:spacing w:line="400" w:lineRule="exact"/>
        <w:rPr>
          <w:rFonts w:hint="eastAsia" w:ascii="Arial" w:hAnsi="Arial" w:eastAsia="宋体" w:cs="Times New Roman"/>
          <w:b/>
          <w:bCs/>
          <w:sz w:val="28"/>
          <w:szCs w:val="28"/>
          <w:lang w:val="en-US" w:eastAsia="zh-CN"/>
        </w:rPr>
      </w:pPr>
      <w:r>
        <w:rPr>
          <w:rFonts w:hint="eastAsia" w:ascii="Arial" w:hAnsi="Arial" w:eastAsia="宋体" w:cs="Times New Roman"/>
          <w:b/>
          <w:bCs/>
          <w:sz w:val="28"/>
          <w:szCs w:val="28"/>
          <w:lang w:val="en-US" w:eastAsia="zh-CN"/>
        </w:rPr>
        <w:t xml:space="preserve">企业资质</w:t>
      </w:r>
      <w:r>
        <w:rPr>
          <w:rFonts w:hint="eastAsia" w:ascii="Arial" w:hAnsi="Arial" w:eastAsia="宋体" w:cs="Times New Roman"/>
          <w:b/>
          <w:bCs/>
          <w:sz w:val="28"/>
          <w:szCs w:val="28"/>
          <w:lang w:val="en-US" w:eastAsia="zh-CN"/>
        </w:rPr>
      </w:r>
      <w:r/>
    </w:p>
    <w:p>
      <w:pPr>
        <w:pStyle w:val="905"/>
        <w:numPr>
          <w:ilvl w:val="0"/>
          <w:numId w:val="0"/>
        </w:numPr>
        <w:ind w:firstLine="560"/>
        <w:jc w:val="both"/>
        <w:rPr>
          <w:lang w:val="en-US" w:eastAsia="zh-CN"/>
        </w:rPr>
      </w:pPr>
      <w:r>
        <w:rPr>
          <w:rFonts w:hint="eastAsia" w:ascii="Times New Roman" w:hAnsi="Times New Roman" w:eastAsia="方正仿宋_GBK" w:cs="Times New Roman"/>
          <w:color w:val="000000"/>
          <w:sz w:val="28"/>
          <w:szCs w:val="28"/>
          <w:lang w:val="en-US" w:eastAsia="zh-CN"/>
        </w:rPr>
        <w:t xml:space="preserve">供应商需具有</w:t>
      </w:r>
      <w:r>
        <w:rPr>
          <w:rFonts w:ascii="Times New Roman" w:hAnsi="Times New Roman" w:eastAsia="方正仿宋_GBK" w:cs="Times New Roman"/>
          <w:color w:val="000000"/>
          <w:sz w:val="28"/>
          <w:szCs w:val="28"/>
          <w:lang w:val="en-US" w:eastAsia="zh-CN"/>
        </w:rPr>
        <w:t xml:space="preserve">具有与本项目电气焊相关行业的软件著作权证书或发明</w:t>
      </w:r>
      <w:r>
        <w:rPr>
          <w:rFonts w:ascii="Times New Roman" w:hAnsi="Times New Roman" w:eastAsia="方正仿宋_GBK" w:cs="Times New Roman"/>
          <w:b w:val="0"/>
          <w:color w:val="000000"/>
          <w:sz w:val="28"/>
          <w:szCs w:val="28"/>
          <w:lang w:val="en-US" w:eastAsia="zh-CN" w:bidi="ar-SA"/>
        </w:rPr>
        <w:t xml:space="preserve">专利证书</w:t>
      </w:r>
      <w:r>
        <w:rPr>
          <w:rFonts w:hint="eastAsia" w:ascii="Times New Roman" w:hAnsi="Times New Roman" w:eastAsia="方正仿宋_GBK" w:cs="Times New Roman"/>
          <w:b w:val="0"/>
          <w:color w:val="000000"/>
          <w:sz w:val="28"/>
          <w:szCs w:val="28"/>
          <w:lang w:val="en-US" w:eastAsia="zh-CN" w:bidi="ar-SA"/>
        </w:rPr>
        <w:t xml:space="preserve">；</w:t>
      </w:r>
      <w:r>
        <w:rPr>
          <w:lang w:val="en-US" w:eastAsia="zh-CN"/>
        </w:rPr>
      </w:r>
      <w:r/>
    </w:p>
    <w:p>
      <w:pPr>
        <w:pStyle w:val="10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101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.演示要求</w:t>
      </w:r>
      <w:r>
        <w:rPr>
          <w:rFonts w:hint="eastAsia" w:ascii="方正仿宋_GBK" w:hAnsi="方正仿宋_GBK" w:eastAsia="方正仿宋_GBK" w:cs="方正仿宋_GBK"/>
          <w:sz w:val="28"/>
          <w:szCs w:val="28"/>
          <w:highlight w:val="none"/>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ascii="Times New Roman" w:hAnsi="Times New Roman" w:eastAsia="方正仿宋_GBK" w:cs="Times New Roman"/>
          <w:sz w:val="28"/>
          <w:szCs w:val="28"/>
          <w:lang w:eastAsia="zh-CN"/>
        </w:rPr>
        <w:t xml:space="preserve">X</w:t>
      </w:r>
      <w:r>
        <w:rPr>
          <w:rFonts w:ascii="Times New Roman" w:hAnsi="Times New Roman" w:eastAsia="方正仿宋_GBK" w:cs="Times New Roman"/>
          <w:sz w:val="28"/>
          <w:szCs w:val="28"/>
        </w:rPr>
        <w:t xml:space="preserve">.mp4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cs="Times New Roman"/>
          <w:sz w:val="28"/>
          <w:szCs w:val="28"/>
          <w:lang w:eastAsia="zh-CN"/>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cs="Times New Roman"/>
          <w:sz w:val="28"/>
          <w:szCs w:val="28"/>
          <w:lang w:eastAsia="zh-CN"/>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cs="Times New Roman"/>
          <w:sz w:val="28"/>
          <w:szCs w:val="28"/>
          <w:lang w:eastAsia="zh-CN"/>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cs="Times New Roman"/>
          <w:sz w:val="28"/>
          <w:szCs w:val="28"/>
          <w:lang w:eastAsia="zh-CN"/>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w:t>
      </w:r>
      <w:r>
        <w:rPr>
          <w:rFonts w:hint="eastAsia" w:ascii="方正仿宋_GBK" w:hAnsi="方正仿宋_GBK" w:eastAsia="方正仿宋_GBK" w:cs="方正仿宋_GBK"/>
          <w:sz w:val="28"/>
          <w:szCs w:val="28"/>
          <w:u w:val="single"/>
          <w:lang w:val="en-US" w:eastAsia="zh-CN"/>
        </w:rPr>
        <w:t xml:space="preserve">0</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904"/>
        <w:ind w:firstLine="560"/>
        <w:keepLines w:val="0"/>
        <w:keepNext w:val="0"/>
        <w:pageBreakBefore w:val="0"/>
        <w:spacing w:line="3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904"/>
        <w:ind w:firstLine="562"/>
        <w:keepLines w:val="0"/>
        <w:keepNext w:val="0"/>
        <w:pageBreakBefore w:val="0"/>
        <w:spacing w:line="36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系统对接演示内容</w:t>
      </w:r>
      <w:r>
        <w:rPr>
          <w:rFonts w:hint="eastAsia" w:ascii="方正仿宋_GBK" w:hAnsi="方正仿宋_GBK" w:eastAsia="方正仿宋_GBK" w:cs="方正仿宋_GBK"/>
          <w:b/>
          <w:bCs/>
          <w:sz w:val="28"/>
          <w:szCs w:val="28"/>
          <w:lang w:val="en-US" w:eastAsia="zh-CN"/>
        </w:rPr>
      </w:r>
      <w:r/>
    </w:p>
    <w:p>
      <w:pPr>
        <w:pStyle w:val="904"/>
        <w:ind w:firstLine="560"/>
        <w:keepLines w:val="0"/>
        <w:keepNext w:val="0"/>
        <w:pageBreakBefore w:val="0"/>
        <w:spacing w:line="36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单点登录功能，支持系统通过苏服办个人用户以及江苏省应急管理综合应用平台，输入登录信息后进行登录</w:t>
      </w:r>
      <w:r>
        <w:rPr>
          <w:rFonts w:hint="eastAsia" w:ascii="方正仿宋_GBK" w:hAnsi="方正仿宋_GBK" w:eastAsia="方正仿宋_GBK" w:cs="方正仿宋_GBK"/>
          <w:sz w:val="28"/>
          <w:szCs w:val="28"/>
          <w:lang w:val="en-US" w:eastAsia="zh-CN"/>
        </w:rPr>
      </w:r>
      <w:r/>
    </w:p>
    <w:p>
      <w:pPr>
        <w:pStyle w:val="904"/>
        <w:ind w:firstLine="562"/>
        <w:keepLines w:val="0"/>
        <w:keepNext w:val="0"/>
        <w:pageBreakBefore w:val="0"/>
        <w:spacing w:line="36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人工智能+风险监测预警演示内容</w:t>
      </w:r>
      <w:r>
        <w:rPr>
          <w:rFonts w:hint="eastAsia" w:ascii="方正仿宋_GBK" w:hAnsi="方正仿宋_GBK" w:eastAsia="方正仿宋_GBK" w:cs="方正仿宋_GBK"/>
          <w:b/>
          <w:bCs/>
          <w:sz w:val="28"/>
          <w:szCs w:val="28"/>
          <w:lang w:val="en-US" w:eastAsia="zh-CN"/>
        </w:rPr>
      </w:r>
      <w:r/>
    </w:p>
    <w:p>
      <w:pPr>
        <w:pStyle w:val="904"/>
        <w:ind w:firstLine="560"/>
        <w:keepLines w:val="0"/>
        <w:keepNext w:val="0"/>
        <w:pageBreakBefore w:val="0"/>
        <w:spacing w:line="36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演示作业现场易燃物检测功能，具体功能要求如下：包括但不限于支持按照易燃物类型、易燃物识别精度、作业所属区域等多维度查询，列表展示设备名称、作业场所、作业开始时间、作业开始位置、是否发现易燃物、易燃物识别精度等数据。</w:t>
      </w:r>
      <w:r>
        <w:rPr>
          <w:rFonts w:hint="eastAsia" w:ascii="方正仿宋_GBK" w:hAnsi="方正仿宋_GBK" w:eastAsia="方正仿宋_GBK" w:cs="方正仿宋_GBK"/>
          <w:sz w:val="28"/>
          <w:szCs w:val="28"/>
          <w:lang w:val="en-US" w:eastAsia="zh-CN"/>
        </w:rPr>
      </w:r>
      <w:r/>
    </w:p>
    <w:p>
      <w:pPr>
        <w:pStyle w:val="904"/>
        <w:ind w:firstLine="560"/>
        <w:keepLines w:val="0"/>
        <w:keepNext w:val="0"/>
        <w:pageBreakBefore w:val="0"/>
        <w:spacing w:line="36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演示</w:t>
      </w:r>
      <w:r>
        <w:rPr>
          <w:rFonts w:ascii="方正仿宋_GBK" w:hAnsi="方正仿宋_GBK" w:eastAsia="方正仿宋_GBK" w:cs="方正仿宋_GBK"/>
          <w:sz w:val="28"/>
          <w:szCs w:val="28"/>
          <w:lang w:val="en-US" w:eastAsia="zh-CN"/>
        </w:rPr>
        <w:t xml:space="preserve">可燃物分类分级预警</w:t>
      </w:r>
      <w:r>
        <w:rPr>
          <w:rFonts w:hint="eastAsia" w:ascii="方正仿宋_GBK" w:hAnsi="方正仿宋_GBK" w:eastAsia="方正仿宋_GBK" w:cs="方正仿宋_GBK"/>
          <w:sz w:val="28"/>
          <w:szCs w:val="28"/>
          <w:lang w:val="en-US" w:eastAsia="zh-CN"/>
        </w:rPr>
        <w:t xml:space="preserve">功能，具体功能要求如下：包括但不限于支持按照可燃物识别精度配置预警风险等级、风险提示描述；支持按照预警类型、预警描述、预警名称等进行多维度查询，展示预警对象、主管部门、所属企业、预警级别、预警类型、预警描述以及预警处置等字段。</w:t>
      </w:r>
      <w:r>
        <w:rPr>
          <w:rFonts w:hint="eastAsia" w:ascii="方正仿宋_GBK" w:hAnsi="方正仿宋_GBK" w:eastAsia="方正仿宋_GBK" w:cs="方正仿宋_GBK"/>
          <w:sz w:val="28"/>
          <w:szCs w:val="28"/>
          <w:lang w:val="en-US" w:eastAsia="zh-CN"/>
        </w:rPr>
      </w:r>
      <w:r/>
    </w:p>
    <w:p>
      <w:pPr>
        <w:pStyle w:val="904"/>
        <w:ind w:firstLine="562"/>
        <w:keepLines w:val="0"/>
        <w:keepNext w:val="0"/>
        <w:pageBreakBefore w:val="0"/>
        <w:spacing w:line="36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动火作业全流程数字化管理演示内容</w:t>
      </w:r>
      <w:r>
        <w:rPr>
          <w:rFonts w:hint="eastAsia" w:ascii="方正仿宋_GBK" w:hAnsi="方正仿宋_GBK" w:eastAsia="方正仿宋_GBK" w:cs="方正仿宋_GBK"/>
          <w:b/>
          <w:bCs/>
          <w:sz w:val="28"/>
          <w:szCs w:val="28"/>
          <w:lang w:val="en-US" w:eastAsia="zh-CN"/>
        </w:rPr>
      </w:r>
      <w:r/>
    </w:p>
    <w:p>
      <w:pPr>
        <w:pStyle w:val="904"/>
        <w:numPr>
          <w:ilvl w:val="0"/>
          <w:numId w:val="0"/>
        </w:numPr>
        <w:ind w:right="0" w:firstLine="560"/>
        <w:keepLines w:val="0"/>
        <w:keepNext w:val="0"/>
        <w:pageBreakBefore w:val="0"/>
        <w:spacing w:before="120" w:after="120" w:line="360" w:lineRule="exact"/>
        <w:widowControl w:val="off"/>
        <w:rPr>
          <w:rFonts w:hint="eastAsia" w:eastAsia="方正仿宋_GBK" w:cs="Times New Roman"/>
          <w:b w:val="0"/>
          <w:color w:val="000000"/>
          <w:sz w:val="28"/>
          <w:szCs w:val="28"/>
          <w:lang w:val="en-US" w:eastAsia="zh-CN" w:bidi="ar-SA"/>
        </w:rPr>
      </w:pPr>
      <w:r>
        <w:rPr>
          <w:rFonts w:hint="eastAsia" w:eastAsia="方正仿宋_GBK" w:cs="Times New Roman"/>
          <w:b w:val="0"/>
          <w:color w:val="000000"/>
          <w:sz w:val="28"/>
          <w:szCs w:val="28"/>
          <w:lang w:val="en-US" w:eastAsia="zh-CN" w:bidi="ar-SA"/>
        </w:rPr>
        <w:t xml:space="preserve">演示作业前安全条件核验功能，包括但不限于支持动火作业前，对上传的图片进行识别，对不符合动火作业条件的应在公众端小程序上进行提醒，如未发现灭火器，请配备后再作业、现场发现可燃物，请清理后再作业等提醒。</w:t>
      </w:r>
      <w:r>
        <w:rPr>
          <w:rFonts w:hint="eastAsia" w:eastAsia="方正仿宋_GBK" w:cs="Times New Roman"/>
          <w:b w:val="0"/>
          <w:color w:val="000000"/>
          <w:sz w:val="28"/>
          <w:szCs w:val="28"/>
          <w:lang w:val="en-US" w:eastAsia="zh-CN" w:bidi="ar-SA"/>
        </w:rPr>
      </w:r>
      <w:r/>
    </w:p>
    <w:p>
      <w:pPr>
        <w:pStyle w:val="904"/>
        <w:numPr>
          <w:ilvl w:val="0"/>
          <w:numId w:val="0"/>
        </w:numPr>
        <w:ind w:right="0" w:firstLine="560"/>
        <w:keepLines w:val="0"/>
        <w:keepNext w:val="0"/>
        <w:pageBreakBefore w:val="0"/>
        <w:spacing w:before="120" w:after="120" w:line="360" w:lineRule="exact"/>
        <w:widowControl w:val="off"/>
        <w:rPr>
          <w:rFonts w:hint="eastAsia" w:ascii="Times New Roman" w:hAnsi="Times New Roman" w:eastAsia="方正仿宋_GBK" w:cs="Times New Roman"/>
          <w:b w:val="0"/>
          <w:color w:val="000000"/>
          <w:sz w:val="28"/>
          <w:szCs w:val="28"/>
          <w:lang w:val="en-US" w:eastAsia="zh-CN" w:bidi="ar-SA"/>
        </w:rPr>
      </w:pPr>
      <w:r>
        <w:rPr>
          <w:rFonts w:hint="eastAsia" w:ascii="Times New Roman" w:hAnsi="Times New Roman" w:eastAsia="方正仿宋_GBK" w:cs="Times New Roman"/>
          <w:b w:val="0"/>
          <w:color w:val="000000"/>
          <w:sz w:val="28"/>
          <w:szCs w:val="28"/>
          <w:lang w:val="en-US" w:eastAsia="zh-CN" w:bidi="ar-SA"/>
        </w:rPr>
        <w:t xml:space="preserve">动火作业后复盘功能，包括但不限于支持按照作业焊机名称、高危企业名称、高危焊工名称等进行多维度查询。列表显示设备名称、作业场所、作业开始时间、作业技术时间、开始环境、高危企业名称、高危焊工名称。点击查看可以查看高危企业以及高危焊工判定原因。</w:t>
      </w:r>
      <w:r>
        <w:rPr>
          <w:rFonts w:hint="eastAsia" w:ascii="Times New Roman" w:hAnsi="Times New Roman" w:eastAsia="方正仿宋_GBK" w:cs="Times New Roman"/>
          <w:b w:val="0"/>
          <w:color w:val="000000"/>
          <w:sz w:val="28"/>
          <w:szCs w:val="28"/>
          <w:lang w:val="en-US" w:eastAsia="zh-CN" w:bidi="ar-SA"/>
        </w:rPr>
      </w:r>
      <w:r/>
    </w:p>
    <w:p>
      <w:pPr>
        <w:pStyle w:val="904"/>
        <w:ind w:firstLine="562"/>
        <w:keepLines w:val="0"/>
        <w:keepNext w:val="0"/>
        <w:pageBreakBefore w:val="0"/>
        <w:spacing w:line="36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场景化作业支撑演示内容</w:t>
      </w:r>
      <w:r>
        <w:rPr>
          <w:rFonts w:hint="eastAsia" w:ascii="方正仿宋_GBK" w:hAnsi="方正仿宋_GBK" w:eastAsia="方正仿宋_GBK" w:cs="方正仿宋_GBK"/>
          <w:b/>
          <w:bCs/>
          <w:sz w:val="28"/>
          <w:szCs w:val="28"/>
          <w:lang w:val="en-US" w:eastAsia="zh-CN"/>
        </w:rPr>
      </w:r>
      <w:r/>
    </w:p>
    <w:p>
      <w:pPr>
        <w:pStyle w:val="905"/>
        <w:jc w:val="left"/>
        <w:keepLines w:val="0"/>
        <w:pageBreakBefore w:val="0"/>
        <w:spacing w:line="360" w:lineRule="exact"/>
        <w:widowControl w:val="off"/>
        <w:rPr>
          <w:rFonts w:hint="eastAsia" w:ascii="Times New Roman" w:hAnsi="Times New Roman" w:eastAsia="方正仿宋_GBK" w:cs="Times New Roman"/>
          <w:b w:val="0"/>
          <w:color w:val="000000"/>
          <w:sz w:val="28"/>
          <w:szCs w:val="28"/>
          <w:lang w:val="en-US" w:eastAsia="zh-CN" w:bidi="ar-SA"/>
        </w:rPr>
      </w:pPr>
      <w:r>
        <w:rPr>
          <w:rFonts w:hint="eastAsia" w:ascii="Times New Roman" w:hAnsi="Times New Roman" w:eastAsia="方正仿宋_GBK" w:cs="Times New Roman"/>
          <w:b w:val="0"/>
          <w:color w:val="000000"/>
          <w:sz w:val="28"/>
          <w:szCs w:val="28"/>
          <w:lang w:val="en-US" w:eastAsia="zh-CN" w:bidi="ar-SA"/>
        </w:rPr>
        <w:t xml:space="preserve">  风险感知功能，包括但不限于支持按照预警类型、预警级别、所属企业等进行多维度查询，列表显示预警对象、所属区域、预警级别、预警处置等内容，点击可查看短信，推送内容、推送时间等。</w:t>
      </w:r>
      <w:r>
        <w:rPr>
          <w:rFonts w:hint="eastAsia" w:ascii="Times New Roman" w:hAnsi="Times New Roman" w:eastAsia="方正仿宋_GBK" w:cs="Times New Roman"/>
          <w:b w:val="0"/>
          <w:color w:val="000000"/>
          <w:sz w:val="28"/>
          <w:szCs w:val="28"/>
          <w:lang w:val="en-US" w:eastAsia="zh-CN" w:bidi="ar-SA"/>
        </w:rPr>
      </w:r>
      <w:r/>
    </w:p>
    <w:p>
      <w:pPr>
        <w:pStyle w:val="905"/>
        <w:ind w:firstLine="560"/>
        <w:jc w:val="left"/>
        <w:keepLines w:val="0"/>
        <w:pageBreakBefore w:val="0"/>
        <w:spacing w:line="360" w:lineRule="exact"/>
        <w:widowControl w:val="off"/>
        <w:rPr>
          <w:rFonts w:hint="eastAsia" w:ascii="Times New Roman" w:hAnsi="Times New Roman" w:eastAsia="方正仿宋_GBK" w:cs="Times New Roman"/>
          <w:b w:val="0"/>
          <w:color w:val="000000"/>
          <w:sz w:val="28"/>
          <w:szCs w:val="28"/>
          <w:lang w:val="en-US" w:eastAsia="zh-CN" w:bidi="ar-SA"/>
        </w:rPr>
      </w:pPr>
      <w:r>
        <w:rPr>
          <w:rFonts w:hint="eastAsia" w:ascii="Times New Roman" w:hAnsi="Times New Roman" w:eastAsia="方正仿宋_GBK" w:cs="Times New Roman"/>
          <w:b w:val="0"/>
          <w:color w:val="000000"/>
          <w:sz w:val="28"/>
          <w:szCs w:val="28"/>
          <w:lang w:val="en-US" w:eastAsia="zh-CN" w:bidi="ar-SA"/>
        </w:rPr>
        <w:t xml:space="preserve">安全作业管控功能，包括但不限于支持按照管控名称、管控级别、管控状态进行查询，列表展示管控名称、企业、空间范围、开始和结束生效时间等进行展示。支持在地图上选取区域范围，并对生效时间、管控级别等进行设置后，对范围内焊机进行管控。</w:t>
      </w:r>
      <w:r>
        <w:rPr>
          <w:rFonts w:hint="eastAsia" w:ascii="Times New Roman" w:hAnsi="Times New Roman" w:eastAsia="方正仿宋_GBK" w:cs="Times New Roman"/>
          <w:b w:val="0"/>
          <w:color w:val="000000"/>
          <w:sz w:val="28"/>
          <w:szCs w:val="28"/>
          <w:lang w:val="en-US" w:eastAsia="zh-CN" w:bidi="ar-SA"/>
        </w:rPr>
      </w:r>
      <w:r/>
    </w:p>
    <w:p>
      <w:pPr>
        <w:pStyle w:val="905"/>
        <w:rPr>
          <w:rFonts w:hint="eastAsia"/>
          <w:lang w:val="en-US" w:eastAsia="zh-CN"/>
        </w:rPr>
      </w:pPr>
      <w:r>
        <w:rPr>
          <w:rFonts w:hint="eastAsia"/>
          <w:lang w:val="en-US" w:eastAsia="zh-CN"/>
        </w:rPr>
      </w:r>
      <w:r/>
    </w:p>
    <w:p>
      <w:pPr>
        <w:pStyle w:val="905"/>
        <w:rPr>
          <w:rFonts w:hint="eastAsia"/>
          <w:lang w:val="en-US" w:eastAsia="zh-CN"/>
        </w:rPr>
      </w:pPr>
      <w:r>
        <w:rPr>
          <w:rFonts w:hint="eastAsia"/>
          <w:lang w:val="en-US" w:eastAsia="zh-CN"/>
        </w:rPr>
      </w:r>
      <w:r/>
    </w:p>
    <w:p>
      <w:pPr>
        <w:pStyle w:val="905"/>
        <w:rPr>
          <w:rFonts w:hint="eastAsia"/>
          <w:lang w:val="en-US" w:eastAsia="zh-CN"/>
        </w:rPr>
      </w:pPr>
      <w:r>
        <w:rPr>
          <w:rFonts w:hint="eastAsia"/>
          <w:lang w:val="en-US" w:eastAsia="zh-CN"/>
        </w:rPr>
      </w:r>
      <w:r/>
    </w:p>
    <w:p>
      <w:pPr>
        <w:pStyle w:val="904"/>
        <w:spacing w:line="0" w:lineRule="atLeast"/>
        <w:rPr>
          <w:rFonts w:hint="eastAsia" w:ascii="宋体" w:hAnsi="宋体"/>
          <w:color w:val="ff0000"/>
          <w:sz w:val="24"/>
          <w:szCs w:val="24"/>
        </w:rPr>
      </w:pPr>
      <w:r>
        <w:rPr>
          <w:rFonts w:hint="eastAsia" w:ascii="宋体" w:hAnsi="宋体"/>
          <w:color w:val="ff0000"/>
          <w:sz w:val="24"/>
          <w:szCs w:val="24"/>
        </w:rPr>
      </w:r>
      <w:r/>
    </w:p>
    <w:p>
      <w:pPr>
        <w:pStyle w:val="904"/>
        <w:spacing w:before="120" w:after="120" w:line="0" w:lineRule="atLeast"/>
        <w:rPr>
          <w:rFonts w:ascii="宋体" w:hAnsi="Courier New" w:cs="Courier New"/>
          <w:sz w:val="24"/>
          <w:szCs w:val="24"/>
        </w:rPr>
      </w:pPr>
      <w:r>
        <w:rPr>
          <w:rFonts w:ascii="宋体" w:hAnsi="Courier New" w:cs="Courier New"/>
          <w:sz w:val="24"/>
          <w:szCs w:val="24"/>
        </w:rPr>
      </w:r>
      <w:r/>
    </w:p>
    <w:p>
      <w:pPr>
        <w:pStyle w:val="904"/>
        <w:spacing w:before="120" w:after="120" w:line="0" w:lineRule="atLeast"/>
        <w:rPr>
          <w:rFonts w:ascii="宋体" w:hAnsi="Courier New" w:cs="Courier New"/>
          <w:sz w:val="24"/>
          <w:szCs w:val="24"/>
        </w:rPr>
      </w:pPr>
      <w:r>
        <w:rPr>
          <w:rFonts w:ascii="宋体" w:hAnsi="Courier New" w:cs="Courier New"/>
          <w:sz w:val="24"/>
          <w:szCs w:val="24"/>
        </w:rPr>
      </w:r>
      <w:r/>
    </w:p>
    <w:p>
      <w:pPr>
        <w:pStyle w:val="904"/>
        <w:spacing w:before="120" w:after="120" w:line="0" w:lineRule="atLeast"/>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rPr>
          <w:rFonts w:ascii="宋体" w:hAnsi="Courier New" w:cs="Courier New"/>
          <w:sz w:val="24"/>
          <w:szCs w:val="24"/>
        </w:rPr>
      </w:pPr>
      <w:r>
        <w:rPr>
          <w:rFonts w:ascii="宋体" w:hAnsi="Courier New" w:cs="Courier New"/>
          <w:sz w:val="24"/>
          <w:szCs w:val="24"/>
        </w:rPr>
      </w:r>
      <w:r/>
    </w:p>
    <w:p>
      <w:pPr>
        <w:pStyle w:val="904"/>
        <w:rPr>
          <w:rFonts w:ascii="宋体" w:hAnsi="Courier New" w:cs="Courier New"/>
          <w:sz w:val="24"/>
          <w:szCs w:val="24"/>
        </w:rPr>
      </w:pPr>
      <w:r>
        <w:rPr>
          <w:rFonts w:ascii="宋体" w:hAnsi="Courier New" w:cs="Courier New"/>
          <w:sz w:val="24"/>
          <w:szCs w:val="24"/>
        </w:rPr>
      </w:r>
      <w:r/>
    </w:p>
    <w:p>
      <w:pPr>
        <w:pStyle w:val="905"/>
      </w:pPr>
      <w:r/>
      <w:r/>
    </w:p>
    <w:p>
      <w:pPr>
        <w:pStyle w:val="904"/>
      </w:pPr>
      <w:r/>
      <w:r/>
    </w:p>
    <w:p>
      <w:pPr>
        <w:pStyle w:val="905"/>
      </w:pPr>
      <w:r/>
      <w:r/>
    </w:p>
    <w:p>
      <w:pPr>
        <w:pStyle w:val="904"/>
      </w:pPr>
      <w:r/>
      <w:r/>
    </w:p>
    <w:p>
      <w:pPr>
        <w:pStyle w:val="904"/>
        <w:spacing w:before="120" w:after="120" w:line="0" w:lineRule="atLeast"/>
        <w:rPr>
          <w:rFonts w:ascii="宋体" w:hAnsi="Courier New" w:cs="Courier New"/>
          <w:sz w:val="24"/>
          <w:szCs w:val="24"/>
        </w:rPr>
      </w:pPr>
      <w:r>
        <w:rPr>
          <w:rFonts w:ascii="宋体" w:hAnsi="Courier New" w:cs="Courier New"/>
          <w:sz w:val="24"/>
          <w:szCs w:val="24"/>
        </w:rPr>
      </w:r>
      <w:r/>
    </w:p>
    <w:p>
      <w:pPr>
        <w:pStyle w:val="904"/>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81"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904"/>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04"/>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的扣除价格，用扣除后的价格参与评审。（2）供应商需按照采购文件的要求提供相应的《中小微企业声明函》。</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90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0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90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04"/>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904"/>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
        <w:gridCol w:w="623"/>
        <w:gridCol w:w="42"/>
        <w:gridCol w:w="1153"/>
        <w:gridCol w:w="854"/>
        <w:gridCol w:w="6467"/>
        <w:gridCol w:w="113"/>
        <w:gridCol w:w="598"/>
      </w:tblGrid>
      <w:tr>
        <w:trPr>
          <w:trHeight w:val="770"/>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5"/>
              <w:keepLines/>
              <w:keepNext/>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报价（10分）</w:t>
            </w:r>
            <w:r>
              <w:rPr>
                <w:rFonts w:hint="eastAsia" w:ascii="方正仿宋_GB2312" w:hAnsi="方正仿宋_GB2312" w:eastAsia="方正仿宋_GB2312" w:cs="方正仿宋_GB2312"/>
                <w:b w:val="0"/>
                <w:color w:val="000000"/>
                <w:sz w:val="28"/>
                <w:szCs w:val="28"/>
                <w:lang w:val="en-US" w:eastAsia="zh-CN" w:bidi="ar-SA"/>
              </w:rPr>
            </w:r>
            <w:r/>
          </w:p>
        </w:tc>
        <w:tc>
          <w:tcPr>
            <w:tcW w:w="6580" w:type="dxa"/>
            <w:vAlign w:val="center"/>
            <w:textDirection w:val="lrTb"/>
            <w:noWrap w:val="false"/>
          </w:tcPr>
          <w:p>
            <w:pPr>
              <w:pStyle w:val="905"/>
              <w:keepLines/>
              <w:keepNext/>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价格分采用低价优先法计算，满足磋商文件要求且响应价格最低的报价为评审基准价，其价格分为满分。其他供应商的价格分统一按照下列公式计算： </w:t>
            </w:r>
            <w:r>
              <w:rPr>
                <w:rFonts w:hint="eastAsia" w:ascii="方正仿宋_GB2312" w:hAnsi="方正仿宋_GB2312" w:eastAsia="方正仿宋_GB2312" w:cs="方正仿宋_GB2312"/>
                <w:b w:val="0"/>
                <w:color w:val="000000"/>
                <w:sz w:val="28"/>
                <w:szCs w:val="28"/>
                <w:lang w:val="en-US" w:eastAsia="zh-CN" w:bidi="ar-SA"/>
              </w:rPr>
            </w:r>
            <w:r/>
          </w:p>
          <w:p>
            <w:pPr>
              <w:pStyle w:val="905"/>
              <w:keepLines/>
              <w:keepNext/>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响应报价得分=（评审基准价／响应报价）×10分（小数点后四舍五入保留两位）。注：此处的响应报价为最后报价。</w:t>
            </w:r>
            <w:r>
              <w:rPr>
                <w:rFonts w:hint="eastAsia" w:ascii="方正仿宋_GB2312" w:hAnsi="方正仿宋_GB2312" w:eastAsia="方正仿宋_GB2312" w:cs="方正仿宋_GB2312"/>
                <w:b w:val="0"/>
                <w:color w:val="000000"/>
                <w:sz w:val="28"/>
                <w:szCs w:val="28"/>
                <w:lang w:val="en-US" w:eastAsia="zh-CN" w:bidi="ar-SA"/>
              </w:rPr>
            </w:r>
            <w:r/>
          </w:p>
        </w:tc>
        <w:tc>
          <w:tcPr>
            <w:gridSpan w:val="2"/>
            <w:tcW w:w="602" w:type="dxa"/>
            <w:vAlign w:val="center"/>
            <w:textDirection w:val="lrTb"/>
            <w:noWrap w:val="false"/>
          </w:tcPr>
          <w:p>
            <w:pPr>
              <w:pStyle w:val="905"/>
              <w:keepLines/>
              <w:keepNext/>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10</w:t>
            </w:r>
            <w:r>
              <w:rPr>
                <w:rFonts w:hint="eastAsia" w:ascii="方正仿宋_GB2312" w:hAnsi="方正仿宋_GB2312" w:eastAsia="方正仿宋_GB2312" w:cs="方正仿宋_GB2312"/>
                <w:b w:val="0"/>
                <w:color w:val="000000"/>
                <w:sz w:val="28"/>
                <w:szCs w:val="28"/>
                <w:lang w:val="en-US" w:eastAsia="zh-CN" w:bidi="ar-SA"/>
              </w:rPr>
            </w:r>
            <w:r/>
          </w:p>
        </w:tc>
      </w:tr>
      <w:tr>
        <w:trPr>
          <w:trHeight w:val="770"/>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rPr>
              <w:t xml:space="preserve">需求</w:t>
            </w:r>
            <w:r>
              <w:rPr>
                <w:rFonts w:hint="eastAsia" w:ascii="方正仿宋_GB2312" w:hAnsi="方正仿宋_GB2312" w:eastAsia="方正仿宋_GB2312" w:cs="方正仿宋_GB2312"/>
                <w:color w:val="000000"/>
                <w:sz w:val="28"/>
                <w:szCs w:val="28"/>
                <w:lang w:val="en-US" w:eastAsia="zh-CN"/>
              </w:rPr>
              <w:t xml:space="preserve">分析</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5分）</w:t>
            </w:r>
            <w:r>
              <w:rPr>
                <w:rFonts w:hint="eastAsia" w:ascii="方正仿宋_GB2312" w:hAnsi="方正仿宋_GB2312" w:eastAsia="方正仿宋_GB2312" w:cs="方正仿宋_GB2312"/>
                <w:color w:val="000000"/>
                <w:sz w:val="28"/>
                <w:szCs w:val="28"/>
                <w:lang w:val="en-US" w:eastAsia="zh-CN"/>
              </w:rPr>
            </w:r>
            <w:r/>
          </w:p>
        </w:tc>
        <w:tc>
          <w:tcPr>
            <w:tcW w:w="6580" w:type="dxa"/>
            <w:vAlign w:val="center"/>
            <w:textDirection w:val="lrTb"/>
            <w:noWrap w:val="false"/>
          </w:tcPr>
          <w:p>
            <w:pPr>
              <w:pStyle w:val="905"/>
              <w:keepLines/>
              <w:keepNext/>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需求分析</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b w:val="0"/>
                <w:color w:val="000000"/>
                <w:sz w:val="28"/>
                <w:szCs w:val="28"/>
                <w:lang w:val="en-US" w:eastAsia="zh-CN" w:bidi="ar-SA"/>
              </w:rPr>
              <w:t xml:space="preserve">包括但不限于业务需求分析、功能需求分析、系统性能需求分析、安全需求分析、实施要求分析等，同时对项目的重点、难点理解准确。</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（1）响应文件未符合“需求分析”中全部条款要求的，视为不符合磋商文件，本项得0分。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（2）响应文件符合“需求分析”中全部条款要求的，视为符合磋商文件，本项得3分。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5"/>
              <w:keepLines/>
              <w:keepNext/>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需求分析”中“业务需求分析”、“功能需求分析”的响应内容优于磋商文件要求的（前提是响应文件对“需求分析”中除“业务需求分析”、“功能需求分析”外其他要求响应内容符合磋商文件要求），本项得5分。</w:t>
            </w:r>
            <w:r>
              <w:rPr>
                <w:rFonts w:hint="eastAsia" w:ascii="方正仿宋_GB2312" w:hAnsi="方正仿宋_GB2312" w:eastAsia="方正仿宋_GB2312" w:cs="方正仿宋_GB2312"/>
                <w:color w:val="000000"/>
                <w:sz w:val="28"/>
                <w:szCs w:val="28"/>
                <w:lang w:val="en-US" w:eastAsia="zh-CN"/>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770"/>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架构设计方案</w:t>
            </w:r>
            <w:r>
              <w:rPr>
                <w:rFonts w:hint="eastAsia" w:ascii="方正仿宋_GB2312" w:hAnsi="方正仿宋_GB2312" w:eastAsia="方正仿宋_GB2312" w:cs="方正仿宋_GB2312"/>
                <w:b w:val="0"/>
                <w:bCs w:val="0"/>
                <w:color w:val="000000"/>
                <w:sz w:val="28"/>
                <w:szCs w:val="28"/>
                <w:lang w:eastAsia="zh-CN"/>
              </w:rPr>
              <w:t xml:space="preserve">（</w:t>
            </w:r>
            <w:r>
              <w:rPr>
                <w:rFonts w:hint="eastAsia" w:ascii="方正仿宋_GB2312" w:hAnsi="方正仿宋_GB2312" w:eastAsia="方正仿宋_GB2312" w:cs="方正仿宋_GB2312"/>
                <w:b w:val="0"/>
                <w:bCs w:val="0"/>
                <w:color w:val="000000"/>
                <w:sz w:val="28"/>
                <w:szCs w:val="28"/>
                <w:lang w:val="en-US" w:eastAsia="zh-CN"/>
              </w:rPr>
              <w:t xml:space="preserve">5分）</w:t>
            </w:r>
            <w:r>
              <w:rPr>
                <w:rFonts w:hint="eastAsia" w:ascii="方正仿宋_GB2312" w:hAnsi="方正仿宋_GB2312" w:eastAsia="方正仿宋_GB2312" w:cs="方正仿宋_GB2312"/>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架构设计</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包括项目总体分析</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设计思路</w:t>
            </w:r>
            <w:r>
              <w:rPr>
                <w:rFonts w:hint="eastAsia" w:ascii="方正仿宋_GB2312" w:hAnsi="方正仿宋_GB2312" w:eastAsia="方正仿宋_GB2312" w:cs="方正仿宋_GB2312"/>
                <w:color w:val="000000"/>
                <w:sz w:val="28"/>
                <w:szCs w:val="28"/>
                <w:lang w:val="en-US" w:eastAsia="zh-CN"/>
              </w:rPr>
              <w:t xml:space="preserve">、技术架构、与其他系统间关系等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color w:val="000000"/>
                <w:sz w:val="28"/>
                <w:szCs w:val="28"/>
                <w:lang w:val="en-US" w:eastAsia="zh-CN"/>
              </w:rPr>
              <w:t xml:space="preserve">架构设计</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color w:val="000000"/>
                <w:sz w:val="28"/>
                <w:szCs w:val="28"/>
                <w:lang w:val="en-US" w:eastAsia="zh-CN"/>
              </w:rPr>
              <w:t xml:space="preserve">架构设计</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color w:val="000000"/>
                <w:sz w:val="28"/>
                <w:szCs w:val="28"/>
                <w:lang w:val="en-US" w:eastAsia="zh-CN"/>
              </w:rPr>
              <w:t xml:space="preserve">架构设计</w:t>
            </w:r>
            <w:r>
              <w:rPr>
                <w:rFonts w:hint="eastAsia" w:ascii="方正仿宋_GB2312" w:hAnsi="方正仿宋_GB2312" w:eastAsia="方正仿宋_GB2312" w:cs="方正仿宋_GB2312"/>
                <w:color w:val="000000"/>
                <w:sz w:val="28"/>
                <w:szCs w:val="28"/>
                <w:lang w:val="en-US" w:eastAsia="zh-CN" w:bidi="ar-SA"/>
              </w:rPr>
              <w:t xml:space="preserve">”中“设计思路”、“技术架构”的响应内容优于磋商文件要求的（前提是响应文件对“</w:t>
            </w:r>
            <w:r>
              <w:rPr>
                <w:rFonts w:hint="eastAsia" w:ascii="方正仿宋_GB2312" w:hAnsi="方正仿宋_GB2312" w:eastAsia="方正仿宋_GB2312" w:cs="方正仿宋_GB2312"/>
                <w:color w:val="000000"/>
                <w:sz w:val="28"/>
                <w:szCs w:val="28"/>
                <w:lang w:val="en-US" w:eastAsia="zh-CN"/>
              </w:rPr>
              <w:t xml:space="preserve">架构设计</w:t>
            </w:r>
            <w:r>
              <w:rPr>
                <w:rFonts w:hint="eastAsia" w:ascii="方正仿宋_GB2312" w:hAnsi="方正仿宋_GB2312" w:eastAsia="方正仿宋_GB2312" w:cs="方正仿宋_GB2312"/>
                <w:color w:val="000000"/>
                <w:sz w:val="28"/>
                <w:szCs w:val="28"/>
                <w:lang w:val="en-US" w:eastAsia="zh-CN" w:bidi="ar-SA"/>
              </w:rPr>
              <w:t xml:space="preserve">”中除“设计思路”、“技术架构”外其他要求响应内容符合磋商文件要求），本项得5分。</w:t>
            </w:r>
            <w:r>
              <w:rPr>
                <w:rFonts w:hint="eastAsia" w:ascii="方正仿宋_GB2312" w:hAnsi="方正仿宋_GB2312" w:eastAsia="方正仿宋_GB2312" w:cs="方正仿宋_GB2312"/>
                <w:color w:val="000000"/>
                <w:sz w:val="28"/>
                <w:szCs w:val="28"/>
                <w:lang w:eastAsia="zh-CN"/>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627"/>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人工智能+监测预警方案（5分）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人工智能+风险监测预警</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包括设计思路</w:t>
            </w:r>
            <w:r>
              <w:rPr>
                <w:rFonts w:hint="eastAsia" w:ascii="方正仿宋_GB2312" w:hAnsi="方正仿宋_GB2312" w:eastAsia="方正仿宋_GB2312" w:cs="方正仿宋_GB2312"/>
                <w:color w:val="000000"/>
                <w:sz w:val="28"/>
                <w:szCs w:val="28"/>
                <w:lang w:val="en-US" w:eastAsia="zh-CN"/>
              </w:rPr>
              <w:t xml:space="preserve">、技术架构等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color w:val="000000"/>
                <w:sz w:val="28"/>
                <w:szCs w:val="28"/>
                <w:lang w:val="en-US" w:eastAsia="zh-CN"/>
              </w:rPr>
              <w:t xml:space="preserve">人工智能+风险监测预警</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color w:val="000000"/>
                <w:sz w:val="28"/>
                <w:szCs w:val="28"/>
                <w:lang w:val="en-US" w:eastAsia="zh-CN"/>
              </w:rPr>
              <w:t xml:space="preserve">人工智能+风险监测预警</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color w:val="000000"/>
                <w:sz w:val="28"/>
                <w:szCs w:val="28"/>
                <w:lang w:val="en-US" w:eastAsia="zh-CN"/>
              </w:rPr>
              <w:t xml:space="preserve">人工智能+风险监测预警</w:t>
            </w:r>
            <w:r>
              <w:rPr>
                <w:rFonts w:hint="eastAsia" w:ascii="方正仿宋_GB2312" w:hAnsi="方正仿宋_GB2312" w:eastAsia="方正仿宋_GB2312" w:cs="方正仿宋_GB2312"/>
                <w:color w:val="000000"/>
                <w:sz w:val="28"/>
                <w:szCs w:val="28"/>
                <w:lang w:val="en-US" w:eastAsia="zh-CN" w:bidi="ar-SA"/>
              </w:rPr>
              <w:t xml:space="preserve">”中“设计思路”、“技术架构”的响应内容优于磋商文件要求的（前提是响应文件对“</w:t>
            </w:r>
            <w:r>
              <w:rPr>
                <w:rFonts w:hint="eastAsia" w:ascii="方正仿宋_GB2312" w:hAnsi="方正仿宋_GB2312" w:eastAsia="方正仿宋_GB2312" w:cs="方正仿宋_GB2312"/>
                <w:color w:val="000000"/>
                <w:sz w:val="28"/>
                <w:szCs w:val="28"/>
                <w:lang w:val="en-US" w:eastAsia="zh-CN"/>
              </w:rPr>
              <w:t xml:space="preserve">人工智能+风险监测预警</w:t>
            </w:r>
            <w:r>
              <w:rPr>
                <w:rFonts w:hint="eastAsia" w:ascii="方正仿宋_GB2312" w:hAnsi="方正仿宋_GB2312" w:eastAsia="方正仿宋_GB2312" w:cs="方正仿宋_GB2312"/>
                <w:color w:val="000000"/>
                <w:sz w:val="28"/>
                <w:szCs w:val="28"/>
                <w:lang w:val="en-US" w:eastAsia="zh-CN" w:bidi="ar-SA"/>
              </w:rPr>
              <w:t xml:space="preserve">”中除“设计思路”、“技术架构”外其他要求响应内容符合磋商文件要求），本项得5分。</w:t>
            </w:r>
            <w:r>
              <w:rPr>
                <w:rFonts w:hint="eastAsia" w:ascii="方正仿宋_GB2312" w:hAnsi="方正仿宋_GB2312" w:eastAsia="方正仿宋_GB2312" w:cs="方正仿宋_GB2312"/>
                <w:b w:val="0"/>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627"/>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包括设计思路</w:t>
            </w:r>
            <w:r>
              <w:rPr>
                <w:rFonts w:hint="eastAsia" w:ascii="方正仿宋_GB2312" w:hAnsi="方正仿宋_GB2312" w:eastAsia="方正仿宋_GB2312" w:cs="方正仿宋_GB2312"/>
                <w:color w:val="000000"/>
                <w:sz w:val="28"/>
                <w:szCs w:val="28"/>
                <w:lang w:val="en-US" w:eastAsia="zh-CN"/>
              </w:rPr>
              <w:t xml:space="preserve">、技术架构等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包括设计思路</w:t>
            </w:r>
            <w:r>
              <w:rPr>
                <w:rFonts w:hint="eastAsia" w:ascii="方正仿宋_GB2312" w:hAnsi="方正仿宋_GB2312" w:eastAsia="方正仿宋_GB2312" w:cs="方正仿宋_GB2312"/>
                <w:color w:val="000000"/>
                <w:sz w:val="28"/>
                <w:szCs w:val="28"/>
                <w:lang w:val="en-US" w:eastAsia="zh-CN"/>
              </w:rPr>
              <w:t xml:space="preserve">、技术架构等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lang w:val="en-US" w:eastAsia="zh-CN" w:bidi="ar-SA"/>
              </w:rPr>
              <w:t xml:space="preserve">”中“设计思路”、“技术架构”的响应内容优于磋商文件要求的（前提是响应文件对“</w:t>
            </w:r>
            <w:r>
              <w:rPr>
                <w:rFonts w:hint="eastAsia" w:ascii="方正仿宋_GB2312" w:hAnsi="方正仿宋_GB2312" w:eastAsia="方正仿宋_GB2312" w:cs="方正仿宋_GB2312"/>
                <w:b w:val="0"/>
                <w:bCs w:val="0"/>
                <w:color w:val="000000"/>
                <w:sz w:val="28"/>
                <w:szCs w:val="28"/>
                <w:lang w:val="en-US" w:eastAsia="zh-CN"/>
              </w:rPr>
              <w:t xml:space="preserve">动火作业全流程数字化管理方案</w:t>
            </w:r>
            <w:r>
              <w:rPr>
                <w:rFonts w:hint="eastAsia" w:ascii="方正仿宋_GB2312" w:hAnsi="方正仿宋_GB2312" w:eastAsia="方正仿宋_GB2312" w:cs="方正仿宋_GB2312"/>
                <w:color w:val="000000"/>
                <w:sz w:val="28"/>
                <w:szCs w:val="28"/>
                <w:lang w:val="en-US" w:eastAsia="zh-CN" w:bidi="ar-SA"/>
              </w:rPr>
              <w:t xml:space="preserve">”中除“设计思路”、“技术架构”外其他要求响应内容符合磋商文件要求），本项得5分。</w:t>
            </w:r>
            <w:r>
              <w:rPr>
                <w:rFonts w:hint="eastAsia" w:ascii="方正仿宋_GB2312" w:hAnsi="方正仿宋_GB2312" w:eastAsia="方正仿宋_GB2312" w:cs="方正仿宋_GB2312"/>
                <w:b w:val="0"/>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627"/>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6</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动火作业AI助手方案（5分）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b w:val="0"/>
                <w:bCs w:val="0"/>
                <w:color w:val="000000"/>
                <w:sz w:val="28"/>
                <w:szCs w:val="28"/>
                <w:lang w:val="en-US" w:eastAsia="zh-CN"/>
              </w:rPr>
              <w:t xml:space="preserve">动火作业AI助手方案</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包括设计思路</w:t>
            </w:r>
            <w:r>
              <w:rPr>
                <w:rFonts w:hint="eastAsia" w:ascii="方正仿宋_GB2312" w:hAnsi="方正仿宋_GB2312" w:eastAsia="方正仿宋_GB2312" w:cs="方正仿宋_GB2312"/>
                <w:color w:val="000000"/>
                <w:sz w:val="28"/>
                <w:szCs w:val="28"/>
                <w:lang w:val="en-US" w:eastAsia="zh-CN"/>
              </w:rPr>
              <w:t xml:space="preserve">、技术架构等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b w:val="0"/>
                <w:bCs w:val="0"/>
                <w:color w:val="000000"/>
                <w:sz w:val="28"/>
                <w:szCs w:val="28"/>
                <w:lang w:val="en-US" w:eastAsia="zh-CN"/>
              </w:rPr>
              <w:t xml:space="preserve">动火作业AI助手方案</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b w:val="0"/>
                <w:bCs w:val="0"/>
                <w:color w:val="000000"/>
                <w:sz w:val="28"/>
                <w:szCs w:val="28"/>
                <w:lang w:val="en-US" w:eastAsia="zh-CN"/>
              </w:rPr>
              <w:t xml:space="preserve">动火作业AI助手方案</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b w:val="0"/>
                <w:bCs w:val="0"/>
                <w:color w:val="000000"/>
                <w:sz w:val="28"/>
                <w:szCs w:val="28"/>
                <w:lang w:val="en-US" w:eastAsia="zh-CN"/>
              </w:rPr>
              <w:t xml:space="preserve">动火作业AI助手方案</w:t>
            </w:r>
            <w:r>
              <w:rPr>
                <w:rFonts w:hint="eastAsia" w:ascii="方正仿宋_GB2312" w:hAnsi="方正仿宋_GB2312" w:eastAsia="方正仿宋_GB2312" w:cs="方正仿宋_GB2312"/>
                <w:color w:val="000000"/>
                <w:sz w:val="28"/>
                <w:szCs w:val="28"/>
                <w:lang w:val="en-US" w:eastAsia="zh-CN" w:bidi="ar-SA"/>
              </w:rPr>
              <w:t xml:space="preserve">”中“设计思路”、“技术架构”的响应内容优于磋商文件要求的（前提是响应文件对“</w:t>
            </w:r>
            <w:r>
              <w:rPr>
                <w:rFonts w:hint="eastAsia" w:ascii="方正仿宋_GB2312" w:hAnsi="方正仿宋_GB2312" w:eastAsia="方正仿宋_GB2312" w:cs="方正仿宋_GB2312"/>
                <w:b w:val="0"/>
                <w:bCs w:val="0"/>
                <w:color w:val="000000"/>
                <w:sz w:val="28"/>
                <w:szCs w:val="28"/>
                <w:lang w:val="en-US" w:eastAsia="zh-CN"/>
              </w:rPr>
              <w:t xml:space="preserve">动火作业AI助手方案</w:t>
            </w:r>
            <w:r>
              <w:rPr>
                <w:rFonts w:hint="eastAsia" w:ascii="方正仿宋_GB2312" w:hAnsi="方正仿宋_GB2312" w:eastAsia="方正仿宋_GB2312" w:cs="方正仿宋_GB2312"/>
                <w:color w:val="000000"/>
                <w:sz w:val="28"/>
                <w:szCs w:val="28"/>
                <w:lang w:val="en-US" w:eastAsia="zh-CN" w:bidi="ar-SA"/>
              </w:rPr>
              <w:t xml:space="preserve">”中除“设计思路”、“技术架构”外其他要求响应内容符合磋商文件要求），本项得5分。</w:t>
            </w:r>
            <w:r>
              <w:rPr>
                <w:rFonts w:hint="eastAsia" w:ascii="方正仿宋_GB2312" w:hAnsi="方正仿宋_GB2312" w:eastAsia="方正仿宋_GB2312" w:cs="方正仿宋_GB2312"/>
                <w:b w:val="0"/>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627"/>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7</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安全要求方案</w:t>
            </w:r>
            <w:r>
              <w:rPr>
                <w:rFonts w:hint="eastAsia" w:ascii="方正仿宋_GB2312" w:hAnsi="方正仿宋_GB2312" w:eastAsia="方正仿宋_GB2312" w:cs="方正仿宋_GB2312"/>
                <w:b w:val="0"/>
                <w:bCs w:val="0"/>
                <w:color w:val="000000"/>
                <w:sz w:val="28"/>
                <w:szCs w:val="28"/>
                <w:lang w:val="en-US" w:eastAsia="zh-CN"/>
              </w:rPr>
              <w:t xml:space="preserve">（5分）</w:t>
            </w:r>
            <w:r>
              <w:rPr>
                <w:rFonts w:hint="eastAsia" w:ascii="方正仿宋_GB2312" w:hAnsi="方正仿宋_GB2312" w:eastAsia="方正仿宋_GB2312" w:cs="方正仿宋_GB2312"/>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安全</w:t>
            </w:r>
            <w:r>
              <w:rPr>
                <w:rFonts w:hint="eastAsia" w:ascii="方正仿宋_GB2312" w:hAnsi="方正仿宋_GB2312" w:eastAsia="方正仿宋_GB2312" w:cs="方正仿宋_GB2312"/>
                <w:b w:val="0"/>
                <w:bCs w:val="0"/>
                <w:color w:val="000000"/>
                <w:sz w:val="28"/>
                <w:szCs w:val="28"/>
                <w:lang w:val="en-US" w:eastAsia="zh-CN"/>
              </w:rPr>
              <w:t xml:space="preserve">要求</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包括设计思路</w:t>
            </w:r>
            <w:r>
              <w:rPr>
                <w:rFonts w:hint="eastAsia" w:ascii="方正仿宋_GB2312" w:hAnsi="方正仿宋_GB2312" w:eastAsia="方正仿宋_GB2312" w:cs="方正仿宋_GB2312"/>
                <w:color w:val="000000"/>
                <w:sz w:val="28"/>
                <w:szCs w:val="28"/>
                <w:lang w:val="en-US" w:eastAsia="zh-CN"/>
              </w:rPr>
              <w:t xml:space="preserve">、技术架构等</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color w:val="000000"/>
                <w:sz w:val="28"/>
                <w:szCs w:val="28"/>
                <w:lang w:val="en-US" w:eastAsia="zh-CN"/>
              </w:rPr>
              <w:t xml:space="preserve">安全</w:t>
            </w:r>
            <w:r>
              <w:rPr>
                <w:rFonts w:hint="eastAsia" w:ascii="方正仿宋_GB2312" w:hAnsi="方正仿宋_GB2312" w:eastAsia="方正仿宋_GB2312" w:cs="方正仿宋_GB2312"/>
                <w:b w:val="0"/>
                <w:bCs w:val="0"/>
                <w:color w:val="000000"/>
                <w:sz w:val="28"/>
                <w:szCs w:val="28"/>
                <w:lang w:val="en-US" w:eastAsia="zh-CN"/>
              </w:rPr>
              <w:t xml:space="preserve">要求</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color w:val="000000"/>
                <w:sz w:val="28"/>
                <w:szCs w:val="28"/>
                <w:lang w:val="en-US" w:eastAsia="zh-CN"/>
              </w:rPr>
              <w:t xml:space="preserve">安全</w:t>
            </w:r>
            <w:r>
              <w:rPr>
                <w:rFonts w:hint="eastAsia" w:ascii="方正仿宋_GB2312" w:hAnsi="方正仿宋_GB2312" w:eastAsia="方正仿宋_GB2312" w:cs="方正仿宋_GB2312"/>
                <w:b w:val="0"/>
                <w:bCs w:val="0"/>
                <w:color w:val="000000"/>
                <w:sz w:val="28"/>
                <w:szCs w:val="28"/>
                <w:lang w:val="en-US" w:eastAsia="zh-CN"/>
              </w:rPr>
              <w:t xml:space="preserve">要求</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color w:val="000000"/>
                <w:sz w:val="28"/>
                <w:szCs w:val="28"/>
                <w:lang w:val="en-US" w:eastAsia="zh-CN"/>
              </w:rPr>
              <w:t xml:space="preserve">安全</w:t>
            </w:r>
            <w:r>
              <w:rPr>
                <w:rFonts w:hint="eastAsia" w:ascii="方正仿宋_GB2312" w:hAnsi="方正仿宋_GB2312" w:eastAsia="方正仿宋_GB2312" w:cs="方正仿宋_GB2312"/>
                <w:b w:val="0"/>
                <w:bCs w:val="0"/>
                <w:color w:val="000000"/>
                <w:sz w:val="28"/>
                <w:szCs w:val="28"/>
                <w:lang w:val="en-US" w:eastAsia="zh-CN"/>
              </w:rPr>
              <w:t xml:space="preserve">要求</w:t>
            </w:r>
            <w:r>
              <w:rPr>
                <w:rFonts w:hint="eastAsia" w:ascii="方正仿宋_GB2312" w:hAnsi="方正仿宋_GB2312" w:eastAsia="方正仿宋_GB2312" w:cs="方正仿宋_GB2312"/>
                <w:color w:val="000000"/>
                <w:sz w:val="28"/>
                <w:szCs w:val="28"/>
                <w:lang w:val="en-US" w:eastAsia="zh-CN" w:bidi="ar-SA"/>
              </w:rPr>
              <w:t xml:space="preserve">”中“设计思路”、“技术架构”的响应内容优于磋商文件要求的（前提是响应文件对“</w:t>
            </w:r>
            <w:r>
              <w:rPr>
                <w:rFonts w:hint="eastAsia" w:ascii="方正仿宋_GB2312" w:hAnsi="方正仿宋_GB2312" w:eastAsia="方正仿宋_GB2312" w:cs="方正仿宋_GB2312"/>
                <w:color w:val="000000"/>
                <w:sz w:val="28"/>
                <w:szCs w:val="28"/>
                <w:lang w:val="en-US" w:eastAsia="zh-CN"/>
              </w:rPr>
              <w:t xml:space="preserve">安全</w:t>
            </w:r>
            <w:r>
              <w:rPr>
                <w:rFonts w:hint="eastAsia" w:ascii="方正仿宋_GB2312" w:hAnsi="方正仿宋_GB2312" w:eastAsia="方正仿宋_GB2312" w:cs="方正仿宋_GB2312"/>
                <w:b w:val="0"/>
                <w:bCs w:val="0"/>
                <w:color w:val="000000"/>
                <w:sz w:val="28"/>
                <w:szCs w:val="28"/>
                <w:lang w:val="en-US" w:eastAsia="zh-CN"/>
              </w:rPr>
              <w:t xml:space="preserve">要求</w:t>
            </w:r>
            <w:r>
              <w:rPr>
                <w:rFonts w:hint="eastAsia" w:ascii="方正仿宋_GB2312" w:hAnsi="方正仿宋_GB2312" w:eastAsia="方正仿宋_GB2312" w:cs="方正仿宋_GB2312"/>
                <w:color w:val="000000"/>
                <w:sz w:val="28"/>
                <w:szCs w:val="28"/>
                <w:lang w:val="en-US" w:eastAsia="zh-CN" w:bidi="ar-SA"/>
              </w:rPr>
              <w:t xml:space="preserve">”中除“设计思路”、“技术架构”外其他要求响应内容符合磋商文件要求），本项得5分。</w:t>
            </w:r>
            <w:r>
              <w:rPr>
                <w:rFonts w:hint="eastAsia" w:ascii="方正仿宋_GB2312" w:hAnsi="方正仿宋_GB2312" w:eastAsia="方正仿宋_GB2312" w:cs="方正仿宋_GB2312"/>
                <w:color w:val="000000"/>
                <w:sz w:val="28"/>
                <w:szCs w:val="28"/>
                <w:lang w:eastAsia="zh-CN"/>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174"/>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8</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val="0"/>
                <w:bCs w:val="0"/>
                <w:color w:val="000000"/>
                <w:sz w:val="28"/>
                <w:szCs w:val="28"/>
                <w:lang w:val="en-US" w:eastAsia="zh-CN"/>
              </w:rPr>
              <w:t xml:space="preserve">实施保障（5分）</w:t>
            </w:r>
            <w:r>
              <w:rPr>
                <w:rFonts w:hint="eastAsia" w:ascii="方正仿宋_GB2312" w:hAnsi="方正仿宋_GB2312" w:eastAsia="方正仿宋_GB2312" w:cs="方正仿宋_GB2312"/>
                <w:color w:val="000000"/>
                <w:sz w:val="28"/>
                <w:szCs w:val="28"/>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实施保障</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bidi="ar-SA"/>
              </w:rPr>
              <w:t xml:space="preserve">包括</w:t>
            </w:r>
            <w:r>
              <w:rPr>
                <w:rFonts w:hint="eastAsia" w:ascii="方正仿宋_GB2312" w:hAnsi="方正仿宋_GB2312" w:eastAsia="方正仿宋_GB2312" w:cs="方正仿宋_GB2312"/>
                <w:color w:val="000000"/>
                <w:sz w:val="28"/>
                <w:szCs w:val="28"/>
                <w:lang w:val="en-US" w:eastAsia="zh-CN"/>
              </w:rPr>
              <w:t xml:space="preserve">本</w:t>
            </w:r>
            <w:r>
              <w:rPr>
                <w:rFonts w:hint="eastAsia" w:ascii="方正仿宋_GB2312" w:hAnsi="方正仿宋_GB2312" w:eastAsia="方正仿宋_GB2312" w:cs="方正仿宋_GB2312"/>
                <w:color w:val="000000"/>
                <w:sz w:val="28"/>
                <w:szCs w:val="28"/>
              </w:rPr>
              <w:t xml:space="preserve">项目建设的进度计划、组织实施、</w:t>
            </w:r>
            <w:r>
              <w:rPr>
                <w:rFonts w:hint="eastAsia" w:ascii="方正仿宋_GB2312" w:hAnsi="方正仿宋_GB2312" w:eastAsia="方正仿宋_GB2312" w:cs="方正仿宋_GB2312"/>
                <w:color w:val="000000"/>
                <w:sz w:val="28"/>
                <w:szCs w:val="28"/>
                <w:lang w:val="en-US" w:eastAsia="zh-CN" w:bidi="ar-SA"/>
              </w:rPr>
              <w:t xml:space="preserve">项目管理、</w:t>
            </w:r>
            <w:r>
              <w:rPr>
                <w:rFonts w:hint="eastAsia" w:ascii="方正仿宋_GB2312" w:hAnsi="方正仿宋_GB2312" w:eastAsia="方正仿宋_GB2312" w:cs="方正仿宋_GB2312"/>
                <w:color w:val="000000"/>
                <w:sz w:val="28"/>
                <w:szCs w:val="28"/>
              </w:rPr>
              <w:t xml:space="preserve">质量控制</w:t>
            </w:r>
            <w:r>
              <w:rPr>
                <w:rFonts w:hint="eastAsia" w:ascii="方正仿宋_GB2312" w:hAnsi="方正仿宋_GB2312" w:eastAsia="方正仿宋_GB2312" w:cs="方正仿宋_GB2312"/>
                <w:color w:val="000000"/>
                <w:sz w:val="28"/>
                <w:szCs w:val="28"/>
                <w:lang w:val="en-US" w:eastAsia="zh-CN"/>
              </w:rPr>
              <w:t xml:space="preserve">等的管理</w:t>
            </w:r>
            <w:r>
              <w:rPr>
                <w:rFonts w:hint="eastAsia" w:ascii="方正仿宋_GB2312" w:hAnsi="方正仿宋_GB2312" w:eastAsia="方正仿宋_GB2312" w:cs="方正仿宋_GB2312"/>
                <w:color w:val="000000"/>
                <w:sz w:val="28"/>
                <w:szCs w:val="28"/>
              </w:rPr>
              <w:t xml:space="preserve">方</w:t>
            </w:r>
            <w:r>
              <w:rPr>
                <w:rFonts w:hint="eastAsia" w:ascii="方正仿宋_GB2312" w:hAnsi="方正仿宋_GB2312" w:eastAsia="方正仿宋_GB2312" w:cs="方正仿宋_GB2312"/>
                <w:color w:val="000000"/>
                <w:sz w:val="28"/>
                <w:szCs w:val="28"/>
                <w:lang w:val="en-US" w:eastAsia="zh-CN"/>
              </w:rPr>
              <w:t xml:space="preserve">案。</w:t>
            </w:r>
            <w:r>
              <w:rPr>
                <w:rFonts w:hint="eastAsia" w:ascii="方正仿宋_GB2312" w:hAnsi="方正仿宋_GB2312" w:eastAsia="方正仿宋_GB2312" w:cs="方正仿宋_GB2312"/>
                <w:color w:val="000000"/>
                <w:sz w:val="28"/>
                <w:szCs w:val="28"/>
                <w:lang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b w:val="0"/>
                <w:bCs w:val="0"/>
                <w:color w:val="000000"/>
                <w:sz w:val="28"/>
                <w:szCs w:val="28"/>
                <w:lang w:val="en-US" w:eastAsia="zh-CN"/>
              </w:rPr>
              <w:t xml:space="preserve">实施保障</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b w:val="0"/>
                <w:bCs w:val="0"/>
                <w:color w:val="000000"/>
                <w:sz w:val="28"/>
                <w:szCs w:val="28"/>
                <w:lang w:val="en-US" w:eastAsia="zh-CN"/>
              </w:rPr>
              <w:t xml:space="preserve">实施保障</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b w:val="0"/>
                <w:bCs w:val="0"/>
                <w:color w:val="000000"/>
                <w:sz w:val="28"/>
                <w:szCs w:val="28"/>
                <w:lang w:val="en-US" w:eastAsia="zh-CN"/>
              </w:rPr>
              <w:t xml:space="preserve">实施保障</w:t>
            </w:r>
            <w:r>
              <w:rPr>
                <w:rFonts w:hint="eastAsia" w:ascii="方正仿宋_GB2312" w:hAnsi="方正仿宋_GB2312" w:eastAsia="方正仿宋_GB2312" w:cs="方正仿宋_GB2312"/>
                <w:color w:val="000000"/>
                <w:sz w:val="28"/>
                <w:szCs w:val="28"/>
                <w:lang w:val="en-US" w:eastAsia="zh-CN" w:bidi="ar-SA"/>
              </w:rPr>
              <w:t xml:space="preserve">”中“进度计划”、“项目管理”的响应内容优于磋商文件要求的（前提是响应文件对“</w:t>
            </w:r>
            <w:r>
              <w:rPr>
                <w:rFonts w:hint="eastAsia" w:ascii="方正仿宋_GB2312" w:hAnsi="方正仿宋_GB2312" w:eastAsia="方正仿宋_GB2312" w:cs="方正仿宋_GB2312"/>
                <w:color w:val="000000"/>
                <w:sz w:val="28"/>
                <w:szCs w:val="28"/>
                <w:lang w:val="en-US" w:eastAsia="zh-CN"/>
              </w:rPr>
              <w:t xml:space="preserve">实施保障</w:t>
            </w:r>
            <w:r>
              <w:rPr>
                <w:rFonts w:hint="eastAsia" w:ascii="方正仿宋_GB2312" w:hAnsi="方正仿宋_GB2312" w:eastAsia="方正仿宋_GB2312" w:cs="方正仿宋_GB2312"/>
                <w:color w:val="000000"/>
                <w:sz w:val="28"/>
                <w:szCs w:val="28"/>
                <w:lang w:val="en-US" w:eastAsia="zh-CN" w:bidi="ar-SA"/>
              </w:rPr>
              <w:t xml:space="preserve">”中除“进度计划”、“项目管理”外其他要求响应内容符合磋商文件要求），本项得5分。</w:t>
            </w:r>
            <w:r>
              <w:rPr>
                <w:rFonts w:hint="eastAsia" w:ascii="方正仿宋_GB2312" w:hAnsi="方正仿宋_GB2312" w:eastAsia="方正仿宋_GB2312" w:cs="方正仿宋_GB2312"/>
                <w:color w:val="000000"/>
                <w:sz w:val="28"/>
                <w:szCs w:val="28"/>
                <w:lang w:eastAsia="zh-CN"/>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174"/>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9</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集成方案（5分）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集成要求</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包括与</w:t>
            </w:r>
            <w:r>
              <w:rPr>
                <w:rFonts w:hint="eastAsia" w:ascii="方正仿宋_GB2312" w:hAnsi="方正仿宋_GB2312" w:eastAsia="方正仿宋_GB2312" w:cs="方正仿宋_GB2312"/>
                <w:color w:val="000000"/>
                <w:sz w:val="28"/>
                <w:szCs w:val="28"/>
              </w:rPr>
              <w:t xml:space="preserve">统一身份认证、门户集成</w:t>
            </w:r>
            <w:r>
              <w:rPr>
                <w:rFonts w:hint="eastAsia" w:ascii="方正仿宋_GB2312" w:hAnsi="方正仿宋_GB2312" w:eastAsia="方正仿宋_GB2312" w:cs="方正仿宋_GB2312"/>
                <w:color w:val="000000"/>
                <w:sz w:val="28"/>
                <w:szCs w:val="28"/>
                <w:lang w:val="en-US" w:eastAsia="zh-CN"/>
              </w:rPr>
              <w:t xml:space="preserve">等。</w:t>
            </w:r>
            <w:r>
              <w:rPr>
                <w:rFonts w:hint="eastAsia" w:ascii="方正仿宋_GB2312" w:hAnsi="方正仿宋_GB2312" w:eastAsia="方正仿宋_GB2312" w:cs="方正仿宋_GB2312"/>
                <w:color w:val="000000"/>
                <w:sz w:val="28"/>
                <w:szCs w:val="28"/>
                <w:lang w:val="en-US"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w:t>
            </w:r>
            <w:r>
              <w:rPr>
                <w:rFonts w:hint="eastAsia" w:ascii="方正仿宋_GB2312" w:hAnsi="方正仿宋_GB2312" w:eastAsia="方正仿宋_GB2312" w:cs="方正仿宋_GB2312"/>
                <w:color w:val="000000"/>
                <w:sz w:val="28"/>
                <w:szCs w:val="28"/>
                <w:lang w:val="en-US" w:eastAsia="zh-CN"/>
              </w:rPr>
              <w:t xml:space="preserve">集成要求</w:t>
            </w:r>
            <w:r>
              <w:rPr>
                <w:rFonts w:hint="eastAsia" w:ascii="方正仿宋_GB2312" w:hAnsi="方正仿宋_GB2312" w:eastAsia="方正仿宋_GB2312" w:cs="方正仿宋_GB2312"/>
                <w:color w:val="000000"/>
                <w:sz w:val="28"/>
                <w:szCs w:val="28"/>
                <w:lang w:val="en-US" w:eastAsia="zh-CN" w:bidi="ar-SA"/>
              </w:rPr>
              <w:t xml:space="preserve">”中全部条款要求的，视为不符合磋商文件，本项得0分。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w:t>
            </w:r>
            <w:r>
              <w:rPr>
                <w:rFonts w:hint="eastAsia" w:ascii="方正仿宋_GB2312" w:hAnsi="方正仿宋_GB2312" w:eastAsia="方正仿宋_GB2312" w:cs="方正仿宋_GB2312"/>
                <w:color w:val="000000"/>
                <w:sz w:val="28"/>
                <w:szCs w:val="28"/>
                <w:lang w:val="en-US" w:eastAsia="zh-CN"/>
              </w:rPr>
              <w:t xml:space="preserve">集成要求</w:t>
            </w:r>
            <w:r>
              <w:rPr>
                <w:rFonts w:hint="eastAsia" w:ascii="方正仿宋_GB2312" w:hAnsi="方正仿宋_GB2312" w:eastAsia="方正仿宋_GB2312" w:cs="方正仿宋_GB2312"/>
                <w:color w:val="000000"/>
                <w:sz w:val="28"/>
                <w:szCs w:val="28"/>
                <w:lang w:val="en-US" w:eastAsia="zh-CN" w:bidi="ar-SA"/>
              </w:rPr>
              <w:t xml:space="preserve">”中全部条款要求的，视为符合磋商文件，本项得3分。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w:t>
            </w:r>
            <w:r>
              <w:rPr>
                <w:rFonts w:hint="eastAsia" w:ascii="方正仿宋_GB2312" w:hAnsi="方正仿宋_GB2312" w:eastAsia="方正仿宋_GB2312" w:cs="方正仿宋_GB2312"/>
                <w:color w:val="000000"/>
                <w:sz w:val="28"/>
                <w:szCs w:val="28"/>
                <w:lang w:val="en-US" w:eastAsia="zh-CN"/>
              </w:rPr>
              <w:t xml:space="preserve">集成要求</w:t>
            </w:r>
            <w:r>
              <w:rPr>
                <w:rFonts w:hint="eastAsia" w:ascii="方正仿宋_GB2312" w:hAnsi="方正仿宋_GB2312" w:eastAsia="方正仿宋_GB2312" w:cs="方正仿宋_GB2312"/>
                <w:color w:val="000000"/>
                <w:sz w:val="28"/>
                <w:szCs w:val="28"/>
                <w:lang w:val="en-US" w:eastAsia="zh-CN" w:bidi="ar-SA"/>
              </w:rPr>
              <w:t xml:space="preserve">”中“</w:t>
            </w:r>
            <w:r>
              <w:rPr>
                <w:rFonts w:hint="eastAsia" w:ascii="方正仿宋_GB2312" w:hAnsi="方正仿宋_GB2312" w:eastAsia="方正仿宋_GB2312" w:cs="方正仿宋_GB2312"/>
                <w:color w:val="000000"/>
                <w:sz w:val="28"/>
                <w:szCs w:val="28"/>
                <w:lang w:val="en-US" w:eastAsia="zh-CN"/>
              </w:rPr>
              <w:t xml:space="preserve">与</w:t>
            </w:r>
            <w:r>
              <w:rPr>
                <w:rFonts w:hint="eastAsia" w:ascii="方正仿宋_GB2312" w:hAnsi="方正仿宋_GB2312" w:eastAsia="方正仿宋_GB2312" w:cs="方正仿宋_GB2312"/>
                <w:color w:val="000000"/>
                <w:sz w:val="28"/>
                <w:szCs w:val="28"/>
              </w:rPr>
              <w:t xml:space="preserve">统一身份认证</w:t>
            </w:r>
            <w:r>
              <w:rPr>
                <w:rFonts w:hint="eastAsia" w:ascii="方正仿宋_GB2312" w:hAnsi="方正仿宋_GB2312" w:eastAsia="方正仿宋_GB2312" w:cs="方正仿宋_GB2312"/>
                <w:color w:val="000000"/>
                <w:sz w:val="28"/>
                <w:szCs w:val="28"/>
                <w:lang w:val="en-US" w:eastAsia="zh-CN" w:bidi="ar-SA"/>
              </w:rPr>
              <w:t xml:space="preserve">”、“</w:t>
            </w:r>
            <w:r>
              <w:rPr>
                <w:rFonts w:hint="eastAsia" w:ascii="方正仿宋_GB2312" w:hAnsi="方正仿宋_GB2312" w:eastAsia="方正仿宋_GB2312" w:cs="方正仿宋_GB2312"/>
                <w:color w:val="000000"/>
                <w:sz w:val="28"/>
                <w:szCs w:val="28"/>
              </w:rPr>
              <w:t xml:space="preserve">门户集成</w:t>
            </w:r>
            <w:r>
              <w:rPr>
                <w:rFonts w:hint="eastAsia" w:ascii="方正仿宋_GB2312" w:hAnsi="方正仿宋_GB2312" w:eastAsia="方正仿宋_GB2312" w:cs="方正仿宋_GB2312"/>
                <w:color w:val="000000"/>
                <w:sz w:val="28"/>
                <w:szCs w:val="28"/>
                <w:lang w:val="en-US" w:eastAsia="zh-CN" w:bidi="ar-SA"/>
              </w:rPr>
              <w:t xml:space="preserve">”的响应内容优于磋商文件要求的（前提是响应文件对“</w:t>
            </w:r>
            <w:r>
              <w:rPr>
                <w:rFonts w:hint="eastAsia" w:ascii="方正仿宋_GB2312" w:hAnsi="方正仿宋_GB2312" w:eastAsia="方正仿宋_GB2312" w:cs="方正仿宋_GB2312"/>
                <w:color w:val="000000"/>
                <w:sz w:val="28"/>
                <w:szCs w:val="28"/>
                <w:lang w:val="en-US" w:eastAsia="zh-CN"/>
              </w:rPr>
              <w:t xml:space="preserve">集成要求</w:t>
            </w:r>
            <w:r>
              <w:rPr>
                <w:rFonts w:hint="eastAsia" w:ascii="方正仿宋_GB2312" w:hAnsi="方正仿宋_GB2312" w:eastAsia="方正仿宋_GB2312" w:cs="方正仿宋_GB2312"/>
                <w:color w:val="000000"/>
                <w:sz w:val="28"/>
                <w:szCs w:val="28"/>
                <w:lang w:val="en-US" w:eastAsia="zh-CN" w:bidi="ar-SA"/>
              </w:rPr>
              <w:t xml:space="preserve">”中除“</w:t>
            </w:r>
            <w:r>
              <w:rPr>
                <w:rFonts w:hint="eastAsia" w:ascii="方正仿宋_GB2312" w:hAnsi="方正仿宋_GB2312" w:eastAsia="方正仿宋_GB2312" w:cs="方正仿宋_GB2312"/>
                <w:color w:val="000000"/>
                <w:sz w:val="28"/>
                <w:szCs w:val="28"/>
                <w:lang w:val="en-US" w:eastAsia="zh-CN"/>
              </w:rPr>
              <w:t xml:space="preserve">与</w:t>
            </w:r>
            <w:r>
              <w:rPr>
                <w:rFonts w:hint="eastAsia" w:ascii="方正仿宋_GB2312" w:hAnsi="方正仿宋_GB2312" w:eastAsia="方正仿宋_GB2312" w:cs="方正仿宋_GB2312"/>
                <w:color w:val="000000"/>
                <w:sz w:val="28"/>
                <w:szCs w:val="28"/>
              </w:rPr>
              <w:t xml:space="preserve">统一身份认证</w:t>
            </w:r>
            <w:r>
              <w:rPr>
                <w:rFonts w:hint="eastAsia" w:ascii="方正仿宋_GB2312" w:hAnsi="方正仿宋_GB2312" w:eastAsia="方正仿宋_GB2312" w:cs="方正仿宋_GB2312"/>
                <w:color w:val="000000"/>
                <w:sz w:val="28"/>
                <w:szCs w:val="28"/>
                <w:lang w:val="en-US" w:eastAsia="zh-CN" w:bidi="ar-SA"/>
              </w:rPr>
              <w:t xml:space="preserve">”、“</w:t>
            </w:r>
            <w:r>
              <w:rPr>
                <w:rFonts w:hint="eastAsia" w:ascii="方正仿宋_GB2312" w:hAnsi="方正仿宋_GB2312" w:eastAsia="方正仿宋_GB2312" w:cs="方正仿宋_GB2312"/>
                <w:color w:val="000000"/>
                <w:sz w:val="28"/>
                <w:szCs w:val="28"/>
              </w:rPr>
              <w:t xml:space="preserve">门户集成</w:t>
            </w:r>
            <w:r>
              <w:rPr>
                <w:rFonts w:hint="eastAsia" w:ascii="方正仿宋_GB2312" w:hAnsi="方正仿宋_GB2312" w:eastAsia="方正仿宋_GB2312" w:cs="方正仿宋_GB2312"/>
                <w:color w:val="000000"/>
                <w:sz w:val="28"/>
                <w:szCs w:val="28"/>
                <w:lang w:val="en-US" w:eastAsia="zh-CN" w:bidi="ar-SA"/>
              </w:rPr>
              <w:t xml:space="preserve">”外其他要求响应内容符合磋商文件要求），本项得5分。</w:t>
            </w:r>
            <w:r>
              <w:rPr>
                <w:rFonts w:hint="eastAsia" w:ascii="方正仿宋_GB2312" w:hAnsi="方正仿宋_GB2312" w:eastAsia="方正仿宋_GB2312" w:cs="方正仿宋_GB2312"/>
                <w:color w:val="000000"/>
                <w:sz w:val="28"/>
                <w:szCs w:val="28"/>
                <w:lang w:val="en-US" w:eastAsia="zh-CN"/>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174"/>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10</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历史数据迁移方案（5分）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投标人需提供磋商文件第四章“采购需求”中“历史数据迁移”要求的响应情况，包括对现有历史数据的迁移、保存和维护等。</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（1）响应文件未符合“历史数据迁移”中全部条款要求的，视为不符合磋商文件，本项得0分。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（2）响应文件符合“历史数据迁移”中全部条款要求的，视为符合磋商文件，本项得3分。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（3）经评委认定，响应文件对“历史数据迁移”中“历史数据迁移”、“</w:t>
            </w:r>
            <w:r>
              <w:rPr>
                <w:rFonts w:hint="eastAsia" w:ascii="方正仿宋_GB2312" w:hAnsi="方正仿宋_GB2312" w:eastAsia="方正仿宋_GB2312" w:cs="方正仿宋_GB2312"/>
                <w:color w:val="000000"/>
                <w:sz w:val="28"/>
                <w:szCs w:val="28"/>
                <w:lang w:val="en-US" w:eastAsia="zh-CN"/>
              </w:rPr>
              <w:t xml:space="preserve">历史数据维护</w:t>
            </w:r>
            <w:r>
              <w:rPr>
                <w:rFonts w:hint="eastAsia" w:ascii="方正仿宋_GB2312" w:hAnsi="方正仿宋_GB2312" w:eastAsia="方正仿宋_GB2312" w:cs="方正仿宋_GB2312"/>
                <w:color w:val="000000"/>
                <w:sz w:val="28"/>
                <w:szCs w:val="28"/>
                <w:lang w:val="en-US" w:eastAsia="zh-CN" w:bidi="ar-SA"/>
              </w:rPr>
              <w:t xml:space="preserve">”的响应内容优于磋商文件要求的（前提是响应文件对“历史数据迁移”中除“历史数据迁移”、“</w:t>
            </w:r>
            <w:r>
              <w:rPr>
                <w:rFonts w:hint="eastAsia" w:ascii="方正仿宋_GB2312" w:hAnsi="方正仿宋_GB2312" w:eastAsia="方正仿宋_GB2312" w:cs="方正仿宋_GB2312"/>
                <w:color w:val="000000"/>
                <w:sz w:val="28"/>
                <w:szCs w:val="28"/>
                <w:lang w:val="en-US" w:eastAsia="zh-CN"/>
              </w:rPr>
              <w:t xml:space="preserve">历史数据维护</w:t>
            </w:r>
            <w:r>
              <w:rPr>
                <w:rFonts w:hint="eastAsia" w:ascii="方正仿宋_GB2312" w:hAnsi="方正仿宋_GB2312" w:eastAsia="方正仿宋_GB2312" w:cs="方正仿宋_GB2312"/>
                <w:color w:val="000000"/>
                <w:sz w:val="28"/>
                <w:szCs w:val="28"/>
                <w:lang w:val="en-US" w:eastAsia="zh-CN" w:bidi="ar-SA"/>
              </w:rPr>
              <w:t xml:space="preserve">”外其他要求响应内容符合磋商文件要求），本项得5分。</w:t>
            </w:r>
            <w:r>
              <w:rPr>
                <w:rFonts w:hint="eastAsia" w:ascii="方正仿宋_GB2312" w:hAnsi="方正仿宋_GB2312" w:eastAsia="方正仿宋_GB2312" w:cs="方正仿宋_GB2312"/>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174"/>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11</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培训方案（5分）</w:t>
            </w:r>
            <w:r>
              <w:rPr>
                <w:rFonts w:hint="eastAsia" w:ascii="方正仿宋_GB2312" w:hAnsi="方正仿宋_GB2312" w:eastAsia="方正仿宋_GB2312" w:cs="方正仿宋_GB2312"/>
                <w:b w:val="0"/>
                <w:bCs w:val="0"/>
                <w:color w:val="000000"/>
                <w:sz w:val="28"/>
                <w:szCs w:val="28"/>
                <w:lang w:val="en-US" w:eastAsia="zh-CN"/>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投标人</w:t>
            </w:r>
            <w:r>
              <w:rPr>
                <w:rFonts w:hint="eastAsia" w:ascii="方正仿宋_GB2312" w:hAnsi="方正仿宋_GB2312" w:eastAsia="方正仿宋_GB2312" w:cs="方正仿宋_GB2312"/>
                <w:color w:val="000000"/>
                <w:sz w:val="28"/>
                <w:szCs w:val="28"/>
              </w:rPr>
              <w:t xml:space="preserve">需提供磋商文件第四章“采购需求”中“</w:t>
            </w:r>
            <w:r>
              <w:rPr>
                <w:rFonts w:hint="eastAsia" w:ascii="方正仿宋_GB2312" w:hAnsi="方正仿宋_GB2312" w:eastAsia="方正仿宋_GB2312" w:cs="方正仿宋_GB2312"/>
                <w:color w:val="000000"/>
                <w:sz w:val="28"/>
                <w:szCs w:val="28"/>
                <w:lang w:val="en-US" w:eastAsia="zh-CN"/>
              </w:rPr>
              <w:t xml:space="preserve">培训方案</w:t>
            </w:r>
            <w:r>
              <w:rPr>
                <w:rFonts w:hint="eastAsia" w:ascii="方正仿宋_GB2312" w:hAnsi="方正仿宋_GB2312" w:eastAsia="方正仿宋_GB2312" w:cs="方正仿宋_GB2312"/>
                <w:color w:val="000000"/>
                <w:sz w:val="28"/>
                <w:szCs w:val="28"/>
              </w:rPr>
              <w:t xml:space="preserve">”要求的响应情况</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bidi="ar-SA"/>
              </w:rPr>
              <w:t xml:space="preserve">包括但不限于培训方式、培训计划和培训过程质量控制等。</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（1）响应文件未符合“培训方案”中全部条款要求的，视为不符合磋商文件，本项得0分。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（2）响应文件符合“培训方案”中全部条款要求的，视为符合磋商文件，本项得3分。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培训方案”中“培训方式”、“培训计划”的响应内容优于磋商文件要求的（前提是响应文件对“培训方案”中除“培训方式”、“培训计划”外其他要求响应内容符合磋商文件要求），本项得5分。</w:t>
            </w:r>
            <w:r>
              <w:rPr>
                <w:rFonts w:hint="eastAsia" w:ascii="方正仿宋_GB2312" w:hAnsi="方正仿宋_GB2312" w:eastAsia="方正仿宋_GB2312" w:cs="方正仿宋_GB2312"/>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092"/>
          <w:tblHeader/>
        </w:trPr>
        <w:tc>
          <w:tcPr>
            <w:gridSpan w:val="2"/>
            <w:tcW w:w="665"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12</w:t>
            </w:r>
            <w:r>
              <w:rPr>
                <w:rFonts w:hint="eastAsia" w:ascii="方正仿宋_GB2312" w:hAnsi="方正仿宋_GB2312" w:eastAsia="方正仿宋_GB2312" w:cs="方正仿宋_GB2312"/>
                <w:color w:val="000000"/>
                <w:sz w:val="28"/>
                <w:szCs w:val="28"/>
                <w:lang w:val="en-US" w:eastAsia="zh-CN"/>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val="0"/>
                <w:bCs w:val="0"/>
                <w:color w:val="000000"/>
                <w:sz w:val="28"/>
                <w:szCs w:val="28"/>
                <w:lang w:val="en-US" w:eastAsia="zh-CN"/>
              </w:rPr>
              <w:t xml:space="preserve">售后服务方案（5分）</w:t>
            </w:r>
            <w:r>
              <w:rPr>
                <w:rFonts w:hint="eastAsia" w:ascii="方正仿宋_GB2312" w:hAnsi="方正仿宋_GB2312" w:eastAsia="方正仿宋_GB2312" w:cs="方正仿宋_GB2312"/>
                <w:color w:val="000000"/>
                <w:sz w:val="28"/>
                <w:szCs w:val="28"/>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投标人需提供</w:t>
            </w:r>
            <w:r>
              <w:rPr>
                <w:rFonts w:hint="eastAsia" w:ascii="方正仿宋_GB2312" w:hAnsi="方正仿宋_GB2312" w:eastAsia="方正仿宋_GB2312" w:cs="方正仿宋_GB2312"/>
                <w:color w:val="000000"/>
                <w:sz w:val="28"/>
                <w:szCs w:val="28"/>
              </w:rPr>
              <w:t xml:space="preserve">针对</w:t>
            </w:r>
            <w:r>
              <w:rPr>
                <w:rFonts w:hint="eastAsia" w:ascii="方正仿宋_GB2312" w:hAnsi="方正仿宋_GB2312" w:eastAsia="方正仿宋_GB2312" w:cs="方正仿宋_GB2312"/>
                <w:color w:val="000000"/>
                <w:sz w:val="28"/>
                <w:szCs w:val="28"/>
                <w:lang w:val="en-US" w:eastAsia="zh-CN"/>
              </w:rPr>
              <w:t xml:space="preserve">本</w:t>
            </w:r>
            <w:r>
              <w:rPr>
                <w:rFonts w:hint="eastAsia" w:ascii="方正仿宋_GB2312" w:hAnsi="方正仿宋_GB2312" w:eastAsia="方正仿宋_GB2312" w:cs="方正仿宋_GB2312"/>
                <w:color w:val="000000"/>
                <w:sz w:val="28"/>
                <w:szCs w:val="28"/>
              </w:rPr>
              <w:t xml:space="preserve">项目</w:t>
            </w:r>
            <w:r>
              <w:rPr>
                <w:rFonts w:hint="eastAsia" w:ascii="方正仿宋_GB2312" w:hAnsi="方正仿宋_GB2312" w:eastAsia="方正仿宋_GB2312" w:cs="方正仿宋_GB2312"/>
                <w:color w:val="000000"/>
                <w:sz w:val="28"/>
                <w:szCs w:val="28"/>
                <w:lang w:val="en-US" w:eastAsia="zh-CN"/>
              </w:rPr>
              <w:t xml:space="preserve">的售后服务</w:t>
            </w:r>
            <w:r>
              <w:rPr>
                <w:rFonts w:hint="eastAsia" w:ascii="方正仿宋_GB2312" w:hAnsi="方正仿宋_GB2312" w:eastAsia="方正仿宋_GB2312" w:cs="方正仿宋_GB2312"/>
                <w:color w:val="000000"/>
                <w:sz w:val="28"/>
                <w:szCs w:val="28"/>
                <w:lang w:val="en-US" w:eastAsia="zh-CN" w:bidi="ar-SA"/>
              </w:rPr>
              <w:t xml:space="preserve">方案，包括但不限于服务方式、服务团队、响应能力、服务内容、故障处理与应急措施等。</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（1）响应文件未符合“售后服务方案”中全部条款要求的，视为不符合磋商文件，本项得0分。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（2）响应文件符合“售后服务”中全部条款要求的，视为符合磋商文件，本项得3分。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3）经评委认定，响应文件对“售后服务方案”中“服务方式”、“故障处理”的响应内容优于磋商文件要求的（前提是响应文件对“售后服务方案”中除“服务方式”、“故障处理”外其他要求响应内容符合磋商文件要求），本项得5分。</w:t>
            </w:r>
            <w:r>
              <w:rPr>
                <w:rFonts w:hint="eastAsia" w:ascii="方正仿宋_GB2312" w:hAnsi="方正仿宋_GB2312" w:eastAsia="方正仿宋_GB2312" w:cs="方正仿宋_GB2312"/>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r>
      <w:tr>
        <w:trPr>
          <w:trHeight w:val="1092"/>
          <w:tblHeader/>
        </w:trPr>
        <w:tc>
          <w:tcPr>
            <w:gridSpan w:val="2"/>
            <w:tcW w:w="665" w:type="dxa"/>
            <w:vAlign w:val="center"/>
            <w:textDirection w:val="lrTb"/>
            <w:noWrap w:val="false"/>
          </w:tcPr>
          <w:p>
            <w:pPr>
              <w:pStyle w:val="904"/>
              <w:ind w:left="0"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rPr>
              <w:t xml:space="preserve">13</w:t>
            </w:r>
            <w:r>
              <w:rPr>
                <w:rFonts w:hint="eastAsia" w:ascii="方正仿宋_GB2312" w:hAnsi="方正仿宋_GB2312" w:eastAsia="方正仿宋_GB2312" w:cs="方正仿宋_GB2312"/>
                <w:color w:val="000000"/>
                <w:sz w:val="28"/>
                <w:szCs w:val="28"/>
                <w:lang w:val="en-US" w:eastAsia="zh-CN" w:bidi="ar-SA"/>
              </w:rPr>
            </w:r>
            <w:r/>
          </w:p>
        </w:tc>
        <w:tc>
          <w:tcPr>
            <w:gridSpan w:val="3"/>
            <w:tcW w:w="2007"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b w:val="0"/>
                <w:bCs w:val="0"/>
                <w:color w:val="000000"/>
                <w:sz w:val="28"/>
                <w:szCs w:val="28"/>
                <w:lang w:val="en-US" w:eastAsia="zh-CN"/>
              </w:rPr>
              <w:t xml:space="preserve">履约能力（3分）</w:t>
            </w:r>
            <w:r>
              <w:rPr>
                <w:rFonts w:hint="eastAsia" w:ascii="方正仿宋_GB2312" w:hAnsi="方正仿宋_GB2312" w:eastAsia="方正仿宋_GB2312" w:cs="方正仿宋_GB2312"/>
                <w:color w:val="000000"/>
                <w:sz w:val="28"/>
                <w:szCs w:val="28"/>
                <w:lang w:val="en-US" w:eastAsia="zh-CN" w:bidi="ar-SA"/>
              </w:rPr>
            </w:r>
            <w:r/>
          </w:p>
        </w:tc>
        <w:tc>
          <w:tcPr>
            <w:tcW w:w="6580"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rPr>
              <w:t xml:space="preserve">具有与本项目电气焊相关行业的软件著作权证书或发明</w:t>
            </w:r>
            <w:r>
              <w:rPr>
                <w:rFonts w:hint="eastAsia" w:ascii="方正仿宋_GB2312" w:hAnsi="方正仿宋_GB2312" w:eastAsia="方正仿宋_GB2312" w:cs="方正仿宋_GB2312"/>
                <w:b w:val="0"/>
                <w:color w:val="000000"/>
                <w:sz w:val="28"/>
                <w:szCs w:val="28"/>
                <w:lang w:val="en-US" w:eastAsia="zh-CN" w:bidi="ar-SA"/>
              </w:rPr>
              <w:t xml:space="preserve">专利证书，每提供一个得1分，本项最高得3分。</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注：如所提供的著作权内容表述与磋商文件描述的关键字样不一致，而该响应文件中能证明投标人或联合体任意一方拥有的软件著作权具有相同或相似功能和效果，且评标委员会认可的，视同符合要求。</w:t>
            </w:r>
            <w:r>
              <w:rPr>
                <w:rFonts w:hint="eastAsia" w:ascii="方正仿宋_GB2312" w:hAnsi="方正仿宋_GB2312" w:eastAsia="方正仿宋_GB2312" w:cs="方正仿宋_GB2312"/>
                <w:color w:val="000000"/>
                <w:sz w:val="28"/>
                <w:szCs w:val="28"/>
                <w:lang w:val="en-US" w:eastAsia="zh-CN" w:bidi="ar-SA"/>
              </w:rPr>
            </w:r>
            <w:r/>
          </w:p>
        </w:tc>
        <w:tc>
          <w:tcPr>
            <w:gridSpan w:val="2"/>
            <w:tcW w:w="602"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val="en-US" w:eastAsia="zh-CN"/>
              </w:rPr>
            </w:r>
            <w:r/>
          </w:p>
        </w:tc>
      </w:tr>
      <w:tr>
        <w:trPr>
          <w:tblHeader/>
        </w:trPr>
        <w:tc>
          <w:tcPr>
            <w:gridSpan w:val="2"/>
            <w:tcMar>
              <w:left w:w="-1" w:type="dxa"/>
              <w:top w:w="-1" w:type="dxa"/>
              <w:right w:w="-1" w:type="dxa"/>
              <w:bottom w:w="-1" w:type="dxa"/>
            </w:tcMar>
            <w:tcW w:w="748" w:type="dxa"/>
            <w:vAlign w:val="center"/>
            <w:textDirection w:val="lrTb"/>
            <w:noWrap w:val="false"/>
          </w:tcPr>
          <w:p>
            <w:pPr>
              <w:pStyle w:val="904"/>
              <w:ind w:left="0"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br w:type="page" w:clear="all"/>
            </w:r>
            <w:r>
              <w:rPr>
                <w:rFonts w:hint="eastAsia" w:ascii="方正仿宋_GB2312" w:hAnsi="方正仿宋_GB2312" w:eastAsia="方正仿宋_GB2312" w:cs="方正仿宋_GB2312"/>
                <w:color w:val="000000"/>
                <w:sz w:val="28"/>
                <w:szCs w:val="28"/>
                <w:lang w:val="en-US" w:eastAsia="zh-CN"/>
              </w:rPr>
              <w:t xml:space="preserve">14</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1195" w:type="dxa"/>
            <w:vAlign w:val="center"/>
            <w:vMerge w:val="restart"/>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系统录屏演示（10分）</w:t>
            </w:r>
            <w:r>
              <w:rPr>
                <w:rFonts w:hint="eastAsia" w:ascii="方正仿宋_GB2312" w:hAnsi="方正仿宋_GB2312" w:eastAsia="方正仿宋_GB2312" w:cs="方正仿宋_GB2312"/>
                <w:b w:val="0"/>
                <w:bCs w:val="0"/>
                <w:color w:val="000000"/>
                <w:sz w:val="28"/>
                <w:szCs w:val="28"/>
                <w:lang w:val="en-US" w:eastAsia="zh-CN"/>
              </w:rPr>
            </w:r>
            <w:r/>
          </w:p>
        </w:tc>
        <w:tc>
          <w:tcPr>
            <w:gridSpan w:val="2"/>
            <w:tcMar>
              <w:left w:w="-1" w:type="dxa"/>
              <w:top w:w="-1" w:type="dxa"/>
              <w:right w:w="-1" w:type="dxa"/>
              <w:bottom w:w="-1" w:type="dxa"/>
            </w:tcMar>
            <w:tcW w:w="7321" w:type="dxa"/>
            <w:vAlign w:val="center"/>
            <w:vMerge w:val="restart"/>
            <w:textDirection w:val="lrTb"/>
            <w:noWrap w:val="false"/>
          </w:tcPr>
          <w:p>
            <w:pPr>
              <w:pStyle w:val="904"/>
              <w:ind w:right="0" w:firstLine="56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为证明方案的可落地性，各投标人根据采购文件项目需求，围绕电气焊数字化监管三大核心功能模块进行录屏演示。</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firstLine="56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投标人需按照磋商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10分钟。</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firstLine="56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演示内容使用真实系统或系统原型的最高可得10分，需提交承诺函加盖公章（未提供承诺函的按照其他形式演示计算得分）；使用其他形式演示的需乘以系数0.5后为最终得分；不提供演示的不得分。</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系统对接演示内容</w:t>
            </w:r>
            <w:r>
              <w:rPr>
                <w:rFonts w:hint="eastAsia" w:ascii="方正仿宋_GB2312" w:hAnsi="方正仿宋_GB2312" w:eastAsia="方正仿宋_GB2312" w:cs="方正仿宋_GB2312"/>
                <w:b/>
                <w:bCs/>
                <w:color w:val="000000"/>
                <w:sz w:val="28"/>
                <w:szCs w:val="28"/>
                <w:lang w:val="en-US" w:eastAsia="zh-CN" w:bidi="ar-SA"/>
              </w:rPr>
            </w:r>
            <w:r/>
          </w:p>
          <w:p>
            <w:pPr>
              <w:pStyle w:val="904"/>
              <w:numPr>
                <w:ilvl w:val="0"/>
                <w:numId w:val="6"/>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单点登录功能，支持系统通过苏服办个人用户以及江苏省应急管理综合应用平台，输入登录信息后进行登录（完全满足得1分，不满足不得分）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人工智能+风险监测预警演示内容</w:t>
            </w:r>
            <w:r>
              <w:rPr>
                <w:rFonts w:hint="eastAsia" w:ascii="方正仿宋_GB2312" w:hAnsi="方正仿宋_GB2312" w:eastAsia="方正仿宋_GB2312" w:cs="方正仿宋_GB2312"/>
                <w:b/>
                <w:bCs/>
                <w:color w:val="000000"/>
                <w:sz w:val="28"/>
                <w:szCs w:val="28"/>
                <w:lang w:val="en-US" w:eastAsia="zh-CN" w:bidi="ar-SA"/>
              </w:rPr>
            </w:r>
            <w:r/>
          </w:p>
          <w:p>
            <w:pPr>
              <w:pStyle w:val="904"/>
              <w:numPr>
                <w:ilvl w:val="0"/>
                <w:numId w:val="7"/>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演示作业现场易燃物检测功能，具体功能要求如下：包括但不限于支持按照易燃物类型、易燃物识别精度、作业所属区域等多维度查询，列表展示设备名称、作业场所、作业开始时间、作业开始位置、是否发现易燃物、易燃物识别精度等数据。（完全满足得1.5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numPr>
                <w:ilvl w:val="0"/>
                <w:numId w:val="7"/>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演示可燃物分类分级预警功能，具体功能要求如下：包括但不限于支持按照可燃物识别精度配置预警风险等级、风险提示描述；支持按照预警类型、预警描述、预警名称等进行多维度查询，展示预警对象、主管部门、所属企业、预警级别、预警类型、预警描述以及预警处置等字段。（完全满足得1.5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动火作业全流程数字化管理演示内容</w:t>
            </w:r>
            <w:r>
              <w:rPr>
                <w:rFonts w:hint="eastAsia" w:ascii="方正仿宋_GB2312" w:hAnsi="方正仿宋_GB2312" w:eastAsia="方正仿宋_GB2312" w:cs="方正仿宋_GB2312"/>
                <w:b/>
                <w:bCs/>
                <w:color w:val="000000"/>
                <w:sz w:val="28"/>
                <w:szCs w:val="28"/>
                <w:lang w:val="en-US" w:eastAsia="zh-CN" w:bidi="ar-SA"/>
              </w:rPr>
            </w:r>
            <w:r/>
          </w:p>
          <w:p>
            <w:pPr>
              <w:pStyle w:val="904"/>
              <w:numPr>
                <w:ilvl w:val="0"/>
                <w:numId w:val="8"/>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b w:val="0"/>
                <w:color w:val="000000"/>
                <w:sz w:val="28"/>
                <w:szCs w:val="28"/>
                <w:lang w:val="en-US" w:eastAsia="zh-CN" w:bidi="ar-SA"/>
              </w:rPr>
              <w:t xml:space="preserve">演示作业前安全条件核验功能，包括但不限于支持动火作业前，对上传的图片进行识别，对不符合动火作业条件的应在公众端小程序上进行提醒，如未发现灭火器，请配备后再作业、现场发现可燃物，请清理后再作业等提醒。（完全满足得1.5分，不满足不得分）</w:t>
            </w:r>
            <w:r>
              <w:rPr>
                <w:rFonts w:hint="eastAsia" w:ascii="方正仿宋_GB2312" w:hAnsi="方正仿宋_GB2312" w:eastAsia="方正仿宋_GB2312" w:cs="方正仿宋_GB2312"/>
                <w:sz w:val="28"/>
                <w:szCs w:val="28"/>
                <w:lang w:val="en-US"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c>
          <w:tcPr>
            <w:gridSpan w:val="2"/>
            <w:tcMar>
              <w:left w:w="-1" w:type="dxa"/>
              <w:top w:w="-1" w:type="dxa"/>
              <w:right w:w="-1" w:type="dxa"/>
              <w:bottom w:w="-1" w:type="dxa"/>
            </w:tcMar>
            <w:tcW w:w="711" w:type="dxa"/>
            <w:vAlign w:val="center"/>
            <w:vMerge w:val="restart"/>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10</w:t>
            </w:r>
            <w:r>
              <w:rPr>
                <w:rFonts w:hint="eastAsia" w:ascii="方正仿宋_GB2312" w:hAnsi="方正仿宋_GB2312" w:eastAsia="方正仿宋_GB2312" w:cs="方正仿宋_GB2312"/>
                <w:color w:val="000000"/>
                <w:sz w:val="28"/>
                <w:szCs w:val="28"/>
                <w:lang w:val="en-US" w:eastAsia="zh-CN"/>
              </w:rPr>
            </w:r>
            <w:r/>
          </w:p>
        </w:tc>
      </w:tr>
      <w:tr>
        <w:trPr>
          <w:tblHeader/>
        </w:trPr>
        <w:tc>
          <w:tcPr>
            <w:gridSpan w:val="2"/>
            <w:tcMar>
              <w:left w:w="-1" w:type="dxa"/>
              <w:top w:w="-1" w:type="dxa"/>
              <w:right w:w="-1" w:type="dxa"/>
              <w:bottom w:w="-1" w:type="dxa"/>
            </w:tcMar>
            <w:tcW w:w="748" w:type="dxa"/>
            <w:vAlign w:val="center"/>
            <w:textDirection w:val="lrTb"/>
            <w:noWrap w:val="false"/>
          </w:tcPr>
          <w:p>
            <w:pPr>
              <w:pStyle w:val="904"/>
              <w:ind w:left="0"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1195" w:type="dxa"/>
            <w:vAlign w:val="center"/>
            <w:vMerge w:val="continue"/>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r>
            <w:r/>
          </w:p>
        </w:tc>
        <w:tc>
          <w:tcPr>
            <w:gridSpan w:val="2"/>
            <w:tcMar>
              <w:left w:w="-1" w:type="dxa"/>
              <w:top w:w="-1" w:type="dxa"/>
              <w:right w:w="-1" w:type="dxa"/>
              <w:bottom w:w="-1" w:type="dxa"/>
            </w:tcMar>
            <w:tcW w:w="7321" w:type="dxa"/>
            <w:vAlign w:val="center"/>
            <w:textDirection w:val="lrTb"/>
            <w:noWrap w:val="false"/>
          </w:tcPr>
          <w:p>
            <w:pPr>
              <w:pStyle w:val="904"/>
              <w:numPr>
                <w:ilvl w:val="0"/>
                <w:numId w:val="8"/>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动火作业后复盘功能，包括但不限于支持按照作业焊机名称、高危企业名称、高危焊工名称等进行多维度查询。列表显示设备名称、作业场所、作业开始时间、作业技术时间、开始环境、高危企业名称、高危焊工名称。点击查看可以查看高危企业以及高危焊工判定原因。（完全满足得1.5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场景化作业支撑演示内容</w:t>
            </w:r>
            <w:r>
              <w:rPr>
                <w:rFonts w:hint="eastAsia" w:ascii="方正仿宋_GB2312" w:hAnsi="方正仿宋_GB2312" w:eastAsia="方正仿宋_GB2312" w:cs="方正仿宋_GB2312"/>
                <w:b/>
                <w:bCs/>
                <w:color w:val="000000"/>
                <w:sz w:val="28"/>
                <w:szCs w:val="28"/>
                <w:lang w:val="en-US" w:eastAsia="zh-CN" w:bidi="ar-SA"/>
              </w:rPr>
            </w:r>
            <w:r/>
          </w:p>
          <w:p>
            <w:pPr>
              <w:pStyle w:val="904"/>
              <w:numPr>
                <w:ilvl w:val="0"/>
                <w:numId w:val="9"/>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风险感知功能，包括但不限于支持按照预警类型、预警级别、所属企业等进行多维度查询，列表显示预警对象、所属区域、预警级别、预警处置等内容，点击可查看短信，推送内容、推送时间等。（完全满足得1.5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numPr>
                <w:ilvl w:val="0"/>
                <w:numId w:val="9"/>
              </w:numPr>
              <w:ind w:right="0"/>
              <w:keepLines w:val="0"/>
              <w:keepNext w:val="0"/>
              <w:pageBreakBefore w:val="0"/>
              <w:spacing w:before="120" w:after="120" w:line="320" w:lineRule="exact"/>
              <w:widowControl w:val="off"/>
              <w:rPr>
                <w:rFonts w:hint="eastAsia" w:ascii="方正仿宋_GB2312" w:hAnsi="方正仿宋_GB2312" w:eastAsia="方正仿宋_GB2312" w:cs="方正仿宋_GB2312"/>
                <w:b w:val="0"/>
                <w:color w:val="000000"/>
                <w:sz w:val="28"/>
                <w:szCs w:val="28"/>
                <w:lang w:val="en-US" w:eastAsia="zh-CN" w:bidi="ar-SA"/>
              </w:rPr>
            </w:pPr>
            <w:r>
              <w:rPr>
                <w:rFonts w:hint="eastAsia" w:ascii="方正仿宋_GB2312" w:hAnsi="方正仿宋_GB2312" w:eastAsia="方正仿宋_GB2312" w:cs="方正仿宋_GB2312"/>
                <w:b w:val="0"/>
                <w:color w:val="000000"/>
                <w:sz w:val="28"/>
                <w:szCs w:val="28"/>
                <w:lang w:val="en-US" w:eastAsia="zh-CN" w:bidi="ar-SA"/>
              </w:rPr>
              <w:t xml:space="preserve">安全作业管控功能，包括但不限于支持按照管控名称、管控级别、管控状态进行查询，列表展示管控名称、企业、空间范围、开始和结束生效时间等进行展示。支持在地图上选取区域范围，并对生效时间、管控级别等进行设置后，对范围内焊机进行管控。（完全满足得1.5分，不满足不得分）</w:t>
            </w:r>
            <w:r>
              <w:rPr>
                <w:rFonts w:hint="eastAsia" w:ascii="方正仿宋_GB2312" w:hAnsi="方正仿宋_GB2312" w:eastAsia="方正仿宋_GB2312" w:cs="方正仿宋_GB2312"/>
                <w:b w:val="0"/>
                <w:color w:val="000000"/>
                <w:sz w:val="28"/>
                <w:szCs w:val="28"/>
                <w:lang w:val="en-US" w:eastAsia="zh-CN" w:bidi="ar-SA"/>
              </w:rPr>
            </w:r>
            <w:r/>
          </w:p>
          <w:p>
            <w:pPr>
              <w:pStyle w:val="904"/>
              <w:numPr>
                <w:ilvl w:val="0"/>
                <w:numId w:val="0"/>
              </w:numPr>
              <w:ind w:right="0" w:firstLine="560"/>
              <w:keepLines w:val="0"/>
              <w:keepNext w:val="0"/>
              <w:pageBreakBefore w:val="0"/>
              <w:spacing w:before="120" w:after="120" w:line="3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r>
            <w:r/>
          </w:p>
        </w:tc>
        <w:tc>
          <w:tcPr>
            <w:gridSpan w:val="2"/>
            <w:tcMar>
              <w:left w:w="-1" w:type="dxa"/>
              <w:top w:w="-1" w:type="dxa"/>
              <w:right w:w="-1" w:type="dxa"/>
              <w:bottom w:w="-1" w:type="dxa"/>
            </w:tcMar>
            <w:tcW w:w="711" w:type="dxa"/>
            <w:vAlign w:val="center"/>
            <w:vMerge w:val="continue"/>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r>
            <w:r/>
          </w:p>
        </w:tc>
      </w:tr>
      <w:tr>
        <w:trPr>
          <w:tblHeader/>
        </w:trPr>
        <w:tc>
          <w:tcPr>
            <w:gridSpan w:val="2"/>
            <w:tcMar>
              <w:left w:w="-1" w:type="dxa"/>
              <w:top w:w="-1" w:type="dxa"/>
              <w:right w:w="-1" w:type="dxa"/>
              <w:bottom w:w="-1" w:type="dxa"/>
            </w:tcMar>
            <w:tcW w:w="748"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15</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1195"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服务保障能力（12分）</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7321"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bidi="ar-SA"/>
              </w:rPr>
              <w:t xml:space="preserve">拟派的项目负责人（一名），具有有效的：高级工程师职称证书或注册安全工程师职业资格证书或高级信息系统项目管理师证书</w:t>
            </w:r>
            <w:r>
              <w:rPr>
                <w:rFonts w:hint="eastAsia" w:ascii="方正仿宋_GB2312" w:hAnsi="方正仿宋_GB2312" w:eastAsia="方正仿宋_GB2312" w:cs="方正仿宋_GB2312"/>
                <w:color w:val="000000"/>
                <w:sz w:val="28"/>
                <w:szCs w:val="28"/>
                <w:lang w:val="en-US" w:eastAsia="zh-CN"/>
              </w:rPr>
              <w:t xml:space="preserve">，每具有1项，得2分，最高得4分。</w:t>
            </w:r>
            <w:r>
              <w:rPr>
                <w:rFonts w:hint="eastAsia" w:ascii="方正仿宋_GB2312" w:hAnsi="方正仿宋_GB2312" w:eastAsia="方正仿宋_GB2312" w:cs="方正仿宋_GB2312"/>
                <w:color w:val="000000"/>
                <w:sz w:val="28"/>
                <w:szCs w:val="28"/>
                <w:lang w:val="en-US" w:eastAsia="zh-CN"/>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拟派项目组成员（除项目负责人）须不少于6名。满足人数要求得4分，不满足要求不得分。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拟派项目组成员（除项目负责人）每提供一类有效证书（工程类专业高级工程师职称证书、注册安全工程师职业资格证书、高级软件测评工程师、PMP证书、数据安全管理师）得1分，本项最高得4分。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bidi="ar-SA"/>
              </w:rPr>
              <w:t xml:space="preserve">注：响应文件中须提供：上述拟派人员证书扫描件以及供应商为该人员缴纳的投标截止时间前半年内任意一个月社保证明材料扫描件，并加盖投标单位公章。</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711"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12</w:t>
            </w:r>
            <w:r>
              <w:rPr>
                <w:rFonts w:hint="eastAsia" w:ascii="方正仿宋_GB2312" w:hAnsi="方正仿宋_GB2312" w:eastAsia="方正仿宋_GB2312" w:cs="方正仿宋_GB2312"/>
                <w:color w:val="000000"/>
                <w:sz w:val="28"/>
                <w:szCs w:val="28"/>
                <w:lang w:val="en-US" w:eastAsia="zh-CN" w:bidi="ar-SA"/>
              </w:rPr>
            </w:r>
            <w:r/>
          </w:p>
        </w:tc>
      </w:tr>
      <w:tr>
        <w:trPr>
          <w:tblHeader/>
        </w:trPr>
        <w:tc>
          <w:tcPr>
            <w:gridSpan w:val="2"/>
            <w:tcMar>
              <w:left w:w="-1" w:type="dxa"/>
              <w:top w:w="-1" w:type="dxa"/>
              <w:right w:w="-1" w:type="dxa"/>
              <w:bottom w:w="-1" w:type="dxa"/>
            </w:tcMar>
            <w:tcW w:w="748" w:type="dxa"/>
            <w:vAlign w:val="center"/>
            <w:textDirection w:val="lrTb"/>
            <w:noWrap w:val="false"/>
          </w:tcPr>
          <w:p>
            <w:pPr>
              <w:pStyle w:val="904"/>
              <w:ind w:right="0"/>
              <w:jc w:val="both"/>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16</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1195"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 xml:space="preserve">业绩（10分）</w:t>
            </w:r>
            <w:r>
              <w:rPr>
                <w:rFonts w:hint="eastAsia" w:ascii="方正仿宋_GB2312" w:hAnsi="方正仿宋_GB2312" w:eastAsia="方正仿宋_GB2312" w:cs="方正仿宋_GB2312"/>
                <w:color w:val="000000"/>
                <w:sz w:val="28"/>
                <w:szCs w:val="28"/>
                <w:lang w:val="en-US" w:eastAsia="zh-CN"/>
              </w:rPr>
            </w:r>
            <w:r/>
          </w:p>
        </w:tc>
        <w:tc>
          <w:tcPr>
            <w:gridSpan w:val="2"/>
            <w:tcMar>
              <w:left w:w="-1" w:type="dxa"/>
              <w:top w:w="-1" w:type="dxa"/>
              <w:right w:w="-1" w:type="dxa"/>
              <w:bottom w:w="-1" w:type="dxa"/>
            </w:tcMar>
            <w:tcW w:w="7321"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投标截止时间两年内，承担过电气焊平台的相关案例，且项目实施内容为“电气焊系统”或“电气焊加芯赋码改造”等相关的，提供合同扫描件以及与合同对应的部分发票扫描件，每提供1个，得2分，最高得10分。</w:t>
            </w:r>
            <w:r>
              <w:rPr>
                <w:rFonts w:hint="eastAsia" w:ascii="方正仿宋_GB2312" w:hAnsi="方正仿宋_GB2312" w:eastAsia="方正仿宋_GB2312" w:cs="方正仿宋_GB2312"/>
                <w:color w:val="000000"/>
                <w:sz w:val="28"/>
                <w:szCs w:val="28"/>
                <w:lang w:val="en-US" w:eastAsia="zh-CN" w:bidi="ar-SA"/>
              </w:rPr>
            </w:r>
            <w:r/>
          </w:p>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注：如所提供的案例内容表述与磋商文件描述的关键字样不一致，而该响应文件中能证明投标人或联合体任意一方拥有的案例具有相同或相似功能和效果，且评标委员会认可的，视同符合要求</w:t>
            </w:r>
            <w:r>
              <w:rPr>
                <w:rFonts w:hint="eastAsia" w:ascii="方正仿宋_GB2312" w:hAnsi="方正仿宋_GB2312" w:eastAsia="方正仿宋_GB2312" w:cs="方正仿宋_GB2312"/>
                <w:color w:val="000000"/>
                <w:sz w:val="28"/>
                <w:szCs w:val="28"/>
                <w:lang w:val="en-US" w:eastAsia="zh-CN" w:bidi="ar-SA"/>
              </w:rPr>
            </w:r>
            <w:r/>
          </w:p>
        </w:tc>
        <w:tc>
          <w:tcPr>
            <w:gridSpan w:val="2"/>
            <w:tcMar>
              <w:left w:w="-1" w:type="dxa"/>
              <w:top w:w="-1" w:type="dxa"/>
              <w:right w:w="-1" w:type="dxa"/>
              <w:bottom w:w="-1" w:type="dxa"/>
            </w:tcMar>
            <w:tcW w:w="711" w:type="dxa"/>
            <w:vAlign w:val="center"/>
            <w:textDirection w:val="lrTb"/>
            <w:noWrap w:val="false"/>
          </w:tcPr>
          <w:p>
            <w:pPr>
              <w:pStyle w:val="904"/>
              <w:ind w:right="0"/>
              <w:keepLines w:val="0"/>
              <w:keepNext w:val="0"/>
              <w:pageBreakBefore w:val="0"/>
              <w:spacing w:before="120" w:after="120" w:line="320" w:lineRule="exact"/>
              <w:widowControl w:val="off"/>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10</w:t>
            </w:r>
            <w:r>
              <w:rPr>
                <w:rFonts w:hint="eastAsia" w:ascii="方正仿宋_GB2312" w:hAnsi="方正仿宋_GB2312" w:eastAsia="方正仿宋_GB2312" w:cs="方正仿宋_GB2312"/>
                <w:color w:val="000000"/>
                <w:sz w:val="28"/>
                <w:szCs w:val="28"/>
                <w:lang w:val="en-US" w:eastAsia="zh-CN" w:bidi="ar-SA"/>
              </w:rPr>
            </w:r>
            <w:r/>
          </w:p>
        </w:tc>
      </w:tr>
    </w:tbl>
    <w:p>
      <w:pPr>
        <w:pStyle w:val="904"/>
        <w:ind w:firstLine="562"/>
        <w:jc w:val="left"/>
        <w:keepLines w:val="0"/>
        <w:pageBreakBefore w:val="0"/>
        <w:spacing w:before="120" w:after="120" w:line="320" w:lineRule="exact"/>
        <w:widowControl w:val="off"/>
        <w:rPr>
          <w:rFonts w:hint="eastAsia" w:ascii="方正仿宋_GBK" w:hAnsi="方正仿宋_GBK" w:eastAsia="方正仿宋_GBK" w:cs="方正仿宋_GBK"/>
          <w:b/>
          <w:color w:val="000000"/>
          <w:sz w:val="32"/>
          <w:szCs w:val="32"/>
        </w:rPr>
      </w:pPr>
      <w:r>
        <w:rPr>
          <w:rFonts w:hint="eastAsia" w:ascii="方正仿宋_GB2312" w:hAnsi="方正仿宋_GB2312" w:eastAsia="方正仿宋_GB2312" w:cs="方正仿宋_GB2312"/>
          <w:b/>
          <w:color w:val="000000"/>
          <w:sz w:val="28"/>
          <w:szCs w:val="28"/>
        </w:rPr>
        <w:t xml:space="preserve">   </w:t>
      </w:r>
      <w:r>
        <w:rPr>
          <w:rFonts w:hint="eastAsia" w:ascii="方正仿宋_GB2312" w:hAnsi="方正仿宋_GB2312" w:eastAsia="方正仿宋_GB2312" w:cs="方正仿宋_GB2312"/>
          <w:b/>
          <w:color w:val="000000"/>
          <w:sz w:val="28"/>
          <w:szCs w:val="28"/>
          <w:lang w:val="en-US" w:eastAsia="zh-CN"/>
        </w:rPr>
        <w:t xml:space="preserve">          </w:t>
      </w:r>
      <w:r>
        <w:rPr>
          <w:rFonts w:hint="eastAsia" w:ascii="方正仿宋_GBK" w:hAnsi="方正仿宋_GBK" w:eastAsia="方正仿宋_GBK" w:cs="方正仿宋_GBK"/>
          <w:b/>
          <w:color w:val="000000"/>
          <w:sz w:val="32"/>
          <w:szCs w:val="32"/>
        </w:rPr>
      </w:r>
      <w:r/>
    </w:p>
    <w:p>
      <w:pPr>
        <w:pStyle w:val="90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90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hint="eastAsia" w:ascii="Times New Roman" w:hAnsi="Times New Roman"/>
          <w:szCs w:val="21"/>
        </w:rPr>
      </w:pPr>
      <w:r>
        <w:rPr>
          <w:rFonts w:hint="eastAsia"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4"/>
        <w:rPr>
          <w:rFonts w:ascii="Times New Roman" w:hAnsi="Times New Roman"/>
          <w:szCs w:val="21"/>
        </w:rPr>
      </w:pPr>
      <w:r>
        <w:rPr>
          <w:rFonts w:ascii="Times New Roman" w:hAnsi="Times New Roman"/>
          <w:szCs w:val="21"/>
        </w:rPr>
      </w:r>
      <w:r/>
    </w:p>
    <w:p>
      <w:pPr>
        <w:pStyle w:val="906"/>
        <w:keepLines/>
        <w:keepNext/>
        <w:pageBreakBefore w:val="0"/>
        <w:spacing w:line="400" w:lineRule="exact"/>
        <w:widowControl w:val="off"/>
        <w:rPr>
          <w:rFonts w:hint="eastAsia" w:ascii="黑体" w:hAnsi="黑体" w:eastAsia="黑体" w:cs="Arial"/>
          <w:b w:val="0"/>
          <w:bCs w:val="0"/>
          <w:sz w:val="28"/>
          <w:szCs w:val="28"/>
        </w:rPr>
      </w:pPr>
      <w:r/>
      <w:bookmarkEnd w:id="170"/>
      <w:r/>
      <w:bookmarkEnd w:id="171"/>
      <w:r/>
      <w:bookmarkEnd w:id="181"/>
      <w:r/>
      <w:bookmarkStart w:id="182" w:name="_Toc26554094"/>
      <w:r/>
      <w:bookmarkStart w:id="183" w:name="_Toc49090576"/>
      <w:r/>
      <w:bookmarkStart w:id="184"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904"/>
        <w:jc w:val="center"/>
        <w:rPr>
          <w:rFonts w:hint="eastAsia" w:ascii="宋体" w:hAnsi="宋体"/>
          <w:b/>
          <w:sz w:val="72"/>
          <w:szCs w:val="21"/>
        </w:rPr>
      </w:pPr>
      <w:r/>
      <w:bookmarkStart w:id="185" w:name="_Hlt26671244"/>
      <w:r/>
      <w:bookmarkEnd w:id="185"/>
      <w:r/>
      <w:bookmarkStart w:id="186" w:name="_Hlt26955039"/>
      <w:r/>
      <w:bookmarkEnd w:id="186"/>
      <w:r>
        <w:rPr>
          <w:rFonts w:hint="eastAsia" w:ascii="宋体" w:hAnsi="宋体"/>
          <w:b/>
          <w:sz w:val="72"/>
          <w:szCs w:val="21"/>
        </w:rPr>
      </w:r>
      <w:r/>
    </w:p>
    <w:p>
      <w:pPr>
        <w:pStyle w:val="90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904"/>
        <w:jc w:val="center"/>
        <w:rPr>
          <w:rFonts w:hint="eastAsia" w:ascii="宋体" w:hAnsi="宋体"/>
          <w:b/>
          <w:sz w:val="72"/>
          <w:szCs w:val="21"/>
        </w:rPr>
      </w:pPr>
      <w:r>
        <w:rPr>
          <w:rFonts w:hint="eastAsia" w:ascii="宋体" w:hAnsi="宋体"/>
          <w:b/>
          <w:sz w:val="72"/>
          <w:szCs w:val="21"/>
        </w:rPr>
      </w:r>
      <w:r/>
    </w:p>
    <w:p>
      <w:pPr>
        <w:pStyle w:val="904"/>
        <w:jc w:val="center"/>
        <w:rPr>
          <w:rFonts w:hint="eastAsia" w:ascii="宋体" w:hAnsi="宋体"/>
          <w:b/>
          <w:sz w:val="72"/>
          <w:szCs w:val="21"/>
        </w:rPr>
      </w:pPr>
      <w:r>
        <w:rPr>
          <w:rFonts w:hint="eastAsia" w:ascii="宋体" w:hAnsi="宋体"/>
          <w:b/>
          <w:sz w:val="72"/>
          <w:szCs w:val="21"/>
        </w:rPr>
      </w:r>
      <w:r/>
    </w:p>
    <w:p>
      <w:pPr>
        <w:pStyle w:val="904"/>
        <w:jc w:val="center"/>
        <w:rPr>
          <w:rFonts w:hint="eastAsia" w:ascii="宋体" w:hAnsi="宋体"/>
          <w:b/>
          <w:sz w:val="36"/>
          <w:szCs w:val="21"/>
        </w:rPr>
      </w:pPr>
      <w:r>
        <w:rPr>
          <w:rFonts w:hint="eastAsia" w:ascii="宋体" w:hAnsi="宋体"/>
          <w:b/>
          <w:sz w:val="36"/>
          <w:szCs w:val="21"/>
        </w:rPr>
      </w:r>
      <w:r/>
    </w:p>
    <w:p>
      <w:pPr>
        <w:pStyle w:val="904"/>
        <w:jc w:val="center"/>
        <w:rPr>
          <w:rFonts w:hint="eastAsia" w:ascii="宋体" w:hAnsi="宋体"/>
          <w:b/>
          <w:sz w:val="36"/>
          <w:szCs w:val="21"/>
        </w:rPr>
      </w:pPr>
      <w:r>
        <w:rPr>
          <w:rFonts w:hint="eastAsia" w:ascii="宋体" w:hAnsi="宋体"/>
          <w:b/>
          <w:sz w:val="36"/>
          <w:szCs w:val="21"/>
        </w:rPr>
      </w:r>
      <w:r/>
    </w:p>
    <w:p>
      <w:pPr>
        <w:pStyle w:val="904"/>
        <w:jc w:val="center"/>
        <w:rPr>
          <w:rFonts w:hint="eastAsia" w:ascii="宋体" w:hAnsi="宋体"/>
          <w:b/>
          <w:sz w:val="36"/>
          <w:szCs w:val="21"/>
        </w:rPr>
      </w:pPr>
      <w:r>
        <w:rPr>
          <w:rFonts w:hint="eastAsia" w:ascii="宋体" w:hAnsi="宋体"/>
          <w:b/>
          <w:sz w:val="36"/>
          <w:szCs w:val="21"/>
        </w:rPr>
      </w:r>
      <w:r/>
    </w:p>
    <w:p>
      <w:pPr>
        <w:pStyle w:val="90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0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0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0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ascii="宋体" w:hAnsi="宋体"/>
          <w:szCs w:val="21"/>
        </w:rPr>
      </w:pPr>
      <w:r>
        <w:rPr>
          <w:rFonts w:ascii="宋体" w:hAnsi="宋体"/>
          <w:szCs w:val="21"/>
        </w:rPr>
      </w:r>
      <w:r/>
    </w:p>
    <w:p>
      <w:pPr>
        <w:pStyle w:val="904"/>
        <w:spacing w:line="440" w:lineRule="exact"/>
        <w:rPr>
          <w:rFonts w:hint="eastAsia" w:ascii="宋体" w:hAnsi="宋体"/>
          <w:szCs w:val="21"/>
        </w:rPr>
      </w:pPr>
      <w:r>
        <w:rPr>
          <w:rFonts w:hint="eastAsia" w:ascii="宋体" w:hAnsi="宋体"/>
          <w:szCs w:val="21"/>
        </w:rPr>
      </w:r>
      <w:r/>
    </w:p>
    <w:p>
      <w:pPr>
        <w:pStyle w:val="904"/>
        <w:ind w:firstLine="964"/>
        <w:rPr>
          <w:rFonts w:ascii="宋体" w:hAnsi="宋体"/>
          <w:b/>
          <w:bCs/>
          <w:sz w:val="32"/>
          <w:szCs w:val="32"/>
        </w:rPr>
      </w:pPr>
      <w:r>
        <w:rPr>
          <w:rFonts w:ascii="宋体" w:hAnsi="宋体"/>
          <w:b/>
          <w:bCs/>
          <w:sz w:val="32"/>
          <w:szCs w:val="32"/>
        </w:rPr>
      </w:r>
      <w:r/>
    </w:p>
    <w:p>
      <w:pPr>
        <w:pStyle w:val="904"/>
        <w:ind w:firstLine="964"/>
        <w:rPr>
          <w:rFonts w:ascii="宋体" w:hAnsi="宋体"/>
          <w:b/>
          <w:bCs/>
          <w:sz w:val="32"/>
          <w:szCs w:val="32"/>
        </w:rPr>
      </w:pPr>
      <w:r>
        <w:rPr>
          <w:rFonts w:ascii="宋体" w:hAnsi="宋体"/>
          <w:b/>
          <w:bCs/>
          <w:sz w:val="32"/>
          <w:szCs w:val="32"/>
        </w:rPr>
      </w:r>
      <w:r/>
    </w:p>
    <w:p>
      <w:pPr>
        <w:pStyle w:val="904"/>
        <w:ind w:firstLine="964"/>
        <w:rPr>
          <w:rFonts w:ascii="宋体" w:hAnsi="宋体"/>
          <w:b/>
          <w:bCs/>
          <w:sz w:val="32"/>
          <w:szCs w:val="32"/>
        </w:rPr>
      </w:pPr>
      <w:r>
        <w:rPr>
          <w:rFonts w:ascii="宋体" w:hAnsi="宋体"/>
          <w:b/>
          <w:bCs/>
          <w:sz w:val="32"/>
          <w:szCs w:val="32"/>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904"/>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90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90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ind w:left="480"/>
        <w:rPr>
          <w:rFonts w:ascii="宋体" w:hAnsi="宋体"/>
          <w:b/>
          <w:sz w:val="24"/>
          <w:szCs w:val="21"/>
        </w:rPr>
      </w:pPr>
      <w:r>
        <w:rPr>
          <w:rFonts w:ascii="宋体" w:hAnsi="宋体"/>
          <w:b/>
          <w:sz w:val="24"/>
          <w:szCs w:val="21"/>
        </w:rPr>
      </w:r>
      <w:r/>
    </w:p>
    <w:p>
      <w:pPr>
        <w:pStyle w:val="904"/>
        <w:rPr>
          <w:rFonts w:ascii="宋体" w:hAnsi="宋体"/>
          <w:b/>
          <w:sz w:val="24"/>
          <w:szCs w:val="21"/>
        </w:rPr>
      </w:pPr>
      <w:r>
        <w:rPr>
          <w:rFonts w:ascii="宋体" w:hAnsi="宋体"/>
          <w:b/>
          <w:sz w:val="24"/>
          <w:szCs w:val="21"/>
        </w:rPr>
      </w:r>
      <w:r/>
    </w:p>
    <w:p>
      <w:pPr>
        <w:pStyle w:val="904"/>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04"/>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6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04"/>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04"/>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4"/>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90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04"/>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04"/>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0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04"/>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bookmarkEnd w:id="182"/>
      <w:r/>
      <w:bookmarkEnd w:id="183"/>
      <w:r/>
      <w:bookmarkEnd w:id="184"/>
      <w:r/>
      <w:bookmarkStart w:id="187" w:name="_Toc120614284"/>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0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8" w:name="_Hlt26955070"/>
      <w:r/>
      <w:bookmarkEnd w:id="188"/>
      <w:r/>
      <w:bookmarkStart w:id="189" w:name="_Hlt26671380"/>
      <w:r/>
      <w:bookmarkEnd w:id="189"/>
      <w:r/>
      <w:bookmarkStart w:id="190" w:name="_格式3__银行出具的资信证明"/>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04"/>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04"/>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90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90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90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904"/>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04"/>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04"/>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0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04"/>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04"/>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904"/>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90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0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0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0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04"/>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0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04"/>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0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04"/>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90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04"/>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904"/>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0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04"/>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04"/>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90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0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2"/>
      <w:r/>
      <w:bookmarkEnd w:id="173"/>
      <w:r/>
      <w:bookmarkEnd w:id="187"/>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7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7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6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6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0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0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04"/>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附件13</w:t>
      </w:r>
      <w:r>
        <w:rPr>
          <w:rFonts w:hint="eastAsia" w:ascii="方正仿宋_GBK" w:hAnsi="方正仿宋_GBK" w:eastAsia="方正仿宋_GBK" w:cs="方正仿宋_GBK"/>
          <w:b/>
          <w:color w:val="000000"/>
          <w:sz w:val="28"/>
          <w:szCs w:val="28"/>
          <w:lang w:val="en-US" w:eastAsia="zh-CN"/>
        </w:rPr>
        <w:t xml:space="preserve">  </w:t>
      </w:r>
      <w:r>
        <w:rPr>
          <w:rFonts w:hint="eastAsia" w:ascii="方正仿宋_GBK" w:hAnsi="方正仿宋_GBK" w:eastAsia="方正仿宋_GBK" w:cs="方正仿宋_GBK"/>
          <w:b/>
          <w:color w:val="000000"/>
          <w:sz w:val="28"/>
          <w:szCs w:val="28"/>
        </w:rPr>
        <w:t xml:space="preserve">提供服务的人员均为订立劳动合同的从业人员的书面声明</w:t>
      </w:r>
      <w:r>
        <w:rPr>
          <w:rFonts w:hint="eastAsia" w:ascii="方正仿宋_GBK" w:hAnsi="方正仿宋_GBK" w:eastAsia="方正仿宋_GBK" w:cs="方正仿宋_GBK"/>
          <w:b/>
          <w:color w:val="000000"/>
          <w:sz w:val="28"/>
          <w:szCs w:val="28"/>
        </w:rPr>
      </w:r>
      <w:r/>
    </w:p>
    <w:p>
      <w:pPr>
        <w:pStyle w:val="904"/>
        <w:jc w:val="both"/>
        <w:keepLines w:val="0"/>
        <w:keepNext w:val="0"/>
        <w:pageBreakBefore w:val="0"/>
        <w:spacing w:line="400" w:lineRule="exact"/>
        <w:rPr>
          <w:rFonts w:ascii="宋体" w:hAnsi="宋体" w:eastAsia="方正仿宋_GBK" w:cs="仿宋"/>
          <w:b/>
          <w:bCs/>
          <w:sz w:val="28"/>
          <w:szCs w:val="28"/>
          <w:lang w:val="en-US" w:eastAsia="zh-CN"/>
        </w:rPr>
      </w:pPr>
      <w:r>
        <w:rPr>
          <w:rFonts w:ascii="宋体" w:hAnsi="宋体" w:eastAsia="方正仿宋_GBK" w:cs="仿宋"/>
          <w:b/>
          <w:bCs/>
          <w:sz w:val="28"/>
          <w:szCs w:val="28"/>
          <w:lang w:val="en-US" w:eastAsia="zh-CN"/>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6"/>
        <w:ind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6"/>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66"/>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0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0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904"/>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04"/>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0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0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3"/>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0"/>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num w:numId="1">
    <w:abstractNumId w:val="8"/>
  </w:num>
  <w:num w:numId="2">
    <w:abstractNumId w:val="3"/>
  </w:num>
  <w:num w:numId="3">
    <w:abstractNumId w:val="6"/>
  </w:num>
  <w:num w:numId="4">
    <w:abstractNumId w:val="2"/>
  </w:num>
  <w:num w:numId="5">
    <w:abstractNumId w:val="5"/>
  </w:num>
  <w:num w:numId="6">
    <w:abstractNumId w:val="4"/>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4"/>
    <w:next w:val="904"/>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4"/>
    <w:next w:val="904"/>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4"/>
    <w:next w:val="904"/>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4"/>
    <w:next w:val="904"/>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4"/>
    <w:next w:val="904"/>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4"/>
    <w:next w:val="904"/>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4"/>
    <w:next w:val="904"/>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4"/>
    <w:next w:val="904"/>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4"/>
    <w:next w:val="904"/>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904"/>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sz w:val="21"/>
      <w:szCs w:val="22"/>
      <w:lang w:val="en-US" w:eastAsia="zh-CN" w:bidi="ar-SA"/>
    </w:rPr>
  </w:style>
  <w:style w:type="paragraph" w:styleId="905">
    <w:name w:val="标题 1"/>
    <w:basedOn w:val="904"/>
    <w:next w:val="904"/>
    <w:link w:val="916"/>
    <w:qFormat/>
    <w:pPr>
      <w:jc w:val="center"/>
      <w:keepNext/>
      <w:outlineLvl w:val="0"/>
    </w:pPr>
    <w:rPr>
      <w:rFonts w:ascii="楷体_GB2312" w:hAnsi="Times New Roman" w:eastAsia="楷体_GB2312" w:cs="Times New Roman"/>
      <w:sz w:val="28"/>
      <w:szCs w:val="28"/>
    </w:rPr>
  </w:style>
  <w:style w:type="paragraph" w:styleId="906">
    <w:name w:val="标题 2"/>
    <w:basedOn w:val="904"/>
    <w:next w:val="918"/>
    <w:link w:val="917"/>
    <w:qFormat/>
    <w:pPr>
      <w:jc w:val="center"/>
      <w:keepLines/>
      <w:keepNext/>
      <w:spacing w:before="260" w:after="260" w:line="416" w:lineRule="auto"/>
      <w:outlineLvl w:val="1"/>
    </w:pPr>
    <w:rPr>
      <w:rFonts w:ascii="Arial" w:hAnsi="Arial" w:eastAsia="幼圆" w:cs="Arial"/>
      <w:b/>
      <w:bCs/>
      <w:sz w:val="44"/>
      <w:szCs w:val="44"/>
    </w:rPr>
  </w:style>
  <w:style w:type="paragraph" w:styleId="907">
    <w:name w:val="标题 3"/>
    <w:basedOn w:val="904"/>
    <w:next w:val="918"/>
    <w:link w:val="9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8">
    <w:name w:val="标题 4"/>
    <w:basedOn w:val="904"/>
    <w:next w:val="918"/>
    <w:link w:val="921"/>
    <w:qFormat/>
    <w:pPr>
      <w:keepLines/>
      <w:keepNext/>
      <w:spacing w:before="280" w:after="290" w:line="376" w:lineRule="auto"/>
      <w:outlineLvl w:val="3"/>
    </w:pPr>
    <w:rPr>
      <w:rFonts w:ascii="Arial" w:hAnsi="Arial" w:eastAsia="黑体" w:cs="Arial"/>
      <w:b/>
      <w:bCs/>
      <w:sz w:val="28"/>
      <w:szCs w:val="28"/>
    </w:rPr>
  </w:style>
  <w:style w:type="paragraph" w:styleId="909">
    <w:name w:val="标题 5"/>
    <w:basedOn w:val="904"/>
    <w:next w:val="918"/>
    <w:link w:val="922"/>
    <w:qFormat/>
    <w:pPr>
      <w:keepNext/>
      <w:outlineLvl w:val="4"/>
    </w:pPr>
    <w:rPr>
      <w:rFonts w:ascii="宋体" w:hAnsi="Times New Roman" w:eastAsia="宋体" w:cs="Times New Roman"/>
      <w:color w:val="000000"/>
      <w:sz w:val="28"/>
      <w:szCs w:val="28"/>
    </w:rPr>
  </w:style>
  <w:style w:type="paragraph" w:styleId="910">
    <w:name w:val="标题 6"/>
    <w:basedOn w:val="904"/>
    <w:next w:val="904"/>
    <w:link w:val="9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name w:val="标题 7"/>
    <w:basedOn w:val="904"/>
    <w:next w:val="904"/>
    <w:link w:val="9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name w:val="标题 8"/>
    <w:basedOn w:val="904"/>
    <w:next w:val="904"/>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name w:val="标题 9"/>
    <w:basedOn w:val="904"/>
    <w:next w:val="904"/>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name w:val="默认段落字体"/>
    <w:next w:val="914"/>
    <w:link w:val="904"/>
    <w:uiPriority w:val="1"/>
    <w:unhideWhenUsed/>
  </w:style>
  <w:style w:type="table" w:styleId="915">
    <w:name w:val="普通表格"/>
    <w:next w:val="915"/>
    <w:link w:val="904"/>
    <w:uiPriority w:val="99"/>
    <w:unhideWhenUsed/>
    <w:tblPr/>
  </w:style>
  <w:style w:type="character" w:styleId="916">
    <w:name w:val="标题 1 Char"/>
    <w:next w:val="916"/>
    <w:link w:val="905"/>
    <w:rPr>
      <w:rFonts w:ascii="楷体_GB2312" w:hAnsi="Times New Roman" w:eastAsia="楷体_GB2312" w:cs="Times New Roman"/>
      <w:sz w:val="28"/>
      <w:szCs w:val="28"/>
    </w:rPr>
  </w:style>
  <w:style w:type="character" w:styleId="917">
    <w:name w:val="标题 2 Char"/>
    <w:next w:val="917"/>
    <w:link w:val="906"/>
    <w:rPr>
      <w:rFonts w:ascii="Arial" w:hAnsi="Arial" w:eastAsia="幼圆" w:cs="Arial"/>
      <w:b/>
      <w:bCs/>
      <w:sz w:val="44"/>
      <w:szCs w:val="44"/>
    </w:rPr>
  </w:style>
  <w:style w:type="paragraph" w:styleId="918">
    <w:name w:val="正文缩进"/>
    <w:basedOn w:val="904"/>
    <w:next w:val="918"/>
    <w:link w:val="919"/>
    <w:pPr>
      <w:ind w:firstLine="420"/>
    </w:pPr>
    <w:rPr>
      <w:szCs w:val="21"/>
    </w:rPr>
  </w:style>
  <w:style w:type="character" w:styleId="919">
    <w:name w:val="正文缩进 Char"/>
    <w:next w:val="919"/>
    <w:link w:val="918"/>
    <w:rPr>
      <w:szCs w:val="21"/>
    </w:rPr>
  </w:style>
  <w:style w:type="character" w:styleId="920">
    <w:name w:val="标题 3 Char"/>
    <w:next w:val="920"/>
    <w:link w:val="907"/>
    <w:rPr>
      <w:rFonts w:ascii="Times New Roman" w:hAnsi="Times New Roman" w:eastAsia="宋体" w:cs="Times New Roman"/>
      <w:b/>
      <w:bCs/>
      <w:sz w:val="32"/>
      <w:szCs w:val="32"/>
    </w:rPr>
  </w:style>
  <w:style w:type="character" w:styleId="921">
    <w:name w:val="标题 4 Char"/>
    <w:next w:val="921"/>
    <w:link w:val="908"/>
    <w:rPr>
      <w:rFonts w:ascii="Arial" w:hAnsi="Arial" w:eastAsia="黑体" w:cs="Arial"/>
      <w:b/>
      <w:bCs/>
      <w:sz w:val="28"/>
      <w:szCs w:val="28"/>
    </w:rPr>
  </w:style>
  <w:style w:type="character" w:styleId="922">
    <w:name w:val="标题 5 Char"/>
    <w:next w:val="922"/>
    <w:link w:val="909"/>
    <w:rPr>
      <w:rFonts w:ascii="宋体" w:hAnsi="Times New Roman" w:eastAsia="宋体" w:cs="Times New Roman"/>
      <w:color w:val="000000"/>
      <w:sz w:val="28"/>
      <w:szCs w:val="28"/>
    </w:rPr>
  </w:style>
  <w:style w:type="character" w:styleId="923">
    <w:name w:val="标题 6 Char"/>
    <w:next w:val="923"/>
    <w:link w:val="910"/>
    <w:rPr>
      <w:rFonts w:ascii="Arial" w:hAnsi="Arial" w:eastAsia="黑体" w:cs="Times New Roman"/>
      <w:b/>
      <w:bCs/>
      <w:sz w:val="24"/>
      <w:szCs w:val="24"/>
    </w:rPr>
  </w:style>
  <w:style w:type="character" w:styleId="924">
    <w:name w:val="标题 7 Char"/>
    <w:next w:val="924"/>
    <w:link w:val="911"/>
    <w:rPr>
      <w:rFonts w:ascii="Times New Roman" w:hAnsi="Times New Roman" w:eastAsia="宋体" w:cs="Times New Roman"/>
      <w:b/>
      <w:bCs/>
      <w:sz w:val="24"/>
      <w:szCs w:val="24"/>
    </w:rPr>
  </w:style>
  <w:style w:type="character" w:styleId="925">
    <w:name w:val="标题 8 Char"/>
    <w:next w:val="925"/>
    <w:link w:val="912"/>
    <w:rPr>
      <w:rFonts w:ascii="Arial" w:hAnsi="Arial" w:eastAsia="黑体" w:cs="Times New Roman"/>
      <w:sz w:val="24"/>
      <w:szCs w:val="24"/>
    </w:rPr>
  </w:style>
  <w:style w:type="character" w:styleId="926">
    <w:name w:val="标题 9 Char"/>
    <w:next w:val="926"/>
    <w:link w:val="913"/>
    <w:rPr>
      <w:rFonts w:ascii="Arial" w:hAnsi="Arial" w:eastAsia="黑体" w:cs="Times New Roman"/>
      <w:szCs w:val="21"/>
    </w:rPr>
  </w:style>
  <w:style w:type="paragraph" w:styleId="927">
    <w:name w:val="列表 3"/>
    <w:basedOn w:val="904"/>
    <w:next w:val="927"/>
    <w:link w:val="904"/>
    <w:pPr>
      <w:ind w:left="100" w:hanging="200"/>
    </w:pPr>
    <w:rPr>
      <w:rFonts w:ascii="Times New Roman" w:hAnsi="Times New Roman" w:eastAsia="宋体" w:cs="Times New Roman"/>
      <w:szCs w:val="21"/>
    </w:rPr>
  </w:style>
  <w:style w:type="paragraph" w:styleId="928">
    <w:name w:val="目录 7"/>
    <w:basedOn w:val="904"/>
    <w:next w:val="904"/>
    <w:link w:val="904"/>
    <w:semiHidden/>
    <w:pPr>
      <w:ind w:left="1260"/>
      <w:jc w:val="left"/>
    </w:pPr>
    <w:rPr>
      <w:rFonts w:ascii="Times New Roman" w:hAnsi="Times New Roman" w:eastAsia="宋体" w:cs="Times New Roman"/>
      <w:szCs w:val="21"/>
    </w:rPr>
  </w:style>
  <w:style w:type="paragraph" w:styleId="929">
    <w:name w:val="文档结构图"/>
    <w:basedOn w:val="904"/>
    <w:next w:val="929"/>
    <w:link w:val="930"/>
    <w:semiHidden/>
    <w:pPr>
      <w:shd w:val="clear" w:color="auto" w:fill="000080"/>
    </w:pPr>
    <w:rPr>
      <w:rFonts w:ascii="Times New Roman" w:hAnsi="Times New Roman" w:eastAsia="宋体" w:cs="Times New Roman"/>
      <w:szCs w:val="21"/>
    </w:rPr>
  </w:style>
  <w:style w:type="character" w:styleId="930">
    <w:name w:val="文档结构图 Char"/>
    <w:next w:val="930"/>
    <w:link w:val="929"/>
    <w:semiHidden/>
    <w:rPr>
      <w:rFonts w:ascii="Times New Roman" w:hAnsi="Times New Roman" w:eastAsia="宋体" w:cs="Times New Roman"/>
      <w:szCs w:val="21"/>
      <w:shd w:val="clear" w:color="auto" w:fill="000080"/>
    </w:rPr>
  </w:style>
  <w:style w:type="paragraph" w:styleId="931">
    <w:name w:val="批注文字"/>
    <w:basedOn w:val="904"/>
    <w:next w:val="931"/>
    <w:link w:val="932"/>
    <w:unhideWhenUsed/>
    <w:pPr>
      <w:jc w:val="left"/>
    </w:pPr>
  </w:style>
  <w:style w:type="character" w:styleId="932">
    <w:name w:val="批注文字 Char"/>
    <w:next w:val="932"/>
    <w:link w:val="931"/>
    <w:uiPriority w:val="99"/>
    <w:semiHidden/>
  </w:style>
  <w:style w:type="paragraph" w:styleId="933">
    <w:name w:val="正文文本 3"/>
    <w:basedOn w:val="904"/>
    <w:next w:val="933"/>
    <w:link w:val="934"/>
    <w:rPr>
      <w:rFonts w:ascii="仿宋_GB2312" w:hAnsi="Arial" w:eastAsia="仿宋_GB2312" w:cs="Times New Roman"/>
      <w:sz w:val="32"/>
      <w:szCs w:val="32"/>
    </w:rPr>
  </w:style>
  <w:style w:type="character" w:styleId="934">
    <w:name w:val="正文文本 3 Char"/>
    <w:next w:val="934"/>
    <w:link w:val="933"/>
    <w:rPr>
      <w:rFonts w:ascii="仿宋_GB2312" w:hAnsi="Arial" w:eastAsia="仿宋_GB2312" w:cs="Times New Roman"/>
      <w:sz w:val="32"/>
      <w:szCs w:val="32"/>
    </w:rPr>
  </w:style>
  <w:style w:type="paragraph" w:styleId="935">
    <w:name w:val="正文文本"/>
    <w:basedOn w:val="904"/>
    <w:next w:val="935"/>
    <w:link w:val="936"/>
    <w:rPr>
      <w:rFonts w:ascii="楷体_GB2312" w:hAnsi="Arial" w:eastAsia="楷体_GB2312" w:cs="Times New Roman"/>
      <w:sz w:val="28"/>
      <w:szCs w:val="28"/>
    </w:rPr>
  </w:style>
  <w:style w:type="character" w:styleId="936">
    <w:name w:val="正文文本 Char"/>
    <w:next w:val="936"/>
    <w:link w:val="935"/>
    <w:rPr>
      <w:rFonts w:ascii="楷体_GB2312" w:hAnsi="Arial" w:eastAsia="楷体_GB2312" w:cs="Times New Roman"/>
      <w:sz w:val="28"/>
      <w:szCs w:val="28"/>
    </w:rPr>
  </w:style>
  <w:style w:type="paragraph" w:styleId="937">
    <w:name w:val="正文文本缩进"/>
    <w:basedOn w:val="904"/>
    <w:next w:val="937"/>
    <w:link w:val="938"/>
    <w:unhideWhenUsed/>
    <w:pPr>
      <w:ind w:left="420"/>
      <w:spacing w:after="120"/>
    </w:pPr>
  </w:style>
  <w:style w:type="character" w:styleId="938">
    <w:name w:val="正文文本缩进 Char"/>
    <w:next w:val="938"/>
    <w:link w:val="937"/>
    <w:uiPriority w:val="99"/>
    <w:semiHidden/>
  </w:style>
  <w:style w:type="paragraph" w:styleId="939">
    <w:name w:val="列表 2"/>
    <w:basedOn w:val="904"/>
    <w:next w:val="939"/>
    <w:link w:val="904"/>
    <w:pPr>
      <w:ind w:left="100" w:hanging="200"/>
    </w:pPr>
    <w:rPr>
      <w:rFonts w:ascii="Times New Roman" w:hAnsi="Times New Roman" w:eastAsia="宋体" w:cs="Times New Roman"/>
      <w:szCs w:val="21"/>
    </w:rPr>
  </w:style>
  <w:style w:type="paragraph" w:styleId="940">
    <w:name w:val="目录 5"/>
    <w:basedOn w:val="904"/>
    <w:next w:val="904"/>
    <w:link w:val="904"/>
    <w:semiHidden/>
    <w:pPr>
      <w:ind w:left="840"/>
      <w:jc w:val="left"/>
    </w:pPr>
    <w:rPr>
      <w:rFonts w:ascii="Times New Roman" w:hAnsi="Times New Roman" w:eastAsia="宋体" w:cs="Times New Roman"/>
      <w:szCs w:val="21"/>
    </w:rPr>
  </w:style>
  <w:style w:type="paragraph" w:styleId="941">
    <w:name w:val="目录 3"/>
    <w:basedOn w:val="904"/>
    <w:next w:val="904"/>
    <w:link w:val="904"/>
    <w:semiHidden/>
    <w:pPr>
      <w:ind w:left="420"/>
      <w:jc w:val="left"/>
    </w:pPr>
    <w:rPr>
      <w:rFonts w:ascii="Times New Roman" w:hAnsi="Times New Roman" w:eastAsia="宋体" w:cs="Times New Roman"/>
      <w:i/>
      <w:iCs/>
      <w:szCs w:val="24"/>
    </w:rPr>
  </w:style>
  <w:style w:type="paragraph" w:styleId="942">
    <w:name w:val="纯文本"/>
    <w:basedOn w:val="904"/>
    <w:next w:val="942"/>
    <w:link w:val="943"/>
    <w:qFormat/>
    <w:rPr>
      <w:rFonts w:ascii="宋体" w:hAnsi="Courier New" w:eastAsia="宋体" w:cs="Courier New"/>
      <w:szCs w:val="21"/>
    </w:rPr>
  </w:style>
  <w:style w:type="character" w:styleId="943">
    <w:name w:val="纯文本 Char"/>
    <w:next w:val="943"/>
    <w:link w:val="942"/>
    <w:rPr>
      <w:rFonts w:ascii="宋体" w:hAnsi="Courier New" w:eastAsia="宋体" w:cs="Courier New"/>
      <w:szCs w:val="21"/>
    </w:rPr>
  </w:style>
  <w:style w:type="paragraph" w:styleId="944">
    <w:name w:val="目录 8"/>
    <w:basedOn w:val="904"/>
    <w:next w:val="904"/>
    <w:link w:val="904"/>
    <w:semiHidden/>
    <w:pPr>
      <w:ind w:left="1470"/>
      <w:jc w:val="left"/>
    </w:pPr>
    <w:rPr>
      <w:rFonts w:ascii="Times New Roman" w:hAnsi="Times New Roman" w:eastAsia="宋体" w:cs="Times New Roman"/>
      <w:szCs w:val="21"/>
    </w:rPr>
  </w:style>
  <w:style w:type="paragraph" w:styleId="945">
    <w:name w:val="日期"/>
    <w:basedOn w:val="904"/>
    <w:next w:val="904"/>
    <w:link w:val="946"/>
    <w:rPr>
      <w:rFonts w:ascii="Times New Roman" w:hAnsi="Times New Roman" w:eastAsia="宋体" w:cs="Times New Roman"/>
      <w:sz w:val="24"/>
      <w:szCs w:val="24"/>
    </w:rPr>
  </w:style>
  <w:style w:type="character" w:styleId="946">
    <w:name w:val="日期 Char"/>
    <w:next w:val="946"/>
    <w:link w:val="945"/>
    <w:rPr>
      <w:rFonts w:ascii="Times New Roman" w:hAnsi="Times New Roman" w:eastAsia="宋体" w:cs="Times New Roman"/>
      <w:sz w:val="24"/>
      <w:szCs w:val="24"/>
    </w:rPr>
  </w:style>
  <w:style w:type="paragraph" w:styleId="947">
    <w:name w:val="正文文本缩进 2"/>
    <w:basedOn w:val="904"/>
    <w:next w:val="947"/>
    <w:link w:val="948"/>
    <w:pPr>
      <w:ind w:left="630" w:firstLine="645"/>
    </w:pPr>
    <w:rPr>
      <w:rFonts w:ascii="Arial" w:hAnsi="Arial" w:eastAsia="仿宋_GB2312" w:cs="Arial"/>
      <w:sz w:val="32"/>
      <w:szCs w:val="32"/>
    </w:rPr>
  </w:style>
  <w:style w:type="character" w:styleId="948">
    <w:name w:val="正文文本缩进 2 Char"/>
    <w:next w:val="948"/>
    <w:link w:val="947"/>
    <w:rPr>
      <w:rFonts w:ascii="Arial" w:hAnsi="Arial" w:eastAsia="仿宋_GB2312" w:cs="Arial"/>
      <w:sz w:val="32"/>
      <w:szCs w:val="32"/>
    </w:rPr>
  </w:style>
  <w:style w:type="paragraph" w:styleId="949">
    <w:name w:val="批注框文本"/>
    <w:basedOn w:val="904"/>
    <w:next w:val="949"/>
    <w:link w:val="950"/>
    <w:semiHidden/>
    <w:rPr>
      <w:rFonts w:ascii="Times New Roman" w:hAnsi="Times New Roman" w:eastAsia="宋体" w:cs="Times New Roman"/>
      <w:sz w:val="18"/>
      <w:szCs w:val="18"/>
    </w:rPr>
  </w:style>
  <w:style w:type="character" w:styleId="950">
    <w:name w:val="批注框文本 Char"/>
    <w:next w:val="950"/>
    <w:link w:val="949"/>
    <w:semiHidden/>
    <w:rPr>
      <w:rFonts w:ascii="Times New Roman" w:hAnsi="Times New Roman" w:eastAsia="宋体" w:cs="Times New Roman"/>
      <w:sz w:val="18"/>
      <w:szCs w:val="18"/>
    </w:rPr>
  </w:style>
  <w:style w:type="paragraph" w:styleId="951">
    <w:name w:val="页脚"/>
    <w:basedOn w:val="904"/>
    <w:next w:val="951"/>
    <w:link w:val="95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2">
    <w:name w:val="页脚 Char"/>
    <w:next w:val="952"/>
    <w:link w:val="951"/>
    <w:uiPriority w:val="99"/>
    <w:rPr>
      <w:rFonts w:ascii="Times New Roman" w:hAnsi="Times New Roman" w:eastAsia="宋体" w:cs="Times New Roman"/>
      <w:sz w:val="18"/>
      <w:szCs w:val="18"/>
    </w:rPr>
  </w:style>
  <w:style w:type="paragraph" w:styleId="953">
    <w:name w:val="页眉"/>
    <w:basedOn w:val="904"/>
    <w:next w:val="953"/>
    <w:link w:val="9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name w:val="页眉 Char"/>
    <w:next w:val="954"/>
    <w:link w:val="953"/>
    <w:rPr>
      <w:rFonts w:ascii="Times New Roman" w:hAnsi="Times New Roman" w:eastAsia="宋体" w:cs="Times New Roman"/>
      <w:sz w:val="18"/>
      <w:szCs w:val="18"/>
    </w:rPr>
  </w:style>
  <w:style w:type="paragraph" w:styleId="955">
    <w:name w:val="目录 1"/>
    <w:basedOn w:val="904"/>
    <w:next w:val="904"/>
    <w:link w:val="9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6">
    <w:name w:val="目录 4"/>
    <w:basedOn w:val="904"/>
    <w:next w:val="904"/>
    <w:link w:val="904"/>
    <w:semiHidden/>
    <w:pPr>
      <w:ind w:left="630"/>
      <w:jc w:val="left"/>
    </w:pPr>
    <w:rPr>
      <w:rFonts w:ascii="Times New Roman" w:hAnsi="Times New Roman" w:eastAsia="宋体" w:cs="Times New Roman"/>
      <w:szCs w:val="21"/>
    </w:rPr>
  </w:style>
  <w:style w:type="paragraph" w:styleId="957">
    <w:name w:val="列表"/>
    <w:basedOn w:val="904"/>
    <w:next w:val="957"/>
    <w:link w:val="904"/>
    <w:pPr>
      <w:ind w:left="200" w:hanging="200"/>
    </w:pPr>
    <w:rPr>
      <w:rFonts w:ascii="Times New Roman" w:hAnsi="Times New Roman" w:eastAsia="宋体" w:cs="Times New Roman"/>
      <w:szCs w:val="21"/>
    </w:rPr>
  </w:style>
  <w:style w:type="paragraph" w:styleId="958">
    <w:name w:val="目录 6"/>
    <w:basedOn w:val="904"/>
    <w:next w:val="904"/>
    <w:link w:val="904"/>
    <w:semiHidden/>
    <w:pPr>
      <w:ind w:left="1050"/>
      <w:jc w:val="left"/>
    </w:pPr>
    <w:rPr>
      <w:rFonts w:ascii="Times New Roman" w:hAnsi="Times New Roman" w:eastAsia="宋体" w:cs="Times New Roman"/>
      <w:szCs w:val="21"/>
    </w:rPr>
  </w:style>
  <w:style w:type="paragraph" w:styleId="959">
    <w:name w:val="正文文本缩进 3"/>
    <w:basedOn w:val="904"/>
    <w:next w:val="959"/>
    <w:link w:val="960"/>
    <w:pPr>
      <w:ind w:left="645" w:firstLine="645"/>
    </w:pPr>
    <w:rPr>
      <w:rFonts w:ascii="Arial" w:hAnsi="Arial" w:eastAsia="仿宋_GB2312" w:cs="Arial"/>
      <w:color w:val="ffff00"/>
      <w:sz w:val="32"/>
      <w:szCs w:val="32"/>
    </w:rPr>
  </w:style>
  <w:style w:type="character" w:styleId="960">
    <w:name w:val="正文文本缩进 3 Char"/>
    <w:next w:val="960"/>
    <w:link w:val="959"/>
    <w:rPr>
      <w:rFonts w:ascii="Arial" w:hAnsi="Arial" w:eastAsia="仿宋_GB2312" w:cs="Arial"/>
      <w:color w:val="ffff00"/>
      <w:sz w:val="32"/>
      <w:szCs w:val="32"/>
    </w:rPr>
  </w:style>
  <w:style w:type="paragraph" w:styleId="961">
    <w:name w:val="图表目录"/>
    <w:basedOn w:val="904"/>
    <w:next w:val="904"/>
    <w:link w:val="904"/>
    <w:semiHidden/>
    <w:pPr>
      <w:ind w:left="840" w:hanging="420"/>
    </w:pPr>
    <w:rPr>
      <w:rFonts w:ascii="Times New Roman" w:hAnsi="Times New Roman" w:eastAsia="宋体" w:cs="Times New Roman"/>
      <w:szCs w:val="21"/>
    </w:rPr>
  </w:style>
  <w:style w:type="paragraph" w:styleId="962">
    <w:name w:val="目录 2"/>
    <w:basedOn w:val="904"/>
    <w:next w:val="904"/>
    <w:link w:val="904"/>
    <w:semiHidden/>
    <w:pPr>
      <w:ind w:left="210"/>
      <w:jc w:val="left"/>
    </w:pPr>
    <w:rPr>
      <w:rFonts w:ascii="Times New Roman" w:hAnsi="Times New Roman" w:eastAsia="宋体" w:cs="Times New Roman"/>
      <w:smallCaps/>
      <w:szCs w:val="24"/>
    </w:rPr>
  </w:style>
  <w:style w:type="paragraph" w:styleId="963">
    <w:name w:val="目录 9"/>
    <w:basedOn w:val="904"/>
    <w:next w:val="904"/>
    <w:link w:val="904"/>
    <w:semiHidden/>
    <w:pPr>
      <w:ind w:left="1680"/>
      <w:jc w:val="left"/>
    </w:pPr>
    <w:rPr>
      <w:rFonts w:ascii="Times New Roman" w:hAnsi="Times New Roman" w:eastAsia="宋体" w:cs="Times New Roman"/>
      <w:szCs w:val="21"/>
    </w:rPr>
  </w:style>
  <w:style w:type="paragraph" w:styleId="964">
    <w:name w:val="正文文本 2"/>
    <w:basedOn w:val="904"/>
    <w:next w:val="964"/>
    <w:link w:val="965"/>
    <w:pPr>
      <w:jc w:val="center"/>
      <w:widowControl/>
    </w:pPr>
    <w:rPr>
      <w:rFonts w:ascii="楷体_GB2312" w:hAnsi="Times New Roman" w:eastAsia="楷体_GB2312" w:cs="Times New Roman"/>
      <w:sz w:val="28"/>
      <w:szCs w:val="28"/>
    </w:rPr>
  </w:style>
  <w:style w:type="character" w:styleId="965">
    <w:name w:val="正文文本 2 Char"/>
    <w:next w:val="965"/>
    <w:link w:val="964"/>
    <w:rPr>
      <w:rFonts w:ascii="楷体_GB2312" w:hAnsi="Times New Roman" w:eastAsia="楷体_GB2312" w:cs="Times New Roman"/>
      <w:sz w:val="28"/>
      <w:szCs w:val="28"/>
    </w:rPr>
  </w:style>
  <w:style w:type="paragraph" w:styleId="966">
    <w:name w:val="普通(网站)"/>
    <w:basedOn w:val="904"/>
    <w:next w:val="966"/>
    <w:link w:val="904"/>
    <w:uiPriority w:val="99"/>
    <w:pPr>
      <w:jc w:val="left"/>
      <w:spacing w:before="100" w:beforeAutospacing="1" w:after="100" w:afterAutospacing="1"/>
      <w:widowControl/>
    </w:pPr>
    <w:rPr>
      <w:rFonts w:ascii="宋体" w:hAnsi="宋体" w:eastAsia="宋体" w:cs="宋体"/>
      <w:sz w:val="24"/>
      <w:szCs w:val="24"/>
    </w:rPr>
  </w:style>
  <w:style w:type="paragraph" w:styleId="967">
    <w:name w:val="索引 1"/>
    <w:basedOn w:val="904"/>
    <w:next w:val="904"/>
    <w:link w:val="904"/>
    <w:semiHidden/>
    <w:pPr>
      <w:spacing w:line="240" w:lineRule="atLeast"/>
    </w:pPr>
    <w:rPr>
      <w:rFonts w:ascii="Times New Roman" w:hAnsi="Times New Roman" w:eastAsia="宋体" w:cs="Times New Roman"/>
      <w:b/>
      <w:bCs/>
      <w:szCs w:val="21"/>
    </w:rPr>
  </w:style>
  <w:style w:type="paragraph" w:styleId="968">
    <w:name w:val="批注主题"/>
    <w:basedOn w:val="931"/>
    <w:next w:val="931"/>
    <w:link w:val="969"/>
    <w:semiHidden/>
    <w:rPr>
      <w:rFonts w:ascii="Times New Roman" w:hAnsi="Times New Roman" w:eastAsia="宋体" w:cs="Times New Roman"/>
      <w:b/>
      <w:bCs/>
      <w:szCs w:val="21"/>
    </w:rPr>
  </w:style>
  <w:style w:type="character" w:styleId="969">
    <w:name w:val="批注主题 Char"/>
    <w:next w:val="969"/>
    <w:link w:val="968"/>
    <w:semiHidden/>
    <w:rPr>
      <w:rFonts w:ascii="Times New Roman" w:hAnsi="Times New Roman" w:eastAsia="宋体" w:cs="Times New Roman"/>
      <w:b/>
      <w:bCs/>
      <w:szCs w:val="21"/>
    </w:rPr>
  </w:style>
  <w:style w:type="paragraph" w:styleId="970">
    <w:name w:val="正文首行缩进"/>
    <w:basedOn w:val="904"/>
    <w:next w:val="970"/>
    <w:link w:val="971"/>
    <w:pPr>
      <w:ind w:firstLine="200"/>
      <w:spacing w:line="360" w:lineRule="auto"/>
    </w:pPr>
    <w:rPr>
      <w:rFonts w:ascii="仿宋_GB2312" w:hAnsi="Times New Roman" w:eastAsia="仿宋_GB2312" w:cs="Times New Roman"/>
      <w:sz w:val="30"/>
      <w:szCs w:val="30"/>
    </w:rPr>
  </w:style>
  <w:style w:type="character" w:styleId="971">
    <w:name w:val="正文首行缩进 Char"/>
    <w:next w:val="971"/>
    <w:link w:val="970"/>
    <w:rPr>
      <w:rFonts w:ascii="仿宋_GB2312" w:hAnsi="Times New Roman" w:eastAsia="仿宋_GB2312" w:cs="Times New Roman"/>
      <w:sz w:val="30"/>
      <w:szCs w:val="30"/>
    </w:rPr>
  </w:style>
  <w:style w:type="paragraph" w:styleId="972">
    <w:name w:val="正文首行缩进 2"/>
    <w:basedOn w:val="937"/>
    <w:next w:val="972"/>
    <w:link w:val="973"/>
    <w:pPr>
      <w:ind w:left="0" w:firstLine="420"/>
      <w:spacing w:after="0" w:line="360" w:lineRule="auto"/>
    </w:pPr>
    <w:rPr>
      <w:rFonts w:ascii="宋体" w:hAnsi="宋体" w:eastAsia="宋体" w:cs="Times New Roman"/>
      <w:szCs w:val="20"/>
    </w:rPr>
  </w:style>
  <w:style w:type="character" w:styleId="973">
    <w:name w:val="正文首行缩进 2 Char"/>
    <w:next w:val="973"/>
    <w:link w:val="972"/>
    <w:rPr>
      <w:rFonts w:ascii="宋体" w:hAnsi="宋体" w:eastAsia="宋体" w:cs="Times New Roman"/>
      <w:szCs w:val="20"/>
    </w:rPr>
  </w:style>
  <w:style w:type="table" w:styleId="974">
    <w:name w:val="网格型"/>
    <w:basedOn w:val="915"/>
    <w:next w:val="974"/>
    <w:link w:val="904"/>
    <w:pPr>
      <w:jc w:val="both"/>
      <w:widowControl w:val="off"/>
    </w:pPr>
    <w:rPr>
      <w:rFonts w:ascii="Times New Roman" w:hAnsi="Times New Roman" w:eastAsia="宋体" w:cs="Times New Roman"/>
      <w:sz w:val="20"/>
      <w:szCs w:val="20"/>
    </w:rPr>
    <w:tblPr/>
  </w:style>
  <w:style w:type="character" w:styleId="975">
    <w:name w:val="要点"/>
    <w:next w:val="975"/>
    <w:link w:val="904"/>
    <w:qFormat/>
    <w:rPr>
      <w:b/>
      <w:bCs/>
    </w:rPr>
  </w:style>
  <w:style w:type="character" w:styleId="976">
    <w:name w:val="页码"/>
    <w:next w:val="976"/>
    <w:link w:val="904"/>
  </w:style>
  <w:style w:type="character" w:styleId="977">
    <w:name w:val="已访问的超链接"/>
    <w:next w:val="977"/>
    <w:link w:val="904"/>
    <w:rPr>
      <w:color w:val="800080"/>
      <w:u w:val="single"/>
    </w:rPr>
  </w:style>
  <w:style w:type="character" w:styleId="978">
    <w:name w:val="强调"/>
    <w:basedOn w:val="914"/>
    <w:next w:val="978"/>
    <w:link w:val="904"/>
    <w:qFormat/>
    <w:rPr>
      <w:i/>
    </w:rPr>
  </w:style>
  <w:style w:type="character" w:styleId="979">
    <w:name w:val="超链接"/>
    <w:next w:val="979"/>
    <w:link w:val="904"/>
    <w:rPr>
      <w:color w:val="0000ff"/>
      <w:u w:val="single"/>
    </w:rPr>
  </w:style>
  <w:style w:type="character" w:styleId="980">
    <w:name w:val="批注引用"/>
    <w:next w:val="980"/>
    <w:link w:val="904"/>
    <w:semiHidden/>
    <w:rPr>
      <w:sz w:val="21"/>
      <w:szCs w:val="21"/>
    </w:rPr>
  </w:style>
  <w:style w:type="character" w:styleId="981">
    <w:name w:val="font5 Char"/>
    <w:next w:val="981"/>
    <w:link w:val="904"/>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904"/>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4"/>
    <w:next w:val="985"/>
    <w:link w:val="984"/>
    <w:qFormat/>
    <w:pPr>
      <w:contextualSpacing/>
      <w:ind w:left="720"/>
      <w:jc w:val="left"/>
      <w:widowControl/>
    </w:pPr>
    <w:rPr>
      <w:rFonts w:ascii="Calibri" w:hAnsi="Calibri"/>
      <w:sz w:val="24"/>
      <w:szCs w:val="24"/>
      <w:lang w:eastAsia="en-US" w:bidi="en-US"/>
    </w:rPr>
  </w:style>
  <w:style w:type="paragraph" w:styleId="986">
    <w:name w:val="Body Text(ch)"/>
    <w:basedOn w:val="904"/>
    <w:next w:val="935"/>
    <w:link w:val="904"/>
    <w:pPr>
      <w:spacing w:after="120"/>
    </w:pPr>
    <w:rPr>
      <w:rFonts w:ascii="宋体" w:hAnsi="Arial" w:eastAsia="宋体" w:cs="Times New Roman"/>
      <w:bCs/>
      <w:iCs/>
      <w:szCs w:val="24"/>
    </w:rPr>
  </w:style>
  <w:style w:type="paragraph" w:styleId="987">
    <w:name w:val="xl27"/>
    <w:basedOn w:val="904"/>
    <w:next w:val="987"/>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xl26"/>
    <w:basedOn w:val="904"/>
    <w:next w:val="988"/>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Char"/>
    <w:basedOn w:val="904"/>
    <w:next w:val="989"/>
    <w:link w:val="904"/>
    <w:pPr>
      <w:ind w:firstLine="200"/>
      <w:tabs>
        <w:tab w:val="left" w:pos="360" w:leader="none"/>
      </w:tabs>
    </w:pPr>
    <w:rPr>
      <w:rFonts w:ascii="Times New Roman" w:hAnsi="Times New Roman" w:eastAsia="宋体" w:cs="Times New Roman"/>
      <w:sz w:val="28"/>
      <w:szCs w:val="30"/>
    </w:rPr>
  </w:style>
  <w:style w:type="paragraph" w:styleId="990">
    <w:name w:val=" Char"/>
    <w:basedOn w:val="929"/>
    <w:next w:val="990"/>
    <w:link w:val="904"/>
    <w:rPr>
      <w:rFonts w:ascii="Tahoma" w:hAnsi="Tahoma"/>
      <w:sz w:val="24"/>
      <w:szCs w:val="24"/>
    </w:rPr>
  </w:style>
  <w:style w:type="paragraph" w:styleId="991">
    <w:name w:val="普通正文"/>
    <w:basedOn w:val="904"/>
    <w:next w:val="991"/>
    <w:link w:val="904"/>
    <w:pPr>
      <w:ind w:firstLine="480"/>
      <w:jc w:val="left"/>
      <w:spacing w:before="120" w:after="120" w:line="360" w:lineRule="auto"/>
    </w:pPr>
    <w:rPr>
      <w:rFonts w:ascii="Arial" w:hAnsi="Arial" w:eastAsia="宋体" w:cs="Times New Roman"/>
      <w:sz w:val="24"/>
      <w:szCs w:val="24"/>
    </w:rPr>
  </w:style>
  <w:style w:type="paragraph" w:styleId="992">
    <w:name w:val="table_lines"/>
    <w:basedOn w:val="904"/>
    <w:next w:val="992"/>
    <w:link w:val="904"/>
    <w:pPr>
      <w:jc w:val="left"/>
      <w:widowControl/>
    </w:pPr>
    <w:rPr>
      <w:rFonts w:ascii="Times New Roman" w:hAnsi="Times New Roman" w:eastAsia="宋体" w:cs="Times New Roman"/>
      <w:sz w:val="20"/>
      <w:szCs w:val="20"/>
      <w:lang w:val="de-DE" w:eastAsia="de-DE"/>
    </w:rPr>
  </w:style>
  <w:style w:type="paragraph" w:styleId="993">
    <w:name w:val="附录1"/>
    <w:next w:val="993"/>
    <w:link w:val="90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4">
    <w:name w:val="font7"/>
    <w:basedOn w:val="904"/>
    <w:next w:val="994"/>
    <w:link w:val="904"/>
    <w:pPr>
      <w:jc w:val="left"/>
      <w:spacing w:before="100" w:beforeAutospacing="1" w:after="100" w:afterAutospacing="1"/>
      <w:widowControl/>
    </w:pPr>
    <w:rPr>
      <w:rFonts w:hint="eastAsia" w:ascii="宋体" w:hAnsi="宋体" w:eastAsia="宋体" w:cs="Times New Roman"/>
      <w:sz w:val="18"/>
      <w:szCs w:val="18"/>
    </w:rPr>
  </w:style>
  <w:style w:type="paragraph" w:styleId="995">
    <w:name w:val=" Char Char Char Char"/>
    <w:basedOn w:val="929"/>
    <w:next w:val="995"/>
    <w:link w:val="904"/>
    <w:pPr>
      <w:spacing w:line="360" w:lineRule="auto"/>
    </w:pPr>
    <w:rPr>
      <w:rFonts w:ascii="Tahoma" w:hAnsi="Tahoma"/>
      <w:sz w:val="24"/>
      <w:szCs w:val="24"/>
    </w:rPr>
  </w:style>
  <w:style w:type="paragraph" w:styleId="996">
    <w:name w:val="列出段落"/>
    <w:basedOn w:val="904"/>
    <w:next w:val="996"/>
    <w:link w:val="904"/>
    <w:qFormat/>
    <w:pPr>
      <w:contextualSpacing/>
      <w:ind w:left="720"/>
      <w:jc w:val="left"/>
      <w:widowControl/>
    </w:pPr>
    <w:rPr>
      <w:rFonts w:ascii="Calibri" w:hAnsi="Calibri" w:eastAsia="宋体" w:cs="Times New Roman"/>
      <w:sz w:val="24"/>
      <w:szCs w:val="24"/>
      <w:lang w:eastAsia="en-US" w:bidi="en-US"/>
    </w:rPr>
  </w:style>
  <w:style w:type="paragraph" w:styleId="997">
    <w:name w:val="4"/>
    <w:basedOn w:val="904"/>
    <w:next w:val="959"/>
    <w:link w:val="904"/>
    <w:pPr>
      <w:ind w:firstLine="420"/>
      <w:spacing w:line="360" w:lineRule="auto"/>
    </w:pPr>
    <w:rPr>
      <w:rFonts w:ascii="Times New Roman" w:hAnsi="Times New Roman" w:eastAsia="宋体" w:cs="Times New Roman"/>
      <w:color w:val="ff0000"/>
      <w:sz w:val="24"/>
      <w:szCs w:val="24"/>
    </w:rPr>
  </w:style>
  <w:style w:type="paragraph" w:styleId="998">
    <w:name w:val="普通 (Web)"/>
    <w:basedOn w:val="904"/>
    <w:next w:val="998"/>
    <w:link w:val="904"/>
    <w:pPr>
      <w:jc w:val="left"/>
      <w:spacing w:before="100" w:beforeAutospacing="1" w:after="100" w:afterAutospacing="1"/>
      <w:widowControl/>
    </w:pPr>
    <w:rPr>
      <w:rFonts w:ascii="宋体" w:hAnsi="宋体" w:eastAsia="宋体" w:cs="Times New Roman"/>
      <w:sz w:val="24"/>
      <w:szCs w:val="24"/>
    </w:rPr>
  </w:style>
  <w:style w:type="paragraph" w:styleId="999">
    <w:name w:val=" Char Char Char Char Char Char Char Char Char Char"/>
    <w:basedOn w:val="904"/>
    <w:next w:val="999"/>
    <w:link w:val="904"/>
    <w:pPr>
      <w:spacing w:line="360" w:lineRule="auto"/>
    </w:pPr>
    <w:rPr>
      <w:rFonts w:ascii="Times New Roman" w:hAnsi="Times New Roman" w:eastAsia="宋体" w:cs="Times New Roman"/>
      <w:sz w:val="24"/>
      <w:szCs w:val="20"/>
    </w:rPr>
  </w:style>
  <w:style w:type="paragraph" w:styleId="1000">
    <w:name w:val="样式1"/>
    <w:basedOn w:val="904"/>
    <w:next w:val="1000"/>
    <w:link w:val="904"/>
    <w:pPr>
      <w:numPr>
        <w:ilvl w:val="0"/>
        <w:numId w:val="3"/>
      </w:numPr>
      <w:tabs>
        <w:tab w:val="left" w:pos="709" w:leader="none"/>
      </w:tabs>
    </w:pPr>
    <w:rPr>
      <w:rFonts w:ascii="宋体" w:hAnsi="宋体" w:eastAsia="宋体" w:cs="Times New Roman"/>
      <w:szCs w:val="21"/>
    </w:rPr>
  </w:style>
  <w:style w:type="paragraph" w:styleId="1001">
    <w:name w:val="font6"/>
    <w:basedOn w:val="904"/>
    <w:next w:val="1001"/>
    <w:link w:val="904"/>
    <w:pPr>
      <w:jc w:val="left"/>
      <w:spacing w:before="100" w:beforeAutospacing="1" w:after="100" w:afterAutospacing="1"/>
      <w:widowControl/>
    </w:pPr>
    <w:rPr>
      <w:rFonts w:hint="eastAsia" w:ascii="宋体" w:hAnsi="宋体" w:eastAsia="宋体" w:cs="Times New Roman"/>
      <w:sz w:val="28"/>
      <w:szCs w:val="28"/>
      <w:u w:val="single"/>
    </w:rPr>
  </w:style>
  <w:style w:type="paragraph" w:styleId="1002">
    <w:name w:val="xl25"/>
    <w:basedOn w:val="904"/>
    <w:next w:val="1002"/>
    <w:link w:val="9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name w:val="图标"/>
    <w:basedOn w:val="904"/>
    <w:next w:val="904"/>
    <w:link w:val="90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4">
    <w:name w:val="标题3"/>
    <w:basedOn w:val="904"/>
    <w:next w:val="904"/>
    <w:link w:val="904"/>
    <w:pPr>
      <w:ind w:firstLine="624"/>
      <w:spacing w:line="590" w:lineRule="atLeast"/>
    </w:pPr>
    <w:rPr>
      <w:rFonts w:ascii="方正黑体_GBK" w:hAnsi="Times New Roman" w:eastAsia="方正黑体_GBK" w:cs="Times New Roman"/>
      <w:sz w:val="32"/>
      <w:szCs w:val="32"/>
    </w:rPr>
  </w:style>
  <w:style w:type="paragraph" w:styleId="1005">
    <w:name w:val="xl24"/>
    <w:basedOn w:val="904"/>
    <w:next w:val="1005"/>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xl29"/>
    <w:basedOn w:val="904"/>
    <w:next w:val="1006"/>
    <w:link w:val="9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7">
    <w:name w:val="Char Char Char Char Char Char Char Char"/>
    <w:basedOn w:val="904"/>
    <w:next w:val="1007"/>
    <w:link w:val="904"/>
    <w:pPr>
      <w:jc w:val="left"/>
      <w:spacing w:after="160" w:line="240" w:lineRule="exact"/>
      <w:widowControl/>
    </w:pPr>
    <w:rPr>
      <w:rFonts w:ascii="Verdana" w:hAnsi="Verdana" w:eastAsia="宋体" w:cs="Times New Roman"/>
      <w:sz w:val="20"/>
      <w:szCs w:val="20"/>
      <w:lang w:eastAsia="en-US"/>
    </w:rPr>
  </w:style>
  <w:style w:type="paragraph" w:styleId="1008">
    <w:name w:val="xl28"/>
    <w:basedOn w:val="904"/>
    <w:next w:val="1008"/>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9">
    <w:name w:val=" Char Char Char Char Char Char Char Char"/>
    <w:basedOn w:val="904"/>
    <w:next w:val="1009"/>
    <w:link w:val="904"/>
    <w:pPr>
      <w:jc w:val="left"/>
      <w:spacing w:after="160" w:line="240" w:lineRule="exact"/>
      <w:widowControl/>
    </w:pPr>
    <w:rPr>
      <w:rFonts w:ascii="Verdana" w:hAnsi="Verdana" w:eastAsia="宋体" w:cs="Times New Roman"/>
      <w:sz w:val="20"/>
      <w:szCs w:val="20"/>
      <w:lang w:eastAsia="en-US"/>
    </w:rPr>
  </w:style>
  <w:style w:type="paragraph" w:styleId="1010">
    <w:name w:val="xl30"/>
    <w:basedOn w:val="904"/>
    <w:next w:val="1010"/>
    <w:link w:val="904"/>
    <w:pPr>
      <w:jc w:val="center"/>
      <w:spacing w:before="100" w:beforeAutospacing="1" w:after="100" w:afterAutospacing="1"/>
      <w:widowControl/>
    </w:pPr>
    <w:rPr>
      <w:rFonts w:ascii="宋体" w:hAnsi="宋体" w:eastAsia="宋体" w:cs="Times New Roman"/>
      <w:b/>
      <w:bCs/>
      <w:sz w:val="36"/>
      <w:szCs w:val="36"/>
    </w:rPr>
  </w:style>
  <w:style w:type="paragraph" w:styleId="1011">
    <w:name w:val="Char Char Char Char"/>
    <w:basedOn w:val="929"/>
    <w:next w:val="1011"/>
    <w:link w:val="904"/>
    <w:pPr>
      <w:spacing w:line="360" w:lineRule="auto"/>
    </w:pPr>
    <w:rPr>
      <w:rFonts w:ascii="Tahoma" w:hAnsi="Tahoma"/>
      <w:sz w:val="24"/>
      <w:szCs w:val="24"/>
    </w:rPr>
  </w:style>
  <w:style w:type="paragraph" w:styleId="1012">
    <w:name w:val="table_1stline"/>
    <w:basedOn w:val="904"/>
    <w:next w:val="1012"/>
    <w:link w:val="904"/>
    <w:pPr>
      <w:jc w:val="left"/>
      <w:spacing w:before="120"/>
      <w:widowControl/>
    </w:pPr>
    <w:rPr>
      <w:rFonts w:ascii="Times New Roman" w:hAnsi="Times New Roman" w:eastAsia="宋体" w:cs="Times New Roman"/>
      <w:bCs/>
      <w:sz w:val="20"/>
      <w:szCs w:val="20"/>
      <w:lang w:val="de-DE" w:eastAsia="de-DE"/>
    </w:rPr>
  </w:style>
  <w:style w:type="paragraph" w:styleId="1013">
    <w:name w:val="font5"/>
    <w:basedOn w:val="904"/>
    <w:next w:val="1013"/>
    <w:link w:val="904"/>
    <w:pPr>
      <w:jc w:val="left"/>
      <w:spacing w:before="100" w:beforeAutospacing="1" w:after="100" w:afterAutospacing="1"/>
      <w:widowControl/>
    </w:pPr>
    <w:rPr>
      <w:rFonts w:hint="eastAsia" w:ascii="宋体" w:hAnsi="宋体" w:eastAsia="宋体" w:cs="Times New Roman"/>
      <w:sz w:val="28"/>
      <w:szCs w:val="28"/>
    </w:rPr>
  </w:style>
  <w:style w:type="paragraph" w:styleId="1014">
    <w:name w:val="标题1"/>
    <w:basedOn w:val="904"/>
    <w:next w:val="904"/>
    <w:link w:val="9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5">
    <w:name w:val="修订"/>
    <w:next w:val="1015"/>
    <w:link w:val="904"/>
    <w:uiPriority w:val="99"/>
    <w:semiHidden/>
    <w:rPr>
      <w:rFonts w:ascii="Times New Roman" w:hAnsi="Times New Roman"/>
      <w:sz w:val="21"/>
      <w:szCs w:val="21"/>
      <w:lang w:val="en-US" w:eastAsia="zh-CN" w:bidi="ar-SA"/>
    </w:rPr>
  </w:style>
  <w:style w:type="paragraph" w:styleId="1016">
    <w:name w:val="无间隔"/>
    <w:next w:val="1016"/>
    <w:link w:val="904"/>
    <w:uiPriority w:val="99"/>
    <w:qFormat/>
    <w:pPr>
      <w:jc w:val="both"/>
      <w:widowControl w:val="off"/>
    </w:pPr>
    <w:rPr>
      <w:rFonts w:ascii="Times New Roman" w:hAnsi="Times New Roman"/>
      <w:sz w:val="21"/>
      <w:szCs w:val="21"/>
      <w:lang w:val="en-US" w:eastAsia="zh-CN" w:bidi="ar-SA"/>
    </w:rPr>
  </w:style>
  <w:style w:type="paragraph" w:styleId="1017">
    <w:name w:val="AONormal"/>
    <w:next w:val="1017"/>
    <w:link w:val="904"/>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纯文本1"/>
    <w:basedOn w:val="904"/>
    <w:next w:val="1018"/>
    <w:link w:val="904"/>
    <w:qFormat/>
    <w:rPr>
      <w:rFonts w:ascii="宋体" w:hAnsi="Courier New" w:eastAsia="宋体" w:cs="Courier New"/>
      <w:szCs w:val="21"/>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6</cp:revision>
  <dcterms:created xsi:type="dcterms:W3CDTF">2023-03-27T07:28:00Z</dcterms:created>
  <dcterms:modified xsi:type="dcterms:W3CDTF">2026-11-02T05:56:55Z</dcterms:modified>
</cp:coreProperties>
</file>