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03E9FFF">
      <w:pPr>
        <w:spacing w:before="120" w:after="120" w:line="360" w:lineRule="auto"/>
        <w:jc w:val="center"/>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 </w:t>
      </w:r>
    </w:p>
    <w:p w14:paraId="6D8CCDB4">
      <w:pPr>
        <w:spacing w:before="120" w:after="120" w:line="360" w:lineRule="auto"/>
        <w:jc w:val="center"/>
        <w:rPr>
          <w:rFonts w:hint="default" w:ascii="Times New Roman" w:hAnsi="Times New Roman" w:eastAsia="宋体" w:cs="Times New Roman"/>
          <w:b/>
          <w:color w:val="auto"/>
          <w:sz w:val="72"/>
          <w:szCs w:val="72"/>
          <w:highlight w:val="none"/>
        </w:rPr>
      </w:pPr>
    </w:p>
    <w:p w14:paraId="4DBC6AF3">
      <w:pPr>
        <w:pStyle w:val="30"/>
        <w:spacing w:after="80"/>
        <w:ind w:firstLine="198"/>
        <w:jc w:val="center"/>
        <w:rPr>
          <w:rFonts w:hint="default" w:ascii="Times New Roman" w:hAnsi="Times New Roman" w:eastAsia="宋体" w:cs="Times New Roman"/>
          <w:b/>
          <w:color w:val="auto"/>
          <w:sz w:val="112"/>
          <w:szCs w:val="96"/>
          <w:highlight w:val="none"/>
          <w:lang w:eastAsia="zh-CN"/>
        </w:rPr>
      </w:pPr>
      <w:r>
        <w:rPr>
          <w:rFonts w:hint="default" w:ascii="Times New Roman" w:hAnsi="Times New Roman" w:eastAsia="宋体" w:cs="Times New Roman"/>
          <w:b/>
          <w:color w:val="auto"/>
          <w:sz w:val="96"/>
          <w:szCs w:val="96"/>
          <w:highlight w:val="none"/>
          <w:lang w:eastAsia="zh-CN"/>
        </w:rPr>
        <w:t>泰州市政府采购</w:t>
      </w:r>
    </w:p>
    <w:p w14:paraId="505FD028">
      <w:pPr>
        <w:pStyle w:val="30"/>
        <w:jc w:val="center"/>
        <w:rPr>
          <w:rFonts w:hint="default" w:ascii="Times New Roman" w:hAnsi="Times New Roman" w:eastAsia="宋体" w:cs="Times New Roman"/>
          <w:b/>
          <w:color w:val="auto"/>
          <w:sz w:val="72"/>
          <w:szCs w:val="72"/>
          <w:highlight w:val="none"/>
          <w:lang w:eastAsia="zh-CN"/>
        </w:rPr>
      </w:pPr>
      <w:bookmarkStart w:id="0" w:name="_Toc27410"/>
      <w:bookmarkStart w:id="1" w:name="_Toc13386"/>
      <w:r>
        <w:rPr>
          <w:rFonts w:hint="default" w:ascii="Times New Roman" w:hAnsi="Times New Roman" w:eastAsia="宋体" w:cs="Times New Roman"/>
          <w:b/>
          <w:color w:val="auto"/>
          <w:sz w:val="72"/>
          <w:szCs w:val="72"/>
          <w:highlight w:val="none"/>
          <w:lang w:eastAsia="zh-CN"/>
        </w:rPr>
        <w:t>公开</w:t>
      </w:r>
      <w:bookmarkEnd w:id="0"/>
      <w:bookmarkEnd w:id="1"/>
      <w:r>
        <w:rPr>
          <w:rFonts w:hint="default" w:ascii="Times New Roman" w:hAnsi="Times New Roman" w:eastAsia="宋体" w:cs="Times New Roman"/>
          <w:b/>
          <w:color w:val="auto"/>
          <w:sz w:val="72"/>
          <w:szCs w:val="72"/>
          <w:highlight w:val="none"/>
          <w:lang w:eastAsia="zh-CN"/>
        </w:rPr>
        <w:t>招标文件</w:t>
      </w:r>
    </w:p>
    <w:p w14:paraId="06C16D3F">
      <w:pPr>
        <w:pStyle w:val="16"/>
        <w:jc w:val="center"/>
        <w:rPr>
          <w:rFonts w:hint="default" w:ascii="Times New Roman" w:hAnsi="Times New Roman" w:eastAsia="宋体" w:cs="Times New Roman"/>
          <w:color w:val="auto"/>
          <w:sz w:val="30"/>
          <w:szCs w:val="30"/>
          <w:highlight w:val="none"/>
        </w:rPr>
      </w:pPr>
    </w:p>
    <w:p w14:paraId="4588ADC7">
      <w:pPr>
        <w:pStyle w:val="16"/>
        <w:jc w:val="center"/>
        <w:rPr>
          <w:rFonts w:hint="default" w:ascii="Times New Roman" w:hAnsi="Times New Roman" w:eastAsia="宋体" w:cs="Times New Roman"/>
          <w:color w:val="auto"/>
          <w:sz w:val="30"/>
          <w:szCs w:val="30"/>
          <w:highlight w:val="none"/>
        </w:rPr>
      </w:pPr>
      <w:r>
        <w:rPr>
          <w:rFonts w:hint="default" w:ascii="Times New Roman" w:hAnsi="Times New Roman" w:eastAsia="宋体" w:cs="Times New Roman"/>
          <w:color w:val="auto"/>
          <w:sz w:val="30"/>
          <w:szCs w:val="30"/>
          <w:highlight w:val="none"/>
        </w:rPr>
        <w:t>（</w:t>
      </w:r>
      <w:r>
        <w:rPr>
          <w:rFonts w:hint="default" w:ascii="Times New Roman" w:hAnsi="Times New Roman" w:eastAsia="宋体" w:cs="Times New Roman"/>
          <w:bCs/>
          <w:color w:val="auto"/>
          <w:sz w:val="30"/>
          <w:highlight w:val="none"/>
        </w:rPr>
        <w:t>全流程电子化不见面开标</w:t>
      </w:r>
      <w:r>
        <w:rPr>
          <w:rFonts w:hint="default" w:ascii="Times New Roman" w:hAnsi="Times New Roman" w:eastAsia="宋体" w:cs="Times New Roman"/>
          <w:color w:val="auto"/>
          <w:sz w:val="30"/>
          <w:szCs w:val="30"/>
          <w:highlight w:val="none"/>
        </w:rPr>
        <w:t>）</w:t>
      </w:r>
    </w:p>
    <w:p w14:paraId="277F855C">
      <w:pPr>
        <w:rPr>
          <w:rFonts w:hint="default" w:ascii="Times New Roman" w:hAnsi="Times New Roman" w:eastAsia="宋体" w:cs="Times New Roman"/>
          <w:color w:val="auto"/>
          <w:highlight w:val="none"/>
        </w:rPr>
      </w:pPr>
    </w:p>
    <w:p w14:paraId="622BDAA2">
      <w:pPr>
        <w:rPr>
          <w:rFonts w:hint="default" w:ascii="Times New Roman" w:hAnsi="Times New Roman" w:eastAsia="宋体" w:cs="Times New Roman"/>
          <w:color w:val="auto"/>
          <w:highlight w:val="none"/>
        </w:rPr>
      </w:pPr>
    </w:p>
    <w:p w14:paraId="476F6C3E">
      <w:pPr>
        <w:spacing w:line="360" w:lineRule="auto"/>
        <w:ind w:firstLine="840"/>
        <w:rPr>
          <w:rFonts w:hint="eastAsia" w:ascii="Times New Roman" w:hAnsi="Times New Roman" w:eastAsia="宋体" w:cs="Times New Roman"/>
          <w:bCs/>
          <w:color w:val="auto"/>
          <w:sz w:val="28"/>
          <w:szCs w:val="30"/>
          <w:highlight w:val="none"/>
          <w:lang w:eastAsia="zh-CN"/>
        </w:rPr>
      </w:pPr>
      <w:bookmarkStart w:id="2" w:name="_Toc15527"/>
      <w:r>
        <w:rPr>
          <w:rFonts w:hint="default" w:ascii="Times New Roman" w:hAnsi="Times New Roman" w:eastAsia="宋体" w:cs="Times New Roman"/>
          <w:bCs/>
          <w:color w:val="auto"/>
          <w:sz w:val="28"/>
          <w:szCs w:val="30"/>
          <w:highlight w:val="none"/>
        </w:rPr>
        <w:t>项目编号：</w:t>
      </w:r>
      <w:bookmarkEnd w:id="2"/>
      <w:r>
        <w:rPr>
          <w:rFonts w:hint="eastAsia" w:ascii="Times New Roman" w:hAnsi="Times New Roman" w:eastAsia="宋体" w:cs="Times New Roman"/>
          <w:bCs/>
          <w:color w:val="auto"/>
          <w:sz w:val="28"/>
          <w:szCs w:val="30"/>
          <w:highlight w:val="none"/>
          <w:lang w:eastAsia="zh-CN"/>
        </w:rPr>
        <w:t>JSZC-321200-THZX-G2026-0037</w:t>
      </w:r>
    </w:p>
    <w:p w14:paraId="189855E0">
      <w:pPr>
        <w:ind w:firstLine="840"/>
        <w:rPr>
          <w:rFonts w:hint="default" w:ascii="Times New Roman" w:hAnsi="Times New Roman" w:eastAsia="宋体" w:cs="Times New Roman"/>
          <w:bCs/>
          <w:color w:val="auto"/>
          <w:sz w:val="28"/>
          <w:szCs w:val="30"/>
          <w:highlight w:val="none"/>
        </w:rPr>
      </w:pPr>
      <w:r>
        <w:rPr>
          <w:rFonts w:hint="default" w:ascii="Times New Roman" w:hAnsi="Times New Roman" w:eastAsia="宋体" w:cs="Times New Roman"/>
          <w:bCs/>
          <w:color w:val="auto"/>
          <w:sz w:val="28"/>
          <w:szCs w:val="30"/>
          <w:highlight w:val="none"/>
        </w:rPr>
        <w:t>项目名称：泰州市机关事务管理局合同能源管理采购项目</w:t>
      </w:r>
    </w:p>
    <w:p w14:paraId="27233391">
      <w:pPr>
        <w:spacing w:before="120" w:after="120" w:line="360" w:lineRule="auto"/>
        <w:ind w:firstLine="948"/>
        <w:jc w:val="left"/>
        <w:rPr>
          <w:rFonts w:hint="default" w:ascii="Times New Roman" w:hAnsi="Times New Roman" w:eastAsia="宋体" w:cs="Times New Roman"/>
          <w:color w:val="auto"/>
          <w:sz w:val="24"/>
          <w:szCs w:val="24"/>
          <w:highlight w:val="none"/>
        </w:rPr>
      </w:pPr>
    </w:p>
    <w:p w14:paraId="0C7DF634">
      <w:pPr>
        <w:spacing w:before="120" w:after="120" w:line="360" w:lineRule="auto"/>
        <w:ind w:firstLine="2249"/>
        <w:jc w:val="left"/>
        <w:rPr>
          <w:rFonts w:hint="default" w:ascii="Times New Roman" w:hAnsi="Times New Roman" w:eastAsia="宋体" w:cs="Times New Roman"/>
          <w:b/>
          <w:bCs/>
          <w:color w:val="auto"/>
          <w:sz w:val="30"/>
          <w:szCs w:val="30"/>
          <w:highlight w:val="none"/>
        </w:rPr>
      </w:pPr>
    </w:p>
    <w:p w14:paraId="575AE907">
      <w:pPr>
        <w:spacing w:line="360" w:lineRule="auto"/>
        <w:jc w:val="left"/>
        <w:rPr>
          <w:rFonts w:hint="default" w:ascii="Times New Roman" w:hAnsi="Times New Roman" w:eastAsia="宋体" w:cs="Times New Roman"/>
          <w:b/>
          <w:bCs/>
          <w:color w:val="auto"/>
          <w:sz w:val="28"/>
          <w:szCs w:val="32"/>
          <w:highlight w:val="none"/>
        </w:rPr>
      </w:pPr>
      <w:bookmarkStart w:id="3" w:name="_Toc11357"/>
      <w:bookmarkEnd w:id="3"/>
    </w:p>
    <w:p w14:paraId="55AA9DF7">
      <w:pPr>
        <w:spacing w:before="120" w:after="120" w:line="360" w:lineRule="auto"/>
        <w:jc w:val="center"/>
        <w:rPr>
          <w:rFonts w:hint="default" w:ascii="Times New Roman" w:hAnsi="Times New Roman" w:eastAsia="宋体" w:cs="Times New Roman"/>
          <w:b/>
          <w:bCs/>
          <w:color w:val="auto"/>
          <w:sz w:val="28"/>
          <w:szCs w:val="32"/>
          <w:highlight w:val="none"/>
        </w:rPr>
      </w:pPr>
    </w:p>
    <w:p w14:paraId="0D7AE034">
      <w:pPr>
        <w:widowControl/>
        <w:spacing w:line="360" w:lineRule="auto"/>
        <w:jc w:val="center"/>
        <w:rPr>
          <w:rFonts w:hint="default" w:ascii="Times New Roman" w:hAnsi="Times New Roman" w:eastAsia="宋体" w:cs="Times New Roman"/>
          <w:color w:val="auto"/>
          <w:sz w:val="28"/>
          <w:szCs w:val="32"/>
          <w:highlight w:val="none"/>
        </w:rPr>
      </w:pPr>
      <w:r>
        <w:rPr>
          <w:rFonts w:hint="default" w:ascii="Times New Roman" w:hAnsi="Times New Roman" w:eastAsia="宋体" w:cs="Times New Roman"/>
          <w:color w:val="auto"/>
          <w:sz w:val="28"/>
          <w:szCs w:val="32"/>
          <w:highlight w:val="none"/>
        </w:rPr>
        <w:t>采购单位：泰州市机关事务管理局</w:t>
      </w:r>
    </w:p>
    <w:p w14:paraId="3DF7EBB4">
      <w:pPr>
        <w:widowControl/>
        <w:spacing w:line="360" w:lineRule="auto"/>
        <w:jc w:val="center"/>
        <w:rPr>
          <w:rFonts w:hint="default" w:ascii="Times New Roman" w:hAnsi="Times New Roman" w:eastAsia="宋体" w:cs="Times New Roman"/>
          <w:color w:val="auto"/>
          <w:sz w:val="28"/>
          <w:szCs w:val="32"/>
          <w:highlight w:val="none"/>
        </w:rPr>
      </w:pPr>
      <w:r>
        <w:rPr>
          <w:rFonts w:hint="default" w:ascii="Times New Roman" w:hAnsi="Times New Roman" w:eastAsia="宋体" w:cs="Times New Roman"/>
          <w:color w:val="auto"/>
          <w:sz w:val="28"/>
          <w:szCs w:val="32"/>
          <w:highlight w:val="none"/>
        </w:rPr>
        <w:t>采购代理机构：江苏泰禾房地产土地造价咨询评估有限公司</w:t>
      </w:r>
    </w:p>
    <w:p w14:paraId="6B1A36CC">
      <w:pPr>
        <w:widowControl/>
        <w:spacing w:line="360" w:lineRule="auto"/>
        <w:ind w:firstLine="4200"/>
        <w:rPr>
          <w:rFonts w:hint="default" w:ascii="Times New Roman" w:hAnsi="Times New Roman" w:eastAsia="宋体" w:cs="Times New Roman"/>
          <w:color w:val="auto"/>
          <w:sz w:val="28"/>
          <w:szCs w:val="32"/>
          <w:highlight w:val="none"/>
        </w:rPr>
      </w:pPr>
      <w:r>
        <w:rPr>
          <w:rFonts w:hint="default" w:ascii="Times New Roman" w:hAnsi="Times New Roman" w:eastAsia="宋体" w:cs="Times New Roman"/>
          <w:color w:val="auto"/>
          <w:sz w:val="28"/>
          <w:szCs w:val="32"/>
          <w:highlight w:val="none"/>
        </w:rPr>
        <w:t>2026年</w:t>
      </w:r>
      <w:r>
        <w:rPr>
          <w:rFonts w:hint="eastAsia" w:ascii="Times New Roman" w:hAnsi="Times New Roman" w:eastAsia="宋体" w:cs="Times New Roman"/>
          <w:color w:val="auto"/>
          <w:sz w:val="28"/>
          <w:szCs w:val="32"/>
          <w:highlight w:val="none"/>
          <w:lang w:val="en-US" w:eastAsia="zh-CN"/>
        </w:rPr>
        <w:t>11</w:t>
      </w:r>
      <w:r>
        <w:rPr>
          <w:rFonts w:hint="default" w:ascii="Times New Roman" w:hAnsi="Times New Roman" w:eastAsia="宋体" w:cs="Times New Roman"/>
          <w:color w:val="auto"/>
          <w:sz w:val="28"/>
          <w:szCs w:val="32"/>
          <w:highlight w:val="none"/>
        </w:rPr>
        <w:t>月</w:t>
      </w:r>
    </w:p>
    <w:p w14:paraId="67B52B37">
      <w:pPr>
        <w:widowControl/>
        <w:spacing w:line="360" w:lineRule="auto"/>
        <w:jc w:val="center"/>
        <w:rPr>
          <w:rFonts w:hint="default" w:ascii="Times New Roman" w:hAnsi="Times New Roman" w:eastAsia="宋体" w:cs="Times New Roman"/>
          <w:color w:val="auto"/>
          <w:sz w:val="28"/>
          <w:szCs w:val="32"/>
          <w:highlight w:val="none"/>
        </w:rPr>
      </w:pPr>
    </w:p>
    <w:p w14:paraId="2C47C79B">
      <w:pPr>
        <w:rPr>
          <w:rFonts w:hint="default" w:ascii="Times New Roman" w:hAnsi="Times New Roman" w:eastAsia="宋体" w:cs="Times New Roman"/>
          <w:b/>
          <w:color w:val="auto"/>
          <w:sz w:val="44"/>
          <w:highlight w:val="none"/>
        </w:rPr>
      </w:pPr>
    </w:p>
    <w:p w14:paraId="58C14AFE">
      <w:pPr>
        <w:rPr>
          <w:rFonts w:hint="default" w:ascii="Times New Roman" w:hAnsi="Times New Roman" w:eastAsia="宋体" w:cs="Times New Roman"/>
          <w:b/>
          <w:color w:val="auto"/>
          <w:sz w:val="44"/>
          <w:highlight w:val="none"/>
        </w:rPr>
      </w:pPr>
    </w:p>
    <w:p w14:paraId="0A66C945">
      <w:pPr>
        <w:pStyle w:val="845"/>
        <w:spacing w:after="0" w:line="240" w:lineRule="auto"/>
        <w:ind w:firstLine="0"/>
        <w:jc w:val="center"/>
        <w:rPr>
          <w:rFonts w:hint="default" w:ascii="Times New Roman" w:hAnsi="Times New Roman" w:eastAsia="宋体" w:cs="Times New Roman"/>
          <w:b/>
          <w:color w:val="auto"/>
          <w:highlight w:val="none"/>
          <w:u w:val="single"/>
        </w:rPr>
      </w:pPr>
      <w:r>
        <w:rPr>
          <w:rFonts w:hint="default" w:ascii="Times New Roman" w:hAnsi="Times New Roman" w:eastAsia="宋体" w:cs="Times New Roman"/>
          <w:b/>
          <w:color w:val="auto"/>
          <w:sz w:val="44"/>
          <w:highlight w:val="none"/>
        </w:rPr>
        <w:t>目  录</w:t>
      </w:r>
    </w:p>
    <w:p w14:paraId="24440B20">
      <w:pPr>
        <w:rPr>
          <w:rFonts w:hint="default" w:ascii="Times New Roman" w:hAnsi="Times New Roman" w:eastAsia="宋体" w:cs="Times New Roman"/>
          <w:color w:val="auto"/>
          <w:sz w:val="24"/>
          <w:szCs w:val="24"/>
          <w:highlight w:val="none"/>
        </w:rPr>
      </w:pPr>
    </w:p>
    <w:sdt>
      <w:sdtPr>
        <w:rPr>
          <w:rFonts w:hint="default" w:ascii="Times New Roman" w:hAnsi="Times New Roman" w:eastAsia="宋体" w:cs="Times New Roman"/>
          <w:color w:val="auto"/>
          <w:highlight w:val="none"/>
        </w:rPr>
        <w:id w:val="147477191"/>
        <w15:color w:val="DBDBDB"/>
        <w:docPartObj>
          <w:docPartGallery w:val="Table of Contents"/>
          <w:docPartUnique/>
        </w:docPartObj>
      </w:sdtPr>
      <w:sdtEndPr>
        <w:rPr>
          <w:rFonts w:hint="default" w:ascii="Times New Roman" w:hAnsi="Times New Roman" w:eastAsia="宋体" w:cs="Times New Roman"/>
          <w:color w:val="auto"/>
          <w:highlight w:val="none"/>
        </w:rPr>
      </w:sdtEndPr>
      <w:sdtContent>
        <w:p w14:paraId="3C248C9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TOC \o "1-1" \h \u </w:instrText>
          </w:r>
          <w:r>
            <w:rPr>
              <w:rFonts w:hint="default" w:ascii="Times New Roman" w:hAnsi="Times New Roman" w:eastAsia="宋体" w:cs="Times New Roman"/>
              <w:color w:val="auto"/>
              <w:sz w:val="24"/>
              <w:szCs w:val="24"/>
              <w:highlight w:val="none"/>
            </w:rPr>
            <w:fldChar w:fldCharType="separate"/>
          </w:r>
        </w:p>
        <w:p w14:paraId="13B663D0">
          <w:pPr>
            <w:pStyle w:val="39"/>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firstLine="198"/>
            <w:textAlignment w:val="auto"/>
            <w:rPr>
              <w:rFonts w:hint="default" w:ascii="Times New Roman" w:hAnsi="Times New Roman" w:eastAsia="宋体" w:cs="Times New Roman"/>
              <w:b w:val="0"/>
              <w:bCs/>
              <w:color w:val="auto"/>
              <w:sz w:val="28"/>
              <w:szCs w:val="28"/>
              <w:highlight w:val="none"/>
            </w:rPr>
          </w:pP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HYPERLINK \l _Toc20126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pacing w:val="0"/>
              <w:sz w:val="28"/>
              <w:szCs w:val="28"/>
              <w:highlight w:val="none"/>
            </w:rPr>
            <w:t>第一章  招标公告</w:t>
          </w:r>
          <w:r>
            <w:rPr>
              <w:rFonts w:hint="default" w:ascii="Times New Roman" w:hAnsi="Times New Roman" w:eastAsia="宋体" w:cs="Times New Roman"/>
              <w:b w:val="0"/>
              <w:bCs/>
              <w:color w:val="auto"/>
              <w:sz w:val="28"/>
              <w:szCs w:val="28"/>
              <w:highlight w:val="none"/>
            </w:rPr>
            <w:tab/>
          </w: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PAGEREF _Toc20126 \h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z w:val="28"/>
              <w:szCs w:val="28"/>
              <w:highlight w:val="none"/>
            </w:rPr>
            <w:t>1</w:t>
          </w:r>
          <w:r>
            <w:rPr>
              <w:rFonts w:hint="default" w:ascii="Times New Roman" w:hAnsi="Times New Roman" w:eastAsia="宋体" w:cs="Times New Roman"/>
              <w:b w:val="0"/>
              <w:bCs/>
              <w:color w:val="auto"/>
              <w:sz w:val="28"/>
              <w:szCs w:val="28"/>
              <w:highlight w:val="none"/>
            </w:rPr>
            <w:fldChar w:fldCharType="end"/>
          </w:r>
          <w:r>
            <w:rPr>
              <w:rFonts w:hint="default" w:ascii="Times New Roman" w:hAnsi="Times New Roman" w:eastAsia="宋体" w:cs="Times New Roman"/>
              <w:b w:val="0"/>
              <w:bCs/>
              <w:color w:val="auto"/>
              <w:sz w:val="28"/>
              <w:szCs w:val="28"/>
              <w:highlight w:val="none"/>
            </w:rPr>
            <w:fldChar w:fldCharType="end"/>
          </w:r>
        </w:p>
        <w:p w14:paraId="0136F79B">
          <w:pPr>
            <w:pStyle w:val="39"/>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firstLine="198"/>
            <w:textAlignment w:val="auto"/>
            <w:rPr>
              <w:rFonts w:hint="default" w:ascii="Times New Roman" w:hAnsi="Times New Roman" w:eastAsia="宋体" w:cs="Times New Roman"/>
              <w:b w:val="0"/>
              <w:bCs/>
              <w:color w:val="auto"/>
              <w:sz w:val="28"/>
              <w:szCs w:val="28"/>
              <w:highlight w:val="none"/>
            </w:rPr>
          </w:pP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HYPERLINK \l _Toc10647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pacing w:val="0"/>
              <w:sz w:val="28"/>
              <w:szCs w:val="28"/>
              <w:highlight w:val="none"/>
            </w:rPr>
            <w:t>第二章  投标人须知</w:t>
          </w:r>
          <w:r>
            <w:rPr>
              <w:rFonts w:hint="default" w:ascii="Times New Roman" w:hAnsi="Times New Roman" w:eastAsia="宋体" w:cs="Times New Roman"/>
              <w:b w:val="0"/>
              <w:bCs/>
              <w:color w:val="auto"/>
              <w:sz w:val="28"/>
              <w:szCs w:val="28"/>
              <w:highlight w:val="none"/>
            </w:rPr>
            <w:tab/>
          </w: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PAGEREF _Toc10647 \h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z w:val="28"/>
              <w:szCs w:val="28"/>
              <w:highlight w:val="none"/>
            </w:rPr>
            <w:t>5</w:t>
          </w:r>
          <w:r>
            <w:rPr>
              <w:rFonts w:hint="default" w:ascii="Times New Roman" w:hAnsi="Times New Roman" w:eastAsia="宋体" w:cs="Times New Roman"/>
              <w:b w:val="0"/>
              <w:bCs/>
              <w:color w:val="auto"/>
              <w:sz w:val="28"/>
              <w:szCs w:val="28"/>
              <w:highlight w:val="none"/>
            </w:rPr>
            <w:fldChar w:fldCharType="end"/>
          </w:r>
          <w:r>
            <w:rPr>
              <w:rFonts w:hint="default" w:ascii="Times New Roman" w:hAnsi="Times New Roman" w:eastAsia="宋体" w:cs="Times New Roman"/>
              <w:b w:val="0"/>
              <w:bCs/>
              <w:color w:val="auto"/>
              <w:sz w:val="28"/>
              <w:szCs w:val="28"/>
              <w:highlight w:val="none"/>
            </w:rPr>
            <w:fldChar w:fldCharType="end"/>
          </w:r>
        </w:p>
        <w:p w14:paraId="01991A0A">
          <w:pPr>
            <w:pStyle w:val="39"/>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firstLine="198"/>
            <w:textAlignment w:val="auto"/>
            <w:rPr>
              <w:rFonts w:hint="default" w:ascii="Times New Roman" w:hAnsi="Times New Roman" w:eastAsia="宋体" w:cs="Times New Roman"/>
              <w:b w:val="0"/>
              <w:bCs/>
              <w:color w:val="auto"/>
              <w:sz w:val="28"/>
              <w:szCs w:val="28"/>
              <w:highlight w:val="none"/>
            </w:rPr>
          </w:pP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HYPERLINK \l _Toc6594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pacing w:val="0"/>
              <w:sz w:val="28"/>
              <w:szCs w:val="28"/>
              <w:highlight w:val="none"/>
              <w:lang w:val="en-US" w:eastAsia="zh-CN" w:bidi="ar-SA"/>
            </w:rPr>
            <w:t>第三章</w:t>
          </w:r>
          <w:r>
            <w:rPr>
              <w:rFonts w:hint="default" w:ascii="Times New Roman" w:hAnsi="Times New Roman" w:eastAsia="宋体" w:cs="Times New Roman"/>
              <w:b w:val="0"/>
              <w:bCs/>
              <w:color w:val="auto"/>
              <w:spacing w:val="0"/>
              <w:sz w:val="28"/>
              <w:szCs w:val="28"/>
              <w:highlight w:val="none"/>
            </w:rPr>
            <w:t xml:space="preserve"> </w:t>
          </w:r>
          <w:r>
            <w:rPr>
              <w:rFonts w:hint="default" w:ascii="Times New Roman" w:hAnsi="Times New Roman" w:eastAsia="宋体" w:cs="Times New Roman"/>
              <w:b w:val="0"/>
              <w:bCs/>
              <w:color w:val="auto"/>
              <w:spacing w:val="0"/>
              <w:sz w:val="28"/>
              <w:szCs w:val="28"/>
              <w:highlight w:val="none"/>
              <w:lang w:val="en-US" w:eastAsia="zh-CN"/>
            </w:rPr>
            <w:t xml:space="preserve"> </w:t>
          </w:r>
          <w:r>
            <w:rPr>
              <w:rFonts w:hint="default" w:ascii="Times New Roman" w:hAnsi="Times New Roman" w:eastAsia="宋体" w:cs="Times New Roman"/>
              <w:b w:val="0"/>
              <w:bCs/>
              <w:color w:val="auto"/>
              <w:spacing w:val="0"/>
              <w:sz w:val="28"/>
              <w:szCs w:val="28"/>
              <w:highlight w:val="none"/>
            </w:rPr>
            <w:t>采购需求</w:t>
          </w:r>
          <w:r>
            <w:rPr>
              <w:rFonts w:hint="default" w:ascii="Times New Roman" w:hAnsi="Times New Roman" w:eastAsia="宋体" w:cs="Times New Roman"/>
              <w:b w:val="0"/>
              <w:bCs/>
              <w:color w:val="auto"/>
              <w:sz w:val="28"/>
              <w:szCs w:val="28"/>
              <w:highlight w:val="none"/>
            </w:rPr>
            <w:tab/>
          </w: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PAGEREF _Toc6594 \h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z w:val="28"/>
              <w:szCs w:val="28"/>
              <w:highlight w:val="none"/>
            </w:rPr>
            <w:t>19</w:t>
          </w:r>
          <w:r>
            <w:rPr>
              <w:rFonts w:hint="default" w:ascii="Times New Roman" w:hAnsi="Times New Roman" w:eastAsia="宋体" w:cs="Times New Roman"/>
              <w:b w:val="0"/>
              <w:bCs/>
              <w:color w:val="auto"/>
              <w:sz w:val="28"/>
              <w:szCs w:val="28"/>
              <w:highlight w:val="none"/>
            </w:rPr>
            <w:fldChar w:fldCharType="end"/>
          </w:r>
          <w:r>
            <w:rPr>
              <w:rFonts w:hint="default" w:ascii="Times New Roman" w:hAnsi="Times New Roman" w:eastAsia="宋体" w:cs="Times New Roman"/>
              <w:b w:val="0"/>
              <w:bCs/>
              <w:color w:val="auto"/>
              <w:sz w:val="28"/>
              <w:szCs w:val="28"/>
              <w:highlight w:val="none"/>
            </w:rPr>
            <w:fldChar w:fldCharType="end"/>
          </w:r>
        </w:p>
        <w:p w14:paraId="42788B07">
          <w:pPr>
            <w:pStyle w:val="39"/>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firstLine="198"/>
            <w:textAlignment w:val="auto"/>
            <w:rPr>
              <w:rFonts w:hint="default" w:ascii="Times New Roman" w:hAnsi="Times New Roman" w:eastAsia="宋体" w:cs="Times New Roman"/>
              <w:b w:val="0"/>
              <w:bCs/>
              <w:color w:val="auto"/>
              <w:sz w:val="28"/>
              <w:szCs w:val="28"/>
              <w:highlight w:val="none"/>
            </w:rPr>
          </w:pP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HYPERLINK \l _Toc4335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pacing w:val="0"/>
              <w:sz w:val="28"/>
              <w:szCs w:val="28"/>
              <w:highlight w:val="none"/>
            </w:rPr>
            <w:t>第</w:t>
          </w:r>
          <w:r>
            <w:rPr>
              <w:rFonts w:hint="default" w:ascii="Times New Roman" w:hAnsi="Times New Roman" w:eastAsia="宋体" w:cs="Times New Roman"/>
              <w:b w:val="0"/>
              <w:bCs/>
              <w:color w:val="auto"/>
              <w:spacing w:val="0"/>
              <w:sz w:val="28"/>
              <w:szCs w:val="28"/>
              <w:highlight w:val="none"/>
              <w:lang w:val="en-US" w:eastAsia="zh-CN"/>
            </w:rPr>
            <w:t>四</w:t>
          </w:r>
          <w:r>
            <w:rPr>
              <w:rFonts w:hint="default" w:ascii="Times New Roman" w:hAnsi="Times New Roman" w:eastAsia="宋体" w:cs="Times New Roman"/>
              <w:b w:val="0"/>
              <w:bCs/>
              <w:color w:val="auto"/>
              <w:spacing w:val="0"/>
              <w:sz w:val="28"/>
              <w:szCs w:val="28"/>
              <w:highlight w:val="none"/>
            </w:rPr>
            <w:t>章  评标方法与评标标准</w:t>
          </w:r>
          <w:r>
            <w:rPr>
              <w:rFonts w:hint="default" w:ascii="Times New Roman" w:hAnsi="Times New Roman" w:eastAsia="宋体" w:cs="Times New Roman"/>
              <w:b w:val="0"/>
              <w:bCs/>
              <w:color w:val="auto"/>
              <w:sz w:val="28"/>
              <w:szCs w:val="28"/>
              <w:highlight w:val="none"/>
            </w:rPr>
            <w:tab/>
          </w: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PAGEREF _Toc4335 \h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z w:val="28"/>
              <w:szCs w:val="28"/>
              <w:highlight w:val="none"/>
            </w:rPr>
            <w:t>52</w:t>
          </w:r>
          <w:r>
            <w:rPr>
              <w:rFonts w:hint="default" w:ascii="Times New Roman" w:hAnsi="Times New Roman" w:eastAsia="宋体" w:cs="Times New Roman"/>
              <w:b w:val="0"/>
              <w:bCs/>
              <w:color w:val="auto"/>
              <w:sz w:val="28"/>
              <w:szCs w:val="28"/>
              <w:highlight w:val="none"/>
            </w:rPr>
            <w:fldChar w:fldCharType="end"/>
          </w:r>
          <w:r>
            <w:rPr>
              <w:rFonts w:hint="default" w:ascii="Times New Roman" w:hAnsi="Times New Roman" w:eastAsia="宋体" w:cs="Times New Roman"/>
              <w:b w:val="0"/>
              <w:bCs/>
              <w:color w:val="auto"/>
              <w:sz w:val="28"/>
              <w:szCs w:val="28"/>
              <w:highlight w:val="none"/>
            </w:rPr>
            <w:fldChar w:fldCharType="end"/>
          </w:r>
        </w:p>
        <w:p w14:paraId="55173E8F">
          <w:pPr>
            <w:pStyle w:val="39"/>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firstLine="198"/>
            <w:textAlignment w:val="auto"/>
            <w:rPr>
              <w:rFonts w:hint="default" w:ascii="Times New Roman" w:hAnsi="Times New Roman" w:eastAsia="宋体" w:cs="Times New Roman"/>
              <w:b w:val="0"/>
              <w:bCs/>
              <w:color w:val="auto"/>
              <w:sz w:val="28"/>
              <w:szCs w:val="28"/>
              <w:highlight w:val="none"/>
            </w:rPr>
          </w:pP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HYPERLINK \l _Toc13198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pacing w:val="0"/>
              <w:sz w:val="28"/>
              <w:szCs w:val="28"/>
              <w:highlight w:val="none"/>
            </w:rPr>
            <w:t>第</w:t>
          </w:r>
          <w:r>
            <w:rPr>
              <w:rFonts w:hint="default" w:ascii="Times New Roman" w:hAnsi="Times New Roman" w:eastAsia="宋体" w:cs="Times New Roman"/>
              <w:b w:val="0"/>
              <w:bCs/>
              <w:color w:val="auto"/>
              <w:spacing w:val="0"/>
              <w:sz w:val="28"/>
              <w:szCs w:val="28"/>
              <w:highlight w:val="none"/>
              <w:lang w:val="en-US" w:eastAsia="zh-CN"/>
            </w:rPr>
            <w:t>五</w:t>
          </w:r>
          <w:r>
            <w:rPr>
              <w:rFonts w:hint="default" w:ascii="Times New Roman" w:hAnsi="Times New Roman" w:eastAsia="宋体" w:cs="Times New Roman"/>
              <w:b w:val="0"/>
              <w:bCs/>
              <w:color w:val="auto"/>
              <w:spacing w:val="0"/>
              <w:sz w:val="28"/>
              <w:szCs w:val="28"/>
              <w:highlight w:val="none"/>
            </w:rPr>
            <w:t xml:space="preserve">章  </w:t>
          </w:r>
          <w:r>
            <w:rPr>
              <w:rFonts w:hint="default" w:ascii="Times New Roman" w:hAnsi="Times New Roman" w:eastAsia="宋体" w:cs="Times New Roman"/>
              <w:b w:val="0"/>
              <w:bCs/>
              <w:color w:val="auto"/>
              <w:spacing w:val="0"/>
              <w:sz w:val="28"/>
              <w:szCs w:val="28"/>
              <w:highlight w:val="none"/>
              <w:lang w:val="en-US" w:eastAsia="zh-CN"/>
            </w:rPr>
            <w:t>合同文本</w:t>
          </w:r>
          <w:r>
            <w:rPr>
              <w:rFonts w:hint="default" w:ascii="Times New Roman" w:hAnsi="Times New Roman" w:eastAsia="宋体" w:cs="Times New Roman"/>
              <w:b w:val="0"/>
              <w:bCs/>
              <w:color w:val="auto"/>
              <w:sz w:val="28"/>
              <w:szCs w:val="28"/>
              <w:highlight w:val="none"/>
            </w:rPr>
            <w:tab/>
          </w: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PAGEREF _Toc13198 \h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z w:val="28"/>
              <w:szCs w:val="28"/>
              <w:highlight w:val="none"/>
            </w:rPr>
            <w:t>52</w:t>
          </w:r>
          <w:r>
            <w:rPr>
              <w:rFonts w:hint="default" w:ascii="Times New Roman" w:hAnsi="Times New Roman" w:eastAsia="宋体" w:cs="Times New Roman"/>
              <w:b w:val="0"/>
              <w:bCs/>
              <w:color w:val="auto"/>
              <w:sz w:val="28"/>
              <w:szCs w:val="28"/>
              <w:highlight w:val="none"/>
            </w:rPr>
            <w:fldChar w:fldCharType="end"/>
          </w:r>
          <w:r>
            <w:rPr>
              <w:rFonts w:hint="default" w:ascii="Times New Roman" w:hAnsi="Times New Roman" w:eastAsia="宋体" w:cs="Times New Roman"/>
              <w:b w:val="0"/>
              <w:bCs/>
              <w:color w:val="auto"/>
              <w:sz w:val="28"/>
              <w:szCs w:val="28"/>
              <w:highlight w:val="none"/>
            </w:rPr>
            <w:fldChar w:fldCharType="end"/>
          </w:r>
        </w:p>
        <w:p w14:paraId="1ED1A758">
          <w:pPr>
            <w:pStyle w:val="39"/>
            <w:keepNext w:val="0"/>
            <w:keepLines w:val="0"/>
            <w:pageBreakBefore w:val="0"/>
            <w:widowControl w:val="0"/>
            <w:tabs>
              <w:tab w:val="right" w:leader="dot" w:pos="9740"/>
            </w:tabs>
            <w:kinsoku/>
            <w:wordWrap/>
            <w:overflowPunct/>
            <w:topLinePunct w:val="0"/>
            <w:autoSpaceDE/>
            <w:autoSpaceDN/>
            <w:bidi w:val="0"/>
            <w:adjustRightInd/>
            <w:snapToGrid/>
            <w:spacing w:line="360" w:lineRule="auto"/>
            <w:ind w:firstLine="198"/>
            <w:textAlignment w:val="auto"/>
            <w:rPr>
              <w:rFonts w:hint="default" w:ascii="Times New Roman" w:hAnsi="Times New Roman" w:eastAsia="宋体" w:cs="Times New Roman"/>
              <w:b w:val="0"/>
              <w:bCs/>
              <w:color w:val="auto"/>
              <w:sz w:val="28"/>
              <w:szCs w:val="28"/>
              <w:highlight w:val="none"/>
            </w:rPr>
          </w:pP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HYPERLINK \l _Toc21934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pacing w:val="0"/>
              <w:sz w:val="28"/>
              <w:szCs w:val="28"/>
              <w:highlight w:val="none"/>
            </w:rPr>
            <w:t>第六章  投标文件格式</w:t>
          </w:r>
          <w:r>
            <w:rPr>
              <w:rFonts w:hint="default" w:ascii="Times New Roman" w:hAnsi="Times New Roman" w:eastAsia="宋体" w:cs="Times New Roman"/>
              <w:b w:val="0"/>
              <w:bCs/>
              <w:color w:val="auto"/>
              <w:sz w:val="28"/>
              <w:szCs w:val="28"/>
              <w:highlight w:val="none"/>
            </w:rPr>
            <w:tab/>
          </w:r>
          <w:r>
            <w:rPr>
              <w:rFonts w:hint="default" w:ascii="Times New Roman" w:hAnsi="Times New Roman" w:eastAsia="宋体" w:cs="Times New Roman"/>
              <w:b w:val="0"/>
              <w:bCs/>
              <w:color w:val="auto"/>
              <w:sz w:val="28"/>
              <w:szCs w:val="28"/>
              <w:highlight w:val="none"/>
            </w:rPr>
            <w:fldChar w:fldCharType="begin"/>
          </w:r>
          <w:r>
            <w:rPr>
              <w:rFonts w:hint="default" w:ascii="Times New Roman" w:hAnsi="Times New Roman" w:eastAsia="宋体" w:cs="Times New Roman"/>
              <w:b w:val="0"/>
              <w:bCs/>
              <w:color w:val="auto"/>
              <w:sz w:val="28"/>
              <w:szCs w:val="28"/>
              <w:highlight w:val="none"/>
            </w:rPr>
            <w:instrText xml:space="preserve"> PAGEREF _Toc21934 \h </w:instrText>
          </w:r>
          <w:r>
            <w:rPr>
              <w:rFonts w:hint="default" w:ascii="Times New Roman" w:hAnsi="Times New Roman" w:eastAsia="宋体" w:cs="Times New Roman"/>
              <w:b w:val="0"/>
              <w:bCs/>
              <w:color w:val="auto"/>
              <w:sz w:val="28"/>
              <w:szCs w:val="28"/>
              <w:highlight w:val="none"/>
            </w:rPr>
            <w:fldChar w:fldCharType="separate"/>
          </w:r>
          <w:r>
            <w:rPr>
              <w:rFonts w:hint="default" w:ascii="Times New Roman" w:hAnsi="Times New Roman" w:eastAsia="宋体" w:cs="Times New Roman"/>
              <w:b w:val="0"/>
              <w:bCs/>
              <w:color w:val="auto"/>
              <w:sz w:val="28"/>
              <w:szCs w:val="28"/>
              <w:highlight w:val="none"/>
            </w:rPr>
            <w:t>89</w:t>
          </w:r>
          <w:r>
            <w:rPr>
              <w:rFonts w:hint="default" w:ascii="Times New Roman" w:hAnsi="Times New Roman" w:eastAsia="宋体" w:cs="Times New Roman"/>
              <w:b w:val="0"/>
              <w:bCs/>
              <w:color w:val="auto"/>
              <w:sz w:val="28"/>
              <w:szCs w:val="28"/>
              <w:highlight w:val="none"/>
            </w:rPr>
            <w:fldChar w:fldCharType="end"/>
          </w:r>
          <w:r>
            <w:rPr>
              <w:rFonts w:hint="default" w:ascii="Times New Roman" w:hAnsi="Times New Roman" w:eastAsia="宋体" w:cs="Times New Roman"/>
              <w:b w:val="0"/>
              <w:bCs/>
              <w:color w:val="auto"/>
              <w:sz w:val="28"/>
              <w:szCs w:val="28"/>
              <w:highlight w:val="none"/>
            </w:rPr>
            <w:fldChar w:fldCharType="end"/>
          </w:r>
        </w:p>
        <w:p w14:paraId="4F80B44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fldChar w:fldCharType="end"/>
          </w:r>
        </w:p>
      </w:sdtContent>
    </w:sdt>
    <w:p w14:paraId="01A5BF38">
      <w:pPr>
        <w:rPr>
          <w:rFonts w:hint="default" w:ascii="Times New Roman" w:hAnsi="Times New Roman" w:eastAsia="宋体" w:cs="Times New Roman"/>
          <w:color w:val="auto"/>
          <w:sz w:val="24"/>
          <w:szCs w:val="24"/>
          <w:highlight w:val="none"/>
        </w:rPr>
      </w:pPr>
    </w:p>
    <w:p w14:paraId="4EA57C64">
      <w:pPr>
        <w:jc w:val="center"/>
        <w:rPr>
          <w:rFonts w:hint="default" w:ascii="Times New Roman" w:hAnsi="Times New Roman" w:eastAsia="宋体" w:cs="Times New Roman"/>
          <w:color w:val="auto"/>
          <w:sz w:val="44"/>
          <w:szCs w:val="44"/>
          <w:highlight w:val="none"/>
        </w:rPr>
      </w:pPr>
    </w:p>
    <w:p w14:paraId="3DA1F93F">
      <w:pPr>
        <w:rPr>
          <w:rFonts w:hint="default" w:ascii="Times New Roman" w:hAnsi="Times New Roman" w:eastAsia="宋体" w:cs="Times New Roman"/>
          <w:color w:val="auto"/>
          <w:sz w:val="44"/>
          <w:szCs w:val="44"/>
          <w:highlight w:val="none"/>
        </w:rPr>
        <w:sectPr>
          <w:headerReference r:id="rId3" w:type="default"/>
          <w:footerReference r:id="rId4" w:type="default"/>
          <w:pgSz w:w="11906" w:h="16838"/>
          <w:pgMar w:top="1440" w:right="1083" w:bottom="1440" w:left="1083" w:header="283" w:footer="992" w:gutter="0"/>
          <w:cols w:space="0" w:num="1"/>
          <w:docGrid w:linePitch="360" w:charSpace="0"/>
        </w:sectPr>
      </w:pPr>
    </w:p>
    <w:p w14:paraId="09E3C0EE">
      <w:pPr>
        <w:pStyle w:val="2"/>
        <w:keepNext/>
        <w:keepLines/>
        <w:pageBreakBefore w:val="0"/>
        <w:widowControl w:val="0"/>
        <w:kinsoku/>
        <w:wordWrap/>
        <w:overflowPunct/>
        <w:topLinePunct w:val="0"/>
        <w:autoSpaceDE/>
        <w:autoSpaceDN/>
        <w:bidi w:val="0"/>
        <w:adjustRightInd w:val="0"/>
        <w:snapToGrid w:val="0"/>
        <w:spacing w:before="0" w:after="0" w:line="360" w:lineRule="auto"/>
        <w:textAlignment w:val="auto"/>
        <w:rPr>
          <w:rFonts w:hint="default" w:ascii="Times New Roman" w:hAnsi="Times New Roman" w:eastAsia="宋体" w:cs="Times New Roman"/>
          <w:color w:val="auto"/>
          <w:spacing w:val="0"/>
          <w:highlight w:val="none"/>
        </w:rPr>
      </w:pPr>
      <w:bookmarkStart w:id="4" w:name="_Toc20126"/>
      <w:r>
        <w:rPr>
          <w:rFonts w:hint="default" w:ascii="Times New Roman" w:hAnsi="Times New Roman" w:eastAsia="宋体" w:cs="Times New Roman"/>
          <w:color w:val="auto"/>
          <w:spacing w:val="0"/>
          <w:sz w:val="44"/>
          <w:szCs w:val="40"/>
          <w:highlight w:val="none"/>
        </w:rPr>
        <w:t>第一章  招标公告</w:t>
      </w:r>
      <w:bookmarkEnd w:id="4"/>
    </w:p>
    <w:p w14:paraId="016D122D">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项目概况</w:t>
      </w:r>
    </w:p>
    <w:p w14:paraId="505F062A">
      <w:pPr>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泰州市机关事务管理局合同能源管理采购项目</w:t>
      </w:r>
      <w:r>
        <w:rPr>
          <w:rFonts w:hint="eastAsia" w:ascii="Times New Roman" w:hAnsi="Times New Roman" w:eastAsia="宋体" w:cs="Times New Roman"/>
          <w:color w:val="auto"/>
          <w:sz w:val="24"/>
          <w:szCs w:val="24"/>
          <w:highlight w:val="none"/>
          <w:lang w:eastAsia="zh-CN"/>
        </w:rPr>
        <w:t>JSZC-321200-THZX-G2026-0037</w:t>
      </w:r>
      <w:r>
        <w:rPr>
          <w:rFonts w:hint="default" w:ascii="Times New Roman" w:hAnsi="Times New Roman" w:eastAsia="宋体" w:cs="Times New Roman"/>
          <w:color w:val="auto"/>
          <w:sz w:val="24"/>
          <w:szCs w:val="24"/>
          <w:highlight w:val="none"/>
        </w:rPr>
        <w:t>招标项目的潜在投标人应在江苏政府采购“苏采云”系统获取招标文件，并于2026-1</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26</w:t>
      </w:r>
      <w:r>
        <w:rPr>
          <w:rFonts w:hint="default"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09:00（北京时间）前递交投标文件。</w:t>
      </w:r>
    </w:p>
    <w:p w14:paraId="687C4D7A">
      <w:pPr>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24"/>
          <w:szCs w:val="24"/>
          <w:highlight w:val="none"/>
        </w:rPr>
      </w:pPr>
      <w:bookmarkStart w:id="5" w:name="_Toc35393621"/>
      <w:bookmarkEnd w:id="5"/>
      <w:bookmarkStart w:id="6" w:name="_Toc38985263"/>
      <w:bookmarkEnd w:id="6"/>
      <w:bookmarkStart w:id="7" w:name="_Toc28359079"/>
      <w:bookmarkEnd w:id="7"/>
      <w:bookmarkStart w:id="8" w:name="_Toc35393790"/>
      <w:bookmarkEnd w:id="8"/>
      <w:bookmarkStart w:id="9" w:name="_Toc28359002"/>
      <w:bookmarkEnd w:id="9"/>
      <w:bookmarkStart w:id="10" w:name="_Hlk24379207"/>
      <w:r>
        <w:rPr>
          <w:rFonts w:hint="default" w:ascii="Times New Roman" w:hAnsi="Times New Roman" w:eastAsia="宋体" w:cs="Times New Roman"/>
          <w:b/>
          <w:bCs/>
          <w:color w:val="auto"/>
          <w:sz w:val="32"/>
          <w:szCs w:val="32"/>
          <w:highlight w:val="none"/>
        </w:rPr>
        <w:t>一、项目基本情况</w:t>
      </w:r>
      <w:bookmarkEnd w:id="10"/>
    </w:p>
    <w:p w14:paraId="03B52C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bookmarkStart w:id="11" w:name="_Toc28359003"/>
      <w:r>
        <w:rPr>
          <w:rFonts w:hint="default" w:ascii="Times New Roman" w:hAnsi="Times New Roman" w:eastAsia="宋体" w:cs="Times New Roman"/>
          <w:color w:val="auto"/>
          <w:sz w:val="24"/>
          <w:szCs w:val="24"/>
          <w:highlight w:val="none"/>
        </w:rPr>
        <w:t>项目编号：</w:t>
      </w:r>
      <w:r>
        <w:rPr>
          <w:rFonts w:hint="eastAsia" w:ascii="Times New Roman" w:hAnsi="Times New Roman" w:eastAsia="宋体" w:cs="Times New Roman"/>
          <w:color w:val="auto"/>
          <w:sz w:val="24"/>
          <w:szCs w:val="24"/>
          <w:highlight w:val="none"/>
          <w:lang w:eastAsia="zh-CN"/>
        </w:rPr>
        <w:t>JSZC-321200-THZX-G2026-0037</w:t>
      </w:r>
    </w:p>
    <w:p w14:paraId="588906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项目名称：</w:t>
      </w:r>
      <w:r>
        <w:rPr>
          <w:rFonts w:hint="default" w:ascii="Times New Roman" w:hAnsi="Times New Roman" w:eastAsia="宋体" w:cs="Times New Roman"/>
          <w:bCs/>
          <w:color w:val="auto"/>
          <w:sz w:val="24"/>
          <w:szCs w:val="24"/>
          <w:highlight w:val="none"/>
        </w:rPr>
        <w:t>泰州市机关事务管理局合同能源管理采购项目</w:t>
      </w:r>
    </w:p>
    <w:p w14:paraId="1BDB2D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预算金额：253376348</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rPr>
        <w:t>4</w:t>
      </w:r>
      <w:r>
        <w:rPr>
          <w:rFonts w:hint="eastAsia" w:ascii="Times New Roman" w:hAnsi="Times New Roman" w:eastAsia="宋体"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rPr>
        <w:t>元（10年）</w:t>
      </w:r>
    </w:p>
    <w:p w14:paraId="42600B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最高限价：253376335.60元（10年）</w:t>
      </w:r>
    </w:p>
    <w:p w14:paraId="79A45C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需求：对独立办公的12家泰州市市级机关提供能源费用托管服务，总建筑面积约33万平方米。12家市级机关各单位用能系统消耗的能源主要为电力、天然气、自来水和热力。电力主要用于办公设备、照明灯具、空调系统、生活水泵、开水炉等。天然气主要用于食堂的厨房灶具的餐饮烹饪。自来水主要用于生活用水、厨房用水、空调用水、绿化灌溉等。热力主要用于空调系统冷热源。</w:t>
      </w:r>
    </w:p>
    <w:p w14:paraId="318226CA">
      <w:pPr>
        <w:pStyle w:val="55"/>
        <w:keepNext w:val="0"/>
        <w:keepLines w:val="0"/>
        <w:pageBreakBefore w:val="0"/>
        <w:widowControl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lang w:val="en-GB"/>
        </w:rPr>
      </w:pPr>
      <w:r>
        <w:rPr>
          <w:rFonts w:hint="default" w:ascii="Times New Roman" w:hAnsi="Times New Roman" w:eastAsia="宋体" w:cs="Times New Roman"/>
          <w:color w:val="auto"/>
          <w:sz w:val="24"/>
          <w:szCs w:val="24"/>
          <w:highlight w:val="none"/>
        </w:rPr>
        <w:t>目前各机关单位存在能源管理系统不健全，建筑用能管理、分析和诊断存在较大困难，存在较大节能降耗空间和潜力。现拟对泰州市12家市级机关采用能源费用托管方式实现节能减碳，利用最新能源设备及信息技术发展成果，推进建筑能效提升工作，实现建筑单位面积能耗指标显著降低，以及能源利用高效化、清洁化、智能化、数字化。</w:t>
      </w:r>
      <w:r>
        <w:rPr>
          <w:rFonts w:hint="eastAsia" w:ascii="Times New Roman" w:hAnsi="Times New Roman" w:eastAsia="宋体" w:cs="Times New Roman"/>
          <w:color w:val="auto"/>
          <w:sz w:val="24"/>
          <w:szCs w:val="24"/>
          <w:highlight w:val="none"/>
          <w:lang w:val="en-US" w:eastAsia="zh-CN"/>
        </w:rPr>
        <w:t>通过构建泰州市能源管理“一张网”平台集中管理</w:t>
      </w:r>
      <w:r>
        <w:rPr>
          <w:rFonts w:hint="default" w:ascii="Times New Roman" w:hAnsi="Times New Roman" w:eastAsia="宋体" w:cs="Times New Roman"/>
          <w:color w:val="auto"/>
          <w:sz w:val="24"/>
          <w:szCs w:val="24"/>
          <w:highlight w:val="none"/>
        </w:rPr>
        <w:t>泰州市12家市级机关</w:t>
      </w:r>
      <w:r>
        <w:rPr>
          <w:rFonts w:hint="eastAsia" w:ascii="Times New Roman" w:hAnsi="Times New Roman" w:eastAsia="宋体" w:cs="Times New Roman"/>
          <w:color w:val="auto"/>
          <w:sz w:val="24"/>
          <w:szCs w:val="24"/>
          <w:highlight w:val="none"/>
          <w:lang w:eastAsia="zh-CN"/>
        </w:rPr>
        <w:t>的</w:t>
      </w:r>
      <w:r>
        <w:rPr>
          <w:rFonts w:hint="eastAsia" w:ascii="Times New Roman" w:hAnsi="Times New Roman" w:eastAsia="宋体" w:cs="Times New Roman"/>
          <w:color w:val="auto"/>
          <w:sz w:val="24"/>
          <w:szCs w:val="24"/>
          <w:highlight w:val="none"/>
          <w:lang w:val="en-US" w:eastAsia="zh-CN"/>
        </w:rPr>
        <w:t>能源资源使用和碳排放情况，</w:t>
      </w:r>
      <w:r>
        <w:rPr>
          <w:rFonts w:hint="default" w:ascii="Times New Roman" w:hAnsi="Times New Roman" w:eastAsia="宋体" w:cs="Times New Roman"/>
          <w:color w:val="auto"/>
          <w:sz w:val="24"/>
          <w:szCs w:val="24"/>
          <w:highlight w:val="none"/>
        </w:rPr>
        <w:t>对未纳入本次托管范围</w:t>
      </w:r>
      <w:r>
        <w:rPr>
          <w:rFonts w:hint="eastAsia" w:ascii="Times New Roman" w:hAnsi="Times New Roman" w:eastAsia="宋体" w:cs="Times New Roman"/>
          <w:color w:val="auto"/>
          <w:sz w:val="24"/>
          <w:szCs w:val="24"/>
          <w:highlight w:val="none"/>
          <w:lang w:val="en-US" w:eastAsia="zh-CN"/>
        </w:rPr>
        <w:t>的市本级</w:t>
      </w:r>
      <w:r>
        <w:rPr>
          <w:rFonts w:hint="default" w:ascii="Times New Roman" w:hAnsi="Times New Roman" w:eastAsia="宋体" w:cs="Times New Roman"/>
          <w:color w:val="auto"/>
          <w:sz w:val="24"/>
          <w:szCs w:val="24"/>
          <w:highlight w:val="none"/>
        </w:rPr>
        <w:t>公共机构40余家</w:t>
      </w:r>
      <w:r>
        <w:rPr>
          <w:rFonts w:hint="eastAsia" w:ascii="Times New Roman" w:hAnsi="Times New Roman" w:eastAsia="宋体" w:cs="Times New Roman"/>
          <w:color w:val="auto"/>
          <w:sz w:val="24"/>
          <w:szCs w:val="24"/>
          <w:highlight w:val="none"/>
          <w:lang w:val="en-US" w:eastAsia="zh-CN"/>
        </w:rPr>
        <w:t>单位的能耗（电、气、水）总计量，后续接入泰州市能源管理“一张网”平台，</w:t>
      </w:r>
      <w:r>
        <w:rPr>
          <w:rFonts w:hint="default" w:ascii="Times New Roman" w:hAnsi="Times New Roman" w:eastAsia="宋体" w:cs="Times New Roman"/>
          <w:color w:val="auto"/>
          <w:sz w:val="24"/>
          <w:szCs w:val="24"/>
          <w:highlight w:val="none"/>
        </w:rPr>
        <w:t>进行整体规划和需求预留，平台架构、编码规则、通讯协议、数据模型和接入规范需满足后续新增机构的整市扩展需求。</w:t>
      </w:r>
      <w:r>
        <w:rPr>
          <w:rFonts w:hint="default" w:ascii="Times New Roman" w:hAnsi="Times New Roman" w:eastAsia="宋体" w:cs="Times New Roman"/>
          <w:bCs/>
          <w:color w:val="auto"/>
          <w:sz w:val="24"/>
          <w:szCs w:val="24"/>
          <w:highlight w:val="none"/>
        </w:rPr>
        <w:t>（具体内容见</w:t>
      </w:r>
      <w:r>
        <w:rPr>
          <w:rFonts w:hint="eastAsia" w:ascii="Times New Roman" w:hAnsi="Times New Roman" w:eastAsia="宋体" w:cs="Times New Roman"/>
          <w:bCs/>
          <w:color w:val="auto"/>
          <w:sz w:val="24"/>
          <w:szCs w:val="24"/>
          <w:highlight w:val="none"/>
          <w:lang w:val="en-US" w:eastAsia="zh-CN"/>
        </w:rPr>
        <w:t>采购</w:t>
      </w:r>
      <w:r>
        <w:rPr>
          <w:rFonts w:hint="default" w:ascii="Times New Roman" w:hAnsi="Times New Roman" w:eastAsia="宋体" w:cs="Times New Roman"/>
          <w:bCs/>
          <w:color w:val="auto"/>
          <w:sz w:val="24"/>
          <w:szCs w:val="24"/>
          <w:highlight w:val="none"/>
        </w:rPr>
        <w:t>需求）。</w:t>
      </w:r>
    </w:p>
    <w:p w14:paraId="6916E3EE">
      <w:pPr>
        <w:keepNext w:val="0"/>
        <w:keepLines w:val="0"/>
        <w:pageBreakBefore w:val="0"/>
        <w:widowControl w:val="0"/>
        <w:tabs>
          <w:tab w:val="left" w:pos="525"/>
          <w:tab w:val="left" w:pos="945"/>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合同履行期限：</w:t>
      </w:r>
      <w:bookmarkStart w:id="12" w:name="OLE_LINK30"/>
      <w:bookmarkStart w:id="13" w:name="OLE_LINK25"/>
    </w:p>
    <w:p w14:paraId="2E33056B">
      <w:pPr>
        <w:keepNext w:val="0"/>
        <w:keepLines w:val="0"/>
        <w:pageBreakBefore w:val="0"/>
        <w:widowControl w:val="0"/>
        <w:tabs>
          <w:tab w:val="left" w:pos="525"/>
          <w:tab w:val="left" w:pos="945"/>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本项目节能改造总建设工期不超过180个日历天，项目从验收后的次月1</w:t>
      </w:r>
      <w:r>
        <w:rPr>
          <w:rFonts w:hint="eastAsia" w:ascii="Times New Roman" w:hAnsi="Times New Roman" w:eastAsia="宋体" w:cs="Times New Roman"/>
          <w:color w:val="auto"/>
          <w:sz w:val="24"/>
          <w:szCs w:val="24"/>
          <w:highlight w:val="none"/>
          <w:lang w:val="en-US" w:eastAsia="zh-CN"/>
        </w:rPr>
        <w:t>日</w:t>
      </w:r>
      <w:r>
        <w:rPr>
          <w:rFonts w:hint="default" w:ascii="Times New Roman" w:hAnsi="Times New Roman" w:eastAsia="宋体" w:cs="Times New Roman"/>
          <w:color w:val="auto"/>
          <w:sz w:val="24"/>
          <w:szCs w:val="24"/>
          <w:highlight w:val="none"/>
        </w:rPr>
        <w:t>进入托管期，能源托管期共120个自然月（10年），至合同结束且双方履行完毕各自权利与义务之日止。</w:t>
      </w:r>
    </w:p>
    <w:bookmarkEnd w:id="12"/>
    <w:bookmarkEnd w:id="13"/>
    <w:p w14:paraId="7663992F">
      <w:pPr>
        <w:keepNext w:val="0"/>
        <w:keepLines w:val="0"/>
        <w:pageBreakBefore w:val="0"/>
        <w:widowControl w:val="0"/>
        <w:tabs>
          <w:tab w:val="left" w:pos="525"/>
          <w:tab w:val="left" w:pos="945"/>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本项目（是/否）接受联合体：是。</w:t>
      </w:r>
    </w:p>
    <w:p w14:paraId="65F88C92">
      <w:pPr>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32"/>
          <w:szCs w:val="32"/>
          <w:highlight w:val="none"/>
        </w:rPr>
        <w:t>二、申请人的资格要求</w:t>
      </w:r>
      <w:bookmarkEnd w:id="11"/>
    </w:p>
    <w:p w14:paraId="0B3597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4" w:name="_Toc35393623"/>
      <w:bookmarkEnd w:id="14"/>
      <w:bookmarkStart w:id="15" w:name="_Toc28359081"/>
      <w:bookmarkEnd w:id="15"/>
      <w:bookmarkStart w:id="16" w:name="_Toc38985265"/>
      <w:bookmarkEnd w:id="16"/>
      <w:bookmarkStart w:id="17" w:name="_Toc28359004"/>
      <w:bookmarkEnd w:id="17"/>
      <w:r>
        <w:rPr>
          <w:rFonts w:hint="default" w:ascii="Times New Roman" w:hAnsi="Times New Roman" w:eastAsia="宋体" w:cs="Times New Roman"/>
          <w:color w:val="auto"/>
          <w:sz w:val="24"/>
          <w:szCs w:val="24"/>
          <w:highlight w:val="none"/>
        </w:rPr>
        <w:t>（一）满足《中华人民共和国政府采购法》第二十二条规定：</w:t>
      </w:r>
    </w:p>
    <w:p w14:paraId="220106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1.具有独立承担民事责任的能力；</w:t>
      </w:r>
    </w:p>
    <w:p w14:paraId="1C5E6F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2.具有良好的商业信誉和健全的财务会计制度；</w:t>
      </w:r>
    </w:p>
    <w:p w14:paraId="6DEE77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3.具有履行合同所必需的设备和专业技术能力；</w:t>
      </w:r>
    </w:p>
    <w:p w14:paraId="706FBE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4.有依法缴纳税收和社会保障资金的良好记录；</w:t>
      </w:r>
    </w:p>
    <w:p w14:paraId="09E5F6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5.参加政府采购活动前三年内，在经营活动中没有重大违法记录；</w:t>
      </w:r>
    </w:p>
    <w:p w14:paraId="563375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6.法律、行政法规规定的其他条件。</w:t>
      </w:r>
    </w:p>
    <w:p w14:paraId="0F2BAE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（二）落实政府采购政策需满足的资格要求：本项目不专门面向中小企业，对符合规定情形的小微企业报价给予10%扣除，用扣除后的价格参加评审。</w:t>
      </w:r>
    </w:p>
    <w:p w14:paraId="19BF68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（三）本项目的特定资格要求：</w:t>
      </w:r>
    </w:p>
    <w:p w14:paraId="5F1523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1.本项目接受联合体投标，但联合体应符合以下要求，不满足以下要求的按资格审查不通过处理：</w:t>
      </w:r>
    </w:p>
    <w:p w14:paraId="490FA2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（1）联合体总成员数量（含牵头人）不得超过</w:t>
      </w:r>
      <w:r>
        <w:rPr>
          <w:rFonts w:hint="eastAsia" w:ascii="Times New Roman" w:hAnsi="Times New Roman" w:eastAsia="宋体" w:cs="Times New Roman"/>
          <w:color w:val="auto"/>
          <w:sz w:val="24"/>
          <w:szCs w:val="24"/>
          <w:highlight w:val="none"/>
          <w:lang w:val="en-US" w:eastAsia="zh-CN"/>
        </w:rPr>
        <w:t>三</w:t>
      </w:r>
      <w:r>
        <w:rPr>
          <w:rFonts w:hint="default" w:ascii="Times New Roman" w:hAnsi="Times New Roman" w:eastAsia="宋体" w:cs="Times New Roman"/>
          <w:color w:val="auto"/>
          <w:sz w:val="24"/>
          <w:szCs w:val="24"/>
          <w:highlight w:val="none"/>
        </w:rPr>
        <w:t>家。</w:t>
      </w:r>
    </w:p>
    <w:p w14:paraId="77D7D2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（2）联合体各方应按招标文件提供的格式签订联合体协议书，明确联合体牵头人和各方权利义务。</w:t>
      </w:r>
    </w:p>
    <w:p w14:paraId="2DB224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（3）联合体各方不得再以自己名义单独或参加其他联合体参与本项目。</w:t>
      </w:r>
    </w:p>
    <w:p w14:paraId="262A6E8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（4）尽管委任了联合体牵头人，但联合体各成员在投标、签约与履行合同过程中，仍负有连带的和各自的法律责任。</w:t>
      </w:r>
    </w:p>
    <w:p w14:paraId="44DF5A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2.投标人或其联合体单位自2023年1月1日至今（以合同签订时间为准），具有至少一个类似项目（公共机构能源费用托管类）业绩（投标时须提供相应合同的原件扫描件）。</w:t>
      </w:r>
    </w:p>
    <w:p w14:paraId="47A6A8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3.投标人或其联合体单位施工资质要求</w:t>
      </w:r>
    </w:p>
    <w:p w14:paraId="5F8977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（1）具有本项目实施能力且在中华人民共和国境内合法注册的具有独立法人资格的单位；</w:t>
      </w:r>
    </w:p>
    <w:p w14:paraId="75578A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w:t>
      </w:r>
      <w:r>
        <w:rPr>
          <w:rFonts w:hint="eastAsia" w:ascii="Times New Roman" w:hAnsi="Times New Roman" w:eastAsia="宋体" w:cs="Times New Roman"/>
          <w:color w:val="auto"/>
          <w:sz w:val="24"/>
          <w:szCs w:val="24"/>
          <w:highlight w:val="none"/>
        </w:rPr>
        <w:t>具备建筑工程施工总承包三级或以上资质，或电力工程施工总承包三级或以上资质，或建筑机电安装工程专业承包二级或以上资质</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并取得三级或以上承装类承装（修、试）电力设施许可证，并具备有效的安全生产许可证</w:t>
      </w:r>
      <w:r>
        <w:rPr>
          <w:rFonts w:hint="eastAsia" w:ascii="Times New Roman" w:hAnsi="Times New Roman" w:eastAsia="宋体" w:cs="Times New Roman"/>
          <w:color w:val="auto"/>
          <w:sz w:val="24"/>
          <w:szCs w:val="24"/>
          <w:highlight w:val="none"/>
          <w:lang w:eastAsia="zh-CN"/>
        </w:rPr>
        <w:t>；</w:t>
      </w:r>
    </w:p>
    <w:p w14:paraId="282D17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（3）拟选派项目负责人应为具有上述施工资质单位注册的机电工程专业二级（及以上）建造师及安全生产考核合格证书（B证）；</w:t>
      </w:r>
    </w:p>
    <w:p w14:paraId="64DF57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（四）参加本次采购活动的投标人不得存在下述情形：</w:t>
      </w:r>
    </w:p>
    <w:p w14:paraId="67301C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1.不同投标人的单位负责人为同一人或者存在直接控股、管理关系的；</w:t>
      </w:r>
    </w:p>
    <w:p w14:paraId="3BCE33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2.除单一来源采购项目外，为采购项目提供整体设计、规范编制或者项目管理、监理、检测等服务的；</w:t>
      </w:r>
    </w:p>
    <w:p w14:paraId="70894B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3.被列入“信用中国”网站（www.creditchina.gov.cn）失信被执行人名单、重大税收违法案件当事人名单、政府采购严重违法失信行为记录名单的。</w:t>
      </w:r>
    </w:p>
    <w:p w14:paraId="5E187B57">
      <w:pPr>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32"/>
          <w:szCs w:val="32"/>
          <w:highlight w:val="none"/>
        </w:rPr>
        <w:t>三、获取招标文件</w:t>
      </w:r>
    </w:p>
    <w:p w14:paraId="6C408F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8" w:name="_Toc28359082"/>
      <w:bookmarkEnd w:id="18"/>
      <w:bookmarkStart w:id="19" w:name="_Toc35393793"/>
      <w:bookmarkEnd w:id="19"/>
      <w:bookmarkStart w:id="20" w:name="_Toc28359005"/>
      <w:bookmarkEnd w:id="20"/>
      <w:bookmarkStart w:id="21" w:name="_Toc35393624"/>
      <w:bookmarkEnd w:id="21"/>
      <w:r>
        <w:rPr>
          <w:rFonts w:hint="default" w:ascii="Times New Roman" w:hAnsi="Times New Roman" w:eastAsia="宋体" w:cs="Times New Roman"/>
          <w:color w:val="auto"/>
          <w:sz w:val="24"/>
          <w:szCs w:val="24"/>
          <w:highlight w:val="none"/>
        </w:rPr>
        <w:t>时间：自招标文件公告发布之日起5个工作日</w:t>
      </w:r>
    </w:p>
    <w:p w14:paraId="03C076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地点：江苏政府采购“苏采云”系统</w:t>
      </w:r>
    </w:p>
    <w:p w14:paraId="09997F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方式：</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完成注册并办理CA证书后登录江苏政府采购“苏采云”系统下载本项目招标文件。</w:t>
      </w:r>
    </w:p>
    <w:p w14:paraId="60B71E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售价：0.00元</w:t>
      </w:r>
    </w:p>
    <w:p w14:paraId="6C1F8B50">
      <w:pPr>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32"/>
          <w:szCs w:val="32"/>
          <w:highlight w:val="none"/>
        </w:rPr>
        <w:t>四、提交投标文件截止时间、开标时间和地点</w:t>
      </w:r>
    </w:p>
    <w:p w14:paraId="113061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22" w:name="_Toc28359084"/>
      <w:bookmarkEnd w:id="22"/>
      <w:bookmarkStart w:id="23" w:name="_Toc35393625"/>
      <w:bookmarkEnd w:id="23"/>
      <w:bookmarkStart w:id="24" w:name="_Toc35393794"/>
      <w:bookmarkEnd w:id="24"/>
      <w:bookmarkStart w:id="25" w:name="_Toc38985267"/>
      <w:bookmarkEnd w:id="25"/>
      <w:bookmarkStart w:id="26" w:name="_Toc28359007"/>
      <w:r>
        <w:rPr>
          <w:rFonts w:hint="default" w:ascii="Times New Roman" w:hAnsi="Times New Roman" w:eastAsia="宋体" w:cs="Times New Roman"/>
          <w:color w:val="auto"/>
          <w:sz w:val="24"/>
          <w:szCs w:val="24"/>
          <w:highlight w:val="none"/>
        </w:rPr>
        <w:t>时间：2026-</w:t>
      </w:r>
      <w:r>
        <w:rPr>
          <w:rFonts w:hint="eastAsia" w:ascii="Times New Roman" w:hAnsi="Times New Roman" w:eastAsia="宋体"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 xml:space="preserve">26 </w:t>
      </w:r>
      <w:r>
        <w:rPr>
          <w:rFonts w:hint="default" w:ascii="Times New Roman" w:hAnsi="Times New Roman" w:eastAsia="宋体" w:cs="Times New Roman"/>
          <w:color w:val="auto"/>
          <w:sz w:val="24"/>
          <w:szCs w:val="24"/>
          <w:highlight w:val="none"/>
        </w:rPr>
        <w:t xml:space="preserve"> 09:00（北京时间）</w:t>
      </w:r>
    </w:p>
    <w:p w14:paraId="08089D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地点：江苏政府采购“苏采云”系统不见面开标大厅</w:t>
      </w:r>
    </w:p>
    <w:p w14:paraId="4D882BF4">
      <w:pPr>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32"/>
          <w:szCs w:val="32"/>
          <w:highlight w:val="none"/>
        </w:rPr>
        <w:t>五、公告期限</w:t>
      </w:r>
      <w:bookmarkEnd w:id="26"/>
    </w:p>
    <w:p w14:paraId="7C0B0F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27" w:name="_Toc35393626"/>
      <w:bookmarkEnd w:id="27"/>
      <w:bookmarkStart w:id="28" w:name="_Toc35393795"/>
      <w:bookmarkEnd w:id="28"/>
      <w:bookmarkStart w:id="29" w:name="_Toc38985268"/>
      <w:r>
        <w:rPr>
          <w:rFonts w:hint="default" w:ascii="Times New Roman" w:hAnsi="Times New Roman" w:eastAsia="宋体" w:cs="Times New Roman"/>
          <w:color w:val="auto"/>
          <w:sz w:val="24"/>
          <w:highlight w:val="none"/>
        </w:rPr>
        <w:t>自</w:t>
      </w:r>
      <w:r>
        <w:rPr>
          <w:rFonts w:hint="default" w:ascii="Times New Roman" w:hAnsi="Times New Roman" w:eastAsia="宋体" w:cs="Times New Roman"/>
          <w:color w:val="auto"/>
          <w:sz w:val="24"/>
          <w:szCs w:val="24"/>
          <w:highlight w:val="none"/>
        </w:rPr>
        <w:t>本公告发布之日起5个工作日。</w:t>
      </w:r>
      <w:bookmarkEnd w:id="29"/>
    </w:p>
    <w:p w14:paraId="4F57BB44">
      <w:pPr>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32"/>
          <w:szCs w:val="32"/>
          <w:highlight w:val="none"/>
        </w:rPr>
        <w:t>六、其他补充事宜</w:t>
      </w:r>
    </w:p>
    <w:p w14:paraId="73B810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1.采购项目需要落实的政府采购政策</w:t>
      </w:r>
    </w:p>
    <w:p w14:paraId="776DF2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政府采购促进中小企业发展</w:t>
      </w:r>
    </w:p>
    <w:p w14:paraId="500928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政府采购支持监狱企业发展</w:t>
      </w:r>
    </w:p>
    <w:p w14:paraId="0A52326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政府采购促进残疾人就业</w:t>
      </w:r>
      <w:r>
        <w:rPr>
          <w:rFonts w:hint="default" w:ascii="Times New Roman" w:hAnsi="Times New Roman" w:eastAsia="宋体" w:cs="Times New Roman"/>
          <w:color w:val="auto"/>
          <w:sz w:val="24"/>
          <w:szCs w:val="24"/>
          <w:highlight w:val="none"/>
        </w:rPr>
        <w:tab/>
      </w:r>
    </w:p>
    <w:p w14:paraId="0E6424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政府采购鼓励采购绿色节能环保产品</w:t>
      </w:r>
    </w:p>
    <w:p w14:paraId="32EAA3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商品包装环保要求</w:t>
      </w:r>
    </w:p>
    <w:p w14:paraId="6E9A85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实施本国产品标准及相关政策</w:t>
      </w:r>
    </w:p>
    <w:p w14:paraId="3911A8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2.本项目采用电子化交易模式，具体详见《江苏省政府采购管理交易系统（苏采云）供应商操作指南》，特别注意以下事项：</w:t>
      </w:r>
    </w:p>
    <w:p w14:paraId="1B0417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7566D1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http://www.ccgp-jiangsu.gov.cn/jiangsu/zlxz/ee/ee3a4bc5a3454aa2b0d9312230633ce9.html。</w:t>
      </w:r>
    </w:p>
    <w:p w14:paraId="046EE3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领取CA和办理电子签章（请至泰州市高港区泰州大道388号（原中国医药城会展交易中心W3馆西南角）公共资源交易中心一楼大厅6号窗口办理，电话：0523-81568158，17327800634），根据《“苏采云”系统供应商操作手册http://www.ccgp-jiangsu.gov.cn/jiangsu/zlxz/ee/ee3a4bc5a3454aa2b0d9312230633ce9.html》规定，在“苏采云”（http://jszfcg.jsczt.cn/jszc/login）中按要求制作、上传电子响应文件（技术支持电话：0523-87633965、0523-86897512；客服QQ：709339244、1195486789）。</w:t>
      </w:r>
    </w:p>
    <w:p w14:paraId="2D23F2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3.有关本次投标的事项若存在变动或修改，敬请及时关注“江苏政府采购网”发布的更正公告。</w:t>
      </w:r>
    </w:p>
    <w:p w14:paraId="57142F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4.本次招标不收取投标保证金。</w:t>
      </w:r>
    </w:p>
    <w:p w14:paraId="3C6091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5.在评标结束前，各投标人授权代表应保持手机畅通，以便及时澄清答疑。</w:t>
      </w:r>
    </w:p>
    <w:p w14:paraId="5FB502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6.如潜在投标人未按上述要求操作，将自行承担所产生的风险。</w:t>
      </w:r>
    </w:p>
    <w:p w14:paraId="3E2A5262">
      <w:pPr>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24"/>
          <w:szCs w:val="24"/>
          <w:highlight w:val="none"/>
        </w:rPr>
      </w:pPr>
      <w:bookmarkStart w:id="30" w:name="_Toc35393796"/>
      <w:bookmarkEnd w:id="30"/>
      <w:bookmarkStart w:id="31" w:name="_Toc38985269"/>
      <w:bookmarkEnd w:id="31"/>
      <w:bookmarkStart w:id="32" w:name="_Toc35393627"/>
      <w:bookmarkEnd w:id="32"/>
      <w:bookmarkStart w:id="33" w:name="_Toc28359008"/>
      <w:bookmarkEnd w:id="33"/>
      <w:bookmarkStart w:id="34" w:name="_Toc28359085"/>
      <w:r>
        <w:rPr>
          <w:rFonts w:hint="default" w:ascii="Times New Roman" w:hAnsi="Times New Roman" w:eastAsia="宋体" w:cs="Times New Roman"/>
          <w:b/>
          <w:bCs/>
          <w:color w:val="auto"/>
          <w:sz w:val="32"/>
          <w:szCs w:val="32"/>
          <w:highlight w:val="none"/>
        </w:rPr>
        <w:t>七、本次招标联系方式</w:t>
      </w:r>
      <w:bookmarkEnd w:id="34"/>
    </w:p>
    <w:p w14:paraId="78A7441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1.采购人信息</w:t>
      </w:r>
    </w:p>
    <w:p w14:paraId="43EBA2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单位名称：泰州市机关事务管理局</w:t>
      </w:r>
    </w:p>
    <w:p w14:paraId="41BBB21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单位地址：泰州市凤凰东路58号</w:t>
      </w:r>
    </w:p>
    <w:p w14:paraId="58ABCB1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联系人：</w:t>
      </w:r>
      <w:r>
        <w:rPr>
          <w:rFonts w:hint="eastAsia" w:ascii="Times New Roman" w:hAnsi="Times New Roman" w:eastAsia="宋体" w:cs="Times New Roman"/>
          <w:color w:val="auto"/>
          <w:sz w:val="24"/>
          <w:szCs w:val="24"/>
          <w:highlight w:val="none"/>
          <w:lang w:val="en-US" w:eastAsia="zh-CN"/>
        </w:rPr>
        <w:t>王</w:t>
      </w:r>
      <w:r>
        <w:rPr>
          <w:rFonts w:hint="default" w:ascii="Times New Roman" w:hAnsi="Times New Roman" w:eastAsia="宋体" w:cs="Times New Roman"/>
          <w:color w:val="auto"/>
          <w:sz w:val="24"/>
          <w:szCs w:val="24"/>
          <w:highlight w:val="none"/>
        </w:rPr>
        <w:t>先生</w:t>
      </w:r>
    </w:p>
    <w:p w14:paraId="519BD8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联系电话：0523-</w:t>
      </w:r>
      <w:r>
        <w:rPr>
          <w:rFonts w:hint="eastAsia" w:ascii="Times New Roman" w:hAnsi="Times New Roman" w:eastAsia="宋体" w:cs="Times New Roman"/>
          <w:color w:val="auto"/>
          <w:sz w:val="24"/>
          <w:szCs w:val="24"/>
          <w:highlight w:val="none"/>
          <w:lang w:val="en-US" w:eastAsia="zh-CN"/>
        </w:rPr>
        <w:t>86839193</w:t>
      </w:r>
    </w:p>
    <w:p w14:paraId="62C1ED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2.采购代理机构信息</w:t>
      </w:r>
    </w:p>
    <w:p w14:paraId="44ADF5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单位名称：江苏泰禾房地产土地造价咨询评估有限公司</w:t>
      </w:r>
    </w:p>
    <w:p w14:paraId="60C2AE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单位地址：泰州市恒景国际花园C23栋1401室</w:t>
      </w:r>
    </w:p>
    <w:p w14:paraId="27A752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联系人：杨女士</w:t>
      </w:r>
    </w:p>
    <w:p w14:paraId="59051A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联系电话：18014531315</w:t>
      </w:r>
    </w:p>
    <w:p w14:paraId="33CF66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3.项目联系方式</w:t>
      </w:r>
    </w:p>
    <w:p w14:paraId="36A4A4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项目联系人：杨女士</w:t>
      </w:r>
    </w:p>
    <w:p w14:paraId="5C67D0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电话：18014531315</w:t>
      </w:r>
    </w:p>
    <w:p w14:paraId="5537D0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outlineLvl w:val="0"/>
        <w:rPr>
          <w:rFonts w:hint="default" w:ascii="Times New Roman" w:hAnsi="Times New Roman" w:eastAsia="宋体" w:cs="Times New Roman"/>
          <w:color w:val="auto"/>
          <w:spacing w:val="0"/>
          <w:sz w:val="24"/>
          <w:szCs w:val="24"/>
          <w:highlight w:val="none"/>
        </w:rPr>
      </w:pPr>
      <w:r>
        <w:rPr>
          <w:rFonts w:hint="default" w:ascii="Times New Roman" w:hAnsi="Times New Roman" w:eastAsia="宋体" w:cs="Times New Roman"/>
          <w:color w:val="auto"/>
          <w:sz w:val="24"/>
          <w:szCs w:val="24"/>
          <w:highlight w:val="none"/>
        </w:rPr>
        <w:br w:type="page" w:clear="all"/>
      </w:r>
      <w:bookmarkStart w:id="35" w:name="_Toc120614211"/>
      <w:bookmarkStart w:id="36" w:name="_Toc10647"/>
      <w:r>
        <w:rPr>
          <w:rFonts w:hint="default" w:ascii="Times New Roman" w:hAnsi="Times New Roman" w:eastAsia="宋体" w:cs="Times New Roman"/>
          <w:color w:val="auto"/>
          <w:spacing w:val="0"/>
          <w:sz w:val="44"/>
          <w:highlight w:val="none"/>
        </w:rPr>
        <w:t>第二章</w:t>
      </w:r>
      <w:bookmarkEnd w:id="35"/>
      <w:bookmarkStart w:id="37" w:name="_Toc513029202"/>
      <w:bookmarkEnd w:id="37"/>
      <w:bookmarkStart w:id="38" w:name="_Toc20823274"/>
      <w:bookmarkEnd w:id="38"/>
      <w:bookmarkStart w:id="39" w:name="_Toc16938518"/>
      <w:bookmarkEnd w:id="39"/>
      <w:bookmarkStart w:id="40" w:name="_Toc120614213"/>
      <w:r>
        <w:rPr>
          <w:rFonts w:hint="default" w:ascii="Times New Roman" w:hAnsi="Times New Roman" w:eastAsia="宋体" w:cs="Times New Roman"/>
          <w:color w:val="auto"/>
          <w:spacing w:val="0"/>
          <w:sz w:val="44"/>
          <w:highlight w:val="none"/>
        </w:rPr>
        <w:t xml:space="preserve">  投标人须知</w:t>
      </w:r>
      <w:bookmarkEnd w:id="36"/>
      <w:bookmarkEnd w:id="40"/>
    </w:p>
    <w:p w14:paraId="59529926">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bookmarkStart w:id="41" w:name="_Toc513029203"/>
      <w:bookmarkEnd w:id="41"/>
      <w:bookmarkStart w:id="42" w:name="_Toc20823275"/>
      <w:bookmarkEnd w:id="42"/>
      <w:bookmarkStart w:id="43" w:name="_Toc16938519"/>
      <w:bookmarkEnd w:id="43"/>
      <w:bookmarkStart w:id="44" w:name="_Toc120614214"/>
      <w:r>
        <w:rPr>
          <w:rFonts w:hint="default" w:ascii="Times New Roman" w:hAnsi="Times New Roman" w:eastAsia="宋体" w:cs="Times New Roman"/>
          <w:b/>
          <w:bCs/>
          <w:color w:val="auto"/>
          <w:sz w:val="24"/>
          <w:szCs w:val="24"/>
          <w:highlight w:val="none"/>
        </w:rPr>
        <w:t>一、总则</w:t>
      </w:r>
      <w:bookmarkEnd w:id="44"/>
    </w:p>
    <w:p w14:paraId="50CA1B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45" w:name="_Toc458694821"/>
      <w:bookmarkEnd w:id="45"/>
      <w:bookmarkStart w:id="46" w:name="_Toc20823276"/>
      <w:bookmarkEnd w:id="46"/>
      <w:bookmarkStart w:id="47" w:name="_Hlt16619475"/>
      <w:bookmarkEnd w:id="47"/>
      <w:bookmarkStart w:id="48" w:name="_Toc513029204"/>
      <w:bookmarkEnd w:id="48"/>
      <w:bookmarkStart w:id="49" w:name="_Toc16938520"/>
      <w:r>
        <w:rPr>
          <w:rFonts w:hint="default" w:ascii="Times New Roman" w:hAnsi="Times New Roman" w:eastAsia="宋体" w:cs="Times New Roman"/>
          <w:color w:val="auto"/>
          <w:sz w:val="24"/>
          <w:szCs w:val="24"/>
          <w:highlight w:val="none"/>
        </w:rPr>
        <w:t>1.</w:t>
      </w:r>
      <w:bookmarkEnd w:id="49"/>
      <w:r>
        <w:rPr>
          <w:rFonts w:hint="default" w:ascii="Times New Roman" w:hAnsi="Times New Roman" w:eastAsia="宋体" w:cs="Times New Roman"/>
          <w:color w:val="auto"/>
          <w:sz w:val="24"/>
          <w:szCs w:val="24"/>
          <w:highlight w:val="none"/>
        </w:rPr>
        <w:t>招标方式</w:t>
      </w:r>
    </w:p>
    <w:p w14:paraId="749294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1.1本次招标采取公开招标方式，本招标文件仅适用于招标公告中所述项目。</w:t>
      </w:r>
    </w:p>
    <w:p w14:paraId="364F48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50" w:name="_Toc513029205"/>
      <w:bookmarkEnd w:id="50"/>
      <w:bookmarkStart w:id="51" w:name="_Toc20823277"/>
      <w:bookmarkEnd w:id="51"/>
      <w:bookmarkStart w:id="52" w:name="_Toc16938521"/>
      <w:r>
        <w:rPr>
          <w:rFonts w:hint="default" w:ascii="Times New Roman" w:hAnsi="Times New Roman" w:eastAsia="宋体" w:cs="Times New Roman"/>
          <w:color w:val="auto"/>
          <w:sz w:val="24"/>
          <w:szCs w:val="24"/>
          <w:highlight w:val="none"/>
        </w:rPr>
        <w:t>2.合格的投标人</w:t>
      </w:r>
      <w:bookmarkEnd w:id="52"/>
    </w:p>
    <w:p w14:paraId="1AA6C9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2.1满足招标公告中</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资格要求。</w:t>
      </w:r>
    </w:p>
    <w:p w14:paraId="0B88BA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2.2满足本文件实质性要求和条件。</w:t>
      </w:r>
    </w:p>
    <w:p w14:paraId="1764AAD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53" w:name="_Toc513029206"/>
      <w:bookmarkEnd w:id="53"/>
      <w:bookmarkStart w:id="54" w:name="_Toc20823278"/>
      <w:bookmarkEnd w:id="54"/>
      <w:bookmarkStart w:id="55" w:name="_Toc16938522"/>
      <w:r>
        <w:rPr>
          <w:rFonts w:hint="default" w:ascii="Times New Roman" w:hAnsi="Times New Roman" w:eastAsia="宋体" w:cs="Times New Roman"/>
          <w:color w:val="auto"/>
          <w:sz w:val="24"/>
          <w:szCs w:val="24"/>
          <w:highlight w:val="none"/>
        </w:rPr>
        <w:t>3.适用法律</w:t>
      </w:r>
      <w:bookmarkEnd w:id="55"/>
    </w:p>
    <w:p w14:paraId="0BF99E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3.1本次招标及由此产生的合同受中华人民共和国有关法律法规的制约和保护。</w:t>
      </w:r>
    </w:p>
    <w:p w14:paraId="023F32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56" w:name="_Toc513029207"/>
      <w:bookmarkEnd w:id="56"/>
      <w:bookmarkStart w:id="57" w:name="_Toc20823279"/>
      <w:bookmarkEnd w:id="57"/>
      <w:bookmarkStart w:id="58" w:name="_Toc462564067"/>
      <w:bookmarkEnd w:id="58"/>
      <w:bookmarkStart w:id="59" w:name="_Toc16938523"/>
      <w:r>
        <w:rPr>
          <w:rFonts w:hint="default" w:ascii="Times New Roman" w:hAnsi="Times New Roman" w:eastAsia="宋体" w:cs="Times New Roman"/>
          <w:color w:val="auto"/>
          <w:sz w:val="24"/>
          <w:szCs w:val="24"/>
          <w:highlight w:val="none"/>
        </w:rPr>
        <w:t>4.投标费用</w:t>
      </w:r>
      <w:bookmarkEnd w:id="59"/>
    </w:p>
    <w:p w14:paraId="4D8DE5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4.1投标人应自行承担所有与参加投标有关的费用，无论投标过程中的做法和结果如何，采购人和采购代理机构在任何情况下均无义务和责任承担这些费用。</w:t>
      </w:r>
    </w:p>
    <w:p w14:paraId="57AC39B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4.2本项目招标代理服务费9800元由采购人支付。</w:t>
      </w:r>
    </w:p>
    <w:p w14:paraId="052E72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5.招标文件的约束力</w:t>
      </w:r>
    </w:p>
    <w:p w14:paraId="61FCB5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5.1投标人一旦参加本项目采购活动，即被认为接受了本招标文件的规定和约束。</w:t>
      </w:r>
    </w:p>
    <w:p w14:paraId="36D89940">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bookmarkStart w:id="60" w:name="_Toc120614215"/>
      <w:bookmarkEnd w:id="60"/>
      <w:bookmarkStart w:id="61" w:name="_Toc513029209"/>
      <w:bookmarkEnd w:id="61"/>
      <w:bookmarkStart w:id="62" w:name="_Toc16938525"/>
      <w:bookmarkEnd w:id="62"/>
      <w:bookmarkStart w:id="63" w:name="_Toc20823281"/>
      <w:r>
        <w:rPr>
          <w:rFonts w:hint="default" w:ascii="Times New Roman" w:hAnsi="Times New Roman" w:eastAsia="宋体" w:cs="Times New Roman"/>
          <w:b/>
          <w:bCs/>
          <w:color w:val="auto"/>
          <w:sz w:val="24"/>
          <w:szCs w:val="24"/>
          <w:highlight w:val="none"/>
        </w:rPr>
        <w:t>二、招标文件</w:t>
      </w:r>
      <w:bookmarkEnd w:id="63"/>
    </w:p>
    <w:p w14:paraId="2E7C03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64" w:name="_Toc513029210"/>
      <w:bookmarkEnd w:id="64"/>
      <w:bookmarkStart w:id="65" w:name="_Toc16938526"/>
      <w:bookmarkEnd w:id="65"/>
      <w:bookmarkStart w:id="66" w:name="_Toc20823282"/>
      <w:r>
        <w:rPr>
          <w:rFonts w:hint="default" w:ascii="Times New Roman" w:hAnsi="Times New Roman" w:eastAsia="宋体" w:cs="Times New Roman"/>
          <w:color w:val="auto"/>
          <w:sz w:val="24"/>
          <w:szCs w:val="24"/>
          <w:highlight w:val="none"/>
        </w:rPr>
        <w:t>6.招标文件构成</w:t>
      </w:r>
      <w:bookmarkEnd w:id="66"/>
    </w:p>
    <w:p w14:paraId="669257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6.1招标文件由以下部分组成：</w:t>
      </w:r>
    </w:p>
    <w:p w14:paraId="17232E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（1）招标公告</w:t>
      </w:r>
    </w:p>
    <w:p w14:paraId="3BB01A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（2）投标人须知</w:t>
      </w:r>
    </w:p>
    <w:p w14:paraId="6DE7B9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（3）采购需求</w:t>
      </w:r>
    </w:p>
    <w:p w14:paraId="6DB44A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（4）评标方法与评标标准</w:t>
      </w:r>
    </w:p>
    <w:p w14:paraId="38AC0A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（5）</w:t>
      </w:r>
      <w:r>
        <w:rPr>
          <w:rFonts w:hint="eastAsia" w:ascii="Times New Roman" w:hAnsi="Times New Roman" w:eastAsia="宋体" w:cs="Times New Roman"/>
          <w:color w:val="auto"/>
          <w:sz w:val="24"/>
          <w:szCs w:val="24"/>
          <w:highlight w:val="none"/>
          <w:lang w:val="en-US" w:eastAsia="zh-CN"/>
        </w:rPr>
        <w:t>合同文本</w:t>
      </w:r>
    </w:p>
    <w:p w14:paraId="3B1D4E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（6）投标文件格式</w:t>
      </w:r>
    </w:p>
    <w:p w14:paraId="6E4F488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请仔细检查招标文件是否齐全，如有缺漏请立即与采购代理机构联系解决。</w:t>
      </w:r>
    </w:p>
    <w:p w14:paraId="729E89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70C37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67" w:name="_Toc16938527"/>
      <w:bookmarkEnd w:id="67"/>
      <w:bookmarkStart w:id="68" w:name="_Toc462564070"/>
      <w:bookmarkEnd w:id="68"/>
      <w:bookmarkStart w:id="69" w:name="_Toc513029211"/>
      <w:bookmarkEnd w:id="69"/>
      <w:bookmarkStart w:id="70" w:name="_Toc20823283"/>
      <w:r>
        <w:rPr>
          <w:rFonts w:hint="default" w:ascii="Times New Roman" w:hAnsi="Times New Roman" w:eastAsia="宋体" w:cs="Times New Roman"/>
          <w:color w:val="auto"/>
          <w:sz w:val="24"/>
          <w:szCs w:val="24"/>
          <w:highlight w:val="none"/>
        </w:rPr>
        <w:t>7.招标文件的澄清</w:t>
      </w:r>
      <w:bookmarkEnd w:id="70"/>
    </w:p>
    <w:p w14:paraId="3AC0D0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7.1任何要求对招标文件进行澄清的投标人，应在投标截止期十五日前按招标公告中的通讯地址，以书面形式通知采购人。</w:t>
      </w:r>
    </w:p>
    <w:p w14:paraId="120C75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71" w:name="_Toc20823284"/>
      <w:bookmarkEnd w:id="71"/>
      <w:bookmarkStart w:id="72" w:name="_Toc16938528"/>
      <w:bookmarkEnd w:id="72"/>
      <w:bookmarkStart w:id="73" w:name="_Toc513029212"/>
      <w:bookmarkEnd w:id="73"/>
      <w:bookmarkStart w:id="74" w:name="_Toc462564071"/>
      <w:r>
        <w:rPr>
          <w:rFonts w:hint="default" w:ascii="Times New Roman" w:hAnsi="Times New Roman" w:eastAsia="宋体" w:cs="Times New Roman"/>
          <w:color w:val="auto"/>
          <w:sz w:val="24"/>
          <w:szCs w:val="24"/>
          <w:highlight w:val="none"/>
        </w:rPr>
        <w:t>8.招标文件的修改</w:t>
      </w:r>
      <w:bookmarkEnd w:id="74"/>
    </w:p>
    <w:p w14:paraId="02F176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8.1在投标截止时间之前，采购人可以对招标文件进行修改。修改内容可能影响投标文件编制的，应在截止时间至少15日前发出、不足15日顺延</w:t>
      </w:r>
      <w:r>
        <w:rPr>
          <w:rFonts w:hint="eastAsia" w:ascii="Times New Roman" w:hAnsi="Times New Roman" w:eastAsia="宋体" w:cs="Times New Roman"/>
          <w:color w:val="auto"/>
          <w:sz w:val="24"/>
          <w:szCs w:val="24"/>
          <w:highlight w:val="none"/>
          <w:lang w:eastAsia="zh-CN"/>
        </w:rPr>
        <w:t>。</w:t>
      </w:r>
    </w:p>
    <w:p w14:paraId="04588C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8.2采购人有权按照法定的要求推迟投标截止日期和开标日期。</w:t>
      </w:r>
    </w:p>
    <w:p w14:paraId="5406D2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8.3招标文件的修改将在江苏政府采购网公布，补充文件将作为招标文件的组成部分，并对投标人具有约束力。</w:t>
      </w:r>
    </w:p>
    <w:p w14:paraId="24C45B6A">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bookmarkStart w:id="75" w:name="_Toc16938529"/>
      <w:bookmarkEnd w:id="75"/>
      <w:bookmarkStart w:id="76" w:name="_Toc513029213"/>
      <w:bookmarkEnd w:id="76"/>
      <w:bookmarkStart w:id="77" w:name="_Toc120614216"/>
      <w:bookmarkEnd w:id="77"/>
      <w:bookmarkStart w:id="78" w:name="_Toc20823285"/>
      <w:bookmarkEnd w:id="78"/>
      <w:bookmarkStart w:id="79" w:name="_Toc462564072"/>
      <w:r>
        <w:rPr>
          <w:rFonts w:hint="default" w:ascii="Times New Roman" w:hAnsi="Times New Roman" w:eastAsia="宋体" w:cs="Times New Roman"/>
          <w:b/>
          <w:bCs/>
          <w:color w:val="auto"/>
          <w:sz w:val="24"/>
          <w:szCs w:val="24"/>
          <w:highlight w:val="none"/>
        </w:rPr>
        <w:t>三、投标文件的编制</w:t>
      </w:r>
      <w:bookmarkEnd w:id="79"/>
    </w:p>
    <w:p w14:paraId="1BF3AD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80" w:name="_Toc16938530"/>
      <w:bookmarkEnd w:id="80"/>
      <w:bookmarkStart w:id="81" w:name="_Toc462564073"/>
      <w:bookmarkEnd w:id="81"/>
      <w:bookmarkStart w:id="82" w:name="_Toc513029214"/>
      <w:bookmarkEnd w:id="82"/>
      <w:bookmarkStart w:id="83" w:name="_Toc20823286"/>
      <w:r>
        <w:rPr>
          <w:rFonts w:hint="default" w:ascii="Times New Roman" w:hAnsi="Times New Roman" w:eastAsia="宋体" w:cs="Times New Roman"/>
          <w:color w:val="auto"/>
          <w:sz w:val="24"/>
          <w:szCs w:val="24"/>
          <w:highlight w:val="none"/>
        </w:rPr>
        <w:t>9.投标文件的语言及度量衡单位</w:t>
      </w:r>
      <w:bookmarkEnd w:id="83"/>
    </w:p>
    <w:p w14:paraId="6E4C3A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9.1投标人提交的投标文件以及投标人与采购人就有关投标的所有来往通知、函件和文件均应使用简体中文。</w:t>
      </w:r>
    </w:p>
    <w:p w14:paraId="7D7B0C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9.2除技术性能另有规定外，投标文件所使用的度量衡单位，均须采用国家法定计量单位。</w:t>
      </w:r>
    </w:p>
    <w:p w14:paraId="749F1B0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84" w:name="_Toc513029215"/>
      <w:bookmarkEnd w:id="84"/>
      <w:bookmarkStart w:id="85" w:name="_Toc16938531"/>
      <w:bookmarkEnd w:id="85"/>
      <w:bookmarkStart w:id="86" w:name="_Toc462564074"/>
      <w:bookmarkEnd w:id="86"/>
      <w:bookmarkStart w:id="87" w:name="_Toc20823287"/>
      <w:r>
        <w:rPr>
          <w:rFonts w:hint="default" w:ascii="Times New Roman" w:hAnsi="Times New Roman" w:eastAsia="宋体" w:cs="Times New Roman"/>
          <w:color w:val="auto"/>
          <w:sz w:val="24"/>
          <w:szCs w:val="24"/>
          <w:highlight w:val="none"/>
        </w:rPr>
        <w:t>10.投标文件构成</w:t>
      </w:r>
      <w:bookmarkEnd w:id="87"/>
    </w:p>
    <w:p w14:paraId="16DCC6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2EB6A4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88" w:name="_Toc513029219"/>
      <w:bookmarkEnd w:id="88"/>
      <w:bookmarkStart w:id="89" w:name="_Toc14577354"/>
      <w:bookmarkEnd w:id="89"/>
      <w:bookmarkStart w:id="90" w:name="_Hlt26668975"/>
      <w:bookmarkEnd w:id="90"/>
      <w:bookmarkStart w:id="91" w:name="_Toc14577357"/>
      <w:bookmarkEnd w:id="91"/>
      <w:bookmarkStart w:id="92" w:name="_Hlt26954838"/>
      <w:bookmarkEnd w:id="92"/>
      <w:bookmarkStart w:id="93" w:name="_Toc49090509"/>
      <w:bookmarkEnd w:id="93"/>
      <w:bookmarkStart w:id="94" w:name="_Hlt26670360"/>
      <w:bookmarkEnd w:id="94"/>
      <w:bookmarkStart w:id="95" w:name="_Toc513029216"/>
      <w:bookmarkEnd w:id="95"/>
      <w:bookmarkStart w:id="96" w:name="_Toc49090507"/>
      <w:r>
        <w:rPr>
          <w:rFonts w:hint="default" w:ascii="Times New Roman" w:hAnsi="Times New Roman" w:eastAsia="宋体" w:cs="Times New Roman"/>
          <w:color w:val="auto"/>
          <w:sz w:val="24"/>
          <w:szCs w:val="24"/>
          <w:highlight w:val="none"/>
        </w:rPr>
        <w:t>11.证明投标人及投标标的符合招标文件规定的文件</w:t>
      </w:r>
      <w:bookmarkEnd w:id="96"/>
    </w:p>
    <w:p w14:paraId="2FDF7FC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97" w:name="_Toc14577355"/>
      <w:bookmarkEnd w:id="97"/>
      <w:bookmarkStart w:id="98" w:name="_Toc49090508"/>
      <w:r>
        <w:rPr>
          <w:rFonts w:hint="default" w:ascii="Times New Roman" w:hAnsi="Times New Roman" w:eastAsia="宋体" w:cs="Times New Roman"/>
          <w:color w:val="auto"/>
          <w:sz w:val="24"/>
          <w:szCs w:val="24"/>
          <w:highlight w:val="none"/>
        </w:rPr>
        <w:t>11.1投标人应按照法律法规、规章和规范性文件以及招标文件要求提交证明文件，证明其及投标标的符合招标文件规定。</w:t>
      </w:r>
      <w:bookmarkEnd w:id="98"/>
    </w:p>
    <w:p w14:paraId="2C352E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11.2招标文件对证明文件无明确形式要求的，证明文件可以以文字资料、图纸和数据等形式提交。</w:t>
      </w:r>
    </w:p>
    <w:p w14:paraId="0F4AF2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12.投标分项报价</w:t>
      </w:r>
      <w:bookmarkStart w:id="99" w:name="_Hlt26670373"/>
      <w:r>
        <w:rPr>
          <w:rFonts w:hint="default" w:ascii="Times New Roman" w:hAnsi="Times New Roman" w:eastAsia="宋体" w:cs="Times New Roman"/>
          <w:color w:val="auto"/>
          <w:sz w:val="24"/>
          <w:szCs w:val="24"/>
          <w:highlight w:val="none"/>
        </w:rPr>
        <w:t>表</w:t>
      </w:r>
    </w:p>
    <w:p w14:paraId="493446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12.1投</w:t>
      </w:r>
      <w:bookmarkEnd w:id="99"/>
      <w:bookmarkStart w:id="100" w:name="_Hlt26954840"/>
      <w:r>
        <w:rPr>
          <w:rFonts w:hint="default" w:ascii="Times New Roman" w:hAnsi="Times New Roman" w:eastAsia="宋体" w:cs="Times New Roman"/>
          <w:color w:val="auto"/>
          <w:sz w:val="24"/>
          <w:szCs w:val="24"/>
          <w:highlight w:val="none"/>
        </w:rPr>
        <w:t>标人应按照招标文件规定格式填报投标分项报价表</w:t>
      </w:r>
      <w:bookmarkEnd w:id="100"/>
      <w:bookmarkStart w:id="101" w:name="_Hlt26670399"/>
      <w:r>
        <w:rPr>
          <w:rFonts w:hint="default" w:ascii="Times New Roman" w:hAnsi="Times New Roman" w:eastAsia="宋体" w:cs="Times New Roman"/>
          <w:color w:val="auto"/>
          <w:sz w:val="24"/>
          <w:szCs w:val="24"/>
          <w:highlight w:val="none"/>
        </w:rPr>
        <w:t>。</w:t>
      </w:r>
    </w:p>
    <w:p w14:paraId="758BC4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12.2投标货币。投标文件中的单价和总价无特殊规定的采用人民币报价，以元为单位标注。招标文件中另有规定的按规定执行。</w:t>
      </w:r>
      <w:bookmarkEnd w:id="101"/>
    </w:p>
    <w:p w14:paraId="0E0F0F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02" w:name="_Hlt26670425"/>
      <w:bookmarkEnd w:id="102"/>
      <w:bookmarkStart w:id="103" w:name="_Hlt26954848"/>
      <w:bookmarkEnd w:id="103"/>
      <w:bookmarkStart w:id="104" w:name="_Hlt26954846"/>
      <w:bookmarkEnd w:id="104"/>
      <w:bookmarkStart w:id="105" w:name="_Hlt26670482"/>
      <w:bookmarkEnd w:id="105"/>
      <w:bookmarkStart w:id="106" w:name="_Hlt26954731"/>
      <w:bookmarkEnd w:id="106"/>
      <w:bookmarkStart w:id="107" w:name="_Hlt26670486"/>
      <w:bookmarkEnd w:id="107"/>
      <w:bookmarkStart w:id="108" w:name="_Hlt26954842"/>
      <w:bookmarkEnd w:id="108"/>
      <w:bookmarkStart w:id="109" w:name="_Hlt26668983"/>
      <w:bookmarkEnd w:id="109"/>
      <w:bookmarkStart w:id="110" w:name="_Hlt26670403"/>
      <w:bookmarkEnd w:id="110"/>
      <w:bookmarkStart w:id="111" w:name="_Hlt26954844"/>
      <w:r>
        <w:rPr>
          <w:rFonts w:hint="default" w:ascii="Times New Roman" w:hAnsi="Times New Roman" w:eastAsia="宋体" w:cs="Times New Roman"/>
          <w:color w:val="auto"/>
          <w:sz w:val="24"/>
          <w:szCs w:val="24"/>
          <w:highlight w:val="none"/>
        </w:rPr>
        <w:t>13.技术要求响应及偏离表、商务要求响应及偏离表</w:t>
      </w:r>
    </w:p>
    <w:p w14:paraId="72C1DD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13.1投标人需对招标文件中的技术要求与商务要求逐项作出响应或偏离，并说明原因。</w:t>
      </w:r>
    </w:p>
    <w:p w14:paraId="126CF7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13.2投标人可在投标文件中提供认为需要的其他技术文件或说明。</w:t>
      </w:r>
      <w:bookmarkEnd w:id="111"/>
    </w:p>
    <w:p w14:paraId="796331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12" w:name="_Toc14577359"/>
      <w:bookmarkEnd w:id="112"/>
      <w:bookmarkStart w:id="113" w:name="_Toc49090510"/>
      <w:r>
        <w:rPr>
          <w:rFonts w:hint="default" w:ascii="Times New Roman" w:hAnsi="Times New Roman" w:eastAsia="宋体" w:cs="Times New Roman"/>
          <w:color w:val="auto"/>
          <w:sz w:val="24"/>
          <w:szCs w:val="24"/>
          <w:highlight w:val="none"/>
        </w:rPr>
        <w:t>14.投标函和开标一览表</w:t>
      </w:r>
      <w:bookmarkEnd w:id="113"/>
    </w:p>
    <w:p w14:paraId="6D7A46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14.1投标人应按照招标文件中提供的格式完整、正确地填写投标函、开标一览表。</w:t>
      </w:r>
    </w:p>
    <w:p w14:paraId="06DE9D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14.2对于采用货币报价的项目，开标一览表中的投标总报价应与投标分项报价表中的投标总报价一致，如不一致，不作为无效投标处理，但评标时按开标一览表中的价格为准。</w:t>
      </w:r>
    </w:p>
    <w:p w14:paraId="254BCD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14" w:name="_Hlt26670489"/>
      <w:bookmarkEnd w:id="114"/>
      <w:bookmarkStart w:id="115" w:name="_Toc49090511"/>
      <w:bookmarkEnd w:id="115"/>
      <w:bookmarkStart w:id="116" w:name="_Hlt26954734"/>
      <w:bookmarkEnd w:id="116"/>
      <w:bookmarkStart w:id="117" w:name="_Hlt26954850"/>
      <w:bookmarkEnd w:id="117"/>
      <w:bookmarkStart w:id="118" w:name="_Toc14577360"/>
      <w:r>
        <w:rPr>
          <w:rFonts w:hint="default" w:ascii="Times New Roman" w:hAnsi="Times New Roman" w:eastAsia="宋体" w:cs="Times New Roman"/>
          <w:color w:val="auto"/>
          <w:sz w:val="24"/>
          <w:szCs w:val="24"/>
          <w:highlight w:val="none"/>
        </w:rPr>
        <w:t>15.投标有效期</w:t>
      </w:r>
      <w:bookmarkEnd w:id="118"/>
    </w:p>
    <w:p w14:paraId="6811B77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15.1投标有效期为采购人开标之日后</w:t>
      </w:r>
      <w:r>
        <w:rPr>
          <w:rFonts w:hint="eastAsia" w:ascii="Times New Roman" w:hAnsi="Times New Roman" w:eastAsia="宋体" w:cs="Times New Roman"/>
          <w:color w:val="auto"/>
          <w:sz w:val="24"/>
          <w:szCs w:val="24"/>
          <w:highlight w:val="none"/>
          <w:lang w:val="en-US" w:eastAsia="zh-CN"/>
        </w:rPr>
        <w:t>九</w:t>
      </w:r>
      <w:r>
        <w:rPr>
          <w:rFonts w:hint="default" w:ascii="Times New Roman" w:hAnsi="Times New Roman" w:eastAsia="宋体" w:cs="Times New Roman"/>
          <w:color w:val="auto"/>
          <w:sz w:val="24"/>
          <w:szCs w:val="24"/>
          <w:highlight w:val="none"/>
        </w:rPr>
        <w:t>十（</w:t>
      </w:r>
      <w:r>
        <w:rPr>
          <w:rFonts w:hint="eastAsia" w:ascii="Times New Roman" w:hAnsi="Times New Roman" w:eastAsia="宋体"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0）天。投标有效期比规定短的将被视为未实质性响应招标文件而予以拒绝。</w:t>
      </w:r>
    </w:p>
    <w:p w14:paraId="0AB8D5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16.投标有效期的延长</w:t>
      </w:r>
    </w:p>
    <w:p w14:paraId="6FF4DD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FE3C031">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bookmarkStart w:id="119" w:name="_Hlt26954739"/>
      <w:bookmarkEnd w:id="119"/>
      <w:bookmarkStart w:id="120" w:name="_Toc513029224"/>
      <w:bookmarkEnd w:id="120"/>
      <w:bookmarkStart w:id="121" w:name="_Hlt26954852"/>
      <w:bookmarkEnd w:id="121"/>
      <w:bookmarkStart w:id="122" w:name="_Toc20823296"/>
      <w:bookmarkEnd w:id="122"/>
      <w:bookmarkStart w:id="123" w:name="_Toc120614217"/>
      <w:bookmarkEnd w:id="123"/>
      <w:bookmarkStart w:id="124" w:name="_Toc16938540"/>
      <w:r>
        <w:rPr>
          <w:rFonts w:hint="default" w:ascii="Times New Roman" w:hAnsi="Times New Roman" w:eastAsia="宋体" w:cs="Times New Roman"/>
          <w:b/>
          <w:bCs/>
          <w:color w:val="auto"/>
          <w:sz w:val="24"/>
          <w:szCs w:val="24"/>
          <w:highlight w:val="none"/>
        </w:rPr>
        <w:t>四、投标文件的递交</w:t>
      </w:r>
      <w:bookmarkEnd w:id="124"/>
    </w:p>
    <w:p w14:paraId="7F50CF2B">
      <w:pPr>
        <w:keepNext/>
        <w:keepLines/>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25" w:name="_Toc16938541"/>
      <w:bookmarkEnd w:id="125"/>
      <w:bookmarkStart w:id="126" w:name="_Toc20823297"/>
      <w:bookmarkEnd w:id="126"/>
      <w:bookmarkStart w:id="127" w:name="_Toc462564084"/>
      <w:bookmarkEnd w:id="127"/>
      <w:bookmarkStart w:id="128" w:name="_Toc513029225"/>
      <w:r>
        <w:rPr>
          <w:rFonts w:hint="default" w:ascii="Times New Roman" w:hAnsi="Times New Roman" w:eastAsia="宋体" w:cs="Times New Roman"/>
          <w:color w:val="auto"/>
          <w:sz w:val="24"/>
          <w:szCs w:val="24"/>
          <w:highlight w:val="none"/>
        </w:rPr>
        <w:t>17.投标文件</w:t>
      </w:r>
      <w:bookmarkEnd w:id="128"/>
      <w:r>
        <w:rPr>
          <w:rFonts w:hint="default" w:ascii="Times New Roman" w:hAnsi="Times New Roman" w:eastAsia="宋体" w:cs="Times New Roman"/>
          <w:color w:val="auto"/>
          <w:sz w:val="24"/>
          <w:szCs w:val="24"/>
          <w:highlight w:val="none"/>
        </w:rPr>
        <w:t>的递交</w:t>
      </w:r>
    </w:p>
    <w:p w14:paraId="5A28ADB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17.1电子投标文件的递交</w:t>
      </w:r>
    </w:p>
    <w:p w14:paraId="659E151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投标人应当按照《操作手册》规定，在投标截止时间前制作并上传电子投标文件。</w:t>
      </w:r>
      <w:bookmarkStart w:id="129" w:name="_Toc513029226"/>
      <w:bookmarkEnd w:id="129"/>
      <w:bookmarkStart w:id="130" w:name="_Toc20823298"/>
      <w:bookmarkEnd w:id="130"/>
      <w:bookmarkStart w:id="131" w:name="_Toc16938542"/>
      <w:bookmarkEnd w:id="131"/>
    </w:p>
    <w:p w14:paraId="7C9BB645">
      <w:pPr>
        <w:keepNext/>
        <w:keepLines/>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18.投标截止时间</w:t>
      </w:r>
    </w:p>
    <w:p w14:paraId="7CAC67A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i/>
          <w:iCs/>
          <w:color w:val="auto"/>
          <w:sz w:val="24"/>
          <w:szCs w:val="24"/>
          <w:highlight w:val="none"/>
          <w:u w:val="single"/>
        </w:rPr>
        <w:t>18.1投标人上传电子投标文件的时间不得迟于招标公告中规定的投标截止时间</w:t>
      </w:r>
      <w:r>
        <w:rPr>
          <w:rFonts w:hint="default" w:ascii="Times New Roman" w:hAnsi="Times New Roman" w:eastAsia="宋体" w:cs="Times New Roman"/>
          <w:i/>
          <w:iCs/>
          <w:color w:val="auto"/>
          <w:sz w:val="24"/>
          <w:szCs w:val="24"/>
          <w:highlight w:val="none"/>
        </w:rPr>
        <w:t>。</w:t>
      </w:r>
    </w:p>
    <w:p w14:paraId="7D10815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投标人应充分考虑网络环境、网络带宽等风险因素，如因投标人自身原因造成的电子投标文件上传不成功的按照本招标文件第二章第26.1.2条规定作无效投标处理。</w:t>
      </w:r>
    </w:p>
    <w:p w14:paraId="7D3F28E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18.2采购人可以按照规定，通过修改招标文件酌情延长投标截止时间，在此情况下，投标人的所有权利和义务以及投标人受制的截止时间均应以延长后新的截止时间为准。</w:t>
      </w:r>
    </w:p>
    <w:p w14:paraId="7B10B2E1">
      <w:pPr>
        <w:keepNext/>
        <w:keepLines/>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32" w:name="_Toc20823299"/>
      <w:bookmarkEnd w:id="132"/>
      <w:bookmarkStart w:id="133" w:name="_Toc513029227"/>
      <w:bookmarkEnd w:id="133"/>
      <w:bookmarkStart w:id="134" w:name="_Toc16938543"/>
      <w:r>
        <w:rPr>
          <w:rFonts w:hint="default" w:ascii="Times New Roman" w:hAnsi="Times New Roman" w:eastAsia="宋体" w:cs="Times New Roman"/>
          <w:color w:val="auto"/>
          <w:sz w:val="24"/>
          <w:szCs w:val="24"/>
          <w:highlight w:val="none"/>
        </w:rPr>
        <w:t>19.投标文件</w:t>
      </w:r>
      <w:bookmarkEnd w:id="134"/>
      <w:r>
        <w:rPr>
          <w:rFonts w:hint="default" w:ascii="Times New Roman" w:hAnsi="Times New Roman" w:eastAsia="宋体" w:cs="Times New Roman"/>
          <w:color w:val="auto"/>
          <w:sz w:val="24"/>
          <w:szCs w:val="24"/>
          <w:highlight w:val="none"/>
        </w:rPr>
        <w:t>的拒收</w:t>
      </w:r>
    </w:p>
    <w:p w14:paraId="4AAB4BE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19.1采购人拒绝接收在其规定的投标截止时间后上传的任何投标文件。</w:t>
      </w:r>
    </w:p>
    <w:p w14:paraId="288C1252">
      <w:pPr>
        <w:keepNext/>
        <w:keepLines/>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bookmarkStart w:id="135" w:name="_Toc16938544"/>
      <w:bookmarkEnd w:id="135"/>
      <w:bookmarkStart w:id="136" w:name="_Toc20823300"/>
      <w:bookmarkEnd w:id="136"/>
      <w:bookmarkStart w:id="137" w:name="_Toc513029228"/>
      <w:r>
        <w:rPr>
          <w:rFonts w:hint="default" w:ascii="Times New Roman" w:hAnsi="Times New Roman" w:eastAsia="宋体" w:cs="Times New Roman"/>
          <w:color w:val="auto"/>
          <w:sz w:val="24"/>
          <w:szCs w:val="24"/>
          <w:highlight w:val="none"/>
        </w:rPr>
        <w:t>20.投标文件的撤回和修改</w:t>
      </w:r>
      <w:bookmarkEnd w:id="137"/>
    </w:p>
    <w:p w14:paraId="20A7A41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20.1投标文件的撤回</w:t>
      </w:r>
    </w:p>
    <w:p w14:paraId="5A4FBB9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20.1.1电子投标文件的撤回</w:t>
      </w:r>
    </w:p>
    <w:p w14:paraId="3FDC352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投标人可在投标截止时间前，撤回其电子投标文件，具体操作方法见《操作手册》。</w:t>
      </w:r>
    </w:p>
    <w:p w14:paraId="7DF09DF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20.1.2投标人撤回电子投标文件，则视为其不再参与本项目投标活动。</w:t>
      </w:r>
    </w:p>
    <w:p w14:paraId="12E9FE48">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20.2投标文件的修改</w:t>
      </w:r>
    </w:p>
    <w:p w14:paraId="35CCBDF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20.2.1投标人可在投标截止时间前，对其电子投标文件进行修改，具体操作方法见《操作手册》。</w:t>
      </w:r>
    </w:p>
    <w:p w14:paraId="0A9F795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20.2.2在投标截止时间之后，投标人不得对其电子投标文件作任何修改。</w:t>
      </w:r>
    </w:p>
    <w:p w14:paraId="22FF516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20.3在投标截止时间至招标文件中规定的投标有效期满之间的这段时间内，投标人不得撤回其投标。</w:t>
      </w:r>
    </w:p>
    <w:p w14:paraId="37E1CE5B">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bookmarkStart w:id="138" w:name="_Toc120614218"/>
      <w:bookmarkEnd w:id="138"/>
      <w:bookmarkStart w:id="139" w:name="_Toc513029229"/>
      <w:bookmarkEnd w:id="139"/>
      <w:bookmarkStart w:id="140" w:name="_Toc16938545"/>
      <w:bookmarkEnd w:id="140"/>
      <w:bookmarkStart w:id="141" w:name="_Toc20823301"/>
      <w:r>
        <w:rPr>
          <w:rFonts w:hint="default" w:ascii="Times New Roman" w:hAnsi="Times New Roman" w:eastAsia="宋体" w:cs="Times New Roman"/>
          <w:b/>
          <w:bCs/>
          <w:color w:val="auto"/>
          <w:sz w:val="24"/>
          <w:szCs w:val="24"/>
          <w:highlight w:val="none"/>
        </w:rPr>
        <w:t>五、开标与评标</w:t>
      </w:r>
      <w:bookmarkEnd w:id="141"/>
    </w:p>
    <w:p w14:paraId="6CB643E9">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bookmarkStart w:id="142" w:name="_Toc16938546"/>
      <w:bookmarkEnd w:id="142"/>
      <w:bookmarkStart w:id="143" w:name="_Toc20823302"/>
      <w:bookmarkEnd w:id="143"/>
      <w:bookmarkStart w:id="144" w:name="_Toc513029230"/>
      <w:r>
        <w:rPr>
          <w:rFonts w:hint="default" w:ascii="Times New Roman" w:hAnsi="Times New Roman" w:eastAsia="宋体" w:cs="Times New Roman"/>
          <w:color w:val="auto"/>
          <w:sz w:val="24"/>
          <w:szCs w:val="24"/>
          <w:highlight w:val="none"/>
        </w:rPr>
        <w:t>21.开标</w:t>
      </w:r>
      <w:bookmarkEnd w:id="144"/>
    </w:p>
    <w:p w14:paraId="27582D1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21.1采购人将在招标公告中规定的时间和地点组织公开开标。投标人应当按照《操作手册》规定，参加开标活动和在苏采云系统规定的时间内对投标文件进行解密。</w:t>
      </w:r>
    </w:p>
    <w:p w14:paraId="7CC6B779">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21.2开标仪式由采购人组织。苏采云系统将自动对项目进行开标，并宣布各投标人名称和投标价格。</w:t>
      </w:r>
    </w:p>
    <w:p w14:paraId="6E79A147">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21.3投标人在开标过程中涉及的投标文件解密、开标结果确认等工作，应按照《操作手册》规定执行。</w:t>
      </w:r>
    </w:p>
    <w:p w14:paraId="4B2D189A">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21.4投标人如果对开标过程和开标记录有疑义，应当根据《操作手册》规定提出，如苏采云系统中《开标记录表》宣布后5分钟内未提出的，视同认可开标结果。</w:t>
      </w:r>
    </w:p>
    <w:p w14:paraId="1C15B6DF">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bookmarkStart w:id="145" w:name="_Toc513029231"/>
      <w:bookmarkEnd w:id="145"/>
      <w:bookmarkStart w:id="146" w:name="_Toc16938547"/>
      <w:bookmarkEnd w:id="146"/>
      <w:bookmarkStart w:id="147" w:name="_Toc20823303"/>
      <w:r>
        <w:rPr>
          <w:rFonts w:hint="default" w:ascii="Times New Roman" w:hAnsi="Times New Roman" w:eastAsia="宋体" w:cs="Times New Roman"/>
          <w:color w:val="auto"/>
          <w:sz w:val="24"/>
          <w:szCs w:val="24"/>
          <w:highlight w:val="none"/>
        </w:rPr>
        <w:t>22.评标委员会</w:t>
      </w:r>
      <w:bookmarkEnd w:id="147"/>
    </w:p>
    <w:p w14:paraId="08154435">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22.1开标后，采购人将立即组织评标委员会（以下简称评委会）进行评标。</w:t>
      </w:r>
    </w:p>
    <w:p w14:paraId="32E66BC3">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22.2评委会由采购人代表和有关技术、经济等方面的专家组成，且人员构成符合政府采购有关规定。</w:t>
      </w:r>
    </w:p>
    <w:p w14:paraId="4CC0EEC2">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22.3评委会独立工作，负责评审所有投标文件并确定中标候选人。</w:t>
      </w:r>
    </w:p>
    <w:p w14:paraId="209456EE">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23.评标过程的保密与公正</w:t>
      </w:r>
    </w:p>
    <w:p w14:paraId="75D7A2C1">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23.1凡是与审查、澄清、评价和比较投标的有关资料以及授标建议等，采购人、评委、采购代理机构均不得向投标人或与评标无关的其他人员透露。</w:t>
      </w:r>
    </w:p>
    <w:p w14:paraId="6C8BAC17">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23.2在评标过程中，投标人不得以任何行为影响评标过程，否则其投标文件将被作为无效投标文件。</w:t>
      </w:r>
    </w:p>
    <w:p w14:paraId="4555D070">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23.3采购人和评标委员会既不向未中标的投标人解释未中标原因，也不公布评标过程中的相关细节。</w:t>
      </w:r>
    </w:p>
    <w:p w14:paraId="082A29B0">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23.4采用综合评分法的项目，未中标的投标人可于中标结果公告期限届满之日起通过苏采云系统查看自己的评审得分及排序情况。</w:t>
      </w:r>
    </w:p>
    <w:p w14:paraId="548E05F9">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bookmarkStart w:id="148" w:name="_Toc513029232"/>
      <w:bookmarkEnd w:id="148"/>
      <w:bookmarkStart w:id="149" w:name="_Toc16938548"/>
      <w:bookmarkEnd w:id="149"/>
      <w:bookmarkStart w:id="150" w:name="_Toc20823304"/>
      <w:r>
        <w:rPr>
          <w:rFonts w:hint="default" w:ascii="Times New Roman" w:hAnsi="Times New Roman" w:eastAsia="宋体" w:cs="Times New Roman"/>
          <w:color w:val="auto"/>
          <w:sz w:val="24"/>
          <w:szCs w:val="24"/>
          <w:highlight w:val="none"/>
        </w:rPr>
        <w:t>24.投标文件的澄清</w:t>
      </w:r>
      <w:bookmarkEnd w:id="150"/>
    </w:p>
    <w:p w14:paraId="678814C5">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24.1评标期间，评委会对投标文件中含义不明确、同类问题表述不一致或者有明显文字和计算错误的内容，有权要求投标人作出必要的澄清、说明或者补正。</w:t>
      </w:r>
    </w:p>
    <w:p w14:paraId="6A91B84F">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投标人的澄清、说明或者补正不得超出投标文件的范围或者改变投标文件的实质性内容。</w:t>
      </w:r>
    </w:p>
    <w:p w14:paraId="73589A5E">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评标委员会并非对每个投标人都做澄清要求。</w:t>
      </w:r>
    </w:p>
    <w:p w14:paraId="29270907">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24.2需要</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进行澄清、说明和补正的，评委会将通过苏采云系统向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5992153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24.3接到评委会澄清、说明和补正要求的投标人如未按规定作出澄清、说明和补正，其风险由投标人自行承担。</w:t>
      </w:r>
    </w:p>
    <w:p w14:paraId="5444468E">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bookmarkStart w:id="151" w:name="_Toc20823305"/>
      <w:bookmarkEnd w:id="151"/>
      <w:bookmarkStart w:id="152" w:name="_Toc16938549"/>
      <w:bookmarkEnd w:id="152"/>
      <w:bookmarkStart w:id="153" w:name="_Toc513029233"/>
      <w:r>
        <w:rPr>
          <w:rFonts w:hint="default" w:ascii="Times New Roman" w:hAnsi="Times New Roman" w:eastAsia="宋体" w:cs="Times New Roman"/>
          <w:color w:val="auto"/>
          <w:sz w:val="24"/>
          <w:szCs w:val="24"/>
          <w:highlight w:val="none"/>
        </w:rPr>
        <w:t>25.对投标文件的初审</w:t>
      </w:r>
      <w:bookmarkEnd w:id="153"/>
    </w:p>
    <w:p w14:paraId="5A53872E">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25.1投标文件初审分为资格审查和符合性审查。</w:t>
      </w:r>
    </w:p>
    <w:p w14:paraId="5175E87F">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25.1.1资格审查：依据法律法规和招标文件的规定，由采购人对投标文件中的资格证明文件进行审查。资格审查的结论，采购人应以书面形式向评委会进行反馈。</w:t>
      </w:r>
    </w:p>
    <w:p w14:paraId="3365227C">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采购人在进行资格性审查的同时，将在“信用中国”网站（www.creditchina.gov.cn）查询投标人的信用记录，以确定投标人是否具备投标资格。</w:t>
      </w:r>
    </w:p>
    <w:p w14:paraId="49E8BA6D">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接受联合体的项目，两个以上的自然人、法人或者其他组织组成一个联合体，以一个</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的身份共同参加政府采购活动的，联合体成员存在不良信用记录的，视同联合体存在不良信用记录。</w:t>
      </w:r>
    </w:p>
    <w:p w14:paraId="0044B71A">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25.1.2符合性审查：依据招标文件的规定，由评委会对投标文件的有效性、完整性和对招标文件的响应程度进行审查，以确定是否对招标文件的实质性要求作出响应。</w:t>
      </w:r>
    </w:p>
    <w:p w14:paraId="6731093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25.1.3未通过资格审查或符合性审查的投标人，采购人将在苏采云系统中告知未通过资格审查或符合性审查的原因，评标结束后，采购人将不再告知未通过资格审查和符合性审查的原因。</w:t>
      </w:r>
    </w:p>
    <w:p w14:paraId="5F3B08E6">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25.2在详细评标之前，评委会将首先审查每份投标文件是否实质性地响应了招标文件的要求。实质性响应的投标应该是与招标文件要求的全部条款、条件和规格相符，没有重大偏离或保留的投标。</w:t>
      </w:r>
    </w:p>
    <w:p w14:paraId="76D15530">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所谓重大偏离或保留是指与招标文件规定的实质性要求存在负偏离，或者在实质上与招标文件不一致，并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7BE1962">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25.3如果投标文件实质上没有响应招标文件的要求，评委会将予以拒绝，投标人不得通过修改或撤销不符合要求的偏离或保留而使其投标成为实质性响应的投标。</w:t>
      </w:r>
    </w:p>
    <w:p w14:paraId="32E0A3B0">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25.4评委会将对确定为实质性响应的投标进行进一步审核，确定其是否有计算上或累加上的算术错误，修正错误的原则如下：</w:t>
      </w:r>
    </w:p>
    <w:p w14:paraId="6EF45DAB">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（1）投标文件中开标一览表内容与投标文件中相应内容不一致的，以开标一览表为准。</w:t>
      </w:r>
    </w:p>
    <w:p w14:paraId="2FBA54F2">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（2）大写金额和小写金额不一致的，以大写金额为准。</w:t>
      </w:r>
    </w:p>
    <w:p w14:paraId="1A598A1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（3）单价金额小数点或者百分比有明显错位的，以开标一览表的总价为准，并修改单价。</w:t>
      </w:r>
    </w:p>
    <w:p w14:paraId="7812E3A6">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（4）总价金额与按单价汇总金额不一致的，以单价金额计算结果为准。</w:t>
      </w:r>
    </w:p>
    <w:p w14:paraId="07B454F7">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同时出现两种以上错误的，按照前款规定的顺序修正。</w:t>
      </w:r>
    </w:p>
    <w:p w14:paraId="2C2C2C5F">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35AF0B89">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bookmarkStart w:id="154" w:name="_Toc16938550"/>
      <w:bookmarkEnd w:id="154"/>
      <w:bookmarkStart w:id="155" w:name="_Toc513029234"/>
      <w:bookmarkEnd w:id="155"/>
      <w:bookmarkStart w:id="156" w:name="_Toc20823306"/>
      <w:r>
        <w:rPr>
          <w:rFonts w:hint="default" w:ascii="Times New Roman" w:hAnsi="Times New Roman" w:eastAsia="宋体" w:cs="Times New Roman"/>
          <w:color w:val="auto"/>
          <w:sz w:val="24"/>
          <w:szCs w:val="24"/>
          <w:highlight w:val="none"/>
        </w:rPr>
        <w:t>25.6投标人在开、评标全过程中应</w:t>
      </w:r>
      <w:r>
        <w:rPr>
          <w:rFonts w:hint="eastAsia" w:ascii="Times New Roman" w:hAnsi="Times New Roman" w:eastAsia="宋体" w:cs="Times New Roman"/>
          <w:color w:val="auto"/>
          <w:sz w:val="24"/>
          <w:szCs w:val="24"/>
          <w:highlight w:val="none"/>
          <w:lang w:eastAsia="zh-CN"/>
        </w:rPr>
        <w:t>保持通信畅通</w:t>
      </w:r>
      <w:r>
        <w:rPr>
          <w:rFonts w:hint="default" w:ascii="Times New Roman" w:hAnsi="Times New Roman" w:eastAsia="宋体" w:cs="Times New Roman"/>
          <w:color w:val="auto"/>
          <w:sz w:val="24"/>
          <w:szCs w:val="24"/>
          <w:highlight w:val="none"/>
        </w:rPr>
        <w:t>，及时登录苏采云系统查阅、答复相关信息，并安排专人与采购人及评标委员会联系。</w:t>
      </w:r>
      <w:bookmarkEnd w:id="156"/>
    </w:p>
    <w:p w14:paraId="175A4423">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26.无效投标条款和废标条款</w:t>
      </w:r>
    </w:p>
    <w:p w14:paraId="7CF4C37C">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bookmarkStart w:id="157" w:name="_Toc20823307"/>
      <w:bookmarkEnd w:id="157"/>
      <w:bookmarkStart w:id="158" w:name="_Toc16938551"/>
      <w:bookmarkEnd w:id="158"/>
      <w:bookmarkStart w:id="159" w:name="_Toc513029235"/>
      <w:r>
        <w:rPr>
          <w:rFonts w:hint="default" w:ascii="Times New Roman" w:hAnsi="Times New Roman" w:eastAsia="宋体" w:cs="Times New Roman"/>
          <w:color w:val="auto"/>
          <w:sz w:val="24"/>
          <w:szCs w:val="24"/>
          <w:highlight w:val="none"/>
        </w:rPr>
        <w:t>26.1无效投标条款</w:t>
      </w:r>
      <w:bookmarkEnd w:id="159"/>
    </w:p>
    <w:p w14:paraId="54FC64E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26.1.1投标人在苏采云系统规定的时间内未成功解密电子投标文件的；</w:t>
      </w:r>
    </w:p>
    <w:p w14:paraId="71B7F1AB">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26.1.2投标人未按照招标文件要求上传电子投标文件的；</w:t>
      </w:r>
    </w:p>
    <w:p w14:paraId="38BF21B6">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26.1.3投标文件中有招标文件未允许提供的选择性内容；</w:t>
      </w:r>
    </w:p>
    <w:p w14:paraId="177D0EDF">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26.1.4投标人不具备本招标文件中规定的资格要求的；</w:t>
      </w:r>
    </w:p>
    <w:p w14:paraId="33B04CFD">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26.1.5投标人的报价超过了采购预算或最高限价的；</w:t>
      </w:r>
    </w:p>
    <w:p w14:paraId="0D8666CC">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26.1.6未通过符合性审查的；</w:t>
      </w:r>
    </w:p>
    <w:p w14:paraId="78224E43">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26.1.7不符合招标文件中规定的实质性要求和条件的（</w:t>
      </w:r>
      <w:r>
        <w:rPr>
          <w:rFonts w:hint="default" w:ascii="Times New Roman" w:hAnsi="Times New Roman" w:eastAsia="宋体" w:cs="Times New Roman"/>
          <w:i/>
          <w:iCs/>
          <w:color w:val="auto"/>
          <w:sz w:val="24"/>
          <w:szCs w:val="24"/>
          <w:highlight w:val="none"/>
          <w:u w:val="single"/>
        </w:rPr>
        <w:t>本招标文件中斜体且有下划线部分为实质性要求和条件）；</w:t>
      </w:r>
    </w:p>
    <w:p w14:paraId="57215C5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5E08D7C">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26.1.9投标文件中含有采购人不能接受的附加条件的；</w:t>
      </w:r>
    </w:p>
    <w:p w14:paraId="02A0AF02">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26.1.10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p>
    <w:p w14:paraId="696694D9">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26.1.11</w:t>
      </w:r>
      <w:bookmarkStart w:id="160" w:name="_Hlk227145917"/>
      <w:r>
        <w:rPr>
          <w:rFonts w:hint="default" w:ascii="Times New Roman" w:hAnsi="Times New Roman" w:eastAsia="宋体" w:cs="Times New Roman"/>
          <w:color w:val="auto"/>
          <w:sz w:val="24"/>
          <w:szCs w:val="24"/>
          <w:highlight w:val="none"/>
        </w:rPr>
        <w:t>评标委员会认定投标人的报价为异常低价，应当要求相关投标人在规定时间内，提供项目具体成本测算等与报价合理性相关的书面说明及相关证明材料，对投标价格作出解释；投标人不提供书面说明、证明材料，或者提供的书面说明、证明材料不能证明其报价合理性的，评标委员会应当将其作为无效投标处理；</w:t>
      </w:r>
      <w:bookmarkEnd w:id="160"/>
    </w:p>
    <w:p w14:paraId="1F6940B9">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26.1.12投标文件未按照招标文件要求加盖电子签章或签署的；</w:t>
      </w:r>
    </w:p>
    <w:p w14:paraId="23E4B54D">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26.1.13提供虚假材料的（包括工商营业执照、财务报表、资格证明文件等）；</w:t>
      </w:r>
    </w:p>
    <w:p w14:paraId="180C1860">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26.1.14投标文件未按招标文件规定的内容和要求填写的；</w:t>
      </w:r>
    </w:p>
    <w:p w14:paraId="230FE6B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26.1.15改变招标文件清单给出的类型、技术参数、数量、不可改变的金额等；</w:t>
      </w:r>
    </w:p>
    <w:p w14:paraId="34125A56">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26.1.16不同投标人的投标文件由同一单位或者个人编制的；</w:t>
      </w:r>
    </w:p>
    <w:p w14:paraId="3F207201">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26.1.17不同投标人委托同一单位或者个人办理投标事宜的（包含使用同一MAC地址的计算机提交或者解密电子</w:t>
      </w:r>
      <w:r>
        <w:rPr>
          <w:rFonts w:hint="eastAsia" w:ascii="Times New Roman" w:hAnsi="Times New Roman" w:eastAsia="宋体" w:cs="Times New Roman"/>
          <w:color w:val="auto"/>
          <w:sz w:val="24"/>
          <w:szCs w:val="24"/>
          <w:highlight w:val="none"/>
          <w:lang w:val="en-US" w:eastAsia="zh-CN"/>
        </w:rPr>
        <w:t>投标</w:t>
      </w:r>
      <w:r>
        <w:rPr>
          <w:rFonts w:hint="default" w:ascii="Times New Roman" w:hAnsi="Times New Roman" w:eastAsia="宋体" w:cs="Times New Roman"/>
          <w:color w:val="auto"/>
          <w:sz w:val="24"/>
          <w:szCs w:val="24"/>
          <w:highlight w:val="none"/>
        </w:rPr>
        <w:t>文件的情形）；</w:t>
      </w:r>
    </w:p>
    <w:p w14:paraId="5AC26541">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26.1.18不同的投标人响应文件制作的MAC地址一致的；</w:t>
      </w:r>
    </w:p>
    <w:p w14:paraId="6EB3671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26.1.19不同投标人的投标文件载明的项目管理成员为同一人的；</w:t>
      </w:r>
    </w:p>
    <w:p w14:paraId="738706EA">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26.1.20不同投标人的投标文件异常一致或者投标报价呈规律性差异的；</w:t>
      </w:r>
    </w:p>
    <w:p w14:paraId="1E21414F">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26.1.21不同投标人的单位负责人为同一人或者存在直接控股、管理关系的；</w:t>
      </w:r>
    </w:p>
    <w:p w14:paraId="7CD348BD">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26.1.22本项目采购产品属于被财政部、国家发展改革委、生态环境部等列入“节能产品品目清单”“环境标志产品品目清单”强制采购范围，而投标</w:t>
      </w:r>
      <w:r>
        <w:rPr>
          <w:rFonts w:hint="eastAsia" w:ascii="Times New Roman" w:hAnsi="Times New Roman" w:eastAsia="宋体" w:cs="Times New Roman"/>
          <w:color w:val="auto"/>
          <w:sz w:val="24"/>
          <w:szCs w:val="24"/>
          <w:highlight w:val="none"/>
          <w:lang w:val="en-US" w:eastAsia="zh-CN"/>
        </w:rPr>
        <w:t>人</w:t>
      </w:r>
      <w:r>
        <w:rPr>
          <w:rFonts w:hint="default" w:ascii="Times New Roman" w:hAnsi="Times New Roman" w:eastAsia="宋体" w:cs="Times New Roman"/>
          <w:color w:val="auto"/>
          <w:sz w:val="24"/>
          <w:szCs w:val="24"/>
          <w:highlight w:val="none"/>
        </w:rPr>
        <w:t>所投产品不在强制采购范围内的（投标产品如属于政府强制采购节能产品品目清单范围内，投标响应文件中必须提供国家确定的认证机构出具的、处于有效期之内的该节能产品认证证书图片）；</w:t>
      </w:r>
    </w:p>
    <w:p w14:paraId="509A8115">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26.1.23其他法律法规及本招标文件规定的属于无效投标的情形。</w:t>
      </w:r>
    </w:p>
    <w:p w14:paraId="566CF33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 w:val="0"/>
          <w:bCs w:val="0"/>
          <w:i w:val="0"/>
          <w:iCs/>
          <w:color w:val="auto"/>
          <w:sz w:val="24"/>
          <w:szCs w:val="24"/>
          <w:highlight w:val="none"/>
          <w:u w:val="single"/>
          <w:lang w:eastAsia="zh-CN"/>
        </w:rPr>
      </w:pPr>
      <w:r>
        <w:rPr>
          <w:rFonts w:hint="default" w:ascii="Times New Roman" w:hAnsi="Times New Roman" w:eastAsia="宋体" w:cs="Times New Roman"/>
          <w:b w:val="0"/>
          <w:bCs w:val="0"/>
          <w:i w:val="0"/>
          <w:iCs/>
          <w:color w:val="auto"/>
          <w:sz w:val="24"/>
          <w:szCs w:val="24"/>
          <w:highlight w:val="none"/>
          <w:u w:val="single"/>
        </w:rPr>
        <w:t>26.1.24投标人未按招标文件第六章规定格式提供《综合节能率承诺书》并作出有效承诺，或承诺的年度综合节能率低于8%的。</w:t>
      </w:r>
      <w:r>
        <w:rPr>
          <w:rFonts w:hint="default" w:ascii="Times New Roman" w:hAnsi="Times New Roman" w:eastAsia="宋体" w:cs="Times New Roman"/>
          <w:b w:val="0"/>
          <w:bCs w:val="0"/>
          <w:i w:val="0"/>
          <w:iCs/>
          <w:color w:val="auto"/>
          <w:sz w:val="24"/>
          <w:szCs w:val="24"/>
          <w:highlight w:val="none"/>
          <w:u w:val="single"/>
          <w:lang w:eastAsia="zh-CN"/>
        </w:rPr>
        <w:t>（本文件所称</w:t>
      </w:r>
      <w:r>
        <w:rPr>
          <w:rFonts w:hint="eastAsia" w:ascii="Times New Roman" w:hAnsi="Times New Roman" w:eastAsia="宋体" w:cs="Times New Roman"/>
          <w:b w:val="0"/>
          <w:bCs w:val="0"/>
          <w:i w:val="0"/>
          <w:iCs/>
          <w:color w:val="auto"/>
          <w:sz w:val="24"/>
          <w:szCs w:val="24"/>
          <w:highlight w:val="none"/>
          <w:u w:val="single"/>
          <w:lang w:eastAsia="zh-CN"/>
        </w:rPr>
        <w:t>“</w:t>
      </w:r>
      <w:r>
        <w:rPr>
          <w:rFonts w:hint="default" w:ascii="Times New Roman" w:hAnsi="Times New Roman" w:eastAsia="宋体" w:cs="Times New Roman"/>
          <w:b w:val="0"/>
          <w:bCs w:val="0"/>
          <w:i w:val="0"/>
          <w:iCs/>
          <w:color w:val="auto"/>
          <w:sz w:val="24"/>
          <w:szCs w:val="24"/>
          <w:highlight w:val="none"/>
          <w:u w:val="single"/>
          <w:lang w:eastAsia="zh-CN"/>
        </w:rPr>
        <w:t>中标节能率</w:t>
      </w:r>
      <w:r>
        <w:rPr>
          <w:rFonts w:hint="eastAsia" w:ascii="Times New Roman" w:hAnsi="Times New Roman" w:eastAsia="宋体" w:cs="Times New Roman"/>
          <w:b w:val="0"/>
          <w:bCs w:val="0"/>
          <w:i w:val="0"/>
          <w:iCs/>
          <w:color w:val="auto"/>
          <w:sz w:val="24"/>
          <w:szCs w:val="24"/>
          <w:highlight w:val="none"/>
          <w:u w:val="single"/>
          <w:lang w:eastAsia="zh-CN"/>
        </w:rPr>
        <w:t>”“</w:t>
      </w:r>
      <w:r>
        <w:rPr>
          <w:rFonts w:hint="default" w:ascii="Times New Roman" w:hAnsi="Times New Roman" w:eastAsia="宋体" w:cs="Times New Roman"/>
          <w:b w:val="0"/>
          <w:bCs w:val="0"/>
          <w:i w:val="0"/>
          <w:iCs/>
          <w:color w:val="auto"/>
          <w:sz w:val="24"/>
          <w:szCs w:val="24"/>
          <w:highlight w:val="none"/>
          <w:u w:val="single"/>
          <w:lang w:eastAsia="zh-CN"/>
        </w:rPr>
        <w:t>承诺节能率</w:t>
      </w:r>
      <w:r>
        <w:rPr>
          <w:rFonts w:hint="eastAsia" w:ascii="Times New Roman" w:hAnsi="Times New Roman" w:eastAsia="宋体" w:cs="Times New Roman"/>
          <w:b w:val="0"/>
          <w:bCs w:val="0"/>
          <w:i w:val="0"/>
          <w:iCs/>
          <w:color w:val="auto"/>
          <w:sz w:val="24"/>
          <w:szCs w:val="24"/>
          <w:highlight w:val="none"/>
          <w:u w:val="single"/>
          <w:lang w:eastAsia="zh-CN"/>
        </w:rPr>
        <w:t>”</w:t>
      </w:r>
      <w:r>
        <w:rPr>
          <w:rFonts w:hint="default" w:ascii="Times New Roman" w:hAnsi="Times New Roman" w:eastAsia="宋体" w:cs="Times New Roman"/>
          <w:b w:val="0"/>
          <w:bCs w:val="0"/>
          <w:i w:val="0"/>
          <w:iCs/>
          <w:color w:val="auto"/>
          <w:sz w:val="24"/>
          <w:szCs w:val="24"/>
          <w:highlight w:val="none"/>
          <w:u w:val="single"/>
          <w:lang w:eastAsia="zh-CN"/>
        </w:rPr>
        <w:t>，均指投标人《综合节能率承诺书》中承诺的年度综合节能率，且不低于8%。）</w:t>
      </w:r>
    </w:p>
    <w:p w14:paraId="003470EB">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 w:val="0"/>
          <w:bCs w:val="0"/>
          <w:i w:val="0"/>
          <w:iCs/>
          <w:color w:val="auto"/>
          <w:sz w:val="24"/>
          <w:szCs w:val="24"/>
          <w:highlight w:val="none"/>
          <w:u w:val="single"/>
        </w:rPr>
      </w:pPr>
      <w:r>
        <w:rPr>
          <w:rFonts w:hint="default" w:ascii="Times New Roman" w:hAnsi="Times New Roman" w:eastAsia="宋体" w:cs="Times New Roman"/>
          <w:b w:val="0"/>
          <w:bCs w:val="0"/>
          <w:i w:val="0"/>
          <w:iCs/>
          <w:color w:val="auto"/>
          <w:sz w:val="24"/>
          <w:szCs w:val="24"/>
          <w:highlight w:val="none"/>
          <w:u w:val="single"/>
        </w:rPr>
        <w:t>26.1.2</w:t>
      </w:r>
      <w:r>
        <w:rPr>
          <w:rFonts w:hint="eastAsia" w:ascii="Times New Roman" w:hAnsi="Times New Roman" w:eastAsia="宋体" w:cs="Times New Roman"/>
          <w:b w:val="0"/>
          <w:bCs w:val="0"/>
          <w:i w:val="0"/>
          <w:iCs/>
          <w:color w:val="auto"/>
          <w:sz w:val="24"/>
          <w:szCs w:val="24"/>
          <w:highlight w:val="none"/>
          <w:u w:val="single"/>
          <w:lang w:val="en-US" w:eastAsia="zh-CN"/>
        </w:rPr>
        <w:t>5</w:t>
      </w:r>
      <w:r>
        <w:rPr>
          <w:rFonts w:hint="default" w:ascii="Times New Roman" w:hAnsi="Times New Roman" w:eastAsia="宋体" w:cs="Times New Roman"/>
          <w:b w:val="0"/>
          <w:bCs w:val="0"/>
          <w:i w:val="0"/>
          <w:iCs/>
          <w:color w:val="auto"/>
          <w:sz w:val="24"/>
          <w:szCs w:val="24"/>
          <w:highlight w:val="none"/>
          <w:u w:val="single"/>
        </w:rPr>
        <w:t>投标人未按招标文件第六章规定格式提供《节能改造实施承诺书》并作出有效承诺的。</w:t>
      </w:r>
    </w:p>
    <w:p w14:paraId="44C61376">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 w:val="0"/>
          <w:bCs w:val="0"/>
          <w:i w:val="0"/>
          <w:iCs/>
          <w:color w:val="auto"/>
          <w:sz w:val="24"/>
          <w:szCs w:val="24"/>
          <w:highlight w:val="none"/>
          <w:u w:val="single"/>
          <w:lang w:val="en-US" w:eastAsia="zh-CN"/>
        </w:rPr>
      </w:pPr>
      <w:r>
        <w:rPr>
          <w:rFonts w:hint="eastAsia" w:ascii="Times New Roman" w:hAnsi="Times New Roman" w:eastAsia="宋体" w:cs="Times New Roman"/>
          <w:b w:val="0"/>
          <w:bCs w:val="0"/>
          <w:i w:val="0"/>
          <w:iCs/>
          <w:color w:val="auto"/>
          <w:sz w:val="24"/>
          <w:szCs w:val="24"/>
          <w:highlight w:val="none"/>
          <w:u w:val="single"/>
          <w:lang w:val="en-US" w:eastAsia="zh-CN"/>
        </w:rPr>
        <w:t>26.1.26</w:t>
      </w:r>
      <w:r>
        <w:rPr>
          <w:rFonts w:hint="eastAsia" w:ascii="Times New Roman" w:hAnsi="Times New Roman" w:eastAsia="宋体" w:cs="Times New Roman"/>
          <w:color w:val="auto"/>
          <w:sz w:val="24"/>
          <w:szCs w:val="24"/>
          <w:highlight w:val="none"/>
          <w:u w:val="single"/>
          <w:lang w:val="en-US" w:eastAsia="zh-CN"/>
        </w:rPr>
        <w:t>泰州市能源管理“一张网”平台</w:t>
      </w:r>
      <w:r>
        <w:rPr>
          <w:rFonts w:hint="eastAsia" w:ascii="Times New Roman" w:hAnsi="Times New Roman" w:eastAsia="宋体" w:cs="Times New Roman"/>
          <w:b w:val="0"/>
          <w:bCs w:val="0"/>
          <w:i w:val="0"/>
          <w:iCs/>
          <w:color w:val="auto"/>
          <w:sz w:val="24"/>
          <w:szCs w:val="24"/>
          <w:highlight w:val="none"/>
          <w:u w:val="single"/>
          <w:lang w:val="en-US" w:eastAsia="zh-CN"/>
        </w:rPr>
        <w:t>须满足信息系统安全等级保护第三级要求，投标供应商须在响应文件中以自拟格式承诺平台通过第三方机构测评，并承诺在平台托管期间，如相关政府部门提出安全管理和信创适配要求，将积极配合完成安全和信创适配整改，同时按自拟格式提供相应承诺书；未按上述要求提供承诺或承诺内容未实质性响应采购文件的，均视为未响应采购文件的实质性要求，其投标作无效投标处理。</w:t>
      </w:r>
    </w:p>
    <w:p w14:paraId="5256D75F">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26.2废标条款</w:t>
      </w:r>
    </w:p>
    <w:p w14:paraId="56050ED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26.2.1符合专业条件的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或者对招标文件作实质响应的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不足三家的。</w:t>
      </w:r>
    </w:p>
    <w:p w14:paraId="6891420F">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26.2.2出现影响采购公正性的违法、违规行为的。</w:t>
      </w:r>
    </w:p>
    <w:p w14:paraId="27A01E87">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26.2.3因重大变故，采购任务取消的。</w:t>
      </w:r>
    </w:p>
    <w:p w14:paraId="44BFFC2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26.2.4评标委员会认定招标文件存在歧义、重大缺陷导致评审工作无法进行。</w:t>
      </w:r>
    </w:p>
    <w:p w14:paraId="14395F9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26.2.5因苏采云系统故障原因造成开标不成功的。</w:t>
      </w:r>
    </w:p>
    <w:p w14:paraId="78146A75">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26.3投标截止时间结束后参加投标的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不足三家的处理：</w:t>
      </w:r>
    </w:p>
    <w:p w14:paraId="42450576">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26.3.1如出现投标截止时间结束后参加投标的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或者在评标期间对招标文件作出实质响应的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不足三家的情况，按政府采购相关规定执行。</w:t>
      </w:r>
      <w:bookmarkStart w:id="161" w:name="_Toc120614219"/>
    </w:p>
    <w:p w14:paraId="6CEF5C8D">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六、定标</w:t>
      </w:r>
      <w:bookmarkEnd w:id="161"/>
      <w:bookmarkStart w:id="162" w:name="_Toc16938554"/>
      <w:bookmarkEnd w:id="162"/>
      <w:bookmarkStart w:id="163" w:name="_Toc513029238"/>
      <w:bookmarkEnd w:id="163"/>
      <w:bookmarkStart w:id="164" w:name="_Toc20823310"/>
    </w:p>
    <w:p w14:paraId="35BE818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w:t>
      </w:r>
      <w:bookmarkEnd w:id="164"/>
      <w:r>
        <w:rPr>
          <w:rFonts w:hint="default" w:ascii="Times New Roman" w:hAnsi="Times New Roman" w:eastAsia="宋体" w:cs="Times New Roman"/>
          <w:color w:val="auto"/>
          <w:sz w:val="24"/>
          <w:szCs w:val="24"/>
          <w:highlight w:val="none"/>
        </w:rPr>
        <w:t>确定中标人</w:t>
      </w:r>
    </w:p>
    <w:p w14:paraId="687B54D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27.1中标候选人的选取原则和数量见招标文件第</w:t>
      </w:r>
      <w:r>
        <w:rPr>
          <w:rFonts w:hint="eastAsia" w:ascii="Times New Roman" w:hAnsi="Times New Roman" w:eastAsia="宋体" w:cs="Times New Roman"/>
          <w:color w:val="auto"/>
          <w:sz w:val="24"/>
          <w:szCs w:val="24"/>
          <w:highlight w:val="none"/>
          <w:lang w:val="en-US" w:eastAsia="zh-CN"/>
        </w:rPr>
        <w:t>四</w:t>
      </w:r>
      <w:r>
        <w:rPr>
          <w:rFonts w:hint="default" w:ascii="Times New Roman" w:hAnsi="Times New Roman" w:eastAsia="宋体" w:cs="Times New Roman"/>
          <w:color w:val="auto"/>
          <w:sz w:val="24"/>
          <w:szCs w:val="24"/>
          <w:highlight w:val="none"/>
        </w:rPr>
        <w:t>章规定。</w:t>
      </w:r>
    </w:p>
    <w:p w14:paraId="5E724BD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27.2采购人应根据评委会推荐的中标候选人确定中标人。</w:t>
      </w:r>
    </w:p>
    <w:p w14:paraId="61D4567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27.3采购人将在“江苏政府采购网”发布中标公告，公告期限为1个工作日。</w:t>
      </w:r>
    </w:p>
    <w:p w14:paraId="2A06DC0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27.4若有充分证据证明，中标人出现下列情况之一的，一经查实，将被取消中标资格：</w:t>
      </w:r>
    </w:p>
    <w:p w14:paraId="643360C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27.4.1提供虚假材料谋取中标的。</w:t>
      </w:r>
    </w:p>
    <w:p w14:paraId="22150F5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27.4.2向采购人、采购代理机构行贿或者提供其他不正当利益的。</w:t>
      </w:r>
    </w:p>
    <w:p w14:paraId="1CFA039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27.4.3属于本文件规定的无效条件，但在评标过程中又未被评委会发现的。</w:t>
      </w:r>
    </w:p>
    <w:p w14:paraId="3E67F41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27.4.4与采购人或者其他</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恶意串通的。</w:t>
      </w:r>
    </w:p>
    <w:p w14:paraId="350D1B4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27.4.5采取不正当手段诋毁、排挤其他</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w:t>
      </w:r>
    </w:p>
    <w:p w14:paraId="52DD7B91">
      <w:pPr>
        <w:keepNext/>
        <w:keepLines/>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28.质疑处理</w:t>
      </w:r>
    </w:p>
    <w:p w14:paraId="15DA49A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28.1提出质疑的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应当是参与所质疑项目采购活动的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。潜在</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依法获取其可质疑的采购文件的，可以对采购文件提出质疑。</w:t>
      </w:r>
    </w:p>
    <w:p w14:paraId="7248A60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28.2</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p>
    <w:p w14:paraId="6815EE8C">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28.2.1对可以质疑的采购文件提出质疑的，为收到采购文件之日或者采购文件公告期限届满之日；</w:t>
      </w:r>
    </w:p>
    <w:p w14:paraId="2C6D5DE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28.2.2对采购过程提出质疑的，为各采购程序环节结束之日；</w:t>
      </w:r>
    </w:p>
    <w:p w14:paraId="7AB7659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28.2.3对中标或者成交结果提出质疑的，为中标或者成交结果公告期限届满之日。</w:t>
      </w:r>
    </w:p>
    <w:p w14:paraId="68C13E6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应当在法定质疑期内一次性提出针对同一采购程序环节的质疑。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如在法定期限内对同一采购程序环节提出多次质疑的，采购人将只对</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的第一次质疑作出答复。</w:t>
      </w:r>
    </w:p>
    <w:p w14:paraId="5884BD1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28.3质疑函必须按照本招标文件中《质疑函范本》要求的格式和内容进行填写。</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如组成联合体参加投标，则《质疑函范本》中要求签字、盖章、加盖公章之处，联合体各方均须按要求签字、盖章、加盖公章。</w:t>
      </w:r>
    </w:p>
    <w:p w14:paraId="77568E2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28.4采购人及采购代理机构只接受以纸质原件形式送达的质疑。质疑接收人及联系方式见招标文件第一章。</w:t>
      </w:r>
    </w:p>
    <w:p w14:paraId="4E98E2A9">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28.5以下情形的质疑不予受理</w:t>
      </w:r>
    </w:p>
    <w:p w14:paraId="5A3C3B8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28.5.1内容不符合《政府采购质疑和投诉办法》第十二条规定的质疑。</w:t>
      </w:r>
    </w:p>
    <w:p w14:paraId="53C52EA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28.5.2超出政府采购法定期限的质疑。</w:t>
      </w:r>
    </w:p>
    <w:p w14:paraId="4E9B400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28.5.3以传真、电子邮件等方式递交的非原件形式的质疑。</w:t>
      </w:r>
    </w:p>
    <w:p w14:paraId="34F4A02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28.5.4未参加投标活动的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或在投标活动中自身权益未受到损害的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所提出的质疑。</w:t>
      </w:r>
    </w:p>
    <w:p w14:paraId="27B05D1F">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28.5.5</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组成联合体参加投标，联合体中任何一方或多方未按要求签字、盖章、加盖公章的质疑。</w:t>
      </w:r>
    </w:p>
    <w:p w14:paraId="33F13226">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28.6</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提出书面质疑必须有理、有据，不得捏造事实、提供虚假材料进行恶意质疑。否则，一经查实，采购人有权依据政府采购的有关规定，报请政府采购监管部门对该</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进行相应的行政处罚和记录该</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的失信信息。</w:t>
      </w:r>
    </w:p>
    <w:p w14:paraId="471DA502">
      <w:pPr>
        <w:keepNext/>
        <w:keepLines/>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29.中标通知书</w:t>
      </w:r>
    </w:p>
    <w:p w14:paraId="5750295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29.</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94E28B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067C22D0">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bookmarkStart w:id="165" w:name="_Toc120614220"/>
      <w:bookmarkEnd w:id="165"/>
      <w:bookmarkStart w:id="166" w:name="_Toc513029236"/>
      <w:bookmarkEnd w:id="166"/>
      <w:bookmarkStart w:id="167" w:name="_Toc20823308"/>
      <w:bookmarkEnd w:id="167"/>
      <w:bookmarkStart w:id="168" w:name="_Toc16938552"/>
      <w:r>
        <w:rPr>
          <w:rFonts w:hint="default" w:ascii="Times New Roman" w:hAnsi="Times New Roman" w:eastAsia="宋体" w:cs="Times New Roman"/>
          <w:b/>
          <w:bCs/>
          <w:color w:val="auto"/>
          <w:sz w:val="24"/>
          <w:szCs w:val="24"/>
          <w:highlight w:val="none"/>
        </w:rPr>
        <w:t>七、授予合同</w:t>
      </w:r>
      <w:bookmarkEnd w:id="168"/>
    </w:p>
    <w:p w14:paraId="6350397C">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bookmarkStart w:id="169" w:name="_Toc513029237"/>
      <w:bookmarkEnd w:id="169"/>
      <w:bookmarkStart w:id="170" w:name="_Toc20823309"/>
      <w:bookmarkEnd w:id="170"/>
      <w:bookmarkStart w:id="171" w:name="_Toc16938553"/>
      <w:r>
        <w:rPr>
          <w:rFonts w:hint="default" w:ascii="Times New Roman" w:hAnsi="Times New Roman" w:eastAsia="宋体" w:cs="Times New Roman"/>
          <w:color w:val="auto"/>
          <w:sz w:val="24"/>
          <w:szCs w:val="24"/>
          <w:highlight w:val="none"/>
        </w:rPr>
        <w:t>30.签订合同</w:t>
      </w:r>
      <w:bookmarkEnd w:id="171"/>
    </w:p>
    <w:p w14:paraId="17BA458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30.</w:t>
      </w:r>
      <w:r>
        <w:rPr>
          <w:rFonts w:hint="default"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rPr>
        <w:t>中标人应当在中标通知书发出之日起三十日内，按照招标文件确定的事项与采购人签订政府采购合同。</w:t>
      </w:r>
    </w:p>
    <w:p w14:paraId="600A3311">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30.2招标文件、中标人的投标文件及招标过程中有关澄清、承诺文件均应作为合同附件。</w:t>
      </w:r>
    </w:p>
    <w:p w14:paraId="02560A0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30.3履约保证金：本项目不收取履约保证金。</w:t>
      </w:r>
    </w:p>
    <w:p w14:paraId="39CAF214">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color w:val="auto"/>
          <w:sz w:val="24"/>
          <w:szCs w:val="24"/>
          <w:highlight w:val="none"/>
        </w:rPr>
        <w:t>30.4签订合同后，中标人不得将合同标的进行转包。未经采购人同意，中标人也不得采用分包的形式履行合同，否则采购人有权终止合同。转包或分包造成采购人损失的，中标人应承担相应赔偿责任。</w:t>
      </w:r>
    </w:p>
    <w:p w14:paraId="39B5ACB4">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31.服务（包含与服务相关的货物）的追加</w:t>
      </w:r>
    </w:p>
    <w:p w14:paraId="09AF522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bookmarkStart w:id="172" w:name="_Toc479757207"/>
      <w:bookmarkEnd w:id="172"/>
      <w:bookmarkStart w:id="173" w:name="_Toc120614221"/>
      <w:bookmarkEnd w:id="173"/>
      <w:bookmarkStart w:id="174" w:name="_Toc16938558"/>
      <w:bookmarkEnd w:id="174"/>
      <w:bookmarkStart w:id="175" w:name="_Toc513029242"/>
      <w:bookmarkEnd w:id="175"/>
      <w:bookmarkStart w:id="176" w:name="_Toc20823314"/>
    </w:p>
    <w:p w14:paraId="25EF7710">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32.政府采购履约资金扶持政策</w:t>
      </w:r>
      <w:bookmarkEnd w:id="176"/>
    </w:p>
    <w:p w14:paraId="6EB772EE">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32.1</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可凭政府采购合同办理融资贷款，详情请见江苏政府采购网“政采贷”专栏。</w:t>
      </w:r>
    </w:p>
    <w:p w14:paraId="0EC117AA">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32.2本项目支持鼓励</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使用电子保函（保险）代替其他非现金方式缴纳履约保证金，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可充分依托江苏省“政府采购电子履约保函（保险）平台”查询相关保函（保单）信息、理赔信息和开具发票，采购人及采购代理机构不得差别对待使用电子保函（保险）参与投标的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，不得以指定、授意、暗示等方式，干预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自主选择开具电子保函的金融机构。</w:t>
      </w:r>
    </w:p>
    <w:p w14:paraId="20B58A55">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bookmarkStart w:id="177" w:name="_Toc20823346"/>
      <w:bookmarkEnd w:id="177"/>
      <w:bookmarkStart w:id="178" w:name="_Hlt16619369"/>
      <w:bookmarkEnd w:id="178"/>
      <w:bookmarkStart w:id="179" w:name="_Toc462564139"/>
      <w:bookmarkEnd w:id="179"/>
      <w:bookmarkStart w:id="180" w:name="_Hlt16619350"/>
      <w:bookmarkEnd w:id="180"/>
      <w:bookmarkStart w:id="181" w:name="_Toc16938590"/>
      <w:bookmarkEnd w:id="181"/>
      <w:bookmarkStart w:id="182" w:name="_Toc120614244"/>
      <w:bookmarkEnd w:id="182"/>
      <w:bookmarkStart w:id="183" w:name="_Toc479757211"/>
    </w:p>
    <w:p w14:paraId="6F88B3D8">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bCs/>
          <w:color w:val="auto"/>
          <w:sz w:val="24"/>
          <w:szCs w:val="24"/>
          <w:highlight w:val="none"/>
        </w:rPr>
        <w:t>八、</w:t>
      </w:r>
      <w:r>
        <w:rPr>
          <w:rFonts w:hint="default" w:ascii="Times New Roman" w:hAnsi="Times New Roman" w:eastAsia="宋体" w:cs="Times New Roman"/>
          <w:b/>
          <w:color w:val="auto"/>
          <w:sz w:val="24"/>
          <w:highlight w:val="none"/>
        </w:rPr>
        <w:t>政府采购政策功能落实</w:t>
      </w:r>
    </w:p>
    <w:p w14:paraId="6A6864E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33.1中小企业政策</w:t>
      </w:r>
    </w:p>
    <w:p w14:paraId="41F48A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本项目按</w:t>
      </w:r>
      <w:r>
        <w:rPr>
          <w:rFonts w:hint="default" w:ascii="Times New Roman" w:hAnsi="Times New Roman" w:eastAsia="宋体" w:cs="Times New Roman"/>
          <w:b/>
          <w:bCs/>
          <w:color w:val="auto"/>
          <w:sz w:val="24"/>
          <w:szCs w:val="24"/>
          <w:highlight w:val="none"/>
        </w:rPr>
        <w:t>第</w:t>
      </w:r>
      <w:r>
        <w:rPr>
          <w:rFonts w:hint="default" w:ascii="Times New Roman" w:hAnsi="Times New Roman" w:eastAsia="宋体" w:cs="Times New Roman"/>
          <w:b/>
          <w:bCs/>
          <w:color w:val="auto"/>
          <w:sz w:val="24"/>
          <w:szCs w:val="24"/>
          <w:highlight w:val="none"/>
          <w:u w:val="single"/>
        </w:rPr>
        <w:t>（2）</w:t>
      </w:r>
      <w:r>
        <w:rPr>
          <w:rFonts w:hint="default" w:ascii="Times New Roman" w:hAnsi="Times New Roman" w:eastAsia="宋体" w:cs="Times New Roman"/>
          <w:b/>
          <w:bCs/>
          <w:color w:val="auto"/>
          <w:sz w:val="24"/>
          <w:szCs w:val="24"/>
          <w:highlight w:val="none"/>
        </w:rPr>
        <w:t>种</w:t>
      </w:r>
      <w:r>
        <w:rPr>
          <w:rFonts w:hint="default" w:ascii="Times New Roman" w:hAnsi="Times New Roman" w:eastAsia="宋体" w:cs="Times New Roman"/>
          <w:color w:val="auto"/>
          <w:sz w:val="24"/>
          <w:szCs w:val="24"/>
          <w:highlight w:val="none"/>
        </w:rPr>
        <w:t>政策落实：</w:t>
      </w:r>
    </w:p>
    <w:p w14:paraId="5D7319E2">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（1）本项目专门面向中小企业（含监狱与戒毒企业、残疾人福利企业）采购。</w:t>
      </w:r>
    </w:p>
    <w:p w14:paraId="23B4DFD3">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（2）对符合规定情形的小微企业报价给予 10% 扣除，用扣除后的价格参加评审。</w:t>
      </w:r>
    </w:p>
    <w:p w14:paraId="6CFB6AA1">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04369F8C">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p>
    <w:p w14:paraId="3E93777B">
      <w:pPr>
        <w:keepNext/>
        <w:keepLines/>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参加投标的残疾人福利性单位，视同小型、微型企业。残疾人福利性单位应当按照《财政部民政部中国残疾人联合会关于促进残疾人就业政府采购政策的通知》（财库〔2017〕141号）的规定，提供《残疾人福利性单位声明函》。</w:t>
      </w:r>
    </w:p>
    <w:p w14:paraId="3A5B77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注：残疾人福利单位、监狱企业属于小型、微型企业的，不重复享受政策。</w:t>
      </w:r>
    </w:p>
    <w:p w14:paraId="61FCF2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default"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%的扣除，用扣除后的价格参加评审。</w:t>
      </w:r>
    </w:p>
    <w:p w14:paraId="3FED52E8">
      <w:pPr>
        <w:keepNext w:val="0"/>
        <w:keepLines w:val="0"/>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33.2节能产品、环境标志产品</w:t>
      </w:r>
    </w:p>
    <w:p w14:paraId="0E926C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224C77F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33.2.1拟采购的产品属于政府强制采购的节能产品品目清单范围的，投标人须提供国家确定的认证机构出具的、处于有效期之内的节能产品认证证书，否则其投标文件作无效标处理。</w:t>
      </w:r>
    </w:p>
    <w:p w14:paraId="6AA286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33.2.2采购人</w:t>
      </w:r>
      <w:r>
        <w:rPr>
          <w:rFonts w:hint="default" w:ascii="Times New Roman" w:hAnsi="Times New Roman" w:eastAsia="宋体" w:cs="Times New Roman"/>
          <w:color w:val="auto"/>
          <w:sz w:val="24"/>
          <w:szCs w:val="24"/>
          <w:highlight w:val="none"/>
          <w:lang w:val="en-US" w:eastAsia="zh-CN" w:bidi="ar-SA"/>
        </w:rPr>
        <w:t>拟采购的产品属于优先采购的节能环保品目清单范围的，采购人将依据国家确定的认证机构出具的、处于有效期之内的节能产品、环境标志产品认证证书实施政府优先采购。本项目采用综合评分法评审，不另行设置节能环保产品加分项。</w:t>
      </w:r>
    </w:p>
    <w:p w14:paraId="49013ABA">
      <w:pPr>
        <w:keepNext w:val="0"/>
        <w:keepLines w:val="0"/>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b/>
          <w:bCs/>
          <w:color w:val="auto"/>
          <w:sz w:val="24"/>
          <w:highlight w:val="none"/>
        </w:rPr>
        <w:t>33.3政府采购需求标准</w:t>
      </w:r>
    </w:p>
    <w:p w14:paraId="4F36CB7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33.3.1商品包装、快递包装政府采购需求标准（试行）</w:t>
      </w:r>
    </w:p>
    <w:p w14:paraId="04292CB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按照财政部印发的《商品包装政府采购需求标准（试行）</w:t>
      </w:r>
      <w:r>
        <w:rPr>
          <w:rFonts w:hint="eastAsia" w:ascii="Times New Roman" w:hAnsi="Times New Roman" w:eastAsia="宋体" w:cs="Times New Roman"/>
          <w:color w:val="auto"/>
          <w:sz w:val="24"/>
          <w:szCs w:val="24"/>
          <w:highlight w:val="none"/>
          <w:lang w:eastAsia="zh-CN"/>
        </w:rPr>
        <w:t>》和</w:t>
      </w:r>
      <w:r>
        <w:rPr>
          <w:rFonts w:hint="default" w:ascii="Times New Roman" w:hAnsi="Times New Roman" w:eastAsia="宋体" w:cs="Times New Roman"/>
          <w:color w:val="auto"/>
          <w:sz w:val="24"/>
          <w:szCs w:val="24"/>
          <w:highlight w:val="none"/>
        </w:rPr>
        <w:t>《快递包装政府采购需求标准（试行）》要求执行。</w:t>
      </w:r>
    </w:p>
    <w:p w14:paraId="3AA43135">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33.3.2绿色数据中心政府采购需求标准（试行）</w:t>
      </w:r>
    </w:p>
    <w:p w14:paraId="582875CA">
      <w:pPr>
        <w:keepNext w:val="0"/>
        <w:keepLines w:val="0"/>
        <w:pageBreakBefore w:val="0"/>
        <w:widowControl w:val="0"/>
        <w:tabs>
          <w:tab w:val="left" w:pos="52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按照财政部生态环境部工业和信息化部关于印发《绿色数据中心政府采购需求标准（试行）》的通知要求执行。</w:t>
      </w:r>
    </w:p>
    <w:p w14:paraId="233BA41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33.3.3</w:t>
      </w:r>
      <w:r>
        <w:rPr>
          <w:rFonts w:hint="default" w:ascii="Times New Roman" w:hAnsi="Times New Roman" w:eastAsia="宋体" w:cs="Times New Roman"/>
          <w:bCs/>
          <w:color w:val="auto"/>
          <w:sz w:val="24"/>
          <w:szCs w:val="24"/>
          <w:highlight w:val="none"/>
        </w:rPr>
        <w:t>绿色采购</w:t>
      </w:r>
    </w:p>
    <w:p w14:paraId="4213F5A7">
      <w:pPr>
        <w:keepNext w:val="0"/>
        <w:keepLines w:val="0"/>
        <w:pageBreakBefore w:val="0"/>
        <w:widowControl w:val="0"/>
        <w:tabs>
          <w:tab w:val="left" w:pos="525"/>
          <w:tab w:val="left" w:pos="945"/>
        </w:tabs>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根据《关于调整优化节能产品、环境标志产品政府采购执行机制的通知》</w:t>
      </w:r>
    </w:p>
    <w:p w14:paraId="12C3F0F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（财库〔2019〕9号）等相关文件的规定，对属于《节能产品政府采购品目清单》中强制采购范围内产品的，</w:t>
      </w:r>
      <w:r>
        <w:rPr>
          <w:rFonts w:hint="eastAsia"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bCs/>
          <w:color w:val="auto"/>
          <w:sz w:val="24"/>
          <w:szCs w:val="24"/>
          <w:highlight w:val="none"/>
        </w:rPr>
        <w:t>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p>
    <w:p w14:paraId="01FF2F43">
      <w:pPr>
        <w:keepNext w:val="0"/>
        <w:keepLines w:val="0"/>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33.4采购本国产品的支持政策</w:t>
      </w:r>
    </w:p>
    <w:p w14:paraId="35C4CB6C">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9BCBCE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8A81CD9">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33.4.3本项目政府采购活动中既有本国产品又有非本国产品参与竞争的，依法对本国产品给予价格评审优惠，对本国产品的报价给予20%的价格扣除，用扣除后的价格参与评审。</w:t>
      </w:r>
    </w:p>
    <w:p w14:paraId="2467816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33.4.4当采购项目或者采购包中含有多种产品，</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为该采购项目或者采购包提供的符合本国产品标准的产品成本之和占该</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提供的全部产品成本之和的比例达到80%以上时，依法对该</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提供的全部产品给予价格评审优惠，即对该</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提供的全部产品的总报价给予20%的价格扣除，用扣除后的价格参与评审。</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未填写比例数值，或比例数值未达到80%的，将不享受本国产品价格评审优惠。</w:t>
      </w:r>
    </w:p>
    <w:p w14:paraId="31DB4A32">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33.4.5</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需按照招标文件的要求提供《关于符合本国产品标准的声明函》（以下简称《声明函》），如不提供将不享受本国产品价格评审优惠。</w:t>
      </w:r>
    </w:p>
    <w:p w14:paraId="44BA1F7A">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33.4.6</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需在《声明函》中逐一、准确填写产品名称、厂名、生产厂址三项信息（《声明函》中用斜线划除的地方无需填写），三项信息中任意一项未填写的视为该项产品不符合本国产品标准，不享受本国产品价格评审优惠。</w:t>
      </w:r>
    </w:p>
    <w:p w14:paraId="335677D1">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33.4.7评标过程中，如发现</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在《声明函》内容含义不明确、同类事项与投标（响应）文件表述不一致或者有明显文字错误等情况的，评标委员会应当以书面形式要求</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作出必要的澄清、说明或者补正。经澄清、说明或者补正的《声明函》仍然不符合《国务院办公厅关于在政府采购中实施本国产品标准及相关政策的通知》（国办发〔2025〕34号）、</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财库〔2025〕30号）及招标文件规定的，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提供的相关产品视为不符合本国产品标准。</w:t>
      </w:r>
    </w:p>
    <w:p w14:paraId="173F675E">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33.4.8本项目仅采购本国服务。</w:t>
      </w:r>
    </w:p>
    <w:p w14:paraId="766D3DD6">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33.5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p>
    <w:p w14:paraId="56FE796F">
      <w:pPr>
        <w:keepNext w:val="0"/>
        <w:keepLines w:val="0"/>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33.6中标</w:t>
      </w:r>
      <w:r>
        <w:rPr>
          <w:rFonts w:hint="eastAsia" w:ascii="Times New Roman" w:hAnsi="Times New Roman" w:eastAsia="宋体" w:cs="Times New Roman"/>
          <w:color w:val="auto"/>
          <w:sz w:val="24"/>
          <w:szCs w:val="24"/>
          <w:highlight w:val="none"/>
          <w:lang w:val="en-US" w:eastAsia="zh-CN"/>
        </w:rPr>
        <w:t>人</w:t>
      </w:r>
      <w:r>
        <w:rPr>
          <w:rFonts w:hint="default" w:ascii="Times New Roman" w:hAnsi="Times New Roman" w:eastAsia="宋体" w:cs="Times New Roman"/>
          <w:color w:val="auto"/>
          <w:sz w:val="24"/>
          <w:szCs w:val="24"/>
          <w:highlight w:val="none"/>
        </w:rPr>
        <w:t>可凭政府采购合同办理融资贷款，详情详见江苏政府采购网“政采贷”专栏。</w:t>
      </w:r>
    </w:p>
    <w:p w14:paraId="50A1DF20">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九、启动异常低价投标（响应）审查的情形和具体要求</w:t>
      </w:r>
    </w:p>
    <w:p w14:paraId="6CF9AB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34.根据财库〔2026〕2号《财政部关于推动解决政府采购异常低价问题的通知》文件要求，政府采购评审中出现下列情形之一的，评审委员会应当启动异常低价投标（响应）审查程序：</w:t>
      </w:r>
    </w:p>
    <w:p w14:paraId="413689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（1）投标（响应）报价低于全部通过符合性审查</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投标（响应）报价平均值50%的，即投标（响应）报价&lt;全部通过符合性审查</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投标（响应）报价平均值×50%；</w:t>
      </w:r>
    </w:p>
    <w:p w14:paraId="6449A2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（2）投标（响应）报价低于通过符合性审查的次低报价</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投标（响应）报价50%的，即投标（响应）报价&lt;通过符合性审查的次低报价</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投标（响应）报价×50%；</w:t>
      </w:r>
    </w:p>
    <w:p w14:paraId="77FB36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（3）投标（响应）报价低于采购项目最高限价45%的，即投标（响应）报价&lt;采购项目最高限价×45%；</w:t>
      </w:r>
    </w:p>
    <w:p w14:paraId="7B57A0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（4）评标委员会基于专业判断，认为</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报价过低，有可能影响产品质量或者不能诚信履约的其他情形。</w:t>
      </w:r>
    </w:p>
    <w:p w14:paraId="6BC356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评审委员会启动异常低价投标（响应）审查后，属于前述第（1）项至第（4）项情形的，应当要求相关</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在评标现场合理的时间内对投标（响应）价格作出解释，提供项目具体成本测算等与报价合理性相关的书面说明及必要的证明材料，包括但不限于原材料成本、人工成本、制造费用等，给予相关</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的合理时间一般不少于30分钟。其中，属于第（3）项情形，</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已随投标（响应）文件一并提交相关书面说明及必要的证明材料的，在评标现场可不再重复提交。</w:t>
      </w:r>
    </w:p>
    <w:p w14:paraId="3FDEA9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w:t>
      </w:r>
      <w:r>
        <w:rPr>
          <w:rFonts w:hint="eastAsia" w:ascii="Times New Roman" w:hAnsi="Times New Roman" w:eastAsia="宋体" w:cs="Times New Roman"/>
          <w:color w:val="auto"/>
          <w:sz w:val="24"/>
          <w:szCs w:val="24"/>
          <w:highlight w:val="none"/>
          <w:lang w:eastAsia="zh-CN"/>
        </w:rPr>
        <w:t>人</w:t>
      </w:r>
      <w:r>
        <w:rPr>
          <w:rFonts w:hint="default" w:ascii="Times New Roman" w:hAnsi="Times New Roman" w:eastAsia="宋体" w:cs="Times New Roman"/>
          <w:color w:val="auto"/>
          <w:sz w:val="24"/>
          <w:szCs w:val="24"/>
          <w:highlight w:val="none"/>
        </w:rPr>
        <w:t>不能提供书面说明、证明材料，或者提供的书面说明、证明材料不能证明其报价合理性的，评审委员会应当将其作为无效投标（响应）处理。</w:t>
      </w:r>
    </w:p>
    <w:p w14:paraId="5C19F6C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p>
    <w:p w14:paraId="4AECA4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异常低价投标（响应）审查的启动原因、审查意见和审查结果应当在评标报告中记录，并随</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提供的相关书面说明及证明材料，以及评审委员会有关互联网浏览、查询历史一并归档。</w:t>
      </w:r>
    </w:p>
    <w:p w14:paraId="36E03CA9">
      <w:pPr>
        <w:keepNext/>
        <w:keepLines/>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十、其他事项</w:t>
      </w:r>
    </w:p>
    <w:p w14:paraId="5383EA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35.特别提醒：各投标人不得恶意低价投标，如因投标人恶意低价获得中标，在服务过程中无故放弃中标的，给采购人带来损失的，由</w:t>
      </w:r>
      <w:r>
        <w:rPr>
          <w:rFonts w:hint="eastAsia" w:ascii="Times New Roman" w:hAnsi="Times New Roman" w:eastAsia="宋体" w:cs="Times New Roman"/>
          <w:color w:val="auto"/>
          <w:sz w:val="24"/>
          <w:szCs w:val="24"/>
          <w:highlight w:val="none"/>
          <w:lang w:val="en-US" w:eastAsia="zh-CN"/>
        </w:rPr>
        <w:t>中标人</w:t>
      </w:r>
      <w:r>
        <w:rPr>
          <w:rFonts w:hint="default" w:ascii="Times New Roman" w:hAnsi="Times New Roman" w:eastAsia="宋体" w:cs="Times New Roman"/>
          <w:color w:val="auto"/>
          <w:sz w:val="24"/>
          <w:szCs w:val="24"/>
          <w:highlight w:val="none"/>
        </w:rPr>
        <w:t>承担赔偿责任。</w:t>
      </w:r>
    </w:p>
    <w:p w14:paraId="06BE5E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36.在发布中标公告之日起3日内，采购人有权对中标人的所有与评标有关证明材料原件（包括企业和人员相关证书、业绩、报告等）进行核查，中标人如有提供不实评审材料，弄虚作假者，取消中标资格，同时将报相关部门处理。</w:t>
      </w:r>
    </w:p>
    <w:p w14:paraId="5035CE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37.投标单位如有提供不实评审材料，弄虚作假者，一律作废标处理，该不良行为予以公示。</w:t>
      </w:r>
    </w:p>
    <w:p w14:paraId="3B4D51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38.</w:t>
      </w:r>
      <w:bookmarkStart w:id="184" w:name="_Hlk227146259"/>
      <w:r>
        <w:rPr>
          <w:rFonts w:hint="default" w:ascii="Times New Roman" w:hAnsi="Times New Roman" w:eastAsia="宋体" w:cs="Times New Roman"/>
          <w:color w:val="auto"/>
          <w:sz w:val="24"/>
          <w:szCs w:val="24"/>
          <w:highlight w:val="none"/>
        </w:rPr>
        <w:t>在本项目评审结束前，各投标人授权代表应保持手机畅通，如有必要需投标人针对自身投标文件进行澄清的，投标人应在第一时间配合评委会的询问进行澄清。未接电话或接到评委会澄清要求的投标人未按规定做出澄清的，其风险由投标人自行承担。</w:t>
      </w:r>
    </w:p>
    <w:p w14:paraId="2031AAE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39.投标保证金：依据苏财购〔2020〕52号文件精神，本项目免收投标保证金。</w:t>
      </w:r>
    </w:p>
    <w:p w14:paraId="2C757C4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val="0"/>
          <w:color w:val="auto"/>
          <w:sz w:val="24"/>
          <w:szCs w:val="24"/>
          <w:highlight w:val="none"/>
        </w:rPr>
      </w:pPr>
      <w:r>
        <w:rPr>
          <w:rFonts w:hint="default" w:ascii="Times New Roman" w:hAnsi="Times New Roman" w:eastAsia="宋体" w:cs="Times New Roman"/>
          <w:b w:val="0"/>
          <w:bCs w:val="0"/>
          <w:color w:val="auto"/>
          <w:sz w:val="24"/>
          <w:szCs w:val="24"/>
          <w:highlight w:val="none"/>
        </w:rPr>
        <w:t>40.投标文件格式中需签字或盖章处均可以用电子签名或电子章代替。</w:t>
      </w:r>
      <w:bookmarkEnd w:id="184"/>
    </w:p>
    <w:p w14:paraId="322D00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41.本项目所属行业为</w:t>
      </w:r>
      <w:r>
        <w:rPr>
          <w:rFonts w:hint="default" w:ascii="Times New Roman" w:hAnsi="Times New Roman" w:eastAsia="宋体" w:cs="Times New Roman"/>
          <w:b/>
          <w:bCs/>
          <w:color w:val="auto"/>
          <w:sz w:val="24"/>
          <w:szCs w:val="24"/>
          <w:highlight w:val="none"/>
        </w:rPr>
        <w:t>其他未列明行业</w:t>
      </w:r>
      <w:r>
        <w:rPr>
          <w:rFonts w:hint="default" w:ascii="Times New Roman" w:hAnsi="Times New Roman" w:eastAsia="宋体" w:cs="Times New Roman"/>
          <w:color w:val="auto"/>
          <w:sz w:val="24"/>
          <w:szCs w:val="24"/>
          <w:highlight w:val="none"/>
        </w:rPr>
        <w:t>。</w:t>
      </w:r>
    </w:p>
    <w:p w14:paraId="61980A10">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color w:val="auto"/>
          <w:highlight w:val="none"/>
          <w:lang w:val="en-US" w:eastAsia="zh-CN"/>
        </w:rPr>
      </w:pPr>
      <w:r>
        <w:rPr>
          <w:rFonts w:hint="eastAsia" w:ascii="Times New Roman" w:hAnsi="Times New Roman" w:eastAsia="宋体" w:cs="Times New Roman"/>
          <w:b/>
          <w:bCs/>
          <w:color w:val="auto"/>
          <w:sz w:val="24"/>
          <w:szCs w:val="24"/>
          <w:highlight w:val="none"/>
          <w:lang w:val="en-US" w:eastAsia="zh-CN"/>
        </w:rPr>
        <w:t>42.签署要求：联合体所有成员单位的证明材料，由各成员自行打印、加盖本单位鲜章后扫描；扫描件组成的整套联合体资料，最终由联合体牵头人（投标人）上传并加盖电子签章。</w:t>
      </w:r>
      <w:r>
        <w:rPr>
          <w:rFonts w:hint="eastAsia"/>
          <w:color w:val="auto"/>
          <w:highlight w:val="none"/>
          <w:lang w:val="en-US" w:eastAsia="zh-CN"/>
        </w:rPr>
        <w:br w:type="page"/>
      </w:r>
    </w:p>
    <w:p w14:paraId="670694E8">
      <w:pPr>
        <w:pStyle w:val="2"/>
        <w:numPr>
          <w:ilvl w:val="0"/>
          <w:numId w:val="0"/>
        </w:numPr>
        <w:spacing w:before="100" w:after="210" w:line="240" w:lineRule="auto"/>
        <w:jc w:val="center"/>
        <w:rPr>
          <w:rFonts w:hint="default" w:ascii="Times New Roman" w:hAnsi="Times New Roman" w:eastAsia="宋体" w:cs="Times New Roman"/>
          <w:color w:val="auto"/>
          <w:spacing w:val="0"/>
          <w:sz w:val="44"/>
          <w:szCs w:val="40"/>
          <w:highlight w:val="none"/>
        </w:rPr>
      </w:pPr>
      <w:bookmarkStart w:id="185" w:name="_Toc6594"/>
      <w:r>
        <w:rPr>
          <w:rFonts w:hint="eastAsia" w:ascii="Times New Roman" w:hAnsi="Times New Roman" w:eastAsia="宋体" w:cs="Times New Roman"/>
          <w:b/>
          <w:bCs/>
          <w:color w:val="auto"/>
          <w:spacing w:val="0"/>
          <w:sz w:val="44"/>
          <w:szCs w:val="40"/>
          <w:highlight w:val="none"/>
          <w:lang w:val="en-US" w:eastAsia="zh-CN" w:bidi="ar-SA"/>
        </w:rPr>
        <w:t>第三章</w:t>
      </w:r>
      <w:bookmarkStart w:id="186" w:name="_Toc20316"/>
      <w:r>
        <w:rPr>
          <w:rFonts w:hint="default" w:ascii="Times New Roman" w:hAnsi="Times New Roman" w:eastAsia="宋体" w:cs="Times New Roman"/>
          <w:color w:val="auto"/>
          <w:spacing w:val="0"/>
          <w:sz w:val="44"/>
          <w:szCs w:val="40"/>
          <w:highlight w:val="none"/>
        </w:rPr>
        <w:t xml:space="preserve"> </w:t>
      </w:r>
      <w:r>
        <w:rPr>
          <w:rFonts w:hint="eastAsia" w:eastAsia="宋体" w:cs="Times New Roman"/>
          <w:color w:val="auto"/>
          <w:spacing w:val="0"/>
          <w:sz w:val="44"/>
          <w:szCs w:val="40"/>
          <w:highlight w:val="none"/>
          <w:lang w:val="en-US" w:eastAsia="zh-CN"/>
        </w:rPr>
        <w:t xml:space="preserve"> </w:t>
      </w:r>
      <w:r>
        <w:rPr>
          <w:rFonts w:hint="default" w:ascii="Times New Roman" w:hAnsi="Times New Roman" w:eastAsia="宋体" w:cs="Times New Roman"/>
          <w:color w:val="auto"/>
          <w:spacing w:val="0"/>
          <w:sz w:val="44"/>
          <w:szCs w:val="40"/>
          <w:highlight w:val="none"/>
        </w:rPr>
        <w:t>采购需求</w:t>
      </w:r>
      <w:bookmarkEnd w:id="185"/>
      <w:bookmarkEnd w:id="186"/>
      <w:bookmarkStart w:id="187" w:name="_Toc26554093"/>
      <w:bookmarkEnd w:id="187"/>
      <w:bookmarkStart w:id="188" w:name="_Toc30562"/>
    </w:p>
    <w:p w14:paraId="028B7C33">
      <w:pPr>
        <w:keepNext w:val="0"/>
        <w:keepLines w:val="0"/>
        <w:pageBreakBefore w:val="0"/>
        <w:widowControl/>
        <w:tabs>
          <w:tab w:val="left" w:pos="0"/>
        </w:tabs>
        <w:kinsoku/>
        <w:wordWrap/>
        <w:overflowPunct/>
        <w:topLinePunct w:val="0"/>
        <w:autoSpaceDE/>
        <w:autoSpaceDN/>
        <w:bidi w:val="0"/>
        <w:adjustRightInd w:val="0"/>
        <w:snapToGrid w:val="0"/>
        <w:spacing w:line="360" w:lineRule="auto"/>
        <w:jc w:val="both"/>
        <w:textAlignment w:val="auto"/>
        <w:outlineLvl w:val="1"/>
        <w:rPr>
          <w:rFonts w:hint="eastAsia"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
          <w:color w:val="auto"/>
          <w:sz w:val="24"/>
          <w:szCs w:val="24"/>
          <w:highlight w:val="none"/>
        </w:rPr>
        <w:t>一、项目编号：</w:t>
      </w:r>
      <w:r>
        <w:rPr>
          <w:rFonts w:hint="eastAsia" w:ascii="Times New Roman" w:hAnsi="Times New Roman" w:eastAsia="宋体" w:cs="Times New Roman"/>
          <w:bCs/>
          <w:color w:val="auto"/>
          <w:sz w:val="24"/>
          <w:szCs w:val="24"/>
          <w:highlight w:val="none"/>
          <w:lang w:eastAsia="zh-CN"/>
        </w:rPr>
        <w:t>JSZC-321200-THZX-G2026-0037</w:t>
      </w:r>
    </w:p>
    <w:p w14:paraId="3C2863EE">
      <w:pPr>
        <w:keepNext w:val="0"/>
        <w:keepLines w:val="0"/>
        <w:pageBreakBefore w:val="0"/>
        <w:widowControl/>
        <w:tabs>
          <w:tab w:val="left" w:pos="0"/>
        </w:tabs>
        <w:kinsoku/>
        <w:wordWrap/>
        <w:overflowPunct/>
        <w:topLinePunct w:val="0"/>
        <w:autoSpaceDE/>
        <w:autoSpaceDN/>
        <w:bidi w:val="0"/>
        <w:adjustRightInd w:val="0"/>
        <w:snapToGrid w:val="0"/>
        <w:spacing w:line="360" w:lineRule="auto"/>
        <w:jc w:val="both"/>
        <w:textAlignment w:val="auto"/>
        <w:outlineLvl w:val="1"/>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二、项目名称：</w:t>
      </w:r>
      <w:r>
        <w:rPr>
          <w:rFonts w:hint="default" w:ascii="Times New Roman" w:hAnsi="Times New Roman" w:eastAsia="宋体" w:cs="Times New Roman"/>
          <w:bCs/>
          <w:color w:val="auto"/>
          <w:sz w:val="24"/>
          <w:szCs w:val="24"/>
          <w:highlight w:val="none"/>
        </w:rPr>
        <w:t>泰州市机关事务管理局合同能源管理采购项目</w:t>
      </w:r>
    </w:p>
    <w:p w14:paraId="748E6C2A">
      <w:pPr>
        <w:pStyle w:val="16"/>
        <w:keepNext w:val="0"/>
        <w:keepLines w:val="0"/>
        <w:pageBreakBefore w:val="0"/>
        <w:widowControl/>
        <w:kinsoku/>
        <w:wordWrap/>
        <w:overflowPunct/>
        <w:topLinePunct w:val="0"/>
        <w:autoSpaceDE/>
        <w:autoSpaceDN/>
        <w:bidi w:val="0"/>
        <w:adjustRightInd w:val="0"/>
        <w:snapToGrid w:val="0"/>
        <w:spacing w:line="360" w:lineRule="auto"/>
        <w:ind w:firstLine="0"/>
        <w:jc w:val="both"/>
        <w:textAlignment w:val="auto"/>
        <w:outlineLvl w:val="1"/>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三、预算金额：</w:t>
      </w:r>
      <w:r>
        <w:rPr>
          <w:rFonts w:hint="default" w:ascii="Times New Roman" w:hAnsi="Times New Roman" w:eastAsia="宋体" w:cs="Times New Roman"/>
          <w:color w:val="auto"/>
          <w:sz w:val="24"/>
          <w:highlight w:val="none"/>
        </w:rPr>
        <w:t>人民币</w:t>
      </w:r>
      <w:r>
        <w:rPr>
          <w:rFonts w:hint="eastAsia" w:cs="Times New Roman"/>
          <w:color w:val="auto"/>
          <w:sz w:val="24"/>
          <w:highlight w:val="none"/>
          <w:lang w:val="en-US" w:eastAsia="zh-CN"/>
        </w:rPr>
        <w:t>贰亿伍仟叁佰叁拾柒万陆仟叁佰肆拾捌元肆角</w:t>
      </w:r>
      <w:r>
        <w:rPr>
          <w:rFonts w:hint="default" w:ascii="Times New Roman" w:hAnsi="Times New Roman" w:eastAsia="宋体" w:cs="Times New Roman"/>
          <w:color w:val="auto"/>
          <w:sz w:val="24"/>
          <w:highlight w:val="none"/>
        </w:rPr>
        <w:t>（￥253376348.40）</w:t>
      </w:r>
    </w:p>
    <w:p w14:paraId="16D87BC6">
      <w:pPr>
        <w:pStyle w:val="16"/>
        <w:keepNext w:val="0"/>
        <w:keepLines w:val="0"/>
        <w:pageBreakBefore w:val="0"/>
        <w:widowControl/>
        <w:kinsoku/>
        <w:wordWrap/>
        <w:overflowPunct/>
        <w:topLinePunct w:val="0"/>
        <w:autoSpaceDE/>
        <w:autoSpaceDN/>
        <w:bidi w:val="0"/>
        <w:adjustRightInd w:val="0"/>
        <w:snapToGrid w:val="0"/>
        <w:spacing w:line="360" w:lineRule="auto"/>
        <w:ind w:firstLine="0"/>
        <w:jc w:val="both"/>
        <w:textAlignment w:val="auto"/>
        <w:outlineLvl w:val="1"/>
        <w:rPr>
          <w:rFonts w:hint="default" w:ascii="Times New Roman" w:hAnsi="Times New Roman" w:eastAsia="宋体" w:cs="Times New Roman"/>
          <w:color w:val="auto"/>
          <w:sz w:val="24"/>
          <w:highlight w:val="none"/>
        </w:rPr>
      </w:pPr>
      <w:r>
        <w:rPr>
          <w:rFonts w:hint="default" w:ascii="Times New Roman" w:hAnsi="Times New Roman" w:eastAsia="宋体" w:cs="Times New Roman"/>
          <w:b/>
          <w:color w:val="auto"/>
          <w:sz w:val="24"/>
          <w:highlight w:val="none"/>
        </w:rPr>
        <w:t>四、最高限价：</w:t>
      </w:r>
      <w:r>
        <w:rPr>
          <w:rFonts w:hint="default" w:ascii="Times New Roman" w:hAnsi="Times New Roman" w:eastAsia="宋体" w:cs="Times New Roman"/>
          <w:color w:val="auto"/>
          <w:sz w:val="24"/>
          <w:highlight w:val="none"/>
        </w:rPr>
        <w:t>人民币贰亿伍仟叁佰叁拾柒万陆仟叁佰叁拾伍元陆角（￥253376335.60）</w:t>
      </w:r>
    </w:p>
    <w:p w14:paraId="0A111FCB">
      <w:pPr>
        <w:keepNext w:val="0"/>
        <w:keepLines w:val="0"/>
        <w:pageBreakBefore w:val="0"/>
        <w:widowControl/>
        <w:tabs>
          <w:tab w:val="left" w:pos="420"/>
        </w:tabs>
        <w:kinsoku/>
        <w:wordWrap/>
        <w:overflowPunct/>
        <w:topLinePunct w:val="0"/>
        <w:autoSpaceDE/>
        <w:autoSpaceDN/>
        <w:bidi w:val="0"/>
        <w:adjustRightInd w:val="0"/>
        <w:snapToGrid w:val="0"/>
        <w:spacing w:line="360" w:lineRule="auto"/>
        <w:jc w:val="both"/>
        <w:textAlignment w:val="auto"/>
        <w:outlineLvl w:val="1"/>
        <w:rPr>
          <w:rFonts w:hint="eastAsia" w:ascii="Times New Roman" w:hAnsi="Times New Roman" w:eastAsia="宋体" w:cs="Times New Roman"/>
          <w:b/>
          <w:color w:val="auto"/>
          <w:sz w:val="24"/>
          <w:szCs w:val="24"/>
          <w:highlight w:val="none"/>
          <w:lang w:eastAsia="zh-CN"/>
        </w:rPr>
      </w:pPr>
      <w:r>
        <w:rPr>
          <w:rFonts w:hint="default" w:ascii="Times New Roman" w:hAnsi="Times New Roman" w:eastAsia="宋体" w:cs="Times New Roman"/>
          <w:b/>
          <w:color w:val="auto"/>
          <w:sz w:val="24"/>
          <w:szCs w:val="24"/>
          <w:highlight w:val="none"/>
        </w:rPr>
        <w:t>五、采购</w:t>
      </w:r>
      <w:r>
        <w:rPr>
          <w:rFonts w:hint="eastAsia" w:ascii="Times New Roman" w:hAnsi="Times New Roman" w:eastAsia="宋体" w:cs="Times New Roman"/>
          <w:b/>
          <w:color w:val="auto"/>
          <w:sz w:val="24"/>
          <w:szCs w:val="24"/>
          <w:highlight w:val="none"/>
          <w:lang w:val="en-US" w:eastAsia="zh-CN"/>
        </w:rPr>
        <w:t>要求</w:t>
      </w:r>
    </w:p>
    <w:p w14:paraId="4DFD5F73">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（一）项目概况</w:t>
      </w:r>
    </w:p>
    <w:p w14:paraId="0C439B2B">
      <w:pPr>
        <w:pStyle w:val="1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对独立办公的12家泰州市市级机关提供能源费用托管服务，总建筑面积约33万平方米。12家市级机关各单位用能系统消耗的能源主要为电力、天然气、自来水和热力。电力主要用于办公设备、照明灯具、空调系统、生活水泵、开水炉等。天然气主要用于食堂的厨房灶具的餐饮烹饪。自来水主要用于生活用水、厨房用水、空调用水、绿化灌溉等。热力主要用于空调系统冷热源。</w:t>
      </w:r>
    </w:p>
    <w:p w14:paraId="4CCB750A">
      <w:pPr>
        <w:pStyle w:val="1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目前各机关单位存在能源管理系统不健全，建筑用能管理、分析和诊断存在较大困难，存在较大节能降耗空间和潜力。现拟对泰州市12家市级机关采用能源费用托管方式实现节能减碳，利用最新能源设备及信息技术发展成果，推进建筑能效提升工作，实现建筑单位面积能耗指标显著降低，以及能源利用高效化、清洁化、智能化、数字化。通过构建泰州市能源管理“一张网”平台集中管理泰州市12家市级机关的能源资源使用和碳排放情况，对未纳入本次托管范围的市本级公共机构40余家单位的能耗（电、气、水）总计量，后续接入泰州市能源管理“一张网”平台，进行整体规划和需求预留，平台架构、编码规则、通讯协议、数据模型和接入规范需满足后续新增机构的整市扩展需求。</w:t>
      </w:r>
    </w:p>
    <w:p w14:paraId="77D01735">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（二）基本信息</w:t>
      </w:r>
    </w:p>
    <w:p w14:paraId="05174D96">
      <w:pPr>
        <w:widowControl/>
        <w:tabs>
          <w:tab w:val="left" w:pos="420"/>
        </w:tabs>
        <w:adjustRightInd w:val="0"/>
        <w:snapToGrid w:val="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泰州市市级机关能源费用托管项目统计汇总表</w:t>
      </w:r>
    </w:p>
    <w:tbl>
      <w:tblPr>
        <w:tblStyle w:val="57"/>
        <w:tblW w:w="4998" w:type="pct"/>
        <w:jc w:val="center"/>
        <w:tblLayout w:type="autofit"/>
        <w:tblCellMar>
          <w:top w:w="0" w:type="dxa"/>
          <w:left w:w="108" w:type="dxa"/>
          <w:bottom w:w="0" w:type="dxa"/>
          <w:right w:w="108" w:type="dxa"/>
        </w:tblCellMar>
      </w:tblPr>
      <w:tblGrid>
        <w:gridCol w:w="1087"/>
        <w:gridCol w:w="3961"/>
        <w:gridCol w:w="2533"/>
        <w:gridCol w:w="2279"/>
      </w:tblGrid>
      <w:tr w14:paraId="27D943A8">
        <w:tblPrEx>
          <w:tblCellMar>
            <w:top w:w="0" w:type="dxa"/>
            <w:left w:w="108" w:type="dxa"/>
            <w:bottom w:w="0" w:type="dxa"/>
            <w:right w:w="108" w:type="dxa"/>
          </w:tblCellMar>
        </w:tblPrEx>
        <w:trPr>
          <w:trHeight w:val="454" w:hRule="atLeast"/>
          <w:jc w:val="center"/>
        </w:trPr>
        <w:tc>
          <w:tcPr>
            <w:tcW w:w="551" w:type="pct"/>
            <w:tcBorders>
              <w:top w:val="single" w:color="auto" w:sz="4" w:space="0"/>
              <w:left w:val="single" w:color="auto" w:sz="4" w:space="0"/>
              <w:bottom w:val="single" w:color="auto" w:sz="4" w:space="0"/>
              <w:right w:val="single" w:color="auto" w:sz="4" w:space="0"/>
            </w:tcBorders>
            <w:noWrap/>
            <w:vAlign w:val="center"/>
          </w:tcPr>
          <w:p w14:paraId="6A0814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序号</w:t>
            </w:r>
          </w:p>
        </w:tc>
        <w:tc>
          <w:tcPr>
            <w:tcW w:w="2008" w:type="pct"/>
            <w:tcBorders>
              <w:top w:val="single" w:color="auto" w:sz="4" w:space="0"/>
              <w:left w:val="nil"/>
              <w:bottom w:val="single" w:color="auto" w:sz="4" w:space="0"/>
              <w:right w:val="single" w:color="auto" w:sz="4" w:space="0"/>
            </w:tcBorders>
            <w:noWrap/>
            <w:vAlign w:val="center"/>
          </w:tcPr>
          <w:p w14:paraId="5302E9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单位名称</w:t>
            </w:r>
          </w:p>
        </w:tc>
        <w:tc>
          <w:tcPr>
            <w:tcW w:w="1284" w:type="pct"/>
            <w:tcBorders>
              <w:top w:val="single" w:color="auto" w:sz="4" w:space="0"/>
              <w:left w:val="nil"/>
              <w:bottom w:val="single" w:color="auto" w:sz="4" w:space="0"/>
              <w:right w:val="single" w:color="auto" w:sz="4" w:space="0"/>
            </w:tcBorders>
            <w:noWrap/>
            <w:vAlign w:val="center"/>
          </w:tcPr>
          <w:p w14:paraId="31D1A8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建筑面积（m</w:t>
            </w:r>
            <w:r>
              <w:rPr>
                <w:rFonts w:hint="default" w:ascii="Times New Roman" w:hAnsi="Times New Roman" w:eastAsia="宋体" w:cs="Times New Roman"/>
                <w:b/>
                <w:bCs/>
                <w:color w:val="auto"/>
                <w:sz w:val="24"/>
                <w:szCs w:val="24"/>
                <w:highlight w:val="none"/>
                <w:vertAlign w:val="superscript"/>
              </w:rPr>
              <w:t>2</w:t>
            </w:r>
            <w:r>
              <w:rPr>
                <w:rFonts w:hint="default" w:ascii="Times New Roman" w:hAnsi="Times New Roman" w:eastAsia="宋体" w:cs="Times New Roman"/>
                <w:b/>
                <w:bCs/>
                <w:color w:val="auto"/>
                <w:sz w:val="24"/>
                <w:szCs w:val="24"/>
                <w:highlight w:val="none"/>
              </w:rPr>
              <w:t>）</w:t>
            </w:r>
          </w:p>
        </w:tc>
        <w:tc>
          <w:tcPr>
            <w:tcW w:w="1155" w:type="pct"/>
            <w:tcBorders>
              <w:top w:val="single" w:color="auto" w:sz="4" w:space="0"/>
              <w:left w:val="nil"/>
              <w:bottom w:val="single" w:color="auto" w:sz="4" w:space="0"/>
              <w:right w:val="single" w:color="auto" w:sz="4" w:space="0"/>
            </w:tcBorders>
            <w:noWrap/>
            <w:vAlign w:val="center"/>
          </w:tcPr>
          <w:p w14:paraId="53420C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用能人数</w:t>
            </w:r>
          </w:p>
        </w:tc>
      </w:tr>
      <w:tr w14:paraId="2CF685DF">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noWrap/>
            <w:vAlign w:val="center"/>
          </w:tcPr>
          <w:p w14:paraId="550557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p>
        </w:tc>
        <w:tc>
          <w:tcPr>
            <w:tcW w:w="2008" w:type="pct"/>
            <w:tcBorders>
              <w:top w:val="nil"/>
              <w:left w:val="nil"/>
              <w:bottom w:val="single" w:color="auto" w:sz="4" w:space="0"/>
              <w:right w:val="single" w:color="auto" w:sz="4" w:space="0"/>
            </w:tcBorders>
            <w:noWrap/>
            <w:vAlign w:val="center"/>
          </w:tcPr>
          <w:p w14:paraId="490630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泰州市财政局</w:t>
            </w:r>
          </w:p>
        </w:tc>
        <w:tc>
          <w:tcPr>
            <w:tcW w:w="1284" w:type="pct"/>
            <w:tcBorders>
              <w:top w:val="nil"/>
              <w:left w:val="nil"/>
              <w:bottom w:val="single" w:color="auto" w:sz="4" w:space="0"/>
              <w:right w:val="single" w:color="auto" w:sz="4" w:space="0"/>
            </w:tcBorders>
            <w:noWrap/>
            <w:vAlign w:val="center"/>
          </w:tcPr>
          <w:p w14:paraId="0D7262D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16200.00 </w:t>
            </w:r>
          </w:p>
        </w:tc>
        <w:tc>
          <w:tcPr>
            <w:tcW w:w="1155" w:type="pct"/>
            <w:tcBorders>
              <w:top w:val="nil"/>
              <w:left w:val="nil"/>
              <w:bottom w:val="single" w:color="auto" w:sz="4" w:space="0"/>
              <w:right w:val="single" w:color="auto" w:sz="4" w:space="0"/>
            </w:tcBorders>
            <w:noWrap/>
            <w:vAlign w:val="center"/>
          </w:tcPr>
          <w:p w14:paraId="7845E8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286</w:t>
            </w:r>
          </w:p>
        </w:tc>
      </w:tr>
      <w:tr w14:paraId="2D048ECB">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noWrap/>
            <w:vAlign w:val="center"/>
          </w:tcPr>
          <w:p w14:paraId="087A75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p>
        </w:tc>
        <w:tc>
          <w:tcPr>
            <w:tcW w:w="2008" w:type="pct"/>
            <w:tcBorders>
              <w:top w:val="nil"/>
              <w:left w:val="nil"/>
              <w:bottom w:val="single" w:color="auto" w:sz="4" w:space="0"/>
              <w:right w:val="single" w:color="auto" w:sz="4" w:space="0"/>
            </w:tcBorders>
            <w:noWrap/>
            <w:vAlign w:val="center"/>
          </w:tcPr>
          <w:p w14:paraId="5CEE564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泰州市公安局巡特警支队</w:t>
            </w:r>
          </w:p>
        </w:tc>
        <w:tc>
          <w:tcPr>
            <w:tcW w:w="1284" w:type="pct"/>
            <w:tcBorders>
              <w:top w:val="nil"/>
              <w:left w:val="nil"/>
              <w:bottom w:val="single" w:color="auto" w:sz="4" w:space="0"/>
              <w:right w:val="single" w:color="auto" w:sz="4" w:space="0"/>
            </w:tcBorders>
            <w:noWrap/>
            <w:vAlign w:val="center"/>
          </w:tcPr>
          <w:p w14:paraId="3E6FCE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23380.00 </w:t>
            </w:r>
          </w:p>
        </w:tc>
        <w:tc>
          <w:tcPr>
            <w:tcW w:w="1155" w:type="pct"/>
            <w:tcBorders>
              <w:top w:val="nil"/>
              <w:left w:val="nil"/>
              <w:bottom w:val="single" w:color="auto" w:sz="4" w:space="0"/>
              <w:right w:val="single" w:color="auto" w:sz="4" w:space="0"/>
            </w:tcBorders>
            <w:noWrap/>
            <w:vAlign w:val="center"/>
          </w:tcPr>
          <w:p w14:paraId="6259E07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330</w:t>
            </w:r>
          </w:p>
        </w:tc>
      </w:tr>
      <w:tr w14:paraId="6678B0D7">
        <w:tblPrEx>
          <w:tblCellMar>
            <w:top w:w="0" w:type="dxa"/>
            <w:left w:w="108" w:type="dxa"/>
            <w:bottom w:w="0" w:type="dxa"/>
            <w:right w:w="108" w:type="dxa"/>
          </w:tblCellMar>
        </w:tblPrEx>
        <w:trPr>
          <w:trHeight w:val="369" w:hRule="atLeast"/>
          <w:jc w:val="center"/>
        </w:trPr>
        <w:tc>
          <w:tcPr>
            <w:tcW w:w="551" w:type="pct"/>
            <w:vMerge w:val="restart"/>
            <w:tcBorders>
              <w:top w:val="nil"/>
              <w:left w:val="single" w:color="auto" w:sz="4" w:space="0"/>
              <w:right w:val="single" w:color="auto" w:sz="4" w:space="0"/>
            </w:tcBorders>
            <w:shd w:val="clear" w:color="000000" w:fill="FFFFFF"/>
            <w:noWrap/>
            <w:vAlign w:val="center"/>
          </w:tcPr>
          <w:p w14:paraId="22E6D4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w:t>
            </w:r>
          </w:p>
        </w:tc>
        <w:tc>
          <w:tcPr>
            <w:tcW w:w="2008" w:type="pct"/>
            <w:tcBorders>
              <w:top w:val="nil"/>
              <w:left w:val="nil"/>
              <w:bottom w:val="single" w:color="auto" w:sz="4" w:space="0"/>
              <w:right w:val="single" w:color="auto" w:sz="4" w:space="0"/>
            </w:tcBorders>
            <w:shd w:val="clear" w:color="000000" w:fill="FFFFFF"/>
            <w:noWrap/>
            <w:vAlign w:val="center"/>
          </w:tcPr>
          <w:p w14:paraId="0C7787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泰州市公安局北院</w:t>
            </w:r>
          </w:p>
        </w:tc>
        <w:tc>
          <w:tcPr>
            <w:tcW w:w="1284" w:type="pct"/>
            <w:tcBorders>
              <w:top w:val="nil"/>
              <w:left w:val="nil"/>
              <w:bottom w:val="single" w:color="auto" w:sz="4" w:space="0"/>
              <w:right w:val="single" w:color="auto" w:sz="4" w:space="0"/>
            </w:tcBorders>
            <w:shd w:val="clear" w:color="000000" w:fill="FFFFFF"/>
            <w:noWrap/>
            <w:vAlign w:val="center"/>
          </w:tcPr>
          <w:p w14:paraId="608A3B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26544.00 </w:t>
            </w:r>
          </w:p>
        </w:tc>
        <w:tc>
          <w:tcPr>
            <w:tcW w:w="1155" w:type="pct"/>
            <w:tcBorders>
              <w:top w:val="nil"/>
              <w:left w:val="nil"/>
              <w:bottom w:val="single" w:color="auto" w:sz="4" w:space="0"/>
              <w:right w:val="single" w:color="auto" w:sz="4" w:space="0"/>
            </w:tcBorders>
            <w:shd w:val="clear" w:color="000000" w:fill="FFFFFF"/>
            <w:noWrap/>
            <w:vAlign w:val="center"/>
          </w:tcPr>
          <w:p w14:paraId="322592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736</w:t>
            </w:r>
          </w:p>
        </w:tc>
      </w:tr>
      <w:tr w14:paraId="4A5154B5">
        <w:tblPrEx>
          <w:tblCellMar>
            <w:top w:w="0" w:type="dxa"/>
            <w:left w:w="108" w:type="dxa"/>
            <w:bottom w:w="0" w:type="dxa"/>
            <w:right w:w="108" w:type="dxa"/>
          </w:tblCellMar>
        </w:tblPrEx>
        <w:trPr>
          <w:trHeight w:val="369" w:hRule="atLeast"/>
          <w:jc w:val="center"/>
        </w:trPr>
        <w:tc>
          <w:tcPr>
            <w:tcW w:w="551" w:type="pct"/>
            <w:vMerge w:val="continue"/>
            <w:tcBorders>
              <w:left w:val="single" w:color="auto" w:sz="4" w:space="0"/>
              <w:bottom w:val="single" w:color="auto" w:sz="4" w:space="0"/>
              <w:right w:val="single" w:color="auto" w:sz="4" w:space="0"/>
            </w:tcBorders>
            <w:shd w:val="clear" w:color="000000" w:fill="FFFFFF"/>
            <w:noWrap/>
            <w:vAlign w:val="center"/>
          </w:tcPr>
          <w:p w14:paraId="3F25189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c>
          <w:tcPr>
            <w:tcW w:w="2008" w:type="pct"/>
            <w:tcBorders>
              <w:top w:val="nil"/>
              <w:left w:val="nil"/>
              <w:bottom w:val="single" w:color="auto" w:sz="4" w:space="0"/>
              <w:right w:val="single" w:color="auto" w:sz="4" w:space="0"/>
            </w:tcBorders>
            <w:shd w:val="clear" w:color="000000" w:fill="FFFFFF"/>
            <w:noWrap/>
            <w:vAlign w:val="center"/>
          </w:tcPr>
          <w:p w14:paraId="0D2C8B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泰州市公安局南院</w:t>
            </w:r>
          </w:p>
        </w:tc>
        <w:tc>
          <w:tcPr>
            <w:tcW w:w="1284" w:type="pct"/>
            <w:tcBorders>
              <w:top w:val="nil"/>
              <w:left w:val="nil"/>
              <w:bottom w:val="single" w:color="auto" w:sz="4" w:space="0"/>
              <w:right w:val="single" w:color="auto" w:sz="4" w:space="0"/>
            </w:tcBorders>
            <w:shd w:val="clear" w:color="000000" w:fill="FFFFFF"/>
            <w:noWrap/>
            <w:vAlign w:val="center"/>
          </w:tcPr>
          <w:p w14:paraId="00F1A8D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68266.00 </w:t>
            </w:r>
          </w:p>
        </w:tc>
        <w:tc>
          <w:tcPr>
            <w:tcW w:w="1155" w:type="pct"/>
            <w:tcBorders>
              <w:top w:val="nil"/>
              <w:left w:val="nil"/>
              <w:bottom w:val="single" w:color="auto" w:sz="4" w:space="0"/>
              <w:right w:val="single" w:color="auto" w:sz="4" w:space="0"/>
            </w:tcBorders>
            <w:shd w:val="clear" w:color="000000" w:fill="FFFFFF"/>
            <w:noWrap/>
            <w:vAlign w:val="center"/>
          </w:tcPr>
          <w:p w14:paraId="51E7F2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879</w:t>
            </w:r>
          </w:p>
        </w:tc>
      </w:tr>
      <w:tr w14:paraId="2CACC6BE">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shd w:val="clear" w:color="000000" w:fill="FFFFFF"/>
            <w:noWrap/>
            <w:vAlign w:val="center"/>
          </w:tcPr>
          <w:p w14:paraId="2D2B73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w:t>
            </w:r>
          </w:p>
        </w:tc>
        <w:tc>
          <w:tcPr>
            <w:tcW w:w="2008" w:type="pct"/>
            <w:tcBorders>
              <w:top w:val="nil"/>
              <w:left w:val="nil"/>
              <w:bottom w:val="single" w:color="auto" w:sz="4" w:space="0"/>
              <w:right w:val="single" w:color="auto" w:sz="4" w:space="0"/>
            </w:tcBorders>
            <w:shd w:val="clear" w:color="000000" w:fill="FFFFFF"/>
            <w:noWrap/>
            <w:vAlign w:val="center"/>
          </w:tcPr>
          <w:p w14:paraId="76F153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泰州市公安局海陵分局</w:t>
            </w:r>
          </w:p>
        </w:tc>
        <w:tc>
          <w:tcPr>
            <w:tcW w:w="1284" w:type="pct"/>
            <w:tcBorders>
              <w:top w:val="nil"/>
              <w:left w:val="nil"/>
              <w:bottom w:val="single" w:color="auto" w:sz="4" w:space="0"/>
              <w:right w:val="single" w:color="auto" w:sz="4" w:space="0"/>
            </w:tcBorders>
            <w:shd w:val="clear" w:color="000000" w:fill="FFFFFF"/>
            <w:noWrap/>
            <w:vAlign w:val="center"/>
          </w:tcPr>
          <w:p w14:paraId="23264C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13135.28 </w:t>
            </w:r>
          </w:p>
        </w:tc>
        <w:tc>
          <w:tcPr>
            <w:tcW w:w="1155" w:type="pct"/>
            <w:tcBorders>
              <w:top w:val="nil"/>
              <w:left w:val="nil"/>
              <w:bottom w:val="single" w:color="auto" w:sz="4" w:space="0"/>
              <w:right w:val="single" w:color="auto" w:sz="4" w:space="0"/>
            </w:tcBorders>
            <w:shd w:val="clear" w:color="000000" w:fill="FFFFFF"/>
            <w:noWrap/>
            <w:vAlign w:val="center"/>
          </w:tcPr>
          <w:p w14:paraId="0F4A33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1578</w:t>
            </w:r>
          </w:p>
        </w:tc>
      </w:tr>
      <w:tr w14:paraId="25104E51">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shd w:val="clear" w:color="000000" w:fill="FFFFFF"/>
            <w:noWrap/>
            <w:vAlign w:val="center"/>
          </w:tcPr>
          <w:p w14:paraId="7B5133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w:t>
            </w:r>
          </w:p>
        </w:tc>
        <w:tc>
          <w:tcPr>
            <w:tcW w:w="2008" w:type="pct"/>
            <w:tcBorders>
              <w:top w:val="nil"/>
              <w:left w:val="nil"/>
              <w:bottom w:val="single" w:color="auto" w:sz="4" w:space="0"/>
              <w:right w:val="single" w:color="auto" w:sz="4" w:space="0"/>
            </w:tcBorders>
            <w:shd w:val="clear" w:color="000000" w:fill="FFFFFF"/>
            <w:noWrap/>
            <w:vAlign w:val="center"/>
          </w:tcPr>
          <w:p w14:paraId="753286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泰州市公安局姜堰分局</w:t>
            </w:r>
          </w:p>
        </w:tc>
        <w:tc>
          <w:tcPr>
            <w:tcW w:w="1284" w:type="pct"/>
            <w:tcBorders>
              <w:top w:val="nil"/>
              <w:left w:val="nil"/>
              <w:bottom w:val="single" w:color="auto" w:sz="4" w:space="0"/>
              <w:right w:val="single" w:color="auto" w:sz="4" w:space="0"/>
            </w:tcBorders>
            <w:shd w:val="clear" w:color="000000" w:fill="FFFFFF"/>
            <w:noWrap/>
            <w:vAlign w:val="center"/>
          </w:tcPr>
          <w:p w14:paraId="2E7102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27562.00 </w:t>
            </w:r>
          </w:p>
        </w:tc>
        <w:tc>
          <w:tcPr>
            <w:tcW w:w="1155" w:type="pct"/>
            <w:tcBorders>
              <w:top w:val="nil"/>
              <w:left w:val="nil"/>
              <w:bottom w:val="single" w:color="auto" w:sz="4" w:space="0"/>
              <w:right w:val="single" w:color="auto" w:sz="4" w:space="0"/>
            </w:tcBorders>
            <w:shd w:val="clear" w:color="000000" w:fill="FFFFFF"/>
            <w:noWrap/>
            <w:vAlign w:val="center"/>
          </w:tcPr>
          <w:p w14:paraId="408763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700</w:t>
            </w:r>
          </w:p>
        </w:tc>
      </w:tr>
      <w:tr w14:paraId="53D0ABFD">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noWrap/>
            <w:vAlign w:val="center"/>
          </w:tcPr>
          <w:p w14:paraId="7D9932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w:t>
            </w:r>
          </w:p>
        </w:tc>
        <w:tc>
          <w:tcPr>
            <w:tcW w:w="2008" w:type="pct"/>
            <w:tcBorders>
              <w:top w:val="nil"/>
              <w:left w:val="nil"/>
              <w:bottom w:val="single" w:color="auto" w:sz="4" w:space="0"/>
              <w:right w:val="single" w:color="auto" w:sz="4" w:space="0"/>
            </w:tcBorders>
            <w:noWrap/>
            <w:vAlign w:val="center"/>
          </w:tcPr>
          <w:p w14:paraId="7925A2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泰州市人民检察院</w:t>
            </w:r>
          </w:p>
        </w:tc>
        <w:tc>
          <w:tcPr>
            <w:tcW w:w="1284" w:type="pct"/>
            <w:tcBorders>
              <w:top w:val="nil"/>
              <w:left w:val="nil"/>
              <w:bottom w:val="single" w:color="auto" w:sz="4" w:space="0"/>
              <w:right w:val="single" w:color="auto" w:sz="4" w:space="0"/>
            </w:tcBorders>
            <w:noWrap/>
            <w:vAlign w:val="center"/>
          </w:tcPr>
          <w:p w14:paraId="33D94D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15991.00 </w:t>
            </w:r>
          </w:p>
        </w:tc>
        <w:tc>
          <w:tcPr>
            <w:tcW w:w="1155" w:type="pct"/>
            <w:tcBorders>
              <w:top w:val="nil"/>
              <w:left w:val="nil"/>
              <w:bottom w:val="single" w:color="auto" w:sz="4" w:space="0"/>
              <w:right w:val="single" w:color="auto" w:sz="4" w:space="0"/>
            </w:tcBorders>
            <w:noWrap/>
            <w:vAlign w:val="center"/>
          </w:tcPr>
          <w:p w14:paraId="328282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160</w:t>
            </w:r>
          </w:p>
        </w:tc>
      </w:tr>
      <w:tr w14:paraId="47F0F2D9">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noWrap/>
            <w:vAlign w:val="center"/>
          </w:tcPr>
          <w:p w14:paraId="0762E0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w:t>
            </w:r>
          </w:p>
        </w:tc>
        <w:tc>
          <w:tcPr>
            <w:tcW w:w="2008" w:type="pct"/>
            <w:tcBorders>
              <w:top w:val="nil"/>
              <w:left w:val="nil"/>
              <w:bottom w:val="single" w:color="auto" w:sz="4" w:space="0"/>
              <w:right w:val="single" w:color="auto" w:sz="4" w:space="0"/>
            </w:tcBorders>
            <w:noWrap/>
            <w:vAlign w:val="center"/>
          </w:tcPr>
          <w:p w14:paraId="773FF5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泰州市交通警察支队</w:t>
            </w:r>
          </w:p>
        </w:tc>
        <w:tc>
          <w:tcPr>
            <w:tcW w:w="1284" w:type="pct"/>
            <w:tcBorders>
              <w:top w:val="nil"/>
              <w:left w:val="nil"/>
              <w:bottom w:val="single" w:color="auto" w:sz="4" w:space="0"/>
              <w:right w:val="single" w:color="auto" w:sz="4" w:space="0"/>
            </w:tcBorders>
            <w:noWrap/>
            <w:vAlign w:val="center"/>
          </w:tcPr>
          <w:p w14:paraId="6BC645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31356.25 </w:t>
            </w:r>
          </w:p>
        </w:tc>
        <w:tc>
          <w:tcPr>
            <w:tcW w:w="1155" w:type="pct"/>
            <w:tcBorders>
              <w:top w:val="nil"/>
              <w:left w:val="nil"/>
              <w:bottom w:val="single" w:color="auto" w:sz="4" w:space="0"/>
              <w:right w:val="single" w:color="auto" w:sz="4" w:space="0"/>
            </w:tcBorders>
            <w:noWrap/>
            <w:vAlign w:val="center"/>
          </w:tcPr>
          <w:p w14:paraId="305F02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1345</w:t>
            </w:r>
          </w:p>
        </w:tc>
      </w:tr>
      <w:tr w14:paraId="104C2379">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noWrap/>
            <w:vAlign w:val="center"/>
          </w:tcPr>
          <w:p w14:paraId="01A147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w:t>
            </w:r>
          </w:p>
        </w:tc>
        <w:tc>
          <w:tcPr>
            <w:tcW w:w="2008" w:type="pct"/>
            <w:tcBorders>
              <w:top w:val="nil"/>
              <w:left w:val="nil"/>
              <w:bottom w:val="single" w:color="auto" w:sz="4" w:space="0"/>
              <w:right w:val="single" w:color="auto" w:sz="4" w:space="0"/>
            </w:tcBorders>
            <w:noWrap/>
            <w:vAlign w:val="center"/>
          </w:tcPr>
          <w:p w14:paraId="234861D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泰州市教育局</w:t>
            </w:r>
          </w:p>
        </w:tc>
        <w:tc>
          <w:tcPr>
            <w:tcW w:w="1284" w:type="pct"/>
            <w:tcBorders>
              <w:top w:val="nil"/>
              <w:left w:val="nil"/>
              <w:bottom w:val="single" w:color="auto" w:sz="4" w:space="0"/>
              <w:right w:val="single" w:color="auto" w:sz="4" w:space="0"/>
            </w:tcBorders>
            <w:noWrap/>
            <w:vAlign w:val="center"/>
          </w:tcPr>
          <w:p w14:paraId="2ADE37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13472.85 </w:t>
            </w:r>
          </w:p>
        </w:tc>
        <w:tc>
          <w:tcPr>
            <w:tcW w:w="1155" w:type="pct"/>
            <w:tcBorders>
              <w:top w:val="nil"/>
              <w:left w:val="nil"/>
              <w:bottom w:val="single" w:color="auto" w:sz="4" w:space="0"/>
              <w:right w:val="single" w:color="auto" w:sz="4" w:space="0"/>
            </w:tcBorders>
            <w:noWrap/>
            <w:vAlign w:val="center"/>
          </w:tcPr>
          <w:p w14:paraId="29FDFF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189</w:t>
            </w:r>
          </w:p>
        </w:tc>
      </w:tr>
      <w:tr w14:paraId="6D0D913E">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shd w:val="clear" w:color="000000" w:fill="FFFFFF"/>
            <w:noWrap/>
            <w:vAlign w:val="center"/>
          </w:tcPr>
          <w:p w14:paraId="53F9A4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w:t>
            </w:r>
          </w:p>
        </w:tc>
        <w:tc>
          <w:tcPr>
            <w:tcW w:w="2008" w:type="pct"/>
            <w:tcBorders>
              <w:top w:val="nil"/>
              <w:left w:val="nil"/>
              <w:bottom w:val="single" w:color="auto" w:sz="4" w:space="0"/>
              <w:right w:val="single" w:color="auto" w:sz="4" w:space="0"/>
            </w:tcBorders>
            <w:noWrap/>
            <w:vAlign w:val="center"/>
          </w:tcPr>
          <w:p w14:paraId="2B2F36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泰州市科学发展观展示馆</w:t>
            </w:r>
          </w:p>
        </w:tc>
        <w:tc>
          <w:tcPr>
            <w:tcW w:w="1284" w:type="pct"/>
            <w:tcBorders>
              <w:top w:val="nil"/>
              <w:left w:val="nil"/>
              <w:bottom w:val="single" w:color="auto" w:sz="4" w:space="0"/>
              <w:right w:val="single" w:color="auto" w:sz="4" w:space="0"/>
            </w:tcBorders>
            <w:noWrap/>
            <w:vAlign w:val="center"/>
          </w:tcPr>
          <w:p w14:paraId="4D3D92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13390.00 </w:t>
            </w:r>
          </w:p>
        </w:tc>
        <w:tc>
          <w:tcPr>
            <w:tcW w:w="1155" w:type="pct"/>
            <w:tcBorders>
              <w:top w:val="nil"/>
              <w:left w:val="nil"/>
              <w:bottom w:val="single" w:color="auto" w:sz="4" w:space="0"/>
              <w:right w:val="single" w:color="auto" w:sz="4" w:space="0"/>
            </w:tcBorders>
            <w:noWrap/>
            <w:vAlign w:val="center"/>
          </w:tcPr>
          <w:p w14:paraId="4E2E9B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230</w:t>
            </w:r>
          </w:p>
        </w:tc>
      </w:tr>
      <w:tr w14:paraId="1B642C6A">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shd w:val="clear" w:color="000000" w:fill="FFFFFF"/>
            <w:noWrap/>
            <w:vAlign w:val="center"/>
          </w:tcPr>
          <w:p w14:paraId="3C89DF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w:t>
            </w:r>
          </w:p>
        </w:tc>
        <w:tc>
          <w:tcPr>
            <w:tcW w:w="2008" w:type="pct"/>
            <w:tcBorders>
              <w:top w:val="nil"/>
              <w:left w:val="nil"/>
              <w:bottom w:val="single" w:color="auto" w:sz="4" w:space="0"/>
              <w:right w:val="single" w:color="auto" w:sz="4" w:space="0"/>
            </w:tcBorders>
            <w:noWrap/>
            <w:vAlign w:val="center"/>
          </w:tcPr>
          <w:p w14:paraId="105F557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泰州市人民警察实战训练办公室</w:t>
            </w:r>
          </w:p>
        </w:tc>
        <w:tc>
          <w:tcPr>
            <w:tcW w:w="1284" w:type="pct"/>
            <w:tcBorders>
              <w:top w:val="nil"/>
              <w:left w:val="nil"/>
              <w:bottom w:val="single" w:color="auto" w:sz="4" w:space="0"/>
              <w:right w:val="single" w:color="auto" w:sz="4" w:space="0"/>
            </w:tcBorders>
            <w:noWrap/>
            <w:vAlign w:val="center"/>
          </w:tcPr>
          <w:p w14:paraId="345DB6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26544.00 </w:t>
            </w:r>
          </w:p>
        </w:tc>
        <w:tc>
          <w:tcPr>
            <w:tcW w:w="1155" w:type="pct"/>
            <w:tcBorders>
              <w:top w:val="nil"/>
              <w:left w:val="nil"/>
              <w:bottom w:val="single" w:color="auto" w:sz="4" w:space="0"/>
              <w:right w:val="single" w:color="auto" w:sz="4" w:space="0"/>
            </w:tcBorders>
            <w:noWrap/>
            <w:vAlign w:val="center"/>
          </w:tcPr>
          <w:p w14:paraId="0A312B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200</w:t>
            </w:r>
          </w:p>
        </w:tc>
      </w:tr>
      <w:tr w14:paraId="106880FD">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shd w:val="clear" w:color="000000" w:fill="FFFFFF"/>
            <w:noWrap/>
            <w:vAlign w:val="center"/>
          </w:tcPr>
          <w:p w14:paraId="6D089F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w:t>
            </w:r>
          </w:p>
        </w:tc>
        <w:tc>
          <w:tcPr>
            <w:tcW w:w="2008" w:type="pct"/>
            <w:tcBorders>
              <w:top w:val="nil"/>
              <w:left w:val="nil"/>
              <w:bottom w:val="single" w:color="auto" w:sz="4" w:space="0"/>
              <w:right w:val="single" w:color="auto" w:sz="4" w:space="0"/>
            </w:tcBorders>
            <w:noWrap/>
            <w:vAlign w:val="center"/>
          </w:tcPr>
          <w:p w14:paraId="7ED4EB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泰州市委党校</w:t>
            </w:r>
          </w:p>
        </w:tc>
        <w:tc>
          <w:tcPr>
            <w:tcW w:w="1284" w:type="pct"/>
            <w:tcBorders>
              <w:top w:val="nil"/>
              <w:left w:val="nil"/>
              <w:bottom w:val="single" w:color="auto" w:sz="4" w:space="0"/>
              <w:right w:val="single" w:color="auto" w:sz="4" w:space="0"/>
            </w:tcBorders>
            <w:noWrap/>
            <w:vAlign w:val="center"/>
          </w:tcPr>
          <w:p w14:paraId="494FD8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32058.92 </w:t>
            </w:r>
          </w:p>
        </w:tc>
        <w:tc>
          <w:tcPr>
            <w:tcW w:w="1155" w:type="pct"/>
            <w:tcBorders>
              <w:top w:val="nil"/>
              <w:left w:val="nil"/>
              <w:bottom w:val="single" w:color="auto" w:sz="4" w:space="0"/>
              <w:right w:val="single" w:color="auto" w:sz="4" w:space="0"/>
            </w:tcBorders>
            <w:noWrap/>
            <w:vAlign w:val="center"/>
          </w:tcPr>
          <w:p w14:paraId="1728B9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220</w:t>
            </w:r>
          </w:p>
        </w:tc>
      </w:tr>
      <w:tr w14:paraId="4AB82981">
        <w:tblPrEx>
          <w:tblCellMar>
            <w:top w:w="0" w:type="dxa"/>
            <w:left w:w="108" w:type="dxa"/>
            <w:bottom w:w="0" w:type="dxa"/>
            <w:right w:w="108" w:type="dxa"/>
          </w:tblCellMar>
        </w:tblPrEx>
        <w:trPr>
          <w:trHeight w:val="369" w:hRule="atLeast"/>
          <w:jc w:val="center"/>
        </w:trPr>
        <w:tc>
          <w:tcPr>
            <w:tcW w:w="551" w:type="pct"/>
            <w:tcBorders>
              <w:top w:val="nil"/>
              <w:left w:val="single" w:color="auto" w:sz="4" w:space="0"/>
              <w:bottom w:val="single" w:color="auto" w:sz="4" w:space="0"/>
              <w:right w:val="single" w:color="auto" w:sz="4" w:space="0"/>
            </w:tcBorders>
            <w:noWrap/>
            <w:vAlign w:val="center"/>
          </w:tcPr>
          <w:p w14:paraId="14291A8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w:t>
            </w:r>
          </w:p>
        </w:tc>
        <w:tc>
          <w:tcPr>
            <w:tcW w:w="2008" w:type="pct"/>
            <w:tcBorders>
              <w:top w:val="nil"/>
              <w:left w:val="nil"/>
              <w:bottom w:val="single" w:color="auto" w:sz="4" w:space="0"/>
              <w:right w:val="single" w:color="auto" w:sz="4" w:space="0"/>
            </w:tcBorders>
            <w:noWrap/>
            <w:vAlign w:val="center"/>
          </w:tcPr>
          <w:p w14:paraId="07EBF5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泰州市住房和城乡建设局</w:t>
            </w:r>
          </w:p>
        </w:tc>
        <w:tc>
          <w:tcPr>
            <w:tcW w:w="1284" w:type="pct"/>
            <w:tcBorders>
              <w:top w:val="nil"/>
              <w:left w:val="nil"/>
              <w:bottom w:val="single" w:color="auto" w:sz="4" w:space="0"/>
              <w:right w:val="single" w:color="auto" w:sz="4" w:space="0"/>
            </w:tcBorders>
            <w:noWrap/>
            <w:vAlign w:val="center"/>
          </w:tcPr>
          <w:p w14:paraId="0237FE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27226.47 </w:t>
            </w:r>
          </w:p>
        </w:tc>
        <w:tc>
          <w:tcPr>
            <w:tcW w:w="1155" w:type="pct"/>
            <w:tcBorders>
              <w:top w:val="nil"/>
              <w:left w:val="nil"/>
              <w:bottom w:val="single" w:color="auto" w:sz="4" w:space="0"/>
              <w:right w:val="single" w:color="auto" w:sz="4" w:space="0"/>
            </w:tcBorders>
            <w:noWrap/>
            <w:vAlign w:val="center"/>
          </w:tcPr>
          <w:p w14:paraId="39353E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460</w:t>
            </w:r>
          </w:p>
        </w:tc>
      </w:tr>
      <w:tr w14:paraId="57D6D9B1">
        <w:tblPrEx>
          <w:tblCellMar>
            <w:top w:w="0" w:type="dxa"/>
            <w:left w:w="108" w:type="dxa"/>
            <w:bottom w:w="0" w:type="dxa"/>
            <w:right w:w="108" w:type="dxa"/>
          </w:tblCellMar>
        </w:tblPrEx>
        <w:trPr>
          <w:trHeight w:val="369" w:hRule="atLeast"/>
          <w:jc w:val="center"/>
        </w:trPr>
        <w:tc>
          <w:tcPr>
            <w:tcW w:w="2559" w:type="pct"/>
            <w:gridSpan w:val="2"/>
            <w:tcBorders>
              <w:top w:val="nil"/>
              <w:left w:val="single" w:color="auto" w:sz="4" w:space="0"/>
              <w:bottom w:val="single" w:color="auto" w:sz="4" w:space="0"/>
              <w:right w:val="single" w:color="auto" w:sz="4" w:space="0"/>
            </w:tcBorders>
            <w:noWrap/>
            <w:vAlign w:val="center"/>
          </w:tcPr>
          <w:p w14:paraId="161D063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合计</w:t>
            </w:r>
          </w:p>
        </w:tc>
        <w:tc>
          <w:tcPr>
            <w:tcW w:w="1284" w:type="pct"/>
            <w:tcBorders>
              <w:top w:val="nil"/>
              <w:left w:val="nil"/>
              <w:bottom w:val="single" w:color="auto" w:sz="4" w:space="0"/>
              <w:right w:val="single" w:color="auto" w:sz="4" w:space="0"/>
            </w:tcBorders>
            <w:noWrap/>
            <w:vAlign w:val="center"/>
          </w:tcPr>
          <w:p w14:paraId="728449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335126.77</w:t>
            </w:r>
          </w:p>
        </w:tc>
        <w:tc>
          <w:tcPr>
            <w:tcW w:w="1155" w:type="pct"/>
            <w:tcBorders>
              <w:top w:val="nil"/>
              <w:left w:val="nil"/>
              <w:bottom w:val="single" w:color="auto" w:sz="4" w:space="0"/>
              <w:right w:val="single" w:color="auto" w:sz="4" w:space="0"/>
            </w:tcBorders>
            <w:noWrap/>
            <w:vAlign w:val="center"/>
          </w:tcPr>
          <w:p w14:paraId="57FE74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7313</w:t>
            </w:r>
          </w:p>
        </w:tc>
      </w:tr>
    </w:tbl>
    <w:p w14:paraId="686A421A">
      <w:pPr>
        <w:tabs>
          <w:tab w:val="left" w:pos="420"/>
        </w:tabs>
        <w:adjustRightInd w:val="0"/>
        <w:snapToGrid w:val="0"/>
        <w:spacing w:line="360" w:lineRule="auto"/>
        <w:ind w:left="420"/>
        <w:jc w:val="center"/>
        <w:rPr>
          <w:rFonts w:hint="default" w:ascii="Times New Roman" w:hAnsi="Times New Roman" w:eastAsia="宋体" w:cs="Times New Roman"/>
          <w:b/>
          <w:bCs/>
          <w:color w:val="auto"/>
          <w:sz w:val="24"/>
          <w:szCs w:val="24"/>
          <w:highlight w:val="none"/>
        </w:rPr>
        <w:sectPr>
          <w:headerReference r:id="rId5" w:type="first"/>
          <w:footerReference r:id="rId7" w:type="first"/>
          <w:footerReference r:id="rId6" w:type="default"/>
          <w:pgSz w:w="11906" w:h="16838"/>
          <w:pgMar w:top="1418" w:right="1021" w:bottom="1418" w:left="1021" w:header="567" w:footer="567" w:gutter="0"/>
          <w:pgNumType w:fmt="decimal" w:start="1"/>
          <w:cols w:space="720" w:num="1"/>
          <w:titlePg/>
          <w:docGrid w:linePitch="360" w:charSpace="0"/>
        </w:sectPr>
      </w:pPr>
    </w:p>
    <w:p w14:paraId="4F76C160">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（三）能源基准</w:t>
      </w:r>
    </w:p>
    <w:p w14:paraId="11029863">
      <w:pPr>
        <w:keepNext w:val="0"/>
        <w:keepLines w:val="0"/>
        <w:pageBreakBefore w:val="0"/>
        <w:widowControl w:val="0"/>
        <w:tabs>
          <w:tab w:val="left" w:pos="42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根据中华人民共和国机关事务行业标准《公共机构能源费用托管实施规程》（JS/T 301-2024），公共机构实施能源托管前应以托管项目实施前1年至3年为基准期开展能源审计，确定能源基准。托管范围包含现有用电、用水、用气、外供冷热量费用及空调系统维保费用。</w:t>
      </w:r>
    </w:p>
    <w:p w14:paraId="2D73B18B">
      <w:pPr>
        <w:keepNext w:val="0"/>
        <w:keepLines w:val="0"/>
        <w:pageBreakBefore w:val="0"/>
        <w:widowControl w:val="0"/>
        <w:tabs>
          <w:tab w:val="left" w:pos="420"/>
        </w:tabs>
        <w:kinsoku/>
        <w:wordWrap/>
        <w:overflowPunct/>
        <w:topLinePunct w:val="0"/>
        <w:autoSpaceDE/>
        <w:autoSpaceDN/>
        <w:bidi w:val="0"/>
        <w:adjustRightInd w:val="0"/>
        <w:snapToGrid w:val="0"/>
        <w:spacing w:line="240" w:lineRule="auto"/>
        <w:ind w:firstLine="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能源费用基数构成表</w:t>
      </w:r>
    </w:p>
    <w:tbl>
      <w:tblPr>
        <w:tblStyle w:val="57"/>
        <w:tblW w:w="15168" w:type="dxa"/>
        <w:jc w:val="center"/>
        <w:tblLayout w:type="fixed"/>
        <w:tblCellMar>
          <w:top w:w="0" w:type="dxa"/>
          <w:left w:w="108" w:type="dxa"/>
          <w:bottom w:w="0" w:type="dxa"/>
          <w:right w:w="108" w:type="dxa"/>
        </w:tblCellMar>
      </w:tblPr>
      <w:tblGrid>
        <w:gridCol w:w="710"/>
        <w:gridCol w:w="1509"/>
        <w:gridCol w:w="1326"/>
        <w:gridCol w:w="1417"/>
        <w:gridCol w:w="1134"/>
        <w:gridCol w:w="1190"/>
        <w:gridCol w:w="1290"/>
        <w:gridCol w:w="1347"/>
        <w:gridCol w:w="1276"/>
        <w:gridCol w:w="1247"/>
        <w:gridCol w:w="1290"/>
        <w:gridCol w:w="1432"/>
      </w:tblGrid>
      <w:tr w14:paraId="1BFA506A">
        <w:tblPrEx>
          <w:tblCellMar>
            <w:top w:w="0" w:type="dxa"/>
            <w:left w:w="108" w:type="dxa"/>
            <w:bottom w:w="0" w:type="dxa"/>
            <w:right w:w="108" w:type="dxa"/>
          </w:tblCellMar>
        </w:tblPrEx>
        <w:trPr>
          <w:trHeight w:val="768" w:hRule="atLeast"/>
          <w:jc w:val="center"/>
        </w:trPr>
        <w:tc>
          <w:tcPr>
            <w:tcW w:w="710" w:type="dxa"/>
            <w:tcBorders>
              <w:top w:val="single" w:color="auto" w:sz="4" w:space="0"/>
              <w:left w:val="single" w:color="auto" w:sz="4" w:space="0"/>
              <w:bottom w:val="single" w:color="auto" w:sz="4" w:space="0"/>
              <w:right w:val="single" w:color="auto" w:sz="4" w:space="0"/>
            </w:tcBorders>
            <w:noWrap/>
            <w:vAlign w:val="center"/>
          </w:tcPr>
          <w:p w14:paraId="2B9CB7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序号</w:t>
            </w:r>
          </w:p>
        </w:tc>
        <w:tc>
          <w:tcPr>
            <w:tcW w:w="1509" w:type="dxa"/>
            <w:tcBorders>
              <w:top w:val="single" w:color="auto" w:sz="4" w:space="0"/>
              <w:left w:val="nil"/>
              <w:bottom w:val="single" w:color="auto" w:sz="4" w:space="0"/>
              <w:right w:val="single" w:color="auto" w:sz="4" w:space="0"/>
            </w:tcBorders>
            <w:noWrap/>
            <w:vAlign w:val="center"/>
          </w:tcPr>
          <w:p w14:paraId="3648CE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单位名称</w:t>
            </w:r>
          </w:p>
        </w:tc>
        <w:tc>
          <w:tcPr>
            <w:tcW w:w="1326" w:type="dxa"/>
            <w:tcBorders>
              <w:top w:val="single" w:color="auto" w:sz="4" w:space="0"/>
              <w:left w:val="nil"/>
              <w:bottom w:val="single" w:color="auto" w:sz="4" w:space="0"/>
              <w:right w:val="single" w:color="auto" w:sz="4" w:space="0"/>
            </w:tcBorders>
            <w:noWrap/>
            <w:vAlign w:val="center"/>
          </w:tcPr>
          <w:p w14:paraId="2219537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基准电量（kWh）</w:t>
            </w:r>
          </w:p>
        </w:tc>
        <w:tc>
          <w:tcPr>
            <w:tcW w:w="1417" w:type="dxa"/>
            <w:tcBorders>
              <w:top w:val="single" w:color="auto" w:sz="4" w:space="0"/>
              <w:left w:val="nil"/>
              <w:bottom w:val="single" w:color="auto" w:sz="4" w:space="0"/>
              <w:right w:val="single" w:color="auto" w:sz="4" w:space="0"/>
            </w:tcBorders>
            <w:noWrap/>
            <w:vAlign w:val="center"/>
          </w:tcPr>
          <w:p w14:paraId="40A4810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基准电费（元）</w:t>
            </w:r>
          </w:p>
        </w:tc>
        <w:tc>
          <w:tcPr>
            <w:tcW w:w="1134" w:type="dxa"/>
            <w:tcBorders>
              <w:top w:val="single" w:color="auto" w:sz="4" w:space="0"/>
              <w:left w:val="nil"/>
              <w:bottom w:val="single" w:color="auto" w:sz="4" w:space="0"/>
              <w:right w:val="single" w:color="auto" w:sz="4" w:space="0"/>
            </w:tcBorders>
            <w:noWrap/>
            <w:vAlign w:val="center"/>
          </w:tcPr>
          <w:p w14:paraId="01F7DB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基准水量（m</w:t>
            </w:r>
            <w:r>
              <w:rPr>
                <w:rFonts w:hint="default" w:ascii="Times New Roman" w:hAnsi="Times New Roman" w:eastAsia="宋体" w:cs="Times New Roman"/>
                <w:b/>
                <w:bCs/>
                <w:color w:val="auto"/>
                <w:szCs w:val="21"/>
                <w:highlight w:val="none"/>
                <w:vertAlign w:val="superscript"/>
              </w:rPr>
              <w:t>3</w:t>
            </w:r>
            <w:r>
              <w:rPr>
                <w:rFonts w:hint="default" w:ascii="Times New Roman" w:hAnsi="Times New Roman" w:eastAsia="宋体" w:cs="Times New Roman"/>
                <w:b/>
                <w:bCs/>
                <w:color w:val="auto"/>
                <w:szCs w:val="21"/>
                <w:highlight w:val="none"/>
              </w:rPr>
              <w:t>）</w:t>
            </w:r>
          </w:p>
        </w:tc>
        <w:tc>
          <w:tcPr>
            <w:tcW w:w="1190" w:type="dxa"/>
            <w:tcBorders>
              <w:top w:val="single" w:color="auto" w:sz="4" w:space="0"/>
              <w:left w:val="nil"/>
              <w:bottom w:val="single" w:color="auto" w:sz="4" w:space="0"/>
              <w:right w:val="single" w:color="auto" w:sz="4" w:space="0"/>
            </w:tcBorders>
            <w:noWrap/>
            <w:vAlign w:val="center"/>
          </w:tcPr>
          <w:p w14:paraId="1C9CD5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基准水费（元）</w:t>
            </w:r>
          </w:p>
        </w:tc>
        <w:tc>
          <w:tcPr>
            <w:tcW w:w="1290" w:type="dxa"/>
            <w:tcBorders>
              <w:top w:val="single" w:color="auto" w:sz="4" w:space="0"/>
              <w:left w:val="nil"/>
              <w:bottom w:val="single" w:color="auto" w:sz="4" w:space="0"/>
              <w:right w:val="single" w:color="auto" w:sz="4" w:space="0"/>
            </w:tcBorders>
            <w:noWrap/>
            <w:vAlign w:val="center"/>
          </w:tcPr>
          <w:p w14:paraId="47B768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基准气量（m</w:t>
            </w:r>
            <w:r>
              <w:rPr>
                <w:rFonts w:hint="default" w:ascii="Times New Roman" w:hAnsi="Times New Roman" w:eastAsia="宋体" w:cs="Times New Roman"/>
                <w:b/>
                <w:bCs/>
                <w:color w:val="auto"/>
                <w:szCs w:val="21"/>
                <w:highlight w:val="none"/>
                <w:vertAlign w:val="superscript"/>
              </w:rPr>
              <w:t>3</w:t>
            </w:r>
            <w:r>
              <w:rPr>
                <w:rFonts w:hint="default" w:ascii="Times New Roman" w:hAnsi="Times New Roman" w:eastAsia="宋体" w:cs="Times New Roman"/>
                <w:b/>
                <w:bCs/>
                <w:color w:val="auto"/>
                <w:szCs w:val="21"/>
                <w:highlight w:val="none"/>
              </w:rPr>
              <w:t>）</w:t>
            </w:r>
          </w:p>
        </w:tc>
        <w:tc>
          <w:tcPr>
            <w:tcW w:w="1347" w:type="dxa"/>
            <w:tcBorders>
              <w:top w:val="single" w:color="auto" w:sz="4" w:space="0"/>
              <w:left w:val="nil"/>
              <w:bottom w:val="single" w:color="auto" w:sz="4" w:space="0"/>
              <w:right w:val="single" w:color="auto" w:sz="4" w:space="0"/>
            </w:tcBorders>
            <w:noWrap/>
            <w:vAlign w:val="center"/>
          </w:tcPr>
          <w:p w14:paraId="623738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基准气费（元）</w:t>
            </w:r>
          </w:p>
        </w:tc>
        <w:tc>
          <w:tcPr>
            <w:tcW w:w="1276" w:type="dxa"/>
            <w:tcBorders>
              <w:top w:val="single" w:color="auto" w:sz="4" w:space="0"/>
              <w:left w:val="nil"/>
              <w:bottom w:val="single" w:color="auto" w:sz="4" w:space="0"/>
              <w:right w:val="single" w:color="auto" w:sz="4" w:space="0"/>
            </w:tcBorders>
            <w:noWrap/>
            <w:vAlign w:val="center"/>
          </w:tcPr>
          <w:p w14:paraId="7B7D3C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w:t>
            </w:r>
            <w:r>
              <w:rPr>
                <w:rFonts w:hint="eastAsia" w:ascii="Times New Roman" w:hAnsi="Times New Roman" w:eastAsia="宋体" w:cs="Times New Roman"/>
                <w:b/>
                <w:bCs/>
                <w:color w:val="auto"/>
                <w:szCs w:val="21"/>
                <w:highlight w:val="none"/>
                <w:lang w:val="en-US" w:eastAsia="zh-CN"/>
              </w:rPr>
              <w:t>热力</w:t>
            </w:r>
            <w:r>
              <w:rPr>
                <w:rFonts w:hint="default" w:ascii="Times New Roman" w:hAnsi="Times New Roman" w:eastAsia="宋体" w:cs="Times New Roman"/>
                <w:b/>
                <w:bCs/>
                <w:color w:val="auto"/>
                <w:szCs w:val="21"/>
                <w:highlight w:val="none"/>
              </w:rPr>
              <w:t>量（</w:t>
            </w:r>
            <w:r>
              <w:rPr>
                <w:rFonts w:hint="eastAsia" w:ascii="Times New Roman" w:hAnsi="Times New Roman" w:eastAsia="宋体" w:cs="Times New Roman"/>
                <w:b/>
                <w:bCs/>
                <w:color w:val="auto"/>
                <w:szCs w:val="21"/>
                <w:highlight w:val="none"/>
                <w:lang w:val="en-US" w:eastAsia="zh-CN"/>
              </w:rPr>
              <w:t>GJ</w:t>
            </w:r>
            <w:r>
              <w:rPr>
                <w:rFonts w:hint="default" w:ascii="Times New Roman" w:hAnsi="Times New Roman" w:eastAsia="宋体" w:cs="Times New Roman"/>
                <w:b/>
                <w:bCs/>
                <w:color w:val="auto"/>
                <w:szCs w:val="21"/>
                <w:highlight w:val="none"/>
              </w:rPr>
              <w:t>）</w:t>
            </w:r>
          </w:p>
        </w:tc>
        <w:tc>
          <w:tcPr>
            <w:tcW w:w="1247" w:type="dxa"/>
            <w:tcBorders>
              <w:top w:val="single" w:color="auto" w:sz="4" w:space="0"/>
              <w:left w:val="nil"/>
              <w:bottom w:val="single" w:color="auto" w:sz="4" w:space="0"/>
              <w:right w:val="single" w:color="auto" w:sz="4" w:space="0"/>
            </w:tcBorders>
            <w:noWrap/>
            <w:vAlign w:val="center"/>
          </w:tcPr>
          <w:p w14:paraId="0E856CE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基准冷热量费用（元）</w:t>
            </w:r>
          </w:p>
        </w:tc>
        <w:tc>
          <w:tcPr>
            <w:tcW w:w="1290" w:type="dxa"/>
            <w:tcBorders>
              <w:top w:val="single" w:color="auto" w:sz="4" w:space="0"/>
              <w:left w:val="nil"/>
              <w:bottom w:val="single" w:color="auto" w:sz="4" w:space="0"/>
              <w:right w:val="single" w:color="auto" w:sz="4" w:space="0"/>
            </w:tcBorders>
            <w:vAlign w:val="center"/>
          </w:tcPr>
          <w:p w14:paraId="2FAFEB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空调维保费</w:t>
            </w:r>
            <w:r>
              <w:rPr>
                <w:rFonts w:hint="default" w:ascii="Times New Roman" w:hAnsi="Times New Roman" w:eastAsia="宋体" w:cs="Times New Roman"/>
                <w:b/>
                <w:bCs/>
                <w:color w:val="auto"/>
                <w:szCs w:val="21"/>
                <w:highlight w:val="none"/>
              </w:rPr>
              <w:br w:type="textWrapping"/>
            </w:r>
            <w:r>
              <w:rPr>
                <w:rFonts w:hint="default" w:ascii="Times New Roman" w:hAnsi="Times New Roman" w:eastAsia="宋体" w:cs="Times New Roman"/>
                <w:b/>
                <w:bCs/>
                <w:color w:val="auto"/>
                <w:szCs w:val="21"/>
                <w:highlight w:val="none"/>
              </w:rPr>
              <w:t>（元/年）</w:t>
            </w:r>
          </w:p>
        </w:tc>
        <w:tc>
          <w:tcPr>
            <w:tcW w:w="1432" w:type="dxa"/>
            <w:tcBorders>
              <w:top w:val="single" w:color="auto" w:sz="4" w:space="0"/>
              <w:left w:val="nil"/>
              <w:bottom w:val="single" w:color="auto" w:sz="4" w:space="0"/>
              <w:right w:val="single" w:color="auto" w:sz="4" w:space="0"/>
            </w:tcBorders>
            <w:noWrap/>
            <w:vAlign w:val="center"/>
          </w:tcPr>
          <w:p w14:paraId="0AF60A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基准合计值（元/年）</w:t>
            </w:r>
          </w:p>
        </w:tc>
      </w:tr>
      <w:tr w14:paraId="4320332E">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noWrap/>
            <w:vAlign w:val="center"/>
          </w:tcPr>
          <w:p w14:paraId="6CEBA60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w:t>
            </w:r>
          </w:p>
        </w:tc>
        <w:tc>
          <w:tcPr>
            <w:tcW w:w="1509" w:type="dxa"/>
            <w:tcBorders>
              <w:top w:val="nil"/>
              <w:left w:val="nil"/>
              <w:bottom w:val="single" w:color="auto" w:sz="4" w:space="0"/>
              <w:right w:val="single" w:color="auto" w:sz="4" w:space="0"/>
            </w:tcBorders>
            <w:noWrap/>
            <w:vAlign w:val="center"/>
          </w:tcPr>
          <w:p w14:paraId="274E66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89" w:name="OLE_LINK35"/>
            <w:bookmarkStart w:id="190" w:name="OLE_LINK36"/>
            <w:r>
              <w:rPr>
                <w:rFonts w:hint="default" w:ascii="Times New Roman" w:hAnsi="Times New Roman" w:eastAsia="宋体" w:cs="Times New Roman"/>
                <w:color w:val="auto"/>
                <w:szCs w:val="21"/>
                <w:highlight w:val="none"/>
              </w:rPr>
              <w:t>市财政局</w:t>
            </w:r>
            <w:bookmarkEnd w:id="189"/>
            <w:bookmarkEnd w:id="190"/>
          </w:p>
        </w:tc>
        <w:tc>
          <w:tcPr>
            <w:tcW w:w="1326" w:type="dxa"/>
            <w:tcBorders>
              <w:top w:val="nil"/>
              <w:left w:val="nil"/>
              <w:bottom w:val="single" w:color="auto" w:sz="4" w:space="0"/>
              <w:right w:val="single" w:color="auto" w:sz="4" w:space="0"/>
            </w:tcBorders>
            <w:noWrap/>
            <w:vAlign w:val="center"/>
          </w:tcPr>
          <w:p w14:paraId="05AF55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809975</w:t>
            </w:r>
          </w:p>
        </w:tc>
        <w:tc>
          <w:tcPr>
            <w:tcW w:w="1417" w:type="dxa"/>
            <w:tcBorders>
              <w:top w:val="nil"/>
              <w:left w:val="nil"/>
              <w:bottom w:val="single" w:color="auto" w:sz="4" w:space="0"/>
              <w:right w:val="single" w:color="auto" w:sz="4" w:space="0"/>
            </w:tcBorders>
            <w:noWrap/>
            <w:vAlign w:val="center"/>
          </w:tcPr>
          <w:p w14:paraId="3277899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593613.52</w:t>
            </w:r>
          </w:p>
        </w:tc>
        <w:tc>
          <w:tcPr>
            <w:tcW w:w="1134" w:type="dxa"/>
            <w:tcBorders>
              <w:top w:val="nil"/>
              <w:left w:val="nil"/>
              <w:bottom w:val="single" w:color="auto" w:sz="4" w:space="0"/>
              <w:right w:val="single" w:color="auto" w:sz="4" w:space="0"/>
            </w:tcBorders>
            <w:noWrap/>
            <w:vAlign w:val="center"/>
          </w:tcPr>
          <w:p w14:paraId="2EE676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10682</w:t>
            </w:r>
          </w:p>
        </w:tc>
        <w:tc>
          <w:tcPr>
            <w:tcW w:w="1190" w:type="dxa"/>
            <w:tcBorders>
              <w:top w:val="nil"/>
              <w:left w:val="nil"/>
              <w:bottom w:val="single" w:color="auto" w:sz="4" w:space="0"/>
              <w:right w:val="single" w:color="auto" w:sz="4" w:space="0"/>
            </w:tcBorders>
            <w:noWrap/>
            <w:vAlign w:val="center"/>
          </w:tcPr>
          <w:p w14:paraId="5A6442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37172.29</w:t>
            </w:r>
          </w:p>
        </w:tc>
        <w:tc>
          <w:tcPr>
            <w:tcW w:w="1290" w:type="dxa"/>
            <w:tcBorders>
              <w:top w:val="nil"/>
              <w:left w:val="nil"/>
              <w:bottom w:val="single" w:color="auto" w:sz="4" w:space="0"/>
              <w:right w:val="single" w:color="auto" w:sz="4" w:space="0"/>
            </w:tcBorders>
            <w:noWrap/>
            <w:vAlign w:val="center"/>
          </w:tcPr>
          <w:p w14:paraId="535495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13342</w:t>
            </w:r>
          </w:p>
        </w:tc>
        <w:tc>
          <w:tcPr>
            <w:tcW w:w="1347" w:type="dxa"/>
            <w:tcBorders>
              <w:top w:val="nil"/>
              <w:left w:val="nil"/>
              <w:bottom w:val="single" w:color="auto" w:sz="4" w:space="0"/>
              <w:right w:val="single" w:color="auto" w:sz="4" w:space="0"/>
            </w:tcBorders>
            <w:noWrap/>
            <w:vAlign w:val="center"/>
          </w:tcPr>
          <w:p w14:paraId="6EF37E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bidi="ar"/>
              </w:rPr>
              <w:t>55935.</w:t>
            </w:r>
            <w:r>
              <w:rPr>
                <w:rFonts w:hint="default" w:ascii="Times New Roman" w:hAnsi="Times New Roman" w:eastAsia="宋体" w:cs="Times New Roman"/>
                <w:color w:val="auto"/>
                <w:szCs w:val="21"/>
                <w:highlight w:val="none"/>
                <w:lang w:val="en-US" w:eastAsia="zh-CN" w:bidi="ar"/>
              </w:rPr>
              <w:t>76</w:t>
            </w:r>
          </w:p>
        </w:tc>
        <w:tc>
          <w:tcPr>
            <w:tcW w:w="1276" w:type="dxa"/>
            <w:tcBorders>
              <w:top w:val="nil"/>
              <w:left w:val="nil"/>
              <w:bottom w:val="single" w:color="auto" w:sz="4" w:space="0"/>
              <w:right w:val="single" w:color="auto" w:sz="4" w:space="0"/>
            </w:tcBorders>
            <w:noWrap/>
            <w:vAlign w:val="center"/>
          </w:tcPr>
          <w:p w14:paraId="0E586D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717B7A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290BB1D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25600</w:t>
            </w:r>
          </w:p>
        </w:tc>
        <w:tc>
          <w:tcPr>
            <w:tcW w:w="1432" w:type="dxa"/>
            <w:tcBorders>
              <w:top w:val="nil"/>
              <w:left w:val="nil"/>
              <w:bottom w:val="single" w:color="auto" w:sz="4" w:space="0"/>
              <w:right w:val="single" w:color="auto" w:sz="4" w:space="0"/>
            </w:tcBorders>
            <w:noWrap/>
            <w:vAlign w:val="center"/>
          </w:tcPr>
          <w:p w14:paraId="40B38C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712321.57</w:t>
            </w:r>
          </w:p>
        </w:tc>
      </w:tr>
      <w:tr w14:paraId="41AE5EEB">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noWrap/>
            <w:vAlign w:val="center"/>
          </w:tcPr>
          <w:p w14:paraId="45583AE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w:t>
            </w:r>
          </w:p>
        </w:tc>
        <w:tc>
          <w:tcPr>
            <w:tcW w:w="1509" w:type="dxa"/>
            <w:tcBorders>
              <w:top w:val="nil"/>
              <w:left w:val="nil"/>
              <w:bottom w:val="single" w:color="auto" w:sz="4" w:space="0"/>
              <w:right w:val="single" w:color="auto" w:sz="4" w:space="0"/>
            </w:tcBorders>
            <w:noWrap/>
            <w:vAlign w:val="center"/>
          </w:tcPr>
          <w:p w14:paraId="64D8D6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市公安局巡特警支队</w:t>
            </w:r>
          </w:p>
        </w:tc>
        <w:tc>
          <w:tcPr>
            <w:tcW w:w="1326" w:type="dxa"/>
            <w:tcBorders>
              <w:top w:val="nil"/>
              <w:left w:val="nil"/>
              <w:bottom w:val="single" w:color="auto" w:sz="4" w:space="0"/>
              <w:right w:val="single" w:color="auto" w:sz="4" w:space="0"/>
            </w:tcBorders>
            <w:noWrap/>
            <w:vAlign w:val="center"/>
          </w:tcPr>
          <w:p w14:paraId="6DA085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1487744</w:t>
            </w:r>
          </w:p>
        </w:tc>
        <w:tc>
          <w:tcPr>
            <w:tcW w:w="1417" w:type="dxa"/>
            <w:tcBorders>
              <w:top w:val="nil"/>
              <w:left w:val="nil"/>
              <w:bottom w:val="single" w:color="auto" w:sz="4" w:space="0"/>
              <w:right w:val="single" w:color="auto" w:sz="4" w:space="0"/>
            </w:tcBorders>
            <w:noWrap/>
            <w:vAlign w:val="center"/>
          </w:tcPr>
          <w:p w14:paraId="421F42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1096308.26</w:t>
            </w:r>
          </w:p>
        </w:tc>
        <w:tc>
          <w:tcPr>
            <w:tcW w:w="1134" w:type="dxa"/>
            <w:tcBorders>
              <w:top w:val="nil"/>
              <w:left w:val="nil"/>
              <w:bottom w:val="single" w:color="auto" w:sz="4" w:space="0"/>
              <w:right w:val="single" w:color="auto" w:sz="4" w:space="0"/>
            </w:tcBorders>
            <w:noWrap/>
            <w:vAlign w:val="center"/>
          </w:tcPr>
          <w:p w14:paraId="44495B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14763</w:t>
            </w:r>
          </w:p>
        </w:tc>
        <w:tc>
          <w:tcPr>
            <w:tcW w:w="1190" w:type="dxa"/>
            <w:tcBorders>
              <w:top w:val="nil"/>
              <w:left w:val="nil"/>
              <w:bottom w:val="single" w:color="auto" w:sz="4" w:space="0"/>
              <w:right w:val="single" w:color="auto" w:sz="4" w:space="0"/>
            </w:tcBorders>
            <w:noWrap/>
            <w:vAlign w:val="center"/>
          </w:tcPr>
          <w:p w14:paraId="4D4A87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52896.44</w:t>
            </w:r>
          </w:p>
        </w:tc>
        <w:tc>
          <w:tcPr>
            <w:tcW w:w="1290" w:type="dxa"/>
            <w:tcBorders>
              <w:top w:val="nil"/>
              <w:left w:val="nil"/>
              <w:bottom w:val="single" w:color="auto" w:sz="4" w:space="0"/>
              <w:right w:val="single" w:color="auto" w:sz="4" w:space="0"/>
            </w:tcBorders>
            <w:noWrap/>
            <w:vAlign w:val="center"/>
          </w:tcPr>
          <w:p w14:paraId="3F3FA0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16067</w:t>
            </w:r>
          </w:p>
        </w:tc>
        <w:tc>
          <w:tcPr>
            <w:tcW w:w="1347" w:type="dxa"/>
            <w:tcBorders>
              <w:top w:val="nil"/>
              <w:left w:val="nil"/>
              <w:bottom w:val="single" w:color="auto" w:sz="4" w:space="0"/>
              <w:right w:val="single" w:color="auto" w:sz="4" w:space="0"/>
            </w:tcBorders>
            <w:noWrap/>
            <w:vAlign w:val="center"/>
          </w:tcPr>
          <w:p w14:paraId="070B1A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63805.06</w:t>
            </w:r>
          </w:p>
        </w:tc>
        <w:tc>
          <w:tcPr>
            <w:tcW w:w="1276" w:type="dxa"/>
            <w:tcBorders>
              <w:top w:val="nil"/>
              <w:left w:val="nil"/>
              <w:bottom w:val="single" w:color="auto" w:sz="4" w:space="0"/>
              <w:right w:val="single" w:color="auto" w:sz="4" w:space="0"/>
            </w:tcBorders>
            <w:noWrap/>
            <w:vAlign w:val="center"/>
          </w:tcPr>
          <w:p w14:paraId="4FFCB1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2C341C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6642CA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98800</w:t>
            </w:r>
          </w:p>
        </w:tc>
        <w:tc>
          <w:tcPr>
            <w:tcW w:w="1432" w:type="dxa"/>
            <w:tcBorders>
              <w:top w:val="nil"/>
              <w:left w:val="nil"/>
              <w:bottom w:val="single" w:color="auto" w:sz="4" w:space="0"/>
              <w:right w:val="single" w:color="auto" w:sz="4" w:space="0"/>
            </w:tcBorders>
            <w:noWrap/>
            <w:vAlign w:val="center"/>
          </w:tcPr>
          <w:p w14:paraId="2B5046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1311809.76</w:t>
            </w:r>
          </w:p>
        </w:tc>
      </w:tr>
      <w:tr w14:paraId="565F90D5">
        <w:tblPrEx>
          <w:tblCellMar>
            <w:top w:w="0" w:type="dxa"/>
            <w:left w:w="108" w:type="dxa"/>
            <w:bottom w:w="0" w:type="dxa"/>
            <w:right w:w="108" w:type="dxa"/>
          </w:tblCellMar>
        </w:tblPrEx>
        <w:trPr>
          <w:trHeight w:val="422" w:hRule="atLeast"/>
          <w:jc w:val="center"/>
        </w:trPr>
        <w:tc>
          <w:tcPr>
            <w:tcW w:w="710" w:type="dxa"/>
            <w:vMerge w:val="restart"/>
            <w:tcBorders>
              <w:top w:val="nil"/>
              <w:left w:val="single" w:color="auto" w:sz="4" w:space="0"/>
              <w:right w:val="single" w:color="auto" w:sz="4" w:space="0"/>
            </w:tcBorders>
            <w:shd w:val="clear" w:color="000000" w:fill="FFFFFF"/>
            <w:noWrap/>
            <w:vAlign w:val="center"/>
          </w:tcPr>
          <w:p w14:paraId="597C27D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w:t>
            </w:r>
          </w:p>
        </w:tc>
        <w:tc>
          <w:tcPr>
            <w:tcW w:w="1509" w:type="dxa"/>
            <w:tcBorders>
              <w:top w:val="nil"/>
              <w:left w:val="nil"/>
              <w:bottom w:val="single" w:color="auto" w:sz="4" w:space="0"/>
              <w:right w:val="single" w:color="auto" w:sz="4" w:space="0"/>
            </w:tcBorders>
            <w:shd w:val="clear" w:color="000000" w:fill="FFFFFF"/>
            <w:noWrap/>
            <w:vAlign w:val="center"/>
          </w:tcPr>
          <w:p w14:paraId="0B119E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91" w:name="OLE_LINK39"/>
            <w:bookmarkStart w:id="192" w:name="OLE_LINK40"/>
            <w:r>
              <w:rPr>
                <w:rFonts w:hint="default" w:ascii="Times New Roman" w:hAnsi="Times New Roman" w:eastAsia="宋体" w:cs="Times New Roman"/>
                <w:color w:val="auto"/>
                <w:szCs w:val="21"/>
                <w:highlight w:val="none"/>
              </w:rPr>
              <w:t>市公安局北院</w:t>
            </w:r>
            <w:bookmarkEnd w:id="191"/>
            <w:bookmarkEnd w:id="192"/>
          </w:p>
        </w:tc>
        <w:tc>
          <w:tcPr>
            <w:tcW w:w="1326" w:type="dxa"/>
            <w:tcBorders>
              <w:top w:val="nil"/>
              <w:left w:val="nil"/>
              <w:bottom w:val="single" w:color="auto" w:sz="4" w:space="0"/>
              <w:right w:val="single" w:color="auto" w:sz="4" w:space="0"/>
            </w:tcBorders>
            <w:noWrap/>
            <w:vAlign w:val="center"/>
          </w:tcPr>
          <w:p w14:paraId="3E05F8B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1803217.31</w:t>
            </w:r>
          </w:p>
        </w:tc>
        <w:tc>
          <w:tcPr>
            <w:tcW w:w="1417" w:type="dxa"/>
            <w:tcBorders>
              <w:top w:val="nil"/>
              <w:left w:val="nil"/>
              <w:bottom w:val="single" w:color="auto" w:sz="4" w:space="0"/>
              <w:right w:val="single" w:color="auto" w:sz="4" w:space="0"/>
            </w:tcBorders>
            <w:noWrap/>
            <w:vAlign w:val="center"/>
          </w:tcPr>
          <w:p w14:paraId="062246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1330578.72</w:t>
            </w:r>
          </w:p>
        </w:tc>
        <w:tc>
          <w:tcPr>
            <w:tcW w:w="1134" w:type="dxa"/>
            <w:tcBorders>
              <w:top w:val="nil"/>
              <w:left w:val="nil"/>
              <w:bottom w:val="single" w:color="auto" w:sz="4" w:space="0"/>
              <w:right w:val="single" w:color="auto" w:sz="4" w:space="0"/>
            </w:tcBorders>
            <w:noWrap/>
            <w:vAlign w:val="center"/>
          </w:tcPr>
          <w:p w14:paraId="6BE7A5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15206</w:t>
            </w:r>
          </w:p>
        </w:tc>
        <w:tc>
          <w:tcPr>
            <w:tcW w:w="1190" w:type="dxa"/>
            <w:tcBorders>
              <w:top w:val="nil"/>
              <w:left w:val="nil"/>
              <w:bottom w:val="single" w:color="auto" w:sz="4" w:space="0"/>
              <w:right w:val="single" w:color="auto" w:sz="4" w:space="0"/>
            </w:tcBorders>
            <w:noWrap/>
            <w:vAlign w:val="center"/>
          </w:tcPr>
          <w:p w14:paraId="30B726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54589.54</w:t>
            </w:r>
          </w:p>
        </w:tc>
        <w:tc>
          <w:tcPr>
            <w:tcW w:w="1290" w:type="dxa"/>
            <w:tcBorders>
              <w:top w:val="nil"/>
              <w:left w:val="nil"/>
              <w:bottom w:val="single" w:color="auto" w:sz="4" w:space="0"/>
              <w:right w:val="single" w:color="auto" w:sz="4" w:space="0"/>
            </w:tcBorders>
            <w:noWrap/>
            <w:vAlign w:val="center"/>
          </w:tcPr>
          <w:p w14:paraId="7D406C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22865</w:t>
            </w:r>
          </w:p>
        </w:tc>
        <w:tc>
          <w:tcPr>
            <w:tcW w:w="1347" w:type="dxa"/>
            <w:tcBorders>
              <w:top w:val="nil"/>
              <w:left w:val="nil"/>
              <w:bottom w:val="single" w:color="auto" w:sz="4" w:space="0"/>
              <w:right w:val="single" w:color="auto" w:sz="4" w:space="0"/>
            </w:tcBorders>
            <w:noWrap/>
            <w:vAlign w:val="center"/>
          </w:tcPr>
          <w:p w14:paraId="2B9FC5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94432.45</w:t>
            </w:r>
          </w:p>
        </w:tc>
        <w:tc>
          <w:tcPr>
            <w:tcW w:w="1276" w:type="dxa"/>
            <w:tcBorders>
              <w:top w:val="single" w:color="auto" w:sz="4" w:space="0"/>
              <w:left w:val="single" w:color="auto" w:sz="4" w:space="0"/>
              <w:bottom w:val="single" w:color="auto" w:sz="4" w:space="0"/>
              <w:right w:val="single" w:color="auto" w:sz="4" w:space="0"/>
            </w:tcBorders>
            <w:noWrap/>
            <w:vAlign w:val="center"/>
          </w:tcPr>
          <w:p w14:paraId="2B6772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w:t>
            </w:r>
          </w:p>
        </w:tc>
        <w:tc>
          <w:tcPr>
            <w:tcW w:w="1247" w:type="dxa"/>
            <w:tcBorders>
              <w:top w:val="nil"/>
              <w:left w:val="single" w:color="auto" w:sz="4" w:space="0"/>
              <w:bottom w:val="single" w:color="auto" w:sz="4" w:space="0"/>
              <w:right w:val="single" w:color="auto" w:sz="4" w:space="0"/>
            </w:tcBorders>
            <w:noWrap/>
            <w:vAlign w:val="center"/>
          </w:tcPr>
          <w:p w14:paraId="3AA8EC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w:t>
            </w:r>
          </w:p>
        </w:tc>
        <w:tc>
          <w:tcPr>
            <w:tcW w:w="1290" w:type="dxa"/>
            <w:tcBorders>
              <w:top w:val="nil"/>
              <w:left w:val="nil"/>
              <w:bottom w:val="single" w:color="auto" w:sz="4" w:space="0"/>
              <w:right w:val="single" w:color="auto" w:sz="4" w:space="0"/>
            </w:tcBorders>
            <w:noWrap/>
            <w:vAlign w:val="center"/>
          </w:tcPr>
          <w:p w14:paraId="7D90C3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81500</w:t>
            </w:r>
          </w:p>
        </w:tc>
        <w:tc>
          <w:tcPr>
            <w:tcW w:w="1432" w:type="dxa"/>
            <w:tcBorders>
              <w:top w:val="nil"/>
              <w:left w:val="nil"/>
              <w:bottom w:val="single" w:color="auto" w:sz="4" w:space="0"/>
              <w:right w:val="single" w:color="auto" w:sz="4" w:space="0"/>
            </w:tcBorders>
            <w:noWrap/>
            <w:vAlign w:val="center"/>
          </w:tcPr>
          <w:p w14:paraId="3599550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1561100.71</w:t>
            </w:r>
          </w:p>
        </w:tc>
      </w:tr>
      <w:tr w14:paraId="0967AEC4">
        <w:tblPrEx>
          <w:tblCellMar>
            <w:top w:w="0" w:type="dxa"/>
            <w:left w:w="108" w:type="dxa"/>
            <w:bottom w:w="0" w:type="dxa"/>
            <w:right w:w="108" w:type="dxa"/>
          </w:tblCellMar>
        </w:tblPrEx>
        <w:trPr>
          <w:trHeight w:val="422" w:hRule="atLeast"/>
          <w:jc w:val="center"/>
        </w:trPr>
        <w:tc>
          <w:tcPr>
            <w:tcW w:w="710" w:type="dxa"/>
            <w:vMerge w:val="continue"/>
            <w:tcBorders>
              <w:left w:val="single" w:color="auto" w:sz="4" w:space="0"/>
              <w:bottom w:val="single" w:color="auto" w:sz="4" w:space="0"/>
              <w:right w:val="single" w:color="auto" w:sz="4" w:space="0"/>
            </w:tcBorders>
            <w:shd w:val="clear" w:color="000000" w:fill="FFFFFF"/>
            <w:noWrap/>
            <w:vAlign w:val="center"/>
          </w:tcPr>
          <w:p w14:paraId="2B442A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p>
        </w:tc>
        <w:tc>
          <w:tcPr>
            <w:tcW w:w="1509" w:type="dxa"/>
            <w:tcBorders>
              <w:top w:val="nil"/>
              <w:left w:val="nil"/>
              <w:bottom w:val="single" w:color="auto" w:sz="4" w:space="0"/>
              <w:right w:val="single" w:color="auto" w:sz="4" w:space="0"/>
            </w:tcBorders>
            <w:shd w:val="clear" w:color="000000" w:fill="FFFFFF"/>
            <w:noWrap/>
            <w:vAlign w:val="center"/>
          </w:tcPr>
          <w:p w14:paraId="711C526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市公安局南院</w:t>
            </w:r>
          </w:p>
        </w:tc>
        <w:tc>
          <w:tcPr>
            <w:tcW w:w="1326" w:type="dxa"/>
            <w:tcBorders>
              <w:top w:val="nil"/>
              <w:left w:val="nil"/>
              <w:bottom w:val="single" w:color="auto" w:sz="4" w:space="0"/>
              <w:right w:val="single" w:color="auto" w:sz="4" w:space="0"/>
            </w:tcBorders>
            <w:noWrap/>
            <w:vAlign w:val="center"/>
          </w:tcPr>
          <w:p w14:paraId="66929C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9368647.67</w:t>
            </w:r>
          </w:p>
        </w:tc>
        <w:tc>
          <w:tcPr>
            <w:tcW w:w="1417" w:type="dxa"/>
            <w:tcBorders>
              <w:top w:val="nil"/>
              <w:left w:val="nil"/>
              <w:bottom w:val="single" w:color="auto" w:sz="4" w:space="0"/>
              <w:right w:val="single" w:color="auto" w:sz="4" w:space="0"/>
            </w:tcBorders>
            <w:noWrap/>
            <w:vAlign w:val="center"/>
          </w:tcPr>
          <w:p w14:paraId="219A0F1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6872414.17</w:t>
            </w:r>
          </w:p>
        </w:tc>
        <w:tc>
          <w:tcPr>
            <w:tcW w:w="1134" w:type="dxa"/>
            <w:tcBorders>
              <w:top w:val="nil"/>
              <w:left w:val="nil"/>
              <w:bottom w:val="single" w:color="auto" w:sz="4" w:space="0"/>
              <w:right w:val="single" w:color="auto" w:sz="4" w:space="0"/>
            </w:tcBorders>
            <w:noWrap/>
            <w:vAlign w:val="center"/>
          </w:tcPr>
          <w:p w14:paraId="2E413E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37955</w:t>
            </w:r>
          </w:p>
        </w:tc>
        <w:tc>
          <w:tcPr>
            <w:tcW w:w="1190" w:type="dxa"/>
            <w:tcBorders>
              <w:top w:val="nil"/>
              <w:left w:val="nil"/>
              <w:bottom w:val="single" w:color="auto" w:sz="4" w:space="0"/>
              <w:right w:val="single" w:color="auto" w:sz="4" w:space="0"/>
            </w:tcBorders>
            <w:noWrap/>
            <w:vAlign w:val="center"/>
          </w:tcPr>
          <w:p w14:paraId="1814B06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136258.45</w:t>
            </w:r>
          </w:p>
        </w:tc>
        <w:tc>
          <w:tcPr>
            <w:tcW w:w="1290" w:type="dxa"/>
            <w:tcBorders>
              <w:top w:val="nil"/>
              <w:left w:val="nil"/>
              <w:bottom w:val="single" w:color="auto" w:sz="4" w:space="0"/>
              <w:right w:val="single" w:color="auto" w:sz="4" w:space="0"/>
            </w:tcBorders>
            <w:noWrap/>
            <w:vAlign w:val="center"/>
          </w:tcPr>
          <w:p w14:paraId="6CBF06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35848</w:t>
            </w:r>
          </w:p>
        </w:tc>
        <w:tc>
          <w:tcPr>
            <w:tcW w:w="1347" w:type="dxa"/>
            <w:tcBorders>
              <w:top w:val="nil"/>
              <w:left w:val="nil"/>
              <w:bottom w:val="single" w:color="auto" w:sz="4" w:space="0"/>
              <w:right w:val="single" w:color="auto" w:sz="4" w:space="0"/>
            </w:tcBorders>
            <w:noWrap/>
            <w:vAlign w:val="center"/>
          </w:tcPr>
          <w:p w14:paraId="77665C3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149757.21</w:t>
            </w:r>
          </w:p>
        </w:tc>
        <w:tc>
          <w:tcPr>
            <w:tcW w:w="1276" w:type="dxa"/>
            <w:tcBorders>
              <w:top w:val="single" w:color="auto" w:sz="4" w:space="0"/>
              <w:left w:val="single" w:color="auto" w:sz="4" w:space="0"/>
              <w:bottom w:val="single" w:color="auto" w:sz="4" w:space="0"/>
              <w:right w:val="single" w:color="auto" w:sz="4" w:space="0"/>
            </w:tcBorders>
            <w:noWrap/>
            <w:vAlign w:val="center"/>
          </w:tcPr>
          <w:p w14:paraId="2CED65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12085.2</w:t>
            </w:r>
            <w:r>
              <w:rPr>
                <w:rFonts w:hint="eastAsia" w:ascii="Times New Roman" w:hAnsi="Times New Roman" w:eastAsia="宋体" w:cs="Times New Roman"/>
                <w:color w:val="auto"/>
                <w:szCs w:val="21"/>
                <w:highlight w:val="none"/>
                <w:lang w:val="en-US" w:eastAsia="zh-CN"/>
              </w:rPr>
              <w:t>0</w:t>
            </w:r>
          </w:p>
        </w:tc>
        <w:tc>
          <w:tcPr>
            <w:tcW w:w="1247" w:type="dxa"/>
            <w:tcBorders>
              <w:top w:val="nil"/>
              <w:left w:val="single" w:color="auto" w:sz="4" w:space="0"/>
              <w:bottom w:val="single" w:color="auto" w:sz="4" w:space="0"/>
              <w:right w:val="single" w:color="auto" w:sz="4" w:space="0"/>
            </w:tcBorders>
            <w:noWrap/>
            <w:vAlign w:val="center"/>
          </w:tcPr>
          <w:p w14:paraId="2A5BDB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1644930</w:t>
            </w:r>
          </w:p>
        </w:tc>
        <w:tc>
          <w:tcPr>
            <w:tcW w:w="1290" w:type="dxa"/>
            <w:tcBorders>
              <w:top w:val="nil"/>
              <w:left w:val="nil"/>
              <w:bottom w:val="single" w:color="auto" w:sz="4" w:space="0"/>
              <w:right w:val="single" w:color="auto" w:sz="4" w:space="0"/>
            </w:tcBorders>
            <w:noWrap/>
            <w:vAlign w:val="center"/>
          </w:tcPr>
          <w:p w14:paraId="2100D5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64000</w:t>
            </w:r>
          </w:p>
        </w:tc>
        <w:tc>
          <w:tcPr>
            <w:tcW w:w="1432" w:type="dxa"/>
            <w:tcBorders>
              <w:top w:val="nil"/>
              <w:left w:val="nil"/>
              <w:bottom w:val="single" w:color="auto" w:sz="4" w:space="0"/>
              <w:right w:val="single" w:color="auto" w:sz="4" w:space="0"/>
            </w:tcBorders>
            <w:noWrap/>
            <w:vAlign w:val="center"/>
          </w:tcPr>
          <w:p w14:paraId="3803EB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8867359.83</w:t>
            </w:r>
          </w:p>
        </w:tc>
      </w:tr>
      <w:tr w14:paraId="242D9A47">
        <w:tblPrEx>
          <w:tblCellMar>
            <w:top w:w="0" w:type="dxa"/>
            <w:left w:w="108" w:type="dxa"/>
            <w:bottom w:w="0" w:type="dxa"/>
            <w:right w:w="108" w:type="dxa"/>
          </w:tblCellMar>
        </w:tblPrEx>
        <w:trPr>
          <w:trHeight w:val="422" w:hRule="atLeast"/>
          <w:jc w:val="center"/>
        </w:trPr>
        <w:tc>
          <w:tcPr>
            <w:tcW w:w="71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69A83F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4</w:t>
            </w:r>
          </w:p>
        </w:tc>
        <w:tc>
          <w:tcPr>
            <w:tcW w:w="1509" w:type="dxa"/>
            <w:tcBorders>
              <w:top w:val="nil"/>
              <w:left w:val="nil"/>
              <w:bottom w:val="single" w:color="auto" w:sz="4" w:space="0"/>
              <w:right w:val="single" w:color="auto" w:sz="4" w:space="0"/>
            </w:tcBorders>
            <w:shd w:val="clear" w:color="000000" w:fill="FFFFFF"/>
            <w:noWrap/>
            <w:vAlign w:val="center"/>
          </w:tcPr>
          <w:p w14:paraId="76AB9B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93" w:name="OLE_LINK41"/>
            <w:r>
              <w:rPr>
                <w:rFonts w:hint="default" w:ascii="Times New Roman" w:hAnsi="Times New Roman" w:eastAsia="宋体" w:cs="Times New Roman"/>
                <w:color w:val="auto"/>
                <w:szCs w:val="21"/>
                <w:highlight w:val="none"/>
              </w:rPr>
              <w:t>市公安局海陵分局</w:t>
            </w:r>
            <w:bookmarkEnd w:id="193"/>
          </w:p>
        </w:tc>
        <w:tc>
          <w:tcPr>
            <w:tcW w:w="1326" w:type="dxa"/>
            <w:tcBorders>
              <w:top w:val="nil"/>
              <w:left w:val="nil"/>
              <w:bottom w:val="single" w:color="auto" w:sz="4" w:space="0"/>
              <w:right w:val="single" w:color="auto" w:sz="4" w:space="0"/>
            </w:tcBorders>
            <w:noWrap/>
            <w:vAlign w:val="center"/>
          </w:tcPr>
          <w:p w14:paraId="3088182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2134154.78</w:t>
            </w:r>
          </w:p>
        </w:tc>
        <w:tc>
          <w:tcPr>
            <w:tcW w:w="1417" w:type="dxa"/>
            <w:tcBorders>
              <w:top w:val="nil"/>
              <w:left w:val="nil"/>
              <w:bottom w:val="single" w:color="auto" w:sz="4" w:space="0"/>
              <w:right w:val="single" w:color="auto" w:sz="4" w:space="0"/>
            </w:tcBorders>
            <w:noWrap/>
            <w:vAlign w:val="center"/>
          </w:tcPr>
          <w:p w14:paraId="70143F8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1569226.71</w:t>
            </w:r>
          </w:p>
        </w:tc>
        <w:tc>
          <w:tcPr>
            <w:tcW w:w="1134" w:type="dxa"/>
            <w:tcBorders>
              <w:top w:val="nil"/>
              <w:left w:val="nil"/>
              <w:bottom w:val="single" w:color="auto" w:sz="4" w:space="0"/>
              <w:right w:val="single" w:color="auto" w:sz="4" w:space="0"/>
            </w:tcBorders>
            <w:noWrap/>
            <w:vAlign w:val="center"/>
          </w:tcPr>
          <w:p w14:paraId="53D6EF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16790</w:t>
            </w:r>
          </w:p>
        </w:tc>
        <w:tc>
          <w:tcPr>
            <w:tcW w:w="1190" w:type="dxa"/>
            <w:tcBorders>
              <w:top w:val="nil"/>
              <w:left w:val="nil"/>
              <w:bottom w:val="single" w:color="auto" w:sz="4" w:space="0"/>
              <w:right w:val="single" w:color="auto" w:sz="4" w:space="0"/>
            </w:tcBorders>
            <w:noWrap/>
            <w:vAlign w:val="center"/>
          </w:tcPr>
          <w:p w14:paraId="77BB1E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59584.53</w:t>
            </w:r>
          </w:p>
        </w:tc>
        <w:tc>
          <w:tcPr>
            <w:tcW w:w="1290" w:type="dxa"/>
            <w:tcBorders>
              <w:top w:val="nil"/>
              <w:left w:val="nil"/>
              <w:bottom w:val="single" w:color="auto" w:sz="4" w:space="0"/>
              <w:right w:val="single" w:color="auto" w:sz="4" w:space="0"/>
            </w:tcBorders>
            <w:noWrap/>
            <w:vAlign w:val="center"/>
          </w:tcPr>
          <w:p w14:paraId="609ABF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13854</w:t>
            </w:r>
          </w:p>
        </w:tc>
        <w:tc>
          <w:tcPr>
            <w:tcW w:w="1347" w:type="dxa"/>
            <w:tcBorders>
              <w:top w:val="nil"/>
              <w:left w:val="nil"/>
              <w:bottom w:val="single" w:color="auto" w:sz="4" w:space="0"/>
              <w:right w:val="single" w:color="auto" w:sz="4" w:space="0"/>
            </w:tcBorders>
            <w:noWrap/>
            <w:vAlign w:val="center"/>
          </w:tcPr>
          <w:p w14:paraId="2BB252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58323.61</w:t>
            </w:r>
          </w:p>
        </w:tc>
        <w:tc>
          <w:tcPr>
            <w:tcW w:w="1276" w:type="dxa"/>
            <w:tcBorders>
              <w:top w:val="single" w:color="auto" w:sz="4" w:space="0"/>
              <w:left w:val="nil"/>
              <w:bottom w:val="single" w:color="auto" w:sz="4" w:space="0"/>
              <w:right w:val="single" w:color="auto" w:sz="4" w:space="0"/>
            </w:tcBorders>
            <w:shd w:val="clear" w:color="000000" w:fill="FFFFFF"/>
            <w:noWrap/>
            <w:vAlign w:val="center"/>
          </w:tcPr>
          <w:p w14:paraId="73052BF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28740E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075A3C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37800</w:t>
            </w:r>
          </w:p>
        </w:tc>
        <w:tc>
          <w:tcPr>
            <w:tcW w:w="1432" w:type="dxa"/>
            <w:tcBorders>
              <w:top w:val="nil"/>
              <w:left w:val="nil"/>
              <w:bottom w:val="single" w:color="auto" w:sz="4" w:space="0"/>
              <w:right w:val="single" w:color="auto" w:sz="4" w:space="0"/>
            </w:tcBorders>
            <w:noWrap/>
            <w:vAlign w:val="center"/>
          </w:tcPr>
          <w:p w14:paraId="2BDEFA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1724934.85</w:t>
            </w:r>
          </w:p>
        </w:tc>
      </w:tr>
      <w:tr w14:paraId="6F794935">
        <w:tblPrEx>
          <w:tblCellMar>
            <w:top w:w="0" w:type="dxa"/>
            <w:left w:w="108" w:type="dxa"/>
            <w:bottom w:w="0" w:type="dxa"/>
            <w:right w:w="108" w:type="dxa"/>
          </w:tblCellMar>
        </w:tblPrEx>
        <w:trPr>
          <w:trHeight w:val="422" w:hRule="atLeast"/>
          <w:jc w:val="center"/>
        </w:trPr>
        <w:tc>
          <w:tcPr>
            <w:tcW w:w="710" w:type="dxa"/>
            <w:tcBorders>
              <w:top w:val="single" w:color="auto" w:sz="4" w:space="0"/>
              <w:left w:val="single" w:color="auto" w:sz="4" w:space="0"/>
              <w:bottom w:val="single" w:color="auto" w:sz="4" w:space="0"/>
              <w:right w:val="single" w:color="auto" w:sz="4" w:space="0"/>
            </w:tcBorders>
            <w:shd w:val="clear" w:color="000000" w:fill="FFFFFF"/>
            <w:noWrap/>
            <w:vAlign w:val="center"/>
          </w:tcPr>
          <w:p w14:paraId="04845FA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w:t>
            </w:r>
          </w:p>
        </w:tc>
        <w:tc>
          <w:tcPr>
            <w:tcW w:w="1509" w:type="dxa"/>
            <w:tcBorders>
              <w:top w:val="nil"/>
              <w:left w:val="nil"/>
              <w:bottom w:val="single" w:color="auto" w:sz="4" w:space="0"/>
              <w:right w:val="single" w:color="auto" w:sz="4" w:space="0"/>
            </w:tcBorders>
            <w:shd w:val="clear" w:color="000000" w:fill="FFFFFF"/>
            <w:noWrap/>
            <w:vAlign w:val="center"/>
          </w:tcPr>
          <w:p w14:paraId="655727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94" w:name="OLE_LINK42"/>
            <w:r>
              <w:rPr>
                <w:rFonts w:hint="default" w:ascii="Times New Roman" w:hAnsi="Times New Roman" w:eastAsia="宋体" w:cs="Times New Roman"/>
                <w:color w:val="auto"/>
                <w:szCs w:val="21"/>
                <w:highlight w:val="none"/>
              </w:rPr>
              <w:t>市公安局姜堰分局</w:t>
            </w:r>
            <w:bookmarkEnd w:id="194"/>
          </w:p>
        </w:tc>
        <w:tc>
          <w:tcPr>
            <w:tcW w:w="1326" w:type="dxa"/>
            <w:tcBorders>
              <w:top w:val="nil"/>
              <w:left w:val="nil"/>
              <w:bottom w:val="single" w:color="auto" w:sz="4" w:space="0"/>
              <w:right w:val="single" w:color="auto" w:sz="4" w:space="0"/>
            </w:tcBorders>
            <w:noWrap/>
            <w:vAlign w:val="center"/>
          </w:tcPr>
          <w:p w14:paraId="5B82B2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3955441.54</w:t>
            </w:r>
          </w:p>
        </w:tc>
        <w:tc>
          <w:tcPr>
            <w:tcW w:w="1417" w:type="dxa"/>
            <w:tcBorders>
              <w:top w:val="nil"/>
              <w:left w:val="nil"/>
              <w:bottom w:val="single" w:color="auto" w:sz="4" w:space="0"/>
              <w:right w:val="single" w:color="auto" w:sz="4" w:space="0"/>
            </w:tcBorders>
            <w:noWrap/>
            <w:vAlign w:val="center"/>
          </w:tcPr>
          <w:p w14:paraId="40013E9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2858337.04</w:t>
            </w:r>
          </w:p>
        </w:tc>
        <w:tc>
          <w:tcPr>
            <w:tcW w:w="1134" w:type="dxa"/>
            <w:tcBorders>
              <w:top w:val="nil"/>
              <w:left w:val="nil"/>
              <w:bottom w:val="single" w:color="auto" w:sz="4" w:space="0"/>
              <w:right w:val="single" w:color="auto" w:sz="4" w:space="0"/>
            </w:tcBorders>
            <w:noWrap/>
            <w:vAlign w:val="center"/>
          </w:tcPr>
          <w:p w14:paraId="0ACA6E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48139</w:t>
            </w:r>
          </w:p>
        </w:tc>
        <w:tc>
          <w:tcPr>
            <w:tcW w:w="1190" w:type="dxa"/>
            <w:tcBorders>
              <w:top w:val="nil"/>
              <w:left w:val="nil"/>
              <w:bottom w:val="single" w:color="auto" w:sz="4" w:space="0"/>
              <w:right w:val="single" w:color="auto" w:sz="4" w:space="0"/>
            </w:tcBorders>
            <w:noWrap/>
            <w:vAlign w:val="center"/>
          </w:tcPr>
          <w:p w14:paraId="12F89A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59546.07</w:t>
            </w:r>
          </w:p>
        </w:tc>
        <w:tc>
          <w:tcPr>
            <w:tcW w:w="1290" w:type="dxa"/>
            <w:tcBorders>
              <w:top w:val="nil"/>
              <w:left w:val="nil"/>
              <w:bottom w:val="single" w:color="auto" w:sz="4" w:space="0"/>
              <w:right w:val="single" w:color="auto" w:sz="4" w:space="0"/>
            </w:tcBorders>
            <w:noWrap/>
            <w:vAlign w:val="center"/>
          </w:tcPr>
          <w:p w14:paraId="665BAE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19851</w:t>
            </w:r>
          </w:p>
        </w:tc>
        <w:tc>
          <w:tcPr>
            <w:tcW w:w="1347" w:type="dxa"/>
            <w:tcBorders>
              <w:top w:val="nil"/>
              <w:left w:val="nil"/>
              <w:bottom w:val="single" w:color="auto" w:sz="4" w:space="0"/>
              <w:right w:val="single" w:color="auto" w:sz="4" w:space="0"/>
            </w:tcBorders>
            <w:noWrap/>
            <w:vAlign w:val="center"/>
          </w:tcPr>
          <w:p w14:paraId="6635731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81293.08</w:t>
            </w:r>
          </w:p>
        </w:tc>
        <w:tc>
          <w:tcPr>
            <w:tcW w:w="1276" w:type="dxa"/>
            <w:tcBorders>
              <w:top w:val="nil"/>
              <w:left w:val="nil"/>
              <w:bottom w:val="single" w:color="auto" w:sz="4" w:space="0"/>
              <w:right w:val="single" w:color="auto" w:sz="4" w:space="0"/>
            </w:tcBorders>
            <w:shd w:val="clear" w:color="000000" w:fill="FFFFFF"/>
            <w:noWrap/>
            <w:vAlign w:val="center"/>
          </w:tcPr>
          <w:p w14:paraId="2B8C765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46A5E5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6562CB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45050</w:t>
            </w:r>
          </w:p>
        </w:tc>
        <w:tc>
          <w:tcPr>
            <w:tcW w:w="1432" w:type="dxa"/>
            <w:tcBorders>
              <w:top w:val="nil"/>
              <w:left w:val="nil"/>
              <w:bottom w:val="single" w:color="auto" w:sz="4" w:space="0"/>
              <w:right w:val="single" w:color="auto" w:sz="4" w:space="0"/>
            </w:tcBorders>
            <w:noWrap/>
            <w:vAlign w:val="center"/>
          </w:tcPr>
          <w:p w14:paraId="1A37F3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3044226.19</w:t>
            </w:r>
          </w:p>
        </w:tc>
      </w:tr>
      <w:tr w14:paraId="56E5D252">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noWrap/>
            <w:vAlign w:val="center"/>
          </w:tcPr>
          <w:p w14:paraId="1AFA6F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6</w:t>
            </w:r>
          </w:p>
        </w:tc>
        <w:tc>
          <w:tcPr>
            <w:tcW w:w="1509" w:type="dxa"/>
            <w:tcBorders>
              <w:top w:val="nil"/>
              <w:left w:val="nil"/>
              <w:bottom w:val="single" w:color="auto" w:sz="4" w:space="0"/>
              <w:right w:val="single" w:color="auto" w:sz="4" w:space="0"/>
            </w:tcBorders>
            <w:noWrap/>
            <w:vAlign w:val="center"/>
          </w:tcPr>
          <w:p w14:paraId="148584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95" w:name="OLE_LINK44"/>
            <w:r>
              <w:rPr>
                <w:rFonts w:hint="default" w:ascii="Times New Roman" w:hAnsi="Times New Roman" w:eastAsia="宋体" w:cs="Times New Roman"/>
                <w:color w:val="auto"/>
                <w:szCs w:val="21"/>
                <w:highlight w:val="none"/>
              </w:rPr>
              <w:t>市人民检察院</w:t>
            </w:r>
            <w:bookmarkEnd w:id="195"/>
          </w:p>
        </w:tc>
        <w:tc>
          <w:tcPr>
            <w:tcW w:w="1326" w:type="dxa"/>
            <w:tcBorders>
              <w:top w:val="nil"/>
              <w:left w:val="nil"/>
              <w:bottom w:val="single" w:color="auto" w:sz="4" w:space="0"/>
              <w:right w:val="single" w:color="auto" w:sz="4" w:space="0"/>
            </w:tcBorders>
            <w:noWrap/>
            <w:vAlign w:val="center"/>
          </w:tcPr>
          <w:p w14:paraId="614946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1423633.71</w:t>
            </w:r>
          </w:p>
        </w:tc>
        <w:tc>
          <w:tcPr>
            <w:tcW w:w="1417" w:type="dxa"/>
            <w:tcBorders>
              <w:top w:val="nil"/>
              <w:left w:val="nil"/>
              <w:bottom w:val="single" w:color="auto" w:sz="4" w:space="0"/>
              <w:right w:val="single" w:color="auto" w:sz="4" w:space="0"/>
            </w:tcBorders>
            <w:noWrap/>
            <w:vAlign w:val="center"/>
          </w:tcPr>
          <w:p w14:paraId="531BA9E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1040467.52</w:t>
            </w:r>
          </w:p>
        </w:tc>
        <w:tc>
          <w:tcPr>
            <w:tcW w:w="1134" w:type="dxa"/>
            <w:tcBorders>
              <w:top w:val="nil"/>
              <w:left w:val="nil"/>
              <w:bottom w:val="single" w:color="auto" w:sz="4" w:space="0"/>
              <w:right w:val="single" w:color="auto" w:sz="4" w:space="0"/>
            </w:tcBorders>
            <w:noWrap/>
            <w:vAlign w:val="center"/>
          </w:tcPr>
          <w:p w14:paraId="6751F5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9997</w:t>
            </w:r>
          </w:p>
        </w:tc>
        <w:tc>
          <w:tcPr>
            <w:tcW w:w="1190" w:type="dxa"/>
            <w:tcBorders>
              <w:top w:val="nil"/>
              <w:left w:val="nil"/>
              <w:bottom w:val="single" w:color="auto" w:sz="4" w:space="0"/>
              <w:right w:val="single" w:color="auto" w:sz="4" w:space="0"/>
            </w:tcBorders>
            <w:noWrap/>
            <w:vAlign w:val="center"/>
          </w:tcPr>
          <w:p w14:paraId="4E3AC5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35889.23</w:t>
            </w:r>
          </w:p>
        </w:tc>
        <w:tc>
          <w:tcPr>
            <w:tcW w:w="1290" w:type="dxa"/>
            <w:tcBorders>
              <w:top w:val="nil"/>
              <w:left w:val="nil"/>
              <w:bottom w:val="single" w:color="auto" w:sz="4" w:space="0"/>
              <w:right w:val="single" w:color="auto" w:sz="4" w:space="0"/>
            </w:tcBorders>
            <w:noWrap/>
            <w:vAlign w:val="center"/>
          </w:tcPr>
          <w:p w14:paraId="3FC55D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5435</w:t>
            </w:r>
          </w:p>
        </w:tc>
        <w:tc>
          <w:tcPr>
            <w:tcW w:w="1347" w:type="dxa"/>
            <w:tcBorders>
              <w:top w:val="nil"/>
              <w:left w:val="nil"/>
              <w:bottom w:val="single" w:color="auto" w:sz="4" w:space="0"/>
              <w:right w:val="single" w:color="auto" w:sz="4" w:space="0"/>
            </w:tcBorders>
            <w:noWrap/>
            <w:vAlign w:val="center"/>
          </w:tcPr>
          <w:p w14:paraId="119E8D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bidi="ar"/>
              </w:rPr>
              <w:t>22626.</w:t>
            </w:r>
            <w:r>
              <w:rPr>
                <w:rFonts w:hint="default" w:ascii="Times New Roman" w:hAnsi="Times New Roman" w:eastAsia="宋体" w:cs="Times New Roman"/>
                <w:color w:val="auto"/>
                <w:szCs w:val="21"/>
                <w:highlight w:val="none"/>
                <w:lang w:val="en-US" w:eastAsia="zh-CN" w:bidi="ar"/>
              </w:rPr>
              <w:t>78</w:t>
            </w:r>
          </w:p>
        </w:tc>
        <w:tc>
          <w:tcPr>
            <w:tcW w:w="1276" w:type="dxa"/>
            <w:tcBorders>
              <w:top w:val="nil"/>
              <w:left w:val="nil"/>
              <w:bottom w:val="single" w:color="auto" w:sz="4" w:space="0"/>
              <w:right w:val="single" w:color="auto" w:sz="4" w:space="0"/>
            </w:tcBorders>
            <w:noWrap/>
            <w:vAlign w:val="center"/>
          </w:tcPr>
          <w:p w14:paraId="0AAEB0B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6ABF430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467AA9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32900</w:t>
            </w:r>
          </w:p>
        </w:tc>
        <w:tc>
          <w:tcPr>
            <w:tcW w:w="1432" w:type="dxa"/>
            <w:tcBorders>
              <w:top w:val="nil"/>
              <w:left w:val="nil"/>
              <w:bottom w:val="single" w:color="auto" w:sz="4" w:space="0"/>
              <w:right w:val="single" w:color="auto" w:sz="4" w:space="0"/>
            </w:tcBorders>
            <w:noWrap/>
            <w:vAlign w:val="center"/>
          </w:tcPr>
          <w:p w14:paraId="6ACD09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1131883.53</w:t>
            </w:r>
          </w:p>
        </w:tc>
      </w:tr>
      <w:tr w14:paraId="3F620CEB">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noWrap/>
            <w:vAlign w:val="center"/>
          </w:tcPr>
          <w:p w14:paraId="49C27F0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7</w:t>
            </w:r>
          </w:p>
        </w:tc>
        <w:tc>
          <w:tcPr>
            <w:tcW w:w="1509" w:type="dxa"/>
            <w:tcBorders>
              <w:top w:val="nil"/>
              <w:left w:val="nil"/>
              <w:bottom w:val="single" w:color="auto" w:sz="4" w:space="0"/>
              <w:right w:val="single" w:color="auto" w:sz="4" w:space="0"/>
            </w:tcBorders>
            <w:noWrap/>
            <w:vAlign w:val="center"/>
          </w:tcPr>
          <w:p w14:paraId="458F6D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96" w:name="OLE_LINK46"/>
            <w:bookmarkStart w:id="197" w:name="OLE_LINK45"/>
            <w:r>
              <w:rPr>
                <w:rFonts w:hint="default" w:ascii="Times New Roman" w:hAnsi="Times New Roman" w:eastAsia="宋体" w:cs="Times New Roman"/>
                <w:color w:val="auto"/>
                <w:szCs w:val="21"/>
                <w:highlight w:val="none"/>
              </w:rPr>
              <w:t>市交通警察支队</w:t>
            </w:r>
            <w:bookmarkEnd w:id="196"/>
            <w:bookmarkEnd w:id="197"/>
          </w:p>
        </w:tc>
        <w:tc>
          <w:tcPr>
            <w:tcW w:w="1326" w:type="dxa"/>
            <w:tcBorders>
              <w:top w:val="nil"/>
              <w:left w:val="nil"/>
              <w:bottom w:val="single" w:color="auto" w:sz="4" w:space="0"/>
              <w:right w:val="single" w:color="auto" w:sz="4" w:space="0"/>
            </w:tcBorders>
            <w:noWrap/>
            <w:vAlign w:val="center"/>
          </w:tcPr>
          <w:p w14:paraId="2A5B73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3704231.17</w:t>
            </w:r>
          </w:p>
        </w:tc>
        <w:tc>
          <w:tcPr>
            <w:tcW w:w="1417" w:type="dxa"/>
            <w:tcBorders>
              <w:top w:val="nil"/>
              <w:left w:val="nil"/>
              <w:bottom w:val="single" w:color="auto" w:sz="4" w:space="0"/>
              <w:right w:val="single" w:color="auto" w:sz="4" w:space="0"/>
            </w:tcBorders>
            <w:noWrap/>
            <w:vAlign w:val="center"/>
          </w:tcPr>
          <w:p w14:paraId="117AD6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2721015.54</w:t>
            </w:r>
          </w:p>
        </w:tc>
        <w:tc>
          <w:tcPr>
            <w:tcW w:w="1134" w:type="dxa"/>
            <w:tcBorders>
              <w:top w:val="nil"/>
              <w:left w:val="nil"/>
              <w:bottom w:val="single" w:color="auto" w:sz="4" w:space="0"/>
              <w:right w:val="single" w:color="auto" w:sz="4" w:space="0"/>
            </w:tcBorders>
            <w:noWrap/>
            <w:vAlign w:val="center"/>
          </w:tcPr>
          <w:p w14:paraId="308EC3B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18745</w:t>
            </w:r>
          </w:p>
        </w:tc>
        <w:tc>
          <w:tcPr>
            <w:tcW w:w="1190" w:type="dxa"/>
            <w:tcBorders>
              <w:top w:val="nil"/>
              <w:left w:val="nil"/>
              <w:bottom w:val="single" w:color="auto" w:sz="4" w:space="0"/>
              <w:right w:val="single" w:color="auto" w:sz="4" w:space="0"/>
            </w:tcBorders>
            <w:noWrap/>
            <w:vAlign w:val="center"/>
          </w:tcPr>
          <w:p w14:paraId="6FF851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67294.55</w:t>
            </w:r>
          </w:p>
        </w:tc>
        <w:tc>
          <w:tcPr>
            <w:tcW w:w="1290" w:type="dxa"/>
            <w:tcBorders>
              <w:top w:val="nil"/>
              <w:left w:val="nil"/>
              <w:bottom w:val="single" w:color="auto" w:sz="4" w:space="0"/>
              <w:right w:val="single" w:color="auto" w:sz="4" w:space="0"/>
            </w:tcBorders>
            <w:noWrap/>
            <w:vAlign w:val="center"/>
          </w:tcPr>
          <w:p w14:paraId="2455B0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10206</w:t>
            </w:r>
          </w:p>
        </w:tc>
        <w:tc>
          <w:tcPr>
            <w:tcW w:w="1347" w:type="dxa"/>
            <w:tcBorders>
              <w:top w:val="nil"/>
              <w:left w:val="nil"/>
              <w:bottom w:val="single" w:color="auto" w:sz="4" w:space="0"/>
              <w:right w:val="single" w:color="auto" w:sz="4" w:space="0"/>
            </w:tcBorders>
            <w:noWrap/>
            <w:vAlign w:val="center"/>
          </w:tcPr>
          <w:p w14:paraId="066C90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46291.06</w:t>
            </w:r>
          </w:p>
        </w:tc>
        <w:tc>
          <w:tcPr>
            <w:tcW w:w="1276" w:type="dxa"/>
            <w:tcBorders>
              <w:top w:val="nil"/>
              <w:left w:val="nil"/>
              <w:bottom w:val="single" w:color="auto" w:sz="4" w:space="0"/>
              <w:right w:val="single" w:color="auto" w:sz="4" w:space="0"/>
            </w:tcBorders>
            <w:noWrap/>
            <w:vAlign w:val="center"/>
          </w:tcPr>
          <w:p w14:paraId="0DFDAF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58482C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63DF0E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36066</w:t>
            </w:r>
          </w:p>
        </w:tc>
        <w:tc>
          <w:tcPr>
            <w:tcW w:w="1432" w:type="dxa"/>
            <w:tcBorders>
              <w:top w:val="nil"/>
              <w:left w:val="nil"/>
              <w:bottom w:val="single" w:color="auto" w:sz="4" w:space="0"/>
              <w:right w:val="single" w:color="auto" w:sz="4" w:space="0"/>
            </w:tcBorders>
            <w:noWrap/>
            <w:vAlign w:val="center"/>
          </w:tcPr>
          <w:p w14:paraId="7F3C17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2870667.15</w:t>
            </w:r>
          </w:p>
        </w:tc>
      </w:tr>
      <w:tr w14:paraId="40D43891">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shd w:val="clear" w:color="000000" w:fill="FFFFFF"/>
            <w:noWrap/>
            <w:vAlign w:val="center"/>
          </w:tcPr>
          <w:p w14:paraId="2F96600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w:t>
            </w:r>
          </w:p>
        </w:tc>
        <w:tc>
          <w:tcPr>
            <w:tcW w:w="1509" w:type="dxa"/>
            <w:tcBorders>
              <w:top w:val="nil"/>
              <w:left w:val="nil"/>
              <w:bottom w:val="single" w:color="auto" w:sz="4" w:space="0"/>
              <w:right w:val="single" w:color="auto" w:sz="4" w:space="0"/>
            </w:tcBorders>
            <w:noWrap/>
            <w:vAlign w:val="center"/>
          </w:tcPr>
          <w:p w14:paraId="36EE990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98" w:name="OLE_LINK47"/>
            <w:r>
              <w:rPr>
                <w:rFonts w:hint="default" w:ascii="Times New Roman" w:hAnsi="Times New Roman" w:eastAsia="宋体" w:cs="Times New Roman"/>
                <w:color w:val="auto"/>
                <w:szCs w:val="21"/>
                <w:highlight w:val="none"/>
              </w:rPr>
              <w:t>市教育局</w:t>
            </w:r>
            <w:bookmarkEnd w:id="198"/>
          </w:p>
        </w:tc>
        <w:tc>
          <w:tcPr>
            <w:tcW w:w="1326" w:type="dxa"/>
            <w:tcBorders>
              <w:top w:val="nil"/>
              <w:left w:val="nil"/>
              <w:bottom w:val="single" w:color="auto" w:sz="4" w:space="0"/>
              <w:right w:val="single" w:color="auto" w:sz="4" w:space="0"/>
            </w:tcBorders>
            <w:noWrap/>
            <w:vAlign w:val="center"/>
          </w:tcPr>
          <w:p w14:paraId="7A725D8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1045480</w:t>
            </w:r>
          </w:p>
        </w:tc>
        <w:tc>
          <w:tcPr>
            <w:tcW w:w="1417" w:type="dxa"/>
            <w:tcBorders>
              <w:top w:val="nil"/>
              <w:left w:val="nil"/>
              <w:bottom w:val="single" w:color="auto" w:sz="4" w:space="0"/>
              <w:right w:val="single" w:color="auto" w:sz="4" w:space="0"/>
            </w:tcBorders>
            <w:noWrap/>
            <w:vAlign w:val="center"/>
          </w:tcPr>
          <w:p w14:paraId="107A69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770682.82</w:t>
            </w:r>
          </w:p>
        </w:tc>
        <w:tc>
          <w:tcPr>
            <w:tcW w:w="1134" w:type="dxa"/>
            <w:tcBorders>
              <w:top w:val="nil"/>
              <w:left w:val="nil"/>
              <w:bottom w:val="single" w:color="auto" w:sz="4" w:space="0"/>
              <w:right w:val="single" w:color="auto" w:sz="4" w:space="0"/>
            </w:tcBorders>
            <w:noWrap/>
            <w:vAlign w:val="center"/>
          </w:tcPr>
          <w:p w14:paraId="434020D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4267</w:t>
            </w:r>
          </w:p>
        </w:tc>
        <w:tc>
          <w:tcPr>
            <w:tcW w:w="1190" w:type="dxa"/>
            <w:tcBorders>
              <w:top w:val="nil"/>
              <w:left w:val="nil"/>
              <w:bottom w:val="single" w:color="auto" w:sz="4" w:space="0"/>
              <w:right w:val="single" w:color="auto" w:sz="4" w:space="0"/>
            </w:tcBorders>
            <w:noWrap/>
            <w:vAlign w:val="center"/>
          </w:tcPr>
          <w:p w14:paraId="0E38B8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bidi="ar"/>
              </w:rPr>
              <w:t>15318.5</w:t>
            </w:r>
            <w:r>
              <w:rPr>
                <w:rFonts w:hint="default" w:ascii="Times New Roman" w:hAnsi="Times New Roman" w:eastAsia="宋体" w:cs="Times New Roman"/>
                <w:color w:val="auto"/>
                <w:szCs w:val="21"/>
                <w:highlight w:val="none"/>
                <w:lang w:val="en-US" w:eastAsia="zh-CN" w:bidi="ar"/>
              </w:rPr>
              <w:t>0</w:t>
            </w:r>
          </w:p>
        </w:tc>
        <w:tc>
          <w:tcPr>
            <w:tcW w:w="1290" w:type="dxa"/>
            <w:tcBorders>
              <w:top w:val="nil"/>
              <w:left w:val="nil"/>
              <w:bottom w:val="single" w:color="auto" w:sz="4" w:space="0"/>
              <w:right w:val="single" w:color="auto" w:sz="4" w:space="0"/>
            </w:tcBorders>
            <w:noWrap/>
            <w:vAlign w:val="center"/>
          </w:tcPr>
          <w:p w14:paraId="310977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5553</w:t>
            </w:r>
          </w:p>
        </w:tc>
        <w:tc>
          <w:tcPr>
            <w:tcW w:w="1347" w:type="dxa"/>
            <w:tcBorders>
              <w:top w:val="nil"/>
              <w:left w:val="nil"/>
              <w:bottom w:val="single" w:color="auto" w:sz="4" w:space="0"/>
              <w:right w:val="single" w:color="auto" w:sz="4" w:space="0"/>
            </w:tcBorders>
            <w:noWrap/>
            <w:vAlign w:val="center"/>
          </w:tcPr>
          <w:p w14:paraId="5333EA5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22958</w:t>
            </w:r>
          </w:p>
        </w:tc>
        <w:tc>
          <w:tcPr>
            <w:tcW w:w="1276" w:type="dxa"/>
            <w:tcBorders>
              <w:top w:val="nil"/>
              <w:left w:val="nil"/>
              <w:bottom w:val="single" w:color="auto" w:sz="4" w:space="0"/>
              <w:right w:val="single" w:color="auto" w:sz="4" w:space="0"/>
            </w:tcBorders>
            <w:noWrap/>
            <w:vAlign w:val="center"/>
          </w:tcPr>
          <w:p w14:paraId="09B306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341F245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w:t>
            </w:r>
          </w:p>
        </w:tc>
        <w:tc>
          <w:tcPr>
            <w:tcW w:w="1290" w:type="dxa"/>
            <w:tcBorders>
              <w:top w:val="nil"/>
              <w:left w:val="nil"/>
              <w:bottom w:val="single" w:color="auto" w:sz="4" w:space="0"/>
              <w:right w:val="single" w:color="auto" w:sz="4" w:space="0"/>
            </w:tcBorders>
            <w:noWrap/>
            <w:vAlign w:val="center"/>
          </w:tcPr>
          <w:p w14:paraId="29C326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12100</w:t>
            </w:r>
          </w:p>
        </w:tc>
        <w:tc>
          <w:tcPr>
            <w:tcW w:w="1432" w:type="dxa"/>
            <w:tcBorders>
              <w:top w:val="nil"/>
              <w:left w:val="nil"/>
              <w:bottom w:val="single" w:color="auto" w:sz="4" w:space="0"/>
              <w:right w:val="single" w:color="auto" w:sz="4" w:space="0"/>
            </w:tcBorders>
            <w:noWrap/>
            <w:vAlign w:val="center"/>
          </w:tcPr>
          <w:p w14:paraId="3EB8565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821059.32</w:t>
            </w:r>
          </w:p>
        </w:tc>
      </w:tr>
      <w:tr w14:paraId="0420877B">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shd w:val="clear" w:color="000000" w:fill="FFFFFF"/>
            <w:noWrap/>
            <w:vAlign w:val="center"/>
          </w:tcPr>
          <w:p w14:paraId="288AF6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9</w:t>
            </w:r>
          </w:p>
        </w:tc>
        <w:tc>
          <w:tcPr>
            <w:tcW w:w="1509" w:type="dxa"/>
            <w:tcBorders>
              <w:top w:val="nil"/>
              <w:left w:val="nil"/>
              <w:bottom w:val="single" w:color="auto" w:sz="4" w:space="0"/>
              <w:right w:val="single" w:color="auto" w:sz="4" w:space="0"/>
            </w:tcBorders>
            <w:noWrap/>
            <w:vAlign w:val="center"/>
          </w:tcPr>
          <w:p w14:paraId="760D65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199" w:name="OLE_LINK48"/>
            <w:bookmarkStart w:id="200" w:name="OLE_LINK49"/>
            <w:r>
              <w:rPr>
                <w:rFonts w:hint="default" w:ascii="Times New Roman" w:hAnsi="Times New Roman" w:eastAsia="宋体" w:cs="Times New Roman"/>
                <w:color w:val="auto"/>
                <w:szCs w:val="21"/>
                <w:highlight w:val="none"/>
              </w:rPr>
              <w:t>市科学发展观展示馆</w:t>
            </w:r>
            <w:bookmarkEnd w:id="199"/>
            <w:bookmarkEnd w:id="200"/>
          </w:p>
        </w:tc>
        <w:tc>
          <w:tcPr>
            <w:tcW w:w="1326" w:type="dxa"/>
            <w:tcBorders>
              <w:top w:val="nil"/>
              <w:left w:val="nil"/>
              <w:bottom w:val="single" w:color="auto" w:sz="4" w:space="0"/>
              <w:right w:val="single" w:color="auto" w:sz="4" w:space="0"/>
            </w:tcBorders>
            <w:noWrap/>
            <w:vAlign w:val="center"/>
          </w:tcPr>
          <w:p w14:paraId="7AF03C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1076600</w:t>
            </w:r>
          </w:p>
        </w:tc>
        <w:tc>
          <w:tcPr>
            <w:tcW w:w="1417" w:type="dxa"/>
            <w:tcBorders>
              <w:top w:val="nil"/>
              <w:left w:val="nil"/>
              <w:bottom w:val="single" w:color="auto" w:sz="4" w:space="0"/>
              <w:right w:val="single" w:color="auto" w:sz="4" w:space="0"/>
            </w:tcBorders>
            <w:noWrap/>
            <w:vAlign w:val="center"/>
          </w:tcPr>
          <w:p w14:paraId="6D52C3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787063.03</w:t>
            </w:r>
          </w:p>
        </w:tc>
        <w:tc>
          <w:tcPr>
            <w:tcW w:w="1134" w:type="dxa"/>
            <w:tcBorders>
              <w:top w:val="nil"/>
              <w:left w:val="nil"/>
              <w:bottom w:val="single" w:color="auto" w:sz="4" w:space="0"/>
              <w:right w:val="single" w:color="auto" w:sz="4" w:space="0"/>
            </w:tcBorders>
            <w:noWrap/>
            <w:vAlign w:val="center"/>
          </w:tcPr>
          <w:p w14:paraId="1B335A6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22347</w:t>
            </w:r>
          </w:p>
        </w:tc>
        <w:tc>
          <w:tcPr>
            <w:tcW w:w="1190" w:type="dxa"/>
            <w:tcBorders>
              <w:top w:val="nil"/>
              <w:left w:val="nil"/>
              <w:bottom w:val="single" w:color="auto" w:sz="4" w:space="0"/>
              <w:right w:val="single" w:color="auto" w:sz="4" w:space="0"/>
            </w:tcBorders>
            <w:noWrap/>
            <w:vAlign w:val="center"/>
          </w:tcPr>
          <w:p w14:paraId="1C1FEC4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80225.73</w:t>
            </w:r>
          </w:p>
        </w:tc>
        <w:tc>
          <w:tcPr>
            <w:tcW w:w="1290" w:type="dxa"/>
            <w:tcBorders>
              <w:top w:val="nil"/>
              <w:left w:val="nil"/>
              <w:bottom w:val="single" w:color="auto" w:sz="4" w:space="0"/>
              <w:right w:val="single" w:color="auto" w:sz="4" w:space="0"/>
            </w:tcBorders>
            <w:noWrap/>
            <w:vAlign w:val="center"/>
          </w:tcPr>
          <w:p w14:paraId="0FB7FE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w:t>
            </w:r>
          </w:p>
        </w:tc>
        <w:tc>
          <w:tcPr>
            <w:tcW w:w="1347" w:type="dxa"/>
            <w:tcBorders>
              <w:top w:val="nil"/>
              <w:left w:val="nil"/>
              <w:bottom w:val="single" w:color="auto" w:sz="4" w:space="0"/>
              <w:right w:val="single" w:color="auto" w:sz="4" w:space="0"/>
            </w:tcBorders>
            <w:noWrap/>
            <w:vAlign w:val="center"/>
          </w:tcPr>
          <w:p w14:paraId="20ABD3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w:t>
            </w:r>
          </w:p>
        </w:tc>
        <w:tc>
          <w:tcPr>
            <w:tcW w:w="1276" w:type="dxa"/>
            <w:tcBorders>
              <w:top w:val="nil"/>
              <w:left w:val="nil"/>
              <w:bottom w:val="single" w:color="auto" w:sz="4" w:space="0"/>
              <w:right w:val="single" w:color="auto" w:sz="4" w:space="0"/>
            </w:tcBorders>
            <w:noWrap/>
            <w:vAlign w:val="center"/>
          </w:tcPr>
          <w:p w14:paraId="7AE00B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001FBB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5C73C3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37200</w:t>
            </w:r>
          </w:p>
        </w:tc>
        <w:tc>
          <w:tcPr>
            <w:tcW w:w="1432" w:type="dxa"/>
            <w:tcBorders>
              <w:top w:val="nil"/>
              <w:left w:val="nil"/>
              <w:bottom w:val="single" w:color="auto" w:sz="4" w:space="0"/>
              <w:right w:val="single" w:color="auto" w:sz="4" w:space="0"/>
            </w:tcBorders>
            <w:noWrap/>
            <w:vAlign w:val="center"/>
          </w:tcPr>
          <w:p w14:paraId="602EF2A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904488.76</w:t>
            </w:r>
          </w:p>
        </w:tc>
      </w:tr>
      <w:tr w14:paraId="290B3248">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shd w:val="clear" w:color="000000" w:fill="FFFFFF"/>
            <w:noWrap/>
            <w:vAlign w:val="center"/>
          </w:tcPr>
          <w:p w14:paraId="6EFA28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w:t>
            </w:r>
          </w:p>
        </w:tc>
        <w:tc>
          <w:tcPr>
            <w:tcW w:w="1509" w:type="dxa"/>
            <w:tcBorders>
              <w:top w:val="nil"/>
              <w:left w:val="nil"/>
              <w:bottom w:val="single" w:color="auto" w:sz="4" w:space="0"/>
              <w:right w:val="single" w:color="auto" w:sz="4" w:space="0"/>
            </w:tcBorders>
            <w:noWrap/>
            <w:vAlign w:val="center"/>
          </w:tcPr>
          <w:p w14:paraId="0DF9B7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201" w:name="OLE_LINK59"/>
            <w:bookmarkStart w:id="202" w:name="OLE_LINK50"/>
            <w:r>
              <w:rPr>
                <w:rFonts w:hint="default" w:ascii="Times New Roman" w:hAnsi="Times New Roman" w:eastAsia="宋体" w:cs="Times New Roman"/>
                <w:color w:val="auto"/>
                <w:szCs w:val="21"/>
                <w:highlight w:val="none"/>
              </w:rPr>
              <w:t>市人民警察实战训练办公室</w:t>
            </w:r>
            <w:bookmarkEnd w:id="201"/>
            <w:bookmarkEnd w:id="202"/>
          </w:p>
        </w:tc>
        <w:tc>
          <w:tcPr>
            <w:tcW w:w="1326" w:type="dxa"/>
            <w:tcBorders>
              <w:top w:val="nil"/>
              <w:left w:val="nil"/>
              <w:bottom w:val="single" w:color="auto" w:sz="4" w:space="0"/>
              <w:right w:val="single" w:color="auto" w:sz="4" w:space="0"/>
            </w:tcBorders>
            <w:noWrap/>
            <w:vAlign w:val="center"/>
          </w:tcPr>
          <w:p w14:paraId="3FF5DF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416056</w:t>
            </w:r>
          </w:p>
        </w:tc>
        <w:tc>
          <w:tcPr>
            <w:tcW w:w="1417" w:type="dxa"/>
            <w:tcBorders>
              <w:top w:val="nil"/>
              <w:left w:val="nil"/>
              <w:bottom w:val="single" w:color="auto" w:sz="4" w:space="0"/>
              <w:right w:val="single" w:color="auto" w:sz="4" w:space="0"/>
            </w:tcBorders>
            <w:noWrap/>
            <w:vAlign w:val="center"/>
          </w:tcPr>
          <w:p w14:paraId="568F89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306372.96</w:t>
            </w:r>
          </w:p>
        </w:tc>
        <w:tc>
          <w:tcPr>
            <w:tcW w:w="1134" w:type="dxa"/>
            <w:tcBorders>
              <w:top w:val="nil"/>
              <w:left w:val="nil"/>
              <w:bottom w:val="single" w:color="auto" w:sz="4" w:space="0"/>
              <w:right w:val="single" w:color="auto" w:sz="4" w:space="0"/>
            </w:tcBorders>
            <w:noWrap/>
            <w:vAlign w:val="center"/>
          </w:tcPr>
          <w:p w14:paraId="5B9373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21186</w:t>
            </w:r>
          </w:p>
        </w:tc>
        <w:tc>
          <w:tcPr>
            <w:tcW w:w="1190" w:type="dxa"/>
            <w:tcBorders>
              <w:top w:val="nil"/>
              <w:left w:val="nil"/>
              <w:bottom w:val="single" w:color="auto" w:sz="4" w:space="0"/>
              <w:right w:val="single" w:color="auto" w:sz="4" w:space="0"/>
            </w:tcBorders>
            <w:noWrap/>
            <w:vAlign w:val="center"/>
          </w:tcPr>
          <w:p w14:paraId="42BAC4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67583.34</w:t>
            </w:r>
          </w:p>
        </w:tc>
        <w:tc>
          <w:tcPr>
            <w:tcW w:w="1290" w:type="dxa"/>
            <w:tcBorders>
              <w:top w:val="nil"/>
              <w:left w:val="nil"/>
              <w:bottom w:val="single" w:color="auto" w:sz="4" w:space="0"/>
              <w:right w:val="single" w:color="auto" w:sz="4" w:space="0"/>
            </w:tcBorders>
            <w:noWrap/>
            <w:vAlign w:val="center"/>
          </w:tcPr>
          <w:p w14:paraId="12184F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8908.63</w:t>
            </w:r>
          </w:p>
        </w:tc>
        <w:tc>
          <w:tcPr>
            <w:tcW w:w="1347" w:type="dxa"/>
            <w:tcBorders>
              <w:top w:val="nil"/>
              <w:left w:val="nil"/>
              <w:bottom w:val="single" w:color="auto" w:sz="4" w:space="0"/>
              <w:right w:val="single" w:color="auto" w:sz="4" w:space="0"/>
            </w:tcBorders>
            <w:noWrap/>
            <w:vAlign w:val="center"/>
          </w:tcPr>
          <w:p w14:paraId="49AEF13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37149</w:t>
            </w:r>
          </w:p>
        </w:tc>
        <w:tc>
          <w:tcPr>
            <w:tcW w:w="1276" w:type="dxa"/>
            <w:tcBorders>
              <w:top w:val="nil"/>
              <w:left w:val="nil"/>
              <w:bottom w:val="single" w:color="auto" w:sz="4" w:space="0"/>
              <w:right w:val="single" w:color="auto" w:sz="4" w:space="0"/>
            </w:tcBorders>
            <w:noWrap/>
            <w:vAlign w:val="center"/>
          </w:tcPr>
          <w:p w14:paraId="57688D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610146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08FD1E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0</w:t>
            </w:r>
          </w:p>
        </w:tc>
        <w:tc>
          <w:tcPr>
            <w:tcW w:w="1432" w:type="dxa"/>
            <w:tcBorders>
              <w:top w:val="nil"/>
              <w:left w:val="nil"/>
              <w:bottom w:val="single" w:color="auto" w:sz="4" w:space="0"/>
              <w:right w:val="single" w:color="auto" w:sz="4" w:space="0"/>
            </w:tcBorders>
            <w:noWrap/>
            <w:vAlign w:val="center"/>
          </w:tcPr>
          <w:p w14:paraId="717824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411105.3</w:t>
            </w:r>
          </w:p>
        </w:tc>
      </w:tr>
      <w:tr w14:paraId="398A8D67">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noWrap/>
            <w:vAlign w:val="center"/>
          </w:tcPr>
          <w:p w14:paraId="2D94B2D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11</w:t>
            </w:r>
          </w:p>
        </w:tc>
        <w:tc>
          <w:tcPr>
            <w:tcW w:w="1509" w:type="dxa"/>
            <w:tcBorders>
              <w:top w:val="nil"/>
              <w:left w:val="nil"/>
              <w:bottom w:val="single" w:color="auto" w:sz="4" w:space="0"/>
              <w:right w:val="single" w:color="auto" w:sz="4" w:space="0"/>
            </w:tcBorders>
            <w:noWrap/>
            <w:vAlign w:val="center"/>
          </w:tcPr>
          <w:p w14:paraId="3C9EF02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203" w:name="OLE_LINK60"/>
            <w:bookmarkStart w:id="204" w:name="OLE_LINK61"/>
            <w:r>
              <w:rPr>
                <w:rFonts w:hint="default" w:ascii="Times New Roman" w:hAnsi="Times New Roman" w:eastAsia="宋体" w:cs="Times New Roman"/>
                <w:color w:val="auto"/>
                <w:szCs w:val="21"/>
                <w:highlight w:val="none"/>
              </w:rPr>
              <w:t>市委党校</w:t>
            </w:r>
            <w:bookmarkEnd w:id="203"/>
            <w:bookmarkEnd w:id="204"/>
          </w:p>
        </w:tc>
        <w:tc>
          <w:tcPr>
            <w:tcW w:w="1326" w:type="dxa"/>
            <w:tcBorders>
              <w:top w:val="nil"/>
              <w:left w:val="nil"/>
              <w:bottom w:val="single" w:color="auto" w:sz="4" w:space="0"/>
              <w:right w:val="single" w:color="auto" w:sz="4" w:space="0"/>
            </w:tcBorders>
            <w:noWrap/>
            <w:vAlign w:val="center"/>
          </w:tcPr>
          <w:p w14:paraId="386ED0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851520</w:t>
            </w:r>
          </w:p>
        </w:tc>
        <w:tc>
          <w:tcPr>
            <w:tcW w:w="1417" w:type="dxa"/>
            <w:tcBorders>
              <w:top w:val="nil"/>
              <w:left w:val="nil"/>
              <w:bottom w:val="single" w:color="auto" w:sz="4" w:space="0"/>
              <w:right w:val="single" w:color="auto" w:sz="4" w:space="0"/>
            </w:tcBorders>
            <w:noWrap/>
            <w:vAlign w:val="center"/>
          </w:tcPr>
          <w:p w14:paraId="0E4810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453397.14</w:t>
            </w:r>
          </w:p>
        </w:tc>
        <w:tc>
          <w:tcPr>
            <w:tcW w:w="1134" w:type="dxa"/>
            <w:tcBorders>
              <w:top w:val="nil"/>
              <w:left w:val="nil"/>
              <w:bottom w:val="single" w:color="auto" w:sz="4" w:space="0"/>
              <w:right w:val="single" w:color="auto" w:sz="4" w:space="0"/>
            </w:tcBorders>
            <w:noWrap/>
            <w:vAlign w:val="center"/>
          </w:tcPr>
          <w:p w14:paraId="7DA189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8020</w:t>
            </w:r>
          </w:p>
        </w:tc>
        <w:tc>
          <w:tcPr>
            <w:tcW w:w="1190" w:type="dxa"/>
            <w:tcBorders>
              <w:top w:val="nil"/>
              <w:left w:val="nil"/>
              <w:bottom w:val="single" w:color="auto" w:sz="4" w:space="0"/>
              <w:right w:val="single" w:color="auto" w:sz="4" w:space="0"/>
            </w:tcBorders>
            <w:noWrap/>
            <w:vAlign w:val="center"/>
          </w:tcPr>
          <w:p w14:paraId="391D51F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23258</w:t>
            </w:r>
          </w:p>
        </w:tc>
        <w:tc>
          <w:tcPr>
            <w:tcW w:w="1290" w:type="dxa"/>
            <w:tcBorders>
              <w:top w:val="nil"/>
              <w:left w:val="nil"/>
              <w:bottom w:val="single" w:color="auto" w:sz="4" w:space="0"/>
              <w:right w:val="single" w:color="auto" w:sz="4" w:space="0"/>
            </w:tcBorders>
            <w:noWrap/>
            <w:vAlign w:val="center"/>
          </w:tcPr>
          <w:p w14:paraId="34DD9E3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40458</w:t>
            </w:r>
          </w:p>
        </w:tc>
        <w:tc>
          <w:tcPr>
            <w:tcW w:w="1347" w:type="dxa"/>
            <w:tcBorders>
              <w:top w:val="nil"/>
              <w:left w:val="nil"/>
              <w:bottom w:val="single" w:color="auto" w:sz="4" w:space="0"/>
              <w:right w:val="single" w:color="auto" w:sz="4" w:space="0"/>
            </w:tcBorders>
            <w:noWrap/>
            <w:vAlign w:val="center"/>
          </w:tcPr>
          <w:p w14:paraId="350C3E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165224.</w:t>
            </w:r>
            <w:r>
              <w:rPr>
                <w:rFonts w:hint="default" w:ascii="Times New Roman" w:hAnsi="Times New Roman" w:eastAsia="宋体" w:cs="Times New Roman"/>
                <w:color w:val="auto"/>
                <w:szCs w:val="21"/>
                <w:highlight w:val="none"/>
                <w:lang w:val="en-US" w:eastAsia="zh-CN" w:bidi="ar"/>
              </w:rPr>
              <w:t>6</w:t>
            </w:r>
            <w:r>
              <w:rPr>
                <w:rFonts w:hint="default" w:ascii="Times New Roman" w:hAnsi="Times New Roman" w:eastAsia="宋体" w:cs="Times New Roman"/>
                <w:color w:val="auto"/>
                <w:szCs w:val="21"/>
                <w:highlight w:val="none"/>
                <w:lang w:bidi="ar"/>
              </w:rPr>
              <w:t>7</w:t>
            </w:r>
          </w:p>
        </w:tc>
        <w:tc>
          <w:tcPr>
            <w:tcW w:w="1276" w:type="dxa"/>
            <w:tcBorders>
              <w:top w:val="nil"/>
              <w:left w:val="nil"/>
              <w:bottom w:val="single" w:color="auto" w:sz="4" w:space="0"/>
              <w:right w:val="single" w:color="auto" w:sz="4" w:space="0"/>
            </w:tcBorders>
            <w:noWrap/>
            <w:vAlign w:val="center"/>
          </w:tcPr>
          <w:p w14:paraId="31B986F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357C2E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7800F9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105000</w:t>
            </w:r>
          </w:p>
        </w:tc>
        <w:tc>
          <w:tcPr>
            <w:tcW w:w="1432" w:type="dxa"/>
            <w:tcBorders>
              <w:top w:val="nil"/>
              <w:left w:val="nil"/>
              <w:bottom w:val="single" w:color="auto" w:sz="4" w:space="0"/>
              <w:right w:val="single" w:color="auto" w:sz="4" w:space="0"/>
            </w:tcBorders>
            <w:noWrap/>
            <w:vAlign w:val="center"/>
          </w:tcPr>
          <w:p w14:paraId="586519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746879.87</w:t>
            </w:r>
          </w:p>
        </w:tc>
      </w:tr>
      <w:tr w14:paraId="7B32D5B7">
        <w:tblPrEx>
          <w:tblCellMar>
            <w:top w:w="0" w:type="dxa"/>
            <w:left w:w="108" w:type="dxa"/>
            <w:bottom w:w="0" w:type="dxa"/>
            <w:right w:w="108" w:type="dxa"/>
          </w:tblCellMar>
        </w:tblPrEx>
        <w:trPr>
          <w:trHeight w:val="422" w:hRule="atLeast"/>
          <w:jc w:val="center"/>
        </w:trPr>
        <w:tc>
          <w:tcPr>
            <w:tcW w:w="710" w:type="dxa"/>
            <w:tcBorders>
              <w:top w:val="nil"/>
              <w:left w:val="single" w:color="auto" w:sz="4" w:space="0"/>
              <w:bottom w:val="single" w:color="auto" w:sz="4" w:space="0"/>
              <w:right w:val="single" w:color="auto" w:sz="4" w:space="0"/>
            </w:tcBorders>
            <w:noWrap/>
            <w:vAlign w:val="center"/>
          </w:tcPr>
          <w:p w14:paraId="135F7DF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12</w:t>
            </w:r>
          </w:p>
        </w:tc>
        <w:tc>
          <w:tcPr>
            <w:tcW w:w="1509" w:type="dxa"/>
            <w:tcBorders>
              <w:top w:val="nil"/>
              <w:left w:val="nil"/>
              <w:bottom w:val="single" w:color="auto" w:sz="4" w:space="0"/>
              <w:right w:val="single" w:color="auto" w:sz="4" w:space="0"/>
            </w:tcBorders>
            <w:noWrap/>
            <w:vAlign w:val="center"/>
          </w:tcPr>
          <w:p w14:paraId="517117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bookmarkStart w:id="205" w:name="OLE_LINK62"/>
            <w:r>
              <w:rPr>
                <w:rFonts w:hint="default" w:ascii="Times New Roman" w:hAnsi="Times New Roman" w:eastAsia="宋体" w:cs="Times New Roman"/>
                <w:color w:val="auto"/>
                <w:szCs w:val="21"/>
                <w:highlight w:val="none"/>
              </w:rPr>
              <w:t>市住房和城乡建设局</w:t>
            </w:r>
            <w:bookmarkEnd w:id="205"/>
          </w:p>
        </w:tc>
        <w:tc>
          <w:tcPr>
            <w:tcW w:w="1326" w:type="dxa"/>
            <w:tcBorders>
              <w:top w:val="nil"/>
              <w:left w:val="nil"/>
              <w:bottom w:val="single" w:color="auto" w:sz="4" w:space="0"/>
              <w:right w:val="single" w:color="auto" w:sz="4" w:space="0"/>
            </w:tcBorders>
            <w:noWrap/>
            <w:vAlign w:val="center"/>
          </w:tcPr>
          <w:p w14:paraId="7A8CF8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1453953.66</w:t>
            </w:r>
          </w:p>
        </w:tc>
        <w:tc>
          <w:tcPr>
            <w:tcW w:w="1417" w:type="dxa"/>
            <w:tcBorders>
              <w:top w:val="nil"/>
              <w:left w:val="nil"/>
              <w:bottom w:val="single" w:color="auto" w:sz="4" w:space="0"/>
              <w:right w:val="single" w:color="auto" w:sz="4" w:space="0"/>
            </w:tcBorders>
            <w:noWrap/>
            <w:vAlign w:val="center"/>
          </w:tcPr>
          <w:p w14:paraId="0D367B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1040102.71</w:t>
            </w:r>
          </w:p>
        </w:tc>
        <w:tc>
          <w:tcPr>
            <w:tcW w:w="1134" w:type="dxa"/>
            <w:tcBorders>
              <w:top w:val="nil"/>
              <w:left w:val="nil"/>
              <w:bottom w:val="single" w:color="auto" w:sz="4" w:space="0"/>
              <w:right w:val="single" w:color="auto" w:sz="4" w:space="0"/>
            </w:tcBorders>
            <w:noWrap/>
            <w:vAlign w:val="center"/>
          </w:tcPr>
          <w:p w14:paraId="7E2640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40639</w:t>
            </w:r>
          </w:p>
        </w:tc>
        <w:tc>
          <w:tcPr>
            <w:tcW w:w="1190" w:type="dxa"/>
            <w:tcBorders>
              <w:top w:val="nil"/>
              <w:left w:val="nil"/>
              <w:bottom w:val="single" w:color="auto" w:sz="4" w:space="0"/>
              <w:right w:val="single" w:color="auto" w:sz="4" w:space="0"/>
            </w:tcBorders>
            <w:noWrap/>
            <w:vAlign w:val="center"/>
          </w:tcPr>
          <w:p w14:paraId="1C89FE5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145894.01</w:t>
            </w:r>
          </w:p>
        </w:tc>
        <w:tc>
          <w:tcPr>
            <w:tcW w:w="1290" w:type="dxa"/>
            <w:tcBorders>
              <w:top w:val="nil"/>
              <w:left w:val="nil"/>
              <w:bottom w:val="single" w:color="auto" w:sz="4" w:space="0"/>
              <w:right w:val="single" w:color="auto" w:sz="4" w:space="0"/>
            </w:tcBorders>
            <w:noWrap/>
            <w:vAlign w:val="center"/>
          </w:tcPr>
          <w:p w14:paraId="74EE01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w:t>
            </w:r>
          </w:p>
        </w:tc>
        <w:tc>
          <w:tcPr>
            <w:tcW w:w="1347" w:type="dxa"/>
            <w:tcBorders>
              <w:top w:val="nil"/>
              <w:left w:val="nil"/>
              <w:bottom w:val="single" w:color="auto" w:sz="4" w:space="0"/>
              <w:right w:val="single" w:color="auto" w:sz="4" w:space="0"/>
            </w:tcBorders>
            <w:noWrap/>
            <w:vAlign w:val="center"/>
          </w:tcPr>
          <w:p w14:paraId="69CCCA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0</w:t>
            </w:r>
          </w:p>
        </w:tc>
        <w:tc>
          <w:tcPr>
            <w:tcW w:w="1276" w:type="dxa"/>
            <w:tcBorders>
              <w:top w:val="nil"/>
              <w:left w:val="nil"/>
              <w:bottom w:val="single" w:color="auto" w:sz="4" w:space="0"/>
              <w:right w:val="single" w:color="auto" w:sz="4" w:space="0"/>
            </w:tcBorders>
            <w:noWrap/>
            <w:vAlign w:val="center"/>
          </w:tcPr>
          <w:p w14:paraId="7073E0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47" w:type="dxa"/>
            <w:tcBorders>
              <w:top w:val="nil"/>
              <w:left w:val="nil"/>
              <w:bottom w:val="single" w:color="auto" w:sz="4" w:space="0"/>
              <w:right w:val="single" w:color="auto" w:sz="4" w:space="0"/>
            </w:tcBorders>
            <w:noWrap/>
            <w:vAlign w:val="center"/>
          </w:tcPr>
          <w:p w14:paraId="28823A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0</w:t>
            </w:r>
          </w:p>
        </w:tc>
        <w:tc>
          <w:tcPr>
            <w:tcW w:w="1290" w:type="dxa"/>
            <w:tcBorders>
              <w:top w:val="nil"/>
              <w:left w:val="nil"/>
              <w:bottom w:val="single" w:color="auto" w:sz="4" w:space="0"/>
              <w:right w:val="single" w:color="auto" w:sz="4" w:space="0"/>
            </w:tcBorders>
            <w:noWrap/>
            <w:vAlign w:val="center"/>
          </w:tcPr>
          <w:p w14:paraId="2718CF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43800</w:t>
            </w:r>
          </w:p>
        </w:tc>
        <w:tc>
          <w:tcPr>
            <w:tcW w:w="1432" w:type="dxa"/>
            <w:tcBorders>
              <w:top w:val="nil"/>
              <w:left w:val="nil"/>
              <w:bottom w:val="single" w:color="auto" w:sz="4" w:space="0"/>
              <w:right w:val="single" w:color="auto" w:sz="4" w:space="0"/>
            </w:tcBorders>
            <w:noWrap/>
            <w:vAlign w:val="center"/>
          </w:tcPr>
          <w:p w14:paraId="7DD8A4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1229796.72</w:t>
            </w:r>
          </w:p>
        </w:tc>
      </w:tr>
      <w:tr w14:paraId="29BE70A2">
        <w:tblPrEx>
          <w:tblCellMar>
            <w:top w:w="0" w:type="dxa"/>
            <w:left w:w="108" w:type="dxa"/>
            <w:bottom w:w="0" w:type="dxa"/>
            <w:right w:w="108" w:type="dxa"/>
          </w:tblCellMar>
        </w:tblPrEx>
        <w:trPr>
          <w:trHeight w:val="422" w:hRule="atLeast"/>
          <w:jc w:val="center"/>
        </w:trPr>
        <w:tc>
          <w:tcPr>
            <w:tcW w:w="2219" w:type="dxa"/>
            <w:gridSpan w:val="2"/>
            <w:tcBorders>
              <w:top w:val="nil"/>
              <w:left w:val="single" w:color="auto" w:sz="4" w:space="0"/>
              <w:bottom w:val="single" w:color="auto" w:sz="4" w:space="0"/>
              <w:right w:val="single" w:color="auto" w:sz="4" w:space="0"/>
            </w:tcBorders>
            <w:noWrap/>
            <w:vAlign w:val="center"/>
          </w:tcPr>
          <w:p w14:paraId="683DCF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合计</w:t>
            </w:r>
          </w:p>
        </w:tc>
        <w:tc>
          <w:tcPr>
            <w:tcW w:w="1326" w:type="dxa"/>
            <w:tcBorders>
              <w:top w:val="nil"/>
              <w:left w:val="nil"/>
              <w:bottom w:val="single" w:color="auto" w:sz="4" w:space="0"/>
              <w:right w:val="single" w:color="auto" w:sz="4" w:space="0"/>
            </w:tcBorders>
            <w:noWrap/>
            <w:vAlign w:val="center"/>
          </w:tcPr>
          <w:p w14:paraId="2647C1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29530654.84</w:t>
            </w:r>
          </w:p>
        </w:tc>
        <w:tc>
          <w:tcPr>
            <w:tcW w:w="1417" w:type="dxa"/>
            <w:tcBorders>
              <w:top w:val="nil"/>
              <w:left w:val="nil"/>
              <w:bottom w:val="single" w:color="auto" w:sz="4" w:space="0"/>
              <w:right w:val="single" w:color="auto" w:sz="4" w:space="0"/>
            </w:tcBorders>
            <w:noWrap/>
            <w:vAlign w:val="center"/>
          </w:tcPr>
          <w:p w14:paraId="29D637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21439580.14</w:t>
            </w:r>
          </w:p>
        </w:tc>
        <w:tc>
          <w:tcPr>
            <w:tcW w:w="1134" w:type="dxa"/>
            <w:tcBorders>
              <w:top w:val="nil"/>
              <w:left w:val="nil"/>
              <w:bottom w:val="single" w:color="auto" w:sz="4" w:space="0"/>
              <w:right w:val="single" w:color="auto" w:sz="4" w:space="0"/>
            </w:tcBorders>
            <w:noWrap/>
            <w:vAlign w:val="center"/>
          </w:tcPr>
          <w:p w14:paraId="1A25465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268736</w:t>
            </w:r>
          </w:p>
        </w:tc>
        <w:tc>
          <w:tcPr>
            <w:tcW w:w="1190" w:type="dxa"/>
            <w:tcBorders>
              <w:top w:val="nil"/>
              <w:left w:val="nil"/>
              <w:bottom w:val="single" w:color="auto" w:sz="4" w:space="0"/>
              <w:right w:val="single" w:color="auto" w:sz="4" w:space="0"/>
            </w:tcBorders>
            <w:noWrap/>
            <w:vAlign w:val="center"/>
          </w:tcPr>
          <w:p w14:paraId="230975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835510.71</w:t>
            </w:r>
          </w:p>
        </w:tc>
        <w:tc>
          <w:tcPr>
            <w:tcW w:w="1290" w:type="dxa"/>
            <w:tcBorders>
              <w:top w:val="nil"/>
              <w:left w:val="nil"/>
              <w:bottom w:val="single" w:color="auto" w:sz="4" w:space="0"/>
              <w:right w:val="single" w:color="auto" w:sz="4" w:space="0"/>
            </w:tcBorders>
            <w:noWrap/>
            <w:vAlign w:val="center"/>
          </w:tcPr>
          <w:p w14:paraId="3CFC7B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192387.63</w:t>
            </w:r>
          </w:p>
        </w:tc>
        <w:tc>
          <w:tcPr>
            <w:tcW w:w="1347" w:type="dxa"/>
            <w:tcBorders>
              <w:top w:val="nil"/>
              <w:left w:val="nil"/>
              <w:bottom w:val="single" w:color="auto" w:sz="4" w:space="0"/>
              <w:right w:val="single" w:color="auto" w:sz="4" w:space="0"/>
            </w:tcBorders>
            <w:noWrap/>
            <w:vAlign w:val="center"/>
          </w:tcPr>
          <w:p w14:paraId="3D1414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797796.77</w:t>
            </w:r>
          </w:p>
        </w:tc>
        <w:tc>
          <w:tcPr>
            <w:tcW w:w="1276" w:type="dxa"/>
            <w:tcBorders>
              <w:top w:val="nil"/>
              <w:left w:val="nil"/>
              <w:bottom w:val="single" w:color="auto" w:sz="4" w:space="0"/>
              <w:right w:val="single" w:color="auto" w:sz="4" w:space="0"/>
            </w:tcBorders>
            <w:noWrap/>
            <w:vAlign w:val="center"/>
          </w:tcPr>
          <w:p w14:paraId="4668AA3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12085.2</w:t>
            </w:r>
            <w:r>
              <w:rPr>
                <w:rFonts w:hint="eastAsia" w:ascii="Times New Roman" w:hAnsi="Times New Roman" w:eastAsia="宋体" w:cs="Times New Roman"/>
                <w:color w:val="auto"/>
                <w:szCs w:val="21"/>
                <w:highlight w:val="none"/>
                <w:lang w:val="en-US" w:eastAsia="zh-CN"/>
              </w:rPr>
              <w:t>0</w:t>
            </w:r>
          </w:p>
        </w:tc>
        <w:tc>
          <w:tcPr>
            <w:tcW w:w="1247" w:type="dxa"/>
            <w:tcBorders>
              <w:top w:val="nil"/>
              <w:left w:val="nil"/>
              <w:bottom w:val="single" w:color="auto" w:sz="4" w:space="0"/>
              <w:right w:val="single" w:color="auto" w:sz="4" w:space="0"/>
            </w:tcBorders>
            <w:noWrap/>
            <w:vAlign w:val="center"/>
          </w:tcPr>
          <w:p w14:paraId="385733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1644930</w:t>
            </w:r>
          </w:p>
        </w:tc>
        <w:tc>
          <w:tcPr>
            <w:tcW w:w="1290" w:type="dxa"/>
            <w:tcBorders>
              <w:top w:val="nil"/>
              <w:left w:val="nil"/>
              <w:bottom w:val="single" w:color="auto" w:sz="4" w:space="0"/>
              <w:right w:val="single" w:color="auto" w:sz="4" w:space="0"/>
            </w:tcBorders>
            <w:noWrap/>
            <w:vAlign w:val="center"/>
          </w:tcPr>
          <w:p w14:paraId="047123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619816</w:t>
            </w:r>
          </w:p>
        </w:tc>
        <w:tc>
          <w:tcPr>
            <w:tcW w:w="1432" w:type="dxa"/>
            <w:tcBorders>
              <w:top w:val="nil"/>
              <w:left w:val="nil"/>
              <w:bottom w:val="single" w:color="auto" w:sz="4" w:space="0"/>
              <w:right w:val="single" w:color="auto" w:sz="4" w:space="0"/>
            </w:tcBorders>
            <w:noWrap/>
            <w:vAlign w:val="center"/>
          </w:tcPr>
          <w:p w14:paraId="036737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bidi="ar"/>
              </w:rPr>
              <w:t>25337633.56</w:t>
            </w:r>
          </w:p>
        </w:tc>
      </w:tr>
    </w:tbl>
    <w:p w14:paraId="09F3B20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sectPr>
          <w:pgSz w:w="16838" w:h="11906" w:orient="landscape"/>
          <w:pgMar w:top="1021" w:right="1418" w:bottom="1021" w:left="1418" w:header="567" w:footer="567" w:gutter="0"/>
          <w:pgNumType w:fmt="decimal"/>
          <w:cols w:space="720" w:num="1"/>
          <w:titlePg/>
          <w:docGrid w:linePitch="360" w:charSpace="0"/>
        </w:sectPr>
      </w:pPr>
      <w:r>
        <w:rPr>
          <w:rFonts w:hint="default" w:ascii="Times New Roman" w:hAnsi="Times New Roman" w:eastAsia="宋体" w:cs="Times New Roman"/>
          <w:color w:val="auto"/>
          <w:sz w:val="24"/>
          <w:szCs w:val="24"/>
          <w:highlight w:val="none"/>
        </w:rPr>
        <w:t>注：若托管期内能源资源单价发生变化，双方应按能源资源费用价格调整比例同步调整能源托管费用。调整的时间为价格调整后的同步时间。</w:t>
      </w:r>
    </w:p>
    <w:p w14:paraId="54EF3145">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ascii="Times New Roman" w:hAnsi="Times New Roman" w:eastAsia="宋体" w:cs="Times New Roman"/>
          <w:b/>
          <w:bCs/>
          <w:color w:val="auto"/>
          <w:sz w:val="24"/>
          <w:highlight w:val="none"/>
        </w:rPr>
      </w:pPr>
      <w:r>
        <w:rPr>
          <w:rFonts w:hint="eastAsia" w:cs="Times New Roman"/>
          <w:b/>
          <w:bCs/>
          <w:color w:val="auto"/>
          <w:sz w:val="24"/>
          <w:highlight w:val="none"/>
          <w:lang w:eastAsia="zh-CN"/>
        </w:rPr>
        <w:t>（</w:t>
      </w:r>
      <w:r>
        <w:rPr>
          <w:rFonts w:hint="eastAsia" w:cs="Times New Roman"/>
          <w:b/>
          <w:bCs/>
          <w:color w:val="auto"/>
          <w:sz w:val="24"/>
          <w:highlight w:val="none"/>
          <w:lang w:val="en-US" w:eastAsia="zh-CN"/>
        </w:rPr>
        <w:t>四</w:t>
      </w:r>
      <w:r>
        <w:rPr>
          <w:rFonts w:hint="eastAsia" w:cs="Times New Roman"/>
          <w:b/>
          <w:bCs/>
          <w:color w:val="auto"/>
          <w:sz w:val="24"/>
          <w:highlight w:val="none"/>
          <w:lang w:eastAsia="zh-CN"/>
        </w:rPr>
        <w:t>）</w:t>
      </w:r>
      <w:r>
        <w:rPr>
          <w:rFonts w:hint="default" w:ascii="Times New Roman" w:hAnsi="Times New Roman" w:eastAsia="宋体" w:cs="Times New Roman"/>
          <w:b/>
          <w:bCs/>
          <w:color w:val="auto"/>
          <w:sz w:val="24"/>
          <w:highlight w:val="none"/>
        </w:rPr>
        <w:t>服务期限</w:t>
      </w:r>
    </w:p>
    <w:p w14:paraId="65023CDD">
      <w:pPr>
        <w:keepNext w:val="0"/>
        <w:keepLines w:val="0"/>
        <w:pageBreakBefore w:val="0"/>
        <w:widowControl w:val="0"/>
        <w:numPr>
          <w:ilvl w:val="0"/>
          <w:numId w:val="0"/>
        </w:numPr>
        <w:tabs>
          <w:tab w:val="left" w:pos="42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本项目节能改造总建设工期不超过180个日历天，项目从验收后的次月1号进入托管期，能源托管期共120个自然月（10年），至合同结束且双方履行完毕各自权利与义务之日止。</w:t>
      </w:r>
    </w:p>
    <w:p w14:paraId="7EAC95CD">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cs="Times New Roman"/>
          <w:b/>
          <w:bCs/>
          <w:color w:val="auto"/>
          <w:sz w:val="24"/>
          <w:highlight w:val="none"/>
          <w:lang w:eastAsia="zh-CN"/>
        </w:rPr>
      </w:pPr>
      <w:r>
        <w:rPr>
          <w:rFonts w:hint="eastAsia" w:cs="Times New Roman"/>
          <w:b/>
          <w:bCs/>
          <w:color w:val="auto"/>
          <w:sz w:val="24"/>
          <w:highlight w:val="none"/>
          <w:lang w:eastAsia="zh-CN"/>
        </w:rPr>
        <w:t>（</w:t>
      </w:r>
      <w:r>
        <w:rPr>
          <w:rFonts w:hint="eastAsia" w:cs="Times New Roman"/>
          <w:b/>
          <w:bCs/>
          <w:color w:val="auto"/>
          <w:sz w:val="24"/>
          <w:highlight w:val="none"/>
          <w:lang w:val="en-US" w:eastAsia="zh-CN"/>
        </w:rPr>
        <w:t>五</w:t>
      </w:r>
      <w:r>
        <w:rPr>
          <w:rFonts w:hint="eastAsia" w:cs="Times New Roman"/>
          <w:b/>
          <w:bCs/>
          <w:color w:val="auto"/>
          <w:sz w:val="24"/>
          <w:highlight w:val="none"/>
          <w:lang w:eastAsia="zh-CN"/>
        </w:rPr>
        <w:t>）</w:t>
      </w:r>
      <w:r>
        <w:rPr>
          <w:rFonts w:hint="default" w:cs="Times New Roman"/>
          <w:b/>
          <w:bCs/>
          <w:color w:val="auto"/>
          <w:sz w:val="24"/>
          <w:highlight w:val="none"/>
          <w:lang w:eastAsia="zh-CN"/>
        </w:rPr>
        <w:t>质量要求</w:t>
      </w:r>
    </w:p>
    <w:p w14:paraId="21E5E791">
      <w:pPr>
        <w:keepNext w:val="0"/>
        <w:keepLines w:val="0"/>
        <w:pageBreakBefore w:val="0"/>
        <w:widowControl w:val="0"/>
        <w:numPr>
          <w:ilvl w:val="0"/>
          <w:numId w:val="0"/>
        </w:numPr>
        <w:tabs>
          <w:tab w:val="left" w:pos="42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Cs/>
          <w:color w:val="auto"/>
          <w:sz w:val="24"/>
          <w:szCs w:val="24"/>
          <w:highlight w:val="none"/>
        </w:rPr>
        <w:t>托管所有流程须符合国家相关技术规范和要求，其中节能改造设备的能效标准均须达到二级及以上水平。</w:t>
      </w:r>
    </w:p>
    <w:p w14:paraId="0BF17421">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cs="Times New Roman"/>
          <w:b/>
          <w:bCs/>
          <w:color w:val="auto"/>
          <w:sz w:val="24"/>
          <w:highlight w:val="none"/>
          <w:lang w:eastAsia="zh-CN"/>
        </w:rPr>
      </w:pPr>
      <w:r>
        <w:rPr>
          <w:rFonts w:hint="default" w:cs="Times New Roman"/>
          <w:b/>
          <w:bCs/>
          <w:color w:val="auto"/>
          <w:sz w:val="24"/>
          <w:highlight w:val="none"/>
          <w:lang w:eastAsia="zh-CN"/>
        </w:rPr>
        <w:t>（六）节能率要求</w:t>
      </w:r>
    </w:p>
    <w:p w14:paraId="5207C726">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 w:val="0"/>
          <w:bCs w:val="0"/>
          <w:i/>
          <w:iCs w:val="0"/>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rPr>
        <w:t>1.整体项目实施改造后年综合节能率均不低于8%，降碳率不低于10%</w:t>
      </w:r>
      <w:r>
        <w:rPr>
          <w:rFonts w:hint="eastAsia" w:ascii="Times New Roman" w:hAnsi="Times New Roman" w:eastAsia="宋体" w:cs="Times New Roman"/>
          <w:bCs/>
          <w:color w:val="auto"/>
          <w:sz w:val="24"/>
          <w:szCs w:val="24"/>
          <w:highlight w:val="none"/>
          <w:lang w:eastAsia="zh-CN"/>
        </w:rPr>
        <w:t>。</w:t>
      </w:r>
      <w:r>
        <w:rPr>
          <w:rFonts w:hint="eastAsia" w:ascii="Times New Roman" w:hAnsi="Times New Roman" w:eastAsia="宋体" w:cs="Times New Roman"/>
          <w:bCs/>
          <w:color w:val="auto"/>
          <w:sz w:val="24"/>
          <w:szCs w:val="24"/>
          <w:highlight w:val="none"/>
          <w:lang w:val="en-US" w:eastAsia="zh-CN" w:bidi="ar"/>
        </w:rPr>
        <w:t>人均用水量下降不低于3</w:t>
      </w:r>
      <w:r>
        <w:rPr>
          <w:rFonts w:hint="default" w:ascii="Times New Roman" w:hAnsi="Times New Roman" w:eastAsia="宋体" w:cs="Times New Roman"/>
          <w:bCs/>
          <w:color w:val="auto"/>
          <w:sz w:val="24"/>
          <w:szCs w:val="24"/>
          <w:highlight w:val="none"/>
          <w:lang w:val="en-US" w:eastAsia="zh-CN" w:bidi="ar"/>
        </w:rPr>
        <w:t>%</w:t>
      </w:r>
      <w:r>
        <w:rPr>
          <w:rFonts w:hint="default" w:ascii="Times New Roman" w:hAnsi="Times New Roman" w:eastAsia="宋体" w:cs="Times New Roman"/>
          <w:bCs/>
          <w:color w:val="auto"/>
          <w:sz w:val="24"/>
          <w:szCs w:val="24"/>
          <w:highlight w:val="none"/>
        </w:rPr>
        <w:t>（注：相关降低率为托管期间的年降低量与基准期总量之比）。</w:t>
      </w:r>
      <w:r>
        <w:rPr>
          <w:rFonts w:hint="default" w:ascii="Times New Roman" w:hAnsi="Times New Roman" w:eastAsia="宋体" w:cs="Times New Roman"/>
          <w:b w:val="0"/>
          <w:bCs w:val="0"/>
          <w:i/>
          <w:iCs w:val="0"/>
          <w:color w:val="auto"/>
          <w:sz w:val="24"/>
          <w:szCs w:val="24"/>
          <w:highlight w:val="none"/>
          <w:u w:val="single"/>
        </w:rPr>
        <w:t>提供《综合节能率承诺书》</w:t>
      </w:r>
      <w:r>
        <w:rPr>
          <w:rFonts w:hint="eastAsia" w:ascii="Times New Roman" w:hAnsi="Times New Roman" w:eastAsia="宋体" w:cs="Times New Roman"/>
          <w:b w:val="0"/>
          <w:bCs w:val="0"/>
          <w:i/>
          <w:iCs w:val="0"/>
          <w:color w:val="auto"/>
          <w:sz w:val="24"/>
          <w:szCs w:val="24"/>
          <w:highlight w:val="none"/>
          <w:u w:val="single"/>
          <w:lang w:eastAsia="zh-CN"/>
        </w:rPr>
        <w:t>，</w:t>
      </w:r>
      <w:r>
        <w:rPr>
          <w:rFonts w:hint="eastAsia" w:ascii="Times New Roman" w:hAnsi="Times New Roman" w:eastAsia="宋体" w:cs="Times New Roman"/>
          <w:b w:val="0"/>
          <w:bCs w:val="0"/>
          <w:i/>
          <w:iCs w:val="0"/>
          <w:color w:val="auto"/>
          <w:sz w:val="24"/>
          <w:szCs w:val="24"/>
          <w:highlight w:val="none"/>
          <w:u w:val="single"/>
          <w:lang w:val="en-US" w:eastAsia="zh-CN"/>
        </w:rPr>
        <w:t>格式见附件。</w:t>
      </w:r>
    </w:p>
    <w:p w14:paraId="12003A5C">
      <w:pPr>
        <w:keepNext w:val="0"/>
        <w:keepLines w:val="0"/>
        <w:pageBreakBefore w:val="0"/>
        <w:tabs>
          <w:tab w:val="left" w:pos="42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2.托管期内的年实际用水总量原则上不得高于自来水基准总量，同时中标人应在本次托管范围内的被托管单位中，重点</w:t>
      </w:r>
      <w:r>
        <w:rPr>
          <w:rFonts w:hint="eastAsia" w:ascii="Times New Roman" w:hAnsi="Times New Roman" w:eastAsia="宋体" w:cs="Times New Roman"/>
          <w:bCs/>
          <w:color w:val="auto"/>
          <w:sz w:val="24"/>
          <w:szCs w:val="24"/>
          <w:highlight w:val="none"/>
          <w:lang w:val="en-US" w:eastAsia="zh-CN"/>
        </w:rPr>
        <w:t>筛选</w:t>
      </w:r>
      <w:r>
        <w:rPr>
          <w:rFonts w:hint="default" w:ascii="Times New Roman" w:hAnsi="Times New Roman" w:eastAsia="宋体" w:cs="Times New Roman"/>
          <w:bCs/>
          <w:color w:val="auto"/>
          <w:sz w:val="24"/>
          <w:szCs w:val="24"/>
          <w:highlight w:val="none"/>
        </w:rPr>
        <w:t>其中1-2家单位的用水系统进行节水改造，并协助获取“国家级公共机构水效领跑者”证书。</w:t>
      </w:r>
    </w:p>
    <w:p w14:paraId="2DCBA561">
      <w:pPr>
        <w:keepNext w:val="0"/>
        <w:keepLines w:val="0"/>
        <w:pageBreakBefore w:val="0"/>
        <w:tabs>
          <w:tab w:val="left" w:pos="42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3</w:t>
      </w:r>
      <w:r>
        <w:rPr>
          <w:rFonts w:hint="default" w:ascii="Times New Roman" w:hAnsi="Times New Roman" w:eastAsia="宋体" w:cs="Times New Roman"/>
          <w:bCs/>
          <w:color w:val="auto"/>
          <w:sz w:val="24"/>
          <w:szCs w:val="24"/>
          <w:highlight w:val="none"/>
        </w:rPr>
        <w:t>、为贯彻执行江苏省公共机构节能降碳“十五五”规划要求，坚持绿色低碳引领行动，持续推动节能降碳工作高质量发展，中标人应在本次托管范围内的被托管单位中，应重点筛选1-2栋单体建筑进行零碳/近零碳建筑改造，并完成零碳/近零碳建筑认证工作。</w:t>
      </w:r>
    </w:p>
    <w:p w14:paraId="0C912FDC">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cs="Times New Roman"/>
          <w:b/>
          <w:bCs/>
          <w:color w:val="auto"/>
          <w:sz w:val="24"/>
          <w:highlight w:val="none"/>
          <w:u w:val="none"/>
          <w:lang w:eastAsia="zh-CN"/>
        </w:rPr>
      </w:pPr>
      <w:r>
        <w:rPr>
          <w:rFonts w:hint="default" w:cs="Times New Roman"/>
          <w:b/>
          <w:bCs/>
          <w:color w:val="auto"/>
          <w:sz w:val="24"/>
          <w:highlight w:val="none"/>
          <w:u w:val="none"/>
          <w:lang w:eastAsia="zh-CN"/>
        </w:rPr>
        <w:t>（七）售电要求</w:t>
      </w:r>
    </w:p>
    <w:p w14:paraId="25DD3738">
      <w:pPr>
        <w:pStyle w:val="1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rPr>
        <w:t>1.托管范围内已通过第三方售电公司开展售电业务的被托管单位，维持原有售电模式及合同关系不变，中标人不得强制变更。托管范围内尚未开展售电业务的被托管单位，在正式进入托管期后，如提出采用市场化售电模式的，中标人应积极配合并协助其与售电公司签订售电协议，相关协助工作不得另行收费。</w:t>
      </w:r>
    </w:p>
    <w:p w14:paraId="42D4AC74">
      <w:pPr>
        <w:pStyle w:val="1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b/>
          <w:bCs/>
          <w:i/>
          <w:iCs/>
          <w:color w:val="auto"/>
          <w:sz w:val="24"/>
          <w:szCs w:val="24"/>
          <w:highlight w:val="none"/>
          <w:u w:val="single"/>
        </w:rPr>
      </w:pPr>
      <w:r>
        <w:rPr>
          <w:rFonts w:hint="default" w:ascii="Times New Roman" w:hAnsi="Times New Roman" w:eastAsia="宋体" w:cs="Times New Roman"/>
          <w:color w:val="auto"/>
          <w:sz w:val="24"/>
          <w:szCs w:val="24"/>
          <w:highlight w:val="none"/>
          <w:u w:val="none"/>
        </w:rPr>
        <w:t>2.本项目市场化购电服务允许分包，但中标人不得将上述服务整体转包。分包前，中标人应将拟分包单位的相关资质材料报采购人（或被托管单位）备案。承接本项目市场化售电服务的单位，须为在江苏省电力交易中心公布的售电公司目录内完成注册及备案、具备相应电力交易资格的售电公司。</w:t>
      </w:r>
      <w:r>
        <w:rPr>
          <w:rFonts w:hint="default" w:ascii="Times New Roman" w:hAnsi="Times New Roman" w:eastAsia="宋体" w:cs="Times New Roman"/>
          <w:b/>
          <w:bCs/>
          <w:i/>
          <w:iCs/>
          <w:color w:val="auto"/>
          <w:sz w:val="24"/>
          <w:szCs w:val="24"/>
          <w:highlight w:val="none"/>
          <w:u w:val="single"/>
        </w:rPr>
        <w:t>中标人应在</w:t>
      </w:r>
      <w:r>
        <w:rPr>
          <w:rFonts w:hint="eastAsia" w:cs="Times New Roman"/>
          <w:b/>
          <w:bCs/>
          <w:i/>
          <w:iCs/>
          <w:color w:val="auto"/>
          <w:sz w:val="24"/>
          <w:szCs w:val="24"/>
          <w:highlight w:val="none"/>
          <w:u w:val="single"/>
          <w:lang w:val="en-US" w:eastAsia="zh-CN"/>
        </w:rPr>
        <w:t>签订合同</w:t>
      </w:r>
      <w:r>
        <w:rPr>
          <w:rFonts w:hint="default" w:ascii="Times New Roman" w:hAnsi="Times New Roman" w:eastAsia="宋体" w:cs="Times New Roman"/>
          <w:b/>
          <w:bCs/>
          <w:i/>
          <w:iCs/>
          <w:color w:val="auto"/>
          <w:sz w:val="24"/>
          <w:szCs w:val="24"/>
          <w:highlight w:val="none"/>
          <w:u w:val="single"/>
        </w:rPr>
        <w:t>时提供由其拟定的售电服务承接方出具的承诺函（格式自拟），承诺内容应至少包括：具备合法有效交易资格、不再次转包、严格执行江苏电力市场相关规则及本协议约定。</w:t>
      </w:r>
    </w:p>
    <w:p w14:paraId="1F4FE26D">
      <w:pPr>
        <w:pStyle w:val="1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rPr>
        <w:t>3.因市场化售电产生的收益（含价差收益、红利及其他相关收益），由中标人与对应被托管单位另行协商确定分配比例及结算方式，并在双方书面确认后执行；未达成书面一致的，不得擅自从被托管单位电费账户中扣划。</w:t>
      </w:r>
    </w:p>
    <w:p w14:paraId="7DD73D0D">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cs="Times New Roman"/>
          <w:b/>
          <w:bCs/>
          <w:color w:val="auto"/>
          <w:sz w:val="24"/>
          <w:highlight w:val="none"/>
          <w:u w:val="none"/>
          <w:lang w:eastAsia="zh-CN"/>
        </w:rPr>
      </w:pPr>
      <w:r>
        <w:rPr>
          <w:rFonts w:hint="eastAsia" w:cs="Times New Roman"/>
          <w:b/>
          <w:bCs/>
          <w:color w:val="auto"/>
          <w:sz w:val="24"/>
          <w:highlight w:val="none"/>
          <w:u w:val="none"/>
          <w:lang w:val="en-US" w:eastAsia="zh-CN"/>
        </w:rPr>
        <w:t>（八）</w:t>
      </w:r>
      <w:r>
        <w:rPr>
          <w:rFonts w:hint="default" w:cs="Times New Roman"/>
          <w:b/>
          <w:bCs/>
          <w:color w:val="auto"/>
          <w:sz w:val="24"/>
          <w:highlight w:val="none"/>
          <w:u w:val="none"/>
          <w:lang w:val="en-US" w:eastAsia="zh-CN"/>
        </w:rPr>
        <w:t>泰</w:t>
      </w:r>
      <w:r>
        <w:rPr>
          <w:rFonts w:hint="default" w:cs="Times New Roman"/>
          <w:b/>
          <w:bCs/>
          <w:color w:val="auto"/>
          <w:sz w:val="24"/>
          <w:highlight w:val="none"/>
          <w:u w:val="none"/>
          <w:lang w:eastAsia="zh-CN"/>
        </w:rPr>
        <w:t>州市能源管理“一张网”平台后续接入及数据贯通配合要求</w:t>
      </w:r>
    </w:p>
    <w:p w14:paraId="568EC9A0">
      <w:pPr>
        <w:pStyle w:val="55"/>
        <w:keepNext w:val="0"/>
        <w:keepLines w:val="0"/>
        <w:pageBreakBefore w:val="0"/>
        <w:widowControl w:val="0"/>
        <w:numPr>
          <w:ilvl w:val="0"/>
          <w:numId w:val="0"/>
        </w:numPr>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i/>
          <w:iCs/>
          <w:color w:val="auto"/>
          <w:sz w:val="24"/>
          <w:szCs w:val="24"/>
          <w:highlight w:val="none"/>
          <w:u w:val="single"/>
          <w:lang w:val="en-US"/>
        </w:rPr>
      </w:pPr>
      <w:r>
        <w:rPr>
          <w:rFonts w:hint="default" w:ascii="Times New Roman" w:hAnsi="Times New Roman" w:eastAsia="宋体" w:cs="Times New Roman"/>
          <w:i/>
          <w:iCs/>
          <w:color w:val="auto"/>
          <w:sz w:val="24"/>
          <w:szCs w:val="24"/>
          <w:highlight w:val="none"/>
          <w:u w:val="single"/>
        </w:rPr>
        <w:t>本项目构建的全市能源管理“一张网”平台</w:t>
      </w:r>
      <w:r>
        <w:rPr>
          <w:rFonts w:hint="eastAsia" w:ascii="Times New Roman" w:hAnsi="Times New Roman" w:eastAsia="宋体" w:cs="Times New Roman"/>
          <w:i/>
          <w:iCs/>
          <w:color w:val="auto"/>
          <w:sz w:val="24"/>
          <w:szCs w:val="24"/>
          <w:highlight w:val="none"/>
          <w:u w:val="single"/>
          <w:lang w:eastAsia="zh-CN"/>
        </w:rPr>
        <w:t>，</w:t>
      </w:r>
      <w:r>
        <w:rPr>
          <w:rFonts w:hint="eastAsia" w:ascii="Times New Roman" w:hAnsi="Times New Roman" w:eastAsia="宋体" w:cs="Times New Roman"/>
          <w:b w:val="0"/>
          <w:bCs w:val="0"/>
          <w:i/>
          <w:iCs/>
          <w:color w:val="auto"/>
          <w:sz w:val="24"/>
          <w:szCs w:val="24"/>
          <w:highlight w:val="none"/>
          <w:u w:val="single"/>
          <w:lang w:val="en-US" w:eastAsia="zh-CN"/>
        </w:rPr>
        <w:t>须满足信息系统安全等级保护第三级和信创适配要求，</w:t>
      </w:r>
      <w:r>
        <w:rPr>
          <w:rFonts w:hint="eastAsia" w:ascii="Times New Roman" w:hAnsi="Times New Roman" w:eastAsia="宋体" w:cs="Times New Roman"/>
          <w:i/>
          <w:iCs/>
          <w:color w:val="auto"/>
          <w:sz w:val="24"/>
          <w:szCs w:val="24"/>
          <w:highlight w:val="none"/>
          <w:u w:val="single"/>
          <w:lang w:val="en-US" w:eastAsia="zh-CN"/>
        </w:rPr>
        <w:t>中标人应将后续市本级公共机构</w:t>
      </w:r>
      <w:r>
        <w:rPr>
          <w:rFonts w:hint="default" w:ascii="Times New Roman" w:hAnsi="Times New Roman" w:eastAsia="宋体" w:cs="Times New Roman"/>
          <w:i/>
          <w:iCs/>
          <w:color w:val="auto"/>
          <w:sz w:val="24"/>
          <w:szCs w:val="24"/>
          <w:highlight w:val="none"/>
          <w:u w:val="single"/>
        </w:rPr>
        <w:t>40余家单位</w:t>
      </w:r>
      <w:r>
        <w:rPr>
          <w:rFonts w:hint="eastAsia" w:ascii="Times New Roman" w:hAnsi="Times New Roman" w:eastAsia="宋体" w:cs="Times New Roman"/>
          <w:i/>
          <w:iCs/>
          <w:color w:val="auto"/>
          <w:sz w:val="24"/>
          <w:szCs w:val="24"/>
          <w:highlight w:val="none"/>
          <w:u w:val="single"/>
          <w:lang w:val="en-US" w:eastAsia="zh-CN"/>
        </w:rPr>
        <w:t>的能耗（电、气、水）总计量接入，平台</w:t>
      </w:r>
      <w:r>
        <w:rPr>
          <w:rFonts w:hint="default" w:ascii="Times New Roman" w:hAnsi="Times New Roman" w:eastAsia="宋体" w:cs="Times New Roman"/>
          <w:i/>
          <w:iCs/>
          <w:color w:val="auto"/>
          <w:sz w:val="24"/>
          <w:szCs w:val="24"/>
          <w:highlight w:val="none"/>
          <w:u w:val="single"/>
        </w:rPr>
        <w:t>应预留</w:t>
      </w:r>
      <w:r>
        <w:rPr>
          <w:rFonts w:hint="eastAsia" w:ascii="Times New Roman" w:hAnsi="Times New Roman" w:eastAsia="宋体" w:cs="Times New Roman"/>
          <w:i/>
          <w:iCs/>
          <w:color w:val="auto"/>
          <w:sz w:val="24"/>
          <w:szCs w:val="24"/>
          <w:highlight w:val="none"/>
          <w:u w:val="single"/>
          <w:lang w:val="en-US" w:eastAsia="zh-CN"/>
        </w:rPr>
        <w:t>后续市本级公共机构</w:t>
      </w:r>
      <w:r>
        <w:rPr>
          <w:rFonts w:hint="default" w:ascii="Times New Roman" w:hAnsi="Times New Roman" w:eastAsia="宋体" w:cs="Times New Roman"/>
          <w:i/>
          <w:iCs/>
          <w:color w:val="auto"/>
          <w:sz w:val="24"/>
          <w:szCs w:val="24"/>
          <w:highlight w:val="none"/>
          <w:u w:val="single"/>
        </w:rPr>
        <w:t>40余家单位的接入端口及数据处理能力，实现区县、市级、省级三级能耗数据的互联互通和共享共用，后续单位接入时，中标人应无条件予以配合和支持。</w:t>
      </w:r>
      <w:r>
        <w:rPr>
          <w:rFonts w:hint="eastAsia" w:ascii="Times New Roman" w:hAnsi="Times New Roman" w:eastAsia="宋体" w:cs="Times New Roman"/>
          <w:i/>
          <w:iCs/>
          <w:color w:val="auto"/>
          <w:sz w:val="24"/>
          <w:szCs w:val="24"/>
          <w:highlight w:val="none"/>
          <w:u w:val="single"/>
          <w:lang w:val="en-US" w:eastAsia="zh-CN"/>
        </w:rPr>
        <w:t>提供</w:t>
      </w:r>
      <w:r>
        <w:rPr>
          <w:rFonts w:hint="default" w:ascii="Times New Roman" w:hAnsi="Times New Roman" w:eastAsia="宋体" w:cs="Times New Roman"/>
          <w:i/>
          <w:iCs/>
          <w:color w:val="auto"/>
          <w:sz w:val="24"/>
          <w:szCs w:val="24"/>
          <w:highlight w:val="none"/>
          <w:u w:val="single"/>
          <w:lang w:val="en-US" w:eastAsia="zh-CN"/>
        </w:rPr>
        <w:t>平台通过第三方机构测评</w:t>
      </w:r>
      <w:r>
        <w:rPr>
          <w:rFonts w:hint="eastAsia" w:ascii="Times New Roman" w:hAnsi="Times New Roman" w:eastAsia="宋体" w:cs="Times New Roman"/>
          <w:i/>
          <w:iCs/>
          <w:color w:val="auto"/>
          <w:sz w:val="24"/>
          <w:szCs w:val="24"/>
          <w:highlight w:val="none"/>
          <w:u w:val="single"/>
          <w:lang w:val="en-US" w:eastAsia="zh-CN"/>
        </w:rPr>
        <w:t>承诺书（格式自拟）。</w:t>
      </w:r>
    </w:p>
    <w:p w14:paraId="1F9D23DA">
      <w:pPr>
        <w:pStyle w:val="16"/>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default" w:cs="Times New Roman"/>
          <w:b/>
          <w:bCs/>
          <w:color w:val="auto"/>
          <w:sz w:val="24"/>
          <w:highlight w:val="none"/>
          <w:lang w:val="en-US" w:eastAsia="zh-CN"/>
        </w:rPr>
      </w:pPr>
      <w:r>
        <w:rPr>
          <w:rFonts w:hint="eastAsia" w:cs="Times New Roman"/>
          <w:b/>
          <w:bCs/>
          <w:color w:val="auto"/>
          <w:sz w:val="24"/>
          <w:highlight w:val="none"/>
          <w:lang w:val="en-US" w:eastAsia="zh-CN"/>
        </w:rPr>
        <w:t>（九）</w:t>
      </w:r>
      <w:r>
        <w:rPr>
          <w:rFonts w:hint="default" w:cs="Times New Roman"/>
          <w:b/>
          <w:bCs/>
          <w:color w:val="auto"/>
          <w:sz w:val="24"/>
          <w:highlight w:val="none"/>
          <w:lang w:val="en-US" w:eastAsia="zh-CN"/>
        </w:rPr>
        <w:t>碳资产要求</w:t>
      </w:r>
    </w:p>
    <w:p w14:paraId="6945A4A8">
      <w:pPr>
        <w:pStyle w:val="68"/>
        <w:keepNext w:val="0"/>
        <w:keepLines w:val="0"/>
        <w:pageBreakBefore w:val="0"/>
        <w:widowControl/>
        <w:numPr>
          <w:ilvl w:val="0"/>
          <w:numId w:val="0"/>
        </w:numPr>
        <w:tabs>
          <w:tab w:val="left" w:pos="567"/>
        </w:tabs>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bCs/>
          <w:color w:val="auto"/>
          <w:szCs w:val="24"/>
          <w:highlight w:val="none"/>
        </w:rPr>
      </w:pPr>
      <w:r>
        <w:rPr>
          <w:rFonts w:hint="default" w:ascii="Times New Roman" w:hAnsi="Times New Roman" w:eastAsia="宋体" w:cs="Times New Roman"/>
          <w:bCs/>
          <w:color w:val="auto"/>
          <w:szCs w:val="24"/>
          <w:highlight w:val="none"/>
        </w:rPr>
        <w:t>正式进入托管期后，应挑选合适的场景，中标人邀请认证机构进行碳审核、碳减排的认证服务，能源托管所产生的碳资产按照合同约定比例</w:t>
      </w:r>
      <w:r>
        <w:rPr>
          <w:rFonts w:hint="eastAsia" w:cs="Times New Roman"/>
          <w:bCs/>
          <w:color w:val="auto"/>
          <w:szCs w:val="24"/>
          <w:highlight w:val="none"/>
          <w:lang w:val="en-US" w:eastAsia="zh-CN"/>
        </w:rPr>
        <w:t>分成</w:t>
      </w:r>
      <w:r>
        <w:rPr>
          <w:rFonts w:hint="default" w:ascii="Times New Roman" w:hAnsi="Times New Roman" w:eastAsia="宋体" w:cs="Times New Roman"/>
          <w:bCs/>
          <w:color w:val="auto"/>
          <w:szCs w:val="24"/>
          <w:highlight w:val="none"/>
        </w:rPr>
        <w:t>。（具体比例以合同约定为准）。</w:t>
      </w:r>
    </w:p>
    <w:p w14:paraId="2FCAB300">
      <w:pPr>
        <w:widowControl/>
        <w:tabs>
          <w:tab w:val="left" w:pos="420"/>
        </w:tabs>
        <w:adjustRightInd w:val="0"/>
        <w:snapToGrid w:val="0"/>
        <w:spacing w:line="360" w:lineRule="auto"/>
        <w:ind w:firstLine="482" w:firstLineChars="200"/>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六、节能改造内容及要求</w:t>
      </w:r>
    </w:p>
    <w:p w14:paraId="0E41C50B">
      <w:pPr>
        <w:keepNext w:val="0"/>
        <w:keepLines w:val="0"/>
        <w:pageBreakBefore w:val="0"/>
        <w:widowControl w:val="0"/>
        <w:tabs>
          <w:tab w:val="left" w:pos="945"/>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1.下列内容为基本改造方案，</w:t>
      </w:r>
      <w:r>
        <w:rPr>
          <w:rFonts w:hint="eastAsia"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bCs/>
          <w:color w:val="auto"/>
          <w:sz w:val="24"/>
          <w:szCs w:val="24"/>
          <w:highlight w:val="none"/>
        </w:rPr>
        <w:t>必须承诺响应，否则为无效投标；</w:t>
      </w:r>
    </w:p>
    <w:p w14:paraId="0C30F9C3">
      <w:pPr>
        <w:keepNext w:val="0"/>
        <w:keepLines w:val="0"/>
        <w:pageBreakBefore w:val="0"/>
        <w:widowControl w:val="0"/>
        <w:tabs>
          <w:tab w:val="left" w:pos="945"/>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w:t>
      </w:r>
      <w:r>
        <w:rPr>
          <w:rFonts w:hint="eastAsia"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bCs/>
          <w:color w:val="auto"/>
          <w:sz w:val="24"/>
          <w:szCs w:val="24"/>
          <w:highlight w:val="none"/>
        </w:rPr>
        <w:t>可根据已有资料，因地制宜，提供其他改造内容，应选择技术先进、经济合理的技术或产品，技术或产品应成熟稳定可靠。</w:t>
      </w:r>
    </w:p>
    <w:p w14:paraId="4DEA5B3F">
      <w:pPr>
        <w:keepNext w:val="0"/>
        <w:keepLines w:val="0"/>
        <w:pageBreakBefore w:val="0"/>
        <w:widowControl w:val="0"/>
        <w:tabs>
          <w:tab w:val="left" w:pos="945"/>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w:t>
      </w:r>
      <w:r>
        <w:rPr>
          <w:rFonts w:hint="eastAsia"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bCs/>
          <w:color w:val="auto"/>
          <w:sz w:val="24"/>
          <w:szCs w:val="24"/>
          <w:highlight w:val="none"/>
        </w:rPr>
        <w:t>节能改造所采购的设备应不低于原有设备参数，不得低于现有设备使用效果，应优先采用同品牌或同等效力一线品牌的设备，必须为全新设备。</w:t>
      </w:r>
    </w:p>
    <w:p w14:paraId="32BB5C93">
      <w:pPr>
        <w:keepNext w:val="0"/>
        <w:keepLines w:val="0"/>
        <w:pageBreakBefore w:val="0"/>
        <w:widowControl w:val="0"/>
        <w:tabs>
          <w:tab w:val="left" w:pos="945"/>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4.托管过程中所采用的软硬件设施须全面满足国家信创要求，系统设计应</w:t>
      </w:r>
      <w:r>
        <w:rPr>
          <w:rFonts w:hint="default" w:ascii="Times New Roman" w:hAnsi="Times New Roman" w:eastAsia="宋体" w:cs="Times New Roman"/>
          <w:bCs/>
          <w:color w:val="auto"/>
          <w:sz w:val="24"/>
          <w:szCs w:val="24"/>
          <w:highlight w:val="none"/>
          <w:lang w:val="en-US" w:eastAsia="zh-CN"/>
        </w:rPr>
        <w:t>采用</w:t>
      </w:r>
      <w:r>
        <w:rPr>
          <w:rFonts w:hint="default" w:ascii="Times New Roman" w:hAnsi="Times New Roman" w:eastAsia="宋体" w:cs="Times New Roman"/>
          <w:bCs/>
          <w:color w:val="auto"/>
          <w:sz w:val="24"/>
          <w:szCs w:val="24"/>
          <w:highlight w:val="none"/>
        </w:rPr>
        <w:t>国产组件，所有软硬件应能在国产CPU和国产操作系统环境下稳定运行。数据库、中间件等基础软件应支持国产数据库及国产中间件平台，完成国产化平台适配。</w:t>
      </w:r>
    </w:p>
    <w:p w14:paraId="2101A593">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5.改造应在不影响公共机构日常办公生活的情况下进行。</w:t>
      </w:r>
    </w:p>
    <w:p w14:paraId="5F4D9F48">
      <w:pPr>
        <w:pageBreakBefore w:val="0"/>
        <w:widowControl w:val="0"/>
        <w:kinsoku/>
        <w:wordWrap/>
        <w:overflowPunct/>
        <w:topLinePunct w:val="0"/>
        <w:autoSpaceDE/>
        <w:autoSpaceDN/>
        <w:bidi w:val="0"/>
        <w:adjustRightInd w:val="0"/>
        <w:snapToGrid w:val="0"/>
        <w:spacing w:line="360" w:lineRule="auto"/>
        <w:ind w:left="0" w:firstLine="480" w:firstLineChars="200"/>
        <w:textAlignment w:val="auto"/>
        <w:rPr>
          <w:rFonts w:hint="default" w:ascii="Times New Roman" w:hAnsi="Times New Roman" w:eastAsia="宋体" w:cs="Times New Roman"/>
          <w:bCs/>
          <w:i/>
          <w:iCs/>
          <w:color w:val="auto"/>
          <w:sz w:val="24"/>
          <w:szCs w:val="24"/>
          <w:highlight w:val="none"/>
          <w:u w:val="single"/>
          <w:lang w:val="en-US" w:eastAsia="zh-CN"/>
        </w:rPr>
      </w:pPr>
      <w:r>
        <w:rPr>
          <w:rFonts w:hint="eastAsia" w:ascii="Times New Roman" w:hAnsi="Times New Roman" w:eastAsia="宋体" w:cs="Times New Roman"/>
          <w:bCs/>
          <w:i/>
          <w:iCs/>
          <w:color w:val="auto"/>
          <w:sz w:val="24"/>
          <w:szCs w:val="24"/>
          <w:highlight w:val="none"/>
          <w:u w:val="single"/>
          <w:lang w:val="en-US" w:eastAsia="zh-CN"/>
        </w:rPr>
        <w:t>6.提供《节能改造实施承诺书》，格式见附件。</w:t>
      </w:r>
    </w:p>
    <w:p w14:paraId="6E6609C1">
      <w:pPr>
        <w:tabs>
          <w:tab w:val="left" w:pos="420"/>
        </w:tabs>
        <w:adjustRightInd w:val="0"/>
        <w:snapToGrid w:val="0"/>
        <w:spacing w:line="360" w:lineRule="auto"/>
        <w:ind w:firstLine="482" w:firstLineChars="200"/>
        <w:outlineLvl w:val="2"/>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（一）节能改造内容</w:t>
      </w:r>
    </w:p>
    <w:tbl>
      <w:tblPr>
        <w:tblStyle w:val="57"/>
        <w:tblW w:w="49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1229"/>
        <w:gridCol w:w="1440"/>
        <w:gridCol w:w="2706"/>
        <w:gridCol w:w="3578"/>
      </w:tblGrid>
      <w:tr w14:paraId="28D5C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shd w:val="clear" w:color="000000" w:fill="FFFFFF"/>
            <w:noWrap/>
            <w:vAlign w:val="center"/>
          </w:tcPr>
          <w:p w14:paraId="5B9133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序号</w:t>
            </w:r>
          </w:p>
        </w:tc>
        <w:tc>
          <w:tcPr>
            <w:tcW w:w="640" w:type="pct"/>
            <w:shd w:val="clear" w:color="000000" w:fill="FFFFFF"/>
            <w:vAlign w:val="center"/>
          </w:tcPr>
          <w:p w14:paraId="6C825D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单位名称</w:t>
            </w:r>
          </w:p>
        </w:tc>
        <w:tc>
          <w:tcPr>
            <w:tcW w:w="750" w:type="pct"/>
            <w:shd w:val="clear" w:color="000000" w:fill="FFFFFF"/>
            <w:noWrap/>
            <w:vAlign w:val="center"/>
          </w:tcPr>
          <w:p w14:paraId="60524C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改造系统</w:t>
            </w:r>
          </w:p>
        </w:tc>
        <w:tc>
          <w:tcPr>
            <w:tcW w:w="1409" w:type="pct"/>
            <w:shd w:val="clear" w:color="000000" w:fill="FFFFFF"/>
            <w:vAlign w:val="center"/>
          </w:tcPr>
          <w:p w14:paraId="5049453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改造措施</w:t>
            </w:r>
          </w:p>
        </w:tc>
        <w:tc>
          <w:tcPr>
            <w:tcW w:w="1863" w:type="pct"/>
            <w:shd w:val="clear" w:color="000000" w:fill="FFFFFF"/>
            <w:vAlign w:val="center"/>
          </w:tcPr>
          <w:p w14:paraId="25F0FA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主要设备</w:t>
            </w:r>
          </w:p>
        </w:tc>
      </w:tr>
      <w:tr w14:paraId="7BFCC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2B6314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640" w:type="pct"/>
            <w:vMerge w:val="restart"/>
            <w:shd w:val="clear" w:color="000000" w:fill="FFFFFF"/>
            <w:vAlign w:val="center"/>
          </w:tcPr>
          <w:p w14:paraId="13210B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市财政局</w:t>
            </w:r>
          </w:p>
        </w:tc>
        <w:tc>
          <w:tcPr>
            <w:tcW w:w="750" w:type="pct"/>
            <w:vMerge w:val="restart"/>
            <w:shd w:val="clear" w:color="000000" w:fill="FFFFFF"/>
            <w:noWrap/>
            <w:vAlign w:val="center"/>
          </w:tcPr>
          <w:p w14:paraId="75BF6AF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4B76C1C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多联式空调更换</w:t>
            </w:r>
          </w:p>
        </w:tc>
        <w:tc>
          <w:tcPr>
            <w:tcW w:w="1863" w:type="pct"/>
            <w:shd w:val="clear" w:color="000000" w:fill="FFFFFF"/>
            <w:noWrap/>
            <w:vAlign w:val="center"/>
          </w:tcPr>
          <w:p w14:paraId="25F486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23套多联式空调系统</w:t>
            </w:r>
          </w:p>
          <w:p w14:paraId="30CB22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部分内机更换</w:t>
            </w:r>
          </w:p>
        </w:tc>
      </w:tr>
      <w:tr w14:paraId="753F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shd w:val="clear" w:color="000000" w:fill="FFFFFF"/>
            <w:noWrap/>
            <w:vAlign w:val="center"/>
          </w:tcPr>
          <w:p w14:paraId="2B9DA3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shd w:val="clear" w:color="000000" w:fill="FFFFFF"/>
            <w:vAlign w:val="center"/>
          </w:tcPr>
          <w:p w14:paraId="59A915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46B33A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64E616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69F0EA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5A5B22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24套多联机网关</w:t>
            </w:r>
          </w:p>
        </w:tc>
      </w:tr>
      <w:tr w14:paraId="678C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3FDBC9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8392B8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4487E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C20B9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4E77DE0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增设3套雾化降温节能系统</w:t>
            </w:r>
          </w:p>
        </w:tc>
      </w:tr>
      <w:tr w14:paraId="7431B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47E67D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0635F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F549A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BB8263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22A021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增设43套分体机网关</w:t>
            </w:r>
          </w:p>
        </w:tc>
      </w:tr>
      <w:tr w14:paraId="1B1F5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2BDAE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1CDAF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3AC382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7970D9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794304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600套高光效LED光源</w:t>
            </w:r>
          </w:p>
        </w:tc>
      </w:tr>
      <w:tr w14:paraId="32B4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B82CD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417AB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1B136E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53861A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5AA623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30套定时控制装置</w:t>
            </w:r>
          </w:p>
        </w:tc>
      </w:tr>
      <w:tr w14:paraId="356F0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940A4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0023E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13124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55FB7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64052BD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1套智能远传水表</w:t>
            </w:r>
          </w:p>
        </w:tc>
      </w:tr>
      <w:tr w14:paraId="5AD73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027827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6C5E7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15891A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6DD7D6B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空气源热泵热水系统</w:t>
            </w:r>
          </w:p>
        </w:tc>
        <w:tc>
          <w:tcPr>
            <w:tcW w:w="1863" w:type="pct"/>
            <w:shd w:val="clear" w:color="000000" w:fill="FFFFFF"/>
            <w:noWrap/>
            <w:vAlign w:val="center"/>
          </w:tcPr>
          <w:p w14:paraId="0C5645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2台空气源热泵热水机组</w:t>
            </w:r>
          </w:p>
          <w:p w14:paraId="64B3A5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水箱及增压泵</w:t>
            </w:r>
          </w:p>
        </w:tc>
      </w:tr>
      <w:tr w14:paraId="4F814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CB990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5DBE35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1FAE2D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780C6D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w:t>
            </w:r>
          </w:p>
          <w:p w14:paraId="0FC4B2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建设能碳管理平台</w:t>
            </w:r>
          </w:p>
        </w:tc>
        <w:tc>
          <w:tcPr>
            <w:tcW w:w="1863" w:type="pct"/>
            <w:shd w:val="clear" w:color="000000" w:fill="FFFFFF"/>
            <w:noWrap/>
            <w:vAlign w:val="center"/>
          </w:tcPr>
          <w:p w14:paraId="0808AA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增设20套多功能电表</w:t>
            </w:r>
          </w:p>
        </w:tc>
      </w:tr>
      <w:tr w14:paraId="4EBF5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2D1A45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640" w:type="pct"/>
            <w:vMerge w:val="restart"/>
            <w:shd w:val="clear" w:color="000000" w:fill="FFFFFF"/>
            <w:vAlign w:val="center"/>
          </w:tcPr>
          <w:p w14:paraId="63DC003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市公安局巡特警支队</w:t>
            </w:r>
          </w:p>
        </w:tc>
        <w:tc>
          <w:tcPr>
            <w:tcW w:w="750" w:type="pct"/>
            <w:vMerge w:val="restart"/>
            <w:shd w:val="clear" w:color="000000" w:fill="FFFFFF"/>
            <w:noWrap/>
            <w:vAlign w:val="center"/>
          </w:tcPr>
          <w:p w14:paraId="0A016B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738F141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530390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4AC3A5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14套多联机网关</w:t>
            </w:r>
          </w:p>
        </w:tc>
      </w:tr>
      <w:tr w14:paraId="0F177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E445B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F77F8F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89650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9A98F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3904FA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增设2套雾化降温节能系统</w:t>
            </w:r>
          </w:p>
        </w:tc>
      </w:tr>
      <w:tr w14:paraId="0D3B5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2A763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AAE10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42C7D00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683AB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04535D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增设242套分体机网关</w:t>
            </w:r>
          </w:p>
        </w:tc>
      </w:tr>
      <w:tr w14:paraId="02422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779663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753581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636784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1546D5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597540C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10套定时控制装置</w:t>
            </w:r>
          </w:p>
        </w:tc>
      </w:tr>
      <w:tr w14:paraId="516E9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FE18E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B2A01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5846C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643188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5B406B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74D12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B96EA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7BD45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032BAC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3D8C55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4BBB8B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增设50套多功能电表</w:t>
            </w:r>
          </w:p>
        </w:tc>
      </w:tr>
      <w:tr w14:paraId="16AAB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7A574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1708D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15FFDC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13BA62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7062BA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装机容量：319.41kWp</w:t>
            </w:r>
          </w:p>
        </w:tc>
      </w:tr>
      <w:tr w14:paraId="1488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2D534E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640" w:type="pct"/>
            <w:vMerge w:val="restart"/>
            <w:shd w:val="clear" w:color="000000" w:fill="FFFFFF"/>
            <w:vAlign w:val="center"/>
          </w:tcPr>
          <w:p w14:paraId="700286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市公安局北院</w:t>
            </w:r>
          </w:p>
        </w:tc>
        <w:tc>
          <w:tcPr>
            <w:tcW w:w="750" w:type="pct"/>
            <w:vMerge w:val="restart"/>
            <w:shd w:val="clear" w:color="000000" w:fill="FFFFFF"/>
            <w:noWrap/>
            <w:vAlign w:val="center"/>
          </w:tcPr>
          <w:p w14:paraId="2BEFDF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2C5E387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风机盘管更换</w:t>
            </w:r>
          </w:p>
        </w:tc>
        <w:tc>
          <w:tcPr>
            <w:tcW w:w="1863" w:type="pct"/>
            <w:shd w:val="clear" w:color="000000" w:fill="FFFFFF"/>
            <w:noWrap/>
            <w:vAlign w:val="center"/>
          </w:tcPr>
          <w:p w14:paraId="35A84C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更换262台（不少于现有数量）风机盘管，增设电动二通阀并更换其他阀门</w:t>
            </w:r>
          </w:p>
        </w:tc>
      </w:tr>
      <w:tr w14:paraId="7374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B0906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44605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D5BAE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137B0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风机盘管集中控制</w:t>
            </w:r>
          </w:p>
        </w:tc>
        <w:tc>
          <w:tcPr>
            <w:tcW w:w="1863" w:type="pct"/>
            <w:shd w:val="clear" w:color="000000" w:fill="FFFFFF"/>
            <w:noWrap/>
            <w:vAlign w:val="center"/>
          </w:tcPr>
          <w:p w14:paraId="208398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更换262台（不少于现有数量）4G型风机盘管温控面板</w:t>
            </w:r>
          </w:p>
        </w:tc>
      </w:tr>
      <w:tr w14:paraId="630E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EA15C5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F60D4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0BA34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28D0D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新风机管路优化</w:t>
            </w:r>
          </w:p>
        </w:tc>
        <w:tc>
          <w:tcPr>
            <w:tcW w:w="1863" w:type="pct"/>
            <w:shd w:val="clear" w:color="000000" w:fill="FFFFFF"/>
            <w:noWrap/>
            <w:vAlign w:val="center"/>
          </w:tcPr>
          <w:p w14:paraId="6856BF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更换阀门、温度表、压力表、软管</w:t>
            </w:r>
          </w:p>
        </w:tc>
      </w:tr>
      <w:tr w14:paraId="61B90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E0F620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F317B0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584930A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ADD50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空调系统管路评估</w:t>
            </w:r>
          </w:p>
        </w:tc>
        <w:tc>
          <w:tcPr>
            <w:tcW w:w="1863" w:type="pct"/>
            <w:shd w:val="clear" w:color="000000" w:fill="FFFFFF"/>
            <w:noWrap/>
            <w:vAlign w:val="center"/>
          </w:tcPr>
          <w:p w14:paraId="675923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如继续使用，则更换保温材料</w:t>
            </w:r>
          </w:p>
        </w:tc>
      </w:tr>
      <w:tr w14:paraId="746CB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3A351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B8CCDD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3C1B2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8DB94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管路清洗</w:t>
            </w:r>
          </w:p>
        </w:tc>
        <w:tc>
          <w:tcPr>
            <w:tcW w:w="1863" w:type="pct"/>
            <w:shd w:val="clear" w:color="000000" w:fill="FFFFFF"/>
            <w:noWrap/>
            <w:vAlign w:val="center"/>
          </w:tcPr>
          <w:p w14:paraId="3ACD63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化学清洗和钝化</w:t>
            </w:r>
          </w:p>
        </w:tc>
      </w:tr>
      <w:tr w14:paraId="50C96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8AEBA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23BAD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368950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CE108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冷凝水排水系统清洗</w:t>
            </w:r>
          </w:p>
        </w:tc>
        <w:tc>
          <w:tcPr>
            <w:tcW w:w="1863" w:type="pct"/>
            <w:shd w:val="clear" w:color="000000" w:fill="FFFFFF"/>
            <w:noWrap/>
            <w:vAlign w:val="center"/>
          </w:tcPr>
          <w:p w14:paraId="700A28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清洗消毒疏通</w:t>
            </w:r>
          </w:p>
        </w:tc>
      </w:tr>
      <w:tr w14:paraId="275C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9376D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E6A31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AEC15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DF0B8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中央空调节能控制系统</w:t>
            </w:r>
          </w:p>
        </w:tc>
        <w:tc>
          <w:tcPr>
            <w:tcW w:w="1863" w:type="pct"/>
            <w:shd w:val="clear" w:color="000000" w:fill="FFFFFF"/>
            <w:noWrap/>
            <w:vAlign w:val="center"/>
          </w:tcPr>
          <w:p w14:paraId="36D9DE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增设1套中央空调节能控制柜</w:t>
            </w:r>
          </w:p>
          <w:p w14:paraId="5F2847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增设3套水泵变频控制柜</w:t>
            </w:r>
          </w:p>
        </w:tc>
      </w:tr>
      <w:tr w14:paraId="72FFF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81974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389B5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4F315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C850E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078C20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25C789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4套多联机网关</w:t>
            </w:r>
          </w:p>
        </w:tc>
      </w:tr>
      <w:tr w14:paraId="62199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0D69A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3F8FA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1BF17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AED26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36E74A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增设2套雾化降温节能系统</w:t>
            </w:r>
          </w:p>
        </w:tc>
      </w:tr>
      <w:tr w14:paraId="0AC57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AFF39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C4399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4876C3D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F44F0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62C716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增设25套分体机网关</w:t>
            </w:r>
          </w:p>
        </w:tc>
      </w:tr>
      <w:tr w14:paraId="3A52A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41161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9CCCF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014740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257286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35AFF4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530套高光效LED光源</w:t>
            </w:r>
          </w:p>
        </w:tc>
      </w:tr>
      <w:tr w14:paraId="7947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F02569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7BFEBD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48C777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750198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太阳能灯具</w:t>
            </w:r>
          </w:p>
        </w:tc>
        <w:tc>
          <w:tcPr>
            <w:tcW w:w="1863" w:type="pct"/>
            <w:shd w:val="clear" w:color="000000" w:fill="FFFFFF"/>
            <w:noWrap/>
            <w:vAlign w:val="center"/>
          </w:tcPr>
          <w:p w14:paraId="46F15CB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10套太阳能路灯</w:t>
            </w:r>
          </w:p>
          <w:p w14:paraId="347EA3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30套太阳能草坪灯及景观灯</w:t>
            </w:r>
          </w:p>
        </w:tc>
      </w:tr>
      <w:tr w14:paraId="589E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8938B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F557E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5DDBD0F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54ECE1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1E9BC3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13套定时控制装置</w:t>
            </w:r>
          </w:p>
        </w:tc>
      </w:tr>
      <w:tr w14:paraId="1B684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3C909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2877E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319B6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C6DCA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6B0E373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5CC75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BA6AA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3DF94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34649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A7F1B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喷灌系统</w:t>
            </w:r>
          </w:p>
        </w:tc>
        <w:tc>
          <w:tcPr>
            <w:tcW w:w="1863" w:type="pct"/>
            <w:shd w:val="clear" w:color="000000" w:fill="FFFFFF"/>
            <w:noWrap/>
            <w:vAlign w:val="center"/>
          </w:tcPr>
          <w:p w14:paraId="3953BE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增设或者维修1套智慧喷灌系统</w:t>
            </w:r>
          </w:p>
        </w:tc>
      </w:tr>
      <w:tr w14:paraId="5819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6505F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47249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F8930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6D0831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空气源热泵热水系统</w:t>
            </w:r>
          </w:p>
        </w:tc>
        <w:tc>
          <w:tcPr>
            <w:tcW w:w="1863" w:type="pct"/>
            <w:shd w:val="clear" w:color="000000" w:fill="FFFFFF"/>
            <w:noWrap/>
            <w:vAlign w:val="center"/>
          </w:tcPr>
          <w:p w14:paraId="6E5997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1台空气源热泵热水机组</w:t>
            </w:r>
          </w:p>
          <w:p w14:paraId="7E2121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水箱及增压泵</w:t>
            </w:r>
          </w:p>
        </w:tc>
      </w:tr>
      <w:tr w14:paraId="37C49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5395ED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4F85B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36DC73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42405DB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3A5707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增设60套多功能电表</w:t>
            </w:r>
          </w:p>
        </w:tc>
      </w:tr>
      <w:tr w14:paraId="6D3AB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BB94B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E8C2E0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42CFCD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38F9DF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64FD87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装机容量：442.26kWp</w:t>
            </w:r>
          </w:p>
        </w:tc>
      </w:tr>
      <w:tr w14:paraId="6083A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FCA13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restart"/>
            <w:vAlign w:val="center"/>
          </w:tcPr>
          <w:p w14:paraId="06495D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市公安局南院</w:t>
            </w:r>
          </w:p>
        </w:tc>
        <w:tc>
          <w:tcPr>
            <w:tcW w:w="750" w:type="pct"/>
            <w:vMerge w:val="restart"/>
            <w:shd w:val="clear" w:color="000000" w:fill="FFFFFF"/>
            <w:noWrap/>
            <w:vAlign w:val="center"/>
          </w:tcPr>
          <w:p w14:paraId="4790C1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17670A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增设循环系统</w:t>
            </w:r>
          </w:p>
        </w:tc>
        <w:tc>
          <w:tcPr>
            <w:tcW w:w="1863" w:type="pct"/>
            <w:shd w:val="clear" w:color="000000" w:fill="FFFFFF"/>
            <w:noWrap/>
            <w:vAlign w:val="center"/>
          </w:tcPr>
          <w:p w14:paraId="670C5E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增设2台单级离心泵</w:t>
            </w:r>
          </w:p>
        </w:tc>
      </w:tr>
      <w:tr w14:paraId="7F019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6953A4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5E9A2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3F0F4A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8B593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风机盘管集中控制</w:t>
            </w:r>
          </w:p>
        </w:tc>
        <w:tc>
          <w:tcPr>
            <w:tcW w:w="1863" w:type="pct"/>
            <w:shd w:val="clear" w:color="000000" w:fill="FFFFFF"/>
            <w:noWrap/>
            <w:vAlign w:val="center"/>
          </w:tcPr>
          <w:p w14:paraId="78E4DD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更换约950台4G型风机盘管温控面板</w:t>
            </w:r>
          </w:p>
        </w:tc>
      </w:tr>
      <w:tr w14:paraId="58E8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B3D05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F0196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2AECB9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6892D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气候补偿控制</w:t>
            </w:r>
          </w:p>
        </w:tc>
        <w:tc>
          <w:tcPr>
            <w:tcW w:w="1863" w:type="pct"/>
            <w:shd w:val="clear" w:color="000000" w:fill="FFFFFF"/>
            <w:noWrap/>
            <w:vAlign w:val="center"/>
          </w:tcPr>
          <w:p w14:paraId="67B655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增设1套气候补偿控制系统</w:t>
            </w:r>
          </w:p>
        </w:tc>
      </w:tr>
      <w:tr w14:paraId="687D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ADB83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25113A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7B6AD5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C92B9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管路清洗</w:t>
            </w:r>
          </w:p>
        </w:tc>
        <w:tc>
          <w:tcPr>
            <w:tcW w:w="1863" w:type="pct"/>
            <w:shd w:val="clear" w:color="000000" w:fill="FFFFFF"/>
            <w:noWrap/>
            <w:vAlign w:val="center"/>
          </w:tcPr>
          <w:p w14:paraId="33DE0B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化学清洗和钝化</w:t>
            </w:r>
          </w:p>
        </w:tc>
      </w:tr>
      <w:tr w14:paraId="2BE61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A7339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15FF8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09D94F0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0B8B4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冷凝水排水系统清洗</w:t>
            </w:r>
          </w:p>
        </w:tc>
        <w:tc>
          <w:tcPr>
            <w:tcW w:w="1863" w:type="pct"/>
            <w:shd w:val="clear" w:color="000000" w:fill="FFFFFF"/>
            <w:noWrap/>
            <w:vAlign w:val="center"/>
          </w:tcPr>
          <w:p w14:paraId="78F361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清洗消毒疏通</w:t>
            </w:r>
          </w:p>
        </w:tc>
      </w:tr>
      <w:tr w14:paraId="117CB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502FF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F0A8C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62C32A5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43C9B4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中央空调节能控制系统 </w:t>
            </w:r>
          </w:p>
        </w:tc>
        <w:tc>
          <w:tcPr>
            <w:tcW w:w="1863" w:type="pct"/>
            <w:shd w:val="clear" w:color="000000" w:fill="FFFFFF"/>
            <w:noWrap/>
            <w:vAlign w:val="center"/>
          </w:tcPr>
          <w:p w14:paraId="541EECA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1套中央空调节能控制柜</w:t>
            </w:r>
          </w:p>
          <w:p w14:paraId="4169C37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1套水泵变频控制柜</w:t>
            </w:r>
          </w:p>
        </w:tc>
      </w:tr>
      <w:tr w14:paraId="59C32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85180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9ABC39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7D7ADA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6D2538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多联式空调室外机换新</w:t>
            </w:r>
          </w:p>
        </w:tc>
        <w:tc>
          <w:tcPr>
            <w:tcW w:w="1863" w:type="pct"/>
            <w:shd w:val="clear" w:color="000000" w:fill="FFFFFF"/>
            <w:noWrap/>
            <w:vAlign w:val="center"/>
          </w:tcPr>
          <w:p w14:paraId="47FD41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更换9台老旧多联机室外机</w:t>
            </w:r>
          </w:p>
        </w:tc>
      </w:tr>
      <w:tr w14:paraId="61FF8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DF85C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C0951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7C8EAC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874824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78B7A1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37C37F8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12套多联机网关</w:t>
            </w:r>
          </w:p>
        </w:tc>
      </w:tr>
      <w:tr w14:paraId="3D04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303DAF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5F368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45FC06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08328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72AEF54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增设20套分体机网关</w:t>
            </w:r>
          </w:p>
        </w:tc>
      </w:tr>
      <w:tr w14:paraId="4114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83485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1F708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4D163A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数据机房</w:t>
            </w:r>
          </w:p>
        </w:tc>
        <w:tc>
          <w:tcPr>
            <w:tcW w:w="1409" w:type="pct"/>
            <w:shd w:val="clear" w:color="000000" w:fill="FFFFFF"/>
            <w:noWrap/>
            <w:vAlign w:val="center"/>
          </w:tcPr>
          <w:p w14:paraId="68C7BC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氟泵系统</w:t>
            </w:r>
          </w:p>
        </w:tc>
        <w:tc>
          <w:tcPr>
            <w:tcW w:w="1863" w:type="pct"/>
            <w:shd w:val="clear" w:color="000000" w:fill="FFFFFF"/>
            <w:noWrap/>
            <w:vAlign w:val="center"/>
          </w:tcPr>
          <w:p w14:paraId="51A1A3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增设10套氟泵系统</w:t>
            </w:r>
          </w:p>
        </w:tc>
      </w:tr>
      <w:tr w14:paraId="63D9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3D9B8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28EDF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0E3246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39D95B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地下停车场微波感应控制</w:t>
            </w:r>
          </w:p>
        </w:tc>
        <w:tc>
          <w:tcPr>
            <w:tcW w:w="1863" w:type="pct"/>
            <w:shd w:val="clear" w:color="000000" w:fill="FFFFFF"/>
            <w:noWrap/>
            <w:vAlign w:val="center"/>
          </w:tcPr>
          <w:p w14:paraId="62A4B5A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地下室800套LED T8微波灯</w:t>
            </w:r>
          </w:p>
        </w:tc>
      </w:tr>
      <w:tr w14:paraId="41F74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77BC17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1B94DF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4CF0D9D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EE2EB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办公室光源更新</w:t>
            </w:r>
          </w:p>
        </w:tc>
        <w:tc>
          <w:tcPr>
            <w:tcW w:w="1863" w:type="pct"/>
            <w:shd w:val="clear" w:color="000000" w:fill="FFFFFF"/>
            <w:noWrap/>
            <w:vAlign w:val="center"/>
          </w:tcPr>
          <w:p w14:paraId="725F02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2000套高光效LED光源</w:t>
            </w:r>
          </w:p>
        </w:tc>
      </w:tr>
      <w:tr w14:paraId="10AAE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62D3E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0B5520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5719A3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0D9A8E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7D4665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43套定时控制装置</w:t>
            </w:r>
          </w:p>
        </w:tc>
      </w:tr>
      <w:tr w14:paraId="3BF4A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89B2F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46C46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08CC2A5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B816C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4F2E3D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28292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3CF57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4531FF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73FD5D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A02A2F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热水节能控制</w:t>
            </w:r>
          </w:p>
        </w:tc>
        <w:tc>
          <w:tcPr>
            <w:tcW w:w="1863" w:type="pct"/>
            <w:shd w:val="clear" w:color="000000" w:fill="FFFFFF"/>
            <w:noWrap/>
            <w:vAlign w:val="center"/>
          </w:tcPr>
          <w:p w14:paraId="323275E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增设1套太阳能</w:t>
            </w:r>
          </w:p>
          <w:p w14:paraId="54E31F0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搭配空气源热泵热水控制系统</w:t>
            </w:r>
          </w:p>
        </w:tc>
      </w:tr>
      <w:tr w14:paraId="6CB3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CC86FD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076F3A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2E6E2D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3C60E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雨水回收系统</w:t>
            </w:r>
          </w:p>
        </w:tc>
        <w:tc>
          <w:tcPr>
            <w:tcW w:w="1863" w:type="pct"/>
            <w:shd w:val="clear" w:color="000000" w:fill="FFFFFF"/>
            <w:noWrap/>
            <w:vAlign w:val="center"/>
          </w:tcPr>
          <w:p w14:paraId="701B91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雨水回收系统修复</w:t>
            </w:r>
          </w:p>
        </w:tc>
      </w:tr>
      <w:tr w14:paraId="57DE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C86F6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0AE7A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509619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2954EC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39FDC7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增设100套多功能电表</w:t>
            </w:r>
          </w:p>
        </w:tc>
      </w:tr>
      <w:tr w14:paraId="63010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A07FB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F4F0F0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56FFC6E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安防系统</w:t>
            </w:r>
          </w:p>
        </w:tc>
        <w:tc>
          <w:tcPr>
            <w:tcW w:w="1409" w:type="pct"/>
            <w:vMerge w:val="restart"/>
            <w:shd w:val="clear" w:color="000000" w:fill="FFFFFF"/>
            <w:noWrap/>
            <w:vAlign w:val="center"/>
          </w:tcPr>
          <w:p w14:paraId="2D7E33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安防系统升级</w:t>
            </w:r>
          </w:p>
        </w:tc>
        <w:tc>
          <w:tcPr>
            <w:tcW w:w="1863" w:type="pct"/>
            <w:shd w:val="clear" w:color="000000" w:fill="FFFFFF"/>
            <w:noWrap/>
            <w:vAlign w:val="center"/>
          </w:tcPr>
          <w:p w14:paraId="5D7B6C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更换320台400万半球型网络摄像机</w:t>
            </w:r>
          </w:p>
        </w:tc>
      </w:tr>
      <w:tr w14:paraId="3987A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A86FF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7FDBA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0BEDF4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42D72FC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5450C44D">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更换30台800万广角双目摄像机</w:t>
            </w:r>
          </w:p>
        </w:tc>
      </w:tr>
      <w:tr w14:paraId="6DC4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3AF43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5AB25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61C113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4725E8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14431D3A">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更换16台400万25倍球机</w:t>
            </w:r>
          </w:p>
        </w:tc>
      </w:tr>
      <w:tr w14:paraId="7CC0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7F398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73BF51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7235F33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1AC004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536C4C85">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更换4台高空球型鹰眼</w:t>
            </w:r>
          </w:p>
        </w:tc>
      </w:tr>
      <w:tr w14:paraId="12398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CAC7A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FDA91E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7F1D6F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275C3C9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188DC7E0">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增设2台文搜型CVR系列服务器</w:t>
            </w:r>
          </w:p>
        </w:tc>
      </w:tr>
      <w:tr w14:paraId="525A8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4F194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2CCCA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058704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27B7B2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4D47B0E8">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更换46台国密人脸门禁一体机</w:t>
            </w:r>
          </w:p>
        </w:tc>
      </w:tr>
      <w:tr w14:paraId="7C910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6B080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C508E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698026F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746306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1605EE3B">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更换11樘自动玻璃移门（单门）</w:t>
            </w:r>
          </w:p>
        </w:tc>
      </w:tr>
      <w:tr w14:paraId="32533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3B427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14D1F0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56AC69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2F4A983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5BBE65C6">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更换4樘自动玻璃移门（双门）</w:t>
            </w:r>
          </w:p>
        </w:tc>
      </w:tr>
      <w:tr w14:paraId="0F1F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D7474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7AEA61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422776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7EF0A6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711D6102">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增设6台55英寸液晶拼接屏</w:t>
            </w:r>
          </w:p>
        </w:tc>
      </w:tr>
      <w:tr w14:paraId="5FB13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46EEA1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E16B92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78CA47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031523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5D068F38">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增设1台超高清解码器</w:t>
            </w:r>
          </w:p>
        </w:tc>
      </w:tr>
      <w:tr w14:paraId="7338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D650D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8C2F7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0AA894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0048E74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07DE38DD">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扩容综合安防管理平台</w:t>
            </w:r>
          </w:p>
        </w:tc>
      </w:tr>
      <w:tr w14:paraId="76F8A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A28DA9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C5705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517D20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486620F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110B3B90">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增设对外访客模块及1台访客服务器</w:t>
            </w:r>
          </w:p>
        </w:tc>
      </w:tr>
      <w:tr w14:paraId="25AF6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D2A84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336BC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05F664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58862C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2E69A36E">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增设3台8口交换机</w:t>
            </w:r>
          </w:p>
        </w:tc>
      </w:tr>
      <w:tr w14:paraId="1C7DE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64719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0A4A6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478613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7D9F96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6E6E674D">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增设12台24口接入交换机</w:t>
            </w:r>
          </w:p>
        </w:tc>
      </w:tr>
      <w:tr w14:paraId="5931B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522A8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DB60A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0BB1F2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44A017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4CBBBC40">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增设4台操作终端</w:t>
            </w:r>
          </w:p>
        </w:tc>
      </w:tr>
      <w:tr w14:paraId="2F3E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23EA3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80F6F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shd w:val="clear" w:color="000000" w:fill="FFFFFF"/>
            <w:noWrap/>
            <w:vAlign w:val="center"/>
          </w:tcPr>
          <w:p w14:paraId="2342B1F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50B264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66CBB07B">
            <w:pPr>
              <w:pStyle w:val="55"/>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增设1台NTP校时服务器</w:t>
            </w:r>
          </w:p>
        </w:tc>
      </w:tr>
      <w:tr w14:paraId="3E00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0546ED9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4</w:t>
            </w:r>
          </w:p>
        </w:tc>
        <w:tc>
          <w:tcPr>
            <w:tcW w:w="640" w:type="pct"/>
            <w:vMerge w:val="restart"/>
            <w:shd w:val="clear" w:color="000000" w:fill="FFFFFF"/>
            <w:vAlign w:val="center"/>
          </w:tcPr>
          <w:p w14:paraId="0D15CCD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市公安局海陵分局</w:t>
            </w:r>
          </w:p>
        </w:tc>
        <w:tc>
          <w:tcPr>
            <w:tcW w:w="750" w:type="pct"/>
            <w:vMerge w:val="restart"/>
            <w:shd w:val="clear" w:color="000000" w:fill="FFFFFF"/>
            <w:noWrap/>
            <w:vAlign w:val="center"/>
          </w:tcPr>
          <w:p w14:paraId="186122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617B88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多联机室外机换新</w:t>
            </w:r>
          </w:p>
        </w:tc>
        <w:tc>
          <w:tcPr>
            <w:tcW w:w="1863" w:type="pct"/>
            <w:shd w:val="clear" w:color="000000" w:fill="FFFFFF"/>
            <w:noWrap/>
            <w:vAlign w:val="center"/>
          </w:tcPr>
          <w:p w14:paraId="5B2538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更换2台老旧多联机室外机</w:t>
            </w:r>
          </w:p>
        </w:tc>
      </w:tr>
      <w:tr w14:paraId="0A785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091D26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541CA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8019D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60FDBF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0199915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7B691C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5套多联机网关</w:t>
            </w:r>
          </w:p>
        </w:tc>
      </w:tr>
      <w:tr w14:paraId="465C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6E747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1A100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88DBEF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0E4A5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1EB5FA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增设1套雾化降温节能系统</w:t>
            </w:r>
          </w:p>
        </w:tc>
      </w:tr>
      <w:tr w14:paraId="6BF48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F207AD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C149B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4DB005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4DF71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3B0FE5E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增设242套分体机网关</w:t>
            </w:r>
          </w:p>
        </w:tc>
      </w:tr>
      <w:tr w14:paraId="456D6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E2835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793FE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539103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D2D2E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一拖二空调换新</w:t>
            </w:r>
          </w:p>
        </w:tc>
        <w:tc>
          <w:tcPr>
            <w:tcW w:w="1863" w:type="pct"/>
            <w:shd w:val="clear" w:color="000000" w:fill="FFFFFF"/>
            <w:noWrap/>
            <w:vAlign w:val="center"/>
          </w:tcPr>
          <w:p w14:paraId="495B0F7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更换1台KFR-125KMLP空调</w:t>
            </w:r>
          </w:p>
        </w:tc>
      </w:tr>
      <w:tr w14:paraId="108C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0746E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DBEF8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251A5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1393C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风管式空调换新</w:t>
            </w:r>
          </w:p>
        </w:tc>
        <w:tc>
          <w:tcPr>
            <w:tcW w:w="1863" w:type="pct"/>
            <w:shd w:val="clear" w:color="000000" w:fill="FFFFFF"/>
            <w:noWrap/>
            <w:vAlign w:val="center"/>
          </w:tcPr>
          <w:p w14:paraId="5BC786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更换1台KFR-120T空调</w:t>
            </w:r>
          </w:p>
        </w:tc>
      </w:tr>
      <w:tr w14:paraId="5D217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CC19C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AA6EF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13EF0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restart"/>
            <w:shd w:val="clear" w:color="000000" w:fill="FFFFFF"/>
            <w:noWrap/>
            <w:vAlign w:val="center"/>
          </w:tcPr>
          <w:p w14:paraId="46A1C5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分体式空调换新</w:t>
            </w:r>
          </w:p>
        </w:tc>
        <w:tc>
          <w:tcPr>
            <w:tcW w:w="1863" w:type="pct"/>
            <w:shd w:val="clear" w:color="000000" w:fill="FFFFFF"/>
            <w:noWrap/>
            <w:vAlign w:val="center"/>
          </w:tcPr>
          <w:p w14:paraId="472478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更换14台KFR-35GW空调</w:t>
            </w:r>
          </w:p>
        </w:tc>
      </w:tr>
      <w:tr w14:paraId="10DEE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7B44E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B3521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0654F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19ABDA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70F20C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更换7台KFR-50LW空调</w:t>
            </w:r>
          </w:p>
        </w:tc>
      </w:tr>
      <w:tr w14:paraId="2F1D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33D946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C7381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646458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00E6E3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34BC19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更换2台KFR-72LW空调</w:t>
            </w:r>
          </w:p>
        </w:tc>
      </w:tr>
      <w:tr w14:paraId="39A65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D32E03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3D087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1EE99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vMerge w:val="continue"/>
            <w:shd w:val="clear" w:color="000000" w:fill="FFFFFF"/>
            <w:noWrap/>
            <w:vAlign w:val="center"/>
          </w:tcPr>
          <w:p w14:paraId="598CBC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863" w:type="pct"/>
            <w:shd w:val="clear" w:color="000000" w:fill="FFFFFF"/>
            <w:noWrap/>
            <w:vAlign w:val="center"/>
          </w:tcPr>
          <w:p w14:paraId="0735E5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更换4台KFR-120LW空调</w:t>
            </w:r>
          </w:p>
        </w:tc>
      </w:tr>
      <w:tr w14:paraId="61D4C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D1D96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3249F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1F00E4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0043642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3466ABA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500套高光效LED光源</w:t>
            </w:r>
          </w:p>
        </w:tc>
      </w:tr>
      <w:tr w14:paraId="0A3DF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C0159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AC381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593D84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804FDE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地下停车场微波感应控制</w:t>
            </w:r>
          </w:p>
        </w:tc>
        <w:tc>
          <w:tcPr>
            <w:tcW w:w="1863" w:type="pct"/>
            <w:shd w:val="clear" w:color="000000" w:fill="FFFFFF"/>
            <w:noWrap/>
            <w:vAlign w:val="center"/>
          </w:tcPr>
          <w:p w14:paraId="628E5A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地下室82套1.2m LED T8微波灯</w:t>
            </w:r>
          </w:p>
        </w:tc>
      </w:tr>
      <w:tr w14:paraId="72BA0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5DD0C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C2F240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0785B9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302723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6885DE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18套定时控制装置</w:t>
            </w:r>
          </w:p>
        </w:tc>
      </w:tr>
      <w:tr w14:paraId="5384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6F9C1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68C21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8FB55E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D1B51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流量控制</w:t>
            </w:r>
          </w:p>
        </w:tc>
        <w:tc>
          <w:tcPr>
            <w:tcW w:w="1863" w:type="pct"/>
            <w:shd w:val="clear" w:color="000000" w:fill="FFFFFF"/>
            <w:noWrap/>
            <w:vAlign w:val="center"/>
          </w:tcPr>
          <w:p w14:paraId="1C03A9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洗车处增加水控机</w:t>
            </w:r>
          </w:p>
        </w:tc>
      </w:tr>
      <w:tr w14:paraId="538FC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48B92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98803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1F8F0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621C37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18536D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3691C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EE0DB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3465E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5D9935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599DC1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141CF93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增设50套多功能电表</w:t>
            </w:r>
          </w:p>
        </w:tc>
      </w:tr>
      <w:tr w14:paraId="2E50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1EF5D1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6D29D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78E120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6F9B0C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2A3780B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装机容量：369.18kWp</w:t>
            </w:r>
          </w:p>
        </w:tc>
      </w:tr>
      <w:tr w14:paraId="4105D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708E0C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640" w:type="pct"/>
            <w:vMerge w:val="restart"/>
            <w:shd w:val="clear" w:color="000000" w:fill="FFFFFF"/>
            <w:vAlign w:val="center"/>
          </w:tcPr>
          <w:p w14:paraId="14928C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市公安局姜堰分局</w:t>
            </w:r>
          </w:p>
        </w:tc>
        <w:tc>
          <w:tcPr>
            <w:tcW w:w="750" w:type="pct"/>
            <w:vMerge w:val="restart"/>
            <w:shd w:val="clear" w:color="000000" w:fill="FFFFFF"/>
            <w:noWrap/>
            <w:vAlign w:val="center"/>
          </w:tcPr>
          <w:p w14:paraId="55318B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68CC980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0BF02D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17FF87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58套多联机网关</w:t>
            </w:r>
          </w:p>
        </w:tc>
      </w:tr>
      <w:tr w14:paraId="5FE92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88496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1929A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03F7E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EF7AE7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7EECDD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增设3套雾化降温节能系统</w:t>
            </w:r>
          </w:p>
        </w:tc>
      </w:tr>
      <w:tr w14:paraId="31E88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DF26F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8B71F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431F5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BAF97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7A628D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增设7套分体机网关</w:t>
            </w:r>
          </w:p>
        </w:tc>
      </w:tr>
      <w:tr w14:paraId="01813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FD0B8A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549D4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3C60DB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数据机房</w:t>
            </w:r>
          </w:p>
        </w:tc>
        <w:tc>
          <w:tcPr>
            <w:tcW w:w="1409" w:type="pct"/>
            <w:shd w:val="clear" w:color="000000" w:fill="FFFFFF"/>
            <w:noWrap/>
            <w:vAlign w:val="center"/>
          </w:tcPr>
          <w:p w14:paraId="6AC3D4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氟泵系统</w:t>
            </w:r>
          </w:p>
        </w:tc>
        <w:tc>
          <w:tcPr>
            <w:tcW w:w="1863" w:type="pct"/>
            <w:shd w:val="clear" w:color="000000" w:fill="FFFFFF"/>
            <w:noWrap/>
            <w:vAlign w:val="center"/>
          </w:tcPr>
          <w:p w14:paraId="75CAD60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增设5套氟泵空调系统</w:t>
            </w:r>
          </w:p>
        </w:tc>
      </w:tr>
      <w:tr w14:paraId="37C8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449FC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55CF5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4A4759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2E324F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地下停车场微波感应控制</w:t>
            </w:r>
          </w:p>
        </w:tc>
        <w:tc>
          <w:tcPr>
            <w:tcW w:w="1863" w:type="pct"/>
            <w:shd w:val="clear" w:color="000000" w:fill="FFFFFF"/>
            <w:noWrap/>
            <w:vAlign w:val="center"/>
          </w:tcPr>
          <w:p w14:paraId="5B1460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地下室10套LED T8微波灯</w:t>
            </w:r>
          </w:p>
        </w:tc>
      </w:tr>
      <w:tr w14:paraId="6E41A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179E86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CD57D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0535C50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7AD54C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63EF4B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12套定时控制装置</w:t>
            </w:r>
          </w:p>
        </w:tc>
      </w:tr>
      <w:tr w14:paraId="5E5E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86021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AFB028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A9D286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A248B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06FE21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09BF0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FA379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D6BC56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4A81D4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71D1170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7D6E40F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增设50套多功能电表</w:t>
            </w:r>
          </w:p>
        </w:tc>
      </w:tr>
      <w:tr w14:paraId="41967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03AE5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E8A69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4F09C7A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453CFC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4F9C7D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装机容量：90kWp</w:t>
            </w:r>
          </w:p>
        </w:tc>
      </w:tr>
      <w:tr w14:paraId="1E59B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384049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AB0C1E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2A0B01AD">
            <w:pPr>
              <w:pStyle w:val="6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新能源应用</w:t>
            </w:r>
          </w:p>
        </w:tc>
        <w:tc>
          <w:tcPr>
            <w:tcW w:w="1409" w:type="pct"/>
            <w:shd w:val="clear" w:color="000000" w:fill="FFFFFF"/>
            <w:noWrap/>
            <w:vAlign w:val="center"/>
          </w:tcPr>
          <w:p w14:paraId="034C06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充电桩建设</w:t>
            </w:r>
          </w:p>
        </w:tc>
        <w:tc>
          <w:tcPr>
            <w:tcW w:w="1863" w:type="pct"/>
            <w:shd w:val="clear" w:color="000000" w:fill="FFFFFF"/>
            <w:noWrap/>
            <w:vAlign w:val="center"/>
          </w:tcPr>
          <w:p w14:paraId="168F9BD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增设2台60kW快充</w:t>
            </w:r>
          </w:p>
        </w:tc>
      </w:tr>
      <w:tr w14:paraId="20C1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28F74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47E93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06EFBC94">
            <w:pPr>
              <w:pStyle w:val="6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电瓶车车棚改造</w:t>
            </w:r>
          </w:p>
        </w:tc>
        <w:tc>
          <w:tcPr>
            <w:tcW w:w="1409" w:type="pct"/>
            <w:shd w:val="clear" w:color="000000" w:fill="FFFFFF"/>
            <w:noWrap/>
            <w:vAlign w:val="center"/>
          </w:tcPr>
          <w:p w14:paraId="3622354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电瓶车车棚出新</w:t>
            </w:r>
          </w:p>
        </w:tc>
        <w:tc>
          <w:tcPr>
            <w:tcW w:w="1863" w:type="pct"/>
            <w:shd w:val="clear" w:color="000000" w:fill="FFFFFF"/>
            <w:noWrap/>
            <w:vAlign w:val="center"/>
          </w:tcPr>
          <w:p w14:paraId="5962075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出新材料</w:t>
            </w:r>
          </w:p>
        </w:tc>
      </w:tr>
      <w:tr w14:paraId="16000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2B30138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6</w:t>
            </w:r>
          </w:p>
        </w:tc>
        <w:tc>
          <w:tcPr>
            <w:tcW w:w="640" w:type="pct"/>
            <w:vMerge w:val="restart"/>
            <w:shd w:val="clear" w:color="000000" w:fill="FFFFFF"/>
            <w:vAlign w:val="center"/>
          </w:tcPr>
          <w:p w14:paraId="6E6934C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市人民检察院</w:t>
            </w:r>
          </w:p>
        </w:tc>
        <w:tc>
          <w:tcPr>
            <w:tcW w:w="750" w:type="pct"/>
            <w:vMerge w:val="restart"/>
            <w:shd w:val="clear" w:color="000000" w:fill="FFFFFF"/>
            <w:noWrap/>
            <w:vAlign w:val="center"/>
          </w:tcPr>
          <w:p w14:paraId="551B56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14CE23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43442C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295DFEA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42套多联机网关</w:t>
            </w:r>
          </w:p>
        </w:tc>
      </w:tr>
      <w:tr w14:paraId="1C64D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980BE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B1117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59B290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26CF3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18D41C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增设3套雾化降温节能系统</w:t>
            </w:r>
          </w:p>
        </w:tc>
      </w:tr>
      <w:tr w14:paraId="13D88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441B4F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7C84A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9E1403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16875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1F6C2B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增设10套分体机网关</w:t>
            </w:r>
          </w:p>
        </w:tc>
      </w:tr>
      <w:tr w14:paraId="2D4F9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513497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FF55E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032B29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29E34F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108083D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500套高光效LED光源</w:t>
            </w:r>
          </w:p>
        </w:tc>
      </w:tr>
      <w:tr w14:paraId="62B8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13264C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5515D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7D73E9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62C8E7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506C38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21套定时控制装置</w:t>
            </w:r>
          </w:p>
        </w:tc>
      </w:tr>
      <w:tr w14:paraId="067D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714E9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842AB8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0BC4D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2FA50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07EF68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6DEA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2A7B3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69E0F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48BF4E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6E2AD3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7BF480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增设50套多功能电表</w:t>
            </w:r>
          </w:p>
        </w:tc>
      </w:tr>
      <w:tr w14:paraId="47B64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5160C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9EF17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046C92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54358C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2551A1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装机容量：201.50kWp</w:t>
            </w:r>
          </w:p>
        </w:tc>
      </w:tr>
      <w:tr w14:paraId="47EEB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367A12F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7</w:t>
            </w:r>
          </w:p>
        </w:tc>
        <w:tc>
          <w:tcPr>
            <w:tcW w:w="640" w:type="pct"/>
            <w:vMerge w:val="restart"/>
            <w:shd w:val="clear" w:color="000000" w:fill="FFFFFF"/>
            <w:vAlign w:val="center"/>
          </w:tcPr>
          <w:p w14:paraId="043735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市交通警察支队</w:t>
            </w:r>
          </w:p>
        </w:tc>
        <w:tc>
          <w:tcPr>
            <w:tcW w:w="750" w:type="pct"/>
            <w:vMerge w:val="restart"/>
            <w:shd w:val="clear" w:color="000000" w:fill="FFFFFF"/>
            <w:noWrap/>
            <w:vAlign w:val="center"/>
          </w:tcPr>
          <w:p w14:paraId="55057A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4E3C80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中央空调节能控制系统</w:t>
            </w:r>
          </w:p>
        </w:tc>
        <w:tc>
          <w:tcPr>
            <w:tcW w:w="1863" w:type="pct"/>
            <w:shd w:val="clear" w:color="000000" w:fill="FFFFFF"/>
            <w:noWrap/>
            <w:vAlign w:val="center"/>
          </w:tcPr>
          <w:p w14:paraId="02119E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1套中央空调节能控制柜</w:t>
            </w:r>
          </w:p>
          <w:p w14:paraId="78F0C6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2套水泵变频控制柜</w:t>
            </w:r>
          </w:p>
        </w:tc>
      </w:tr>
      <w:tr w14:paraId="29C3C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CB904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0F6F1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C976E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87366E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多联式空调室外机</w:t>
            </w:r>
            <w:r>
              <w:rPr>
                <w:rFonts w:hint="default" w:ascii="Times New Roman" w:hAnsi="Times New Roman" w:eastAsia="宋体" w:cs="Times New Roman"/>
                <w:color w:val="auto"/>
                <w:sz w:val="21"/>
                <w:szCs w:val="21"/>
                <w:highlight w:val="none"/>
                <w:shd w:val="clear"/>
              </w:rPr>
              <w:t>换新</w:t>
            </w:r>
          </w:p>
        </w:tc>
        <w:tc>
          <w:tcPr>
            <w:tcW w:w="1863" w:type="pct"/>
            <w:shd w:val="clear" w:color="000000" w:fill="FFFFFF"/>
            <w:noWrap/>
            <w:vAlign w:val="center"/>
          </w:tcPr>
          <w:p w14:paraId="0E3F34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更换10台老旧多联机室外机</w:t>
            </w:r>
          </w:p>
        </w:tc>
      </w:tr>
      <w:tr w14:paraId="4D07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5F0C32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07B8B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EAE3E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DA4E7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2A4E104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0FD3D7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28套多联机网关</w:t>
            </w:r>
          </w:p>
        </w:tc>
      </w:tr>
      <w:tr w14:paraId="00175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DD76F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CDFB5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D415B0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F4D788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6A1699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增设2套雾化降温节能系统</w:t>
            </w:r>
          </w:p>
        </w:tc>
      </w:tr>
      <w:tr w14:paraId="5E317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9D20E9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A86CD2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07993A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32140C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4DC01D5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增设60套分体机网关</w:t>
            </w:r>
          </w:p>
        </w:tc>
      </w:tr>
      <w:tr w14:paraId="64DE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AB9CA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49072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247752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10A006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6622ECA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1200套高光效LED光源</w:t>
            </w:r>
          </w:p>
        </w:tc>
      </w:tr>
      <w:tr w14:paraId="0584C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E3014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58A0D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2C3984C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35A85F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17647F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18套定时控制装置</w:t>
            </w:r>
          </w:p>
        </w:tc>
      </w:tr>
      <w:tr w14:paraId="7431C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2EC12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5805CD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877AB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1FC56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587DFB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73063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3D7AB7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3DA387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vAlign w:val="center"/>
          </w:tcPr>
          <w:p w14:paraId="15B522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60FBFFE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3E94F1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增设80套多功能电表</w:t>
            </w:r>
          </w:p>
        </w:tc>
      </w:tr>
      <w:tr w14:paraId="79CF6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5164B33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8</w:t>
            </w:r>
          </w:p>
        </w:tc>
        <w:tc>
          <w:tcPr>
            <w:tcW w:w="640" w:type="pct"/>
            <w:vMerge w:val="restart"/>
            <w:shd w:val="clear" w:color="000000" w:fill="FFFFFF"/>
            <w:vAlign w:val="center"/>
          </w:tcPr>
          <w:p w14:paraId="1F3C521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市教育局</w:t>
            </w:r>
          </w:p>
        </w:tc>
        <w:tc>
          <w:tcPr>
            <w:tcW w:w="750" w:type="pct"/>
            <w:vMerge w:val="restart"/>
            <w:shd w:val="clear" w:color="000000" w:fill="FFFFFF"/>
            <w:noWrap/>
            <w:vAlign w:val="center"/>
          </w:tcPr>
          <w:p w14:paraId="682557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7B9AB6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高效冷热源替代</w:t>
            </w:r>
          </w:p>
        </w:tc>
        <w:tc>
          <w:tcPr>
            <w:tcW w:w="1863" w:type="pct"/>
            <w:shd w:val="clear" w:color="000000" w:fill="FFFFFF"/>
            <w:noWrap/>
            <w:vAlign w:val="center"/>
          </w:tcPr>
          <w:p w14:paraId="796A30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1台高效风冷热泵机组</w:t>
            </w:r>
          </w:p>
        </w:tc>
      </w:tr>
      <w:tr w14:paraId="23504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49D798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84AF4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E8CD3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BA60E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中央空调节能控制系统</w:t>
            </w:r>
          </w:p>
        </w:tc>
        <w:tc>
          <w:tcPr>
            <w:tcW w:w="1863" w:type="pct"/>
            <w:shd w:val="clear" w:color="000000" w:fill="FFFFFF"/>
            <w:noWrap/>
            <w:vAlign w:val="center"/>
          </w:tcPr>
          <w:p w14:paraId="2C7F8E0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1套中央空调节能控制柜</w:t>
            </w:r>
          </w:p>
          <w:p w14:paraId="34790F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1套水泵变频控制柜</w:t>
            </w:r>
          </w:p>
        </w:tc>
      </w:tr>
      <w:tr w14:paraId="7F57E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B081D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158E75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AAFE2A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897DA2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34997C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增设1套雾化降温节能系统</w:t>
            </w:r>
          </w:p>
        </w:tc>
      </w:tr>
      <w:tr w14:paraId="5AAEA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ACEDD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D105D5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7DA5B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EE2F5C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53FAE1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增设8套分体机网关</w:t>
            </w:r>
          </w:p>
        </w:tc>
      </w:tr>
      <w:tr w14:paraId="10B44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89427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6BD468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064867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22AE5F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1695ED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1200套高光效LED光源</w:t>
            </w:r>
          </w:p>
        </w:tc>
      </w:tr>
      <w:tr w14:paraId="47889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EA353E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AD6B3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9A0474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4DA454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地下停车场微波感应控制</w:t>
            </w:r>
          </w:p>
        </w:tc>
        <w:tc>
          <w:tcPr>
            <w:tcW w:w="1863" w:type="pct"/>
            <w:shd w:val="clear" w:color="000000" w:fill="FFFFFF"/>
            <w:noWrap/>
            <w:vAlign w:val="center"/>
          </w:tcPr>
          <w:p w14:paraId="04A1A02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地下室83套LED T8微波灯</w:t>
            </w:r>
          </w:p>
        </w:tc>
      </w:tr>
      <w:tr w14:paraId="3F9F6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E01E8F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A5418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574A9F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64E0E9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236A49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10套定时控制装置</w:t>
            </w:r>
          </w:p>
        </w:tc>
      </w:tr>
      <w:tr w14:paraId="665D3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03392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58389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122C99B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4113E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34A2D8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2套智能远传水表</w:t>
            </w:r>
          </w:p>
        </w:tc>
      </w:tr>
      <w:tr w14:paraId="3DC5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0BA1C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EE8E8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683840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510A10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0A2B64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增设20套多功能电表</w:t>
            </w:r>
          </w:p>
        </w:tc>
      </w:tr>
      <w:tr w14:paraId="6FD9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47D8E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FD3C7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3A9EAC6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7449C7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4D6D29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装机容量：102.69kWp</w:t>
            </w:r>
          </w:p>
        </w:tc>
      </w:tr>
      <w:tr w14:paraId="2FF82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7E782F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9</w:t>
            </w:r>
          </w:p>
        </w:tc>
        <w:tc>
          <w:tcPr>
            <w:tcW w:w="640" w:type="pct"/>
            <w:vMerge w:val="restart"/>
            <w:shd w:val="clear" w:color="000000" w:fill="FFFFFF"/>
            <w:vAlign w:val="center"/>
          </w:tcPr>
          <w:p w14:paraId="63D1DC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市科学发展观展示馆</w:t>
            </w:r>
          </w:p>
        </w:tc>
        <w:tc>
          <w:tcPr>
            <w:tcW w:w="750" w:type="pct"/>
            <w:vMerge w:val="restart"/>
            <w:shd w:val="clear" w:color="000000" w:fill="FFFFFF"/>
            <w:noWrap/>
            <w:vAlign w:val="center"/>
          </w:tcPr>
          <w:p w14:paraId="051532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1935F6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高效冷源替换</w:t>
            </w:r>
          </w:p>
        </w:tc>
        <w:tc>
          <w:tcPr>
            <w:tcW w:w="1863" w:type="pct"/>
            <w:shd w:val="clear" w:color="000000" w:fill="FFFFFF"/>
            <w:noWrap/>
            <w:vAlign w:val="center"/>
          </w:tcPr>
          <w:p w14:paraId="464714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更换1台地源热泵主机</w:t>
            </w:r>
          </w:p>
        </w:tc>
      </w:tr>
      <w:tr w14:paraId="3AAB9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EEB63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74311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330D0F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726DA6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增设中央空调节能控制系统</w:t>
            </w:r>
          </w:p>
        </w:tc>
        <w:tc>
          <w:tcPr>
            <w:tcW w:w="1863" w:type="pct"/>
            <w:shd w:val="clear" w:color="000000" w:fill="FFFFFF"/>
            <w:noWrap/>
            <w:vAlign w:val="center"/>
          </w:tcPr>
          <w:p w14:paraId="48951C3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增设1套节能控制柜</w:t>
            </w:r>
          </w:p>
          <w:p w14:paraId="1B6988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2套水泵变流量控制柜</w:t>
            </w:r>
          </w:p>
        </w:tc>
      </w:tr>
      <w:tr w14:paraId="3988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2CCF2C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B8ABD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449C23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513EDF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589DE5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3C6995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5套多联机网关</w:t>
            </w:r>
          </w:p>
        </w:tc>
      </w:tr>
      <w:tr w14:paraId="6A9C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60F51D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4C4296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475556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458E8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01CE83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增设8套分体机网关</w:t>
            </w:r>
          </w:p>
        </w:tc>
      </w:tr>
      <w:tr w14:paraId="60373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6D2C73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5F30C4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6CE675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603AED1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4FA74C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178套高光效LED光源</w:t>
            </w:r>
          </w:p>
        </w:tc>
      </w:tr>
      <w:tr w14:paraId="484C8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40680D4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2D2581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0A8B9C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2907F14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30BFC74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3套定时控制装置</w:t>
            </w:r>
          </w:p>
        </w:tc>
      </w:tr>
      <w:tr w14:paraId="47ECC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C0EA4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8C45A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3FCFDA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23F3D0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5B82E7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729FF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1E1280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5CAA6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1A5DDCC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1DEAF28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59677FD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增设20套多功能电表</w:t>
            </w:r>
          </w:p>
        </w:tc>
      </w:tr>
      <w:tr w14:paraId="47FA5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DDB64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49DF32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1A84ED1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788761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7CC2606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装机容量：186.48kWp</w:t>
            </w:r>
          </w:p>
        </w:tc>
      </w:tr>
      <w:tr w14:paraId="61047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6966D7B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0</w:t>
            </w:r>
          </w:p>
        </w:tc>
        <w:tc>
          <w:tcPr>
            <w:tcW w:w="640" w:type="pct"/>
            <w:vMerge w:val="restart"/>
            <w:shd w:val="clear" w:color="000000" w:fill="FFFFFF"/>
            <w:vAlign w:val="center"/>
          </w:tcPr>
          <w:p w14:paraId="296FA4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人民警察实战训练办公室</w:t>
            </w:r>
          </w:p>
        </w:tc>
        <w:tc>
          <w:tcPr>
            <w:tcW w:w="750" w:type="pct"/>
            <w:vMerge w:val="restart"/>
            <w:shd w:val="clear" w:color="000000" w:fill="FFFFFF"/>
            <w:noWrap/>
            <w:vAlign w:val="center"/>
          </w:tcPr>
          <w:p w14:paraId="3AFA8B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38BADB2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73752BE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7122D9A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16套多联机网关</w:t>
            </w:r>
          </w:p>
        </w:tc>
      </w:tr>
      <w:tr w14:paraId="35133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28D82E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9E2FCA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640389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6C7AD7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6556269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增设2套雾化降温节能系统</w:t>
            </w:r>
          </w:p>
        </w:tc>
      </w:tr>
      <w:tr w14:paraId="48869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CD648F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3BB2FF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3F2AC0B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6630CF2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7986EE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增设98套分体机网关</w:t>
            </w:r>
          </w:p>
        </w:tc>
      </w:tr>
      <w:tr w14:paraId="2D01E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6E8B0AB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725FA6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3704DE1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50C8346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2B8F21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270套高光效LED光源</w:t>
            </w:r>
          </w:p>
        </w:tc>
      </w:tr>
      <w:tr w14:paraId="7AF9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C7174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7A12D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2D68E34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2BE407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660F7B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10套定时控制装置</w:t>
            </w:r>
          </w:p>
        </w:tc>
      </w:tr>
      <w:tr w14:paraId="0508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1E216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9946A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DD471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A1EDDA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6D2A26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0E4F8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A77EA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257B91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109B4F6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3140FA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24E55DE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增设50套多功能电表</w:t>
            </w:r>
          </w:p>
        </w:tc>
      </w:tr>
      <w:tr w14:paraId="5FD4A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AF890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CC7FE1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2F6B367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3F15F8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48DCF5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装机容量：300kWp</w:t>
            </w:r>
          </w:p>
        </w:tc>
      </w:tr>
      <w:tr w14:paraId="16F7D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7D330BD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p>
        </w:tc>
        <w:tc>
          <w:tcPr>
            <w:tcW w:w="640" w:type="pct"/>
            <w:vMerge w:val="restart"/>
            <w:shd w:val="clear" w:color="000000" w:fill="FFFFFF"/>
            <w:vAlign w:val="center"/>
          </w:tcPr>
          <w:p w14:paraId="2A5B1F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市委党校</w:t>
            </w:r>
          </w:p>
        </w:tc>
        <w:tc>
          <w:tcPr>
            <w:tcW w:w="750" w:type="pct"/>
            <w:vMerge w:val="restart"/>
            <w:shd w:val="clear" w:color="000000" w:fill="FFFFFF"/>
            <w:noWrap/>
            <w:vAlign w:val="center"/>
          </w:tcPr>
          <w:p w14:paraId="04E032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27F38F5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45D001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57C761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75套多联机网关</w:t>
            </w:r>
          </w:p>
        </w:tc>
      </w:tr>
      <w:tr w14:paraId="0C23D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CEF440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2129C9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5F0DF59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359481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1D276A4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增设3套雾化降温节能系统</w:t>
            </w:r>
          </w:p>
        </w:tc>
      </w:tr>
      <w:tr w14:paraId="14393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62C79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0337501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C07CA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1EED76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52C96B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增设243套分体机网关</w:t>
            </w:r>
          </w:p>
        </w:tc>
      </w:tr>
      <w:tr w14:paraId="056E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1EC614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45BE0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vAlign w:val="center"/>
          </w:tcPr>
          <w:p w14:paraId="23C102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照明系统</w:t>
            </w:r>
          </w:p>
        </w:tc>
        <w:tc>
          <w:tcPr>
            <w:tcW w:w="1409" w:type="pct"/>
            <w:shd w:val="clear" w:color="000000" w:fill="FFFFFF"/>
            <w:noWrap/>
            <w:vAlign w:val="center"/>
          </w:tcPr>
          <w:p w14:paraId="3E9C985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高光效LED光源替换</w:t>
            </w:r>
          </w:p>
        </w:tc>
        <w:tc>
          <w:tcPr>
            <w:tcW w:w="1863" w:type="pct"/>
            <w:shd w:val="clear" w:color="000000" w:fill="FFFFFF"/>
            <w:noWrap/>
            <w:vAlign w:val="center"/>
          </w:tcPr>
          <w:p w14:paraId="188D72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54盏路灯更换为高光效LED光源</w:t>
            </w:r>
          </w:p>
        </w:tc>
      </w:tr>
      <w:tr w14:paraId="5F8A9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098CE85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DB9E07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5EE427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1CDC6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二层连廊光感+微波感应控制</w:t>
            </w:r>
          </w:p>
        </w:tc>
        <w:tc>
          <w:tcPr>
            <w:tcW w:w="1863" w:type="pct"/>
            <w:shd w:val="clear" w:color="000000" w:fill="FFFFFF"/>
            <w:noWrap/>
            <w:vAlign w:val="center"/>
          </w:tcPr>
          <w:p w14:paraId="7E5469B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二层连廊100套</w:t>
            </w:r>
          </w:p>
          <w:p w14:paraId="0768EE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光感+微波感应LED筒灯</w:t>
            </w:r>
          </w:p>
        </w:tc>
      </w:tr>
      <w:tr w14:paraId="7BBCC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336" w:type="pct"/>
            <w:vMerge w:val="continue"/>
            <w:vAlign w:val="center"/>
          </w:tcPr>
          <w:p w14:paraId="630843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EFF70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388CCBD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C7537C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车库微波感应控制</w:t>
            </w:r>
          </w:p>
        </w:tc>
        <w:tc>
          <w:tcPr>
            <w:tcW w:w="1863" w:type="pct"/>
            <w:shd w:val="clear" w:color="000000" w:fill="FFFFFF"/>
            <w:noWrap/>
            <w:vAlign w:val="center"/>
          </w:tcPr>
          <w:p w14:paraId="07E874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车库100套LED T8微波灯</w:t>
            </w:r>
          </w:p>
        </w:tc>
      </w:tr>
      <w:tr w14:paraId="57CF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336" w:type="pct"/>
            <w:vMerge w:val="continue"/>
            <w:vAlign w:val="center"/>
          </w:tcPr>
          <w:p w14:paraId="142636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90680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297DB0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55EFE3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6F02C1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17套定时控制装置</w:t>
            </w:r>
          </w:p>
        </w:tc>
      </w:tr>
      <w:tr w14:paraId="1042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F19E72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FC698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0D1158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70330CB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717AD4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11639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592D9B5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45ACAE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C9DD5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E186D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增设空气源热泵热水系统</w:t>
            </w:r>
          </w:p>
        </w:tc>
        <w:tc>
          <w:tcPr>
            <w:tcW w:w="1863" w:type="pct"/>
            <w:shd w:val="clear" w:color="000000" w:fill="FFFFFF"/>
            <w:noWrap/>
            <w:vAlign w:val="center"/>
          </w:tcPr>
          <w:p w14:paraId="2A30B1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4台空气源热泵热水机组</w:t>
            </w:r>
          </w:p>
          <w:p w14:paraId="2917CEC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水箱及增压泵</w:t>
            </w:r>
          </w:p>
        </w:tc>
      </w:tr>
      <w:tr w14:paraId="1B086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3B9447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583EBA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10F3895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69E94A4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35D3D7B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增设50套多功能电表</w:t>
            </w:r>
          </w:p>
        </w:tc>
      </w:tr>
      <w:tr w14:paraId="44F1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2D2C4BC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1764DE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13C424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66B769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254436A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装机容量：180kWp</w:t>
            </w:r>
          </w:p>
        </w:tc>
      </w:tr>
      <w:tr w14:paraId="2F46A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336" w:type="pct"/>
            <w:vMerge w:val="continue"/>
            <w:vAlign w:val="center"/>
          </w:tcPr>
          <w:p w14:paraId="0BAF873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7E394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20D29F2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4B2F7B5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充电桩</w:t>
            </w:r>
          </w:p>
        </w:tc>
        <w:tc>
          <w:tcPr>
            <w:tcW w:w="1863" w:type="pct"/>
            <w:shd w:val="clear" w:color="000000" w:fill="FFFFFF"/>
            <w:noWrap/>
            <w:vAlign w:val="center"/>
          </w:tcPr>
          <w:p w14:paraId="779BCE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2套60kW快充、8套7kW慢充</w:t>
            </w:r>
          </w:p>
        </w:tc>
      </w:tr>
      <w:tr w14:paraId="271A0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restart"/>
            <w:shd w:val="clear" w:color="000000" w:fill="FFFFFF"/>
            <w:noWrap/>
            <w:vAlign w:val="center"/>
          </w:tcPr>
          <w:p w14:paraId="44EB311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2</w:t>
            </w:r>
          </w:p>
        </w:tc>
        <w:tc>
          <w:tcPr>
            <w:tcW w:w="640" w:type="pct"/>
            <w:vMerge w:val="restart"/>
            <w:shd w:val="clear" w:color="000000" w:fill="FFFFFF"/>
            <w:vAlign w:val="center"/>
          </w:tcPr>
          <w:p w14:paraId="0DC759B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市住房和城乡建设局</w:t>
            </w:r>
          </w:p>
        </w:tc>
        <w:tc>
          <w:tcPr>
            <w:tcW w:w="750" w:type="pct"/>
            <w:vMerge w:val="restart"/>
            <w:shd w:val="clear" w:color="000000" w:fill="FFFFFF"/>
            <w:noWrap/>
            <w:vAlign w:val="center"/>
          </w:tcPr>
          <w:p w14:paraId="33C9557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空调系统</w:t>
            </w:r>
          </w:p>
        </w:tc>
        <w:tc>
          <w:tcPr>
            <w:tcW w:w="1409" w:type="pct"/>
            <w:shd w:val="clear" w:color="000000" w:fill="FFFFFF"/>
            <w:noWrap/>
            <w:vAlign w:val="center"/>
          </w:tcPr>
          <w:p w14:paraId="4DE162F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多联式空调集中控制</w:t>
            </w:r>
          </w:p>
        </w:tc>
        <w:tc>
          <w:tcPr>
            <w:tcW w:w="1863" w:type="pct"/>
            <w:shd w:val="clear" w:color="000000" w:fill="FFFFFF"/>
            <w:noWrap/>
            <w:vAlign w:val="center"/>
          </w:tcPr>
          <w:p w14:paraId="5A9F882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增设1套多联式空调集中控制系统</w:t>
            </w:r>
          </w:p>
          <w:p w14:paraId="3537573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48套多联机网关</w:t>
            </w:r>
          </w:p>
        </w:tc>
      </w:tr>
      <w:tr w14:paraId="1882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36" w:type="pct"/>
            <w:vMerge w:val="continue"/>
            <w:vAlign w:val="center"/>
          </w:tcPr>
          <w:p w14:paraId="2C81631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AC443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5656AC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563007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雾化降温节能</w:t>
            </w:r>
          </w:p>
        </w:tc>
        <w:tc>
          <w:tcPr>
            <w:tcW w:w="1863" w:type="pct"/>
            <w:shd w:val="clear" w:color="000000" w:fill="FFFFFF"/>
            <w:noWrap/>
            <w:vAlign w:val="center"/>
          </w:tcPr>
          <w:p w14:paraId="0B9970A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增设3套雾化降温节能系统</w:t>
            </w:r>
          </w:p>
        </w:tc>
      </w:tr>
      <w:tr w14:paraId="1A16B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36" w:type="pct"/>
            <w:vMerge w:val="continue"/>
            <w:vAlign w:val="center"/>
          </w:tcPr>
          <w:p w14:paraId="6CCF308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6384C81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77FBE9B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16433FB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分体式空调集中控制</w:t>
            </w:r>
          </w:p>
        </w:tc>
        <w:tc>
          <w:tcPr>
            <w:tcW w:w="1863" w:type="pct"/>
            <w:shd w:val="clear" w:color="000000" w:fill="FFFFFF"/>
            <w:noWrap/>
            <w:vAlign w:val="center"/>
          </w:tcPr>
          <w:p w14:paraId="2CF04F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增设8套分体机网关</w:t>
            </w:r>
          </w:p>
        </w:tc>
      </w:tr>
      <w:tr w14:paraId="38405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5B501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BFA00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restart"/>
            <w:shd w:val="clear" w:color="000000" w:fill="FFFFFF"/>
            <w:noWrap/>
            <w:vAlign w:val="center"/>
          </w:tcPr>
          <w:p w14:paraId="00EE0A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供水系统</w:t>
            </w:r>
          </w:p>
        </w:tc>
        <w:tc>
          <w:tcPr>
            <w:tcW w:w="1409" w:type="pct"/>
            <w:shd w:val="clear" w:color="000000" w:fill="FFFFFF"/>
            <w:noWrap/>
            <w:vAlign w:val="center"/>
          </w:tcPr>
          <w:p w14:paraId="471A26C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定时控制</w:t>
            </w:r>
          </w:p>
        </w:tc>
        <w:tc>
          <w:tcPr>
            <w:tcW w:w="1863" w:type="pct"/>
            <w:shd w:val="clear" w:color="000000" w:fill="FFFFFF"/>
            <w:noWrap/>
            <w:vAlign w:val="center"/>
          </w:tcPr>
          <w:p w14:paraId="514DFF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14套定时控制装置</w:t>
            </w:r>
          </w:p>
        </w:tc>
      </w:tr>
      <w:tr w14:paraId="5CEC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1810275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EC10A9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vMerge w:val="continue"/>
            <w:vAlign w:val="center"/>
          </w:tcPr>
          <w:p w14:paraId="0EC03D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409" w:type="pct"/>
            <w:shd w:val="clear" w:color="000000" w:fill="FFFFFF"/>
            <w:noWrap/>
            <w:vAlign w:val="center"/>
          </w:tcPr>
          <w:p w14:paraId="0007919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供水计量监测</w:t>
            </w:r>
          </w:p>
        </w:tc>
        <w:tc>
          <w:tcPr>
            <w:tcW w:w="1863" w:type="pct"/>
            <w:shd w:val="clear" w:color="000000" w:fill="FFFFFF"/>
            <w:noWrap/>
            <w:vAlign w:val="center"/>
          </w:tcPr>
          <w:p w14:paraId="3D6814A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增设1套供水计量监测系统</w:t>
            </w:r>
          </w:p>
        </w:tc>
      </w:tr>
      <w:tr w14:paraId="3E50D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73C8BAA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76AD222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6B0541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供配电系统</w:t>
            </w:r>
          </w:p>
        </w:tc>
        <w:tc>
          <w:tcPr>
            <w:tcW w:w="1409" w:type="pct"/>
            <w:shd w:val="clear" w:color="000000" w:fill="FFFFFF"/>
            <w:noWrap/>
            <w:vAlign w:val="center"/>
          </w:tcPr>
          <w:p w14:paraId="43B2E41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增设多功能电表，建设能碳管理平台</w:t>
            </w:r>
          </w:p>
        </w:tc>
        <w:tc>
          <w:tcPr>
            <w:tcW w:w="1863" w:type="pct"/>
            <w:shd w:val="clear" w:color="000000" w:fill="FFFFFF"/>
            <w:noWrap/>
            <w:vAlign w:val="center"/>
          </w:tcPr>
          <w:p w14:paraId="40E578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增设50套多功能电表</w:t>
            </w:r>
          </w:p>
        </w:tc>
      </w:tr>
      <w:tr w14:paraId="78EC5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36" w:type="pct"/>
            <w:vMerge w:val="continue"/>
            <w:vAlign w:val="center"/>
          </w:tcPr>
          <w:p w14:paraId="3E5DD51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40" w:type="pct"/>
            <w:vMerge w:val="continue"/>
            <w:vAlign w:val="center"/>
          </w:tcPr>
          <w:p w14:paraId="30C59BD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0" w:type="pct"/>
            <w:shd w:val="clear" w:color="000000" w:fill="FFFFFF"/>
            <w:noWrap/>
            <w:vAlign w:val="center"/>
          </w:tcPr>
          <w:p w14:paraId="27F86CE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可再生能源利用</w:t>
            </w:r>
          </w:p>
        </w:tc>
        <w:tc>
          <w:tcPr>
            <w:tcW w:w="1409" w:type="pct"/>
            <w:shd w:val="clear" w:color="000000" w:fill="FFFFFF"/>
            <w:noWrap/>
            <w:vAlign w:val="center"/>
          </w:tcPr>
          <w:p w14:paraId="0077E0E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太阳能光伏发电系统</w:t>
            </w:r>
          </w:p>
        </w:tc>
        <w:tc>
          <w:tcPr>
            <w:tcW w:w="1863" w:type="pct"/>
            <w:shd w:val="clear" w:color="000000" w:fill="FFFFFF"/>
            <w:noWrap/>
            <w:vAlign w:val="center"/>
          </w:tcPr>
          <w:p w14:paraId="11FB836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装机容量：148.05kWp</w:t>
            </w:r>
          </w:p>
        </w:tc>
      </w:tr>
    </w:tbl>
    <w:p w14:paraId="0A5AB28B">
      <w:pPr>
        <w:tabs>
          <w:tab w:val="left" w:pos="420"/>
        </w:tabs>
        <w:adjustRightInd w:val="0"/>
        <w:snapToGrid w:val="0"/>
        <w:spacing w:line="360" w:lineRule="auto"/>
        <w:ind w:firstLine="42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注：以上数据可能与现场实际情况存在偏差，具体数据以现场实际情况为准。</w:t>
      </w:r>
    </w:p>
    <w:p w14:paraId="5D9E7A55">
      <w:pPr>
        <w:tabs>
          <w:tab w:val="left" w:pos="420"/>
        </w:tabs>
        <w:adjustRightInd w:val="0"/>
        <w:snapToGrid w:val="0"/>
        <w:spacing w:line="360" w:lineRule="auto"/>
        <w:ind w:firstLine="420"/>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（二）相关技术要求</w:t>
      </w:r>
    </w:p>
    <w:p w14:paraId="23C8069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1.构建泰州市能源管理“一张网”平台</w:t>
      </w:r>
    </w:p>
    <w:p w14:paraId="4BB298E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依据《碳达峰碳中和综合评价考核办法》及《公共机构碳排放核算指南（JS/T 303-2026）》等政策文件要求，以数字化改革为牵引，面向整县（市、区）公共机构能源费用托管场景，利用物联网、大数据、人工智能技术，满足多租户多用户构建的全域设备一张网、数据一张网、运营一张网等多维一体化平台。一张网平台也是开展虚拟电厂、碳交易的数字化底座平台。依据《公共机构能源费用托管实施规程》及江苏省《整县（市、区）能源费用托管工作指引》等相关标准文件要求，能源管理“一张网”平台技术要求如下：</w:t>
      </w:r>
    </w:p>
    <w:p w14:paraId="1DA127B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1.1.平台一般规定</w:t>
      </w:r>
    </w:p>
    <w:p w14:paraId="4A7D881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（1）基于整县（市、区）公共机构的规模体量，平台应采用云技术、分布式、集群架构设计，确保平台的并发性、扩展性和适应性。</w:t>
      </w:r>
    </w:p>
    <w:p w14:paraId="4CDB012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（2）平台应支持平台管理者、运营服务者、区域管理者、行业管理者、公共机构管理者等多租户、多用户设计。</w:t>
      </w:r>
    </w:p>
    <w:p w14:paraId="08C7CF0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（3）平台设计采用MQTT标准协议---基于发布/订阅模式的轻量级物联网通信协议。确保系统的兼容性、扩展性和可维护性。</w:t>
      </w:r>
    </w:p>
    <w:p w14:paraId="745DBFD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（4）平台标准协议中间件服务并发连接数应不低于5W，支持设备单控和批量集控。</w:t>
      </w:r>
    </w:p>
    <w:p w14:paraId="4B9590D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（5）平台设计应支持安全认证以及分租户、分用户权限访问控制。</w:t>
      </w:r>
    </w:p>
    <w:p w14:paraId="43E1898D">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1.2.总体架构</w:t>
      </w:r>
    </w:p>
    <w:p w14:paraId="3E66C81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平台总体架构可按照“端、边、云”进行分层架构设计。各层定位如下：</w:t>
      </w:r>
    </w:p>
    <w:p w14:paraId="081689A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端：狭义的包括各类仪表、传感器、控制器等，负责对现场用能设备、使用环境参数、能耗等进行感知或控制的装置；广义的包括主站、网关或采集器等，负责与感知或控制装置进行通讯，实现总线信号到网络信号的转换。</w:t>
      </w:r>
    </w:p>
    <w:p w14:paraId="63AB6BB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边：包括集成柜、控制柜、边缘节点等，以机房或楼宇为单位，南向负责集成汇聚各类端，北向负责与云侧进行交互，同时具有支持协调控制、边缘计算、负载均衡和第三方对接能力，边侧具备的能力包括：①兼容各类通讯服务；②逻辑存储服务；③逻辑执行服务；④触发回调机制；⑤一定的数据处理、存储服务。</w:t>
      </w:r>
    </w:p>
    <w:p w14:paraId="4251019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云：基于互联网，采用分布式、高并发，面向“多租户”提供统一的一张网平台宏观管理和节能运营服务。南向负责集成汇聚各类边侧，北向负责支撑各类云服务应用。</w:t>
      </w:r>
    </w:p>
    <w:p w14:paraId="38B7903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1.3.总体设计要求</w:t>
      </w:r>
    </w:p>
    <w:p w14:paraId="75257AC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（1）数字化底座</w:t>
      </w:r>
    </w:p>
    <w:p w14:paraId="39E51A5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全方位数字传感技术的应用是一张网平台的数据底座，通过将计量场景、末端场景、BA场景等各类传感设备集成互联，实现数字孪生，构建可计量、可监测、可控制的数字化物联网底座。</w:t>
      </w:r>
    </w:p>
    <w:p w14:paraId="2530257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（2）能耗计量</w:t>
      </w:r>
    </w:p>
    <w:p w14:paraId="431B1AD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能耗数据是节能成效核查和确认的依据，能耗精准计量一方面要及时地捕捉用能变化，另一方面可以对增量数据进行量化。</w:t>
      </w:r>
    </w:p>
    <w:p w14:paraId="01E2135D">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（3）设备管控</w:t>
      </w:r>
    </w:p>
    <w:p w14:paraId="590D750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能耗设备的管控是节能的重要抓手，设备管控需要在符合法律法规前提下，满足用户基本用能需求基础上实现节能，因此需要具备精准化、智能化的管控能力，一方面避免用能浪费，另一方面实现按需、个性的用能精细管控。</w:t>
      </w:r>
    </w:p>
    <w:p w14:paraId="7450829C">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（4）AI智控</w:t>
      </w:r>
    </w:p>
    <w:p w14:paraId="4FAF9A6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人工智能新技术在整区（县）制能源费用托管场景的赋能应用，将成为公共机构实现碳达峰、碳</w:t>
      </w:r>
      <w:r>
        <w:rPr>
          <w:rFonts w:hint="default" w:ascii="Times New Roman" w:hAnsi="Times New Roman" w:eastAsia="宋体" w:cs="Times New Roman"/>
          <w:color w:val="auto"/>
          <w:sz w:val="24"/>
          <w:szCs w:val="24"/>
          <w:highlight w:val="none"/>
          <w:lang w:val="en-US" w:eastAsia="zh-CN"/>
        </w:rPr>
        <w:t>中和</w:t>
      </w:r>
      <w:r>
        <w:rPr>
          <w:rFonts w:hint="default" w:ascii="Times New Roman" w:hAnsi="Times New Roman" w:eastAsia="宋体" w:cs="Times New Roman"/>
          <w:color w:val="auto"/>
          <w:sz w:val="24"/>
          <w:szCs w:val="24"/>
          <w:highlight w:val="none"/>
        </w:rPr>
        <w:t>双碳目标的核心推动力。基于云边端协同神经网络架构，通过运用AI自控新技术，对控制链路进行分层设计和协同设计，建立用能数据、运行数据和用户行为的捕捉，形成数据分析、学习迭代、模型建立的能力，通过下发边、端控制的执行，构建完整的AI学习控制链路闭环。以“数据驱动”实现精准数字化能源管理的AI赋能，实现大规模用能设施的管控，提升能源管理运营服务水平。</w:t>
      </w:r>
    </w:p>
    <w:p w14:paraId="1EC415E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（5）开放性</w:t>
      </w:r>
    </w:p>
    <w:p w14:paraId="6388EB4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平台应具备开放性能力和对接要求，以实现数据共享和价值利用，具体要求包括：</w:t>
      </w:r>
    </w:p>
    <w:p w14:paraId="16B6CAA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①南向支持MQTT标准设备接入</w:t>
      </w:r>
    </w:p>
    <w:p w14:paraId="7D89238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②北向支持MQTT标准数据对接</w:t>
      </w:r>
    </w:p>
    <w:p w14:paraId="11261C5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③支持应用集成和二次开发能力</w:t>
      </w:r>
    </w:p>
    <w:p w14:paraId="7E18EA2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④支持与省平台数据传输对接功能</w:t>
      </w:r>
    </w:p>
    <w:p w14:paraId="1CDC944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1.4.用户设计要求</w:t>
      </w:r>
    </w:p>
    <w:p w14:paraId="5530DF5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平台应采用多租户，多用户体系设计，用户、项目和数据</w:t>
      </w:r>
    </w:p>
    <w:p w14:paraId="4EF45F3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能按租户进行隔离独立管理。</w:t>
      </w:r>
    </w:p>
    <w:p w14:paraId="0FF4FE8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用户角色应支持整区主管者角色（主管部门单位）、行业主管者角色（行业主管单位）、项目管理者角色（机构单位）和平台管理者角色（托管运营单位）。</w:t>
      </w:r>
    </w:p>
    <w:p w14:paraId="44D509B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子系统和系统功能按照不同角色需求进行设计。</w:t>
      </w:r>
    </w:p>
    <w:p w14:paraId="3BE34DD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1.5.接入设计要求</w:t>
      </w:r>
    </w:p>
    <w:p w14:paraId="1A2DCAB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平台支持基于MQTT标准开放协议，设计各类场景、设备类型、测点参数等接入通讯格式和接口标准，作为平台内容进行开放发布。</w:t>
      </w:r>
    </w:p>
    <w:p w14:paraId="69C7466A">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1.6.平台系统要求</w:t>
      </w:r>
    </w:p>
    <w:p w14:paraId="1CE5529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（1）驾驶舱</w:t>
      </w:r>
    </w:p>
    <w:p w14:paraId="249E048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区域全景、行业系统、单体项目等角色，提供全域公共机构基本信息、定额指标信息、双控指标信息、能耗用量信息等总览指标，同时地图标注各版块各分类机构的总体数量、接入情况，可以查看具体接入项目主体信息，可以进入项目主体进行运营管控管理操作。</w:t>
      </w:r>
    </w:p>
    <w:p w14:paraId="5D21A10A">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（2）能耗统计</w:t>
      </w:r>
    </w:p>
    <w:p w14:paraId="6E2BD43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依据《公共机构能源资源消耗统计制度》，按照《江苏省公共机构节能管理平台》对能耗统计数据上报要求，对区域内所有托管公共机构的账单数据进行处理、汇总和查询。</w:t>
      </w:r>
    </w:p>
    <w:p w14:paraId="2279758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（3）节能评价</w:t>
      </w:r>
    </w:p>
    <w:p w14:paraId="289DDE2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依据《公共机构日常节能管理规程》省地方标准，建立公共机构节约能源资源工作评价体系，可以对区域内所有公共机构的用能指标、日常用能行为等进行实时在线评价，对公共机构节约能源资源工作管理提供科学的评判依据。</w:t>
      </w:r>
    </w:p>
    <w:p w14:paraId="4B608DE1">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（4）AI智控</w:t>
      </w:r>
    </w:p>
    <w:p w14:paraId="522FD96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可以对区域内已纳入AI智控的项目总数和列表信息进行查看和管控。</w:t>
      </w:r>
    </w:p>
    <w:p w14:paraId="10B487D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（5）碳排管理</w:t>
      </w:r>
    </w:p>
    <w:p w14:paraId="78CBC56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可以对区域内所有接入的公共机构碳资产、碳排放情况进行汇总统计。</w:t>
      </w:r>
    </w:p>
    <w:p w14:paraId="3C61D8A4">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1.7.系统功能要求</w:t>
      </w:r>
    </w:p>
    <w:p w14:paraId="10C0D0BD">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（1）运营管控系统</w:t>
      </w:r>
    </w:p>
    <w:p w14:paraId="5014AF3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项目看板：查看当前项目的实时运行指标，包括能耗总量信息、能耗强度信息、定额对标信息、用能结构信息、碳排放总量信息、碳排放强度信息等。</w:t>
      </w:r>
    </w:p>
    <w:p w14:paraId="4493831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用能账单：可配置托管周期、能耗账单管理以及托管节能情况分析。</w:t>
      </w:r>
    </w:p>
    <w:p w14:paraId="6A17D6B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用能监测：可配置用能场景，监测每日能耗及72小时能耗，分析同比环比详情。</w:t>
      </w:r>
    </w:p>
    <w:p w14:paraId="2F95763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设备控制：可对用能系统基于传统的人机结合的策略管理或选择采用AI智控技术实现无人化专家级管理。</w:t>
      </w:r>
    </w:p>
    <w:p w14:paraId="13E4CAE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（2）能耗统计系统</w:t>
      </w:r>
    </w:p>
    <w:p w14:paraId="4B48351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月度统计台账：按办公区、年度对逐月统计数据进行核定，支持同步月度账单数据，台账包含电消费量、数据机房、充电桩、食堂、光伏、其他、电总费用，水消费量、水总费用、燃气消费量、燃气总费用、蒸汽消费量、蒸汽总费用、汽油消费量、汽油总费用、柴油总消费量、柴油总费用等，可以对数据进行更新核定。</w:t>
      </w:r>
    </w:p>
    <w:p w14:paraId="2C28956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主体机构配置：可以查看当前办公区下的公共机构，对代报主体进行设置，独立办公区无须设置，集中办公区设置一个代报主体。</w:t>
      </w:r>
    </w:p>
    <w:p w14:paraId="2BF8948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（3）评价考核系统</w:t>
      </w:r>
    </w:p>
    <w:p w14:paraId="7A666EB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评价管理：按年度查询当前办公区下的公共机构考核情况，包括考核年度、机构名称、得分、星级、同类排名、状态、考核结果等。</w:t>
      </w:r>
    </w:p>
    <w:p w14:paraId="46B1FF0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考核提交：以年度为单位，按照区域主管者发布的年度考核日期，依据《公共机构日常节能管理规程》省地方标准进行对标自评，上传考核材料，完成自评提交。</w:t>
      </w:r>
    </w:p>
    <w:p w14:paraId="3591915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（4）碳资产系统</w:t>
      </w:r>
    </w:p>
    <w:p w14:paraId="2C80F8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该模块应包括但不限于碳排放、碳资产、碳交易、碳履约等功能。</w:t>
      </w:r>
    </w:p>
    <w:p w14:paraId="6ACC9D3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碳排放：对直接、间接碳排放源各类能源的年度活动数据、碳排放因子、碳排放量、同比变化进行查看，可查看每个月的活动数据、碳排放量和同比变化图表。</w:t>
      </w:r>
    </w:p>
    <w:p w14:paraId="46B8B00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碳资产：对碳配额进行配置下发，显示碳配额、交易碳配额、交易CCER指标信息。</w:t>
      </w:r>
    </w:p>
    <w:p w14:paraId="364512F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碳交易：可以添加配置配额交易记录，包括年份、交易编号、交易类型、交易配额、交易平台、交易总价等信息。</w:t>
      </w:r>
    </w:p>
    <w:p w14:paraId="12F5908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碳履约：包括碳排放指标、碳权量指标、清缴指标等。</w:t>
      </w:r>
    </w:p>
    <w:p w14:paraId="71B776F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（5）AI智控系统</w:t>
      </w:r>
    </w:p>
    <w:p w14:paraId="265BEAB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基于神经网络模型，通过实时采集公共机构能耗数据、设备设施运行数据、能源消费行为数据，并对采集的数据进行分析、评估、建模，建立场景化AI模型，与边缘端智能体结合实现无人化专家级预测和管控。</w:t>
      </w:r>
    </w:p>
    <w:p w14:paraId="2F47B05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（6）基础管理平台</w:t>
      </w:r>
    </w:p>
    <w:p w14:paraId="6C45C9B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该模块应包括但不限于登录管理、用户管理、租户管理、系统管理、项目管理、角色管理、用户审核、用户授权等功能。</w:t>
      </w:r>
    </w:p>
    <w:p w14:paraId="4C5904FE">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（7）机构管理系统</w:t>
      </w:r>
    </w:p>
    <w:p w14:paraId="0E215A1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该模块应包括但不限于机构信息管理、机构台账管理、项目机构关系等功能。</w:t>
      </w:r>
    </w:p>
    <w:p w14:paraId="3089173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机构信息管理：对机构信息进行导入维护管理，模板信息包括机构名称、统一社会信用代码、行政区划编码、机构类型、办公类型、空调形式、建筑面积、用能人数等。</w:t>
      </w:r>
    </w:p>
    <w:p w14:paraId="164B848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机构台账管理：按年份对机构台账进入导入维护管理，模板信息包括机构名称、电消费量、电费用、水消费量、水费用、燃气消费量、燃气费用、数据中心用电、食堂用电、综合能耗、总费用等。</w:t>
      </w:r>
    </w:p>
    <w:p w14:paraId="6A28CF3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项目机构关系：按项目办公区对入驻的公共机构信息进行关联绑定。</w:t>
      </w:r>
    </w:p>
    <w:p w14:paraId="3AA2617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1.8.系统通讯要求</w:t>
      </w:r>
    </w:p>
    <w:p w14:paraId="028144E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系统应根据传输设备技术性能要求优先采用4G物联网的传输方式，或多种混合传输方式。</w:t>
      </w:r>
    </w:p>
    <w:p w14:paraId="343D40BD">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1.9.系统安全要求</w:t>
      </w:r>
    </w:p>
    <w:p w14:paraId="2CE95E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系统安全对象包括：能耗计量装置、设备控制装置、本地云/公共云等。安全保护措施应包括硬件防护、设备认证、专网和信道加密、接口鉴权、数据存储加密、应用鉴权、用户隐私保护、应用接口控制、用户访问控制等。</w:t>
      </w:r>
    </w:p>
    <w:p w14:paraId="0FEC0A9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1.10.数据权属与移交要求：</w:t>
      </w:r>
    </w:p>
    <w:p w14:paraId="6D5ED77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本项目建设过程中产生的所有硬件设备、业务数据、用户数据、操作日志数据及相关衍生数据的所有权、使用权及管理权均归招标人所有。</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不得以任何形式将上述数据用于与本项目无关的用途，不得向任何第三方泄露。</w:t>
      </w:r>
    </w:p>
    <w:p w14:paraId="6A7CA1D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项目工期结束并通过最终验收后，</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须在招标人指定的政务外网环境中协助完成以下工作：</w:t>
      </w:r>
    </w:p>
    <w:p w14:paraId="4A594BC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（1）移交项目涉及的所有硬件设备及软件的所有权、使用权及管理权；</w:t>
      </w:r>
    </w:p>
    <w:p w14:paraId="5EBE1F7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（2）提供业务数据库的全量逻辑/物理备份数据（包括但不限于附件、图片、报表文件等）的完整备份及其与业务数据间的关联规则说明，并提交详细的备份与恢复操作说明文档；</w:t>
      </w:r>
    </w:p>
    <w:p w14:paraId="3EC9D4D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（3）提供完整的数据字典文档，包括各业务库的表结构说明、主要字段注释、数据关系说明以及主要统计指标/能耗指标的计算口径说明；</w:t>
      </w:r>
    </w:p>
    <w:p w14:paraId="5FF760A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（4）提供项目中已实现的所有对外接口文档，包括接口列表、调用方式、参数说明、返回格式、鉴权机制等，确保后续可由招标人接管。</w:t>
      </w:r>
    </w:p>
    <w:p w14:paraId="304395A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上述备份数据和文档应统一存储于招标人指定的政务外网存储节点或备份服务器。如确需制作离线备份介质，应符合招标人及上级主管部门的保密与安全管理要求，介质的保管责任由招标人承担。</w:t>
      </w:r>
    </w:p>
    <w:p w14:paraId="2BD0D6E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在项目实施、测试、故障处理等过程中，如确需在自有环境中使用招标人项目数据，必须进行脱敏处理，并事先取得招标人书面同意。项目验收完成后，</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须对其内部存储的项目相关数据进行彻底删除或物理销毁，不得保留任何形式的备份；并向招标人提交《数据销毁证明》，列明销毁的数据范围、时间和方式，由甲乙双方确认归档。</w:t>
      </w:r>
    </w:p>
    <w:p w14:paraId="05D0137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有义务配合招标人进行数据备份恢复演练和移交流程确认，确保招标人在无需依赖</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的前提下，能够独立完成项目数据的备份、恢复和迁移操作。</w:t>
      </w:r>
    </w:p>
    <w:p w14:paraId="1A885A2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未按上述要求完成数据移交或造成招标人数据丢失、泄露、损毁的，</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须承担相应的法律责任和违约责任，具体责任承担方式及赔偿标准由双方在合同中另行约定。</w:t>
      </w:r>
    </w:p>
    <w:p w14:paraId="7BF78FC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2.数据采集与能源计量系统</w:t>
      </w:r>
    </w:p>
    <w:p w14:paraId="635326D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计量系统是能源费用托管的基础。首批十二家单位普遍存在“有总表、缺分项”“有回路、无远传”“有电流表、无可用数据”的问题。托管改造应通过新增或替换具备远传功能的水电气表计、配置智能数据网关，将重点配电回路、空调回路、热水回路、照明回路、厨房及特殊负荷回路接入“一张网”平台。</w:t>
      </w:r>
    </w:p>
    <w:p w14:paraId="08071CB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应优先覆盖总进线、楼层配电、空调、照明、机房、厨房或开水设备。计量系统不直接产生大量可见节能量，但它决定后续节能量是否可核、异常用能是否可追溯、托管费用是否可结算。</w:t>
      </w:r>
    </w:p>
    <w:p w14:paraId="13E675C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计量器具系统配置满足下列要求：</w:t>
      </w:r>
    </w:p>
    <w:p w14:paraId="0B41E59C">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a）公共机构均应配置能源计量系统。公共机构的能耗、水耗、气/汽耗等数据应上报至公共机构节能管理部门。</w:t>
      </w:r>
    </w:p>
    <w:p w14:paraId="7A12449F">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b）公共机构应根据电、水、燃气、热力等用能类型以及建筑、楼层、重点用能单位或设备等层级，按照GB/T 29149的要求分级配置计量器具。 </w:t>
      </w:r>
    </w:p>
    <w:p w14:paraId="29DF7562">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c）电能计量器具精度应不低于0.5级，水表不低于2.5级，热力表不低于2.0级，燃气表不低于1.5级。</w:t>
      </w:r>
    </w:p>
    <w:p w14:paraId="7CA7008C">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d）出租或外包经营场所应独立配置计量装置。 </w:t>
      </w:r>
    </w:p>
    <w:p w14:paraId="2DCCF3CC">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e）计量器具应支持数据远传功能，远传数据接口应符合行业通用标准，采用开放的通信协议。</w:t>
      </w:r>
    </w:p>
    <w:p w14:paraId="2AB1932E">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f）计量系统应兼容多种通信协议，支持与建筑能源监控管理系统互联互通数据。</w:t>
      </w:r>
    </w:p>
    <w:p w14:paraId="79681CC8">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计量监测满足下列要求：</w:t>
      </w:r>
    </w:p>
    <w:p w14:paraId="2A251307">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a）数据采集与传输，电、热力数据采集间隔≤15min，水、燃气数据采集间隔≤1h；</w:t>
      </w:r>
    </w:p>
    <w:p w14:paraId="6B57BC72">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b）历史数据存储周期≥3年，支持按日、月、年生成能源消耗报表；</w:t>
      </w:r>
    </w:p>
    <w:p w14:paraId="1FE55781">
      <w:pPr>
        <w:pStyle w:val="55"/>
        <w:keepNext w:val="0"/>
        <w:keepLines w:val="0"/>
        <w:pageBreakBefore w:val="0"/>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c）建立用能量突增、设备离线等报警机制。</w:t>
      </w:r>
    </w:p>
    <w:p w14:paraId="3C5AAD88">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3.空调系统节能改造</w:t>
      </w:r>
    </w:p>
    <w:p w14:paraId="7DC000A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空调系统是首批十二家单位的核心节能对象。现场勘察发现，本项目有5家单位在使用水冷/风冷中央空调系统，共性问题为设备老旧低效、故障率高；设备全部手动开关，无节能控制装置，无法执行节能策略。使用年限长，设备老旧严重且能效水平较低。十二家单位均安装有多联式空调系统，共性问题为无集中控制系统，无法严格执行节能运行策略，导致能量浪费。未安装辅助降温措施，制冷能效低，且老旧主机容易高压报警，影响使用。十二家单位均部分使用分体式空调，共性问题为无集中控制系统，无法进行统一管理，无法严格执行节能运行策略。针对以上现状问题，建议对空调系统进行节能改造。</w:t>
      </w:r>
    </w:p>
    <w:p w14:paraId="49E7485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（1）高效冷热源系统改造</w:t>
      </w:r>
    </w:p>
    <w:p w14:paraId="48CDFFF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增设高效风冷热泵机组：增设一台高效风冷热泵机组，其制冷量、制热量不低于现有主机，替代现有主机承担冷热负荷，拆除现有一台老旧主机，在原位置安装新增主机。保留另一台主机作为备用。</w:t>
      </w:r>
    </w:p>
    <w:p w14:paraId="21E0F3C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同时对中央空调系统循环管路进行化学清洗、消毒、钝化处理。对冷凝水排水系统进行清洗消毒疏通处理。</w:t>
      </w:r>
    </w:p>
    <w:p w14:paraId="4DF505B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高效风冷热泵机组应满足以下条件：</w:t>
      </w:r>
    </w:p>
    <w:p w14:paraId="4BE910F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a）应采用同品牌或同等效力一线品牌的全新设备，机组总额定制冷量、总额定制热量不低于原有设备参数。</w:t>
      </w:r>
    </w:p>
    <w:p w14:paraId="473C217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b）额定制冷能效比应≥3.30，额定制热能效比应≥3.40。</w:t>
      </w:r>
    </w:p>
    <w:p w14:paraId="68DC3D8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（2）中央空调集中控制系统建设</w:t>
      </w:r>
    </w:p>
    <w:p w14:paraId="64321EF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增设基于AI智能优化的中央空调节能控制系统，具体包括：</w:t>
      </w:r>
    </w:p>
    <w:p w14:paraId="71DAD44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冷热源主机控制：核心策略为运行数量调控与出水温度智能调节。</w:t>
      </w:r>
    </w:p>
    <w:p w14:paraId="730E8CD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水泵变流量控制：温差结合压差控制，后期升级为负荷预测控制。</w:t>
      </w:r>
    </w:p>
    <w:p w14:paraId="103F2234">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冷却塔变风量控制：近湿球温度控制。</w:t>
      </w:r>
    </w:p>
    <w:p w14:paraId="610FDA9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以系统整体EER最高为控制目标，并且在服务期内持续优化。</w:t>
      </w:r>
    </w:p>
    <w:p w14:paraId="38429B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增设分体式/多联式空调集中控制系统：对分体式/多联式空调加装智能控制器，并将运行数据传输至智慧能源管理平台，通过平台下发节能运行策略，实现定时控制、模式控制、温度限定、分组及分区域控制等控制功能，从而减少/避免浪费。实时采集多联式空调机组运行状态和参数信息，结合现场环境参数进行运行策略处理，实现对室内风机联动控制和分区控制，杜绝无人空调，从而在满足实际需求的前提下，减少能源消耗。</w:t>
      </w:r>
    </w:p>
    <w:p w14:paraId="6E653D6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多联式空调控制器应满足以下条件：</w:t>
      </w:r>
    </w:p>
    <w:p w14:paraId="3CF14B8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①支持市面上主流多联机空调系统，支持数据采集、数据上报、集中管控等功能。</w:t>
      </w:r>
    </w:p>
    <w:p w14:paraId="0FEB02A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②性能指标：</w:t>
      </w:r>
    </w:p>
    <w:p w14:paraId="45D1E2F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电源输入：DC12V</w:t>
      </w:r>
    </w:p>
    <w:p w14:paraId="1FFCE1D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待机功耗：&lt;2W</w:t>
      </w:r>
    </w:p>
    <w:p w14:paraId="4370D33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以太网接口：1路10/100M以太网</w:t>
      </w:r>
    </w:p>
    <w:p w14:paraId="5A63C43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4G接口：内置4G CAT.1通信模块</w:t>
      </w:r>
    </w:p>
    <w:p w14:paraId="406B46A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工作温度：-10~60°C</w:t>
      </w:r>
    </w:p>
    <w:p w14:paraId="6E8231E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分体式空调控制器应满足以下条件：</w:t>
      </w:r>
    </w:p>
    <w:p w14:paraId="13C0944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①内置空调红外码库，支持市面上主流分体空调，支持负荷监测、集中管控、空调软关机、数据上报等功能。</w:t>
      </w:r>
    </w:p>
    <w:p w14:paraId="5E0628B6">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②性能指标：</w:t>
      </w:r>
    </w:p>
    <w:p w14:paraId="2D54A6A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额定电压：220VAC(380VAC)</w:t>
      </w:r>
    </w:p>
    <w:p w14:paraId="238B55E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额定电流：5(60)A或5(16)A</w:t>
      </w:r>
    </w:p>
    <w:p w14:paraId="336A451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上行通信：4G(CAT.1)</w:t>
      </w:r>
    </w:p>
    <w:p w14:paraId="0EE997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计量精度：2级</w:t>
      </w:r>
    </w:p>
    <w:p w14:paraId="3276B372">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工作温度：-10~60°C</w:t>
      </w:r>
    </w:p>
    <w:p w14:paraId="0ECEED6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（4）老旧多联机/分体式空调机组换新：针对投入使用年限久，制冷效率低下，设备老旧的多联式/分体式空调，建议对室内机、室外机进行全面更换，并对冷媒管道进行评估，如可以继续使用，则建议保留。</w:t>
      </w:r>
    </w:p>
    <w:p w14:paraId="18363A4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增设多联机雾化降温节能系统：将水（自来水或空调冷凝水）进行软化，去除水中的钙镁离子，减少管道结垢风险。软化水汽化成雾状的小颗粒（粒径小于翅片间距），在余压及散热风机的抽吸作用下快速流向翅片表面，通过雾状水的快速蒸发带走大量热量，从而显著改善风冷机组制冷时的运行工况，提高制冷能效，并延长设备使用寿命。</w:t>
      </w:r>
    </w:p>
    <w:p w14:paraId="6D2C13C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（6）风机盘管更新及末端集中控制改造：采用</w:t>
      </w:r>
      <w:r>
        <w:rPr>
          <w:rFonts w:hint="eastAsia" w:ascii="Times New Roman" w:hAnsi="Times New Roman" w:eastAsia="宋体" w:cs="Times New Roman"/>
          <w:color w:val="auto"/>
          <w:sz w:val="24"/>
          <w:szCs w:val="24"/>
          <w:highlight w:val="none"/>
          <w:lang w:val="en-US" w:eastAsia="zh-CN"/>
        </w:rPr>
        <w:t>全新</w:t>
      </w:r>
      <w:r>
        <w:rPr>
          <w:rFonts w:hint="default" w:ascii="Times New Roman" w:hAnsi="Times New Roman" w:eastAsia="宋体" w:cs="Times New Roman"/>
          <w:color w:val="auto"/>
          <w:sz w:val="24"/>
          <w:szCs w:val="24"/>
          <w:highlight w:val="none"/>
        </w:rPr>
        <w:t>风机盘管替代现有老旧风机盘管，配套加长接水盘，并对冷凝水排水系统进行修复。同步更换4G型风机盘管温控器（设备自耗功率＜0.5W，设置温度范围：10~40℃，控温精度：±1℃）。增设电动二通阀并更换全部风机盘管阀门，减少使用过程中的能量浪费，并提高中央空调控制系统节能效益。同时对新风机水管阀门及温度表、压力表、软管、循环管路阀门等进行更换。并对空调管道进行化学清洗和钝化处理，对冷凝水排水系统进行清洗消毒疏通处理。最终通过对风机盘管增设集中控制系统，实现定时控制、模式控制、温度限定、分组及分区域控制等控制功能，从而减少/避免浪费。接入智慧能源管理平台，通过平台设置节能运行策略。</w:t>
      </w:r>
    </w:p>
    <w:p w14:paraId="4F00DAF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风机盘管温控器应满足以下条件：</w:t>
      </w:r>
    </w:p>
    <w:p w14:paraId="6EDC3B5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①支持实时监测室内温度及运行状态、集中化批量管控、定制策略管理、运行统计和智能锁定等功能。</w:t>
      </w:r>
    </w:p>
    <w:p w14:paraId="11DE93F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②性能指标：</w:t>
      </w:r>
    </w:p>
    <w:p w14:paraId="22DF264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电源输入：AC220V，50Hz</w:t>
      </w:r>
    </w:p>
    <w:p w14:paraId="65CD1AF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待机功耗：≤2W</w:t>
      </w:r>
    </w:p>
    <w:p w14:paraId="089011A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通信接口：内置4G CAT.1模块；</w:t>
      </w:r>
    </w:p>
    <w:p w14:paraId="1A031089">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工作温度：-10~60°C</w:t>
      </w:r>
    </w:p>
    <w:p w14:paraId="029E26D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负载电流：≤2A（阻性负载） 或≤1A（感性负载）</w:t>
      </w:r>
    </w:p>
    <w:p w14:paraId="084411F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温度传感器：数字型传感器</w:t>
      </w:r>
    </w:p>
    <w:p w14:paraId="36721C1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增设气候补偿控制系统：根据室外温度变化情况及用户设定不同时间对室内温度的要求，计算确定出恰当的供水温度，实现供水温度随室外温度和室内温度要求自动调节，避免产生：（1）夏季水温过高造成空调效果不足，或水温过低造成能源浪费。（2）冬季水温过高而造成能源浪费，或水温过低而造成供热效果不足。</w:t>
      </w:r>
    </w:p>
    <w:p w14:paraId="52AD0D7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（8）增设小循环系统：根据部分单位周末、节假日及加班时段实际负荷，增设2台小循环泵（并配套变频控制系统），避免此时段内开启大循环泵，从而节约循环泵能耗。</w:t>
      </w:r>
    </w:p>
    <w:p w14:paraId="53E98A3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4.照明系统节能改造</w:t>
      </w:r>
    </w:p>
    <w:p w14:paraId="4167EB2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多数单位已完成或大部分完成LED照明改造，但部分单位仍存在部分T8荧光灯灯具替换空间。照明改造应遵循“补短板、不重复投资”的原则。已完成LED化且使用时间较短的区域不宜重复更换；公共走廊、地下车库、会议室、食堂、办公区等仍使用低效灯具的区域，应结合使用时长和维护成本优先改造。对亮灯时间短、人员停留少的区域，应优先通过管理策略和时段控制实现节能，而非简单更换灯具。地下停车场增加微波感应装置，根据人员、车辆通行情况自动调节照明亮度，减少长期照明造成的能源浪费。部分办事大厅增加光感控制装置，根据自然采光条件自动调整照明状态，减少人工照明运行时间，提高照明系统智能化水平。</w:t>
      </w:r>
    </w:p>
    <w:p w14:paraId="4AB4C6C1">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5.热水系统节能改造</w:t>
      </w:r>
    </w:p>
    <w:p w14:paraId="1439AB9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生活热水和开水设备具有明显的管理节能空间，机关单位常见楼层开水器和食堂开水炉。本项目拟配置电大功率设备智能控制器和空气源热泵机组。对开水器、热水器等设备实施分时启停、负荷监测、异常报警和远程控制；对宿舍热水系统优化供水时段和温度设定。该类系统的节能逻辑并非“少供热水”，而是在保障使用需求的前提下，减少夜间保温、空载加热、无人时段运行和设备故障造成的隐性浪费。</w:t>
      </w:r>
    </w:p>
    <w:p w14:paraId="037777CD">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增设空气源热泵生活热水系统，替代燃气热水器供应宿舍热水，空气源热泵热水系统的全年能效比可达3.0以上，而燃气热水器的运行效率不足1.0，显著提高节能降碳效果。</w:t>
      </w:r>
    </w:p>
    <w:p w14:paraId="193BA7B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6.分布式光伏发电系统</w:t>
      </w:r>
    </w:p>
    <w:p w14:paraId="209D48A8">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分布式光伏是本项目实现降碳目标的重要措施。本阶段拟建设分布式光伏约2300kWp，主要面向具备屋面铺设条件的单位。</w:t>
      </w:r>
    </w:p>
    <w:p w14:paraId="4CF92B93">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光伏系统应采用“自发自用、余电上网”的基本模式，优先满足公共机构自身用电需求。机关办公建筑工作日白天负荷与光伏出力较匹配，但周末和节假日需考虑余电上网比例。</w:t>
      </w:r>
    </w:p>
    <w:p w14:paraId="0E09786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光伏实施前必须完成屋面结构承载、产权边界、防水条件、遮挡分析、并网容量、电气接入和消防通道核查。老旧砖混建筑、坡屋顶、鉴定为危房或业主不同意安装的屋面，不应纳入本阶段光伏建设范围。</w:t>
      </w:r>
    </w:p>
    <w:p w14:paraId="1C5BC9C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光伏组件配置应满足以下要求：</w:t>
      </w:r>
    </w:p>
    <w:p w14:paraId="0858950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a）采用国产一线品牌的高效组件，组件额定（峰值）功率应≥630Wp，组件效率≥22%。</w:t>
      </w:r>
    </w:p>
    <w:p w14:paraId="495A4785">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b）采用国产一线品牌逆变器，效率≥98%。</w:t>
      </w:r>
    </w:p>
    <w:p w14:paraId="27769D93">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7.数据机房能效提升改造</w:t>
      </w:r>
    </w:p>
    <w:p w14:paraId="0C87C53B">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部分单位的数据机房用电占其全年用电量约90%</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数据机房是本项目节能降碳的核心环节和关键突破口，须坚持“设备提效、冷源优化、余热利用、智能管控”四位一体，实施系统性节能改造，大幅降低机房电能使用效率（PUE）指标。制冷系统能耗通常占数据机房总能耗的30%以上，是节能改造的重中之重。本次改造针对老旧精密空调进行替换，并增加氟泵系统，用于提升数据机房能效。氟泵节能系统，将压缩机与氟泵（如R22/R410A等制冷剂泵）并联运行，通过智能控制实现冷量的动态分配。压缩机提供基础冷量，氟泵辅助输送液态制冷剂，在低负载时通过氟泵循环减少压缩机启停次数，提升能效。</w:t>
      </w:r>
    </w:p>
    <w:p w14:paraId="4FA61E1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8.光伏、充电桩一体化建设</w:t>
      </w:r>
    </w:p>
    <w:p w14:paraId="32DCE7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充分利用建筑屋顶、立面、停车棚等可利用空间，规模化铺设高效光伏组件，最大化开发建筑本体光伏资源，提升绿电自发自用和就地消纳水平。结合停车场建设智能充电设施，打造“光伏发电—充电桩用电”，优先使用绿电满足公务用车和职工车辆充电需求，实现“新能源车充新能源电”。通过光充一体化建设，显著降低建筑外购电量，减少化石能源消费对应的间接碳排放。</w:t>
      </w:r>
    </w:p>
    <w:p w14:paraId="5FAC7AA5">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9.节水改造</w:t>
      </w:r>
    </w:p>
    <w:p w14:paraId="76E9E507">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（1）节水型龙头改造</w:t>
      </w:r>
    </w:p>
    <w:p w14:paraId="06043CA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通过节能改造增加节水型起泡器，实现显著的节水减排、降低运营成本的目标。该技术成熟、投资成本低、安装简便、回报周期短，是一项极具性价比的绿色建筑改造措施。节水型起泡器，也称为低流量起泡器或充气式水嘴，其核心节水原理并非简单地限制水流，而是通过物理结构创新，在保证良好使用体验的前提下，智能地减少出水量。具体原理为空气混合技术，传统水龙头水流为实心水柱，出水完全依赖水的体积和压力，大部分水在无效冲洗中流失。而节水型起泡器内部装有多层滤网/筛网，当水流经过时，它会强制吸入周围空气，并将空气与水流充分混合，形成一股饱满、乳白色、不飞溅的</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气泡水</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。通过注入空气，水的体积被有效</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撑大</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，使得一股实际水量较少的水流，在视觉和触觉上给人感觉依然充沛、有力，从而实现了在不影响洗涤效果的情况下，大幅减少用水量。</w:t>
      </w:r>
    </w:p>
    <w:p w14:paraId="6B967BFF">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（2）修复原有雨水回用系统</w:t>
      </w:r>
    </w:p>
    <w:p w14:paraId="071FD67C">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雨水回用系统是一套针对天然降水实现</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收集－净化－资源化利用</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的完整技术体系，也是当下海绵城市建设、绿色建筑节水改造的核心配套设施。它可以将屋面、路面、园区广场等区域的雨水径流，通过初期弃流、多级过滤、模块化蓄水、消毒净化等标准化工艺处理，转化为稳定达标的非传统水源，替代市政自来水用于绿化灌溉、道路冲洗、景观补水、工业冷却补水、冲厕抑尘等场景。</w:t>
      </w:r>
    </w:p>
    <w:p w14:paraId="6B73F570">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相比传统直排的雨水管理模式，这套系统既能大幅降低城市内涝风险、削减雨水径流带来的面源污染，又能长期减少企业、园区的自来水消耗，降低用水成本，然而随着时间的增长，部分单位原有雨水回用系统出现堵塞、设备损坏等状况，无法继续使用，本次托管将对原雨水回用设施进行修复，重新启用，降低市政用水量，协助单位创建</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水效领跑者</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w:t>
      </w:r>
    </w:p>
    <w:p w14:paraId="5A9BB1D6">
      <w:pPr>
        <w:keepNext w:val="0"/>
        <w:keepLines w:val="0"/>
        <w:pageBreakBefore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10.安防系统升级</w:t>
      </w:r>
    </w:p>
    <w:p w14:paraId="6C1F460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针对部分单位原安防系统设备老旧，能耗较高，安防等级无法满足新环境下的安全要求，本次重点对监控系统、门禁系统和访客系统进行更新改造，提升安防等级，降低设备能耗。</w:t>
      </w:r>
    </w:p>
    <w:p w14:paraId="414007A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（1）400万半球型网络摄像机应满足以下要求：</w:t>
      </w:r>
    </w:p>
    <w:p w14:paraId="08842565">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分辨率不低于400万像素，帧率不低于25fps，在该分辨率下可输出实时图像；</w:t>
      </w:r>
    </w:p>
    <w:p w14:paraId="22E2CEF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支持侦测：场景变更侦测，虚焦侦测，区域入侵侦测，越界侦测，进入区域侦测，离开区域侦测，物品遗留侦测，物品拿取侦测，徘徊侦测等识别检测事件；</w:t>
      </w:r>
    </w:p>
    <w:p w14:paraId="4CCAD2F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支持背光补偿，强光抑制，3D数字降噪，数字宽动态；</w:t>
      </w:r>
    </w:p>
    <w:p w14:paraId="5550220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支持：手动变焦；</w:t>
      </w:r>
    </w:p>
    <w:p w14:paraId="5B52885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采用高效阵列红外灯，使用寿命长，红外照射距离≥30m；</w:t>
      </w:r>
    </w:p>
    <w:p w14:paraId="7023FC5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支持最大512GB MicroSD/MicroSDHC/MicroSDXC卡本地存储；</w:t>
      </w:r>
    </w:p>
    <w:p w14:paraId="41B926A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传感器不低于1/2.7英寸CMOS；彩色最低照度≤0.01Lux；</w:t>
      </w:r>
    </w:p>
    <w:p w14:paraId="127BABD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宽动态：数字宽动态；</w:t>
      </w:r>
    </w:p>
    <w:p w14:paraId="327FEF6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调节角度：水平：0°~355°，垂直：0°~75°，旋转：0°~355°；</w:t>
      </w:r>
    </w:p>
    <w:p w14:paraId="10FB380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焦距&amp;视场角：2.7～8mm：水平视场角：110°~56°，垂直视场角：58.2°~31.4°，对角视场角：132°~64.5°；</w:t>
      </w:r>
    </w:p>
    <w:p w14:paraId="40A0E795">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支持手动变焦；</w:t>
      </w:r>
    </w:p>
    <w:p w14:paraId="0A90D342">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补光灯类型：红外灯；</w:t>
      </w:r>
    </w:p>
    <w:p w14:paraId="08CBECA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补光距离：最远可达30m；</w:t>
      </w:r>
    </w:p>
    <w:p w14:paraId="26F9FD5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（2）800万广角星光半球应满足以下要求：</w:t>
      </w:r>
    </w:p>
    <w:p w14:paraId="2BADE11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分辨率不低于800万像素，帧率不低于20fps；</w:t>
      </w:r>
    </w:p>
    <w:p w14:paraId="15FE0E5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支持背光补偿，强光抑制，3D数字降噪，支持120dB宽动态，适应不同环境；</w:t>
      </w:r>
    </w:p>
    <w:p w14:paraId="19BB52E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支持主流云平台接入；</w:t>
      </w:r>
    </w:p>
    <w:p w14:paraId="64B6995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1个内置麦克风，1个内置扬声器，支持双向语音对讲；</w:t>
      </w:r>
    </w:p>
    <w:p w14:paraId="2C8541B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采用高效阵列红外灯，使用寿命长，红外照射距离最远可达20m；</w:t>
      </w:r>
    </w:p>
    <w:p w14:paraId="4E1437E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符合IP66防尘防水设计，可靠性高；</w:t>
      </w:r>
    </w:p>
    <w:p w14:paraId="402A532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传感器类型：1/2.8"Progressive</w:t>
      </w:r>
      <w:r>
        <w:rPr>
          <w:rFonts w:hint="eastAsia"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Scan</w:t>
      </w:r>
      <w:r>
        <w:rPr>
          <w:rFonts w:hint="eastAsia" w:ascii="Times New Roman" w:hAnsi="Times New Roman" w:eastAsia="宋体" w:cs="Times New Roman"/>
          <w:color w:val="auto"/>
          <w:highlight w:val="none"/>
          <w:lang w:val="en-US" w:eastAsia="zh-CN"/>
        </w:rPr>
        <w:t xml:space="preserve"> </w:t>
      </w:r>
      <w:r>
        <w:rPr>
          <w:rFonts w:hint="default" w:ascii="Times New Roman" w:hAnsi="Times New Roman" w:eastAsia="宋体" w:cs="Times New Roman"/>
          <w:color w:val="auto"/>
          <w:highlight w:val="none"/>
        </w:rPr>
        <w:t>CMOS；</w:t>
      </w:r>
    </w:p>
    <w:p w14:paraId="6AFD21D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彩色最低照度≤0.005Lux；</w:t>
      </w:r>
    </w:p>
    <w:p w14:paraId="3E27AA3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宽动态：120 dB；</w:t>
      </w:r>
    </w:p>
    <w:p w14:paraId="25B10192">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调节角度：垂直：0°~75°；</w:t>
      </w:r>
    </w:p>
    <w:p w14:paraId="273DB9E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焦距&amp;视场角：2.8mm，水平视场角：180°±10°，垂直视场角：60.2°；</w:t>
      </w:r>
    </w:p>
    <w:p w14:paraId="3ED04E6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补光灯类型：红外灯；</w:t>
      </w:r>
    </w:p>
    <w:p w14:paraId="7FFF09E2">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补光距离：最远可达20m；</w:t>
      </w:r>
    </w:p>
    <w:p w14:paraId="4AF7A2A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防补光过曝：支持；</w:t>
      </w:r>
    </w:p>
    <w:p w14:paraId="7FBE646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最大图像尺寸：4416×1696；</w:t>
      </w:r>
    </w:p>
    <w:p w14:paraId="1552F54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视频压缩标准：主码流：H.265/H.264；</w:t>
      </w:r>
    </w:p>
    <w:p w14:paraId="6701216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子码流：H.265/H.264/MJPEG；</w:t>
      </w:r>
    </w:p>
    <w:p w14:paraId="03C3353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网络：1个RJ45 10M/100M自适应以太网口；</w:t>
      </w:r>
    </w:p>
    <w:p w14:paraId="0EEB4E3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音频：1个内置麦克风，1个内置扬声器；</w:t>
      </w:r>
    </w:p>
    <w:p w14:paraId="33F0E31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供电方式：DC：12V±25%，支持防反接保护；</w:t>
      </w:r>
    </w:p>
    <w:p w14:paraId="333BF49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PoE</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IEEE 802.3af</w:t>
      </w:r>
      <w:r>
        <w:rPr>
          <w:rFonts w:hint="eastAsia"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Class 3;</w:t>
      </w:r>
    </w:p>
    <w:p w14:paraId="5A1AC49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摄像机水平视场角不小于180°，垂直视场角不小于60°；</w:t>
      </w:r>
    </w:p>
    <w:p w14:paraId="5CA9A6B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内置不小于一个麦克风，一个扬声器；</w:t>
      </w:r>
    </w:p>
    <w:p w14:paraId="4BF6D4E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（3）400万25倍球机应满足以下要求：</w:t>
      </w:r>
    </w:p>
    <w:p w14:paraId="0778EFF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镜头采用1/1.8＂CMOS传感器，高清成像；</w:t>
      </w:r>
    </w:p>
    <w:p w14:paraId="613FB0F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支持25倍光学变倍，16倍数字变倍；</w:t>
      </w:r>
    </w:p>
    <w:p w14:paraId="0EB2B00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传感器类型：1/1.8" Progressive Scan CMOS；</w:t>
      </w:r>
    </w:p>
    <w:p w14:paraId="6F44DBF2">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最低照度：彩色：0.0005Lux@（F1.5，AGC ON）；黑白：0.0001Lux@（F1.5，AGC ON）；0 Lux with light； </w:t>
      </w:r>
    </w:p>
    <w:p w14:paraId="2479548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焦距：5.9—147.5mm，25倍光学变倍；</w:t>
      </w:r>
    </w:p>
    <w:p w14:paraId="11E34F9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视场角：59.8-2.7度（广角-望远）；</w:t>
      </w:r>
    </w:p>
    <w:p w14:paraId="3A91C46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补光灯类型：混合光（红外+白光）；</w:t>
      </w:r>
    </w:p>
    <w:p w14:paraId="437D61A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（4）高空球型鹰眼（含电源支架）应满足以下要求：</w:t>
      </w:r>
    </w:p>
    <w:p w14:paraId="11FF853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全景+细节一体化高空球机，全景可输出180°无盲区大场景拼接画面，整体分辨率不低于1600万像素；</w:t>
      </w:r>
    </w:p>
    <w:p w14:paraId="049879C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全景画面支持关注区域畸变矫正；细节镜头光学变倍≥40倍，数字变倍≥16倍；</w:t>
      </w:r>
    </w:p>
    <w:p w14:paraId="0DAB1DE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全景水平视场角≥180°，垂直视场角≥110°；细节摄像机分辨率不低于400万像素；</w:t>
      </w:r>
    </w:p>
    <w:p w14:paraId="19C046D2">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支持GB35114 A级安全加密；支持北斗卫星定位；支持光学透雾；</w:t>
      </w:r>
    </w:p>
    <w:p w14:paraId="7D3D56B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具备镜头自动清洁装置，可对全景镜头、细节球机镜头进行清洁（实现方式不限）；</w:t>
      </w:r>
    </w:p>
    <w:p w14:paraId="0468496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设备在全景拼接模式下，垂直视场角不小于110°，水平视场角不小于180°。</w:t>
      </w:r>
    </w:p>
    <w:p w14:paraId="6DB257F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lang w:eastAsia="zh-CN"/>
        </w:rPr>
        <w:t>智能语义检索存储服务器</w:t>
      </w:r>
      <w:r>
        <w:rPr>
          <w:rFonts w:hint="default" w:ascii="Times New Roman" w:hAnsi="Times New Roman" w:eastAsia="宋体" w:cs="Times New Roman"/>
          <w:color w:val="auto"/>
          <w:highlight w:val="none"/>
        </w:rPr>
        <w:t>应满足以下要求：</w:t>
      </w:r>
    </w:p>
    <w:p w14:paraId="36F012A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4U机架式智能网络存储服务器，64位多核处理器，配置1+1冗余电源、冗余风扇，满足7×24小时稳定运行；</w:t>
      </w:r>
    </w:p>
    <w:p w14:paraId="5D892AD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系统内存≥16GB（可扩展至64GB）；配置SSD系统盘、SSD数据盘，支持硬盘热插拔，存储容量满足本项目前端设备录像与图片存储需求并预留冗余；</w:t>
      </w:r>
    </w:p>
    <w:p w14:paraId="122D4FD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支持语义图文检索（以文搜图）：支持输入文字描述检索人、车、非机动车及附属物等目标；</w:t>
      </w:r>
    </w:p>
    <w:p w14:paraId="5413316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支持接入智能相机，对画面目标进行智能建模；</w:t>
      </w:r>
    </w:p>
    <w:p w14:paraId="27ECC91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支持视频流、图片直写存储；支持ONVIF、GB/T28181、RTSP等标准协议；</w:t>
      </w:r>
    </w:p>
    <w:p w14:paraId="4CE1DD5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网络视频接入能力、图片处理能力、检索与回放性能，应满足本项目全部前端摄像机接入、图片检索与回放的实际业务需求并预留冗余。</w:t>
      </w:r>
    </w:p>
    <w:p w14:paraId="24DEA72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（7）55英寸液晶拼接屏应满足以下要求：</w:t>
      </w:r>
    </w:p>
    <w:p w14:paraId="441C7A01">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可接收HDMI、DVI等信号</w:t>
      </w:r>
    </w:p>
    <w:p w14:paraId="5AF99A2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显示尺寸：55 inch</w:t>
      </w:r>
    </w:p>
    <w:p w14:paraId="5713219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背光源类型：D-LED</w:t>
      </w:r>
    </w:p>
    <w:p w14:paraId="4A98BA1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物理拼缝：1.7mm</w:t>
      </w:r>
    </w:p>
    <w:p w14:paraId="5B5252A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物理拼缝公差：±1.5mm</w:t>
      </w:r>
    </w:p>
    <w:p w14:paraId="7111361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物理分辨率：1920×1080@60Hz（向下兼容）</w:t>
      </w:r>
    </w:p>
    <w:p w14:paraId="230F80F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亮度：500±10% cd/m²</w:t>
      </w:r>
    </w:p>
    <w:p w14:paraId="06C8299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音视频输入接口：HDMI 1.4×1、DVI×1、USB2.0×1</w:t>
      </w:r>
    </w:p>
    <w:p w14:paraId="06E2DBB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（8）超高清解码器应满足以下要求：</w:t>
      </w:r>
    </w:p>
    <w:p w14:paraId="537697F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支持网络IPC、NVR等设备作为网络信号源输入；</w:t>
      </w:r>
    </w:p>
    <w:p w14:paraId="4AFA8D0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支持HDMI输出，支持4K超高清分辨率输出；支持对接LED显示系统；</w:t>
      </w:r>
    </w:p>
    <w:p w14:paraId="5351EFC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采用H.264/H.265编码标准，支持主/子码流编码与切换；</w:t>
      </w:r>
    </w:p>
    <w:p w14:paraId="606BC38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支持H.264、H.265、MJPEG等主流码流格式，支持PS、TS、RTP等主流封装格式；</w:t>
      </w:r>
    </w:p>
    <w:p w14:paraId="0B64AB2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解码性能需满足本项目全部监控视频上墙解码需求，可支持多路高清视频同时解码输出，整体解码能力不低于本项目上墙总码流需求并预留冗余。</w:t>
      </w:r>
    </w:p>
    <w:p w14:paraId="58D9E23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（9）对外访客模块及访客服务器：</w:t>
      </w:r>
    </w:p>
    <w:p w14:paraId="4CB3F2F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以小程序为载体，外来访客人员可扫描登记，上传人脸照片，审批通过后可正常刷脸通行；</w:t>
      </w:r>
    </w:p>
    <w:p w14:paraId="74C2267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支持扫码登记、受邀预约、代填登记；可自定义字段、时段、事由及访客须知；</w:t>
      </w:r>
    </w:p>
    <w:p w14:paraId="1641211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受访人审核为主，支持多级流程；含消息/短信通知、结果反馈与原因备注；</w:t>
      </w:r>
    </w:p>
    <w:p w14:paraId="7713E40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访客申请通过后，可在预约时限内凭人脸自由出入门禁，也支持保安扫码核销/签退；</w:t>
      </w:r>
    </w:p>
    <w:p w14:paraId="1D25A6B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访客记录查询、统计报表导出；支持用户角色权限、黑白名单配置；</w:t>
      </w:r>
    </w:p>
    <w:p w14:paraId="69A3EA0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自定义字段、时段、事由、审核流程、单位信息及二维码模板；</w:t>
      </w:r>
    </w:p>
    <w:p w14:paraId="581512B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访客服务器最低要求：8核16G处理器，1TB硬盘。</w:t>
      </w:r>
    </w:p>
    <w:p w14:paraId="1F91A2E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（10）NTP校时服务器（含60m天馈包）：</w:t>
      </w:r>
    </w:p>
    <w:p w14:paraId="0082A92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1U机架式时间同步服务器，采用嵌入式处理器；</w:t>
      </w:r>
    </w:p>
    <w:p w14:paraId="525128C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支持北斗卫星授时，同时支持上级NTP网络授时；</w:t>
      </w:r>
    </w:p>
    <w:p w14:paraId="1EB415F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支持多网域授时；支持双机热备、设备级联；</w:t>
      </w:r>
    </w:p>
    <w:p w14:paraId="2B811682">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卫星同步精度≤20ns；守时精度≤28us；</w:t>
      </w:r>
    </w:p>
    <w:p w14:paraId="7D131051">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具备IPPS、RS485、光口、千兆网口等接口，接口数量满足本项目全部校时设备接入需求；</w:t>
      </w:r>
    </w:p>
    <w:p w14:paraId="7AECAD3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授时能力满足本项目全部安防设备校时规模并预留冗余；</w:t>
      </w:r>
    </w:p>
    <w:p w14:paraId="7F01A3F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支持Web管理，具备设备状态监控、告警等功能。</w:t>
      </w:r>
    </w:p>
    <w:p w14:paraId="6B16B834">
      <w:pPr>
        <w:tabs>
          <w:tab w:val="left" w:pos="420"/>
        </w:tabs>
        <w:adjustRightInd w:val="0"/>
        <w:snapToGrid w:val="0"/>
        <w:spacing w:line="360" w:lineRule="auto"/>
        <w:ind w:firstLine="482" w:firstLineChars="200"/>
        <w:outlineLvl w:val="2"/>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（三）管理要求</w:t>
      </w:r>
    </w:p>
    <w:p w14:paraId="61A5953B">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1.人员组织</w:t>
      </w:r>
    </w:p>
    <w:p w14:paraId="285AD97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拟派专门人员负责能源费用托管区域化管理，管理人员应提前向采购人及公共机构报备，需要更换人员时需提前提出。</w:t>
      </w:r>
    </w:p>
    <w:p w14:paraId="40558C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应为本项目配备经验丰富的项目团队，团队骨干成员应有能源系统管理、公共建筑节能改造、空调系统运维等相关经验。</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应保证项目团队的主要人员的稳定性，在未经过采购人同意的情况下，</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不得随意更换人员。采购人或</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认为需要更换项目经理或项目团队成员时，均应提早两周向对方申明原因，</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应同时</w:t>
      </w:r>
      <w:r>
        <w:rPr>
          <w:rFonts w:hint="eastAsia" w:ascii="Times New Roman" w:hAnsi="Times New Roman" w:eastAsia="宋体" w:cs="Times New Roman"/>
          <w:color w:val="auto"/>
          <w:sz w:val="24"/>
          <w:szCs w:val="24"/>
          <w:highlight w:val="none"/>
          <w:lang w:val="en-US" w:eastAsia="zh-CN"/>
        </w:rPr>
        <w:t>提供</w:t>
      </w:r>
      <w:r>
        <w:rPr>
          <w:rFonts w:hint="default" w:ascii="Times New Roman" w:hAnsi="Times New Roman" w:eastAsia="宋体" w:cs="Times New Roman"/>
          <w:color w:val="auto"/>
          <w:sz w:val="24"/>
          <w:szCs w:val="24"/>
          <w:highlight w:val="none"/>
        </w:rPr>
        <w:t>新的符合</w:t>
      </w:r>
      <w:r>
        <w:rPr>
          <w:rFonts w:hint="eastAsia"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要求的项目经理或项目团队成员人选，经采购人同意并办理交接手续后方可更换。</w:t>
      </w:r>
    </w:p>
    <w:p w14:paraId="2D03095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应配备专业技术团队为本项目提供专业技术支持服务，专业技术人员应来自不同的专业领域，如网络专家、暖通设备专家、电力系统专家以及其它专业业务专家等。合同期内</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应当确保其工作人员或者其聘请的第三方在项目实施、运行的整个过程中遵守采购人的相关规章制度。</w:t>
      </w:r>
    </w:p>
    <w:p w14:paraId="688A1A6E">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2.进度管理</w:t>
      </w:r>
    </w:p>
    <w:p w14:paraId="1524E7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应有详细计划，明确每个阶段的阶段目标、阶段交付物的成果、验收依据、双方的责任和义务等。节能改造实施方案经采购人同意，</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应按项目方案文件规定的技术标准和要求以及本合同的规定，在合同签订之日起180</w:t>
      </w:r>
      <w:r>
        <w:rPr>
          <w:rFonts w:hint="eastAsia" w:ascii="Times New Roman" w:hAnsi="Times New Roman" w:eastAsia="宋体" w:cs="Times New Roman"/>
          <w:color w:val="auto"/>
          <w:sz w:val="24"/>
          <w:szCs w:val="24"/>
          <w:highlight w:val="none"/>
          <w:lang w:val="en-US" w:eastAsia="zh-CN"/>
        </w:rPr>
        <w:t>个</w:t>
      </w:r>
      <w:r>
        <w:rPr>
          <w:rFonts w:hint="default" w:ascii="Times New Roman" w:hAnsi="Times New Roman" w:eastAsia="宋体" w:cs="Times New Roman"/>
          <w:color w:val="auto"/>
          <w:sz w:val="24"/>
          <w:szCs w:val="24"/>
          <w:highlight w:val="none"/>
        </w:rPr>
        <w:t>日历天内完成本项目的方案设计、建设及验收。</w:t>
      </w:r>
    </w:p>
    <w:p w14:paraId="43C91ED4">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3.风险管理</w:t>
      </w:r>
    </w:p>
    <w:p w14:paraId="15B07F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实际运行过程中，风险随时可能出现，</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应根据项目实际情况加强风险管理，做好风险的识别，风险的量化分析，制定风险的应对预案。</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应当确保其工作人员和其聘请的第三方严格遵守采购人有关施工场地安全和卫生等方面的规定，并听从采购人合理的现场指挥。</w:t>
      </w:r>
    </w:p>
    <w:p w14:paraId="2F27DFC4">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4.服务质量</w:t>
      </w:r>
    </w:p>
    <w:p w14:paraId="27C03F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采购方合理的特有的施工、管理、质量要求。满足采购人对质量的要求。</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应根据整个项目周期的工作计划，对阶段性工作成果进行审查和测试，并向项目单位提交阶段性工作成果。通过保证各阶段性成果的质量，最终保证整个项目的质量。</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应针对项目制定详细的质量管理方案。</w:t>
      </w:r>
    </w:p>
    <w:p w14:paraId="153F3E7F">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5.文档要求</w:t>
      </w:r>
    </w:p>
    <w:p w14:paraId="364D5C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应依照要求提供服务周期内的各类文档，除特别要求的文档，可采用电子文档的形式；</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应按照采购人规定的文档格式、文档要求、提交周期准时提交相关文档；</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应提供所有的文档，主要包括：各项问题分析报告、典型经验总结、系统数据报告、系统数据分析报告、系统的优化建议方案等；除了常规报告类的文档，</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需按照服务要求提供相关技术方案等临时性文档，还应配合采购人进行相关项目验收的资料准备、各项规章制度的编制、完善等文档类工作。</w:t>
      </w:r>
    </w:p>
    <w:p w14:paraId="50D487ED">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6.知识产权</w:t>
      </w:r>
    </w:p>
    <w:p w14:paraId="046F677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对于结合采购人专门服务需求开发的部分，采购人享有知识产权。</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在项目服务过程中涉及第三方产品，若出现技术、经济或法律上的纠纷，应由</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全面承担并全权解决，确保不影响工作的正常开展。</w:t>
      </w:r>
    </w:p>
    <w:p w14:paraId="40E01372">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7.合同变更要求</w:t>
      </w:r>
    </w:p>
    <w:p w14:paraId="6F56DB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如在项目服务过程中需要调整合同中规定的工作内容，需经</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与采购人共同同意，按合同变更程序办理。</w:t>
      </w:r>
    </w:p>
    <w:p w14:paraId="722F843B">
      <w:pPr>
        <w:adjustRightInd w:val="0"/>
        <w:snapToGrid w:val="0"/>
        <w:spacing w:line="360" w:lineRule="auto"/>
        <w:ind w:firstLine="482" w:firstLineChars="200"/>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8.保密要求</w:t>
      </w:r>
    </w:p>
    <w:p w14:paraId="23F0B7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必须严格遵守采购人信息安全方面的要求。对于参与项目的人员均需要签订统</w:t>
      </w:r>
      <w:r>
        <w:rPr>
          <w:rFonts w:hint="eastAsia" w:ascii="Times New Roman" w:hAnsi="Times New Roman" w:eastAsia="宋体" w:cs="Times New Roman"/>
          <w:color w:val="auto"/>
          <w:sz w:val="24"/>
          <w:szCs w:val="24"/>
          <w:highlight w:val="none"/>
          <w:lang w:val="en-US" w:eastAsia="zh-CN"/>
        </w:rPr>
        <w:t>一</w:t>
      </w:r>
      <w:r>
        <w:rPr>
          <w:rFonts w:hint="default" w:ascii="Times New Roman" w:hAnsi="Times New Roman" w:eastAsia="宋体" w:cs="Times New Roman"/>
          <w:color w:val="auto"/>
          <w:sz w:val="24"/>
          <w:szCs w:val="24"/>
          <w:highlight w:val="none"/>
        </w:rPr>
        <w:t>的信息保密协议。</w:t>
      </w:r>
    </w:p>
    <w:p w14:paraId="64B321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应对以下信息进行保密，具体包括：</w:t>
      </w:r>
    </w:p>
    <w:p w14:paraId="470B24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项目信息：如业务流程、技术方案、业务数据（静态数据、动态数据、历史数据）、报表指标、技术指标、计算机软件、数据库、操作手册、技术资料等。</w:t>
      </w:r>
    </w:p>
    <w:p w14:paraId="1182C0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3）保密信息既包括书面认定为保密或专有的，又包括口头给予，随即被书面确认为保密或专有的信息。保密信息存储介质包括但不限于纸质文档、电子文档、光盘、U盘、服务器等文档。</w:t>
      </w:r>
    </w:p>
    <w:p w14:paraId="60209F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组建的项目成员在项目单位履行职责期间，必须遵守采购人规定的任何成文或不成文的保密规章、制度，履行与其工作岗位相应的保密职责。不向不承担相应保密义务的任何第三人披露采购人的商业秘密。</w:t>
      </w:r>
    </w:p>
    <w:p w14:paraId="5E97EFB9">
      <w:pPr>
        <w:adjustRightInd w:val="0"/>
        <w:snapToGrid w:val="0"/>
        <w:spacing w:line="360" w:lineRule="auto"/>
        <w:ind w:firstLine="482" w:firstLineChars="200"/>
        <w:outlineLvl w:val="1"/>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七、其他要求</w:t>
      </w:r>
    </w:p>
    <w:p w14:paraId="05D474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1.因国家相关部门或能源供应公司给予采购人、</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优惠政策而降低的能源费用应根据优惠政策条件由各方各自受益。</w:t>
      </w:r>
    </w:p>
    <w:p w14:paraId="427533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如单位年度内发生用能设备增减（累计10kW以上）、用能时间增减、用能区域增减、极端天气及设备损坏、遭外力破坏、办公人员增减（20人及以上）、能源资源价格调整等原因导致的能源消耗发生重大变化，双方依据合同约定的调整方式或聘请第三方核定机构确定变化量，具体方式以书面补充协议形式确定。</w:t>
      </w:r>
    </w:p>
    <w:p w14:paraId="77AF2FC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3.考核要求：</w:t>
      </w:r>
    </w:p>
    <w:p w14:paraId="16C7C4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空调集中供冷条件如下：</w:t>
      </w:r>
    </w:p>
    <w:p w14:paraId="08CA1D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a）供冷开始条件：室外最高气温连续3天&gt;28℃或当天&gt;31℃；</w:t>
      </w:r>
    </w:p>
    <w:p w14:paraId="4CE4DC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b）供冷结束条件：室外最高气温连续3天&lt;27℃或当天&lt;24℃；</w:t>
      </w:r>
    </w:p>
    <w:p w14:paraId="02DA64C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c）供冷时，室内温度范围26℃±2℃。</w:t>
      </w:r>
    </w:p>
    <w:p w14:paraId="0F598E9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空调集中供暖条件如下：</w:t>
      </w:r>
    </w:p>
    <w:p w14:paraId="79BF542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a）供暖开始条件：室外最低气温连续3天&lt;13℃或当天&lt;10℃；</w:t>
      </w:r>
    </w:p>
    <w:p w14:paraId="3C0D2A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b）供暖结束条件：室外最低气温连续3天&gt;17℃或当天&gt;20℃；</w:t>
      </w:r>
    </w:p>
    <w:p w14:paraId="602CD6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c）供暖时，室内温度范围20℃±2℃。</w:t>
      </w:r>
    </w:p>
    <w:p w14:paraId="331E3D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服务指标：项目服务满意率95%以上；能源消耗量、能源费用、峰谷电比等核心数据维持较好应用水平，并呈现持续改进态势。</w:t>
      </w:r>
    </w:p>
    <w:p w14:paraId="2A1F79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服务时间：提供365天*24小时的不间断运维服务指导，为用户提供最灵活的用能体验。</w:t>
      </w:r>
    </w:p>
    <w:p w14:paraId="6C5E71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故障响应时间：设备发生故障应在1小时内予以响应，8小时内修复，因特殊零配件原因48小时内修复，并持续协助故障的最终解答或解决。托管期间，</w:t>
      </w:r>
      <w:r>
        <w:rPr>
          <w:rFonts w:hint="eastAsia" w:ascii="Times New Roman" w:hAnsi="Times New Roman" w:eastAsia="宋体" w:cs="Times New Roman"/>
          <w:color w:val="auto"/>
          <w:sz w:val="24"/>
          <w:szCs w:val="24"/>
          <w:highlight w:val="none"/>
          <w:lang w:val="en-US" w:eastAsia="zh-CN"/>
        </w:rPr>
        <w:t>中标人</w:t>
      </w:r>
      <w:r>
        <w:rPr>
          <w:rFonts w:hint="default" w:ascii="Times New Roman" w:hAnsi="Times New Roman" w:eastAsia="宋体" w:cs="Times New Roman"/>
          <w:color w:val="auto"/>
          <w:sz w:val="24"/>
          <w:szCs w:val="24"/>
          <w:highlight w:val="none"/>
          <w:u w:val="none"/>
        </w:rPr>
        <w:t>投入</w:t>
      </w:r>
      <w:r>
        <w:rPr>
          <w:rFonts w:hint="default" w:ascii="Times New Roman" w:hAnsi="Times New Roman" w:eastAsia="宋体" w:cs="Times New Roman"/>
          <w:color w:val="auto"/>
          <w:sz w:val="24"/>
          <w:szCs w:val="24"/>
          <w:highlight w:val="none"/>
        </w:rPr>
        <w:t>设备的维修由</w:t>
      </w:r>
      <w:r>
        <w:rPr>
          <w:rFonts w:hint="eastAsia" w:ascii="Times New Roman" w:hAnsi="Times New Roman" w:eastAsia="宋体" w:cs="Times New Roman"/>
          <w:color w:val="auto"/>
          <w:sz w:val="24"/>
          <w:szCs w:val="24"/>
          <w:highlight w:val="none"/>
          <w:lang w:val="en-US" w:eastAsia="zh-CN"/>
        </w:rPr>
        <w:t>中标人</w:t>
      </w:r>
      <w:r>
        <w:rPr>
          <w:rFonts w:hint="default" w:ascii="Times New Roman" w:hAnsi="Times New Roman" w:eastAsia="宋体" w:cs="Times New Roman"/>
          <w:color w:val="auto"/>
          <w:sz w:val="24"/>
          <w:szCs w:val="24"/>
          <w:highlight w:val="none"/>
        </w:rPr>
        <w:t>负责，报修方式为</w:t>
      </w:r>
      <w:r>
        <w:rPr>
          <w:rFonts w:hint="default" w:ascii="Times New Roman" w:hAnsi="Times New Roman" w:eastAsia="宋体" w:cs="Times New Roman"/>
          <w:color w:val="auto"/>
          <w:sz w:val="24"/>
          <w:szCs w:val="24"/>
          <w:highlight w:val="none"/>
          <w:u w:val="none"/>
        </w:rPr>
        <w:t>电话、短信、微信、QQ、信函等</w:t>
      </w:r>
      <w:r>
        <w:rPr>
          <w:rFonts w:hint="default" w:ascii="Times New Roman" w:hAnsi="Times New Roman" w:eastAsia="宋体" w:cs="Times New Roman"/>
          <w:color w:val="auto"/>
          <w:sz w:val="24"/>
          <w:szCs w:val="24"/>
          <w:highlight w:val="none"/>
        </w:rPr>
        <w:t>。</w:t>
      </w:r>
    </w:p>
    <w:p w14:paraId="52F1D8A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项目保障：建立健全项目相关组织构架、设备、系统、记录、创新、奖惩等各环节、多维度的规章制度，并执行到位。</w:t>
      </w:r>
    </w:p>
    <w:p w14:paraId="2311A9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供暖周期：一般为1月1日至3月15日和11月15日至12月31日。</w:t>
      </w:r>
    </w:p>
    <w:p w14:paraId="77AC18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供冷周期：一般为5月25日至9月30日，如采购人提出个性化需求，则以采购人需求为准。</w:t>
      </w:r>
    </w:p>
    <w:p w14:paraId="183F72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val="0"/>
          <w:iCs w:val="0"/>
          <w:color w:val="auto"/>
          <w:sz w:val="24"/>
          <w:szCs w:val="24"/>
          <w:highlight w:val="none"/>
          <w:u w:val="none"/>
          <w:lang w:val="en-US" w:eastAsia="zh-CN"/>
        </w:rPr>
        <w:t>4</w:t>
      </w:r>
      <w:r>
        <w:rPr>
          <w:rFonts w:hint="default" w:ascii="Times New Roman" w:hAnsi="Times New Roman" w:eastAsia="宋体" w:cs="Times New Roman"/>
          <w:i w:val="0"/>
          <w:iCs w:val="0"/>
          <w:color w:val="auto"/>
          <w:sz w:val="24"/>
          <w:szCs w:val="24"/>
          <w:highlight w:val="none"/>
          <w:u w:val="none"/>
        </w:rPr>
        <w:t>.光伏发电：</w:t>
      </w:r>
      <w:r>
        <w:rPr>
          <w:rFonts w:hint="default" w:ascii="Times New Roman" w:hAnsi="Times New Roman" w:eastAsia="宋体" w:cs="Times New Roman"/>
          <w:i/>
          <w:iCs/>
          <w:color w:val="auto"/>
          <w:sz w:val="24"/>
          <w:szCs w:val="24"/>
          <w:highlight w:val="none"/>
          <w:u w:val="single"/>
        </w:rPr>
        <w:t>本项目光伏改造部分合作期限为10年，纳入本项目能源费用托管服务范围，能源托管期10年内光伏发电作为中标人节能收益项。能源托管期结束后15年为延续运营期，由本次招标中标人继续负责光伏系统的运营管理、日常维护、故障维修及相关设备维护更换等工作，并按照被托管单位当月对应的国家电网执行电价的</w:t>
      </w:r>
      <w:r>
        <w:rPr>
          <w:rFonts w:hint="eastAsia" w:ascii="Times New Roman" w:hAnsi="Times New Roman" w:eastAsia="宋体" w:cs="Times New Roman"/>
          <w:i/>
          <w:iCs/>
          <w:color w:val="auto"/>
          <w:sz w:val="24"/>
          <w:szCs w:val="24"/>
          <w:highlight w:val="none"/>
          <w:u w:val="single"/>
          <w:lang w:val="en-US" w:eastAsia="zh-CN"/>
        </w:rPr>
        <w:t>78</w:t>
      </w:r>
      <w:r>
        <w:rPr>
          <w:rFonts w:hint="default" w:ascii="Times New Roman" w:hAnsi="Times New Roman" w:eastAsia="宋体" w:cs="Times New Roman"/>
          <w:i/>
          <w:iCs/>
          <w:color w:val="auto"/>
          <w:sz w:val="24"/>
          <w:szCs w:val="24"/>
          <w:highlight w:val="none"/>
          <w:u w:val="single"/>
        </w:rPr>
        <w:t>%向被托管单位售电。投标人须充分考虑光伏项目全生命周期运营要求，对上述合作模式、服务期限及售电价格作出明确响应，</w:t>
      </w:r>
      <w:r>
        <w:rPr>
          <w:rFonts w:hint="default" w:ascii="Times New Roman" w:hAnsi="Times New Roman" w:eastAsia="宋体" w:cs="Times New Roman"/>
          <w:b/>
          <w:bCs/>
          <w:i/>
          <w:iCs/>
          <w:color w:val="auto"/>
          <w:sz w:val="24"/>
          <w:szCs w:val="24"/>
          <w:highlight w:val="none"/>
          <w:u w:val="single"/>
        </w:rPr>
        <w:t>并出具加盖单位公章的专项承诺函（格式自拟）</w:t>
      </w:r>
      <w:r>
        <w:rPr>
          <w:rFonts w:hint="default" w:ascii="Times New Roman" w:hAnsi="Times New Roman" w:eastAsia="宋体" w:cs="Times New Roman"/>
          <w:i w:val="0"/>
          <w:iCs w:val="0"/>
          <w:color w:val="auto"/>
          <w:sz w:val="24"/>
          <w:szCs w:val="24"/>
          <w:highlight w:val="none"/>
          <w:u w:val="none"/>
        </w:rPr>
        <w:t>。</w:t>
      </w:r>
      <w:r>
        <w:rPr>
          <w:rFonts w:hint="default" w:ascii="Times New Roman" w:hAnsi="Times New Roman" w:eastAsia="宋体" w:cs="Times New Roman"/>
          <w:i/>
          <w:iCs/>
          <w:color w:val="auto"/>
          <w:sz w:val="24"/>
          <w:szCs w:val="24"/>
          <w:highlight w:val="none"/>
          <w:u w:val="single"/>
        </w:rPr>
        <w:t>招标人应在本次招标文件及合同中明确后15年延续运营期间的售电价格及计算口径、电费结算方式、运营维护责任、设备维修更换责任和合同衔接机制等内容。中标人应按照约定履行后15年延续运营及售电义务，确保光伏系统持续、安全、稳定运行。</w:t>
      </w:r>
    </w:p>
    <w:p w14:paraId="551069E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jc w:val="both"/>
        <w:textAlignment w:val="auto"/>
        <w:rPr>
          <w:rFonts w:hint="default" w:ascii="Times New Roman" w:hAnsi="Times New Roman" w:eastAsia="宋体" w:cs="Times New Roman"/>
          <w:color w:val="auto"/>
          <w:highlight w:val="none"/>
          <w:u w:val="none"/>
        </w:rPr>
      </w:pPr>
      <w:r>
        <w:rPr>
          <w:rFonts w:hint="eastAsia" w:ascii="Times New Roman" w:hAnsi="Times New Roman" w:eastAsia="宋体" w:cs="Times New Roman"/>
          <w:color w:val="auto"/>
          <w:highlight w:val="none"/>
          <w:u w:val="none"/>
          <w:lang w:val="en-US" w:eastAsia="zh-CN"/>
        </w:rPr>
        <w:t>5</w:t>
      </w:r>
      <w:r>
        <w:rPr>
          <w:rFonts w:hint="default" w:ascii="Times New Roman" w:hAnsi="Times New Roman" w:eastAsia="宋体" w:cs="Times New Roman"/>
          <w:color w:val="auto"/>
          <w:highlight w:val="none"/>
          <w:u w:val="none"/>
        </w:rPr>
        <w:t>.空调设备维保要求：</w:t>
      </w:r>
    </w:p>
    <w:p w14:paraId="71BCC29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jc w:val="both"/>
        <w:textAlignment w:val="auto"/>
        <w:rPr>
          <w:rFonts w:hint="default" w:ascii="Times New Roman" w:hAnsi="Times New Roman" w:eastAsia="宋体" w:cs="Times New Roman"/>
          <w:color w:val="auto"/>
          <w:highlight w:val="none"/>
          <w:u w:val="none"/>
        </w:rPr>
      </w:pPr>
      <w:r>
        <w:rPr>
          <w:rFonts w:hint="default" w:ascii="Times New Roman" w:hAnsi="Times New Roman" w:eastAsia="宋体" w:cs="Times New Roman"/>
          <w:color w:val="auto"/>
          <w:highlight w:val="none"/>
          <w:u w:val="none"/>
        </w:rPr>
        <w:t>（1）维保范围及标准：本项目被托管单位的空调维保服务范围、服务内容、维保频次及服务标准，原则上以能耗基准值核定时所依据的原空调维保合同约定为准。中标人应按照约定落实维保服务，确保托管期间空调设备正常运行，不得擅自缩减维保范围或降低服务标准。</w:t>
      </w:r>
    </w:p>
    <w:p w14:paraId="718354E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jc w:val="both"/>
        <w:textAlignment w:val="auto"/>
        <w:rPr>
          <w:rFonts w:hint="default" w:ascii="Times New Roman" w:hAnsi="Times New Roman" w:eastAsia="宋体" w:cs="Times New Roman"/>
          <w:color w:val="auto"/>
          <w:highlight w:val="none"/>
          <w:u w:val="none"/>
        </w:rPr>
      </w:pPr>
      <w:r>
        <w:rPr>
          <w:rFonts w:hint="default" w:ascii="Times New Roman" w:hAnsi="Times New Roman" w:eastAsia="宋体" w:cs="Times New Roman"/>
          <w:color w:val="auto"/>
          <w:highlight w:val="none"/>
          <w:u w:val="none"/>
        </w:rPr>
        <w:t>（2）原维保合同重叠期费用处理：对于原空调维保合同期限与本项目能源费用托管期限存在重叠的，重叠期间对应的维保费用已纳入本项目核定的托管费用基数，不得重复向被托管单位收取。若被托管单位已提前支付重叠期间的维保费用，中标人应根据原维保合同、付款凭证及重叠期间对应的费用金额进行核实，并通过退还相应费用，或经被托管单位书面同意后在相关费用结算中予以抵扣等方式处理，确保被托管单位不重复承担该部分费用；若相关费用尚未支付，中标人应按照合同约定负责支付。中标人应形成费用核对及处理清单，经采购人确认后实施，相关支付、退还或抵扣凭证应留档备查。</w:t>
      </w:r>
    </w:p>
    <w:p w14:paraId="565E226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jc w:val="both"/>
        <w:textAlignment w:val="auto"/>
        <w:rPr>
          <w:rFonts w:hint="default" w:ascii="Times New Roman" w:hAnsi="Times New Roman" w:eastAsia="宋体" w:cs="Times New Roman"/>
          <w:color w:val="auto"/>
          <w:highlight w:val="none"/>
          <w:u w:val="none"/>
        </w:rPr>
      </w:pPr>
      <w:r>
        <w:rPr>
          <w:rFonts w:hint="default" w:ascii="Times New Roman" w:hAnsi="Times New Roman" w:eastAsia="宋体" w:cs="Times New Roman"/>
          <w:color w:val="auto"/>
          <w:highlight w:val="none"/>
          <w:u w:val="none"/>
        </w:rPr>
        <w:t>（3）节能改造及设备更换后的维保责任：托管期间，中标人可根据实际运行情况及节能改造方案，对被托管单位现有空调设备实施节能改造、更新或更换。相关方案应事先报采购人及被托管单位确认，并明确改造范围、设备清单、技术参数、实施计划及后续维保责任。对于中标人实施改造或更换的设备及相关配套设施，</w:t>
      </w:r>
      <w:r>
        <w:rPr>
          <w:rFonts w:hint="eastAsia" w:ascii="Times New Roman" w:hAnsi="Times New Roman" w:eastAsia="宋体" w:cs="Times New Roman"/>
          <w:color w:val="auto"/>
          <w:highlight w:val="none"/>
          <w:u w:val="none"/>
          <w:lang w:val="en-US" w:eastAsia="zh-CN"/>
        </w:rPr>
        <w:t>能源托管期间</w:t>
      </w:r>
      <w:r>
        <w:rPr>
          <w:rFonts w:hint="default" w:ascii="Times New Roman" w:hAnsi="Times New Roman" w:eastAsia="宋体" w:cs="Times New Roman"/>
          <w:color w:val="auto"/>
          <w:highlight w:val="none"/>
          <w:u w:val="none"/>
        </w:rPr>
        <w:t>中标人应负责运行维护、故障维修及相关服务</w:t>
      </w:r>
      <w:r>
        <w:rPr>
          <w:rFonts w:hint="eastAsia" w:ascii="Times New Roman" w:hAnsi="Times New Roman" w:eastAsia="宋体" w:cs="Times New Roman"/>
          <w:color w:val="auto"/>
          <w:highlight w:val="none"/>
          <w:u w:val="none"/>
          <w:lang w:eastAsia="zh-CN"/>
        </w:rPr>
        <w:t>，</w:t>
      </w:r>
      <w:r>
        <w:rPr>
          <w:rFonts w:hint="default" w:ascii="Times New Roman" w:hAnsi="Times New Roman" w:eastAsia="宋体" w:cs="Times New Roman"/>
          <w:color w:val="auto"/>
          <w:highlight w:val="none"/>
          <w:u w:val="none"/>
        </w:rPr>
        <w:t>相关费用已纳入托管费用，不得另行重复收费。对于未实施改造或更换的原有设备，仍按照原维保合同范围和标准执行</w:t>
      </w:r>
      <w:r>
        <w:rPr>
          <w:rFonts w:hint="eastAsia" w:ascii="Times New Roman" w:hAnsi="Times New Roman" w:eastAsia="宋体" w:cs="Times New Roman"/>
          <w:color w:val="auto"/>
          <w:highlight w:val="none"/>
          <w:u w:val="none"/>
          <w:lang w:eastAsia="zh-CN"/>
        </w:rPr>
        <w:t>。</w:t>
      </w:r>
    </w:p>
    <w:p w14:paraId="745996B6">
      <w:pPr>
        <w:keepNext w:val="0"/>
        <w:keepLines w:val="0"/>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none"/>
        </w:rPr>
      </w:pPr>
      <w:r>
        <w:rPr>
          <w:rFonts w:hint="eastAsia" w:ascii="Times New Roman" w:hAnsi="Times New Roman" w:eastAsia="宋体" w:cs="Times New Roman"/>
          <w:color w:val="auto"/>
          <w:sz w:val="24"/>
          <w:szCs w:val="24"/>
          <w:highlight w:val="none"/>
          <w:u w:val="none"/>
          <w:lang w:val="en-US" w:eastAsia="zh-CN"/>
        </w:rPr>
        <w:t>6</w:t>
      </w:r>
      <w:r>
        <w:rPr>
          <w:rFonts w:hint="default" w:ascii="Times New Roman" w:hAnsi="Times New Roman" w:eastAsia="宋体" w:cs="Times New Roman"/>
          <w:color w:val="auto"/>
          <w:sz w:val="24"/>
          <w:szCs w:val="24"/>
          <w:highlight w:val="none"/>
          <w:u w:val="none"/>
        </w:rPr>
        <w:t>.托管服务要求：</w:t>
      </w:r>
      <w:r>
        <w:rPr>
          <w:rFonts w:hint="eastAsia" w:ascii="Times New Roman" w:hAnsi="Times New Roman" w:eastAsia="宋体" w:cs="Times New Roman"/>
          <w:color w:val="auto"/>
          <w:sz w:val="24"/>
          <w:szCs w:val="24"/>
          <w:highlight w:val="none"/>
          <w:u w:val="none"/>
          <w:lang w:val="en-US" w:eastAsia="zh-CN"/>
        </w:rPr>
        <w:t>投</w:t>
      </w:r>
      <w:r>
        <w:rPr>
          <w:rFonts w:hint="default" w:ascii="Times New Roman" w:hAnsi="Times New Roman" w:eastAsia="宋体" w:cs="Times New Roman"/>
          <w:color w:val="auto"/>
          <w:sz w:val="24"/>
          <w:szCs w:val="24"/>
          <w:highlight w:val="none"/>
          <w:u w:val="none"/>
        </w:rPr>
        <w:t>标人</w:t>
      </w:r>
      <w:bookmarkStart w:id="206" w:name="OLE_LINK1"/>
      <w:bookmarkStart w:id="207" w:name="OLE_LINK2"/>
      <w:r>
        <w:rPr>
          <w:rFonts w:hint="eastAsia" w:ascii="Times New Roman" w:hAnsi="Times New Roman" w:eastAsia="宋体" w:cs="Times New Roman"/>
          <w:color w:val="auto"/>
          <w:sz w:val="24"/>
          <w:szCs w:val="24"/>
          <w:highlight w:val="none"/>
          <w:u w:val="none"/>
          <w:lang w:val="en-US" w:eastAsia="zh-CN"/>
        </w:rPr>
        <w:t>应</w:t>
      </w:r>
      <w:r>
        <w:rPr>
          <w:rFonts w:hint="default" w:ascii="Times New Roman" w:hAnsi="Times New Roman" w:eastAsia="宋体" w:cs="Times New Roman"/>
          <w:color w:val="auto"/>
          <w:sz w:val="24"/>
          <w:szCs w:val="24"/>
          <w:highlight w:val="none"/>
          <w:u w:val="none"/>
        </w:rPr>
        <w:t>在10年服务期限内</w:t>
      </w:r>
      <w:bookmarkEnd w:id="206"/>
      <w:bookmarkEnd w:id="207"/>
      <w:r>
        <w:rPr>
          <w:rFonts w:hint="default" w:ascii="Times New Roman" w:hAnsi="Times New Roman" w:eastAsia="宋体" w:cs="Times New Roman"/>
          <w:color w:val="auto"/>
          <w:sz w:val="24"/>
          <w:szCs w:val="24"/>
          <w:highlight w:val="none"/>
          <w:u w:val="none"/>
        </w:rPr>
        <w:t>指派专业能源管理人员，运维管理人员，技术人员等每年到现场为采购人提供综合能源服务，每次服务内容包括但不限于协助采购人梳理后勤业务服务流程、投入智慧管理运营平台及节能技改设备线下指导与巡视，以确保本项目长期有效地实施，相关费用由</w:t>
      </w:r>
      <w:r>
        <w:rPr>
          <w:rFonts w:hint="eastAsia" w:ascii="Times New Roman" w:hAnsi="Times New Roman" w:eastAsia="宋体" w:cs="Times New Roman"/>
          <w:color w:val="auto"/>
          <w:sz w:val="24"/>
          <w:szCs w:val="24"/>
          <w:highlight w:val="none"/>
          <w:u w:val="none"/>
          <w:lang w:val="en-US" w:eastAsia="zh-CN"/>
        </w:rPr>
        <w:t>各投</w:t>
      </w:r>
      <w:r>
        <w:rPr>
          <w:rFonts w:hint="default" w:ascii="Times New Roman" w:hAnsi="Times New Roman" w:eastAsia="宋体" w:cs="Times New Roman"/>
          <w:color w:val="auto"/>
          <w:sz w:val="24"/>
          <w:szCs w:val="24"/>
          <w:highlight w:val="none"/>
          <w:u w:val="none"/>
        </w:rPr>
        <w:t>标人综合考虑。在10年服务期限内，中标人</w:t>
      </w:r>
      <w:r>
        <w:rPr>
          <w:rFonts w:hint="eastAsia" w:ascii="Times New Roman" w:hAnsi="Times New Roman" w:eastAsia="宋体" w:cs="Times New Roman"/>
          <w:color w:val="auto"/>
          <w:sz w:val="24"/>
          <w:szCs w:val="24"/>
          <w:highlight w:val="none"/>
          <w:u w:val="none"/>
          <w:lang w:val="en-US" w:eastAsia="zh-CN"/>
        </w:rPr>
        <w:t>应</w:t>
      </w:r>
      <w:r>
        <w:rPr>
          <w:rFonts w:hint="default" w:ascii="Times New Roman" w:hAnsi="Times New Roman" w:eastAsia="宋体" w:cs="Times New Roman"/>
          <w:color w:val="auto"/>
          <w:sz w:val="24"/>
          <w:szCs w:val="24"/>
          <w:highlight w:val="none"/>
          <w:u w:val="none"/>
        </w:rPr>
        <w:t>安排不少于4名运维人员驻点服务。</w:t>
      </w:r>
    </w:p>
    <w:p w14:paraId="59F9FDB5">
      <w:pPr>
        <w:keepNext w:val="0"/>
        <w:keepLines w:val="0"/>
        <w:pageBreakBefore w:val="0"/>
        <w:tabs>
          <w:tab w:val="left" w:pos="42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7</w:t>
      </w:r>
      <w:r>
        <w:rPr>
          <w:rFonts w:hint="default" w:ascii="Times New Roman" w:hAnsi="Times New Roman" w:eastAsia="宋体" w:cs="Times New Roman"/>
          <w:bCs/>
          <w:color w:val="auto"/>
          <w:sz w:val="24"/>
          <w:szCs w:val="24"/>
          <w:highlight w:val="none"/>
        </w:rPr>
        <w:t>.中标人在合同期限内仅拥有中标人所投资设备的产权，原采购人能源设备所有权均归采购人所有。托管合同履行期满后，中标人应按照合同约定，将其投资形成的项目资产（投资形成的有形和无形资产）以人民币零点壹元价值向各被托管单位移交，移交时中标人应保证设备和设施的完整性和能够正常运行。涉及到软件相关的知识产权使用权，中标人须永久免费授权。</w:t>
      </w:r>
    </w:p>
    <w:p w14:paraId="48F374EA">
      <w:pPr>
        <w:keepNext w:val="0"/>
        <w:keepLines w:val="0"/>
        <w:pageBreakBefore w:val="0"/>
        <w:widowControl w:val="0"/>
        <w:tabs>
          <w:tab w:val="left" w:pos="42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rPr>
        <w:t>.</w:t>
      </w:r>
      <w:r>
        <w:rPr>
          <w:rFonts w:hint="default" w:ascii="Times New Roman" w:hAnsi="Times New Roman" w:eastAsia="宋体" w:cs="Times New Roman"/>
          <w:b w:val="0"/>
          <w:bCs/>
          <w:color w:val="auto"/>
          <w:sz w:val="24"/>
          <w:szCs w:val="24"/>
          <w:highlight w:val="none"/>
        </w:rPr>
        <w:t>中标人应无条件配合和支持</w:t>
      </w:r>
      <w:r>
        <w:rPr>
          <w:rFonts w:hint="eastAsia" w:ascii="Times New Roman" w:hAnsi="Times New Roman" w:eastAsia="宋体" w:cs="Times New Roman"/>
          <w:b w:val="0"/>
          <w:bCs/>
          <w:color w:val="auto"/>
          <w:sz w:val="24"/>
          <w:szCs w:val="24"/>
          <w:highlight w:val="none"/>
          <w:lang w:val="en-US" w:eastAsia="zh-CN"/>
        </w:rPr>
        <w:t>采购人和被托管单位</w:t>
      </w:r>
      <w:r>
        <w:rPr>
          <w:rFonts w:hint="default" w:ascii="Times New Roman" w:hAnsi="Times New Roman" w:eastAsia="宋体" w:cs="Times New Roman"/>
          <w:b w:val="0"/>
          <w:bCs/>
          <w:color w:val="auto"/>
          <w:sz w:val="24"/>
          <w:szCs w:val="24"/>
          <w:highlight w:val="none"/>
        </w:rPr>
        <w:t>做好能源双控及未来碳排放双控涉及的相关事宜。</w:t>
      </w:r>
    </w:p>
    <w:p w14:paraId="015C1EDC">
      <w:pPr>
        <w:keepNext w:val="0"/>
        <w:keepLines w:val="0"/>
        <w:pageBreakBefore w:val="0"/>
        <w:tabs>
          <w:tab w:val="left" w:pos="42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9</w:t>
      </w:r>
      <w:r>
        <w:rPr>
          <w:rFonts w:hint="default" w:ascii="Times New Roman" w:hAnsi="Times New Roman" w:eastAsia="宋体" w:cs="Times New Roman"/>
          <w:bCs/>
          <w:color w:val="auto"/>
          <w:sz w:val="24"/>
          <w:szCs w:val="24"/>
          <w:highlight w:val="none"/>
        </w:rPr>
        <w:t>.中标人为本项目配备的所有服务人员若人员在服务期间内出现的工伤及其他意外事故，均由中标人自行负责，采购人不承担任何责任。</w:t>
      </w:r>
    </w:p>
    <w:p w14:paraId="4618893B">
      <w:pPr>
        <w:adjustRightInd w:val="0"/>
        <w:snapToGrid w:val="0"/>
        <w:spacing w:line="360" w:lineRule="auto"/>
        <w:ind w:firstLine="482" w:firstLineChars="200"/>
        <w:outlineLvl w:val="1"/>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八、综合说明</w:t>
      </w:r>
    </w:p>
    <w:p w14:paraId="365575D3">
      <w:pPr>
        <w:keepNext w:val="0"/>
        <w:keepLines w:val="0"/>
        <w:pageBreakBefore w:val="0"/>
        <w:widowControl w:val="0"/>
        <w:tabs>
          <w:tab w:val="left" w:pos="420"/>
          <w:tab w:val="left" w:pos="5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1.投标单位按照招标文件的要求提交投标文件，并对所提供的全部资料的真实性承担法律责任。</w:t>
      </w:r>
    </w:p>
    <w:p w14:paraId="0795F958">
      <w:pPr>
        <w:keepNext w:val="0"/>
        <w:keepLines w:val="0"/>
        <w:pageBreakBefore w:val="0"/>
        <w:widowControl w:val="0"/>
        <w:tabs>
          <w:tab w:val="left" w:pos="420"/>
          <w:tab w:val="left" w:pos="54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2.</w:t>
      </w:r>
      <w:r>
        <w:rPr>
          <w:rFonts w:hint="default" w:ascii="Times New Roman" w:hAnsi="Times New Roman" w:eastAsia="宋体" w:cs="Times New Roman"/>
          <w:bCs/>
          <w:color w:val="auto"/>
          <w:sz w:val="24"/>
          <w:szCs w:val="24"/>
          <w:highlight w:val="none"/>
        </w:rPr>
        <w:t>本项目报价包括全部货物和服务内容、人员工资福利、运输、风险费、保险费、税金、利润等政策性文件规定及合同包含的所有风险、责任等各项应有费用。合同期价格</w:t>
      </w:r>
      <w:r>
        <w:rPr>
          <w:rFonts w:hint="default" w:ascii="Times New Roman" w:hAnsi="Times New Roman" w:eastAsia="宋体" w:cs="Times New Roman"/>
          <w:bCs/>
          <w:color w:val="auto"/>
          <w:sz w:val="24"/>
          <w:szCs w:val="24"/>
          <w:highlight w:val="none"/>
          <w:lang w:val="en-US" w:eastAsia="zh-CN"/>
        </w:rPr>
        <w:t>除</w:t>
      </w:r>
      <w:r>
        <w:rPr>
          <w:rFonts w:hint="default" w:ascii="Times New Roman" w:hAnsi="Times New Roman" w:eastAsia="宋体" w:cs="Times New Roman"/>
          <w:bCs/>
          <w:color w:val="auto"/>
          <w:sz w:val="24"/>
          <w:szCs w:val="24"/>
          <w:highlight w:val="none"/>
        </w:rPr>
        <w:t>合同约定的调整情形外，不作调整</w:t>
      </w:r>
      <w:r>
        <w:rPr>
          <w:rFonts w:hint="default" w:ascii="Times New Roman" w:hAnsi="Times New Roman" w:eastAsia="宋体" w:cs="Times New Roman"/>
          <w:bCs/>
          <w:color w:val="auto"/>
          <w:sz w:val="24"/>
          <w:szCs w:val="24"/>
          <w:highlight w:val="none"/>
          <w:lang w:eastAsia="zh-CN"/>
        </w:rPr>
        <w:t>。</w:t>
      </w:r>
    </w:p>
    <w:p w14:paraId="1F8B68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3.投标单位必须承诺招标文件中提出的全部要求，如果以其中某些条款不响应时，应在文件中逐条列出，未列出的视同响应。</w:t>
      </w:r>
    </w:p>
    <w:p w14:paraId="423CA3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4.验收标准：</w:t>
      </w:r>
    </w:p>
    <w:p w14:paraId="2B46EA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（1）按照现行国家规范、标准的要求及江苏省、泰州市的有关规定等及招标文件要求执行。</w:t>
      </w:r>
    </w:p>
    <w:p w14:paraId="0743F0D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2</w:t>
      </w:r>
      <w:r>
        <w:rPr>
          <w:rFonts w:hint="default" w:ascii="Times New Roman" w:hAnsi="Times New Roman" w:eastAsia="宋体" w:cs="Times New Roman"/>
          <w:color w:val="auto"/>
          <w:sz w:val="24"/>
          <w:szCs w:val="24"/>
          <w:highlight w:val="none"/>
        </w:rPr>
        <w:t>）中标人应当于项目完成之日书面通知采购人验收，采购人组织有关专家，依据本项目合同约定使用的技术标准和技术要求，对中标人所完成的工作完成验收，并提出成果验收报告书，特殊情况另行协商。</w:t>
      </w:r>
      <w:r>
        <w:rPr>
          <w:rFonts w:hint="eastAsia" w:ascii="Times New Roman" w:hAnsi="Times New Roman" w:eastAsia="宋体" w:cs="Times New Roman"/>
          <w:color w:val="auto"/>
          <w:sz w:val="24"/>
          <w:szCs w:val="24"/>
          <w:highlight w:val="none"/>
          <w:lang w:val="en-US" w:eastAsia="zh-CN"/>
        </w:rPr>
        <w:t>采购人</w:t>
      </w:r>
      <w:r>
        <w:rPr>
          <w:rFonts w:hint="default" w:ascii="Times New Roman" w:hAnsi="Times New Roman" w:eastAsia="宋体" w:cs="Times New Roman"/>
          <w:color w:val="auto"/>
          <w:sz w:val="24"/>
          <w:szCs w:val="24"/>
          <w:highlight w:val="none"/>
        </w:rPr>
        <w:t>承担成果验收时的相关费用</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对中标人所提供的成果质量有争议的，由项目所在地的主管部门裁决，其费用由败诉方承担。</w:t>
      </w:r>
    </w:p>
    <w:p w14:paraId="547B453E">
      <w:pPr>
        <w:adjustRightInd w:val="0"/>
        <w:snapToGrid w:val="0"/>
        <w:spacing w:line="360" w:lineRule="auto"/>
        <w:ind w:firstLine="482" w:firstLineChars="200"/>
        <w:outlineLvl w:val="1"/>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九、付款方式及费用调整规则</w:t>
      </w:r>
    </w:p>
    <w:p w14:paraId="181C2CE6">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bookmarkStart w:id="208" w:name="_Toc11789"/>
      <w:bookmarkStart w:id="209" w:name="_Toc5111"/>
      <w:bookmarkStart w:id="210" w:name="_Hlk55741158"/>
      <w:r>
        <w:rPr>
          <w:rFonts w:hint="default" w:ascii="Times New Roman" w:hAnsi="Times New Roman" w:eastAsia="宋体" w:cs="Times New Roman"/>
          <w:color w:val="auto"/>
          <w:sz w:val="24"/>
          <w:szCs w:val="24"/>
          <w:highlight w:val="none"/>
        </w:rPr>
        <w:t>（一）付款方式</w:t>
      </w:r>
    </w:p>
    <w:p w14:paraId="0BF33113">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合同期内，各被托管单位按照合同约定按月支付能源托管费用给中标人。中标人必须根据实际发生能耗费用缴付至当地供电</w:t>
      </w:r>
      <w:r>
        <w:rPr>
          <w:rFonts w:hint="eastAsia" w:ascii="Times New Roman" w:hAnsi="Times New Roman" w:eastAsia="宋体" w:cs="Times New Roman"/>
          <w:color w:val="auto"/>
          <w:sz w:val="24"/>
          <w:szCs w:val="24"/>
          <w:highlight w:val="none"/>
          <w:lang w:val="en-US" w:eastAsia="zh-CN"/>
        </w:rPr>
        <w:t>公司</w:t>
      </w:r>
      <w:r>
        <w:rPr>
          <w:rFonts w:hint="default" w:ascii="Times New Roman" w:hAnsi="Times New Roman" w:eastAsia="宋体" w:cs="Times New Roman"/>
          <w:color w:val="auto"/>
          <w:sz w:val="24"/>
          <w:szCs w:val="24"/>
          <w:highlight w:val="none"/>
        </w:rPr>
        <w:t>、自来水公司、燃气公司及集中冷热量供应公司</w:t>
      </w:r>
      <w:r>
        <w:rPr>
          <w:rFonts w:hint="eastAsia" w:ascii="Times New Roman" w:hAnsi="Times New Roman" w:eastAsia="宋体" w:cs="Times New Roman"/>
          <w:color w:val="auto"/>
          <w:sz w:val="24"/>
          <w:szCs w:val="24"/>
          <w:highlight w:val="none"/>
          <w:lang w:val="en-US" w:eastAsia="zh-CN"/>
        </w:rPr>
        <w:t>等</w:t>
      </w:r>
      <w:r>
        <w:rPr>
          <w:rFonts w:hint="default" w:ascii="Times New Roman" w:hAnsi="Times New Roman" w:eastAsia="宋体" w:cs="Times New Roman"/>
          <w:color w:val="auto"/>
          <w:sz w:val="24"/>
          <w:szCs w:val="24"/>
          <w:highlight w:val="none"/>
        </w:rPr>
        <w:t>。中标人每月</w:t>
      </w:r>
      <w:r>
        <w:rPr>
          <w:rFonts w:hint="default" w:ascii="Times New Roman" w:hAnsi="Times New Roman" w:eastAsia="宋体" w:cs="Times New Roman"/>
          <w:color w:val="auto"/>
          <w:sz w:val="24"/>
          <w:szCs w:val="24"/>
          <w:highlight w:val="none"/>
          <w:lang w:val="en-US" w:eastAsia="zh-CN"/>
        </w:rPr>
        <w:t>15</w:t>
      </w:r>
      <w:r>
        <w:rPr>
          <w:rFonts w:hint="default" w:ascii="Times New Roman" w:hAnsi="Times New Roman" w:eastAsia="宋体" w:cs="Times New Roman"/>
          <w:color w:val="auto"/>
          <w:sz w:val="24"/>
          <w:szCs w:val="24"/>
          <w:highlight w:val="none"/>
        </w:rPr>
        <w:t>日前向各被托管单位提供合法税务发票</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综合能源服务类发票。次月8日前各被托管单位在收到中标人合法税务发票后按财务流程以电汇方式向中标人指定账户按时支付每月的能源托管费用（年能源托管费用的1/12）。</w:t>
      </w:r>
    </w:p>
    <w:bookmarkEnd w:id="208"/>
    <w:bookmarkEnd w:id="209"/>
    <w:bookmarkEnd w:id="210"/>
    <w:p w14:paraId="0017388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（二）费用调整规则</w:t>
      </w:r>
    </w:p>
    <w:p w14:paraId="2DF9364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托管期间如遇供能部门调整能源单价，托管费用应按能耗基准单价与实际价格的差额进行调整（单价波动小于±3%，不予调整），年底进行一次性结算，多退少补，时间段为单价调整的时间点至结算的时间点。</w:t>
      </w:r>
    </w:p>
    <w:p w14:paraId="097B7089">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托管期内各被托管单位可能存在的用能设备增减（总功率变化≤10kW时不调整，＞10kW时挂表计量或采用运行功率*运行时间的方式确定用电量）、业务范围（量）增减、极端天气及设备损坏、遭外力破坏等因素导致托管范围发生变化</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一方</w:t>
      </w:r>
      <w:r>
        <w:rPr>
          <w:rFonts w:hint="default" w:ascii="Times New Roman" w:hAnsi="Times New Roman" w:eastAsia="宋体" w:cs="Times New Roman"/>
          <w:color w:val="auto"/>
          <w:sz w:val="24"/>
          <w:szCs w:val="24"/>
          <w:highlight w:val="none"/>
        </w:rPr>
        <w:t>以书面形式向</w:t>
      </w:r>
      <w:r>
        <w:rPr>
          <w:rFonts w:hint="eastAsia" w:ascii="Times New Roman" w:hAnsi="Times New Roman" w:eastAsia="宋体" w:cs="Times New Roman"/>
          <w:color w:val="auto"/>
          <w:sz w:val="24"/>
          <w:szCs w:val="24"/>
          <w:highlight w:val="none"/>
          <w:lang w:val="en-US" w:eastAsia="zh-CN"/>
        </w:rPr>
        <w:t>另一方</w:t>
      </w:r>
      <w:r>
        <w:rPr>
          <w:rFonts w:hint="default" w:ascii="Times New Roman" w:hAnsi="Times New Roman" w:eastAsia="宋体" w:cs="Times New Roman"/>
          <w:color w:val="auto"/>
          <w:sz w:val="24"/>
          <w:szCs w:val="24"/>
          <w:highlight w:val="none"/>
        </w:rPr>
        <w:t>提交合同费用调整说明。费用调整规则参考《公共机构能源费用托管实施规程》（JS/T301-2024）。</w:t>
      </w:r>
    </w:p>
    <w:p w14:paraId="19B027E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因托管项目边界范围变化导致能源基准变化时，应调整能源托管费用基数，双方可按照政府采购法律法规有关规定签订补充合同。</w:t>
      </w:r>
    </w:p>
    <w:p w14:paraId="682B39C2">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a）用能设备和其他用能项的增减</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其他用能项包括但不限于用能建筑面积、用能时间、用能人员等</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针对用能设备和其他用能项的变化，有条件时应优先采用直接计量法确定变化量，条件不具备的情况下，可采用功率核算法或其他双方约定的方式确定变化量</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因用能设备和其他用能项的增减，应调整基准能耗，并相应增减能源托管费用基数。</w:t>
      </w:r>
    </w:p>
    <w:p w14:paraId="7C2B0BA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建筑用能区域改建、扩建</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迁建</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因建筑改建、扩建增加的临时用能能耗需单独计量；新增用能区域的能耗需单独计量；如用能区域建筑功能发生改变或搬迁，则该功能区增加或减少的能耗需单独计量</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因用能区域变化导致的用能增加或减少，应调整基准能耗，并相应增减能源托管费用基数。</w:t>
      </w:r>
    </w:p>
    <w:p w14:paraId="0E2946F0">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c</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供能条件变化的调整</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如因极端天气导致空调用能时间明显延长且设定温度超出供能条件，合同双方可协商托管费用调整方式；非极端天气条件下，如因上班时间调整、持续加班、特殊情况用能等公共机构的原因导致用能时间增加，双方可协商托管费用调整方式。</w:t>
      </w:r>
    </w:p>
    <w:p w14:paraId="63F9637F">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w:t>
      </w:r>
      <w:r>
        <w:rPr>
          <w:rFonts w:hint="eastAsia" w:ascii="Times New Roman" w:hAnsi="Times New Roman" w:eastAsia="宋体"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1给出了项目边界条件变化类型</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能源基准变化量的核定及相应的能源托管费用基数的调整方式。</w:t>
      </w:r>
    </w:p>
    <w:p w14:paraId="55E4A3AC">
      <w:pPr>
        <w:spacing w:before="76" w:line="269" w:lineRule="auto"/>
        <w:ind w:left="13" w:right="9" w:firstLine="436"/>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w:t>
      </w:r>
      <w:r>
        <w:rPr>
          <w:rFonts w:hint="eastAsia" w:ascii="Times New Roman" w:hAnsi="Times New Roman" w:eastAsia="宋体" w:cs="Times New Roman"/>
          <w:color w:val="auto"/>
          <w:sz w:val="24"/>
          <w:szCs w:val="24"/>
          <w:highlight w:val="none"/>
          <w:lang w:val="en-US" w:eastAsia="zh-CN"/>
        </w:rPr>
        <w:t>9.</w:t>
      </w:r>
      <w:r>
        <w:rPr>
          <w:rFonts w:hint="default" w:ascii="Times New Roman" w:hAnsi="Times New Roman" w:eastAsia="宋体" w:cs="Times New Roman"/>
          <w:color w:val="auto"/>
          <w:sz w:val="24"/>
          <w:szCs w:val="24"/>
          <w:highlight w:val="none"/>
        </w:rPr>
        <w:t>1项目边界条件变化类型、能源基准变化量的核定及能源托管费用基数的调整方式</w:t>
      </w:r>
    </w:p>
    <w:tbl>
      <w:tblPr>
        <w:tblStyle w:val="606"/>
        <w:tblW w:w="4998" w:type="pct"/>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autofit"/>
        <w:tblCellMar>
          <w:top w:w="0" w:type="dxa"/>
          <w:left w:w="0" w:type="dxa"/>
          <w:bottom w:w="0" w:type="dxa"/>
          <w:right w:w="0" w:type="dxa"/>
        </w:tblCellMar>
      </w:tblPr>
      <w:tblGrid>
        <w:gridCol w:w="3241"/>
        <w:gridCol w:w="3948"/>
        <w:gridCol w:w="2543"/>
      </w:tblGrid>
      <w:tr w14:paraId="55FB2744">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4" w:hRule="atLeast"/>
          <w:jc w:val="center"/>
        </w:trPr>
        <w:tc>
          <w:tcPr>
            <w:tcW w:w="1665" w:type="pct"/>
            <w:tcBorders>
              <w:top w:val="single" w:color="231F20" w:sz="4" w:space="0"/>
              <w:left w:val="single" w:color="231F20" w:sz="4" w:space="0"/>
              <w:bottom w:val="single" w:color="231F20" w:sz="4" w:space="0"/>
            </w:tcBorders>
            <w:vAlign w:val="center"/>
          </w:tcPr>
          <w:p w14:paraId="37522E5D">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项目边界条件变化类型</w:t>
            </w:r>
          </w:p>
        </w:tc>
        <w:tc>
          <w:tcPr>
            <w:tcW w:w="2028" w:type="pct"/>
            <w:tcBorders>
              <w:top w:val="single" w:color="231F20" w:sz="4" w:space="0"/>
              <w:bottom w:val="single" w:color="231F20" w:sz="4" w:space="0"/>
            </w:tcBorders>
            <w:vAlign w:val="center"/>
          </w:tcPr>
          <w:p w14:paraId="4F44B16B">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能源基准变化量计算与核定方式</w:t>
            </w:r>
          </w:p>
        </w:tc>
        <w:tc>
          <w:tcPr>
            <w:tcW w:w="1305" w:type="pct"/>
            <w:tcBorders>
              <w:top w:val="single" w:color="231F20" w:sz="4" w:space="0"/>
              <w:bottom w:val="single" w:color="231F20" w:sz="4" w:space="0"/>
              <w:right w:val="single" w:color="231F20" w:sz="4" w:space="0"/>
            </w:tcBorders>
            <w:vAlign w:val="center"/>
          </w:tcPr>
          <w:p w14:paraId="3AC6179C">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能源托管费用基数的</w:t>
            </w:r>
          </w:p>
          <w:p w14:paraId="1C2325DD">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调整方式</w:t>
            </w:r>
          </w:p>
        </w:tc>
      </w:tr>
      <w:tr w14:paraId="7BA479E8">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7" w:hRule="atLeast"/>
          <w:jc w:val="center"/>
        </w:trPr>
        <w:tc>
          <w:tcPr>
            <w:tcW w:w="1665" w:type="pct"/>
            <w:tcBorders>
              <w:top w:val="single" w:color="231F20" w:sz="4" w:space="0"/>
              <w:left w:val="single" w:color="231F20" w:sz="4" w:space="0"/>
            </w:tcBorders>
            <w:vAlign w:val="center"/>
          </w:tcPr>
          <w:p w14:paraId="2278AD98">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用能设备的增减</w:t>
            </w:r>
          </w:p>
        </w:tc>
        <w:tc>
          <w:tcPr>
            <w:tcW w:w="2028" w:type="pct"/>
            <w:tcBorders>
              <w:top w:val="single" w:color="231F20" w:sz="4" w:space="0"/>
            </w:tcBorders>
            <w:vAlign w:val="center"/>
          </w:tcPr>
          <w:p w14:paraId="2B1521B8">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表具计量法或额定功率核算法（设备功率乘以用能时间）</w:t>
            </w:r>
          </w:p>
        </w:tc>
        <w:tc>
          <w:tcPr>
            <w:tcW w:w="1305" w:type="pct"/>
            <w:vMerge w:val="restart"/>
            <w:tcBorders>
              <w:top w:val="single" w:color="231F20" w:sz="4" w:space="0"/>
              <w:bottom w:val="nil"/>
              <w:right w:val="single" w:color="231F20" w:sz="4" w:space="0"/>
            </w:tcBorders>
            <w:vAlign w:val="center"/>
          </w:tcPr>
          <w:p w14:paraId="5C8F17AF">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按基准能源用量变化量</w:t>
            </w:r>
          </w:p>
          <w:p w14:paraId="75B39680">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乘以基准能源单价核增</w:t>
            </w:r>
          </w:p>
          <w:p w14:paraId="6BA70E19">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或核减</w:t>
            </w:r>
          </w:p>
        </w:tc>
      </w:tr>
      <w:tr w14:paraId="28529AB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vMerge w:val="restart"/>
            <w:tcBorders>
              <w:left w:val="single" w:color="231F20" w:sz="4" w:space="0"/>
              <w:bottom w:val="nil"/>
            </w:tcBorders>
            <w:vAlign w:val="center"/>
          </w:tcPr>
          <w:p w14:paraId="40E148E9">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用能人数增减</w:t>
            </w:r>
          </w:p>
        </w:tc>
        <w:tc>
          <w:tcPr>
            <w:tcW w:w="2028" w:type="pct"/>
            <w:vAlign w:val="center"/>
          </w:tcPr>
          <w:p w14:paraId="078E5CD2">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人均照明插座能耗核算法（人均照明插座用电乘以用能人数）</w:t>
            </w:r>
          </w:p>
        </w:tc>
        <w:tc>
          <w:tcPr>
            <w:tcW w:w="1305" w:type="pct"/>
            <w:vMerge w:val="continue"/>
            <w:tcBorders>
              <w:top w:val="nil"/>
              <w:bottom w:val="nil"/>
              <w:right w:val="single" w:color="231F20" w:sz="4" w:space="0"/>
            </w:tcBorders>
            <w:vAlign w:val="center"/>
          </w:tcPr>
          <w:p w14:paraId="73D62F58">
            <w:pPr>
              <w:spacing w:before="76" w:line="269" w:lineRule="auto"/>
              <w:ind w:left="13" w:right="9" w:firstLine="436"/>
              <w:jc w:val="center"/>
              <w:rPr>
                <w:rFonts w:hint="default" w:ascii="Times New Roman" w:hAnsi="Times New Roman" w:eastAsia="宋体" w:cs="Times New Roman"/>
                <w:color w:val="auto"/>
                <w:sz w:val="21"/>
                <w:szCs w:val="21"/>
                <w:highlight w:val="none"/>
              </w:rPr>
            </w:pPr>
          </w:p>
        </w:tc>
      </w:tr>
      <w:tr w14:paraId="79CC1920">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vMerge w:val="continue"/>
            <w:tcBorders>
              <w:top w:val="nil"/>
              <w:left w:val="single" w:color="231F20" w:sz="4" w:space="0"/>
            </w:tcBorders>
            <w:vAlign w:val="center"/>
          </w:tcPr>
          <w:p w14:paraId="5F5B4985">
            <w:pPr>
              <w:spacing w:before="76" w:line="269" w:lineRule="auto"/>
              <w:ind w:left="13" w:right="9" w:firstLine="436"/>
              <w:jc w:val="center"/>
              <w:rPr>
                <w:rFonts w:hint="default" w:ascii="Times New Roman" w:hAnsi="Times New Roman" w:eastAsia="宋体" w:cs="Times New Roman"/>
                <w:color w:val="auto"/>
                <w:sz w:val="21"/>
                <w:szCs w:val="21"/>
                <w:highlight w:val="none"/>
              </w:rPr>
            </w:pPr>
          </w:p>
        </w:tc>
        <w:tc>
          <w:tcPr>
            <w:tcW w:w="2028" w:type="pct"/>
            <w:vAlign w:val="center"/>
          </w:tcPr>
          <w:p w14:paraId="7D7C1D29">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人均用水、用气、用蒸汽量核算法（人均用量乘以用能人数）</w:t>
            </w:r>
          </w:p>
        </w:tc>
        <w:tc>
          <w:tcPr>
            <w:tcW w:w="1305" w:type="pct"/>
            <w:vMerge w:val="continue"/>
            <w:tcBorders>
              <w:top w:val="nil"/>
              <w:bottom w:val="nil"/>
              <w:right w:val="single" w:color="231F20" w:sz="4" w:space="0"/>
            </w:tcBorders>
            <w:vAlign w:val="center"/>
          </w:tcPr>
          <w:p w14:paraId="169C556F">
            <w:pPr>
              <w:spacing w:before="76" w:line="269" w:lineRule="auto"/>
              <w:ind w:left="13" w:right="9" w:firstLine="436"/>
              <w:jc w:val="center"/>
              <w:rPr>
                <w:rFonts w:hint="default" w:ascii="Times New Roman" w:hAnsi="Times New Roman" w:eastAsia="宋体" w:cs="Times New Roman"/>
                <w:color w:val="auto"/>
                <w:sz w:val="21"/>
                <w:szCs w:val="21"/>
                <w:highlight w:val="none"/>
              </w:rPr>
            </w:pPr>
          </w:p>
        </w:tc>
      </w:tr>
      <w:tr w14:paraId="0A6BD49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tcBorders>
              <w:left w:val="single" w:color="231F20" w:sz="4" w:space="0"/>
            </w:tcBorders>
            <w:vAlign w:val="center"/>
          </w:tcPr>
          <w:p w14:paraId="704B82AA">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用能区域（空间）变化</w:t>
            </w:r>
          </w:p>
        </w:tc>
        <w:tc>
          <w:tcPr>
            <w:tcW w:w="2028" w:type="pct"/>
            <w:vAlign w:val="center"/>
          </w:tcPr>
          <w:p w14:paraId="3A1978B6">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表具计量法或额定功率核算法</w:t>
            </w:r>
          </w:p>
        </w:tc>
        <w:tc>
          <w:tcPr>
            <w:tcW w:w="1305" w:type="pct"/>
            <w:vMerge w:val="continue"/>
            <w:tcBorders>
              <w:top w:val="nil"/>
              <w:bottom w:val="nil"/>
              <w:right w:val="single" w:color="231F20" w:sz="4" w:space="0"/>
            </w:tcBorders>
            <w:vAlign w:val="center"/>
          </w:tcPr>
          <w:p w14:paraId="480FD6F5">
            <w:pPr>
              <w:spacing w:before="76" w:line="269" w:lineRule="auto"/>
              <w:ind w:left="13" w:right="9" w:firstLine="436"/>
              <w:jc w:val="center"/>
              <w:rPr>
                <w:rFonts w:hint="default" w:ascii="Times New Roman" w:hAnsi="Times New Roman" w:eastAsia="宋体" w:cs="Times New Roman"/>
                <w:color w:val="auto"/>
                <w:sz w:val="21"/>
                <w:szCs w:val="21"/>
                <w:highlight w:val="none"/>
              </w:rPr>
            </w:pPr>
          </w:p>
        </w:tc>
      </w:tr>
      <w:tr w14:paraId="0FC82F6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tcBorders>
              <w:left w:val="single" w:color="231F20" w:sz="4" w:space="0"/>
            </w:tcBorders>
            <w:vAlign w:val="center"/>
          </w:tcPr>
          <w:p w14:paraId="4CC2EC3B">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用能行为（时间）改变</w:t>
            </w:r>
          </w:p>
        </w:tc>
        <w:tc>
          <w:tcPr>
            <w:tcW w:w="2028" w:type="pct"/>
            <w:vAlign w:val="center"/>
          </w:tcPr>
          <w:p w14:paraId="09856514">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表具计量法</w:t>
            </w:r>
          </w:p>
        </w:tc>
        <w:tc>
          <w:tcPr>
            <w:tcW w:w="1305" w:type="pct"/>
            <w:vMerge w:val="continue"/>
            <w:tcBorders>
              <w:top w:val="nil"/>
              <w:right w:val="single" w:color="231F20" w:sz="4" w:space="0"/>
            </w:tcBorders>
            <w:vAlign w:val="center"/>
          </w:tcPr>
          <w:p w14:paraId="2456AC29">
            <w:pPr>
              <w:spacing w:before="76" w:line="269" w:lineRule="auto"/>
              <w:ind w:left="13" w:right="9" w:firstLine="436"/>
              <w:jc w:val="center"/>
              <w:rPr>
                <w:rFonts w:hint="default" w:ascii="Times New Roman" w:hAnsi="Times New Roman" w:eastAsia="宋体" w:cs="Times New Roman"/>
                <w:color w:val="auto"/>
                <w:sz w:val="21"/>
                <w:szCs w:val="21"/>
                <w:highlight w:val="none"/>
              </w:rPr>
            </w:pPr>
          </w:p>
        </w:tc>
      </w:tr>
      <w:tr w14:paraId="7F1DF0F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47" w:hRule="atLeast"/>
          <w:jc w:val="center"/>
        </w:trPr>
        <w:tc>
          <w:tcPr>
            <w:tcW w:w="1665" w:type="pct"/>
            <w:tcBorders>
              <w:left w:val="single" w:color="231F20" w:sz="4" w:space="0"/>
            </w:tcBorders>
            <w:vAlign w:val="center"/>
          </w:tcPr>
          <w:p w14:paraId="7DA41231">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供能条件（极端气候、特殊用能需求等）改变</w:t>
            </w:r>
          </w:p>
        </w:tc>
        <w:tc>
          <w:tcPr>
            <w:tcW w:w="3334" w:type="pct"/>
            <w:gridSpan w:val="2"/>
            <w:tcBorders>
              <w:right w:val="single" w:color="231F20" w:sz="4" w:space="0"/>
            </w:tcBorders>
            <w:vAlign w:val="center"/>
          </w:tcPr>
          <w:p w14:paraId="25BEFC17">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双方协商确定</w:t>
            </w:r>
          </w:p>
        </w:tc>
      </w:tr>
      <w:tr w14:paraId="33B9A17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9" w:hRule="atLeast"/>
          <w:jc w:val="center"/>
        </w:trPr>
        <w:tc>
          <w:tcPr>
            <w:tcW w:w="1665" w:type="pct"/>
            <w:tcBorders>
              <w:left w:val="single" w:color="231F20" w:sz="4" w:space="0"/>
              <w:bottom w:val="single" w:color="231F20" w:sz="4" w:space="0"/>
            </w:tcBorders>
            <w:vAlign w:val="center"/>
          </w:tcPr>
          <w:p w14:paraId="27D9DE74">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w:t>
            </w:r>
          </w:p>
        </w:tc>
        <w:tc>
          <w:tcPr>
            <w:tcW w:w="3334" w:type="pct"/>
            <w:gridSpan w:val="2"/>
            <w:tcBorders>
              <w:bottom w:val="single" w:color="231F20" w:sz="4" w:space="0"/>
              <w:right w:val="single" w:color="231F20" w:sz="4" w:space="0"/>
            </w:tcBorders>
            <w:vAlign w:val="center"/>
          </w:tcPr>
          <w:p w14:paraId="0432A7A6">
            <w:pPr>
              <w:spacing w:before="76" w:line="269" w:lineRule="auto"/>
              <w:ind w:right="9"/>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双方协商确定</w:t>
            </w:r>
          </w:p>
        </w:tc>
      </w:tr>
      <w:bookmarkEnd w:id="188"/>
    </w:tbl>
    <w:p w14:paraId="7E8E3989">
      <w:pPr>
        <w:ind w:firstLine="420"/>
        <w:rPr>
          <w:rFonts w:hint="default" w:ascii="Times New Roman" w:hAnsi="Times New Roman" w:eastAsia="宋体" w:cs="Times New Roman"/>
          <w:color w:val="auto"/>
          <w:sz w:val="24"/>
          <w:szCs w:val="24"/>
          <w:highlight w:val="none"/>
        </w:rPr>
      </w:pPr>
    </w:p>
    <w:p w14:paraId="4EC18161">
      <w:pPr>
        <w:widowControl w:val="0"/>
        <w:numPr>
          <w:ilvl w:val="0"/>
          <w:numId w:val="0"/>
        </w:numPr>
        <w:jc w:val="both"/>
        <w:rPr>
          <w:rFonts w:hint="eastAsia"/>
          <w:color w:val="auto"/>
          <w:highlight w:val="none"/>
          <w:lang w:eastAsia="zh-CN"/>
        </w:rPr>
      </w:pPr>
    </w:p>
    <w:p w14:paraId="75530A2F">
      <w:pPr>
        <w:rPr>
          <w:rFonts w:hint="eastAsia"/>
          <w:color w:val="auto"/>
          <w:highlight w:val="none"/>
          <w:lang w:eastAsia="zh-CN"/>
        </w:rPr>
      </w:pPr>
      <w:r>
        <w:rPr>
          <w:rFonts w:hint="eastAsia"/>
          <w:color w:val="auto"/>
          <w:highlight w:val="none"/>
          <w:lang w:eastAsia="zh-CN"/>
        </w:rPr>
        <w:br w:type="page"/>
      </w:r>
    </w:p>
    <w:bookmarkEnd w:id="183"/>
    <w:p w14:paraId="4839941F">
      <w:pPr>
        <w:pStyle w:val="2"/>
        <w:spacing w:before="100" w:after="210" w:line="240" w:lineRule="auto"/>
        <w:jc w:val="center"/>
        <w:rPr>
          <w:rFonts w:hint="default" w:ascii="Times New Roman" w:hAnsi="Times New Roman" w:eastAsia="宋体" w:cs="Times New Roman"/>
          <w:color w:val="auto"/>
          <w:spacing w:val="0"/>
          <w:sz w:val="24"/>
          <w:szCs w:val="24"/>
          <w:highlight w:val="none"/>
        </w:rPr>
      </w:pPr>
      <w:bookmarkStart w:id="211" w:name="_Toc4335"/>
      <w:bookmarkStart w:id="212" w:name="_Toc13198"/>
      <w:bookmarkStart w:id="213" w:name="_Toc120614281"/>
      <w:r>
        <w:rPr>
          <w:rFonts w:hint="default" w:ascii="Times New Roman" w:hAnsi="Times New Roman" w:eastAsia="宋体" w:cs="Times New Roman"/>
          <w:color w:val="auto"/>
          <w:spacing w:val="0"/>
          <w:sz w:val="44"/>
          <w:highlight w:val="none"/>
        </w:rPr>
        <w:t>第</w:t>
      </w:r>
      <w:r>
        <w:rPr>
          <w:rFonts w:hint="eastAsia" w:eastAsia="宋体" w:cs="Times New Roman"/>
          <w:color w:val="auto"/>
          <w:spacing w:val="0"/>
          <w:sz w:val="44"/>
          <w:highlight w:val="none"/>
          <w:lang w:val="en-US" w:eastAsia="zh-CN"/>
        </w:rPr>
        <w:t>四</w:t>
      </w:r>
      <w:r>
        <w:rPr>
          <w:rFonts w:hint="default" w:ascii="Times New Roman" w:hAnsi="Times New Roman" w:eastAsia="宋体" w:cs="Times New Roman"/>
          <w:color w:val="auto"/>
          <w:spacing w:val="0"/>
          <w:sz w:val="44"/>
          <w:highlight w:val="none"/>
        </w:rPr>
        <w:t>章  评标方法与评标标准</w:t>
      </w:r>
      <w:bookmarkEnd w:id="211"/>
    </w:p>
    <w:p w14:paraId="15307DB0">
      <w:pPr>
        <w:keepNext w:val="0"/>
        <w:keepLines w:val="0"/>
        <w:pageBreakBefore w:val="0"/>
        <w:widowControl w:val="0"/>
        <w:kinsoku/>
        <w:wordWrap/>
        <w:overflowPunct/>
        <w:topLinePunct w:val="0"/>
        <w:autoSpaceDE/>
        <w:autoSpaceDN/>
        <w:bidi w:val="0"/>
        <w:adjustRightInd w:val="0"/>
        <w:snapToGrid w:val="0"/>
        <w:spacing w:line="360" w:lineRule="auto"/>
        <w:ind w:firstLine="0"/>
        <w:jc w:val="both"/>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一、评标办法</w:t>
      </w:r>
    </w:p>
    <w:p w14:paraId="7768B6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szCs w:val="24"/>
          <w:highlight w:val="none"/>
        </w:rPr>
        <w:t>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default" w:ascii="Times New Roman" w:hAnsi="Times New Roman" w:eastAsia="宋体" w:cs="Times New Roman"/>
          <w:color w:val="auto"/>
          <w:sz w:val="24"/>
          <w:highlight w:val="none"/>
        </w:rPr>
        <w:t>按照技术部分指标优劣顺序推荐。如上述因素均相同，则采用抽签方式确定中标候选人的顺序。</w:t>
      </w:r>
    </w:p>
    <w:p w14:paraId="0ECFB0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2.评分过程中采用“四舍五入”法，并保留2位小数。</w:t>
      </w:r>
    </w:p>
    <w:p w14:paraId="5CB241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3.评标委员会将按下列评标内容和标准进行评分，总分值为100分。</w:t>
      </w:r>
    </w:p>
    <w:p w14:paraId="1E419136">
      <w:pPr>
        <w:keepNext w:val="0"/>
        <w:keepLines w:val="0"/>
        <w:pageBreakBefore w:val="0"/>
        <w:widowControl w:val="0"/>
        <w:kinsoku/>
        <w:wordWrap/>
        <w:overflowPunct/>
        <w:topLinePunct w:val="0"/>
        <w:autoSpaceDE/>
        <w:autoSpaceDN/>
        <w:bidi w:val="0"/>
        <w:adjustRightInd w:val="0"/>
        <w:snapToGrid w:val="0"/>
        <w:spacing w:line="360" w:lineRule="auto"/>
        <w:ind w:firstLine="0"/>
        <w:jc w:val="both"/>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二、评标方法与评标标准</w:t>
      </w:r>
    </w:p>
    <w:tbl>
      <w:tblPr>
        <w:tblStyle w:val="5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89"/>
        <w:gridCol w:w="1374"/>
        <w:gridCol w:w="6929"/>
        <w:gridCol w:w="736"/>
      </w:tblGrid>
      <w:tr w14:paraId="17BE0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1" w:hRule="atLeast"/>
          <w:jc w:val="center"/>
        </w:trPr>
        <w:tc>
          <w:tcPr>
            <w:tcW w:w="354" w:type="pct"/>
            <w:tcMar>
              <w:top w:w="15" w:type="dxa"/>
              <w:left w:w="15" w:type="dxa"/>
              <w:bottom w:w="0" w:type="dxa"/>
              <w:right w:w="15" w:type="dxa"/>
            </w:tcMar>
            <w:vAlign w:val="center"/>
          </w:tcPr>
          <w:p w14:paraId="4E3B0FE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序号</w:t>
            </w:r>
          </w:p>
        </w:tc>
        <w:tc>
          <w:tcPr>
            <w:tcW w:w="706" w:type="pct"/>
            <w:tcMar>
              <w:top w:w="15" w:type="dxa"/>
              <w:left w:w="15" w:type="dxa"/>
              <w:bottom w:w="0" w:type="dxa"/>
              <w:right w:w="15" w:type="dxa"/>
            </w:tcMar>
            <w:vAlign w:val="center"/>
          </w:tcPr>
          <w:p w14:paraId="1E82E7A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评审因素</w:t>
            </w:r>
          </w:p>
        </w:tc>
        <w:tc>
          <w:tcPr>
            <w:tcW w:w="3559" w:type="pct"/>
            <w:tcMar>
              <w:top w:w="15" w:type="dxa"/>
              <w:left w:w="15" w:type="dxa"/>
              <w:bottom w:w="0" w:type="dxa"/>
              <w:right w:w="15" w:type="dxa"/>
            </w:tcMar>
            <w:vAlign w:val="center"/>
          </w:tcPr>
          <w:p w14:paraId="1F3DB18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评分标准说明</w:t>
            </w:r>
          </w:p>
        </w:tc>
        <w:tc>
          <w:tcPr>
            <w:tcW w:w="378" w:type="pct"/>
            <w:tcMar>
              <w:top w:w="15" w:type="dxa"/>
              <w:left w:w="15" w:type="dxa"/>
              <w:bottom w:w="0" w:type="dxa"/>
              <w:right w:w="15" w:type="dxa"/>
            </w:tcMar>
            <w:vAlign w:val="center"/>
          </w:tcPr>
          <w:p w14:paraId="3D61B0C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分值</w:t>
            </w:r>
          </w:p>
        </w:tc>
      </w:tr>
      <w:tr w14:paraId="34A59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54"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A8699F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一</w:t>
            </w:r>
          </w:p>
        </w:tc>
        <w:tc>
          <w:tcPr>
            <w:tcW w:w="4266" w:type="pct"/>
            <w:gridSpan w:val="2"/>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866DC8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投标报价部分</w:t>
            </w:r>
          </w:p>
        </w:tc>
        <w:tc>
          <w:tcPr>
            <w:tcW w:w="378"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2995B0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10分</w:t>
            </w:r>
          </w:p>
        </w:tc>
      </w:tr>
      <w:tr w14:paraId="772CF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354"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5DC8E5E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706"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25B783D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w:t>
            </w:r>
          </w:p>
        </w:tc>
        <w:tc>
          <w:tcPr>
            <w:tcW w:w="3559"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6911755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采用低价优先法计算，即满足招标文件要求且投标价格最低的投标价为评标基准价，其价格分为满分10分。其他投标人的价格分统一按照下列公式计算：</w:t>
            </w:r>
          </w:p>
          <w:p w14:paraId="6124BD7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投标报价得分=（评标基准价/投标报价）*10%*100（保留两位小数）</w:t>
            </w:r>
          </w:p>
          <w:p w14:paraId="5B7383D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价格扣除详见投标人须知33.1中小企业政策要求。</w:t>
            </w:r>
          </w:p>
        </w:tc>
        <w:tc>
          <w:tcPr>
            <w:tcW w:w="378" w:type="pct"/>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37651F4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10分</w:t>
            </w:r>
          </w:p>
        </w:tc>
      </w:tr>
      <w:tr w14:paraId="070F0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54" w:type="pct"/>
            <w:tcMar>
              <w:top w:w="15" w:type="dxa"/>
              <w:left w:w="15" w:type="dxa"/>
              <w:bottom w:w="0" w:type="dxa"/>
              <w:right w:w="15" w:type="dxa"/>
            </w:tcMar>
            <w:vAlign w:val="center"/>
          </w:tcPr>
          <w:p w14:paraId="684F94A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二</w:t>
            </w:r>
          </w:p>
        </w:tc>
        <w:tc>
          <w:tcPr>
            <w:tcW w:w="4266" w:type="pct"/>
            <w:gridSpan w:val="2"/>
            <w:tcMar>
              <w:top w:w="15" w:type="dxa"/>
              <w:left w:w="15" w:type="dxa"/>
              <w:bottom w:w="0" w:type="dxa"/>
              <w:right w:w="15" w:type="dxa"/>
            </w:tcMar>
            <w:vAlign w:val="center"/>
          </w:tcPr>
          <w:p w14:paraId="1C7940F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商务部分</w:t>
            </w:r>
          </w:p>
        </w:tc>
        <w:tc>
          <w:tcPr>
            <w:tcW w:w="378" w:type="pct"/>
            <w:tcMar>
              <w:top w:w="15" w:type="dxa"/>
              <w:left w:w="15" w:type="dxa"/>
              <w:bottom w:w="0" w:type="dxa"/>
              <w:right w:w="15" w:type="dxa"/>
            </w:tcMar>
            <w:vAlign w:val="center"/>
          </w:tcPr>
          <w:p w14:paraId="4C86799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28分</w:t>
            </w:r>
          </w:p>
        </w:tc>
      </w:tr>
      <w:tr w14:paraId="109C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7" w:hRule="atLeast"/>
          <w:jc w:val="center"/>
        </w:trPr>
        <w:tc>
          <w:tcPr>
            <w:tcW w:w="354" w:type="pct"/>
            <w:tcMar>
              <w:top w:w="15" w:type="dxa"/>
              <w:left w:w="15" w:type="dxa"/>
              <w:bottom w:w="0" w:type="dxa"/>
              <w:right w:w="15" w:type="dxa"/>
            </w:tcMar>
            <w:vAlign w:val="center"/>
          </w:tcPr>
          <w:p w14:paraId="60DD12A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706" w:type="pct"/>
            <w:tcMar>
              <w:top w:w="15" w:type="dxa"/>
              <w:left w:w="15" w:type="dxa"/>
              <w:bottom w:w="0" w:type="dxa"/>
              <w:right w:w="15" w:type="dxa"/>
            </w:tcMar>
            <w:vAlign w:val="center"/>
          </w:tcPr>
          <w:p w14:paraId="28B766C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类似业绩</w:t>
            </w:r>
          </w:p>
        </w:tc>
        <w:tc>
          <w:tcPr>
            <w:tcW w:w="3559" w:type="pct"/>
            <w:tcMar>
              <w:top w:w="15" w:type="dxa"/>
              <w:left w:w="15" w:type="dxa"/>
              <w:bottom w:w="0" w:type="dxa"/>
              <w:right w:w="15" w:type="dxa"/>
            </w:tcMar>
            <w:vAlign w:val="center"/>
          </w:tcPr>
          <w:p w14:paraId="2DCC9B8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投标人或其联合体单位自2023年1月1日至今（以合同签订时间为准），具有类似项目（公共机构能源费用托管类）业绩。每有一个得2分，最高得8分。（投标时须提供相应合同的原件扫描件，未提供的不得分。）</w:t>
            </w:r>
          </w:p>
        </w:tc>
        <w:tc>
          <w:tcPr>
            <w:tcW w:w="378" w:type="pct"/>
            <w:tcMar>
              <w:top w:w="15" w:type="dxa"/>
              <w:left w:w="15" w:type="dxa"/>
              <w:bottom w:w="0" w:type="dxa"/>
              <w:right w:w="15" w:type="dxa"/>
            </w:tcMar>
            <w:vAlign w:val="center"/>
          </w:tcPr>
          <w:p w14:paraId="15FD430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0DF53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1" w:hRule="atLeast"/>
          <w:jc w:val="center"/>
        </w:trPr>
        <w:tc>
          <w:tcPr>
            <w:tcW w:w="354" w:type="pct"/>
            <w:tcMar>
              <w:top w:w="15" w:type="dxa"/>
              <w:left w:w="15" w:type="dxa"/>
              <w:bottom w:w="0" w:type="dxa"/>
              <w:right w:w="15" w:type="dxa"/>
            </w:tcMar>
            <w:vAlign w:val="center"/>
          </w:tcPr>
          <w:p w14:paraId="2F9CC94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706" w:type="pct"/>
            <w:tcMar>
              <w:top w:w="15" w:type="dxa"/>
              <w:left w:w="15" w:type="dxa"/>
              <w:bottom w:w="0" w:type="dxa"/>
              <w:right w:w="15" w:type="dxa"/>
            </w:tcMar>
            <w:vAlign w:val="center"/>
          </w:tcPr>
          <w:p w14:paraId="17BBAA1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综合节能率 比较</w:t>
            </w:r>
          </w:p>
        </w:tc>
        <w:tc>
          <w:tcPr>
            <w:tcW w:w="3559" w:type="pct"/>
            <w:tcMar>
              <w:top w:w="15" w:type="dxa"/>
              <w:left w:w="15" w:type="dxa"/>
              <w:bottom w:w="0" w:type="dxa"/>
              <w:right w:w="15" w:type="dxa"/>
            </w:tcMar>
            <w:vAlign w:val="center"/>
          </w:tcPr>
          <w:p w14:paraId="78EE237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投标人承诺在服务期内节能率大于8%的，按以下区段计分：8%＜承诺节能率≤9%的，得2分；承诺节能率</w:t>
            </w:r>
            <w:r>
              <w:rPr>
                <w:rFonts w:hint="eastAsia"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9%的，得4分。</w:t>
            </w:r>
          </w:p>
        </w:tc>
        <w:tc>
          <w:tcPr>
            <w:tcW w:w="378" w:type="pct"/>
            <w:tcMar>
              <w:top w:w="15" w:type="dxa"/>
              <w:left w:w="15" w:type="dxa"/>
              <w:bottom w:w="0" w:type="dxa"/>
              <w:right w:w="15" w:type="dxa"/>
            </w:tcMar>
            <w:vAlign w:val="center"/>
          </w:tcPr>
          <w:p w14:paraId="1B8363F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4分</w:t>
            </w:r>
          </w:p>
        </w:tc>
      </w:tr>
      <w:tr w14:paraId="05C6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1" w:hRule="atLeast"/>
          <w:jc w:val="center"/>
        </w:trPr>
        <w:tc>
          <w:tcPr>
            <w:tcW w:w="354" w:type="pct"/>
            <w:tcMar>
              <w:top w:w="15" w:type="dxa"/>
              <w:left w:w="15" w:type="dxa"/>
              <w:bottom w:w="0" w:type="dxa"/>
              <w:right w:w="15" w:type="dxa"/>
            </w:tcMar>
            <w:vAlign w:val="center"/>
          </w:tcPr>
          <w:p w14:paraId="468FA09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706" w:type="pct"/>
            <w:tcMar>
              <w:top w:w="15" w:type="dxa"/>
              <w:left w:w="15" w:type="dxa"/>
              <w:bottom w:w="0" w:type="dxa"/>
              <w:right w:w="15" w:type="dxa"/>
            </w:tcMar>
            <w:vAlign w:val="center"/>
          </w:tcPr>
          <w:p w14:paraId="4FD0318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服务能力</w:t>
            </w:r>
          </w:p>
          <w:p w14:paraId="1FB7677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认证</w:t>
            </w:r>
          </w:p>
        </w:tc>
        <w:tc>
          <w:tcPr>
            <w:tcW w:w="3559" w:type="pct"/>
            <w:tcMar>
              <w:top w:w="15" w:type="dxa"/>
              <w:left w:w="15" w:type="dxa"/>
              <w:bottom w:w="0" w:type="dxa"/>
              <w:right w:w="15" w:type="dxa"/>
            </w:tcMar>
            <w:vAlign w:val="center"/>
          </w:tcPr>
          <w:p w14:paraId="1B5134C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投标人或其联合体单位具有有效期内的合同能源管理服务认证5A级证书、节能技术服务认证5A级证书、综合能源服务认证5A级证书，有一个得</w:t>
            </w:r>
            <w:r>
              <w:rPr>
                <w:rFonts w:hint="eastAsia"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分，满分</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p w14:paraId="1D89D66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注：1.若为联合体投标，相应证书不重复得分，以得分最高的计分。</w:t>
            </w:r>
          </w:p>
          <w:p w14:paraId="5210076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2.投标时须提供相应有效认证证书原件扫描件。</w:t>
            </w:r>
          </w:p>
        </w:tc>
        <w:tc>
          <w:tcPr>
            <w:tcW w:w="378" w:type="pct"/>
            <w:tcMar>
              <w:top w:w="15" w:type="dxa"/>
              <w:left w:w="15" w:type="dxa"/>
              <w:bottom w:w="0" w:type="dxa"/>
              <w:right w:w="15" w:type="dxa"/>
            </w:tcMar>
            <w:vAlign w:val="center"/>
          </w:tcPr>
          <w:p w14:paraId="7E15A8F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tc>
      </w:tr>
      <w:tr w14:paraId="51D55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1" w:hRule="atLeast"/>
          <w:jc w:val="center"/>
        </w:trPr>
        <w:tc>
          <w:tcPr>
            <w:tcW w:w="354" w:type="pct"/>
            <w:tcMar>
              <w:top w:w="15" w:type="dxa"/>
              <w:left w:w="15" w:type="dxa"/>
              <w:bottom w:w="0" w:type="dxa"/>
              <w:right w:w="15" w:type="dxa"/>
            </w:tcMar>
            <w:vAlign w:val="center"/>
          </w:tcPr>
          <w:p w14:paraId="0B96761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4</w:t>
            </w:r>
          </w:p>
        </w:tc>
        <w:tc>
          <w:tcPr>
            <w:tcW w:w="706" w:type="pct"/>
            <w:tcMar>
              <w:top w:w="15" w:type="dxa"/>
              <w:left w:w="15" w:type="dxa"/>
              <w:bottom w:w="0" w:type="dxa"/>
              <w:right w:w="15" w:type="dxa"/>
            </w:tcMar>
            <w:vAlign w:val="center"/>
          </w:tcPr>
          <w:p w14:paraId="178B245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服务团队</w:t>
            </w:r>
          </w:p>
        </w:tc>
        <w:tc>
          <w:tcPr>
            <w:tcW w:w="3559" w:type="pct"/>
            <w:tcMar>
              <w:top w:w="15" w:type="dxa"/>
              <w:left w:w="15" w:type="dxa"/>
              <w:bottom w:w="0" w:type="dxa"/>
              <w:right w:w="15" w:type="dxa"/>
            </w:tcMar>
            <w:vAlign w:val="center"/>
          </w:tcPr>
          <w:p w14:paraId="5062AEB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1）投标人或其联合体单位拟派的项目负责人具有一级注册建造师（机电工程专业）且具有相应的安全生产知识考核合格证书（B证）得2分；</w:t>
            </w:r>
          </w:p>
          <w:p w14:paraId="4133E00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2）投标人或其联合体单位拟派的项目负责人具有高级工程师职称的得2分；具有</w:t>
            </w:r>
            <w:r>
              <w:rPr>
                <w:rFonts w:hint="eastAsia" w:ascii="Times New Roman" w:hAnsi="Times New Roman" w:eastAsia="宋体" w:cs="Times New Roman"/>
                <w:color w:val="auto"/>
                <w:sz w:val="21"/>
                <w:szCs w:val="21"/>
                <w:highlight w:val="none"/>
                <w:lang w:val="en-US" w:eastAsia="zh-CN"/>
              </w:rPr>
              <w:t>中级</w:t>
            </w:r>
            <w:r>
              <w:rPr>
                <w:rFonts w:hint="default" w:ascii="Times New Roman" w:hAnsi="Times New Roman" w:eastAsia="宋体" w:cs="Times New Roman"/>
                <w:color w:val="auto"/>
                <w:sz w:val="21"/>
                <w:szCs w:val="21"/>
                <w:highlight w:val="none"/>
              </w:rPr>
              <w:t>工程师职称的得1分；</w:t>
            </w:r>
            <w:r>
              <w:rPr>
                <w:rFonts w:hint="eastAsia" w:ascii="Times New Roman" w:hAnsi="Times New Roman" w:eastAsia="宋体" w:cs="Times New Roman"/>
                <w:color w:val="auto"/>
                <w:sz w:val="21"/>
                <w:szCs w:val="21"/>
                <w:highlight w:val="none"/>
                <w:lang w:val="en-US" w:eastAsia="zh-CN"/>
              </w:rPr>
              <w:t>最高得2分。</w:t>
            </w:r>
          </w:p>
          <w:p w14:paraId="52C78DB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3）投标人或其联合体单位拟派的技术负责人（除项目负责人外）具有高级工程师职称的得2分；具有</w:t>
            </w:r>
            <w:r>
              <w:rPr>
                <w:rFonts w:hint="eastAsia" w:ascii="Times New Roman" w:hAnsi="Times New Roman" w:eastAsia="宋体" w:cs="Times New Roman"/>
                <w:color w:val="auto"/>
                <w:sz w:val="21"/>
                <w:szCs w:val="21"/>
                <w:highlight w:val="none"/>
                <w:lang w:val="en-US" w:eastAsia="zh-CN"/>
              </w:rPr>
              <w:t>中级</w:t>
            </w:r>
            <w:r>
              <w:rPr>
                <w:rFonts w:hint="default" w:ascii="Times New Roman" w:hAnsi="Times New Roman" w:eastAsia="宋体" w:cs="Times New Roman"/>
                <w:color w:val="auto"/>
                <w:sz w:val="21"/>
                <w:szCs w:val="21"/>
                <w:highlight w:val="none"/>
              </w:rPr>
              <w:t>工程师职称的得1分；</w:t>
            </w:r>
            <w:r>
              <w:rPr>
                <w:rFonts w:hint="eastAsia" w:ascii="Times New Roman" w:hAnsi="Times New Roman" w:eastAsia="宋体" w:cs="Times New Roman"/>
                <w:color w:val="auto"/>
                <w:sz w:val="21"/>
                <w:szCs w:val="21"/>
                <w:highlight w:val="none"/>
                <w:lang w:val="en-US" w:eastAsia="zh-CN"/>
              </w:rPr>
              <w:t>最高得2分。</w:t>
            </w:r>
          </w:p>
          <w:p w14:paraId="2A6A06A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投标人或其联合体单位拟派的其他团队成员（除项目负责人、技术负责人外）持有包括电工作业、制冷与空调作业</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涉氨制冷作业</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、高处作业、焊接与热切割作业等作业范围的特种作业操作证的，每提供一类得</w:t>
            </w:r>
            <w:r>
              <w:rPr>
                <w:rFonts w:hint="eastAsia" w:ascii="Times New Roman" w:hAnsi="Times New Roman" w:eastAsia="宋体" w:cs="Times New Roman"/>
                <w:color w:val="auto"/>
                <w:sz w:val="21"/>
                <w:szCs w:val="21"/>
                <w:highlight w:val="none"/>
                <w:lang w:val="en-US" w:eastAsia="zh-CN"/>
              </w:rPr>
              <w:t>0.5</w:t>
            </w:r>
            <w:r>
              <w:rPr>
                <w:rFonts w:hint="default" w:ascii="Times New Roman" w:hAnsi="Times New Roman" w:eastAsia="宋体" w:cs="Times New Roman"/>
                <w:color w:val="auto"/>
                <w:sz w:val="21"/>
                <w:szCs w:val="21"/>
                <w:highlight w:val="none"/>
              </w:rPr>
              <w:t>分，同一人</w:t>
            </w:r>
            <w:r>
              <w:rPr>
                <w:rFonts w:hint="eastAsia" w:ascii="Times New Roman" w:hAnsi="Times New Roman" w:eastAsia="宋体" w:cs="Times New Roman"/>
                <w:color w:val="auto"/>
                <w:sz w:val="21"/>
                <w:szCs w:val="21"/>
                <w:highlight w:val="none"/>
                <w:lang w:val="en-US" w:eastAsia="zh-CN"/>
              </w:rPr>
              <w:t>和</w:t>
            </w:r>
            <w:r>
              <w:rPr>
                <w:rFonts w:hint="eastAsia" w:ascii="Times New Roman" w:hAnsi="Times New Roman" w:eastAsia="宋体" w:cs="Times New Roman"/>
                <w:color w:val="auto"/>
                <w:sz w:val="21"/>
                <w:szCs w:val="21"/>
                <w:highlight w:val="none"/>
              </w:rPr>
              <w:t>同一专业</w:t>
            </w:r>
            <w:r>
              <w:rPr>
                <w:rFonts w:hint="eastAsia" w:ascii="Times New Roman" w:hAnsi="Times New Roman" w:eastAsia="宋体" w:cs="Times New Roman"/>
                <w:color w:val="auto"/>
                <w:sz w:val="21"/>
                <w:szCs w:val="21"/>
                <w:highlight w:val="none"/>
                <w:lang w:val="en-US" w:eastAsia="zh-CN"/>
              </w:rPr>
              <w:t>均</w:t>
            </w:r>
            <w:r>
              <w:rPr>
                <w:rFonts w:hint="eastAsia" w:ascii="Times New Roman" w:hAnsi="Times New Roman" w:eastAsia="宋体" w:cs="Times New Roman"/>
                <w:color w:val="auto"/>
                <w:sz w:val="21"/>
                <w:szCs w:val="21"/>
                <w:highlight w:val="none"/>
              </w:rPr>
              <w:t>不重复计</w:t>
            </w:r>
            <w:r>
              <w:rPr>
                <w:rFonts w:hint="eastAsia" w:ascii="Times New Roman" w:hAnsi="Times New Roman" w:eastAsia="宋体" w:cs="Times New Roman"/>
                <w:color w:val="auto"/>
                <w:sz w:val="21"/>
                <w:szCs w:val="21"/>
                <w:highlight w:val="none"/>
                <w:lang w:val="en-US" w:eastAsia="zh-CN"/>
              </w:rPr>
              <w:t>分</w:t>
            </w:r>
            <w:r>
              <w:rPr>
                <w:rFonts w:hint="default"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val="en-US" w:eastAsia="zh-CN"/>
              </w:rPr>
              <w:t>最高得2分。</w:t>
            </w:r>
          </w:p>
          <w:p w14:paraId="31E6BA5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投标人或其联合体单位拟派团队中的其他团队成员（除项目负责人、技术负责人外）具有电子信息类、自动化类、智能化类、暖通类、建筑环境与设备类、电气类、给排水类、照明类、造价类等相关专业高级工程师每有1人得1分；中级工程师每有1人得0.5分；满分5分，同一人按最高等级计分，同一专业不重复计分。</w:t>
            </w:r>
          </w:p>
          <w:p w14:paraId="3626C4B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注：</w:t>
            </w:r>
            <w:r>
              <w:rPr>
                <w:rFonts w:hint="eastAsia" w:ascii="Times New Roman" w:hAnsi="Times New Roman" w:eastAsia="宋体" w:cs="Times New Roman"/>
                <w:color w:val="auto"/>
                <w:sz w:val="21"/>
                <w:szCs w:val="21"/>
                <w:highlight w:val="none"/>
                <w:lang w:val="en-US" w:eastAsia="zh-CN"/>
              </w:rPr>
              <w:t>1.如职称证书不能显示专业的，另需提供职称评审表原件扫描件；2.</w:t>
            </w:r>
            <w:r>
              <w:rPr>
                <w:rFonts w:hint="default" w:ascii="Times New Roman" w:hAnsi="Times New Roman" w:eastAsia="宋体" w:cs="Times New Roman"/>
                <w:color w:val="auto"/>
                <w:sz w:val="21"/>
                <w:szCs w:val="21"/>
                <w:highlight w:val="none"/>
              </w:rPr>
              <w:t>投标人或其联合体单位</w:t>
            </w:r>
            <w:r>
              <w:rPr>
                <w:rFonts w:hint="default" w:ascii="Times New Roman" w:hAnsi="Times New Roman" w:eastAsia="宋体" w:cs="Times New Roman"/>
                <w:color w:val="auto"/>
                <w:sz w:val="21"/>
                <w:szCs w:val="21"/>
                <w:highlight w:val="none"/>
                <w:lang w:val="en-US" w:eastAsia="zh-CN"/>
              </w:rPr>
              <w:t>须提供上述服务团队人员的证书扫描件及投标截止时间近</w:t>
            </w:r>
            <w:r>
              <w:rPr>
                <w:rFonts w:hint="eastAsia" w:ascii="Times New Roman" w:hAnsi="Times New Roman" w:eastAsia="宋体" w:cs="Times New Roman"/>
                <w:color w:val="auto"/>
                <w:sz w:val="21"/>
                <w:szCs w:val="21"/>
                <w:highlight w:val="none"/>
                <w:lang w:val="en-US" w:eastAsia="zh-CN"/>
              </w:rPr>
              <w:t>六</w:t>
            </w:r>
            <w:r>
              <w:rPr>
                <w:rFonts w:hint="default" w:ascii="Times New Roman" w:hAnsi="Times New Roman" w:eastAsia="宋体" w:cs="Times New Roman"/>
                <w:color w:val="auto"/>
                <w:sz w:val="21"/>
                <w:szCs w:val="21"/>
                <w:highlight w:val="none"/>
                <w:lang w:val="en-US" w:eastAsia="zh-CN"/>
              </w:rPr>
              <w:t>个月中任意</w:t>
            </w:r>
            <w:r>
              <w:rPr>
                <w:rFonts w:hint="eastAsia" w:ascii="Times New Roman" w:hAnsi="Times New Roman" w:eastAsia="宋体" w:cs="Times New Roman"/>
                <w:color w:val="auto"/>
                <w:sz w:val="21"/>
                <w:szCs w:val="21"/>
                <w:highlight w:val="none"/>
                <w:lang w:val="en-US" w:eastAsia="zh-CN"/>
              </w:rPr>
              <w:t>三</w:t>
            </w:r>
            <w:r>
              <w:rPr>
                <w:rFonts w:hint="default" w:ascii="Times New Roman" w:hAnsi="Times New Roman" w:eastAsia="宋体" w:cs="Times New Roman"/>
                <w:color w:val="auto"/>
                <w:sz w:val="21"/>
                <w:szCs w:val="21"/>
                <w:highlight w:val="none"/>
                <w:lang w:val="en-US" w:eastAsia="zh-CN"/>
              </w:rPr>
              <w:t>个月（不含投标当月）的社保缴纳证明（须明确缴费月份、个人姓名、缴费单位且加盖社保中心章或社保中心参保缴费证明电子专用章）；如成立不足</w:t>
            </w:r>
            <w:r>
              <w:rPr>
                <w:rFonts w:hint="eastAsia" w:ascii="Times New Roman" w:hAnsi="Times New Roman" w:eastAsia="宋体" w:cs="Times New Roman"/>
                <w:color w:val="auto"/>
                <w:sz w:val="21"/>
                <w:szCs w:val="21"/>
                <w:highlight w:val="none"/>
                <w:lang w:val="en-US" w:eastAsia="zh-CN"/>
              </w:rPr>
              <w:t>三</w:t>
            </w:r>
            <w:r>
              <w:rPr>
                <w:rFonts w:hint="default" w:ascii="Times New Roman" w:hAnsi="Times New Roman" w:eastAsia="宋体" w:cs="Times New Roman"/>
                <w:color w:val="auto"/>
                <w:sz w:val="21"/>
                <w:szCs w:val="21"/>
                <w:highlight w:val="none"/>
                <w:lang w:val="en-US" w:eastAsia="zh-CN"/>
              </w:rPr>
              <w:t>个月的须承诺所有人员满足上述要求，且与所有人员签订劳动合同，并按国家规定缴纳各类保险等，投标人提供承诺书并加盖公章（承诺书格式自拟），否则不得分。</w:t>
            </w:r>
          </w:p>
        </w:tc>
        <w:tc>
          <w:tcPr>
            <w:tcW w:w="378" w:type="pct"/>
            <w:tcMar>
              <w:top w:w="15" w:type="dxa"/>
              <w:left w:w="15" w:type="dxa"/>
              <w:bottom w:w="0" w:type="dxa"/>
              <w:right w:w="15" w:type="dxa"/>
            </w:tcMar>
            <w:vAlign w:val="center"/>
          </w:tcPr>
          <w:p w14:paraId="14A85B1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eastAsia"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p>
        </w:tc>
      </w:tr>
      <w:tr w14:paraId="566C0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354" w:type="pct"/>
            <w:tcMar>
              <w:top w:w="15" w:type="dxa"/>
              <w:left w:w="15" w:type="dxa"/>
              <w:bottom w:w="0" w:type="dxa"/>
              <w:right w:w="15" w:type="dxa"/>
            </w:tcMar>
            <w:vAlign w:val="center"/>
          </w:tcPr>
          <w:p w14:paraId="2D34240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三</w:t>
            </w:r>
          </w:p>
        </w:tc>
        <w:tc>
          <w:tcPr>
            <w:tcW w:w="4266" w:type="pct"/>
            <w:gridSpan w:val="2"/>
            <w:tcMar>
              <w:top w:w="15" w:type="dxa"/>
              <w:left w:w="15" w:type="dxa"/>
              <w:bottom w:w="0" w:type="dxa"/>
              <w:right w:w="15" w:type="dxa"/>
            </w:tcMar>
            <w:vAlign w:val="center"/>
          </w:tcPr>
          <w:p w14:paraId="2F6A9CC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技术部分</w:t>
            </w:r>
          </w:p>
        </w:tc>
        <w:tc>
          <w:tcPr>
            <w:tcW w:w="378" w:type="pct"/>
            <w:tcMar>
              <w:top w:w="15" w:type="dxa"/>
              <w:left w:w="15" w:type="dxa"/>
              <w:bottom w:w="0" w:type="dxa"/>
              <w:right w:w="15" w:type="dxa"/>
            </w:tcMar>
            <w:vAlign w:val="center"/>
          </w:tcPr>
          <w:p w14:paraId="1F66B78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62分</w:t>
            </w:r>
          </w:p>
        </w:tc>
      </w:tr>
      <w:tr w14:paraId="3CC89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354" w:type="pct"/>
            <w:tcMar>
              <w:top w:w="15" w:type="dxa"/>
              <w:left w:w="15" w:type="dxa"/>
              <w:bottom w:w="0" w:type="dxa"/>
              <w:right w:w="15" w:type="dxa"/>
            </w:tcMar>
            <w:vAlign w:val="center"/>
          </w:tcPr>
          <w:p w14:paraId="18A4FEA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706" w:type="pct"/>
            <w:tcMar>
              <w:top w:w="15" w:type="dxa"/>
              <w:left w:w="15" w:type="dxa"/>
              <w:bottom w:w="0" w:type="dxa"/>
              <w:right w:w="15" w:type="dxa"/>
            </w:tcMar>
            <w:vAlign w:val="center"/>
          </w:tcPr>
          <w:p w14:paraId="7D7B145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能源管理</w:t>
            </w:r>
          </w:p>
          <w:p w14:paraId="2E6973B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现状诊断分析</w:t>
            </w:r>
          </w:p>
        </w:tc>
        <w:tc>
          <w:tcPr>
            <w:tcW w:w="3559" w:type="pct"/>
            <w:tcMar>
              <w:top w:w="15" w:type="dxa"/>
              <w:left w:w="15" w:type="dxa"/>
              <w:bottom w:w="0" w:type="dxa"/>
              <w:right w:w="15" w:type="dxa"/>
            </w:tcMar>
            <w:vAlign w:val="center"/>
          </w:tcPr>
          <w:p w14:paraId="3D9E67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投标人提供的综合节能改造前的项目现状诊断分析方案进行评审。应包含但不限于能源消耗诊断（水、电、燃气、热力）、能源计量诊断、用能系统诊断（空调、照明、生活热水、分布式光伏等）、能源管理平台诊断、问题分析及解决措施等。</w:t>
            </w:r>
          </w:p>
          <w:p w14:paraId="4752443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1.对建筑能耗基准指标性能评价与分析精准到位、清晰明了，对现存问题的分析和判断精准到位、合理的得8分；</w:t>
            </w:r>
          </w:p>
          <w:p w14:paraId="2A55418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2.对建筑能耗基准指标性能评价与分析较准确、较清晰，对现存问题的分析和判断较准确、较合理的得6分；</w:t>
            </w:r>
          </w:p>
          <w:p w14:paraId="25E290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3.对建筑能耗基准指标性能评价与分析简单，对现存问题的分析和判断有偏差、欠合理的得4分；</w:t>
            </w:r>
          </w:p>
          <w:p w14:paraId="511DD53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4.内容简单提及的得2分；未提供不得分。</w:t>
            </w:r>
          </w:p>
        </w:tc>
        <w:tc>
          <w:tcPr>
            <w:tcW w:w="378" w:type="pct"/>
            <w:tcMar>
              <w:top w:w="15" w:type="dxa"/>
              <w:left w:w="15" w:type="dxa"/>
              <w:bottom w:w="0" w:type="dxa"/>
              <w:right w:w="15" w:type="dxa"/>
            </w:tcMar>
            <w:vAlign w:val="center"/>
          </w:tcPr>
          <w:p w14:paraId="28EC082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61E5C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354" w:type="pct"/>
            <w:tcMar>
              <w:top w:w="15" w:type="dxa"/>
              <w:left w:w="15" w:type="dxa"/>
              <w:bottom w:w="0" w:type="dxa"/>
              <w:right w:w="15" w:type="dxa"/>
            </w:tcMar>
            <w:vAlign w:val="center"/>
          </w:tcPr>
          <w:p w14:paraId="3B6C6B0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706" w:type="pct"/>
            <w:tcMar>
              <w:top w:w="15" w:type="dxa"/>
              <w:left w:w="15" w:type="dxa"/>
              <w:bottom w:w="0" w:type="dxa"/>
              <w:right w:w="15" w:type="dxa"/>
            </w:tcMar>
            <w:vAlign w:val="center"/>
          </w:tcPr>
          <w:p w14:paraId="6FD14A9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节能量与节能效益分析</w:t>
            </w:r>
          </w:p>
        </w:tc>
        <w:tc>
          <w:tcPr>
            <w:tcW w:w="3559" w:type="pct"/>
            <w:tcMar>
              <w:top w:w="15" w:type="dxa"/>
              <w:left w:w="15" w:type="dxa"/>
              <w:bottom w:w="0" w:type="dxa"/>
              <w:right w:w="15" w:type="dxa"/>
            </w:tcMar>
            <w:vAlign w:val="center"/>
          </w:tcPr>
          <w:p w14:paraId="78A587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根据投标人基于项目现状提供的节能量与节能效益理论值预测分析进行评审。应包含但不限于节能量测算（计算模式、分析过程、预测结果）、技术效益、经济效益、社会效益分析等内容。</w:t>
            </w:r>
          </w:p>
          <w:p w14:paraId="1EDFA1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1.节能量测算模式科学规范、测算过程完整严谨、节能预测结果可信；技术效益、经济效益、社会效益分析全面详实、论证充分，测算方案前瞻性与落地性强，满足采购需求的得8分；</w:t>
            </w:r>
          </w:p>
          <w:p w14:paraId="10014A9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2.节能量测算模式合理、测算过程较为完整、节能预测结果基本客观；技术效益、经济效益、社会效益分析较为全面论证基本充分，较大程度契合采购需求的得6分；</w:t>
            </w:r>
          </w:p>
          <w:p w14:paraId="2B2486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3.节能量测算模式存在瑕疵、测算过程有所缺失、节能预测结果粗略；技术效益、经济效益、社会效益分析不够完善，内容基本可行，部分契合采购需求或经过优化可以满足采购需求的得4分；</w:t>
            </w:r>
          </w:p>
          <w:p w14:paraId="769E7F8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4.内容简单提及的得2分，未提供不得分。</w:t>
            </w:r>
          </w:p>
        </w:tc>
        <w:tc>
          <w:tcPr>
            <w:tcW w:w="378" w:type="pct"/>
            <w:tcMar>
              <w:top w:w="15" w:type="dxa"/>
              <w:left w:w="15" w:type="dxa"/>
              <w:bottom w:w="0" w:type="dxa"/>
              <w:right w:w="15" w:type="dxa"/>
            </w:tcMar>
            <w:vAlign w:val="center"/>
          </w:tcPr>
          <w:p w14:paraId="2496548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63EF4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3" w:hRule="atLeast"/>
          <w:jc w:val="center"/>
        </w:trPr>
        <w:tc>
          <w:tcPr>
            <w:tcW w:w="354" w:type="pct"/>
            <w:tcMar>
              <w:top w:w="15" w:type="dxa"/>
              <w:left w:w="15" w:type="dxa"/>
              <w:bottom w:w="0" w:type="dxa"/>
              <w:right w:w="15" w:type="dxa"/>
            </w:tcMar>
            <w:vAlign w:val="center"/>
          </w:tcPr>
          <w:p w14:paraId="67388A2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706" w:type="pct"/>
            <w:tcMar>
              <w:top w:w="15" w:type="dxa"/>
              <w:left w:w="15" w:type="dxa"/>
              <w:bottom w:w="0" w:type="dxa"/>
              <w:right w:w="15" w:type="dxa"/>
            </w:tcMar>
            <w:vAlign w:val="center"/>
          </w:tcPr>
          <w:p w14:paraId="1E9303A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节能改造</w:t>
            </w:r>
          </w:p>
          <w:p w14:paraId="55677FA1">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方案</w:t>
            </w:r>
          </w:p>
        </w:tc>
        <w:tc>
          <w:tcPr>
            <w:tcW w:w="3559" w:type="pct"/>
            <w:tcMar>
              <w:top w:w="15" w:type="dxa"/>
              <w:left w:w="15" w:type="dxa"/>
              <w:bottom w:w="0" w:type="dxa"/>
              <w:right w:w="15" w:type="dxa"/>
            </w:tcMar>
            <w:vAlign w:val="center"/>
          </w:tcPr>
          <w:p w14:paraId="44D008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根据投标人基于项目现状提出的项目节能改造方案进行评审。应包含但不限于以下方面：节能改造措施、能源耦合利用、软件水平、硬件投入等。</w:t>
            </w:r>
          </w:p>
          <w:p w14:paraId="59B831E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1.改造方案内容详细，改造措施科学合理，能够实现能源耦合利用，软件水平高，硬件改造投入到位，优于采购需求的得8分；</w:t>
            </w:r>
          </w:p>
          <w:p w14:paraId="78260E2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2.改造方案内容较详细，改造措施较合理，较能够实现能源耦合利用，软件水平较高，硬件改造投入较到位，满足采购需求的得6分；</w:t>
            </w:r>
          </w:p>
          <w:p w14:paraId="6778BE6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3.改造方案内容一般，改造措施简单，基本实现能源耦合利用，软件水平一般，硬件改造投入较少，基本能满足采购需求的得4分；</w:t>
            </w:r>
          </w:p>
          <w:p w14:paraId="6D1FB2A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4.内容简单提及的得2分；未提供不得分。</w:t>
            </w:r>
          </w:p>
        </w:tc>
        <w:tc>
          <w:tcPr>
            <w:tcW w:w="378" w:type="pct"/>
            <w:tcMar>
              <w:top w:w="15" w:type="dxa"/>
              <w:left w:w="15" w:type="dxa"/>
              <w:bottom w:w="0" w:type="dxa"/>
              <w:right w:w="15" w:type="dxa"/>
            </w:tcMar>
            <w:vAlign w:val="center"/>
          </w:tcPr>
          <w:p w14:paraId="060EDC8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13025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354" w:type="pct"/>
            <w:tcMar>
              <w:top w:w="15" w:type="dxa"/>
              <w:left w:w="15" w:type="dxa"/>
              <w:bottom w:w="0" w:type="dxa"/>
              <w:right w:w="15" w:type="dxa"/>
            </w:tcMar>
            <w:vAlign w:val="center"/>
          </w:tcPr>
          <w:p w14:paraId="051CB225">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706" w:type="pct"/>
            <w:tcMar>
              <w:top w:w="15" w:type="dxa"/>
              <w:left w:w="15" w:type="dxa"/>
              <w:bottom w:w="0" w:type="dxa"/>
              <w:right w:w="15" w:type="dxa"/>
            </w:tcMar>
            <w:vAlign w:val="center"/>
          </w:tcPr>
          <w:p w14:paraId="4EFC61D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能源管理“一张网”平台</w:t>
            </w:r>
          </w:p>
          <w:p w14:paraId="30DB6AE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建设方案</w:t>
            </w:r>
          </w:p>
        </w:tc>
        <w:tc>
          <w:tcPr>
            <w:tcW w:w="3559" w:type="pct"/>
            <w:tcMar>
              <w:top w:w="15" w:type="dxa"/>
              <w:left w:w="15" w:type="dxa"/>
              <w:bottom w:w="0" w:type="dxa"/>
              <w:right w:w="15" w:type="dxa"/>
            </w:tcMar>
            <w:vAlign w:val="center"/>
          </w:tcPr>
          <w:p w14:paraId="4ED20A0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根据投标人基于采购需求提供的能源管理“一张网”平台建设方案进行评审。应包含但不限于建设思路、系统架构、系统部署、软件功能、安全保护等。</w:t>
            </w:r>
          </w:p>
          <w:p w14:paraId="0D63811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1.功能实用，描述清晰，图文并茂，功能截图能够佐证满足技术要求，完全符合项目需求的，得8分；</w:t>
            </w:r>
          </w:p>
          <w:p w14:paraId="6BB199C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2.功能较实用，描述较清晰，有部分功能截图，能够符合项目需求的，得6分；</w:t>
            </w:r>
          </w:p>
          <w:p w14:paraId="02DB5E8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3.功能一般，描述一般，无功能截图，能够基本符合项目需求的，得4分；</w:t>
            </w:r>
          </w:p>
          <w:p w14:paraId="15D2EC3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4.内容简单提及的得2分；未提供不得分。</w:t>
            </w:r>
          </w:p>
        </w:tc>
        <w:tc>
          <w:tcPr>
            <w:tcW w:w="378" w:type="pct"/>
            <w:tcMar>
              <w:top w:w="15" w:type="dxa"/>
              <w:left w:w="15" w:type="dxa"/>
              <w:bottom w:w="0" w:type="dxa"/>
              <w:right w:w="15" w:type="dxa"/>
            </w:tcMar>
            <w:vAlign w:val="center"/>
          </w:tcPr>
          <w:p w14:paraId="7FB5D0D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0E5A3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354" w:type="pct"/>
            <w:tcMar>
              <w:top w:w="15" w:type="dxa"/>
              <w:left w:w="15" w:type="dxa"/>
              <w:bottom w:w="0" w:type="dxa"/>
              <w:right w:w="15" w:type="dxa"/>
            </w:tcMar>
            <w:vAlign w:val="center"/>
          </w:tcPr>
          <w:p w14:paraId="3040892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706" w:type="pct"/>
            <w:tcMar>
              <w:top w:w="15" w:type="dxa"/>
              <w:left w:w="15" w:type="dxa"/>
              <w:bottom w:w="0" w:type="dxa"/>
              <w:right w:w="15" w:type="dxa"/>
            </w:tcMar>
            <w:vAlign w:val="center"/>
          </w:tcPr>
          <w:p w14:paraId="5938D43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能源管理计量与控制方案</w:t>
            </w:r>
          </w:p>
        </w:tc>
        <w:tc>
          <w:tcPr>
            <w:tcW w:w="3559" w:type="pct"/>
            <w:tcMar>
              <w:top w:w="15" w:type="dxa"/>
              <w:left w:w="15" w:type="dxa"/>
              <w:bottom w:w="0" w:type="dxa"/>
              <w:right w:w="15" w:type="dxa"/>
            </w:tcMar>
            <w:vAlign w:val="center"/>
          </w:tcPr>
          <w:p w14:paraId="0E15D21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投标人基于采购需求提供的现场能源管理计量与控制系统建设的设计原则，以及跟能源管理“一张网”平台无缝融合的技术方案进行评审。应包含但不限于设计原则及建设标准、能源管理“一张网”平台融合技术方案等。</w:t>
            </w:r>
          </w:p>
          <w:p w14:paraId="3AA88CF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1.原则合理科学，技术方案清晰详细，完全符合项目需求，得8分；</w:t>
            </w:r>
          </w:p>
          <w:p w14:paraId="217D8D6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2.原则基本合理，技术方案较为清晰详细，能够符合项目需求，得6分；</w:t>
            </w:r>
          </w:p>
          <w:p w14:paraId="422651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3.原则合理性一般，技术方案清晰详细程度一般，只能基本符合项目需求，得4分；</w:t>
            </w:r>
          </w:p>
          <w:p w14:paraId="00461C1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4.内容简单提及的得2分；未提供不得分。</w:t>
            </w:r>
          </w:p>
        </w:tc>
        <w:tc>
          <w:tcPr>
            <w:tcW w:w="378" w:type="pct"/>
            <w:tcMar>
              <w:top w:w="15" w:type="dxa"/>
              <w:left w:w="15" w:type="dxa"/>
              <w:bottom w:w="0" w:type="dxa"/>
              <w:right w:w="15" w:type="dxa"/>
            </w:tcMar>
            <w:vAlign w:val="center"/>
          </w:tcPr>
          <w:p w14:paraId="231D8BD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6AA29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354" w:type="pct"/>
            <w:tcMar>
              <w:top w:w="15" w:type="dxa"/>
              <w:left w:w="15" w:type="dxa"/>
              <w:bottom w:w="0" w:type="dxa"/>
              <w:right w:w="15" w:type="dxa"/>
            </w:tcMar>
            <w:vAlign w:val="center"/>
          </w:tcPr>
          <w:p w14:paraId="47E3F1E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w:t>
            </w:r>
          </w:p>
        </w:tc>
        <w:tc>
          <w:tcPr>
            <w:tcW w:w="706" w:type="pct"/>
            <w:tcMar>
              <w:top w:w="15" w:type="dxa"/>
              <w:left w:w="15" w:type="dxa"/>
              <w:bottom w:w="0" w:type="dxa"/>
              <w:right w:w="15" w:type="dxa"/>
            </w:tcMar>
            <w:vAlign w:val="center"/>
          </w:tcPr>
          <w:p w14:paraId="777F934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项目节能运营组织实施方案</w:t>
            </w:r>
          </w:p>
        </w:tc>
        <w:tc>
          <w:tcPr>
            <w:tcW w:w="3559" w:type="pct"/>
            <w:tcMar>
              <w:top w:w="15" w:type="dxa"/>
              <w:left w:w="15" w:type="dxa"/>
              <w:bottom w:w="0" w:type="dxa"/>
              <w:right w:w="15" w:type="dxa"/>
            </w:tcMar>
            <w:vAlign w:val="center"/>
          </w:tcPr>
          <w:p w14:paraId="7392BE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投标人基于采购需求提供的项目节能运营组织实施方案进行评审。应包含但不限于精细化运营服务组织及标准、与平台相融合的服务流程、精细化运营服务管理制度、信息化系统运维服务、设施设备运维服务、技术培训服务、用能分析报告（模板）等。</w:t>
            </w:r>
          </w:p>
          <w:p w14:paraId="1DC84E9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1.方案内容全面详实，科学先进且适配项目需求、措施完善高效、完全契合项目核心运营需求的得8分；</w:t>
            </w:r>
          </w:p>
          <w:p w14:paraId="65376C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2.方案内容较全面，具备合理性与适配性、措施较完善可行、满足项目核心运营需求的得6分；</w:t>
            </w:r>
          </w:p>
          <w:p w14:paraId="621AB1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3.方案内容不够完整，部分核心要素缺失、措施针对性一般、仅能满足项目基础运营需求的得4分；</w:t>
            </w:r>
          </w:p>
          <w:p w14:paraId="3D787513">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4.仅简单提及方案框架，未明确核心内容、措施缺乏可操作性的得2分；未提供不得分。</w:t>
            </w:r>
          </w:p>
        </w:tc>
        <w:tc>
          <w:tcPr>
            <w:tcW w:w="378" w:type="pct"/>
            <w:tcMar>
              <w:top w:w="15" w:type="dxa"/>
              <w:left w:w="15" w:type="dxa"/>
              <w:bottom w:w="0" w:type="dxa"/>
              <w:right w:w="15" w:type="dxa"/>
            </w:tcMar>
            <w:vAlign w:val="center"/>
          </w:tcPr>
          <w:p w14:paraId="664FD072">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5D96D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354" w:type="pct"/>
            <w:tcMar>
              <w:top w:w="15" w:type="dxa"/>
              <w:left w:w="15" w:type="dxa"/>
              <w:bottom w:w="0" w:type="dxa"/>
              <w:right w:w="15" w:type="dxa"/>
            </w:tcMar>
            <w:vAlign w:val="center"/>
          </w:tcPr>
          <w:p w14:paraId="3C960E2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w:t>
            </w:r>
          </w:p>
        </w:tc>
        <w:tc>
          <w:tcPr>
            <w:tcW w:w="706" w:type="pct"/>
            <w:tcMar>
              <w:top w:w="15" w:type="dxa"/>
              <w:left w:w="15" w:type="dxa"/>
              <w:bottom w:w="0" w:type="dxa"/>
              <w:right w:w="15" w:type="dxa"/>
            </w:tcMar>
            <w:vAlign w:val="center"/>
          </w:tcPr>
          <w:p w14:paraId="6583A2B9">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应急预案</w:t>
            </w:r>
          </w:p>
        </w:tc>
        <w:tc>
          <w:tcPr>
            <w:tcW w:w="3559" w:type="pct"/>
            <w:tcMar>
              <w:top w:w="15" w:type="dxa"/>
              <w:left w:w="15" w:type="dxa"/>
              <w:bottom w:w="0" w:type="dxa"/>
              <w:right w:w="15" w:type="dxa"/>
            </w:tcMar>
            <w:vAlign w:val="center"/>
          </w:tcPr>
          <w:p w14:paraId="7F05253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根据投标人提供的应急预案进行评审。应包含但不限于安全管理组织机构、安全文明管理制度、安全文明施工技术措施、安全风险事件管理、安全文明培训、应急方案等。</w:t>
            </w:r>
          </w:p>
          <w:p w14:paraId="3092E03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1.组织架构合理，制度完善，措施有效，应急方案可操作性强，优于采购需求得8分；</w:t>
            </w:r>
          </w:p>
          <w:p w14:paraId="58E2532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2.组织架构较合理，制度较完善，措施较有效，应急方案可操作性较强，满足采购需求得6分；</w:t>
            </w:r>
          </w:p>
          <w:p w14:paraId="5C2FA13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.组织架构一般，制度一般，措施一般，应急方案可操作性一般，基本符合采购需求得4分；</w:t>
            </w:r>
          </w:p>
          <w:p w14:paraId="75E9BC4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4.内容简单提及的得2分；未提供不得分。</w:t>
            </w:r>
          </w:p>
        </w:tc>
        <w:tc>
          <w:tcPr>
            <w:tcW w:w="378" w:type="pct"/>
            <w:tcMar>
              <w:top w:w="15" w:type="dxa"/>
              <w:left w:w="15" w:type="dxa"/>
              <w:bottom w:w="0" w:type="dxa"/>
              <w:right w:w="15" w:type="dxa"/>
            </w:tcMar>
            <w:vAlign w:val="center"/>
          </w:tcPr>
          <w:p w14:paraId="517FD7D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8分</w:t>
            </w:r>
          </w:p>
        </w:tc>
      </w:tr>
      <w:tr w14:paraId="199DD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 w:hRule="atLeast"/>
          <w:jc w:val="center"/>
        </w:trPr>
        <w:tc>
          <w:tcPr>
            <w:tcW w:w="354" w:type="pct"/>
            <w:tcMar>
              <w:top w:w="15" w:type="dxa"/>
              <w:left w:w="15" w:type="dxa"/>
              <w:bottom w:w="0" w:type="dxa"/>
              <w:right w:w="15" w:type="dxa"/>
            </w:tcMar>
            <w:vAlign w:val="center"/>
          </w:tcPr>
          <w:p w14:paraId="71FDF77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w:t>
            </w:r>
          </w:p>
        </w:tc>
        <w:tc>
          <w:tcPr>
            <w:tcW w:w="706" w:type="pct"/>
            <w:tcMar>
              <w:top w:w="15" w:type="dxa"/>
              <w:left w:w="15" w:type="dxa"/>
              <w:bottom w:w="0" w:type="dxa"/>
              <w:right w:w="15" w:type="dxa"/>
            </w:tcMar>
            <w:vAlign w:val="center"/>
          </w:tcPr>
          <w:p w14:paraId="264291C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数据保密</w:t>
            </w:r>
          </w:p>
          <w:p w14:paraId="4DFF0C7A">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color w:val="auto"/>
                <w:sz w:val="21"/>
                <w:szCs w:val="21"/>
                <w:highlight w:val="none"/>
              </w:rPr>
              <w:t>方案</w:t>
            </w:r>
          </w:p>
        </w:tc>
        <w:tc>
          <w:tcPr>
            <w:tcW w:w="3559" w:type="pct"/>
            <w:tcMar>
              <w:top w:w="15" w:type="dxa"/>
              <w:left w:w="15" w:type="dxa"/>
              <w:bottom w:w="0" w:type="dxa"/>
              <w:right w:w="15" w:type="dxa"/>
            </w:tcMar>
            <w:vAlign w:val="center"/>
          </w:tcPr>
          <w:p w14:paraId="5954DC5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根据投标人提供的数据保密方案进行评审，包括但不限于专门针对数据保密的措施、确保托管机关能源数据及相关涉密信息安全措施等。</w:t>
            </w:r>
          </w:p>
          <w:p w14:paraId="5AC4599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bCs/>
                <w:color w:val="auto"/>
                <w:sz w:val="21"/>
                <w:szCs w:val="21"/>
                <w:highlight w:val="none"/>
              </w:rPr>
            </w:pPr>
            <w:r>
              <w:rPr>
                <w:rFonts w:hint="default" w:ascii="Times New Roman" w:hAnsi="Times New Roman" w:eastAsia="宋体" w:cs="Times New Roman"/>
                <w:bCs/>
                <w:color w:val="auto"/>
                <w:sz w:val="21"/>
                <w:szCs w:val="21"/>
                <w:highlight w:val="none"/>
              </w:rPr>
              <w:t>1.措施科学完整、可操作性强的得</w:t>
            </w:r>
            <w:r>
              <w:rPr>
                <w:rFonts w:hint="default" w:ascii="Times New Roman" w:hAnsi="Times New Roman" w:eastAsia="宋体" w:cs="Times New Roman"/>
                <w:bCs/>
                <w:color w:val="auto"/>
                <w:sz w:val="21"/>
                <w:szCs w:val="21"/>
                <w:highlight w:val="none"/>
                <w:lang w:val="en-US" w:eastAsia="zh-CN"/>
              </w:rPr>
              <w:t>6</w:t>
            </w:r>
            <w:r>
              <w:rPr>
                <w:rFonts w:hint="default" w:ascii="Times New Roman" w:hAnsi="Times New Roman" w:eastAsia="宋体" w:cs="Times New Roman"/>
                <w:bCs/>
                <w:color w:val="auto"/>
                <w:sz w:val="21"/>
                <w:szCs w:val="21"/>
                <w:highlight w:val="none"/>
              </w:rPr>
              <w:t>分；</w:t>
            </w:r>
          </w:p>
          <w:p w14:paraId="51C9CBC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2.措施具有一定科学性，可操作性一般的得</w:t>
            </w:r>
            <w:r>
              <w:rPr>
                <w:rFonts w:hint="default" w:ascii="Times New Roman" w:hAnsi="Times New Roman" w:eastAsia="宋体" w:cs="Times New Roman"/>
                <w:bCs/>
                <w:color w:val="auto"/>
                <w:sz w:val="21"/>
                <w:szCs w:val="21"/>
                <w:highlight w:val="none"/>
                <w:lang w:val="en-US" w:eastAsia="zh-CN"/>
              </w:rPr>
              <w:t>4</w:t>
            </w:r>
            <w:r>
              <w:rPr>
                <w:rFonts w:hint="default" w:ascii="Times New Roman" w:hAnsi="Times New Roman" w:eastAsia="宋体" w:cs="Times New Roman"/>
                <w:bCs/>
                <w:color w:val="auto"/>
                <w:sz w:val="21"/>
                <w:szCs w:val="21"/>
                <w:highlight w:val="none"/>
              </w:rPr>
              <w:t>分；</w:t>
            </w:r>
          </w:p>
          <w:p w14:paraId="201C414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Cs/>
                <w:color w:val="auto"/>
                <w:sz w:val="21"/>
                <w:szCs w:val="21"/>
                <w:highlight w:val="none"/>
              </w:rPr>
              <w:t>3.内容简单提及的得</w:t>
            </w:r>
            <w:r>
              <w:rPr>
                <w:rFonts w:hint="eastAsia" w:ascii="Times New Roman" w:hAnsi="Times New Roman" w:eastAsia="宋体" w:cs="Times New Roman"/>
                <w:bCs/>
                <w:color w:val="auto"/>
                <w:sz w:val="21"/>
                <w:szCs w:val="21"/>
                <w:highlight w:val="none"/>
                <w:lang w:val="en-US" w:eastAsia="zh-CN"/>
              </w:rPr>
              <w:t>2</w:t>
            </w:r>
            <w:r>
              <w:rPr>
                <w:rFonts w:hint="default" w:ascii="Times New Roman" w:hAnsi="Times New Roman" w:eastAsia="宋体" w:cs="Times New Roman"/>
                <w:bCs/>
                <w:color w:val="auto"/>
                <w:sz w:val="21"/>
                <w:szCs w:val="21"/>
                <w:highlight w:val="none"/>
              </w:rPr>
              <w:t>分；</w:t>
            </w:r>
            <w:r>
              <w:rPr>
                <w:rFonts w:hint="default" w:ascii="Times New Roman" w:hAnsi="Times New Roman" w:eastAsia="宋体" w:cs="Times New Roman"/>
                <w:color w:val="auto"/>
                <w:sz w:val="21"/>
                <w:szCs w:val="21"/>
                <w:highlight w:val="none"/>
              </w:rPr>
              <w:t>未提供不得分。</w:t>
            </w:r>
          </w:p>
        </w:tc>
        <w:tc>
          <w:tcPr>
            <w:tcW w:w="378" w:type="pct"/>
            <w:tcMar>
              <w:top w:w="15" w:type="dxa"/>
              <w:left w:w="15" w:type="dxa"/>
              <w:bottom w:w="0" w:type="dxa"/>
              <w:right w:w="15" w:type="dxa"/>
            </w:tcMar>
            <w:vAlign w:val="center"/>
          </w:tcPr>
          <w:p w14:paraId="739C7DC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分</w:t>
            </w:r>
          </w:p>
        </w:tc>
      </w:tr>
    </w:tbl>
    <w:p w14:paraId="02234B8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szCs w:val="24"/>
          <w:highlight w:val="none"/>
        </w:rPr>
        <w:t>说明：</w:t>
      </w:r>
      <w:r>
        <w:rPr>
          <w:rFonts w:hint="default" w:ascii="Times New Roman" w:hAnsi="Times New Roman" w:eastAsia="宋体" w:cs="Times New Roman"/>
          <w:color w:val="auto"/>
          <w:sz w:val="24"/>
          <w:highlight w:val="none"/>
        </w:rPr>
        <w:t>上述评分标准中须提供相关的各种证书、证</w:t>
      </w:r>
      <w:r>
        <w:rPr>
          <w:rFonts w:hint="default" w:ascii="Times New Roman" w:hAnsi="Times New Roman" w:eastAsia="宋体" w:cs="Times New Roman"/>
          <w:b w:val="0"/>
          <w:bCs w:val="0"/>
          <w:color w:val="auto"/>
          <w:sz w:val="24"/>
          <w:highlight w:val="none"/>
        </w:rPr>
        <w:t>明材料等</w:t>
      </w:r>
      <w:r>
        <w:rPr>
          <w:rFonts w:hint="eastAsia"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sz w:val="24"/>
          <w:highlight w:val="none"/>
        </w:rPr>
        <w:t>投</w:t>
      </w:r>
      <w:r>
        <w:rPr>
          <w:rFonts w:hint="default" w:ascii="Times New Roman" w:hAnsi="Times New Roman" w:eastAsia="宋体" w:cs="Times New Roman"/>
          <w:color w:val="auto"/>
          <w:sz w:val="24"/>
          <w:highlight w:val="none"/>
        </w:rPr>
        <w:t>标人必须保证所提供资料的真实性和完整性，如发现存在骗取成交等虚假行为，将依据法律规定取消其中标资格。</w:t>
      </w:r>
      <w:r>
        <w:rPr>
          <w:rFonts w:hint="eastAsia" w:ascii="Times New Roman" w:hAnsi="Times New Roman" w:eastAsia="宋体" w:cs="Times New Roman"/>
          <w:color w:val="auto"/>
          <w:sz w:val="24"/>
          <w:highlight w:val="none"/>
          <w:lang w:eastAsia="zh-CN"/>
        </w:rPr>
        <w:t>（签署要求</w:t>
      </w:r>
      <w:r>
        <w:rPr>
          <w:rFonts w:hint="eastAsia" w:ascii="Times New Roman" w:hAnsi="Times New Roman" w:eastAsia="宋体" w:cs="Times New Roman"/>
          <w:color w:val="auto"/>
          <w:sz w:val="24"/>
          <w:highlight w:val="none"/>
          <w:lang w:val="en-US" w:eastAsia="zh-CN"/>
        </w:rPr>
        <w:t>详见第二章 投标人须知第42条</w:t>
      </w:r>
      <w:r>
        <w:rPr>
          <w:rFonts w:hint="eastAsia" w:ascii="Times New Roman" w:hAnsi="Times New Roman" w:eastAsia="宋体" w:cs="Times New Roman"/>
          <w:color w:val="auto"/>
          <w:sz w:val="24"/>
          <w:highlight w:val="none"/>
          <w:lang w:eastAsia="zh-CN"/>
        </w:rPr>
        <w:t>）。</w:t>
      </w:r>
    </w:p>
    <w:p w14:paraId="61607F0D">
      <w:pPr>
        <w:keepNext w:val="0"/>
        <w:keepLines w:val="0"/>
        <w:pageBreakBefore w:val="0"/>
        <w:widowControl/>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color w:val="auto"/>
          <w:sz w:val="44"/>
          <w:szCs w:val="44"/>
          <w:highlight w:val="none"/>
        </w:rPr>
      </w:pPr>
      <w:r>
        <w:rPr>
          <w:rFonts w:hint="default" w:ascii="Times New Roman" w:hAnsi="Times New Roman" w:eastAsia="宋体" w:cs="Times New Roman"/>
          <w:b/>
          <w:color w:val="auto"/>
          <w:sz w:val="24"/>
          <w:szCs w:val="24"/>
          <w:highlight w:val="none"/>
        </w:rPr>
        <w:t>三、本办法未尽事宜，由评委会依据有关法规研究解决。</w:t>
      </w:r>
      <w:r>
        <w:rPr>
          <w:rFonts w:hint="default" w:ascii="Times New Roman" w:hAnsi="Times New Roman" w:eastAsia="宋体" w:cs="Times New Roman"/>
          <w:color w:val="auto"/>
          <w:sz w:val="44"/>
          <w:szCs w:val="44"/>
          <w:highlight w:val="none"/>
        </w:rPr>
        <w:br w:type="page" w:clear="all"/>
      </w:r>
    </w:p>
    <w:p w14:paraId="3E226C38">
      <w:pPr>
        <w:pStyle w:val="2"/>
        <w:spacing w:before="100" w:after="210" w:line="240" w:lineRule="auto"/>
        <w:jc w:val="center"/>
        <w:rPr>
          <w:rFonts w:hint="default" w:ascii="Times New Roman" w:hAnsi="Times New Roman" w:eastAsia="宋体" w:cs="Times New Roman"/>
          <w:color w:val="auto"/>
          <w:spacing w:val="0"/>
          <w:sz w:val="24"/>
          <w:szCs w:val="24"/>
          <w:highlight w:val="none"/>
          <w:lang w:val="en-US" w:eastAsia="zh-CN"/>
        </w:rPr>
      </w:pPr>
      <w:r>
        <w:rPr>
          <w:rFonts w:hint="default" w:ascii="Times New Roman" w:hAnsi="Times New Roman" w:eastAsia="宋体" w:cs="Times New Roman"/>
          <w:color w:val="auto"/>
          <w:spacing w:val="0"/>
          <w:sz w:val="44"/>
          <w:highlight w:val="none"/>
        </w:rPr>
        <w:t>第</w:t>
      </w:r>
      <w:r>
        <w:rPr>
          <w:rFonts w:hint="eastAsia" w:eastAsia="宋体" w:cs="Times New Roman"/>
          <w:color w:val="auto"/>
          <w:spacing w:val="0"/>
          <w:sz w:val="44"/>
          <w:highlight w:val="none"/>
          <w:lang w:val="en-US" w:eastAsia="zh-CN"/>
        </w:rPr>
        <w:t>五</w:t>
      </w:r>
      <w:r>
        <w:rPr>
          <w:rFonts w:hint="default" w:ascii="Times New Roman" w:hAnsi="Times New Roman" w:eastAsia="宋体" w:cs="Times New Roman"/>
          <w:color w:val="auto"/>
          <w:spacing w:val="0"/>
          <w:sz w:val="44"/>
          <w:highlight w:val="none"/>
        </w:rPr>
        <w:t xml:space="preserve">章  </w:t>
      </w:r>
      <w:r>
        <w:rPr>
          <w:rFonts w:hint="eastAsia" w:eastAsia="宋体" w:cs="Times New Roman"/>
          <w:color w:val="auto"/>
          <w:spacing w:val="0"/>
          <w:sz w:val="44"/>
          <w:highlight w:val="none"/>
          <w:lang w:val="en-US" w:eastAsia="zh-CN"/>
        </w:rPr>
        <w:t>合同文本</w:t>
      </w:r>
      <w:bookmarkEnd w:id="212"/>
    </w:p>
    <w:p w14:paraId="44180592">
      <w:pPr>
        <w:adjustRightInd w:val="0"/>
        <w:snapToGrid w:val="0"/>
        <w:spacing w:line="360" w:lineRule="auto"/>
        <w:jc w:val="center"/>
        <w:rPr>
          <w:rFonts w:hint="default" w:ascii="Times New Roman" w:hAnsi="Times New Roman" w:eastAsia="宋体" w:cs="Times New Roman"/>
          <w:b/>
          <w:bCs/>
          <w:color w:val="auto"/>
          <w:sz w:val="56"/>
          <w:szCs w:val="56"/>
          <w:highlight w:val="none"/>
        </w:rPr>
      </w:pPr>
      <w:bookmarkStart w:id="214" w:name="_Toc20823315"/>
      <w:bookmarkEnd w:id="214"/>
      <w:bookmarkStart w:id="215" w:name="_Toc16938559"/>
      <w:bookmarkEnd w:id="215"/>
      <w:r>
        <w:rPr>
          <w:rFonts w:hint="default" w:ascii="Times New Roman" w:hAnsi="Times New Roman" w:eastAsia="宋体" w:cs="Times New Roman"/>
          <w:b/>
          <w:bCs/>
          <w:color w:val="auto"/>
          <w:sz w:val="56"/>
          <w:szCs w:val="56"/>
          <w:highlight w:val="none"/>
        </w:rPr>
        <w:t>能源费用集中托管服务采购</w:t>
      </w:r>
    </w:p>
    <w:p w14:paraId="689A7DCA">
      <w:pPr>
        <w:adjustRightInd w:val="0"/>
        <w:snapToGrid w:val="0"/>
        <w:spacing w:line="360" w:lineRule="auto"/>
        <w:jc w:val="center"/>
        <w:rPr>
          <w:rFonts w:hint="default" w:ascii="Times New Roman" w:hAnsi="Times New Roman" w:eastAsia="宋体" w:cs="Times New Roman"/>
          <w:b/>
          <w:bCs/>
          <w:color w:val="auto"/>
          <w:sz w:val="56"/>
          <w:szCs w:val="56"/>
          <w:highlight w:val="none"/>
        </w:rPr>
      </w:pPr>
      <w:r>
        <w:rPr>
          <w:rFonts w:hint="default" w:ascii="Times New Roman" w:hAnsi="Times New Roman" w:eastAsia="宋体" w:cs="Times New Roman"/>
          <w:b/>
          <w:bCs/>
          <w:color w:val="auto"/>
          <w:sz w:val="56"/>
          <w:szCs w:val="56"/>
          <w:highlight w:val="none"/>
        </w:rPr>
        <w:t>项目合同</w:t>
      </w:r>
    </w:p>
    <w:p w14:paraId="09D8A0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甲方（需方）：</w:t>
      </w:r>
    </w:p>
    <w:p w14:paraId="569ABA1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地址：</w:t>
      </w:r>
    </w:p>
    <w:p w14:paraId="08E1D8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联系人：</w:t>
      </w:r>
    </w:p>
    <w:p w14:paraId="5B49DF0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联系电话：</w:t>
      </w:r>
    </w:p>
    <w:p w14:paraId="3BFD8D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 </w:t>
      </w:r>
    </w:p>
    <w:p w14:paraId="0939642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乙方（供方）：</w:t>
      </w:r>
    </w:p>
    <w:p w14:paraId="79C518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地址：</w:t>
      </w:r>
    </w:p>
    <w:p w14:paraId="1942D2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联系人：</w:t>
      </w:r>
    </w:p>
    <w:p w14:paraId="33A310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联系电话：</w:t>
      </w:r>
    </w:p>
    <w:p w14:paraId="11B2BFD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公共机构      （以下简称甲方）与节能服务公司      （以下简称乙方），根据《中华人民共和国民法典》《中华人民共和国政府采购法》《中华人民共和国招标投标法》《公共机构节能条例》及有关节能、环保、供热、供电、供水等法律、法规，本着平等、自愿的原则，就甲方的能源费用及其相应的能源供用系统（以下简称托管项目）按</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能源费用托管型合同能源管理</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模式进行托管的事宜，经双方协商一致，签订本合同（以下简称项目合同）。</w:t>
      </w:r>
    </w:p>
    <w:p w14:paraId="1176601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第一条  名词解释</w:t>
      </w:r>
    </w:p>
    <w:p w14:paraId="05521D8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1.1  合同能源管理</w:t>
      </w:r>
    </w:p>
    <w:p w14:paraId="3A440B4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p>
    <w:p w14:paraId="5F717B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1.2  能源托管</w:t>
      </w:r>
    </w:p>
    <w:p w14:paraId="1FAD45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p>
    <w:p w14:paraId="555749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1.3  能源基准</w:t>
      </w:r>
    </w:p>
    <w:p w14:paraId="109A68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用作比较能源绩效的定量参考依据。</w:t>
      </w:r>
    </w:p>
    <w:p w14:paraId="0EB8AA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注1：能源基准反映的是特定时间段的能源利用状况。</w:t>
      </w:r>
    </w:p>
    <w:p w14:paraId="5D76F4D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注2：能源基准可采用建筑能源审计所确定的基准期内、项目边界内建筑或各用能设备（系统）的能源消耗量作为能源绩效参数。</w:t>
      </w:r>
    </w:p>
    <w:p w14:paraId="379B12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注3：能源基准也可作为能源绩效改进措施实施前后的参照来计算节能量。</w:t>
      </w:r>
    </w:p>
    <w:p w14:paraId="532850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1.4  建筑能源审计</w:t>
      </w:r>
    </w:p>
    <w:p w14:paraId="4CA0C22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p>
    <w:p w14:paraId="4E442F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1.5  项目边界及边界变化：</w:t>
      </w:r>
    </w:p>
    <w:p w14:paraId="28DF0E3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实施节能改造措施所影响的建筑或用能设备（系统）的运行时间、范围和地理位置界线。</w:t>
      </w:r>
    </w:p>
    <w:p w14:paraId="1031A0E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在服务期内，若发生托管项目边界范围发生变化，如用能设备和其他用能项的增减、建筑用能区域改扩建、供能条件变化的调整、相关政策的调整等情况，双方依据国家机关事务管理局《公共机构能源费用托管实施规程》（JS/T 301—2024），</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8 项目调整</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章节的内容进行结算，双方签订补充协议约定完成上年度结算。</w:t>
      </w:r>
    </w:p>
    <w:p w14:paraId="5AF6DC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1.6  基准期</w:t>
      </w:r>
    </w:p>
    <w:p w14:paraId="4B6EE8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在建筑合同能源管理项目实施前，能够代表项目边界内用能设备和系统运行规律的时间段。</w:t>
      </w:r>
    </w:p>
    <w:p w14:paraId="78E668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1.7  能源托管费用基数</w:t>
      </w:r>
    </w:p>
    <w:p w14:paraId="3A366B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p>
    <w:p w14:paraId="54D708C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第二条  托管项目基本情况</w:t>
      </w:r>
    </w:p>
    <w:p w14:paraId="5878EED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2.1 托管项目的房屋建筑设施系甲方的经营办公场所，位于         ，相关建设、运营等手续合法、有效。托管项目区域内的供暖及制冷系统各项申报、批准、验收手续齐全。如果上述手续尚不齐备，由甲方负责完善。</w:t>
      </w:r>
    </w:p>
    <w:p w14:paraId="3270B16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2.2 托管项目的用能建筑情况：本项目建筑主要有      栋，    楼栋建筑面积为  </w:t>
      </w:r>
      <w:r>
        <w:rPr>
          <w:rFonts w:hint="eastAsia" w:ascii="Times New Roman" w:hAnsi="Times New Roman" w:eastAsia="宋体" w:cs="Times New Roman"/>
          <w:bCs/>
          <w:color w:val="auto"/>
          <w:sz w:val="24"/>
          <w:szCs w:val="24"/>
          <w:highlight w:val="none"/>
          <w:lang w:val="en-US" w:eastAsia="zh-CN"/>
        </w:rPr>
        <w:t xml:space="preserve"> m</w:t>
      </w:r>
      <w:r>
        <w:rPr>
          <w:rFonts w:hint="eastAsia" w:ascii="Times New Roman" w:hAnsi="Times New Roman" w:eastAsia="宋体" w:cs="Times New Roman"/>
          <w:bCs/>
          <w:color w:val="auto"/>
          <w:sz w:val="24"/>
          <w:szCs w:val="24"/>
          <w:highlight w:val="none"/>
          <w:vertAlign w:val="superscript"/>
          <w:lang w:val="en-US" w:eastAsia="zh-CN"/>
        </w:rPr>
        <w:t>2</w:t>
      </w:r>
      <w:r>
        <w:rPr>
          <w:rFonts w:hint="default" w:ascii="Times New Roman" w:hAnsi="Times New Roman" w:eastAsia="宋体" w:cs="Times New Roman"/>
          <w:bCs/>
          <w:color w:val="auto"/>
          <w:sz w:val="24"/>
          <w:szCs w:val="24"/>
          <w:highlight w:val="none"/>
        </w:rPr>
        <w:t xml:space="preserve">。项目总建筑面积为    </w:t>
      </w:r>
      <w:r>
        <w:rPr>
          <w:rFonts w:hint="eastAsia" w:ascii="Times New Roman" w:hAnsi="Times New Roman" w:eastAsia="宋体" w:cs="Times New Roman"/>
          <w:bCs/>
          <w:color w:val="auto"/>
          <w:sz w:val="24"/>
          <w:szCs w:val="24"/>
          <w:highlight w:val="none"/>
          <w:lang w:val="en-US" w:eastAsia="zh-CN"/>
        </w:rPr>
        <w:t>m</w:t>
      </w:r>
      <w:r>
        <w:rPr>
          <w:rFonts w:hint="eastAsia" w:ascii="Times New Roman" w:hAnsi="Times New Roman" w:eastAsia="宋体" w:cs="Times New Roman"/>
          <w:bCs/>
          <w:color w:val="auto"/>
          <w:sz w:val="24"/>
          <w:szCs w:val="24"/>
          <w:highlight w:val="none"/>
          <w:vertAlign w:val="superscript"/>
          <w:lang w:val="en-US" w:eastAsia="zh-CN"/>
        </w:rPr>
        <w:t>2</w:t>
      </w:r>
      <w:r>
        <w:rPr>
          <w:rFonts w:hint="default" w:ascii="Times New Roman" w:hAnsi="Times New Roman" w:eastAsia="宋体" w:cs="Times New Roman"/>
          <w:bCs/>
          <w:color w:val="auto"/>
          <w:sz w:val="24"/>
          <w:szCs w:val="24"/>
          <w:highlight w:val="none"/>
        </w:rPr>
        <w:t xml:space="preserve">，其中需要供暖和供冷的建筑面积    </w:t>
      </w:r>
      <w:r>
        <w:rPr>
          <w:rFonts w:hint="eastAsia" w:ascii="Times New Roman" w:hAnsi="Times New Roman" w:eastAsia="宋体" w:cs="Times New Roman"/>
          <w:bCs/>
          <w:color w:val="auto"/>
          <w:sz w:val="24"/>
          <w:szCs w:val="24"/>
          <w:highlight w:val="none"/>
          <w:lang w:val="en-US" w:eastAsia="zh-CN"/>
        </w:rPr>
        <w:t>m</w:t>
      </w:r>
      <w:r>
        <w:rPr>
          <w:rFonts w:hint="eastAsia" w:ascii="Times New Roman" w:hAnsi="Times New Roman" w:eastAsia="宋体" w:cs="Times New Roman"/>
          <w:bCs/>
          <w:color w:val="auto"/>
          <w:sz w:val="24"/>
          <w:szCs w:val="24"/>
          <w:highlight w:val="none"/>
          <w:vertAlign w:val="superscript"/>
          <w:lang w:val="en-US" w:eastAsia="zh-CN"/>
        </w:rPr>
        <w:t>2</w:t>
      </w:r>
      <w:r>
        <w:rPr>
          <w:rFonts w:hint="default" w:ascii="Times New Roman" w:hAnsi="Times New Roman" w:eastAsia="宋体" w:cs="Times New Roman"/>
          <w:bCs/>
          <w:color w:val="auto"/>
          <w:sz w:val="24"/>
          <w:szCs w:val="24"/>
          <w:highlight w:val="none"/>
        </w:rPr>
        <w:t>。大楼于       年竣工并投入使用。</w:t>
      </w:r>
    </w:p>
    <w:p w14:paraId="2852DF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2.3 托管项目的能源种类范围：本项目能源托管的范围包括政府自行缴纳费用的   等能源形式，政府其他能源费用不在本次托管范围内。</w:t>
      </w:r>
    </w:p>
    <w:p w14:paraId="0E4815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2.4 托管项目的能源系统设备设施：供能设备包括供暖设备、制冷设备、配电室设备。用能设备包括冬季取暖供热、夏季空调供冷的建筑设施，生活、生产、工作用电等设施。</w:t>
      </w:r>
    </w:p>
    <w:p w14:paraId="7E79B84E">
      <w:pPr>
        <w:spacing w:line="400" w:lineRule="exact"/>
        <w:ind w:firstLine="420"/>
        <w:outlineLvl w:val="4"/>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2.5 托管项目的用能时间及要求（具体根据使用单位实际使用需求进行适当调整）</w:t>
      </w:r>
    </w:p>
    <w:tbl>
      <w:tblPr>
        <w:tblStyle w:val="57"/>
        <w:tblW w:w="4999" w:type="pct"/>
        <w:jc w:val="center"/>
        <w:tblLayout w:type="autofit"/>
        <w:tblCellMar>
          <w:top w:w="0" w:type="dxa"/>
          <w:left w:w="108" w:type="dxa"/>
          <w:bottom w:w="0" w:type="dxa"/>
          <w:right w:w="108" w:type="dxa"/>
        </w:tblCellMar>
      </w:tblPr>
      <w:tblGrid>
        <w:gridCol w:w="1866"/>
        <w:gridCol w:w="7872"/>
      </w:tblGrid>
      <w:tr w14:paraId="67B4B3F1">
        <w:tblPrEx>
          <w:tblCellMar>
            <w:top w:w="0" w:type="dxa"/>
            <w:left w:w="108" w:type="dxa"/>
            <w:bottom w:w="0" w:type="dxa"/>
            <w:right w:w="108" w:type="dxa"/>
          </w:tblCellMar>
        </w:tblPrEx>
        <w:trPr>
          <w:trHeight w:val="567" w:hRule="atLeast"/>
          <w:jc w:val="center"/>
        </w:trPr>
        <w:tc>
          <w:tcPr>
            <w:tcW w:w="958" w:type="pct"/>
            <w:tcBorders>
              <w:top w:val="single" w:color="000000" w:sz="4" w:space="0"/>
              <w:left w:val="single" w:color="000000" w:sz="4" w:space="0"/>
              <w:bottom w:val="single" w:color="000000" w:sz="4" w:space="0"/>
              <w:right w:val="single" w:color="000000" w:sz="4" w:space="0"/>
            </w:tcBorders>
            <w:noWrap/>
            <w:vAlign w:val="center"/>
          </w:tcPr>
          <w:p w14:paraId="1EA090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供冷时间</w:t>
            </w:r>
          </w:p>
        </w:tc>
        <w:tc>
          <w:tcPr>
            <w:tcW w:w="4041" w:type="pct"/>
            <w:tcBorders>
              <w:top w:val="single" w:color="000000" w:sz="4" w:space="0"/>
              <w:left w:val="single" w:color="000000" w:sz="4" w:space="0"/>
              <w:bottom w:val="single" w:color="000000" w:sz="4" w:space="0"/>
              <w:right w:val="single" w:color="000000" w:sz="4" w:space="0"/>
            </w:tcBorders>
            <w:noWrap/>
            <w:vAlign w:val="center"/>
          </w:tcPr>
          <w:p w14:paraId="10C81A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5月25日至9月30日</w:t>
            </w:r>
          </w:p>
        </w:tc>
      </w:tr>
      <w:tr w14:paraId="536B3496">
        <w:tblPrEx>
          <w:tblCellMar>
            <w:top w:w="0" w:type="dxa"/>
            <w:left w:w="108" w:type="dxa"/>
            <w:bottom w:w="0" w:type="dxa"/>
            <w:right w:w="108" w:type="dxa"/>
          </w:tblCellMar>
        </w:tblPrEx>
        <w:trPr>
          <w:trHeight w:val="567" w:hRule="atLeast"/>
          <w:jc w:val="center"/>
        </w:trPr>
        <w:tc>
          <w:tcPr>
            <w:tcW w:w="958" w:type="pct"/>
            <w:tcBorders>
              <w:top w:val="single" w:color="000000" w:sz="4" w:space="0"/>
              <w:left w:val="single" w:color="000000" w:sz="4" w:space="0"/>
              <w:bottom w:val="single" w:color="000000" w:sz="4" w:space="0"/>
              <w:right w:val="single" w:color="000000" w:sz="4" w:space="0"/>
            </w:tcBorders>
            <w:noWrap/>
            <w:vAlign w:val="center"/>
          </w:tcPr>
          <w:p w14:paraId="1A6814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供冷开始条件</w:t>
            </w:r>
          </w:p>
        </w:tc>
        <w:tc>
          <w:tcPr>
            <w:tcW w:w="4041" w:type="pct"/>
            <w:tcBorders>
              <w:top w:val="single" w:color="000000" w:sz="4" w:space="0"/>
              <w:left w:val="single" w:color="000000" w:sz="4" w:space="0"/>
              <w:bottom w:val="single" w:color="000000" w:sz="4" w:space="0"/>
              <w:right w:val="single" w:color="000000" w:sz="4" w:space="0"/>
            </w:tcBorders>
            <w:noWrap/>
            <w:vAlign w:val="center"/>
          </w:tcPr>
          <w:p w14:paraId="25F56D3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室外最高气温连续3天&gt;28℃或当天&gt;31℃</w:t>
            </w:r>
          </w:p>
        </w:tc>
      </w:tr>
      <w:tr w14:paraId="52424F84">
        <w:tblPrEx>
          <w:tblCellMar>
            <w:top w:w="0" w:type="dxa"/>
            <w:left w:w="108" w:type="dxa"/>
            <w:bottom w:w="0" w:type="dxa"/>
            <w:right w:w="108" w:type="dxa"/>
          </w:tblCellMar>
        </w:tblPrEx>
        <w:trPr>
          <w:trHeight w:val="567" w:hRule="atLeast"/>
          <w:jc w:val="center"/>
        </w:trPr>
        <w:tc>
          <w:tcPr>
            <w:tcW w:w="958" w:type="pct"/>
            <w:tcBorders>
              <w:top w:val="single" w:color="000000" w:sz="4" w:space="0"/>
              <w:left w:val="single" w:color="000000" w:sz="4" w:space="0"/>
              <w:bottom w:val="single" w:color="000000" w:sz="4" w:space="0"/>
              <w:right w:val="single" w:color="000000" w:sz="4" w:space="0"/>
            </w:tcBorders>
            <w:noWrap/>
            <w:vAlign w:val="center"/>
          </w:tcPr>
          <w:p w14:paraId="52CD506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供冷结束条件</w:t>
            </w:r>
          </w:p>
        </w:tc>
        <w:tc>
          <w:tcPr>
            <w:tcW w:w="4041" w:type="pct"/>
            <w:tcBorders>
              <w:top w:val="single" w:color="000000" w:sz="4" w:space="0"/>
              <w:left w:val="single" w:color="000000" w:sz="4" w:space="0"/>
              <w:bottom w:val="single" w:color="000000" w:sz="4" w:space="0"/>
              <w:right w:val="single" w:color="000000" w:sz="4" w:space="0"/>
            </w:tcBorders>
            <w:noWrap/>
            <w:vAlign w:val="center"/>
          </w:tcPr>
          <w:p w14:paraId="29919D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室外最高气温连续3天&lt;27℃或当天&lt;24℃</w:t>
            </w:r>
          </w:p>
        </w:tc>
      </w:tr>
      <w:tr w14:paraId="61B76CA9">
        <w:tblPrEx>
          <w:tblCellMar>
            <w:top w:w="0" w:type="dxa"/>
            <w:left w:w="108" w:type="dxa"/>
            <w:bottom w:w="0" w:type="dxa"/>
            <w:right w:w="108" w:type="dxa"/>
          </w:tblCellMar>
        </w:tblPrEx>
        <w:trPr>
          <w:trHeight w:val="567" w:hRule="atLeast"/>
          <w:jc w:val="center"/>
        </w:trPr>
        <w:tc>
          <w:tcPr>
            <w:tcW w:w="958" w:type="pct"/>
            <w:tcBorders>
              <w:top w:val="single" w:color="000000" w:sz="4" w:space="0"/>
              <w:left w:val="single" w:color="000000" w:sz="4" w:space="0"/>
              <w:bottom w:val="single" w:color="000000" w:sz="4" w:space="0"/>
              <w:right w:val="single" w:color="000000" w:sz="4" w:space="0"/>
            </w:tcBorders>
            <w:noWrap/>
            <w:vAlign w:val="center"/>
          </w:tcPr>
          <w:p w14:paraId="54F14E5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供热时间</w:t>
            </w:r>
          </w:p>
        </w:tc>
        <w:tc>
          <w:tcPr>
            <w:tcW w:w="4041" w:type="pct"/>
            <w:tcBorders>
              <w:top w:val="single" w:color="000000" w:sz="4" w:space="0"/>
              <w:left w:val="single" w:color="000000" w:sz="4" w:space="0"/>
              <w:bottom w:val="single" w:color="000000" w:sz="4" w:space="0"/>
              <w:right w:val="single" w:color="000000" w:sz="4" w:space="0"/>
            </w:tcBorders>
            <w:noWrap/>
            <w:vAlign w:val="center"/>
          </w:tcPr>
          <w:p w14:paraId="48578C8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1月1日至3月15日和11月15日至12月31日</w:t>
            </w:r>
          </w:p>
        </w:tc>
      </w:tr>
      <w:tr w14:paraId="15AC0EFD">
        <w:tblPrEx>
          <w:tblCellMar>
            <w:top w:w="0" w:type="dxa"/>
            <w:left w:w="108" w:type="dxa"/>
            <w:bottom w:w="0" w:type="dxa"/>
            <w:right w:w="108" w:type="dxa"/>
          </w:tblCellMar>
        </w:tblPrEx>
        <w:trPr>
          <w:trHeight w:val="567" w:hRule="atLeast"/>
          <w:jc w:val="center"/>
        </w:trPr>
        <w:tc>
          <w:tcPr>
            <w:tcW w:w="958" w:type="pct"/>
            <w:tcBorders>
              <w:top w:val="single" w:color="000000" w:sz="4" w:space="0"/>
              <w:left w:val="single" w:color="000000" w:sz="4" w:space="0"/>
              <w:bottom w:val="single" w:color="000000" w:sz="4" w:space="0"/>
              <w:right w:val="single" w:color="000000" w:sz="4" w:space="0"/>
            </w:tcBorders>
            <w:noWrap/>
            <w:vAlign w:val="center"/>
          </w:tcPr>
          <w:p w14:paraId="54D08A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供暖开始条件</w:t>
            </w:r>
          </w:p>
        </w:tc>
        <w:tc>
          <w:tcPr>
            <w:tcW w:w="4041" w:type="pct"/>
            <w:tcBorders>
              <w:top w:val="single" w:color="000000" w:sz="4" w:space="0"/>
              <w:left w:val="single" w:color="000000" w:sz="4" w:space="0"/>
              <w:bottom w:val="single" w:color="000000" w:sz="4" w:space="0"/>
              <w:right w:val="single" w:color="000000" w:sz="4" w:space="0"/>
            </w:tcBorders>
            <w:noWrap/>
            <w:vAlign w:val="center"/>
          </w:tcPr>
          <w:p w14:paraId="5F4FDB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室外最低气温连续3天&lt;13℃或当天&lt;10℃</w:t>
            </w:r>
          </w:p>
        </w:tc>
      </w:tr>
      <w:tr w14:paraId="59BA2D7A">
        <w:tblPrEx>
          <w:tblCellMar>
            <w:top w:w="0" w:type="dxa"/>
            <w:left w:w="108" w:type="dxa"/>
            <w:bottom w:w="0" w:type="dxa"/>
            <w:right w:w="108" w:type="dxa"/>
          </w:tblCellMar>
        </w:tblPrEx>
        <w:trPr>
          <w:trHeight w:val="567" w:hRule="atLeast"/>
          <w:jc w:val="center"/>
        </w:trPr>
        <w:tc>
          <w:tcPr>
            <w:tcW w:w="958" w:type="pct"/>
            <w:tcBorders>
              <w:top w:val="single" w:color="000000" w:sz="4" w:space="0"/>
              <w:left w:val="single" w:color="000000" w:sz="4" w:space="0"/>
              <w:bottom w:val="single" w:color="000000" w:sz="4" w:space="0"/>
              <w:right w:val="single" w:color="000000" w:sz="4" w:space="0"/>
            </w:tcBorders>
            <w:noWrap/>
            <w:vAlign w:val="center"/>
          </w:tcPr>
          <w:p w14:paraId="04C7B2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供暖结束条件</w:t>
            </w:r>
          </w:p>
        </w:tc>
        <w:tc>
          <w:tcPr>
            <w:tcW w:w="4041" w:type="pct"/>
            <w:tcBorders>
              <w:top w:val="single" w:color="000000" w:sz="4" w:space="0"/>
              <w:left w:val="single" w:color="000000" w:sz="4" w:space="0"/>
              <w:bottom w:val="single" w:color="000000" w:sz="4" w:space="0"/>
              <w:right w:val="single" w:color="000000" w:sz="4" w:space="0"/>
            </w:tcBorders>
            <w:noWrap/>
            <w:vAlign w:val="center"/>
          </w:tcPr>
          <w:p w14:paraId="7C22AFA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室外最低气温连续3天&gt;17℃或当天&gt;20℃</w:t>
            </w:r>
          </w:p>
        </w:tc>
      </w:tr>
      <w:tr w14:paraId="2D580E4C">
        <w:tblPrEx>
          <w:tblCellMar>
            <w:top w:w="0" w:type="dxa"/>
            <w:left w:w="108" w:type="dxa"/>
            <w:bottom w:w="0" w:type="dxa"/>
            <w:right w:w="108" w:type="dxa"/>
          </w:tblCellMar>
        </w:tblPrEx>
        <w:trPr>
          <w:trHeight w:val="567" w:hRule="atLeast"/>
          <w:jc w:val="center"/>
        </w:trPr>
        <w:tc>
          <w:tcPr>
            <w:tcW w:w="958" w:type="pct"/>
            <w:tcBorders>
              <w:top w:val="single" w:color="000000" w:sz="4" w:space="0"/>
              <w:left w:val="single" w:color="000000" w:sz="4" w:space="0"/>
              <w:bottom w:val="single" w:color="000000" w:sz="4" w:space="0"/>
              <w:right w:val="single" w:color="000000" w:sz="4" w:space="0"/>
            </w:tcBorders>
            <w:noWrap/>
            <w:vAlign w:val="center"/>
          </w:tcPr>
          <w:p w14:paraId="566F92F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空调标准</w:t>
            </w:r>
          </w:p>
        </w:tc>
        <w:tc>
          <w:tcPr>
            <w:tcW w:w="4041" w:type="pct"/>
            <w:tcBorders>
              <w:top w:val="single" w:color="000000" w:sz="4" w:space="0"/>
              <w:left w:val="single" w:color="000000" w:sz="4" w:space="0"/>
              <w:bottom w:val="single" w:color="000000" w:sz="4" w:space="0"/>
              <w:right w:val="single" w:color="000000" w:sz="4" w:space="0"/>
            </w:tcBorders>
            <w:noWrap/>
            <w:vAlign w:val="center"/>
          </w:tcPr>
          <w:p w14:paraId="1166BC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夏季26℃±2℃、冬季20℃±2℃</w:t>
            </w:r>
          </w:p>
        </w:tc>
      </w:tr>
    </w:tbl>
    <w:p w14:paraId="26294BE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2.6 托管项目的管理情况：甲方委托乙方对本项目        （用能系统）的设备及系统进行管理运营，设备开关由  甲方  负责执行，控制策略由</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乙方</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4"/>
          <w:szCs w:val="24"/>
          <w:highlight w:val="none"/>
        </w:rPr>
        <w:t>制定后报业主方审核确认。</w:t>
      </w:r>
    </w:p>
    <w:p w14:paraId="1950E18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2.7 托管项目区域内的用能建筑情况（2.2）和能源系统设备设施（2.4）、项目管理情况（2.6），由双方进行逐一登记造册，形成</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项目现有用能情况</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作为本合同附件一。</w:t>
      </w:r>
    </w:p>
    <w:p w14:paraId="4EE83236">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 项目托管服务范围包括：</w:t>
      </w:r>
      <w:r>
        <w:rPr>
          <w:rFonts w:hint="default" w:ascii="Times New Roman" w:hAnsi="Times New Roman" w:eastAsia="宋体" w:cs="Times New Roman"/>
          <w:color w:val="auto"/>
          <w:sz w:val="24"/>
          <w:szCs w:val="24"/>
          <w:highlight w:val="none"/>
          <w:u w:val="single"/>
        </w:rPr>
        <w:t>自来水、电力、天然气、热力、空调系统维保</w:t>
      </w:r>
      <w:r>
        <w:rPr>
          <w:rFonts w:hint="default" w:ascii="Times New Roman" w:hAnsi="Times New Roman" w:eastAsia="宋体" w:cs="Times New Roman"/>
          <w:color w:val="auto"/>
          <w:sz w:val="24"/>
          <w:szCs w:val="24"/>
          <w:highlight w:val="none"/>
        </w:rPr>
        <w:t>。</w:t>
      </w:r>
    </w:p>
    <w:p w14:paraId="3CDB105E">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第三条  能源审计和能源基准</w:t>
      </w:r>
    </w:p>
    <w:p w14:paraId="3B0FBC5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3.1 能源审计（对节能指标考核、综合评价）是甲方能源系统能源消耗状况的依据，在项目运行满一年后、</w:t>
      </w:r>
      <w:r>
        <w:rPr>
          <w:rFonts w:hint="eastAsia" w:ascii="Times New Roman" w:hAnsi="Times New Roman" w:eastAsia="宋体" w:cs="Times New Roman"/>
          <w:bCs/>
          <w:color w:val="auto"/>
          <w:sz w:val="24"/>
          <w:szCs w:val="24"/>
          <w:highlight w:val="none"/>
          <w:lang w:val="en-US" w:eastAsia="zh-CN"/>
        </w:rPr>
        <w:t>托管期内每年度</w:t>
      </w:r>
      <w:r>
        <w:rPr>
          <w:rFonts w:hint="default" w:ascii="Times New Roman" w:hAnsi="Times New Roman" w:eastAsia="宋体" w:cs="Times New Roman"/>
          <w:bCs/>
          <w:color w:val="auto"/>
          <w:sz w:val="24"/>
          <w:szCs w:val="24"/>
          <w:highlight w:val="none"/>
        </w:rPr>
        <w:t>和项目期结束前一个月，</w:t>
      </w:r>
      <w:r>
        <w:rPr>
          <w:rFonts w:hint="eastAsia" w:ascii="Times New Roman" w:hAnsi="Times New Roman" w:eastAsia="宋体" w:cs="Times New Roman"/>
          <w:bCs/>
          <w:color w:val="auto"/>
          <w:sz w:val="24"/>
          <w:szCs w:val="24"/>
          <w:highlight w:val="none"/>
          <w:lang w:val="en-US" w:eastAsia="zh-CN"/>
        </w:rPr>
        <w:t>甲</w:t>
      </w:r>
      <w:r>
        <w:rPr>
          <w:rFonts w:hint="default" w:ascii="Times New Roman" w:hAnsi="Times New Roman" w:eastAsia="宋体" w:cs="Times New Roman"/>
          <w:bCs/>
          <w:color w:val="auto"/>
          <w:sz w:val="24"/>
          <w:szCs w:val="24"/>
          <w:highlight w:val="none"/>
        </w:rPr>
        <w:t>方负责委托相应</w:t>
      </w:r>
      <w:r>
        <w:rPr>
          <w:rFonts w:hint="eastAsia" w:ascii="Times New Roman" w:hAnsi="Times New Roman" w:eastAsia="宋体" w:cs="Times New Roman"/>
          <w:bCs/>
          <w:color w:val="auto"/>
          <w:sz w:val="24"/>
          <w:szCs w:val="24"/>
          <w:highlight w:val="none"/>
          <w:lang w:eastAsia="zh-CN"/>
        </w:rPr>
        <w:t>的</w:t>
      </w:r>
      <w:r>
        <w:rPr>
          <w:rFonts w:hint="eastAsia" w:ascii="Times New Roman" w:hAnsi="Times New Roman" w:eastAsia="宋体" w:cs="Times New Roman"/>
          <w:bCs/>
          <w:color w:val="auto"/>
          <w:sz w:val="24"/>
          <w:szCs w:val="24"/>
          <w:highlight w:val="none"/>
          <w:lang w:val="en-US" w:eastAsia="zh-CN"/>
        </w:rPr>
        <w:t>第三方</w:t>
      </w:r>
      <w:r>
        <w:rPr>
          <w:rFonts w:hint="default" w:ascii="Times New Roman" w:hAnsi="Times New Roman" w:eastAsia="宋体" w:cs="Times New Roman"/>
          <w:bCs/>
          <w:color w:val="auto"/>
          <w:sz w:val="24"/>
          <w:szCs w:val="24"/>
          <w:highlight w:val="none"/>
        </w:rPr>
        <w:t>能源审计单位进行节能效果评估并如实向甲方提供成果报告</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节能效果评估费用由</w:t>
      </w:r>
      <w:r>
        <w:rPr>
          <w:rFonts w:hint="eastAsia" w:ascii="Times New Roman" w:hAnsi="Times New Roman" w:eastAsia="宋体" w:cs="Times New Roman"/>
          <w:bCs/>
          <w:color w:val="auto"/>
          <w:sz w:val="24"/>
          <w:szCs w:val="24"/>
          <w:highlight w:val="none"/>
          <w:u w:val="single"/>
          <w:lang w:val="en-US" w:eastAsia="zh-CN"/>
        </w:rPr>
        <w:t xml:space="preserve"> 甲 </w:t>
      </w:r>
      <w:r>
        <w:rPr>
          <w:rFonts w:hint="default" w:ascii="Times New Roman" w:hAnsi="Times New Roman" w:eastAsia="宋体" w:cs="Times New Roman"/>
          <w:bCs/>
          <w:color w:val="auto"/>
          <w:sz w:val="24"/>
          <w:szCs w:val="24"/>
          <w:highlight w:val="none"/>
        </w:rPr>
        <w:t>方承担。</w:t>
      </w:r>
    </w:p>
    <w:p w14:paraId="65B844E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3.2 本项目的节能改造监理费</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合同签订后由</w:t>
      </w:r>
      <w:r>
        <w:rPr>
          <w:rFonts w:hint="eastAsia" w:ascii="Times New Roman" w:hAnsi="Times New Roman" w:eastAsia="宋体" w:cs="Times New Roman"/>
          <w:bCs/>
          <w:color w:val="auto"/>
          <w:sz w:val="24"/>
          <w:szCs w:val="24"/>
          <w:highlight w:val="none"/>
          <w:lang w:val="en-US" w:eastAsia="zh-CN"/>
        </w:rPr>
        <w:t>甲</w:t>
      </w:r>
      <w:r>
        <w:rPr>
          <w:rFonts w:hint="default" w:ascii="Times New Roman" w:hAnsi="Times New Roman" w:eastAsia="宋体" w:cs="Times New Roman"/>
          <w:bCs/>
          <w:color w:val="auto"/>
          <w:sz w:val="24"/>
          <w:szCs w:val="24"/>
          <w:highlight w:val="none"/>
        </w:rPr>
        <w:t>方支付给甲方委托的监理单位。</w:t>
      </w:r>
    </w:p>
    <w:p w14:paraId="6938CE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3.3经过能源审计确定托管项目的能源基准：确定本项目在实施能源托管前，代表项目边界内用能设备和系统运行规律的基准期为</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日至</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年</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月</w:t>
      </w:r>
      <w:r>
        <w:rPr>
          <w:rFonts w:hint="default" w:ascii="Times New Roman" w:hAnsi="Times New Roman" w:eastAsia="宋体" w:cs="Times New Roman"/>
          <w:color w:val="auto"/>
          <w:sz w:val="24"/>
          <w:szCs w:val="24"/>
          <w:highlight w:val="none"/>
          <w:u w:val="single"/>
          <w:lang w:val="en-US" w:eastAsia="zh-CN"/>
        </w:rPr>
        <w:t xml:space="preserve"> </w:t>
      </w:r>
      <w:r>
        <w:rPr>
          <w:rFonts w:hint="eastAsia"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日；能源基准如下所示：</w:t>
      </w:r>
    </w:p>
    <w:tbl>
      <w:tblPr>
        <w:tblStyle w:val="57"/>
        <w:tblW w:w="4998" w:type="pct"/>
        <w:jc w:val="center"/>
        <w:tblLayout w:type="autofit"/>
        <w:tblCellMar>
          <w:top w:w="0" w:type="dxa"/>
          <w:left w:w="108" w:type="dxa"/>
          <w:bottom w:w="0" w:type="dxa"/>
          <w:right w:w="108" w:type="dxa"/>
        </w:tblCellMar>
      </w:tblPr>
      <w:tblGrid>
        <w:gridCol w:w="1888"/>
        <w:gridCol w:w="1888"/>
        <w:gridCol w:w="2161"/>
        <w:gridCol w:w="2971"/>
        <w:gridCol w:w="828"/>
      </w:tblGrid>
      <w:tr w14:paraId="151CFE72">
        <w:tblPrEx>
          <w:tblCellMar>
            <w:top w:w="0" w:type="dxa"/>
            <w:left w:w="108" w:type="dxa"/>
            <w:bottom w:w="0" w:type="dxa"/>
            <w:right w:w="108" w:type="dxa"/>
          </w:tblCellMar>
        </w:tblPrEx>
        <w:trPr>
          <w:trHeight w:val="400" w:hRule="atLeast"/>
          <w:jc w:val="center"/>
        </w:trPr>
        <w:tc>
          <w:tcPr>
            <w:tcW w:w="969" w:type="pct"/>
            <w:vMerge w:val="restart"/>
            <w:tcBorders>
              <w:top w:val="single" w:color="000000" w:sz="4" w:space="0"/>
              <w:left w:val="single" w:color="000000" w:sz="4" w:space="0"/>
              <w:bottom w:val="single" w:color="000000" w:sz="4" w:space="0"/>
              <w:right w:val="single" w:color="000000" w:sz="4" w:space="0"/>
            </w:tcBorders>
            <w:noWrap/>
            <w:vAlign w:val="center"/>
          </w:tcPr>
          <w:p w14:paraId="436549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托管能源类型</w:t>
            </w:r>
          </w:p>
        </w:tc>
        <w:tc>
          <w:tcPr>
            <w:tcW w:w="969" w:type="pct"/>
            <w:vMerge w:val="restart"/>
            <w:tcBorders>
              <w:top w:val="single" w:color="000000" w:sz="4" w:space="0"/>
              <w:left w:val="single" w:color="000000" w:sz="4" w:space="0"/>
              <w:bottom w:val="single" w:color="000000" w:sz="4" w:space="0"/>
              <w:right w:val="single" w:color="000000" w:sz="4" w:space="0"/>
            </w:tcBorders>
            <w:noWrap/>
            <w:vAlign w:val="center"/>
          </w:tcPr>
          <w:p w14:paraId="1FC59E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能源缴费户号</w:t>
            </w:r>
          </w:p>
        </w:tc>
        <w:tc>
          <w:tcPr>
            <w:tcW w:w="1109" w:type="pct"/>
            <w:vMerge w:val="restart"/>
            <w:tcBorders>
              <w:top w:val="single" w:color="000000" w:sz="4" w:space="0"/>
              <w:left w:val="single" w:color="000000" w:sz="4" w:space="0"/>
              <w:bottom w:val="single" w:color="000000" w:sz="4" w:space="0"/>
              <w:right w:val="single" w:color="000000" w:sz="4" w:space="0"/>
            </w:tcBorders>
            <w:noWrap/>
            <w:vAlign w:val="center"/>
          </w:tcPr>
          <w:p w14:paraId="7B51AF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基准期能源用量</w:t>
            </w:r>
          </w:p>
        </w:tc>
        <w:tc>
          <w:tcPr>
            <w:tcW w:w="1525" w:type="pct"/>
            <w:vMerge w:val="restart"/>
            <w:tcBorders>
              <w:top w:val="single" w:color="000000" w:sz="4" w:space="0"/>
              <w:left w:val="single" w:color="000000" w:sz="4" w:space="0"/>
              <w:bottom w:val="single" w:color="000000" w:sz="4" w:space="0"/>
              <w:right w:val="single" w:color="000000" w:sz="4" w:space="0"/>
            </w:tcBorders>
            <w:noWrap/>
            <w:vAlign w:val="center"/>
          </w:tcPr>
          <w:p w14:paraId="07D2906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基准期能源单价（元）</w:t>
            </w:r>
          </w:p>
        </w:tc>
        <w:tc>
          <w:tcPr>
            <w:tcW w:w="425" w:type="pct"/>
            <w:vMerge w:val="restart"/>
            <w:tcBorders>
              <w:top w:val="single" w:color="000000" w:sz="4" w:space="0"/>
              <w:left w:val="single" w:color="000000" w:sz="4" w:space="0"/>
              <w:bottom w:val="single" w:color="000000" w:sz="4" w:space="0"/>
              <w:right w:val="single" w:color="000000" w:sz="4" w:space="0"/>
            </w:tcBorders>
            <w:noWrap/>
            <w:vAlign w:val="center"/>
          </w:tcPr>
          <w:p w14:paraId="33F9E6E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备注</w:t>
            </w:r>
          </w:p>
        </w:tc>
      </w:tr>
      <w:tr w14:paraId="500E78D5">
        <w:tblPrEx>
          <w:tblCellMar>
            <w:top w:w="0" w:type="dxa"/>
            <w:left w:w="108" w:type="dxa"/>
            <w:bottom w:w="0" w:type="dxa"/>
            <w:right w:w="108" w:type="dxa"/>
          </w:tblCellMar>
        </w:tblPrEx>
        <w:trPr>
          <w:trHeight w:val="270" w:hRule="atLeast"/>
          <w:jc w:val="center"/>
        </w:trPr>
        <w:tc>
          <w:tcPr>
            <w:tcW w:w="969" w:type="pct"/>
            <w:tcBorders>
              <w:top w:val="single" w:color="000000" w:sz="4" w:space="0"/>
              <w:left w:val="single" w:color="000000" w:sz="4" w:space="0"/>
              <w:bottom w:val="single" w:color="000000" w:sz="4" w:space="0"/>
              <w:right w:val="single" w:color="000000" w:sz="4" w:space="0"/>
            </w:tcBorders>
            <w:noWrap/>
            <w:vAlign w:val="center"/>
          </w:tcPr>
          <w:p w14:paraId="145A27E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w:t>
            </w:r>
          </w:p>
        </w:tc>
        <w:tc>
          <w:tcPr>
            <w:tcW w:w="969" w:type="pct"/>
            <w:tcBorders>
              <w:top w:val="single" w:color="000000" w:sz="4" w:space="0"/>
              <w:left w:val="single" w:color="000000" w:sz="4" w:space="0"/>
              <w:bottom w:val="single" w:color="000000" w:sz="4" w:space="0"/>
              <w:right w:val="single" w:color="000000" w:sz="4" w:space="0"/>
            </w:tcBorders>
            <w:noWrap/>
            <w:vAlign w:val="center"/>
          </w:tcPr>
          <w:p w14:paraId="61BA27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109" w:type="pct"/>
            <w:tcBorders>
              <w:top w:val="single" w:color="000000" w:sz="4" w:space="0"/>
              <w:left w:val="single" w:color="000000" w:sz="4" w:space="0"/>
              <w:bottom w:val="single" w:color="000000" w:sz="4" w:space="0"/>
              <w:right w:val="single" w:color="000000" w:sz="4" w:space="0"/>
            </w:tcBorders>
            <w:noWrap/>
            <w:vAlign w:val="center"/>
          </w:tcPr>
          <w:p w14:paraId="3D82B9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kWh</w:t>
            </w:r>
          </w:p>
        </w:tc>
        <w:tc>
          <w:tcPr>
            <w:tcW w:w="1525" w:type="pct"/>
            <w:tcBorders>
              <w:top w:val="single" w:color="000000" w:sz="4" w:space="0"/>
              <w:left w:val="single" w:color="000000" w:sz="4" w:space="0"/>
              <w:bottom w:val="single" w:color="000000" w:sz="4" w:space="0"/>
              <w:right w:val="single" w:color="000000" w:sz="4" w:space="0"/>
            </w:tcBorders>
            <w:noWrap/>
            <w:vAlign w:val="center"/>
          </w:tcPr>
          <w:p w14:paraId="5B0E49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4E3130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5A473E58">
        <w:tblPrEx>
          <w:tblCellMar>
            <w:top w:w="0" w:type="dxa"/>
            <w:left w:w="108" w:type="dxa"/>
            <w:bottom w:w="0" w:type="dxa"/>
            <w:right w:w="108" w:type="dxa"/>
          </w:tblCellMar>
        </w:tblPrEx>
        <w:trPr>
          <w:trHeight w:val="270" w:hRule="atLeast"/>
          <w:jc w:val="center"/>
        </w:trPr>
        <w:tc>
          <w:tcPr>
            <w:tcW w:w="969" w:type="pct"/>
            <w:tcBorders>
              <w:top w:val="single" w:color="000000" w:sz="4" w:space="0"/>
              <w:left w:val="single" w:color="000000" w:sz="4" w:space="0"/>
              <w:bottom w:val="single" w:color="000000" w:sz="4" w:space="0"/>
              <w:right w:val="single" w:color="000000" w:sz="4" w:space="0"/>
            </w:tcBorders>
            <w:noWrap/>
            <w:vAlign w:val="center"/>
          </w:tcPr>
          <w:p w14:paraId="563E701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自来水</w:t>
            </w:r>
          </w:p>
        </w:tc>
        <w:tc>
          <w:tcPr>
            <w:tcW w:w="969" w:type="pct"/>
            <w:tcBorders>
              <w:top w:val="single" w:color="000000" w:sz="4" w:space="0"/>
              <w:left w:val="single" w:color="000000" w:sz="4" w:space="0"/>
              <w:bottom w:val="single" w:color="000000" w:sz="4" w:space="0"/>
              <w:right w:val="single" w:color="000000" w:sz="4" w:space="0"/>
            </w:tcBorders>
            <w:noWrap/>
            <w:vAlign w:val="center"/>
          </w:tcPr>
          <w:p w14:paraId="345F5E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109" w:type="pct"/>
            <w:tcBorders>
              <w:top w:val="single" w:color="000000" w:sz="4" w:space="0"/>
              <w:left w:val="single" w:color="000000" w:sz="4" w:space="0"/>
              <w:bottom w:val="single" w:color="000000" w:sz="4" w:space="0"/>
              <w:right w:val="single" w:color="000000" w:sz="4" w:space="0"/>
            </w:tcBorders>
            <w:noWrap/>
            <w:vAlign w:val="center"/>
          </w:tcPr>
          <w:p w14:paraId="49B652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m³</w:t>
            </w:r>
          </w:p>
        </w:tc>
        <w:tc>
          <w:tcPr>
            <w:tcW w:w="1525" w:type="pct"/>
            <w:tcBorders>
              <w:top w:val="single" w:color="000000" w:sz="4" w:space="0"/>
              <w:left w:val="single" w:color="000000" w:sz="4" w:space="0"/>
              <w:bottom w:val="single" w:color="000000" w:sz="4" w:space="0"/>
              <w:right w:val="single" w:color="000000" w:sz="4" w:space="0"/>
            </w:tcBorders>
            <w:noWrap/>
            <w:vAlign w:val="center"/>
          </w:tcPr>
          <w:p w14:paraId="727FC0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2A13F2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3B0210C1">
        <w:tblPrEx>
          <w:tblCellMar>
            <w:top w:w="0" w:type="dxa"/>
            <w:left w:w="108" w:type="dxa"/>
            <w:bottom w:w="0" w:type="dxa"/>
            <w:right w:w="108" w:type="dxa"/>
          </w:tblCellMar>
        </w:tblPrEx>
        <w:trPr>
          <w:trHeight w:val="270" w:hRule="atLeast"/>
          <w:jc w:val="center"/>
        </w:trPr>
        <w:tc>
          <w:tcPr>
            <w:tcW w:w="969" w:type="pct"/>
            <w:tcBorders>
              <w:top w:val="single" w:color="000000" w:sz="4" w:space="0"/>
              <w:left w:val="single" w:color="000000" w:sz="4" w:space="0"/>
              <w:bottom w:val="single" w:color="000000" w:sz="4" w:space="0"/>
              <w:right w:val="single" w:color="000000" w:sz="4" w:space="0"/>
            </w:tcBorders>
            <w:noWrap/>
            <w:vAlign w:val="center"/>
          </w:tcPr>
          <w:p w14:paraId="7A2FA9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天然气</w:t>
            </w:r>
          </w:p>
        </w:tc>
        <w:tc>
          <w:tcPr>
            <w:tcW w:w="969" w:type="pct"/>
            <w:tcBorders>
              <w:top w:val="single" w:color="000000" w:sz="4" w:space="0"/>
              <w:left w:val="single" w:color="000000" w:sz="4" w:space="0"/>
              <w:bottom w:val="single" w:color="000000" w:sz="4" w:space="0"/>
              <w:right w:val="single" w:color="000000" w:sz="4" w:space="0"/>
            </w:tcBorders>
            <w:noWrap/>
            <w:vAlign w:val="center"/>
          </w:tcPr>
          <w:p w14:paraId="1186BD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109" w:type="pct"/>
            <w:tcBorders>
              <w:top w:val="single" w:color="000000" w:sz="4" w:space="0"/>
              <w:left w:val="single" w:color="000000" w:sz="4" w:space="0"/>
              <w:bottom w:val="single" w:color="000000" w:sz="4" w:space="0"/>
              <w:right w:val="single" w:color="000000" w:sz="4" w:space="0"/>
            </w:tcBorders>
            <w:noWrap/>
            <w:vAlign w:val="center"/>
          </w:tcPr>
          <w:p w14:paraId="792129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m³</w:t>
            </w:r>
          </w:p>
        </w:tc>
        <w:tc>
          <w:tcPr>
            <w:tcW w:w="1525" w:type="pct"/>
            <w:tcBorders>
              <w:top w:val="single" w:color="000000" w:sz="4" w:space="0"/>
              <w:left w:val="single" w:color="000000" w:sz="4" w:space="0"/>
              <w:bottom w:val="single" w:color="000000" w:sz="4" w:space="0"/>
              <w:right w:val="single" w:color="000000" w:sz="4" w:space="0"/>
            </w:tcBorders>
            <w:noWrap/>
            <w:vAlign w:val="center"/>
          </w:tcPr>
          <w:p w14:paraId="085418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1D2BF92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2DF7F376">
        <w:tblPrEx>
          <w:tblCellMar>
            <w:top w:w="0" w:type="dxa"/>
            <w:left w:w="108" w:type="dxa"/>
            <w:bottom w:w="0" w:type="dxa"/>
            <w:right w:w="108" w:type="dxa"/>
          </w:tblCellMar>
        </w:tblPrEx>
        <w:trPr>
          <w:trHeight w:val="270" w:hRule="atLeast"/>
          <w:jc w:val="center"/>
        </w:trPr>
        <w:tc>
          <w:tcPr>
            <w:tcW w:w="969" w:type="pct"/>
            <w:tcBorders>
              <w:top w:val="single" w:color="000000" w:sz="4" w:space="0"/>
              <w:left w:val="single" w:color="000000" w:sz="4" w:space="0"/>
              <w:bottom w:val="single" w:color="000000" w:sz="4" w:space="0"/>
              <w:right w:val="single" w:color="000000" w:sz="4" w:space="0"/>
            </w:tcBorders>
            <w:noWrap/>
            <w:vAlign w:val="center"/>
          </w:tcPr>
          <w:p w14:paraId="59498F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热力</w:t>
            </w:r>
          </w:p>
        </w:tc>
        <w:tc>
          <w:tcPr>
            <w:tcW w:w="969" w:type="pct"/>
            <w:tcBorders>
              <w:top w:val="single" w:color="000000" w:sz="4" w:space="0"/>
              <w:left w:val="single" w:color="000000" w:sz="4" w:space="0"/>
              <w:bottom w:val="single" w:color="000000" w:sz="4" w:space="0"/>
              <w:right w:val="single" w:color="000000" w:sz="4" w:space="0"/>
            </w:tcBorders>
            <w:noWrap/>
            <w:vAlign w:val="center"/>
          </w:tcPr>
          <w:p w14:paraId="761ECD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109" w:type="pct"/>
            <w:tcBorders>
              <w:top w:val="single" w:color="000000" w:sz="4" w:space="0"/>
              <w:left w:val="single" w:color="000000" w:sz="4" w:space="0"/>
              <w:bottom w:val="single" w:color="000000" w:sz="4" w:space="0"/>
              <w:right w:val="single" w:color="000000" w:sz="4" w:space="0"/>
            </w:tcBorders>
            <w:noWrap/>
            <w:vAlign w:val="center"/>
          </w:tcPr>
          <w:p w14:paraId="16CE826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GJ</w:t>
            </w:r>
          </w:p>
        </w:tc>
        <w:tc>
          <w:tcPr>
            <w:tcW w:w="1525" w:type="pct"/>
            <w:tcBorders>
              <w:top w:val="single" w:color="000000" w:sz="4" w:space="0"/>
              <w:left w:val="single" w:color="000000" w:sz="4" w:space="0"/>
              <w:bottom w:val="single" w:color="000000" w:sz="4" w:space="0"/>
              <w:right w:val="single" w:color="000000" w:sz="4" w:space="0"/>
            </w:tcBorders>
            <w:noWrap/>
            <w:vAlign w:val="center"/>
          </w:tcPr>
          <w:p w14:paraId="0B6E18D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19BACA8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7578892D">
        <w:tblPrEx>
          <w:tblCellMar>
            <w:top w:w="0" w:type="dxa"/>
            <w:left w:w="108" w:type="dxa"/>
            <w:bottom w:w="0" w:type="dxa"/>
            <w:right w:w="108" w:type="dxa"/>
          </w:tblCellMar>
        </w:tblPrEx>
        <w:trPr>
          <w:trHeight w:val="270" w:hRule="atLeast"/>
          <w:jc w:val="center"/>
        </w:trPr>
        <w:tc>
          <w:tcPr>
            <w:tcW w:w="969" w:type="pct"/>
            <w:tcBorders>
              <w:top w:val="single" w:color="000000" w:sz="4" w:space="0"/>
              <w:left w:val="single" w:color="000000" w:sz="4" w:space="0"/>
              <w:bottom w:val="single" w:color="000000" w:sz="4" w:space="0"/>
              <w:right w:val="single" w:color="000000" w:sz="4" w:space="0"/>
            </w:tcBorders>
            <w:noWrap/>
            <w:vAlign w:val="center"/>
          </w:tcPr>
          <w:p w14:paraId="1C43B0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合计</w:t>
            </w:r>
          </w:p>
        </w:tc>
        <w:tc>
          <w:tcPr>
            <w:tcW w:w="969" w:type="pct"/>
            <w:tcBorders>
              <w:top w:val="single" w:color="000000" w:sz="4" w:space="0"/>
              <w:left w:val="single" w:color="000000" w:sz="4" w:space="0"/>
              <w:bottom w:val="single" w:color="000000" w:sz="4" w:space="0"/>
              <w:right w:val="single" w:color="000000" w:sz="4" w:space="0"/>
            </w:tcBorders>
            <w:noWrap/>
            <w:vAlign w:val="center"/>
          </w:tcPr>
          <w:p w14:paraId="6BDB3A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109" w:type="pct"/>
            <w:tcBorders>
              <w:top w:val="single" w:color="000000" w:sz="4" w:space="0"/>
              <w:left w:val="single" w:color="000000" w:sz="4" w:space="0"/>
              <w:bottom w:val="single" w:color="000000" w:sz="4" w:space="0"/>
              <w:right w:val="single" w:color="000000" w:sz="4" w:space="0"/>
            </w:tcBorders>
            <w:noWrap/>
            <w:vAlign w:val="center"/>
          </w:tcPr>
          <w:p w14:paraId="54509A5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525" w:type="pct"/>
            <w:tcBorders>
              <w:top w:val="single" w:color="000000" w:sz="4" w:space="0"/>
              <w:left w:val="single" w:color="000000" w:sz="4" w:space="0"/>
              <w:bottom w:val="single" w:color="000000" w:sz="4" w:space="0"/>
              <w:right w:val="single" w:color="000000" w:sz="4" w:space="0"/>
            </w:tcBorders>
            <w:noWrap/>
            <w:vAlign w:val="center"/>
          </w:tcPr>
          <w:p w14:paraId="333EAE2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25" w:type="pct"/>
            <w:tcBorders>
              <w:top w:val="single" w:color="000000" w:sz="4" w:space="0"/>
              <w:left w:val="single" w:color="000000" w:sz="4" w:space="0"/>
              <w:bottom w:val="single" w:color="000000" w:sz="4" w:space="0"/>
              <w:right w:val="single" w:color="000000" w:sz="4" w:space="0"/>
            </w:tcBorders>
            <w:noWrap/>
            <w:vAlign w:val="center"/>
          </w:tcPr>
          <w:p w14:paraId="06AB521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bl>
    <w:p w14:paraId="2C33813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rPr>
        <w:t>第四条  节能目标</w:t>
      </w:r>
      <w:r>
        <w:rPr>
          <w:rFonts w:hint="eastAsia" w:ascii="Times New Roman" w:hAnsi="Times New Roman" w:eastAsia="宋体" w:cs="Times New Roman"/>
          <w:b/>
          <w:color w:val="auto"/>
          <w:sz w:val="24"/>
          <w:szCs w:val="24"/>
          <w:highlight w:val="none"/>
          <w:lang w:val="en-US" w:eastAsia="zh-CN"/>
        </w:rPr>
        <w:t>与考核</w:t>
      </w:r>
    </w:p>
    <w:p w14:paraId="4EF16DE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4.1在满足同等需求或达到同等目标的前提下，托管期间的年节能量与基准期能源用量之比应达到中标节能率（不低于8%）。年碳减排量与基准期碳排放量之比应达到10%（降碳率）。人均用水量下降不低于3%</w:t>
      </w:r>
      <w:r>
        <w:rPr>
          <w:rFonts w:hint="eastAsia" w:ascii="Times New Roman" w:hAnsi="Times New Roman" w:eastAsia="宋体" w:cs="Times New Roman"/>
          <w:color w:val="auto"/>
          <w:sz w:val="24"/>
          <w:szCs w:val="24"/>
          <w:highlight w:val="none"/>
          <w:lang w:eastAsia="zh-CN"/>
        </w:rPr>
        <w:t>。</w:t>
      </w:r>
    </w:p>
    <w:p w14:paraId="7089EC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4.2</w:t>
      </w:r>
      <w:r>
        <w:rPr>
          <w:rFonts w:hint="default" w:ascii="Times New Roman" w:hAnsi="Times New Roman" w:eastAsia="宋体" w:cs="Times New Roman"/>
          <w:bCs/>
          <w:color w:val="auto"/>
          <w:sz w:val="24"/>
          <w:szCs w:val="24"/>
          <w:highlight w:val="none"/>
        </w:rPr>
        <w:t>托管期内的年实际用水总量原则上不得高于自来水基准总量，同时</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bCs/>
          <w:color w:val="auto"/>
          <w:sz w:val="24"/>
          <w:szCs w:val="24"/>
          <w:highlight w:val="none"/>
        </w:rPr>
        <w:t>应在本次托管范围内的被托管单位中，重点</w:t>
      </w:r>
      <w:r>
        <w:rPr>
          <w:rFonts w:hint="eastAsia" w:ascii="Times New Roman" w:hAnsi="Times New Roman" w:eastAsia="宋体" w:cs="Times New Roman"/>
          <w:bCs/>
          <w:color w:val="auto"/>
          <w:sz w:val="24"/>
          <w:szCs w:val="24"/>
          <w:highlight w:val="none"/>
          <w:lang w:val="en-US" w:eastAsia="zh-CN"/>
        </w:rPr>
        <w:t>筛选</w:t>
      </w:r>
      <w:r>
        <w:rPr>
          <w:rFonts w:hint="default" w:ascii="Times New Roman" w:hAnsi="Times New Roman" w:eastAsia="宋体" w:cs="Times New Roman"/>
          <w:bCs/>
          <w:color w:val="auto"/>
          <w:sz w:val="24"/>
          <w:szCs w:val="24"/>
          <w:highlight w:val="none"/>
        </w:rPr>
        <w:t>其中1-2家单位的用水系统进行节水改造，并协助获取</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国家级公共机构水效领跑者</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证书。</w:t>
      </w:r>
    </w:p>
    <w:p w14:paraId="14A4DDA8">
      <w:pPr>
        <w:keepNext w:val="0"/>
        <w:keepLines w:val="0"/>
        <w:pageBreakBefore w:val="0"/>
        <w:tabs>
          <w:tab w:val="left" w:pos="42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4.3</w:t>
      </w:r>
      <w:r>
        <w:rPr>
          <w:rFonts w:hint="default" w:ascii="Times New Roman" w:hAnsi="Times New Roman" w:eastAsia="宋体" w:cs="Times New Roman"/>
          <w:bCs/>
          <w:color w:val="auto"/>
          <w:sz w:val="24"/>
          <w:szCs w:val="24"/>
          <w:highlight w:val="none"/>
        </w:rPr>
        <w:t>为贯彻执行江苏省公共机构节能降碳</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十五五</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规划要求，坚持绿色低碳引领行动，持续推动节能降碳工作高质量发展，</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bCs/>
          <w:color w:val="auto"/>
          <w:sz w:val="24"/>
          <w:szCs w:val="24"/>
          <w:highlight w:val="none"/>
        </w:rPr>
        <w:t>应在本次托管范围内的被托管单位中，应重点筛选1-2栋单体建筑进行零碳/近零碳建筑改造，并完成零碳/近零碳建筑认证工作。</w:t>
      </w:r>
    </w:p>
    <w:p w14:paraId="64ACE4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4.</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u w:val="single"/>
        </w:rPr>
        <w:t>节能考核：对能源费用托管工作推进落实情况进行考核评估。项目以乙方承诺的且不低于8%的节能率为每年服务期的考核目标（考核期为节能改造期满后开始计算，改造期从合同</w:t>
      </w:r>
      <w:r>
        <w:rPr>
          <w:rFonts w:hint="default" w:ascii="Times New Roman" w:hAnsi="Times New Roman" w:eastAsia="宋体" w:cs="Times New Roman"/>
          <w:color w:val="auto"/>
          <w:sz w:val="24"/>
          <w:szCs w:val="24"/>
          <w:highlight w:val="none"/>
          <w:u w:val="single"/>
          <w:lang w:val="en-US" w:eastAsia="zh-CN"/>
        </w:rPr>
        <w:t>签订</w:t>
      </w:r>
      <w:r>
        <w:rPr>
          <w:rFonts w:hint="default" w:ascii="Times New Roman" w:hAnsi="Times New Roman" w:eastAsia="宋体" w:cs="Times New Roman"/>
          <w:color w:val="auto"/>
          <w:sz w:val="24"/>
          <w:szCs w:val="24"/>
          <w:highlight w:val="none"/>
          <w:u w:val="single"/>
        </w:rPr>
        <w:t>之日起不超过</w:t>
      </w:r>
      <w:r>
        <w:rPr>
          <w:rFonts w:hint="default" w:ascii="Times New Roman" w:hAnsi="Times New Roman" w:eastAsia="宋体" w:cs="Times New Roman"/>
          <w:color w:val="auto"/>
          <w:sz w:val="24"/>
          <w:szCs w:val="24"/>
          <w:highlight w:val="none"/>
          <w:u w:val="single"/>
          <w:lang w:val="en-US" w:eastAsia="zh-CN"/>
        </w:rPr>
        <w:t>180日历天</w:t>
      </w:r>
      <w:r>
        <w:rPr>
          <w:rFonts w:hint="default" w:ascii="Times New Roman" w:hAnsi="Times New Roman" w:eastAsia="宋体" w:cs="Times New Roman"/>
          <w:color w:val="auto"/>
          <w:sz w:val="24"/>
          <w:szCs w:val="24"/>
          <w:highlight w:val="none"/>
          <w:u w:val="single"/>
        </w:rPr>
        <w:t>），进入运营期后，甲方在每一年度周期支付最后一笔能源托管费用中预留相应金额（根据乙方承诺节能率，承诺节能率为8%的，</w:t>
      </w:r>
      <w:r>
        <w:rPr>
          <w:rFonts w:hint="default" w:ascii="Times New Roman" w:hAnsi="Times New Roman" w:eastAsia="宋体" w:cs="Times New Roman"/>
          <w:color w:val="auto"/>
          <w:sz w:val="24"/>
          <w:szCs w:val="24"/>
          <w:highlight w:val="none"/>
          <w:u w:val="single"/>
          <w:shd w:val="clear"/>
        </w:rPr>
        <w:t>预留被托管单位</w:t>
      </w:r>
      <w:r>
        <w:rPr>
          <w:rFonts w:hint="eastAsia" w:ascii="Times New Roman" w:hAnsi="Times New Roman" w:eastAsia="宋体" w:cs="Times New Roman"/>
          <w:color w:val="auto"/>
          <w:sz w:val="24"/>
          <w:szCs w:val="24"/>
          <w:highlight w:val="none"/>
          <w:u w:val="single"/>
          <w:shd w:val="clear"/>
          <w:lang w:val="en-US" w:eastAsia="zh-CN"/>
        </w:rPr>
        <w:t>总</w:t>
      </w:r>
      <w:r>
        <w:rPr>
          <w:rFonts w:hint="default" w:ascii="Times New Roman" w:hAnsi="Times New Roman" w:eastAsia="宋体" w:cs="Times New Roman"/>
          <w:color w:val="auto"/>
          <w:sz w:val="24"/>
          <w:szCs w:val="24"/>
          <w:highlight w:val="none"/>
          <w:u w:val="single"/>
          <w:shd w:val="clear"/>
        </w:rPr>
        <w:t>托管费用的3%作为考核</w:t>
      </w:r>
      <w:r>
        <w:rPr>
          <w:rFonts w:hint="default" w:ascii="Times New Roman" w:hAnsi="Times New Roman" w:eastAsia="宋体" w:cs="Times New Roman"/>
          <w:color w:val="auto"/>
          <w:sz w:val="24"/>
          <w:szCs w:val="24"/>
          <w:highlight w:val="none"/>
          <w:u w:val="single"/>
        </w:rPr>
        <w:t>；8%＜承诺节能率≤9%的，预留被托管单位</w:t>
      </w:r>
      <w:r>
        <w:rPr>
          <w:rFonts w:hint="eastAsia" w:ascii="Times New Roman" w:hAnsi="Times New Roman" w:eastAsia="宋体" w:cs="Times New Roman"/>
          <w:color w:val="auto"/>
          <w:sz w:val="24"/>
          <w:szCs w:val="24"/>
          <w:highlight w:val="none"/>
          <w:u w:val="single"/>
          <w:lang w:val="en-US" w:eastAsia="zh-CN"/>
        </w:rPr>
        <w:t>总</w:t>
      </w:r>
      <w:r>
        <w:rPr>
          <w:rFonts w:hint="default" w:ascii="Times New Roman" w:hAnsi="Times New Roman" w:eastAsia="宋体" w:cs="Times New Roman"/>
          <w:color w:val="auto"/>
          <w:sz w:val="24"/>
          <w:szCs w:val="24"/>
          <w:highlight w:val="none"/>
          <w:u w:val="single"/>
        </w:rPr>
        <w:t>托管费用的4%作为考核；9%＜承诺节能率的，预留被托管单位</w:t>
      </w:r>
      <w:r>
        <w:rPr>
          <w:rFonts w:hint="eastAsia" w:ascii="Times New Roman" w:hAnsi="Times New Roman" w:eastAsia="宋体" w:cs="Times New Roman"/>
          <w:color w:val="auto"/>
          <w:sz w:val="24"/>
          <w:szCs w:val="24"/>
          <w:highlight w:val="none"/>
          <w:u w:val="single"/>
          <w:lang w:val="en-US" w:eastAsia="zh-CN"/>
        </w:rPr>
        <w:t>总</w:t>
      </w:r>
      <w:r>
        <w:rPr>
          <w:rFonts w:hint="default" w:ascii="Times New Roman" w:hAnsi="Times New Roman" w:eastAsia="宋体" w:cs="Times New Roman"/>
          <w:color w:val="auto"/>
          <w:sz w:val="24"/>
          <w:szCs w:val="24"/>
          <w:highlight w:val="none"/>
          <w:u w:val="single"/>
        </w:rPr>
        <w:t>托管费用的5%作为考核。）的能源托管费用对乙方节能效果的考核，若项目年节能率低于考核节能率的，按低于比例乘以考核预留费用扣减乙方的能源托管费用，直至考核预留费用扣完为止【举例说明：如乙方承诺的节能率是8%，考核时年节能率是7.5%，则扣减费用=（8%-7.5%）/8%×3%×（被托管单位</w:t>
      </w:r>
      <w:r>
        <w:rPr>
          <w:rFonts w:hint="eastAsia" w:ascii="Times New Roman" w:hAnsi="Times New Roman" w:eastAsia="宋体" w:cs="Times New Roman"/>
          <w:color w:val="auto"/>
          <w:sz w:val="24"/>
          <w:szCs w:val="24"/>
          <w:highlight w:val="none"/>
          <w:u w:val="single"/>
          <w:lang w:val="en-US" w:eastAsia="zh-CN"/>
        </w:rPr>
        <w:t>总</w:t>
      </w:r>
      <w:r>
        <w:rPr>
          <w:rFonts w:hint="default" w:ascii="Times New Roman" w:hAnsi="Times New Roman" w:eastAsia="宋体" w:cs="Times New Roman"/>
          <w:color w:val="auto"/>
          <w:sz w:val="24"/>
          <w:szCs w:val="24"/>
          <w:highlight w:val="none"/>
          <w:u w:val="single"/>
        </w:rPr>
        <w:t>托管费用）元】。完成考核后，甲方应在考核完成后向乙方支付经</w:t>
      </w:r>
      <w:r>
        <w:rPr>
          <w:rFonts w:hint="eastAsia" w:ascii="Times New Roman" w:hAnsi="Times New Roman" w:eastAsia="宋体" w:cs="Times New Roman"/>
          <w:color w:val="auto"/>
          <w:sz w:val="24"/>
          <w:szCs w:val="24"/>
          <w:highlight w:val="none"/>
          <w:u w:val="single"/>
          <w:lang w:val="en-US" w:eastAsia="zh-CN"/>
        </w:rPr>
        <w:t>扣减</w:t>
      </w:r>
      <w:r>
        <w:rPr>
          <w:rFonts w:hint="default" w:ascii="Times New Roman" w:hAnsi="Times New Roman" w:eastAsia="宋体" w:cs="Times New Roman"/>
          <w:color w:val="auto"/>
          <w:sz w:val="24"/>
          <w:szCs w:val="24"/>
          <w:highlight w:val="none"/>
          <w:u w:val="single"/>
        </w:rPr>
        <w:t>后剩余预留的能源托管费。进入下一个考核周期，甲方继续按上述方式进行当期节能考核。</w:t>
      </w:r>
    </w:p>
    <w:p w14:paraId="57D5FC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节能管理措施考核：1）建立健全能源管理制度；2）节能措施落实到位。节能改造措施全面，安全文明措施完备；3）节能技术推广应用。符合合同约定使用的技术标准和技术要求，提供可靠的技术支持；4）开展能源管理培训。对甲方指派的操作人员定期进行专业培训，以使其能承担相应的操作和设施维护要求。</w:t>
      </w:r>
    </w:p>
    <w:p w14:paraId="47410C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节能管理保障考核：1）提供365天*24小时的不间断运维服务指导；2）设备发生故障在1小时内予以响应，8小时内修复，因特殊零配件原因48小时内修复，并持续协助故障的最终解答或解决。托管期间，</w:t>
      </w:r>
      <w:r>
        <w:rPr>
          <w:rFonts w:hint="default" w:ascii="Times New Roman" w:hAnsi="Times New Roman" w:eastAsia="宋体" w:cs="Times New Roman"/>
          <w:color w:val="auto"/>
          <w:sz w:val="24"/>
          <w:szCs w:val="24"/>
          <w:highlight w:val="none"/>
          <w:u w:val="none"/>
        </w:rPr>
        <w:t>乙方投入</w:t>
      </w:r>
      <w:r>
        <w:rPr>
          <w:rFonts w:hint="default" w:ascii="Times New Roman" w:hAnsi="Times New Roman" w:eastAsia="宋体" w:cs="Times New Roman"/>
          <w:color w:val="auto"/>
          <w:sz w:val="24"/>
          <w:szCs w:val="24"/>
          <w:highlight w:val="none"/>
        </w:rPr>
        <w:t>设备的维修由乙方负责，报修方式为</w:t>
      </w:r>
      <w:r>
        <w:rPr>
          <w:rFonts w:hint="default" w:ascii="Times New Roman" w:hAnsi="Times New Roman" w:eastAsia="宋体" w:cs="Times New Roman"/>
          <w:color w:val="auto"/>
          <w:sz w:val="24"/>
          <w:szCs w:val="24"/>
          <w:highlight w:val="none"/>
          <w:u w:val="none"/>
        </w:rPr>
        <w:t>电话、短信、微信、QQ、信函等</w:t>
      </w:r>
      <w:r>
        <w:rPr>
          <w:rFonts w:hint="default" w:ascii="Times New Roman" w:hAnsi="Times New Roman" w:eastAsia="宋体" w:cs="Times New Roman"/>
          <w:color w:val="auto"/>
          <w:sz w:val="24"/>
          <w:szCs w:val="24"/>
          <w:highlight w:val="none"/>
        </w:rPr>
        <w:t>。</w:t>
      </w:r>
    </w:p>
    <w:p w14:paraId="5CC27F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节能管理效果考核：1）乙方按年出具能效分析报告，包括用能情况、能源利用、运维情况等，能源托管效果明显；2）定期开展能源审计，能源消耗量、能源费用等核心数据维持较好水平，并呈现持续改进态势。对项目进展缓慢、组织管理混乱、工作推进不力等情况，限期整改。</w:t>
      </w:r>
    </w:p>
    <w:p w14:paraId="2AAB64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对项目进展缓慢、组织管理混乱、工作推进不力等情况，限期整改。</w:t>
      </w:r>
    </w:p>
    <w:p w14:paraId="202BF8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4.5</w:t>
      </w:r>
      <w:r>
        <w:rPr>
          <w:rFonts w:hint="default" w:ascii="Times New Roman" w:hAnsi="Times New Roman" w:eastAsia="宋体" w:cs="Times New Roman"/>
          <w:bCs/>
          <w:color w:val="auto"/>
          <w:sz w:val="24"/>
          <w:szCs w:val="24"/>
          <w:highlight w:val="none"/>
        </w:rPr>
        <w:t>本项目节能改造实施过程中，由甲方委托的监理机构进行全过程监管，监管内容为乙方实施的节能改造是否符合采购需求所列12家</w:t>
      </w:r>
      <w:r>
        <w:rPr>
          <w:rFonts w:hint="eastAsia" w:ascii="Times New Roman" w:hAnsi="Times New Roman" w:eastAsia="宋体" w:cs="Times New Roman"/>
          <w:bCs/>
          <w:color w:val="auto"/>
          <w:sz w:val="24"/>
          <w:szCs w:val="24"/>
          <w:highlight w:val="none"/>
          <w:lang w:val="en-US" w:eastAsia="zh-CN"/>
        </w:rPr>
        <w:t>被托管</w:t>
      </w:r>
      <w:r>
        <w:rPr>
          <w:rFonts w:hint="default" w:ascii="Times New Roman" w:hAnsi="Times New Roman" w:eastAsia="宋体" w:cs="Times New Roman"/>
          <w:bCs/>
          <w:color w:val="auto"/>
          <w:sz w:val="24"/>
          <w:szCs w:val="24"/>
          <w:highlight w:val="none"/>
        </w:rPr>
        <w:t>单位的改造要求，包括改造项目是否齐全、数量是否匹配、技术参数是否达到采购需求及</w:t>
      </w:r>
      <w:r>
        <w:rPr>
          <w:rFonts w:hint="eastAsia" w:ascii="Times New Roman" w:hAnsi="Times New Roman" w:eastAsia="宋体" w:cs="Times New Roman"/>
          <w:bCs/>
          <w:color w:val="auto"/>
          <w:sz w:val="24"/>
          <w:szCs w:val="24"/>
          <w:highlight w:val="none"/>
          <w:lang w:val="en-US" w:eastAsia="zh-CN"/>
        </w:rPr>
        <w:t>招标</w:t>
      </w:r>
      <w:r>
        <w:rPr>
          <w:rFonts w:hint="default" w:ascii="Times New Roman" w:hAnsi="Times New Roman" w:eastAsia="宋体" w:cs="Times New Roman"/>
          <w:bCs/>
          <w:color w:val="auto"/>
          <w:sz w:val="24"/>
          <w:szCs w:val="24"/>
          <w:highlight w:val="none"/>
        </w:rPr>
        <w:t>文件规定的标准。经监管发现不符合上述要求的，甲方或监理机构有权要求乙方限期整改，乙方应按要求整改直至完全满足采购需求。</w:t>
      </w:r>
    </w:p>
    <w:p w14:paraId="2CA84A5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第五条  托管期限</w:t>
      </w:r>
    </w:p>
    <w:p w14:paraId="6FD089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5.1 本项目的建设期为</w:t>
      </w:r>
      <w:r>
        <w:rPr>
          <w:rFonts w:hint="default" w:ascii="Times New Roman" w:hAnsi="Times New Roman" w:eastAsia="宋体" w:cs="Times New Roman"/>
          <w:color w:val="auto"/>
          <w:sz w:val="24"/>
          <w:szCs w:val="24"/>
          <w:highlight w:val="none"/>
          <w:u w:val="single"/>
        </w:rPr>
        <w:t xml:space="preserve"> 180 </w:t>
      </w:r>
      <w:r>
        <w:rPr>
          <w:rFonts w:hint="default" w:ascii="Times New Roman" w:hAnsi="Times New Roman" w:eastAsia="宋体" w:cs="Times New Roman"/>
          <w:color w:val="auto"/>
          <w:sz w:val="24"/>
          <w:szCs w:val="24"/>
          <w:highlight w:val="none"/>
          <w:lang w:val="en-US" w:eastAsia="zh-CN"/>
        </w:rPr>
        <w:t>日历天</w:t>
      </w:r>
      <w:r>
        <w:rPr>
          <w:rFonts w:hint="default" w:ascii="Times New Roman" w:hAnsi="Times New Roman" w:eastAsia="宋体" w:cs="Times New Roman"/>
          <w:color w:val="auto"/>
          <w:sz w:val="24"/>
          <w:szCs w:val="24"/>
          <w:highlight w:val="none"/>
        </w:rPr>
        <w:t>，托管期限为</w:t>
      </w:r>
      <w:r>
        <w:rPr>
          <w:rFonts w:hint="default" w:ascii="Times New Roman" w:hAnsi="Times New Roman" w:eastAsia="宋体" w:cs="Times New Roman"/>
          <w:color w:val="auto"/>
          <w:sz w:val="24"/>
          <w:szCs w:val="24"/>
          <w:highlight w:val="none"/>
          <w:u w:val="single"/>
        </w:rPr>
        <w:t xml:space="preserve"> 120</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个自然月（10年）</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项目从验收后的次月1号进入托管期，至合同结束且双方履行完毕各自权利与义务之日止。</w:t>
      </w:r>
    </w:p>
    <w:p w14:paraId="2A412A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5.2 托管期限届满后，乙方将托管的能源系统设备、设施移交给甲方或甲方指定的单位。</w:t>
      </w:r>
    </w:p>
    <w:p w14:paraId="210CECC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5.3 本合同期限届满后，乙方如约完成节能目标并且达到本合同约定的服务标准，如果甲方继续采用能源费用托管的形式进行能源系统的管理，在同等条件下，乙方享有优先续约的权利。</w:t>
      </w:r>
    </w:p>
    <w:p w14:paraId="07E37D8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第六条  乙方的管理和服务标准</w:t>
      </w:r>
    </w:p>
    <w:p w14:paraId="3D53A6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6.1 托管期限内，托管区域内的供暖（冷）、用电、用水、用天然气等系统的经营及管理权归乙方，由乙方自主经营，自负盈亏。</w:t>
      </w:r>
    </w:p>
    <w:p w14:paraId="60DB83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rPr>
        <w:t>6.2 乙方在本项目设有专门的</w:t>
      </w:r>
      <w:r>
        <w:rPr>
          <w:rFonts w:hint="default" w:ascii="Times New Roman" w:hAnsi="Times New Roman" w:eastAsia="宋体" w:cs="Times New Roman"/>
          <w:color w:val="auto"/>
          <w:sz w:val="24"/>
          <w:szCs w:val="24"/>
          <w:highlight w:val="none"/>
          <w:u w:val="single"/>
        </w:rPr>
        <w:t>持有相应资质资格证书</w:t>
      </w:r>
      <w:r>
        <w:rPr>
          <w:rFonts w:hint="default" w:ascii="Times New Roman" w:hAnsi="Times New Roman" w:eastAsia="宋体" w:cs="Times New Roman"/>
          <w:color w:val="auto"/>
          <w:sz w:val="24"/>
          <w:szCs w:val="24"/>
          <w:highlight w:val="none"/>
        </w:rPr>
        <w:t>的能源管理驻点服务</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建立专业的</w:t>
      </w:r>
      <w:r>
        <w:rPr>
          <w:rFonts w:hint="eastAsia" w:ascii="Times New Roman" w:hAnsi="Times New Roman" w:eastAsia="宋体" w:cs="Times New Roman"/>
          <w:color w:val="auto"/>
          <w:sz w:val="24"/>
          <w:szCs w:val="24"/>
          <w:highlight w:val="none"/>
          <w:lang w:val="en-US" w:eastAsia="zh-CN"/>
        </w:rPr>
        <w:t>运维</w:t>
      </w:r>
      <w:r>
        <w:rPr>
          <w:rFonts w:hint="default" w:ascii="Times New Roman" w:hAnsi="Times New Roman" w:eastAsia="宋体" w:cs="Times New Roman"/>
          <w:color w:val="auto"/>
          <w:sz w:val="24"/>
          <w:szCs w:val="24"/>
          <w:highlight w:val="none"/>
        </w:rPr>
        <w:t>管理团队提供</w:t>
      </w:r>
      <w:r>
        <w:rPr>
          <w:rFonts w:hint="default" w:ascii="Times New Roman" w:hAnsi="Times New Roman" w:eastAsia="宋体" w:cs="Times New Roman"/>
          <w:color w:val="auto"/>
          <w:sz w:val="24"/>
          <w:szCs w:val="24"/>
          <w:highlight w:val="none"/>
          <w:lang w:val="en-US" w:eastAsia="zh-CN"/>
        </w:rPr>
        <w:t>能源管理</w:t>
      </w:r>
      <w:r>
        <w:rPr>
          <w:rFonts w:hint="default" w:ascii="Times New Roman" w:hAnsi="Times New Roman" w:eastAsia="宋体" w:cs="Times New Roman"/>
          <w:color w:val="auto"/>
          <w:sz w:val="24"/>
          <w:szCs w:val="24"/>
          <w:highlight w:val="none"/>
        </w:rPr>
        <w:t>服务</w:t>
      </w:r>
      <w:r>
        <w:rPr>
          <w:rFonts w:hint="default" w:ascii="Times New Roman" w:hAnsi="Times New Roman" w:eastAsia="宋体" w:cs="Times New Roman"/>
          <w:b w:val="0"/>
          <w:bCs/>
          <w:color w:val="auto"/>
          <w:sz w:val="24"/>
          <w:szCs w:val="24"/>
          <w:highlight w:val="none"/>
        </w:rPr>
        <w:t>，</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应安排不少于4名运维</w:t>
      </w:r>
      <w:r>
        <w:rPr>
          <w:rFonts w:hint="eastAsia" w:ascii="Times New Roman" w:hAnsi="Times New Roman" w:eastAsia="宋体" w:cs="Times New Roman"/>
          <w:b w:val="0"/>
          <w:bCs/>
          <w:color w:val="auto"/>
          <w:sz w:val="24"/>
          <w:szCs w:val="24"/>
          <w:highlight w:val="none"/>
          <w:lang w:val="en-US" w:eastAsia="zh-CN"/>
        </w:rPr>
        <w:t>管理</w:t>
      </w:r>
      <w:r>
        <w:rPr>
          <w:rFonts w:hint="default" w:ascii="Times New Roman" w:hAnsi="Times New Roman" w:eastAsia="宋体" w:cs="Times New Roman"/>
          <w:b w:val="0"/>
          <w:bCs/>
          <w:color w:val="auto"/>
          <w:sz w:val="24"/>
          <w:szCs w:val="24"/>
          <w:highlight w:val="none"/>
        </w:rPr>
        <w:t>人员驻点服务。</w:t>
      </w:r>
      <w:r>
        <w:rPr>
          <w:rFonts w:hint="eastAsia" w:ascii="Times New Roman" w:hAnsi="Times New Roman" w:eastAsia="宋体" w:cs="Times New Roman"/>
          <w:b w:val="0"/>
          <w:bCs/>
          <w:color w:val="auto"/>
          <w:sz w:val="24"/>
          <w:szCs w:val="24"/>
          <w:highlight w:val="none"/>
          <w:lang w:val="en-US" w:eastAsia="zh-CN"/>
        </w:rPr>
        <w:t>运维</w:t>
      </w:r>
      <w:r>
        <w:rPr>
          <w:rFonts w:hint="default" w:ascii="Times New Roman" w:hAnsi="Times New Roman" w:eastAsia="宋体" w:cs="Times New Roman"/>
          <w:color w:val="auto"/>
          <w:sz w:val="24"/>
          <w:szCs w:val="24"/>
          <w:highlight w:val="none"/>
        </w:rPr>
        <w:t>管理团队成员名单、相应的资质资格证书应提交甲方备案。</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应在10年服务期限内指派专业能源管理人员，运维管理人员，技术人员等每年到现场为</w:t>
      </w:r>
      <w:r>
        <w:rPr>
          <w:rFonts w:hint="eastAsia" w:ascii="Times New Roman" w:hAnsi="Times New Roman" w:eastAsia="宋体" w:cs="Times New Roman"/>
          <w:b w:val="0"/>
          <w:bCs/>
          <w:color w:val="auto"/>
          <w:sz w:val="24"/>
          <w:szCs w:val="24"/>
          <w:highlight w:val="none"/>
          <w:lang w:val="en-US" w:eastAsia="zh-CN"/>
        </w:rPr>
        <w:t>甲方和被托管单位</w:t>
      </w:r>
      <w:r>
        <w:rPr>
          <w:rFonts w:hint="default" w:ascii="Times New Roman" w:hAnsi="Times New Roman" w:eastAsia="宋体" w:cs="Times New Roman"/>
          <w:b w:val="0"/>
          <w:bCs/>
          <w:color w:val="auto"/>
          <w:sz w:val="24"/>
          <w:szCs w:val="24"/>
          <w:highlight w:val="none"/>
        </w:rPr>
        <w:t>提供综合能源服务，每次服务内容包括但不限于协助</w:t>
      </w:r>
      <w:r>
        <w:rPr>
          <w:rFonts w:hint="eastAsia" w:ascii="Times New Roman" w:hAnsi="Times New Roman" w:eastAsia="宋体" w:cs="Times New Roman"/>
          <w:b w:val="0"/>
          <w:bCs/>
          <w:color w:val="auto"/>
          <w:sz w:val="24"/>
          <w:szCs w:val="24"/>
          <w:highlight w:val="none"/>
          <w:lang w:val="en-US" w:eastAsia="zh-CN"/>
        </w:rPr>
        <w:t>甲方和被托管单位</w:t>
      </w:r>
      <w:r>
        <w:rPr>
          <w:rFonts w:hint="default" w:ascii="Times New Roman" w:hAnsi="Times New Roman" w:eastAsia="宋体" w:cs="Times New Roman"/>
          <w:b w:val="0"/>
          <w:bCs/>
          <w:color w:val="auto"/>
          <w:sz w:val="24"/>
          <w:szCs w:val="24"/>
          <w:highlight w:val="none"/>
        </w:rPr>
        <w:t>梳理后勤业务服务流程、投入智慧管理运营平台及节能技改设备线下指导与巡视，以确保本项目长期有效地实施，相关费用由</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综合考虑。</w:t>
      </w:r>
    </w:p>
    <w:p w14:paraId="04AAE9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6.3 乙方提供的服务范围和项目包括：用电、供暖、供冷、用水、用天然气系统。（注：服务范围和内容应当具体全面。）</w:t>
      </w:r>
    </w:p>
    <w:p w14:paraId="2BC8F02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6.4 乙方的服务标准</w:t>
      </w:r>
    </w:p>
    <w:p w14:paraId="56B108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6.4.1 供暖期间的室内温度标准</w:t>
      </w:r>
      <w:r>
        <w:rPr>
          <w:rFonts w:hint="default" w:ascii="Times New Roman" w:hAnsi="Times New Roman" w:eastAsia="宋体" w:cs="Times New Roman"/>
          <w:color w:val="auto"/>
          <w:sz w:val="24"/>
          <w:szCs w:val="24"/>
          <w:highlight w:val="none"/>
          <w:u w:val="single"/>
        </w:rPr>
        <w:t xml:space="preserve">  20度  </w:t>
      </w:r>
      <w:r>
        <w:rPr>
          <w:rFonts w:hint="default" w:ascii="Times New Roman" w:hAnsi="Times New Roman" w:eastAsia="宋体" w:cs="Times New Roman"/>
          <w:color w:val="auto"/>
          <w:sz w:val="24"/>
          <w:szCs w:val="24"/>
          <w:highlight w:val="none"/>
        </w:rPr>
        <w:t>，供冷期间的室内温度标准</w:t>
      </w:r>
      <w:r>
        <w:rPr>
          <w:rFonts w:hint="default" w:ascii="Times New Roman" w:hAnsi="Times New Roman" w:eastAsia="宋体" w:cs="Times New Roman"/>
          <w:color w:val="auto"/>
          <w:sz w:val="24"/>
          <w:szCs w:val="24"/>
          <w:highlight w:val="none"/>
          <w:u w:val="single"/>
        </w:rPr>
        <w:t xml:space="preserve">   26度   </w:t>
      </w:r>
      <w:r>
        <w:rPr>
          <w:rFonts w:hint="default" w:ascii="Times New Roman" w:hAnsi="Times New Roman" w:eastAsia="宋体" w:cs="Times New Roman"/>
          <w:color w:val="auto"/>
          <w:sz w:val="24"/>
          <w:szCs w:val="24"/>
          <w:highlight w:val="none"/>
        </w:rPr>
        <w:t>。</w:t>
      </w:r>
    </w:p>
    <w:p w14:paraId="609CAF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6.4.2 托管期间，</w:t>
      </w:r>
      <w:r>
        <w:rPr>
          <w:rFonts w:hint="default" w:ascii="Times New Roman" w:hAnsi="Times New Roman" w:eastAsia="宋体" w:cs="Times New Roman"/>
          <w:color w:val="auto"/>
          <w:sz w:val="24"/>
          <w:szCs w:val="24"/>
          <w:highlight w:val="none"/>
          <w:u w:val="single"/>
        </w:rPr>
        <w:t xml:space="preserve">   乙方投入   </w:t>
      </w:r>
      <w:r>
        <w:rPr>
          <w:rFonts w:hint="default" w:ascii="Times New Roman" w:hAnsi="Times New Roman" w:eastAsia="宋体" w:cs="Times New Roman"/>
          <w:color w:val="auto"/>
          <w:sz w:val="24"/>
          <w:szCs w:val="24"/>
          <w:highlight w:val="none"/>
        </w:rPr>
        <w:t>设备的维护、保养由乙方负责，维护保养频次为</w:t>
      </w:r>
      <w:r>
        <w:rPr>
          <w:rFonts w:hint="default" w:ascii="Times New Roman" w:hAnsi="Times New Roman" w:eastAsia="宋体" w:cs="Times New Roman"/>
          <w:color w:val="auto"/>
          <w:sz w:val="24"/>
          <w:szCs w:val="24"/>
          <w:highlight w:val="none"/>
          <w:u w:val="single"/>
        </w:rPr>
        <w:t xml:space="preserve">   每年1次    </w:t>
      </w:r>
      <w:r>
        <w:rPr>
          <w:rFonts w:hint="default" w:ascii="Times New Roman" w:hAnsi="Times New Roman" w:eastAsia="宋体" w:cs="Times New Roman"/>
          <w:color w:val="auto"/>
          <w:sz w:val="24"/>
          <w:szCs w:val="24"/>
          <w:highlight w:val="none"/>
        </w:rPr>
        <w:t>。</w:t>
      </w:r>
    </w:p>
    <w:p w14:paraId="761747F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6.4.3 设备发生故障应在</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1</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小时内予以响应，</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8</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小时内修复，因特殊零配件原因</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48</w:t>
      </w:r>
      <w:r>
        <w:rPr>
          <w:rFonts w:hint="default" w:ascii="Times New Roman" w:hAnsi="Times New Roman" w:eastAsia="宋体"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rPr>
        <w:t>小时内修复，并持续协助故障的最终解答或解决。托管期间，</w:t>
      </w:r>
      <w:r>
        <w:rPr>
          <w:rFonts w:hint="default" w:ascii="Times New Roman" w:hAnsi="Times New Roman" w:eastAsia="宋体" w:cs="Times New Roman"/>
          <w:color w:val="auto"/>
          <w:sz w:val="24"/>
          <w:szCs w:val="24"/>
          <w:highlight w:val="none"/>
          <w:u w:val="single"/>
        </w:rPr>
        <w:t xml:space="preserve">  乙方投入  </w:t>
      </w:r>
      <w:r>
        <w:rPr>
          <w:rFonts w:hint="default" w:ascii="Times New Roman" w:hAnsi="Times New Roman" w:eastAsia="宋体" w:cs="Times New Roman"/>
          <w:color w:val="auto"/>
          <w:sz w:val="24"/>
          <w:szCs w:val="24"/>
          <w:highlight w:val="none"/>
        </w:rPr>
        <w:t>设备的维修由乙方负责，报修方式为</w:t>
      </w:r>
      <w:r>
        <w:rPr>
          <w:rFonts w:hint="default" w:ascii="Times New Roman" w:hAnsi="Times New Roman" w:eastAsia="宋体" w:cs="Times New Roman"/>
          <w:color w:val="auto"/>
          <w:sz w:val="24"/>
          <w:szCs w:val="24"/>
          <w:highlight w:val="none"/>
          <w:u w:val="single"/>
        </w:rPr>
        <w:t xml:space="preserve">  电话、短信、微信、QQ、信函等   </w:t>
      </w:r>
      <w:r>
        <w:rPr>
          <w:rFonts w:hint="default" w:ascii="Times New Roman" w:hAnsi="Times New Roman" w:eastAsia="宋体" w:cs="Times New Roman"/>
          <w:color w:val="auto"/>
          <w:sz w:val="24"/>
          <w:szCs w:val="24"/>
          <w:highlight w:val="none"/>
        </w:rPr>
        <w:t>。</w:t>
      </w:r>
    </w:p>
    <w:p w14:paraId="763068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6.4.4 托管期间，</w:t>
      </w:r>
      <w:r>
        <w:rPr>
          <w:rFonts w:hint="default" w:ascii="Times New Roman" w:hAnsi="Times New Roman" w:eastAsia="宋体" w:cs="Times New Roman"/>
          <w:color w:val="auto"/>
          <w:sz w:val="24"/>
          <w:szCs w:val="24"/>
          <w:highlight w:val="none"/>
          <w:u w:val="single"/>
        </w:rPr>
        <w:t xml:space="preserve">   原   </w:t>
      </w:r>
      <w:r>
        <w:rPr>
          <w:rFonts w:hint="default" w:ascii="Times New Roman" w:hAnsi="Times New Roman" w:eastAsia="宋体" w:cs="Times New Roman"/>
          <w:color w:val="auto"/>
          <w:sz w:val="24"/>
          <w:szCs w:val="24"/>
          <w:highlight w:val="none"/>
        </w:rPr>
        <w:t>（用能系统）设备开关由</w:t>
      </w:r>
      <w:r>
        <w:rPr>
          <w:rFonts w:hint="default" w:ascii="Times New Roman" w:hAnsi="Times New Roman" w:eastAsia="宋体" w:cs="Times New Roman"/>
          <w:color w:val="auto"/>
          <w:sz w:val="24"/>
          <w:szCs w:val="24"/>
          <w:highlight w:val="none"/>
          <w:u w:val="single"/>
        </w:rPr>
        <w:t xml:space="preserve">  甲方  </w:t>
      </w:r>
      <w:r>
        <w:rPr>
          <w:rFonts w:hint="default" w:ascii="Times New Roman" w:hAnsi="Times New Roman" w:eastAsia="宋体" w:cs="Times New Roman"/>
          <w:color w:val="auto"/>
          <w:sz w:val="24"/>
          <w:szCs w:val="24"/>
          <w:highlight w:val="none"/>
        </w:rPr>
        <w:t>负责执行，设备开关及控制策略由乙方制定后报业主方审核确认。</w:t>
      </w:r>
    </w:p>
    <w:p w14:paraId="3A3188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color w:val="auto"/>
          <w:sz w:val="24"/>
          <w:szCs w:val="24"/>
          <w:highlight w:val="none"/>
        </w:rPr>
        <w:t>6.5 乙方的服务标准应当体现文明、高效、及时、优质的服务，“乙方的服务标准”应当制作专门文件，作为本合同的附件二。</w:t>
      </w:r>
    </w:p>
    <w:p w14:paraId="1958B0A1">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第七条  双方责任</w:t>
      </w:r>
    </w:p>
    <w:p w14:paraId="7A7CD9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7.1 甲、乙双方应当建立健全能源管理使用制度，各方人员应当切实遵守。相关的能源管理使用制度应当由双方签字确认。</w:t>
      </w:r>
    </w:p>
    <w:p w14:paraId="22BB26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7.2 甲、乙双方应当建立能源托管日常工作协调机制，定期组织双方现场管理人员召开工作例会；每年度进行一次综合分析评估，协商解决因客观情况变化而产生的</w:t>
      </w:r>
      <w:r>
        <w:rPr>
          <w:rFonts w:hint="eastAsia" w:ascii="Times New Roman" w:hAnsi="Times New Roman" w:eastAsia="宋体" w:cs="Times New Roman"/>
          <w:color w:val="auto"/>
          <w:sz w:val="24"/>
          <w:szCs w:val="24"/>
          <w:highlight w:val="none"/>
          <w:lang w:val="en-US" w:eastAsia="zh-CN"/>
        </w:rPr>
        <w:t>费用结算</w:t>
      </w:r>
      <w:r>
        <w:rPr>
          <w:rFonts w:hint="default" w:ascii="Times New Roman" w:hAnsi="Times New Roman" w:eastAsia="宋体" w:cs="Times New Roman"/>
          <w:color w:val="auto"/>
          <w:sz w:val="24"/>
          <w:szCs w:val="24"/>
          <w:highlight w:val="none"/>
        </w:rPr>
        <w:t>等问题。</w:t>
      </w:r>
    </w:p>
    <w:p w14:paraId="00CB23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7.3 甲方义务</w:t>
      </w:r>
    </w:p>
    <w:p w14:paraId="0C0D124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甲方应协助乙方办理甲方电费、水费、天然气费、热力费分割手续，实际每月产生的电费、水费、天然气费、热力费用由乙方承担并直接支付给电力公司（已光伏改造的用电则支付给相应的第三方单位）、水务集团、燃气集团、热力公司，发票抬头为乙方。为了便于管理及核算项目节能量，能源过户时双方应确定各计量仪表的过户数量、覆盖范围、计量底数及仪表编码等。（合同履约期限内，具体支付方按照实际情况，甲乙双方协商后通过补充协议调整。）</w:t>
      </w:r>
    </w:p>
    <w:p w14:paraId="6C83E69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（2）甲方应当与乙方共同协商做好原设备操作人员工作安排，由甲乙双方共同管理相关人员。</w:t>
      </w:r>
    </w:p>
    <w:p w14:paraId="1B332E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（3）甲方应当提供必要的资料，协助、配合第三方机构开展节能量测量和验证。在托管期间积极配合政府主管部门对托管项目进行核查和监督，并提供有关证明材料。</w:t>
      </w:r>
    </w:p>
    <w:p w14:paraId="157E5B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（4）甲方应当切实履行节能管理主体责任，加强对各被托管单位和用能场所的管控，强化日常考核和监督检查，形成合理用能、节约用能的良好场景。</w:t>
      </w:r>
    </w:p>
    <w:p w14:paraId="2B973B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（5）有新增/减设备或用能区域变更的需提前向乙方提供增/减设备或变更情况的书面记录。</w:t>
      </w:r>
    </w:p>
    <w:p w14:paraId="63CCAE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（6）甲方应当将与托管项目有关的其内部规章制度和特殊安全规定提前告知乙方并书面提交给乙方。</w:t>
      </w:r>
    </w:p>
    <w:p w14:paraId="3E4212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（7）甲方应当协助乙方向有关政府机构或者组织申请与项目相关的补助、奖励或其他可适用的优惠政策。</w:t>
      </w:r>
    </w:p>
    <w:p w14:paraId="07D7BC8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（8）甲方应当为乙方的管理服务工作提供必要的方便条件，包括但不限于提供必要的场所、通讯、水电以及合理调整办公、设备试运行等便利。</w:t>
      </w:r>
    </w:p>
    <w:p w14:paraId="7A6960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（9）甲方应当组织有关用能岗位的人员学习能源管理使用的规章制度并切实遵守；应配合乙方落实合同约定的用能系统设备开关策略及能源供应标准。</w:t>
      </w:r>
    </w:p>
    <w:p w14:paraId="379537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7.4 乙方义务</w:t>
      </w:r>
    </w:p>
    <w:p w14:paraId="727BE6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（1）乙方应当配合甲方建立和完善能源管理和使用规章制度，并组织甲方有关用能岗位的人员学习落实，同时定期对能源使用情况进行检查和监督，制止能源浪费行为。</w:t>
      </w:r>
    </w:p>
    <w:p w14:paraId="163752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（2）由乙方负责的设备、工程等在合同期内的维保及质量问题由乙方负责，并应定期向甲方提供设备维护、更新情况记录。</w:t>
      </w:r>
    </w:p>
    <w:p w14:paraId="635D52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（3）乙方应在完成所投资设备的安装和调试后，对甲方指派的操作人员定期进行专业培训，以使其能承担相应的操作和设施维护要求。</w:t>
      </w:r>
    </w:p>
    <w:p w14:paraId="0E3996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（4）乙方若发现有私自拆、改、破坏能源系统的行为应及时上报甲方，并马上采取措施制止，若严重威胁到能源系统的可暂停服务。</w:t>
      </w:r>
    </w:p>
    <w:p w14:paraId="525397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（5）因乙方未缴纳能源费用或乙方实施改造原因，导致甲方断水、断电、断天然气、断热力事故或造成其他损失的，责任由乙方承担，但不可抗力或甲方有违约行为的除外。</w:t>
      </w:r>
    </w:p>
    <w:p w14:paraId="6BE3C4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（6）乙方应负责本方人员的安全管理，在合同履行期内，因乙方原因出现的安全（工伤）事故由乙方负责承担。</w:t>
      </w:r>
    </w:p>
    <w:p w14:paraId="1BF34F0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乙方管理人员进入甲方的相关场所，应当遵守甲方的规章制度。乙方的维修维护管理等项工作，应当不影响甲方的正常工作。必须要甲方停止相关工作时，乙方应当提前通报甲方的负责人，协调安排好相应的工作。</w:t>
      </w:r>
    </w:p>
    <w:p w14:paraId="602CB4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（8）乙方应当协助、配合第三方机构或者甲方开展节能量测量和验证。</w:t>
      </w:r>
    </w:p>
    <w:p w14:paraId="2E19AD6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（9）乙方可向有关政府机构或者组织申请与项目相关的补助、奖励或其他可适用的优惠政策。通过该项目申请的建筑能效提升改造等各类奖补资金归甲方所有，用于二次投资改造。</w:t>
      </w:r>
    </w:p>
    <w:p w14:paraId="2FE591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eastAsia="zh-CN"/>
        </w:rPr>
        <w:t>（</w:t>
      </w:r>
      <w:r>
        <w:rPr>
          <w:rFonts w:hint="eastAsia" w:ascii="Times New Roman" w:hAnsi="Times New Roman" w:eastAsia="宋体" w:cs="Times New Roman"/>
          <w:b w:val="0"/>
          <w:bCs/>
          <w:color w:val="auto"/>
          <w:sz w:val="24"/>
          <w:szCs w:val="24"/>
          <w:highlight w:val="none"/>
          <w:lang w:val="en-US" w:eastAsia="zh-CN"/>
        </w:rPr>
        <w:t>10</w:t>
      </w:r>
      <w:r>
        <w:rPr>
          <w:rFonts w:hint="eastAsia"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乙方无条件配合甲方对相关用能设备设施资产的管理，确保国有资产不流失。</w:t>
      </w:r>
    </w:p>
    <w:p w14:paraId="5C0A737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（11）</w:t>
      </w:r>
      <w:r>
        <w:rPr>
          <w:rFonts w:hint="default" w:ascii="Times New Roman" w:hAnsi="Times New Roman" w:eastAsia="宋体" w:cs="Times New Roman"/>
          <w:b w:val="0"/>
          <w:bCs/>
          <w:color w:val="auto"/>
          <w:sz w:val="24"/>
          <w:szCs w:val="24"/>
          <w:highlight w:val="none"/>
        </w:rPr>
        <w:t>乙方应无条件配合和支持</w:t>
      </w:r>
      <w:r>
        <w:rPr>
          <w:rFonts w:hint="eastAsia" w:ascii="Times New Roman" w:hAnsi="Times New Roman" w:eastAsia="宋体" w:cs="Times New Roman"/>
          <w:b w:val="0"/>
          <w:bCs/>
          <w:color w:val="auto"/>
          <w:sz w:val="24"/>
          <w:szCs w:val="24"/>
          <w:highlight w:val="none"/>
          <w:lang w:val="en-US" w:eastAsia="zh-CN"/>
        </w:rPr>
        <w:t>甲方</w:t>
      </w:r>
      <w:r>
        <w:rPr>
          <w:rFonts w:hint="default" w:ascii="Times New Roman" w:hAnsi="Times New Roman" w:eastAsia="宋体" w:cs="Times New Roman"/>
          <w:b w:val="0"/>
          <w:bCs/>
          <w:color w:val="auto"/>
          <w:sz w:val="24"/>
          <w:szCs w:val="24"/>
          <w:highlight w:val="none"/>
        </w:rPr>
        <w:t>和被托管单位做好能源双控及未来碳排放双控涉及的相关事宜。</w:t>
      </w:r>
    </w:p>
    <w:p w14:paraId="2A1EDF8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7.5 其他需要互相配合的事项：   /    。</w:t>
      </w:r>
    </w:p>
    <w:p w14:paraId="7D7208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7.6 甲方的项目负责人为：       ；乙方的项目负责人为：       。</w:t>
      </w:r>
    </w:p>
    <w:p w14:paraId="1ACF048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任何一方更换项目负责人应在三日内以书面形式通知对方。</w:t>
      </w:r>
    </w:p>
    <w:p w14:paraId="12ECD7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项目负责人可以就本合同的履行过程中的事项签署相关洽商文件，该洽商文件对双方具有约束力，其他相关人员无权签署此类洽商文件。</w:t>
      </w:r>
    </w:p>
    <w:p w14:paraId="2306CA8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第八条  项目移交事项</w:t>
      </w:r>
    </w:p>
    <w:p w14:paraId="4EE146B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8.1 </w:t>
      </w:r>
      <w:r>
        <w:rPr>
          <w:rFonts w:hint="eastAsia" w:ascii="Times New Roman" w:hAnsi="Times New Roman" w:eastAsia="宋体" w:cs="Times New Roman"/>
          <w:color w:val="auto"/>
          <w:sz w:val="24"/>
          <w:szCs w:val="24"/>
          <w:highlight w:val="none"/>
          <w:lang w:val="en-US" w:eastAsia="zh-CN"/>
        </w:rPr>
        <w:t>乙</w:t>
      </w:r>
      <w:r>
        <w:rPr>
          <w:rFonts w:hint="default" w:ascii="Times New Roman" w:hAnsi="Times New Roman" w:eastAsia="宋体" w:cs="Times New Roman"/>
          <w:color w:val="auto"/>
          <w:sz w:val="24"/>
          <w:szCs w:val="24"/>
          <w:highlight w:val="none"/>
        </w:rPr>
        <w:t>方在接管项目之前，甲、乙双方应当完成附件一的全部工作。在移交之前由甲乙双方共同对用能系统进行一次全面检修。检修费用由</w:t>
      </w:r>
      <w:r>
        <w:rPr>
          <w:rFonts w:hint="eastAsia" w:ascii="Times New Roman" w:hAnsi="Times New Roman" w:eastAsia="宋体" w:cs="Times New Roman"/>
          <w:color w:val="auto"/>
          <w:sz w:val="24"/>
          <w:szCs w:val="24"/>
          <w:highlight w:val="none"/>
          <w:lang w:val="en-US" w:eastAsia="zh-CN"/>
        </w:rPr>
        <w:t>甲</w:t>
      </w:r>
      <w:r>
        <w:rPr>
          <w:rFonts w:hint="default" w:ascii="Times New Roman" w:hAnsi="Times New Roman" w:eastAsia="宋体" w:cs="Times New Roman"/>
          <w:color w:val="auto"/>
          <w:sz w:val="24"/>
          <w:szCs w:val="24"/>
          <w:highlight w:val="none"/>
        </w:rPr>
        <w:t>方承担。用能系统移交时甲方应保证设备和设施的完整性和能够正常运行。</w:t>
      </w:r>
    </w:p>
    <w:p w14:paraId="64D053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w:t>
      </w:r>
      <w:r>
        <w:rPr>
          <w:rFonts w:hint="eastAsia" w:ascii="Times New Roman" w:hAnsi="Times New Roman" w:eastAsia="宋体" w:cs="Times New Roman"/>
          <w:color w:val="auto"/>
          <w:sz w:val="24"/>
          <w:szCs w:val="24"/>
          <w:highlight w:val="none"/>
          <w:lang w:val="en-US" w:eastAsia="zh-CN"/>
        </w:rPr>
        <w:t xml:space="preserve">2 </w:t>
      </w:r>
      <w:r>
        <w:rPr>
          <w:rFonts w:hint="default" w:ascii="Times New Roman" w:hAnsi="Times New Roman" w:eastAsia="宋体" w:cs="Times New Roman"/>
          <w:color w:val="auto"/>
          <w:sz w:val="24"/>
          <w:szCs w:val="24"/>
          <w:highlight w:val="none"/>
        </w:rPr>
        <w:t>本合同第五条第5.1款约定的托管期限开始日的30日之前，甲方向乙方的移交事项应当办理完毕，以便于乙方进行准备工作。</w:t>
      </w:r>
    </w:p>
    <w:p w14:paraId="22F057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w:t>
      </w:r>
      <w:r>
        <w:rPr>
          <w:rFonts w:hint="eastAsia"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 xml:space="preserve"> 移交过程中，甲方需要向乙方提供有关项目审批、验收、备案、行政许可等相关手续的复印件，供暖、供电、供水、供天然气系统及消防系统申报、批准验收等手续；供暖及供冷系统相关资料等。</w:t>
      </w:r>
    </w:p>
    <w:p w14:paraId="794875F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w:t>
      </w:r>
      <w:r>
        <w:rPr>
          <w:rFonts w:hint="eastAsia" w:ascii="Times New Roman" w:hAnsi="Times New Roman" w:eastAsia="宋体" w:cs="Times New Roman"/>
          <w:color w:val="auto"/>
          <w:sz w:val="24"/>
          <w:szCs w:val="24"/>
          <w:highlight w:val="none"/>
          <w:lang w:val="en-US" w:eastAsia="zh-CN"/>
        </w:rPr>
        <w:t>4</w:t>
      </w:r>
      <w:r>
        <w:rPr>
          <w:rFonts w:hint="default" w:ascii="Times New Roman" w:hAnsi="Times New Roman" w:eastAsia="宋体" w:cs="Times New Roman"/>
          <w:color w:val="auto"/>
          <w:sz w:val="24"/>
          <w:szCs w:val="24"/>
          <w:highlight w:val="none"/>
        </w:rPr>
        <w:t xml:space="preserve"> 移交相关的文件资料包括设备、设施的购买、维修、使用文件、能源管理的规章制度、行政许可证照及其他全部有关文件。</w:t>
      </w:r>
    </w:p>
    <w:p w14:paraId="4D6298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 xml:space="preserve"> 针对移交的设备、设施、物品及有关事项，双方应当签署移交清单。</w:t>
      </w:r>
    </w:p>
    <w:p w14:paraId="28BC22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8.</w:t>
      </w:r>
      <w:r>
        <w:rPr>
          <w:rFonts w:hint="eastAsia" w:ascii="Times New Roman" w:hAnsi="Times New Roman" w:eastAsia="宋体" w:cs="Times New Roman"/>
          <w:b w:val="0"/>
          <w:bCs/>
          <w:color w:val="auto"/>
          <w:sz w:val="24"/>
          <w:szCs w:val="24"/>
          <w:highlight w:val="none"/>
          <w:lang w:val="en-US" w:eastAsia="zh-CN"/>
        </w:rPr>
        <w:t xml:space="preserve">6 </w:t>
      </w:r>
      <w:r>
        <w:rPr>
          <w:rFonts w:hint="default" w:ascii="Times New Roman" w:hAnsi="Times New Roman" w:eastAsia="宋体" w:cs="Times New Roman"/>
          <w:b w:val="0"/>
          <w:bCs/>
          <w:color w:val="auto"/>
          <w:sz w:val="24"/>
          <w:szCs w:val="24"/>
          <w:highlight w:val="none"/>
        </w:rPr>
        <w:t>合同约定履行期满后，乙方应按照合同约定，将其投资形成的项目资产（投资形成的有形和无形资产）以人民币零点壹元价值向</w:t>
      </w:r>
      <w:r>
        <w:rPr>
          <w:rFonts w:hint="eastAsia" w:ascii="Times New Roman" w:hAnsi="Times New Roman" w:eastAsia="宋体" w:cs="Times New Roman"/>
          <w:b w:val="0"/>
          <w:bCs/>
          <w:color w:val="auto"/>
          <w:sz w:val="24"/>
          <w:szCs w:val="24"/>
          <w:highlight w:val="none"/>
          <w:lang w:val="en-US" w:eastAsia="zh-CN"/>
        </w:rPr>
        <w:t>甲方或</w:t>
      </w:r>
      <w:r>
        <w:rPr>
          <w:rFonts w:hint="default" w:ascii="Times New Roman" w:hAnsi="Times New Roman" w:eastAsia="宋体" w:cs="Times New Roman"/>
          <w:b w:val="0"/>
          <w:bCs/>
          <w:color w:val="auto"/>
          <w:sz w:val="24"/>
          <w:szCs w:val="24"/>
          <w:highlight w:val="none"/>
          <w:lang w:val="en-US" w:eastAsia="zh-CN"/>
        </w:rPr>
        <w:t>被托管</w:t>
      </w:r>
      <w:r>
        <w:rPr>
          <w:rFonts w:hint="default" w:ascii="Times New Roman" w:hAnsi="Times New Roman" w:eastAsia="宋体" w:cs="Times New Roman"/>
          <w:b w:val="0"/>
          <w:bCs/>
          <w:color w:val="auto"/>
          <w:sz w:val="24"/>
          <w:szCs w:val="24"/>
          <w:highlight w:val="none"/>
        </w:rPr>
        <w:t>单位移交，本项目竣工资料和日常运行所必需的相关全部文件资料移交给</w:t>
      </w:r>
      <w:r>
        <w:rPr>
          <w:rFonts w:hint="eastAsia" w:ascii="Times New Roman" w:hAnsi="Times New Roman" w:eastAsia="宋体" w:cs="Times New Roman"/>
          <w:b w:val="0"/>
          <w:bCs/>
          <w:color w:val="auto"/>
          <w:sz w:val="24"/>
          <w:szCs w:val="24"/>
          <w:highlight w:val="none"/>
          <w:lang w:val="en-US" w:eastAsia="zh-CN"/>
        </w:rPr>
        <w:t>甲方或</w:t>
      </w:r>
      <w:r>
        <w:rPr>
          <w:rFonts w:hint="default" w:ascii="Times New Roman" w:hAnsi="Times New Roman" w:eastAsia="宋体" w:cs="Times New Roman"/>
          <w:b w:val="0"/>
          <w:bCs/>
          <w:color w:val="auto"/>
          <w:sz w:val="24"/>
          <w:szCs w:val="24"/>
          <w:highlight w:val="none"/>
          <w:lang w:val="en-US" w:eastAsia="zh-CN"/>
        </w:rPr>
        <w:t>被托管</w:t>
      </w:r>
      <w:r>
        <w:rPr>
          <w:rFonts w:hint="default" w:ascii="Times New Roman" w:hAnsi="Times New Roman" w:eastAsia="宋体" w:cs="Times New Roman"/>
          <w:b w:val="0"/>
          <w:bCs/>
          <w:color w:val="auto"/>
          <w:sz w:val="24"/>
          <w:szCs w:val="24"/>
          <w:highlight w:val="none"/>
        </w:rPr>
        <w:t>单位，</w:t>
      </w:r>
      <w:r>
        <w:rPr>
          <w:rFonts w:hint="eastAsia" w:ascii="Times New Roman" w:hAnsi="Times New Roman" w:eastAsia="宋体" w:cs="Times New Roman"/>
          <w:b w:val="0"/>
          <w:bCs/>
          <w:color w:val="auto"/>
          <w:sz w:val="24"/>
          <w:szCs w:val="24"/>
          <w:highlight w:val="none"/>
          <w:lang w:val="en-US" w:eastAsia="zh-CN"/>
        </w:rPr>
        <w:t>甲方或</w:t>
      </w:r>
      <w:r>
        <w:rPr>
          <w:rFonts w:hint="default" w:ascii="Times New Roman" w:hAnsi="Times New Roman" w:eastAsia="宋体" w:cs="Times New Roman"/>
          <w:b w:val="0"/>
          <w:bCs/>
          <w:color w:val="auto"/>
          <w:sz w:val="24"/>
          <w:szCs w:val="24"/>
          <w:highlight w:val="none"/>
          <w:lang w:val="en-US" w:eastAsia="zh-CN"/>
        </w:rPr>
        <w:t>被托管</w:t>
      </w:r>
      <w:r>
        <w:rPr>
          <w:rFonts w:hint="default" w:ascii="Times New Roman" w:hAnsi="Times New Roman" w:eastAsia="宋体" w:cs="Times New Roman"/>
          <w:b w:val="0"/>
          <w:bCs/>
          <w:color w:val="auto"/>
          <w:sz w:val="24"/>
          <w:szCs w:val="24"/>
          <w:highlight w:val="none"/>
        </w:rPr>
        <w:t>单位按照国家统一的会计制度对移交的资产进行会计处理。用能系统移交时乙方应保证设备和设施的完整性和能够正常运行。涉及到软件相关的知识产权使用权，</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须永久免费授权。</w:t>
      </w:r>
    </w:p>
    <w:p w14:paraId="63A8835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w:t>
      </w:r>
      <w:r>
        <w:rPr>
          <w:rFonts w:hint="eastAsia" w:ascii="Times New Roman" w:hAnsi="Times New Roman" w:eastAsia="宋体" w:cs="Times New Roman"/>
          <w:color w:val="auto"/>
          <w:sz w:val="24"/>
          <w:szCs w:val="24"/>
          <w:highlight w:val="none"/>
          <w:lang w:val="en-US" w:eastAsia="zh-CN"/>
        </w:rPr>
        <w:t>7</w:t>
      </w:r>
      <w:r>
        <w:rPr>
          <w:rFonts w:hint="default" w:ascii="Times New Roman" w:hAnsi="Times New Roman" w:eastAsia="宋体" w:cs="Times New Roman"/>
          <w:color w:val="auto"/>
          <w:sz w:val="24"/>
          <w:szCs w:val="24"/>
          <w:highlight w:val="none"/>
        </w:rPr>
        <w:t xml:space="preserve"> 其他移交事项：</w:t>
      </w:r>
      <w:r>
        <w:rPr>
          <w:rFonts w:hint="default" w:ascii="Times New Roman" w:hAnsi="Times New Roman" w:eastAsia="宋体" w:cs="Times New Roman"/>
          <w:color w:val="auto"/>
          <w:sz w:val="24"/>
          <w:szCs w:val="24"/>
          <w:highlight w:val="none"/>
          <w:u w:val="single"/>
        </w:rPr>
        <w:t xml:space="preserve">      /       </w:t>
      </w:r>
      <w:r>
        <w:rPr>
          <w:rFonts w:hint="default" w:ascii="Times New Roman" w:hAnsi="Times New Roman" w:eastAsia="宋体" w:cs="Times New Roman"/>
          <w:color w:val="auto"/>
          <w:sz w:val="24"/>
          <w:szCs w:val="24"/>
          <w:highlight w:val="none"/>
        </w:rPr>
        <w:t>。</w:t>
      </w:r>
    </w:p>
    <w:p w14:paraId="4141826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第九条  托管费用的标准及支付</w:t>
      </w:r>
    </w:p>
    <w:p w14:paraId="0933DB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9.1 年度能源托管费用包括能源费用、节能改造费用、节能改造后能源系统的日常运营、维修维护管理费、消耗性材料费等。能源托管费用基数为：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元/年，支付年限为</w:t>
      </w:r>
      <w:r>
        <w:rPr>
          <w:rFonts w:hint="default" w:ascii="Times New Roman" w:hAnsi="Times New Roman" w:eastAsia="宋体" w:cs="Times New Roman"/>
          <w:color w:val="auto"/>
          <w:sz w:val="24"/>
          <w:szCs w:val="24"/>
          <w:highlight w:val="none"/>
          <w:u w:val="single"/>
        </w:rPr>
        <w:t xml:space="preserve"> 10 </w:t>
      </w:r>
      <w:r>
        <w:rPr>
          <w:rFonts w:hint="default" w:ascii="Times New Roman" w:hAnsi="Times New Roman" w:eastAsia="宋体" w:cs="Times New Roman"/>
          <w:color w:val="auto"/>
          <w:sz w:val="24"/>
          <w:szCs w:val="24"/>
          <w:highlight w:val="none"/>
        </w:rPr>
        <w:t>年。合同总价</w:t>
      </w:r>
      <w:r>
        <w:rPr>
          <w:rFonts w:hint="default" w:ascii="Times New Roman" w:hAnsi="Times New Roman" w:eastAsia="宋体" w:cs="Times New Roman"/>
          <w:color w:val="auto"/>
          <w:sz w:val="24"/>
          <w:szCs w:val="24"/>
          <w:highlight w:val="none"/>
          <w:lang w:val="zh-CN"/>
        </w:rPr>
        <w:t>包括全部托管费用、节能改造费用、配套服务费，包括但不限于水电燃气的托管费、节能改造、软件产品、开发实施、数据采集与加工、实现本项目功能所需要的第三方软件及接口升级改造、项目涉及的设备、劳务、制作、维护、升级、培训、评估、保险、利润、税金、人员、交通、食宿、验收、检测、节能改造监理费等完成项目所需的一切费用。</w:t>
      </w:r>
    </w:p>
    <w:tbl>
      <w:tblPr>
        <w:tblStyle w:val="57"/>
        <w:tblW w:w="5000" w:type="pct"/>
        <w:jc w:val="center"/>
        <w:tblLayout w:type="autofit"/>
        <w:tblCellMar>
          <w:top w:w="0" w:type="dxa"/>
          <w:left w:w="108" w:type="dxa"/>
          <w:bottom w:w="0" w:type="dxa"/>
          <w:right w:w="108" w:type="dxa"/>
        </w:tblCellMar>
      </w:tblPr>
      <w:tblGrid>
        <w:gridCol w:w="3074"/>
        <w:gridCol w:w="3855"/>
        <w:gridCol w:w="2811"/>
      </w:tblGrid>
      <w:tr w14:paraId="4889F6D4">
        <w:tblPrEx>
          <w:tblCellMar>
            <w:top w:w="0" w:type="dxa"/>
            <w:left w:w="108" w:type="dxa"/>
            <w:bottom w:w="0" w:type="dxa"/>
            <w:right w:w="108" w:type="dxa"/>
          </w:tblCellMar>
        </w:tblPrEx>
        <w:trPr>
          <w:trHeight w:val="634" w:hRule="atLeast"/>
          <w:jc w:val="center"/>
        </w:trPr>
        <w:tc>
          <w:tcPr>
            <w:tcW w:w="5000" w:type="pct"/>
            <w:gridSpan w:val="3"/>
            <w:tcBorders>
              <w:top w:val="single" w:color="000000" w:sz="4" w:space="0"/>
              <w:left w:val="single" w:color="000000" w:sz="4" w:space="0"/>
              <w:bottom w:val="nil"/>
              <w:right w:val="single" w:color="000000" w:sz="4" w:space="0"/>
            </w:tcBorders>
            <w:noWrap/>
            <w:vAlign w:val="center"/>
          </w:tcPr>
          <w:p w14:paraId="256FAE9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能源</w:t>
            </w:r>
            <w:r>
              <w:rPr>
                <w:rFonts w:hint="eastAsia" w:ascii="Times New Roman" w:hAnsi="Times New Roman" w:eastAsia="宋体" w:cs="Times New Roman"/>
                <w:b/>
                <w:bCs/>
                <w:color w:val="auto"/>
                <w:sz w:val="24"/>
                <w:szCs w:val="24"/>
                <w:highlight w:val="none"/>
                <w:lang w:val="en-US" w:eastAsia="zh-CN"/>
              </w:rPr>
              <w:t>托管</w:t>
            </w:r>
            <w:r>
              <w:rPr>
                <w:rFonts w:hint="default" w:ascii="Times New Roman" w:hAnsi="Times New Roman" w:eastAsia="宋体" w:cs="Times New Roman"/>
                <w:b/>
                <w:bCs/>
                <w:color w:val="auto"/>
                <w:sz w:val="24"/>
                <w:szCs w:val="24"/>
                <w:highlight w:val="none"/>
              </w:rPr>
              <w:t>费用基数（元/年）</w:t>
            </w:r>
          </w:p>
        </w:tc>
      </w:tr>
      <w:tr w14:paraId="1A2B7F59">
        <w:tblPrEx>
          <w:tblCellMar>
            <w:top w:w="0" w:type="dxa"/>
            <w:left w:w="108" w:type="dxa"/>
            <w:bottom w:w="0" w:type="dxa"/>
            <w:right w:w="108" w:type="dxa"/>
          </w:tblCellMar>
        </w:tblPrEx>
        <w:trPr>
          <w:trHeight w:val="270" w:hRule="atLeast"/>
          <w:jc w:val="center"/>
        </w:trPr>
        <w:tc>
          <w:tcPr>
            <w:tcW w:w="1578" w:type="pct"/>
            <w:vMerge w:val="restart"/>
            <w:tcBorders>
              <w:top w:val="single" w:color="000000" w:sz="4" w:space="0"/>
              <w:left w:val="single" w:color="000000" w:sz="4" w:space="0"/>
              <w:bottom w:val="nil"/>
              <w:right w:val="single" w:color="000000" w:sz="4" w:space="0"/>
            </w:tcBorders>
            <w:noWrap/>
            <w:vAlign w:val="center"/>
          </w:tcPr>
          <w:p w14:paraId="6FCEF54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能源托管项目</w:t>
            </w:r>
          </w:p>
        </w:tc>
        <w:tc>
          <w:tcPr>
            <w:tcW w:w="1978" w:type="pct"/>
            <w:tcBorders>
              <w:top w:val="single" w:color="000000" w:sz="4" w:space="0"/>
              <w:left w:val="nil"/>
              <w:bottom w:val="single" w:color="000000" w:sz="4" w:space="0"/>
              <w:right w:val="single" w:color="000000" w:sz="4" w:space="0"/>
            </w:tcBorders>
            <w:noWrap/>
            <w:vAlign w:val="center"/>
          </w:tcPr>
          <w:p w14:paraId="71A4DC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电</w:t>
            </w:r>
            <w:r>
              <w:rPr>
                <w:rFonts w:hint="eastAsia" w:ascii="Times New Roman" w:hAnsi="Times New Roman" w:eastAsia="宋体" w:cs="Times New Roman"/>
                <w:color w:val="auto"/>
                <w:sz w:val="24"/>
                <w:szCs w:val="24"/>
                <w:highlight w:val="none"/>
                <w:lang w:val="en-US" w:eastAsia="zh-CN"/>
              </w:rPr>
              <w:t>费</w:t>
            </w:r>
          </w:p>
        </w:tc>
        <w:tc>
          <w:tcPr>
            <w:tcW w:w="1442" w:type="pct"/>
            <w:tcBorders>
              <w:top w:val="single" w:color="000000" w:sz="4" w:space="0"/>
              <w:left w:val="nil"/>
              <w:bottom w:val="single" w:color="000000" w:sz="4" w:space="0"/>
              <w:right w:val="single" w:color="000000" w:sz="4" w:space="0"/>
            </w:tcBorders>
            <w:noWrap/>
            <w:vAlign w:val="center"/>
          </w:tcPr>
          <w:p w14:paraId="5CA3FC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r>
      <w:tr w14:paraId="184A616A">
        <w:tblPrEx>
          <w:tblCellMar>
            <w:top w:w="0" w:type="dxa"/>
            <w:left w:w="108" w:type="dxa"/>
            <w:bottom w:w="0" w:type="dxa"/>
            <w:right w:w="108" w:type="dxa"/>
          </w:tblCellMar>
        </w:tblPrEx>
        <w:trPr>
          <w:trHeight w:val="270" w:hRule="atLeast"/>
          <w:jc w:val="center"/>
        </w:trPr>
        <w:tc>
          <w:tcPr>
            <w:tcW w:w="1578" w:type="pct"/>
            <w:vMerge w:val="continue"/>
            <w:tcBorders>
              <w:top w:val="single" w:color="000000" w:sz="4" w:space="0"/>
              <w:left w:val="single" w:color="000000" w:sz="4" w:space="0"/>
              <w:bottom w:val="nil"/>
              <w:right w:val="single" w:color="000000" w:sz="4" w:space="0"/>
            </w:tcBorders>
            <w:vAlign w:val="center"/>
          </w:tcPr>
          <w:p w14:paraId="11C12B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c>
          <w:tcPr>
            <w:tcW w:w="1978" w:type="pct"/>
            <w:tcBorders>
              <w:top w:val="single" w:color="000000" w:sz="4" w:space="0"/>
              <w:left w:val="nil"/>
              <w:bottom w:val="single" w:color="000000" w:sz="4" w:space="0"/>
              <w:right w:val="single" w:color="000000" w:sz="4" w:space="0"/>
            </w:tcBorders>
            <w:noWrap/>
            <w:vAlign w:val="center"/>
          </w:tcPr>
          <w:p w14:paraId="3AC1344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水</w:t>
            </w:r>
            <w:r>
              <w:rPr>
                <w:rFonts w:hint="eastAsia" w:ascii="Times New Roman" w:hAnsi="Times New Roman" w:eastAsia="宋体" w:cs="Times New Roman"/>
                <w:color w:val="auto"/>
                <w:sz w:val="24"/>
                <w:szCs w:val="24"/>
                <w:highlight w:val="none"/>
                <w:lang w:val="en-US" w:eastAsia="zh-CN"/>
              </w:rPr>
              <w:t>费</w:t>
            </w:r>
          </w:p>
        </w:tc>
        <w:tc>
          <w:tcPr>
            <w:tcW w:w="1442" w:type="pct"/>
            <w:tcBorders>
              <w:top w:val="single" w:color="000000" w:sz="4" w:space="0"/>
              <w:left w:val="nil"/>
              <w:bottom w:val="single" w:color="000000" w:sz="4" w:space="0"/>
              <w:right w:val="single" w:color="000000" w:sz="4" w:space="0"/>
            </w:tcBorders>
            <w:noWrap/>
            <w:vAlign w:val="center"/>
          </w:tcPr>
          <w:p w14:paraId="210001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r>
      <w:tr w14:paraId="40732D1A">
        <w:tblPrEx>
          <w:tblCellMar>
            <w:top w:w="0" w:type="dxa"/>
            <w:left w:w="108" w:type="dxa"/>
            <w:bottom w:w="0" w:type="dxa"/>
            <w:right w:w="108" w:type="dxa"/>
          </w:tblCellMar>
        </w:tblPrEx>
        <w:trPr>
          <w:trHeight w:val="270" w:hRule="atLeast"/>
          <w:jc w:val="center"/>
        </w:trPr>
        <w:tc>
          <w:tcPr>
            <w:tcW w:w="1578" w:type="pct"/>
            <w:vMerge w:val="continue"/>
            <w:tcBorders>
              <w:top w:val="single" w:color="000000" w:sz="4" w:space="0"/>
              <w:left w:val="single" w:color="000000" w:sz="4" w:space="0"/>
              <w:bottom w:val="nil"/>
              <w:right w:val="single" w:color="000000" w:sz="4" w:space="0"/>
            </w:tcBorders>
            <w:vAlign w:val="center"/>
          </w:tcPr>
          <w:p w14:paraId="7887EBA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c>
          <w:tcPr>
            <w:tcW w:w="1978" w:type="pct"/>
            <w:tcBorders>
              <w:top w:val="single" w:color="000000" w:sz="4" w:space="0"/>
              <w:left w:val="nil"/>
              <w:bottom w:val="single" w:color="000000" w:sz="4" w:space="0"/>
              <w:right w:val="single" w:color="000000" w:sz="4" w:space="0"/>
            </w:tcBorders>
            <w:noWrap/>
            <w:vAlign w:val="center"/>
          </w:tcPr>
          <w:p w14:paraId="116794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天然气</w:t>
            </w:r>
            <w:r>
              <w:rPr>
                <w:rFonts w:hint="eastAsia" w:ascii="Times New Roman" w:hAnsi="Times New Roman" w:eastAsia="宋体" w:cs="Times New Roman"/>
                <w:color w:val="auto"/>
                <w:sz w:val="24"/>
                <w:szCs w:val="24"/>
                <w:highlight w:val="none"/>
                <w:lang w:val="en-US" w:eastAsia="zh-CN"/>
              </w:rPr>
              <w:t>费</w:t>
            </w:r>
          </w:p>
        </w:tc>
        <w:tc>
          <w:tcPr>
            <w:tcW w:w="1442" w:type="pct"/>
            <w:tcBorders>
              <w:top w:val="single" w:color="000000" w:sz="4" w:space="0"/>
              <w:left w:val="nil"/>
              <w:bottom w:val="single" w:color="000000" w:sz="4" w:space="0"/>
              <w:right w:val="single" w:color="000000" w:sz="4" w:space="0"/>
            </w:tcBorders>
            <w:noWrap/>
            <w:vAlign w:val="center"/>
          </w:tcPr>
          <w:p w14:paraId="4DBF56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r>
      <w:tr w14:paraId="40BBBEAF">
        <w:tblPrEx>
          <w:tblCellMar>
            <w:top w:w="0" w:type="dxa"/>
            <w:left w:w="108" w:type="dxa"/>
            <w:bottom w:w="0" w:type="dxa"/>
            <w:right w:w="108" w:type="dxa"/>
          </w:tblCellMar>
        </w:tblPrEx>
        <w:trPr>
          <w:trHeight w:val="270" w:hRule="atLeast"/>
          <w:jc w:val="center"/>
        </w:trPr>
        <w:tc>
          <w:tcPr>
            <w:tcW w:w="1578" w:type="pct"/>
            <w:vMerge w:val="continue"/>
            <w:tcBorders>
              <w:top w:val="single" w:color="000000" w:sz="4" w:space="0"/>
              <w:left w:val="single" w:color="000000" w:sz="4" w:space="0"/>
              <w:bottom w:val="nil"/>
              <w:right w:val="single" w:color="000000" w:sz="4" w:space="0"/>
            </w:tcBorders>
            <w:vAlign w:val="center"/>
          </w:tcPr>
          <w:p w14:paraId="1D9624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c>
          <w:tcPr>
            <w:tcW w:w="1978" w:type="pct"/>
            <w:tcBorders>
              <w:top w:val="single" w:color="000000" w:sz="4" w:space="0"/>
              <w:left w:val="nil"/>
              <w:bottom w:val="single" w:color="000000" w:sz="4" w:space="0"/>
              <w:right w:val="single" w:color="000000" w:sz="4" w:space="0"/>
            </w:tcBorders>
            <w:noWrap/>
            <w:vAlign w:val="center"/>
          </w:tcPr>
          <w:p w14:paraId="240BA4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热力</w:t>
            </w:r>
            <w:r>
              <w:rPr>
                <w:rFonts w:hint="eastAsia" w:ascii="Times New Roman" w:hAnsi="Times New Roman" w:eastAsia="宋体" w:cs="Times New Roman"/>
                <w:color w:val="auto"/>
                <w:sz w:val="24"/>
                <w:szCs w:val="24"/>
                <w:highlight w:val="none"/>
                <w:lang w:val="en-US" w:eastAsia="zh-CN"/>
              </w:rPr>
              <w:t>费</w:t>
            </w:r>
          </w:p>
        </w:tc>
        <w:tc>
          <w:tcPr>
            <w:tcW w:w="1442" w:type="pct"/>
            <w:tcBorders>
              <w:top w:val="single" w:color="000000" w:sz="4" w:space="0"/>
              <w:left w:val="nil"/>
              <w:bottom w:val="single" w:color="000000" w:sz="4" w:space="0"/>
              <w:right w:val="single" w:color="000000" w:sz="4" w:space="0"/>
            </w:tcBorders>
            <w:noWrap/>
            <w:vAlign w:val="center"/>
          </w:tcPr>
          <w:p w14:paraId="6DBB2D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r>
      <w:tr w14:paraId="210733DA">
        <w:tblPrEx>
          <w:tblCellMar>
            <w:top w:w="0" w:type="dxa"/>
            <w:left w:w="108" w:type="dxa"/>
            <w:bottom w:w="0" w:type="dxa"/>
            <w:right w:w="108" w:type="dxa"/>
          </w:tblCellMar>
        </w:tblPrEx>
        <w:trPr>
          <w:trHeight w:val="270" w:hRule="atLeast"/>
          <w:jc w:val="center"/>
        </w:trPr>
        <w:tc>
          <w:tcPr>
            <w:tcW w:w="1578" w:type="pct"/>
            <w:vMerge w:val="continue"/>
            <w:tcBorders>
              <w:top w:val="single" w:color="000000" w:sz="4" w:space="0"/>
              <w:left w:val="single" w:color="000000" w:sz="4" w:space="0"/>
              <w:bottom w:val="nil"/>
              <w:right w:val="single" w:color="000000" w:sz="4" w:space="0"/>
            </w:tcBorders>
            <w:vAlign w:val="center"/>
          </w:tcPr>
          <w:p w14:paraId="7D8F28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c>
          <w:tcPr>
            <w:tcW w:w="1978" w:type="pct"/>
            <w:tcBorders>
              <w:top w:val="single" w:color="000000" w:sz="4" w:space="0"/>
              <w:left w:val="nil"/>
              <w:bottom w:val="single" w:color="000000" w:sz="4" w:space="0"/>
              <w:right w:val="single" w:color="000000" w:sz="4" w:space="0"/>
            </w:tcBorders>
            <w:noWrap/>
            <w:vAlign w:val="center"/>
          </w:tcPr>
          <w:p w14:paraId="78192EC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w:t>
            </w:r>
          </w:p>
        </w:tc>
        <w:tc>
          <w:tcPr>
            <w:tcW w:w="1442" w:type="pct"/>
            <w:tcBorders>
              <w:top w:val="single" w:color="000000" w:sz="4" w:space="0"/>
              <w:left w:val="nil"/>
              <w:bottom w:val="single" w:color="000000" w:sz="4" w:space="0"/>
              <w:right w:val="single" w:color="000000" w:sz="4" w:space="0"/>
            </w:tcBorders>
            <w:noWrap/>
            <w:vAlign w:val="center"/>
          </w:tcPr>
          <w:p w14:paraId="792524F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r>
      <w:tr w14:paraId="72E22BEF">
        <w:tblPrEx>
          <w:tblCellMar>
            <w:top w:w="0" w:type="dxa"/>
            <w:left w:w="108" w:type="dxa"/>
            <w:bottom w:w="0" w:type="dxa"/>
            <w:right w:w="108" w:type="dxa"/>
          </w:tblCellMar>
        </w:tblPrEx>
        <w:trPr>
          <w:trHeight w:val="270" w:hRule="atLeast"/>
          <w:jc w:val="center"/>
        </w:trPr>
        <w:tc>
          <w:tcPr>
            <w:tcW w:w="3557" w:type="pct"/>
            <w:gridSpan w:val="2"/>
            <w:tcBorders>
              <w:top w:val="single" w:color="000000" w:sz="4" w:space="0"/>
              <w:left w:val="single" w:color="000000" w:sz="4" w:space="0"/>
              <w:bottom w:val="single" w:color="000000" w:sz="4" w:space="0"/>
              <w:right w:val="single" w:color="000000" w:sz="4" w:space="0"/>
            </w:tcBorders>
            <w:noWrap/>
            <w:vAlign w:val="center"/>
          </w:tcPr>
          <w:p w14:paraId="2C5D07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合计</w:t>
            </w:r>
          </w:p>
        </w:tc>
        <w:tc>
          <w:tcPr>
            <w:tcW w:w="1442" w:type="pct"/>
            <w:tcBorders>
              <w:top w:val="single" w:color="000000" w:sz="4" w:space="0"/>
              <w:left w:val="nil"/>
              <w:bottom w:val="single" w:color="000000" w:sz="4" w:space="0"/>
              <w:right w:val="single" w:color="000000" w:sz="4" w:space="0"/>
            </w:tcBorders>
            <w:noWrap/>
            <w:vAlign w:val="center"/>
          </w:tcPr>
          <w:p w14:paraId="07EB8F3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4"/>
                <w:szCs w:val="24"/>
                <w:highlight w:val="none"/>
              </w:rPr>
            </w:pPr>
          </w:p>
        </w:tc>
      </w:tr>
    </w:tbl>
    <w:p w14:paraId="69BC72CC">
      <w:pPr>
        <w:spacing w:line="400" w:lineRule="exact"/>
        <w:ind w:firstLine="42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9.2</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支付方式：</w:t>
      </w:r>
    </w:p>
    <w:p w14:paraId="7D8CE96D">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（一）付款方式</w:t>
      </w:r>
    </w:p>
    <w:p w14:paraId="21E3FB5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合同期内，各被托管单位按照合同约定按月支付能源托管费用给乙方。乙方必须根据实际发生能耗费用缴付至当地供电部门、自来水公司、燃气公司及集中冷热量供应公司。乙方每月1</w:t>
      </w:r>
      <w:r>
        <w:rPr>
          <w:rFonts w:hint="default"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rPr>
        <w:t>日</w:t>
      </w:r>
      <w:r>
        <w:rPr>
          <w:rFonts w:hint="default" w:ascii="Times New Roman" w:hAnsi="Times New Roman" w:eastAsia="宋体" w:cs="Times New Roman"/>
          <w:color w:val="auto"/>
          <w:sz w:val="24"/>
          <w:szCs w:val="24"/>
          <w:highlight w:val="none"/>
          <w:lang w:val="en-US" w:eastAsia="zh-CN"/>
        </w:rPr>
        <w:t>前</w:t>
      </w:r>
      <w:r>
        <w:rPr>
          <w:rFonts w:hint="default" w:ascii="Times New Roman" w:hAnsi="Times New Roman" w:eastAsia="宋体" w:cs="Times New Roman"/>
          <w:color w:val="auto"/>
          <w:sz w:val="24"/>
          <w:szCs w:val="24"/>
          <w:highlight w:val="none"/>
        </w:rPr>
        <w:t>向各被托管单位提供合法税务发票，综合能源服务类发票。次月8日前各被托管单位在收到乙方合法税务发票后按财务流程以电汇方式向中标人指定账户按时支付每月的能源托管费用（年能源托管费用的1/12）。</w:t>
      </w:r>
    </w:p>
    <w:p w14:paraId="422D7B64">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（二）费用调整规则</w:t>
      </w:r>
    </w:p>
    <w:p w14:paraId="15CFDDDE">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托管期间如遇供能部门调整能源单价，托管费用应按能耗基准单价与实际价格的差额进行调整（单价波动小于±3%，不予调整），年底进行一次性结算，多退少补，时间段为单价调整的时间点至结算的时间点。</w:t>
      </w:r>
    </w:p>
    <w:p w14:paraId="29C38BE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托管期内各被托管单位可能存在的用能设备增减（总功率变化≤10kW时不调整，＞10kW时挂表计量或采用运行功率*运行时间的方式确定用电量）、业务范围（量）增减、极端天气及设备损坏、遭外力破坏等因素导致托管范围发生变化</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一方</w:t>
      </w:r>
      <w:r>
        <w:rPr>
          <w:rFonts w:hint="default" w:ascii="Times New Roman" w:hAnsi="Times New Roman" w:eastAsia="宋体" w:cs="Times New Roman"/>
          <w:color w:val="auto"/>
          <w:sz w:val="24"/>
          <w:szCs w:val="24"/>
          <w:highlight w:val="none"/>
        </w:rPr>
        <w:t>以书面形式向</w:t>
      </w:r>
      <w:r>
        <w:rPr>
          <w:rFonts w:hint="eastAsia" w:ascii="Times New Roman" w:hAnsi="Times New Roman" w:eastAsia="宋体" w:cs="Times New Roman"/>
          <w:color w:val="auto"/>
          <w:sz w:val="24"/>
          <w:szCs w:val="24"/>
          <w:highlight w:val="none"/>
          <w:lang w:val="en-US" w:eastAsia="zh-CN"/>
        </w:rPr>
        <w:t>另一方</w:t>
      </w:r>
      <w:r>
        <w:rPr>
          <w:rFonts w:hint="default" w:ascii="Times New Roman" w:hAnsi="Times New Roman" w:eastAsia="宋体" w:cs="Times New Roman"/>
          <w:color w:val="auto"/>
          <w:sz w:val="24"/>
          <w:szCs w:val="24"/>
          <w:highlight w:val="none"/>
        </w:rPr>
        <w:t>提交合同费用调整说明。费用调整规则参考</w:t>
      </w:r>
      <w:r>
        <w:rPr>
          <w:rFonts w:hint="eastAsia" w:ascii="Times New Roman" w:hAnsi="Times New Roman" w:eastAsia="宋体" w:cs="Times New Roman"/>
          <w:color w:val="auto"/>
          <w:sz w:val="24"/>
          <w:szCs w:val="24"/>
          <w:highlight w:val="none"/>
          <w:lang w:val="en-US" w:eastAsia="zh-CN"/>
        </w:rPr>
        <w:t>如下：</w:t>
      </w:r>
      <w:r>
        <w:rPr>
          <w:rFonts w:hint="default" w:ascii="Times New Roman" w:hAnsi="Times New Roman" w:eastAsia="宋体" w:cs="Times New Roman"/>
          <w:color w:val="auto"/>
          <w:sz w:val="24"/>
          <w:szCs w:val="24"/>
          <w:highlight w:val="none"/>
        </w:rPr>
        <w:t>《公共机构能源费用托管实施规程》（JS/T301-2024）。</w:t>
      </w:r>
    </w:p>
    <w:p w14:paraId="0CF9CDC0">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因托管项目边界范围变化导致能源基准变化时，应调整能源托管费用基数，双方可按照政府采购法律法规有关规定签订补充合同。</w:t>
      </w:r>
    </w:p>
    <w:p w14:paraId="2CFAFDF8">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a）用能设备和其他用能项的增减</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其他用能项包括但不限于用能建筑面积、用能时间、用能人员等</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针对用能设备和其他用能项的变化，有条件时应优先采用直接计量法确定变化量，条件不具备的情况下，可采用功率核算法或其他双方约定的方式确定变化量</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因用能设备和其他用能项的增减，应调整基准能耗，并相应增减能源托管费用基数。</w:t>
      </w:r>
    </w:p>
    <w:p w14:paraId="49B9DB75">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b</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建筑用能区域改建、扩建</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迁建</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因建筑改建、扩建增加的临时用能能耗需单独计量；新增用能区域的能耗需单独计量；如用能区域建筑功能发生改变或搬迁，则该功能区增加或减少的能耗需单独计量</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因用能区域变化导致的用能增加或减少，应调整基准能耗，并相应增减能源托管费用基数。</w:t>
      </w:r>
    </w:p>
    <w:p w14:paraId="3CE0CB6B">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c</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供能条件变化的调整</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如因极端天气导致空调用能时间明显延长且设定温度超出供能条件，合同双方可协商托管费用调整方式；非极端天气条件下，如因上班时间调整、持续加班、特殊情况用能等公共机构的原因导致用能时间增加，双方可协商托管费用调整方式。</w:t>
      </w:r>
    </w:p>
    <w:p w14:paraId="2F538BC7">
      <w:pPr>
        <w:keepNext w:val="0"/>
        <w:keepLines w:val="0"/>
        <w:pageBreakBefore w:val="0"/>
        <w:widowControl w:val="0"/>
        <w:kinsoku/>
        <w:wordWrap/>
        <w:overflowPunct/>
        <w:topLinePunct w:val="0"/>
        <w:autoSpaceDE/>
        <w:autoSpaceDN/>
        <w:bidi w:val="0"/>
        <w:adjustRightInd w:val="0"/>
        <w:snapToGrid w:val="0"/>
        <w:spacing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表1给出了项目边界条件变化类型</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能源基准变化量的核定及相应的能源托管费用基 数的调整方式。</w:t>
      </w:r>
    </w:p>
    <w:p w14:paraId="5F2036E3">
      <w:pPr>
        <w:spacing w:before="76" w:line="269" w:lineRule="auto"/>
        <w:ind w:left="13" w:right="9" w:firstLine="436"/>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表1项目边界条件变化类型、能源基准变化量的核定及能源托管费用基数的调整方式</w:t>
      </w:r>
    </w:p>
    <w:tbl>
      <w:tblPr>
        <w:tblStyle w:val="606"/>
        <w:tblW w:w="4998" w:type="pct"/>
        <w:jc w:val="center"/>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Layout w:type="autofit"/>
        <w:tblCellMar>
          <w:top w:w="0" w:type="dxa"/>
          <w:left w:w="0" w:type="dxa"/>
          <w:bottom w:w="0" w:type="dxa"/>
          <w:right w:w="0" w:type="dxa"/>
        </w:tblCellMar>
      </w:tblPr>
      <w:tblGrid>
        <w:gridCol w:w="3241"/>
        <w:gridCol w:w="3948"/>
        <w:gridCol w:w="2543"/>
      </w:tblGrid>
      <w:tr w14:paraId="5EE18F13">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714" w:hRule="atLeast"/>
          <w:jc w:val="center"/>
        </w:trPr>
        <w:tc>
          <w:tcPr>
            <w:tcW w:w="1665" w:type="pct"/>
            <w:tcBorders>
              <w:top w:val="single" w:color="231F20" w:sz="4" w:space="0"/>
              <w:left w:val="single" w:color="231F20" w:sz="4" w:space="0"/>
              <w:bottom w:val="single" w:color="231F20" w:sz="4" w:space="0"/>
            </w:tcBorders>
            <w:vAlign w:val="center"/>
          </w:tcPr>
          <w:p w14:paraId="13BE4F75">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项目边界条件变化类型</w:t>
            </w:r>
          </w:p>
        </w:tc>
        <w:tc>
          <w:tcPr>
            <w:tcW w:w="2028" w:type="pct"/>
            <w:tcBorders>
              <w:top w:val="single" w:color="231F20" w:sz="4" w:space="0"/>
              <w:bottom w:val="single" w:color="231F20" w:sz="4" w:space="0"/>
            </w:tcBorders>
            <w:vAlign w:val="center"/>
          </w:tcPr>
          <w:p w14:paraId="199DA82A">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能源基准变化量计算与核定方式</w:t>
            </w:r>
          </w:p>
        </w:tc>
        <w:tc>
          <w:tcPr>
            <w:tcW w:w="1305" w:type="pct"/>
            <w:tcBorders>
              <w:top w:val="single" w:color="231F20" w:sz="4" w:space="0"/>
              <w:bottom w:val="single" w:color="231F20" w:sz="4" w:space="0"/>
              <w:right w:val="single" w:color="231F20" w:sz="4" w:space="0"/>
            </w:tcBorders>
            <w:vAlign w:val="center"/>
          </w:tcPr>
          <w:p w14:paraId="6DAE3DEC">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能源托管费用基数的</w:t>
            </w:r>
          </w:p>
          <w:p w14:paraId="720B5AE1">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调整方式</w:t>
            </w:r>
          </w:p>
        </w:tc>
      </w:tr>
      <w:tr w14:paraId="0BFB03A5">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57" w:hRule="atLeast"/>
          <w:jc w:val="center"/>
        </w:trPr>
        <w:tc>
          <w:tcPr>
            <w:tcW w:w="1665" w:type="pct"/>
            <w:tcBorders>
              <w:top w:val="single" w:color="231F20" w:sz="4" w:space="0"/>
              <w:left w:val="single" w:color="231F20" w:sz="4" w:space="0"/>
            </w:tcBorders>
            <w:vAlign w:val="center"/>
          </w:tcPr>
          <w:p w14:paraId="441F4F95">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用能设备的增减</w:t>
            </w:r>
          </w:p>
        </w:tc>
        <w:tc>
          <w:tcPr>
            <w:tcW w:w="2028" w:type="pct"/>
            <w:tcBorders>
              <w:top w:val="single" w:color="231F20" w:sz="4" w:space="0"/>
            </w:tcBorders>
            <w:vAlign w:val="center"/>
          </w:tcPr>
          <w:p w14:paraId="366264E2">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表具计量法或额定功率核算法（设备功率乘以用能时间）</w:t>
            </w:r>
          </w:p>
        </w:tc>
        <w:tc>
          <w:tcPr>
            <w:tcW w:w="1305" w:type="pct"/>
            <w:vMerge w:val="restart"/>
            <w:tcBorders>
              <w:top w:val="single" w:color="231F20" w:sz="4" w:space="0"/>
              <w:bottom w:val="nil"/>
              <w:right w:val="single" w:color="231F20" w:sz="4" w:space="0"/>
            </w:tcBorders>
            <w:vAlign w:val="center"/>
          </w:tcPr>
          <w:p w14:paraId="0254A846">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按基准能源用量变化量</w:t>
            </w:r>
          </w:p>
          <w:p w14:paraId="1CD334B5">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乘以基准能源单价核增</w:t>
            </w:r>
          </w:p>
          <w:p w14:paraId="2EFFAB24">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或核减</w:t>
            </w:r>
          </w:p>
        </w:tc>
      </w:tr>
      <w:tr w14:paraId="72C628B2">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vMerge w:val="restart"/>
            <w:tcBorders>
              <w:left w:val="single" w:color="231F20" w:sz="4" w:space="0"/>
              <w:bottom w:val="nil"/>
            </w:tcBorders>
            <w:vAlign w:val="center"/>
          </w:tcPr>
          <w:p w14:paraId="7F069231">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用能人数增减</w:t>
            </w:r>
          </w:p>
        </w:tc>
        <w:tc>
          <w:tcPr>
            <w:tcW w:w="2028" w:type="pct"/>
            <w:vAlign w:val="center"/>
          </w:tcPr>
          <w:p w14:paraId="1B198A4D">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人均照明插座能耗核算法（人均照明插座用电乘以用能人数）</w:t>
            </w:r>
          </w:p>
        </w:tc>
        <w:tc>
          <w:tcPr>
            <w:tcW w:w="1305" w:type="pct"/>
            <w:vMerge w:val="continue"/>
            <w:tcBorders>
              <w:top w:val="nil"/>
              <w:bottom w:val="nil"/>
              <w:right w:val="single" w:color="231F20" w:sz="4" w:space="0"/>
            </w:tcBorders>
            <w:vAlign w:val="center"/>
          </w:tcPr>
          <w:p w14:paraId="66E75EBC">
            <w:pPr>
              <w:keepNext w:val="0"/>
              <w:keepLines w:val="0"/>
              <w:pageBreakBefore w:val="0"/>
              <w:widowControl w:val="0"/>
              <w:kinsoku/>
              <w:wordWrap/>
              <w:overflowPunct/>
              <w:topLinePunct w:val="0"/>
              <w:autoSpaceDE/>
              <w:autoSpaceDN/>
              <w:bidi w:val="0"/>
              <w:adjustRightInd w:val="0"/>
              <w:snapToGrid w:val="0"/>
              <w:spacing w:line="240" w:lineRule="auto"/>
              <w:ind w:left="13" w:right="0" w:firstLine="436"/>
              <w:jc w:val="center"/>
              <w:textAlignment w:val="auto"/>
              <w:rPr>
                <w:rFonts w:hint="default" w:ascii="Times New Roman" w:hAnsi="Times New Roman" w:eastAsia="宋体" w:cs="Times New Roman"/>
                <w:color w:val="auto"/>
                <w:sz w:val="21"/>
                <w:szCs w:val="21"/>
                <w:highlight w:val="none"/>
              </w:rPr>
            </w:pPr>
          </w:p>
        </w:tc>
      </w:tr>
      <w:tr w14:paraId="3A26C24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vMerge w:val="continue"/>
            <w:tcBorders>
              <w:top w:val="nil"/>
              <w:left w:val="single" w:color="231F20" w:sz="4" w:space="0"/>
            </w:tcBorders>
            <w:vAlign w:val="center"/>
          </w:tcPr>
          <w:p w14:paraId="42F0B2A3">
            <w:pPr>
              <w:keepNext w:val="0"/>
              <w:keepLines w:val="0"/>
              <w:pageBreakBefore w:val="0"/>
              <w:widowControl w:val="0"/>
              <w:kinsoku/>
              <w:wordWrap/>
              <w:overflowPunct/>
              <w:topLinePunct w:val="0"/>
              <w:autoSpaceDE/>
              <w:autoSpaceDN/>
              <w:bidi w:val="0"/>
              <w:adjustRightInd w:val="0"/>
              <w:snapToGrid w:val="0"/>
              <w:spacing w:line="240" w:lineRule="auto"/>
              <w:ind w:left="13" w:right="0" w:firstLine="436"/>
              <w:jc w:val="center"/>
              <w:textAlignment w:val="auto"/>
              <w:rPr>
                <w:rFonts w:hint="default" w:ascii="Times New Roman" w:hAnsi="Times New Roman" w:eastAsia="宋体" w:cs="Times New Roman"/>
                <w:color w:val="auto"/>
                <w:sz w:val="21"/>
                <w:szCs w:val="21"/>
                <w:highlight w:val="none"/>
              </w:rPr>
            </w:pPr>
          </w:p>
        </w:tc>
        <w:tc>
          <w:tcPr>
            <w:tcW w:w="2028" w:type="pct"/>
            <w:vAlign w:val="center"/>
          </w:tcPr>
          <w:p w14:paraId="3B89D847">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人均用水、用气、用蒸汽量核算法（人均用量乘以用能人数）</w:t>
            </w:r>
          </w:p>
        </w:tc>
        <w:tc>
          <w:tcPr>
            <w:tcW w:w="1305" w:type="pct"/>
            <w:vMerge w:val="continue"/>
            <w:tcBorders>
              <w:top w:val="nil"/>
              <w:bottom w:val="nil"/>
              <w:right w:val="single" w:color="231F20" w:sz="4" w:space="0"/>
            </w:tcBorders>
            <w:vAlign w:val="center"/>
          </w:tcPr>
          <w:p w14:paraId="126578A4">
            <w:pPr>
              <w:keepNext w:val="0"/>
              <w:keepLines w:val="0"/>
              <w:pageBreakBefore w:val="0"/>
              <w:widowControl w:val="0"/>
              <w:kinsoku/>
              <w:wordWrap/>
              <w:overflowPunct/>
              <w:topLinePunct w:val="0"/>
              <w:autoSpaceDE/>
              <w:autoSpaceDN/>
              <w:bidi w:val="0"/>
              <w:adjustRightInd w:val="0"/>
              <w:snapToGrid w:val="0"/>
              <w:spacing w:line="240" w:lineRule="auto"/>
              <w:ind w:left="13" w:right="0" w:firstLine="436"/>
              <w:jc w:val="center"/>
              <w:textAlignment w:val="auto"/>
              <w:rPr>
                <w:rFonts w:hint="default" w:ascii="Times New Roman" w:hAnsi="Times New Roman" w:eastAsia="宋体" w:cs="Times New Roman"/>
                <w:color w:val="auto"/>
                <w:sz w:val="21"/>
                <w:szCs w:val="21"/>
                <w:highlight w:val="none"/>
              </w:rPr>
            </w:pPr>
          </w:p>
        </w:tc>
      </w:tr>
      <w:tr w14:paraId="7271AE8D">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tcBorders>
              <w:left w:val="single" w:color="231F20" w:sz="4" w:space="0"/>
            </w:tcBorders>
            <w:vAlign w:val="center"/>
          </w:tcPr>
          <w:p w14:paraId="69216C48">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用能区域（空间）变化</w:t>
            </w:r>
          </w:p>
        </w:tc>
        <w:tc>
          <w:tcPr>
            <w:tcW w:w="2028" w:type="pct"/>
            <w:vAlign w:val="center"/>
          </w:tcPr>
          <w:p w14:paraId="7594B3A0">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表具计量法或额定功率核算法</w:t>
            </w:r>
          </w:p>
        </w:tc>
        <w:tc>
          <w:tcPr>
            <w:tcW w:w="1305" w:type="pct"/>
            <w:vMerge w:val="continue"/>
            <w:tcBorders>
              <w:top w:val="nil"/>
              <w:bottom w:val="nil"/>
              <w:right w:val="single" w:color="231F20" w:sz="4" w:space="0"/>
            </w:tcBorders>
            <w:vAlign w:val="center"/>
          </w:tcPr>
          <w:p w14:paraId="2816FAE6">
            <w:pPr>
              <w:keepNext w:val="0"/>
              <w:keepLines w:val="0"/>
              <w:pageBreakBefore w:val="0"/>
              <w:widowControl w:val="0"/>
              <w:kinsoku/>
              <w:wordWrap/>
              <w:overflowPunct/>
              <w:topLinePunct w:val="0"/>
              <w:autoSpaceDE/>
              <w:autoSpaceDN/>
              <w:bidi w:val="0"/>
              <w:adjustRightInd w:val="0"/>
              <w:snapToGrid w:val="0"/>
              <w:spacing w:line="240" w:lineRule="auto"/>
              <w:ind w:left="13" w:right="0" w:firstLine="436"/>
              <w:jc w:val="center"/>
              <w:textAlignment w:val="auto"/>
              <w:rPr>
                <w:rFonts w:hint="default" w:ascii="Times New Roman" w:hAnsi="Times New Roman" w:eastAsia="宋体" w:cs="Times New Roman"/>
                <w:color w:val="auto"/>
                <w:sz w:val="21"/>
                <w:szCs w:val="21"/>
                <w:highlight w:val="none"/>
              </w:rPr>
            </w:pPr>
          </w:p>
        </w:tc>
      </w:tr>
      <w:tr w14:paraId="543264B1">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362" w:hRule="atLeast"/>
          <w:jc w:val="center"/>
        </w:trPr>
        <w:tc>
          <w:tcPr>
            <w:tcW w:w="1665" w:type="pct"/>
            <w:tcBorders>
              <w:left w:val="single" w:color="231F20" w:sz="4" w:space="0"/>
            </w:tcBorders>
            <w:vAlign w:val="center"/>
          </w:tcPr>
          <w:p w14:paraId="762CD105">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用能行为（时间）改变</w:t>
            </w:r>
          </w:p>
        </w:tc>
        <w:tc>
          <w:tcPr>
            <w:tcW w:w="2028" w:type="pct"/>
            <w:vAlign w:val="center"/>
          </w:tcPr>
          <w:p w14:paraId="14175D57">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表具计量法</w:t>
            </w:r>
          </w:p>
        </w:tc>
        <w:tc>
          <w:tcPr>
            <w:tcW w:w="1305" w:type="pct"/>
            <w:vMerge w:val="continue"/>
            <w:tcBorders>
              <w:top w:val="nil"/>
              <w:right w:val="single" w:color="231F20" w:sz="4" w:space="0"/>
            </w:tcBorders>
            <w:vAlign w:val="center"/>
          </w:tcPr>
          <w:p w14:paraId="4B2B8191">
            <w:pPr>
              <w:keepNext w:val="0"/>
              <w:keepLines w:val="0"/>
              <w:pageBreakBefore w:val="0"/>
              <w:widowControl w:val="0"/>
              <w:kinsoku/>
              <w:wordWrap/>
              <w:overflowPunct/>
              <w:topLinePunct w:val="0"/>
              <w:autoSpaceDE/>
              <w:autoSpaceDN/>
              <w:bidi w:val="0"/>
              <w:adjustRightInd w:val="0"/>
              <w:snapToGrid w:val="0"/>
              <w:spacing w:line="240" w:lineRule="auto"/>
              <w:ind w:left="13" w:right="0" w:firstLine="436"/>
              <w:jc w:val="center"/>
              <w:textAlignment w:val="auto"/>
              <w:rPr>
                <w:rFonts w:hint="default" w:ascii="Times New Roman" w:hAnsi="Times New Roman" w:eastAsia="宋体" w:cs="Times New Roman"/>
                <w:color w:val="auto"/>
                <w:sz w:val="21"/>
                <w:szCs w:val="21"/>
                <w:highlight w:val="none"/>
              </w:rPr>
            </w:pPr>
          </w:p>
        </w:tc>
      </w:tr>
      <w:tr w14:paraId="22BF10C7">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647" w:hRule="atLeast"/>
          <w:jc w:val="center"/>
        </w:trPr>
        <w:tc>
          <w:tcPr>
            <w:tcW w:w="1665" w:type="pct"/>
            <w:tcBorders>
              <w:left w:val="single" w:color="231F20" w:sz="4" w:space="0"/>
            </w:tcBorders>
            <w:vAlign w:val="center"/>
          </w:tcPr>
          <w:p w14:paraId="2895CDAC">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供能条件（极端气候、特殊用能需求等）改变</w:t>
            </w:r>
          </w:p>
        </w:tc>
        <w:tc>
          <w:tcPr>
            <w:tcW w:w="3334" w:type="pct"/>
            <w:gridSpan w:val="2"/>
            <w:tcBorders>
              <w:right w:val="single" w:color="231F20" w:sz="4" w:space="0"/>
            </w:tcBorders>
            <w:vAlign w:val="center"/>
          </w:tcPr>
          <w:p w14:paraId="1A6A1D81">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双方协商确定</w:t>
            </w:r>
          </w:p>
        </w:tc>
      </w:tr>
      <w:tr w14:paraId="551C7DCF">
        <w:tblPrEx>
          <w:tblBorders>
            <w:top w:val="single" w:color="231F20" w:sz="2" w:space="0"/>
            <w:left w:val="single" w:color="231F20" w:sz="2" w:space="0"/>
            <w:bottom w:val="single" w:color="231F20" w:sz="2" w:space="0"/>
            <w:right w:val="single" w:color="231F20" w:sz="2" w:space="0"/>
            <w:insideH w:val="single" w:color="231F20" w:sz="2" w:space="0"/>
            <w:insideV w:val="single" w:color="231F20" w:sz="2" w:space="0"/>
          </w:tblBorders>
          <w:tblCellMar>
            <w:top w:w="0" w:type="dxa"/>
            <w:left w:w="0" w:type="dxa"/>
            <w:bottom w:w="0" w:type="dxa"/>
            <w:right w:w="0" w:type="dxa"/>
          </w:tblCellMar>
        </w:tblPrEx>
        <w:trPr>
          <w:trHeight w:val="467" w:hRule="atLeast"/>
          <w:jc w:val="center"/>
        </w:trPr>
        <w:tc>
          <w:tcPr>
            <w:tcW w:w="1665" w:type="pct"/>
            <w:tcBorders>
              <w:left w:val="single" w:color="231F20" w:sz="4" w:space="0"/>
              <w:bottom w:val="single" w:color="231F20" w:sz="4" w:space="0"/>
            </w:tcBorders>
            <w:vAlign w:val="center"/>
          </w:tcPr>
          <w:p w14:paraId="4EC49ADF">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其他</w:t>
            </w:r>
          </w:p>
        </w:tc>
        <w:tc>
          <w:tcPr>
            <w:tcW w:w="3334" w:type="pct"/>
            <w:gridSpan w:val="2"/>
            <w:tcBorders>
              <w:bottom w:val="single" w:color="231F20" w:sz="4" w:space="0"/>
              <w:right w:val="single" w:color="231F20" w:sz="4" w:space="0"/>
            </w:tcBorders>
            <w:vAlign w:val="center"/>
          </w:tcPr>
          <w:p w14:paraId="1DFE5045">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双方协商确定</w:t>
            </w:r>
          </w:p>
        </w:tc>
      </w:tr>
    </w:tbl>
    <w:p w14:paraId="327B0F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9.3</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上述能源托管费用由乙方包干使用，通过能源系统管理运营节约的能源费用作为乙方的合理利润。</w:t>
      </w:r>
    </w:p>
    <w:p w14:paraId="221102BF">
      <w:pPr>
        <w:pStyle w:val="1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color w:val="auto"/>
          <w:sz w:val="24"/>
          <w:szCs w:val="24"/>
          <w:highlight w:val="none"/>
          <w:u w:val="none"/>
        </w:rPr>
      </w:pPr>
      <w:r>
        <w:rPr>
          <w:rFonts w:hint="eastAsia" w:ascii="Times New Roman" w:hAnsi="Times New Roman" w:eastAsia="宋体" w:cs="Times New Roman"/>
          <w:color w:val="auto"/>
          <w:sz w:val="24"/>
          <w:szCs w:val="24"/>
          <w:highlight w:val="none"/>
          <w:lang w:val="en-US" w:eastAsia="zh-CN"/>
        </w:rPr>
        <w:t>9.4</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u w:val="none"/>
        </w:rPr>
        <w:t>托管范围内已通过第三方售电公司开展售电业务的被托管单位，维持原有售电模式及合同关系不变，</w:t>
      </w:r>
      <w:r>
        <w:rPr>
          <w:rFonts w:hint="eastAsia" w:cs="Times New Roman"/>
          <w:color w:val="auto"/>
          <w:sz w:val="24"/>
          <w:szCs w:val="24"/>
          <w:highlight w:val="none"/>
          <w:u w:val="none"/>
          <w:lang w:val="en-US" w:eastAsia="zh-CN"/>
        </w:rPr>
        <w:t>乙方</w:t>
      </w:r>
      <w:r>
        <w:rPr>
          <w:rFonts w:hint="default" w:ascii="Times New Roman" w:hAnsi="Times New Roman" w:eastAsia="宋体" w:cs="Times New Roman"/>
          <w:color w:val="auto"/>
          <w:sz w:val="24"/>
          <w:szCs w:val="24"/>
          <w:highlight w:val="none"/>
          <w:u w:val="none"/>
        </w:rPr>
        <w:t>不得强制变更。托管范围内尚未开展售电业务的被托管单位，在正式进入托管期后，如提出采用市场化售电模式的，</w:t>
      </w:r>
      <w:r>
        <w:rPr>
          <w:rFonts w:hint="eastAsia" w:cs="Times New Roman"/>
          <w:color w:val="auto"/>
          <w:sz w:val="24"/>
          <w:szCs w:val="24"/>
          <w:highlight w:val="none"/>
          <w:u w:val="none"/>
          <w:lang w:val="en-US" w:eastAsia="zh-CN"/>
        </w:rPr>
        <w:t>乙方</w:t>
      </w:r>
      <w:r>
        <w:rPr>
          <w:rFonts w:hint="default" w:ascii="Times New Roman" w:hAnsi="Times New Roman" w:eastAsia="宋体" w:cs="Times New Roman"/>
          <w:color w:val="auto"/>
          <w:sz w:val="24"/>
          <w:szCs w:val="24"/>
          <w:highlight w:val="none"/>
          <w:u w:val="none"/>
        </w:rPr>
        <w:t>应积极配合并协助其与售电公司签订售电协议，相关协助工作不得另行收费。</w:t>
      </w:r>
    </w:p>
    <w:p w14:paraId="164C3529">
      <w:pPr>
        <w:pStyle w:val="16"/>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rPr>
        <w:t>本项目市场化购电服务允许分包，但</w:t>
      </w:r>
      <w:r>
        <w:rPr>
          <w:rFonts w:hint="eastAsia" w:cs="Times New Roman"/>
          <w:color w:val="auto"/>
          <w:sz w:val="24"/>
          <w:szCs w:val="24"/>
          <w:highlight w:val="none"/>
          <w:u w:val="none"/>
          <w:lang w:val="en-US" w:eastAsia="zh-CN"/>
        </w:rPr>
        <w:t>乙方</w:t>
      </w:r>
      <w:r>
        <w:rPr>
          <w:rFonts w:hint="default" w:ascii="Times New Roman" w:hAnsi="Times New Roman" w:eastAsia="宋体" w:cs="Times New Roman"/>
          <w:color w:val="auto"/>
          <w:sz w:val="24"/>
          <w:szCs w:val="24"/>
          <w:highlight w:val="none"/>
          <w:u w:val="none"/>
        </w:rPr>
        <w:t>不得将上述服务整体转包。分包前，</w:t>
      </w:r>
      <w:r>
        <w:rPr>
          <w:rFonts w:hint="eastAsia" w:cs="Times New Roman"/>
          <w:color w:val="auto"/>
          <w:sz w:val="24"/>
          <w:szCs w:val="24"/>
          <w:highlight w:val="none"/>
          <w:u w:val="none"/>
          <w:lang w:val="en-US" w:eastAsia="zh-CN"/>
        </w:rPr>
        <w:t>乙方</w:t>
      </w:r>
      <w:r>
        <w:rPr>
          <w:rFonts w:hint="default" w:ascii="Times New Roman" w:hAnsi="Times New Roman" w:eastAsia="宋体" w:cs="Times New Roman"/>
          <w:color w:val="auto"/>
          <w:sz w:val="24"/>
          <w:szCs w:val="24"/>
          <w:highlight w:val="none"/>
          <w:u w:val="none"/>
        </w:rPr>
        <w:t>应将拟分包单位的相关资质材料报</w:t>
      </w:r>
      <w:r>
        <w:rPr>
          <w:rFonts w:hint="eastAsia" w:cs="Times New Roman"/>
          <w:color w:val="auto"/>
          <w:sz w:val="24"/>
          <w:szCs w:val="24"/>
          <w:highlight w:val="none"/>
          <w:u w:val="none"/>
          <w:lang w:val="en-US" w:eastAsia="zh-CN"/>
        </w:rPr>
        <w:t>甲方</w:t>
      </w:r>
      <w:r>
        <w:rPr>
          <w:rFonts w:hint="default" w:ascii="Times New Roman" w:hAnsi="Times New Roman" w:eastAsia="宋体" w:cs="Times New Roman"/>
          <w:color w:val="auto"/>
          <w:sz w:val="24"/>
          <w:szCs w:val="24"/>
          <w:highlight w:val="none"/>
          <w:u w:val="none"/>
        </w:rPr>
        <w:t>或被托管单位备案。承接本项目市场化售电服务的单位，须为在江苏省电力交易中心公布的售电公司目录内完成注册及备案、具备相应电力交易资格的售电公司。</w:t>
      </w:r>
      <w:r>
        <w:rPr>
          <w:rFonts w:hint="eastAsia" w:cs="Times New Roman"/>
          <w:color w:val="auto"/>
          <w:sz w:val="24"/>
          <w:szCs w:val="24"/>
          <w:highlight w:val="none"/>
          <w:u w:val="none"/>
          <w:lang w:val="en-US" w:eastAsia="zh-CN"/>
        </w:rPr>
        <w:t>乙方</w:t>
      </w:r>
      <w:r>
        <w:rPr>
          <w:rFonts w:hint="default" w:ascii="Times New Roman" w:hAnsi="Times New Roman" w:eastAsia="宋体" w:cs="Times New Roman"/>
          <w:color w:val="auto"/>
          <w:sz w:val="24"/>
          <w:szCs w:val="24"/>
          <w:highlight w:val="none"/>
          <w:u w:val="none"/>
        </w:rPr>
        <w:t>应在</w:t>
      </w:r>
      <w:r>
        <w:rPr>
          <w:rFonts w:hint="eastAsia" w:cs="Times New Roman"/>
          <w:color w:val="auto"/>
          <w:sz w:val="24"/>
          <w:szCs w:val="24"/>
          <w:highlight w:val="none"/>
          <w:u w:val="none"/>
          <w:lang w:val="en-US" w:eastAsia="zh-CN"/>
        </w:rPr>
        <w:t>签订合同</w:t>
      </w:r>
      <w:r>
        <w:rPr>
          <w:rFonts w:hint="default" w:ascii="Times New Roman" w:hAnsi="Times New Roman" w:eastAsia="宋体" w:cs="Times New Roman"/>
          <w:color w:val="auto"/>
          <w:sz w:val="24"/>
          <w:szCs w:val="24"/>
          <w:highlight w:val="none"/>
          <w:u w:val="none"/>
        </w:rPr>
        <w:t>时提供由其拟定的售电服务承接方出具的承诺函（格式自拟），承诺内容应至少包括：具备合法有效交易资格、不再次转包、严格执行江苏电力市场相关规则及本协议约定。</w:t>
      </w:r>
    </w:p>
    <w:p w14:paraId="726F7F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none"/>
        </w:rPr>
      </w:pPr>
      <w:r>
        <w:rPr>
          <w:rFonts w:hint="default" w:ascii="Times New Roman" w:hAnsi="Times New Roman" w:eastAsia="宋体" w:cs="Times New Roman"/>
          <w:color w:val="auto"/>
          <w:sz w:val="24"/>
          <w:szCs w:val="24"/>
          <w:highlight w:val="none"/>
          <w:u w:val="none"/>
        </w:rPr>
        <w:t>因市场化售电产生的收益（含价差收益、红利及其他相关收益），由</w:t>
      </w:r>
      <w:r>
        <w:rPr>
          <w:rFonts w:hint="eastAsia" w:cs="Times New Roman"/>
          <w:color w:val="auto"/>
          <w:sz w:val="24"/>
          <w:szCs w:val="24"/>
          <w:highlight w:val="none"/>
          <w:u w:val="none"/>
          <w:lang w:val="en-US" w:eastAsia="zh-CN"/>
        </w:rPr>
        <w:t>乙方</w:t>
      </w:r>
      <w:r>
        <w:rPr>
          <w:rFonts w:hint="default" w:ascii="Times New Roman" w:hAnsi="Times New Roman" w:eastAsia="宋体" w:cs="Times New Roman"/>
          <w:color w:val="auto"/>
          <w:sz w:val="24"/>
          <w:szCs w:val="24"/>
          <w:highlight w:val="none"/>
          <w:u w:val="none"/>
        </w:rPr>
        <w:t>与被托管单位另行协商确定分配比例及结算方式，并在双方书面确认后执行；未达成书面一致的，不得擅自从被托管单位电费账户中扣划。</w:t>
      </w:r>
    </w:p>
    <w:p w14:paraId="1F121CF9">
      <w:pPr>
        <w:keepNext w:val="0"/>
        <w:keepLines w:val="0"/>
        <w:pageBreakBefore w:val="0"/>
        <w:widowControl w:val="0"/>
        <w:tabs>
          <w:tab w:val="left" w:pos="420"/>
        </w:tabs>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 w:val="0"/>
          <w:bCs/>
          <w:color w:val="auto"/>
          <w:sz w:val="24"/>
          <w:szCs w:val="24"/>
          <w:highlight w:val="none"/>
          <w:u w:val="none"/>
        </w:rPr>
      </w:pPr>
      <w:r>
        <w:rPr>
          <w:rFonts w:hint="eastAsia" w:ascii="Times New Roman" w:hAnsi="Times New Roman" w:eastAsia="宋体" w:cs="Times New Roman"/>
          <w:b w:val="0"/>
          <w:bCs/>
          <w:color w:val="auto"/>
          <w:sz w:val="24"/>
          <w:szCs w:val="24"/>
          <w:highlight w:val="none"/>
          <w:u w:val="none"/>
          <w:lang w:val="en-US" w:eastAsia="zh-CN"/>
        </w:rPr>
        <w:t xml:space="preserve">9.5 </w:t>
      </w:r>
      <w:r>
        <w:rPr>
          <w:rFonts w:hint="default" w:ascii="Times New Roman" w:hAnsi="Times New Roman" w:eastAsia="宋体" w:cs="Times New Roman"/>
          <w:b w:val="0"/>
          <w:bCs/>
          <w:color w:val="auto"/>
          <w:sz w:val="24"/>
          <w:szCs w:val="24"/>
          <w:highlight w:val="none"/>
          <w:u w:val="none"/>
        </w:rPr>
        <w:t>正式进入托管期后，由能源托管产生的碳资产收益</w:t>
      </w:r>
      <w:r>
        <w:rPr>
          <w:rFonts w:hint="eastAsia" w:ascii="Times New Roman" w:hAnsi="Times New Roman" w:eastAsia="宋体" w:cs="Times New Roman"/>
          <w:b w:val="0"/>
          <w:bCs/>
          <w:color w:val="auto"/>
          <w:sz w:val="24"/>
          <w:szCs w:val="24"/>
          <w:highlight w:val="none"/>
          <w:u w:val="none"/>
          <w:lang w:eastAsia="zh-CN"/>
        </w:rPr>
        <w:t>，</w:t>
      </w:r>
      <w:r>
        <w:rPr>
          <w:rFonts w:hint="default" w:ascii="Times New Roman" w:hAnsi="Times New Roman" w:eastAsia="宋体" w:cs="Times New Roman"/>
          <w:b w:val="0"/>
          <w:bCs/>
          <w:color w:val="auto"/>
          <w:sz w:val="24"/>
          <w:szCs w:val="24"/>
          <w:highlight w:val="none"/>
          <w:u w:val="none"/>
        </w:rPr>
        <w:t>应挑选合适的场景，乙方邀请认证机构进行碳审核、碳减排的认证服务，碳资产收益由乙方与被托管单位按照3:7（即30%：70%）比例分摊，上述70%的收益部分资金</w:t>
      </w:r>
      <w:r>
        <w:rPr>
          <w:rFonts w:hint="eastAsia" w:ascii="Times New Roman" w:hAnsi="Times New Roman" w:eastAsia="宋体" w:cs="Times New Roman"/>
          <w:b w:val="0"/>
          <w:bCs/>
          <w:color w:val="auto"/>
          <w:sz w:val="24"/>
          <w:szCs w:val="24"/>
          <w:highlight w:val="none"/>
          <w:u w:val="none"/>
          <w:lang w:val="en-US" w:eastAsia="zh-CN"/>
        </w:rPr>
        <w:t>全部上缴至泰州市财政局专用账户</w:t>
      </w:r>
      <w:r>
        <w:rPr>
          <w:rFonts w:hint="default" w:ascii="Times New Roman" w:hAnsi="Times New Roman" w:eastAsia="宋体" w:cs="Times New Roman"/>
          <w:b w:val="0"/>
          <w:bCs/>
          <w:color w:val="auto"/>
          <w:sz w:val="24"/>
          <w:szCs w:val="24"/>
          <w:highlight w:val="none"/>
          <w:u w:val="none"/>
        </w:rPr>
        <w:t>。</w:t>
      </w:r>
    </w:p>
    <w:p w14:paraId="790CC7E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第十条  托管费用的调整和调节</w:t>
      </w:r>
    </w:p>
    <w:p w14:paraId="7A5E25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10.1 托管期间，若发生用能设备的增减、用能人数增减、用能区域搬迁变化、能源价格调整、用能行为改变、极端气候以及其他致使用能边界发生变化的情况，双方需对能源托管费用基数进行调整，调整约定如下：</w:t>
      </w:r>
    </w:p>
    <w:p w14:paraId="08C674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（1）调整方式：若用能区域搬迁变化，搬迁单位搬迁</w:t>
      </w:r>
      <w:r>
        <w:rPr>
          <w:rFonts w:hint="eastAsia" w:ascii="Times New Roman" w:hAnsi="Times New Roman" w:eastAsia="宋体" w:cs="Times New Roman"/>
          <w:color w:val="auto"/>
          <w:sz w:val="24"/>
          <w:szCs w:val="24"/>
          <w:highlight w:val="none"/>
          <w:lang w:val="en-US" w:eastAsia="zh-CN"/>
        </w:rPr>
        <w:t>稳定</w:t>
      </w:r>
      <w:r>
        <w:rPr>
          <w:rFonts w:hint="default" w:ascii="Times New Roman" w:hAnsi="Times New Roman" w:eastAsia="宋体" w:cs="Times New Roman"/>
          <w:color w:val="auto"/>
          <w:sz w:val="24"/>
          <w:szCs w:val="24"/>
          <w:highlight w:val="none"/>
        </w:rPr>
        <w:t>运营一年后</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lang w:val="en-US" w:eastAsia="zh-CN"/>
        </w:rPr>
        <w:t>由甲方委托第三方单位进行新地址的能源资源基准值核定，</w:t>
      </w:r>
      <w:r>
        <w:rPr>
          <w:rFonts w:hint="default" w:ascii="Times New Roman" w:hAnsi="Times New Roman" w:eastAsia="宋体" w:cs="Times New Roman"/>
          <w:color w:val="auto"/>
          <w:sz w:val="24"/>
          <w:szCs w:val="24"/>
          <w:highlight w:val="none"/>
        </w:rPr>
        <w:t xml:space="preserve">作为该单位后续托管费用的能源基数值。其余情况由甲乙双方协商确定，或聘请第三方机构进行核定，第三方核定费用由 </w:t>
      </w:r>
      <w:r>
        <w:rPr>
          <w:rFonts w:hint="default" w:ascii="Times New Roman" w:hAnsi="Times New Roman" w:eastAsia="宋体" w:cs="Times New Roman"/>
          <w:color w:val="auto"/>
          <w:sz w:val="24"/>
          <w:szCs w:val="24"/>
          <w:highlight w:val="none"/>
          <w:u w:val="single"/>
        </w:rPr>
        <w:t>乙方</w:t>
      </w:r>
      <w:r>
        <w:rPr>
          <w:rFonts w:hint="default" w:ascii="Times New Roman" w:hAnsi="Times New Roman" w:eastAsia="宋体" w:cs="Times New Roman"/>
          <w:color w:val="auto"/>
          <w:sz w:val="24"/>
          <w:szCs w:val="24"/>
          <w:highlight w:val="none"/>
        </w:rPr>
        <w:t>支付。</w:t>
      </w:r>
    </w:p>
    <w:p w14:paraId="4068157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（2）调整周期：双方应依据协商确定或第三方机构核定的调整量签订补充协议，在每个托管年度结算期满后的</w:t>
      </w:r>
      <w:r>
        <w:rPr>
          <w:rFonts w:hint="default" w:ascii="Times New Roman" w:hAnsi="Times New Roman" w:eastAsia="宋体" w:cs="Times New Roman"/>
          <w:color w:val="auto"/>
          <w:sz w:val="24"/>
          <w:szCs w:val="24"/>
          <w:highlight w:val="none"/>
          <w:u w:val="single"/>
        </w:rPr>
        <w:t xml:space="preserve">  30  </w:t>
      </w:r>
      <w:r>
        <w:rPr>
          <w:rFonts w:hint="default" w:ascii="Times New Roman" w:hAnsi="Times New Roman" w:eastAsia="宋体" w:cs="Times New Roman"/>
          <w:color w:val="auto"/>
          <w:sz w:val="24"/>
          <w:szCs w:val="24"/>
          <w:highlight w:val="none"/>
        </w:rPr>
        <w:t>天内一次性结清。</w:t>
      </w:r>
    </w:p>
    <w:p w14:paraId="740C8D9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10.2 甲方的用能设备和其他用能项的增加或减少，应当通知乙方。甲、乙双方应当对增加或减少的设备和其他用能项予以书面确认。其他用能项包括但不限于用能建筑面积、用能时间、用能人员等。</w:t>
      </w:r>
    </w:p>
    <w:p w14:paraId="20A08A0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因用能设备和其他用能项的增减，应当调整基准能耗，并相应地据实增减能源托管费用基数。本项目调整方式为托管期间，甲方应及时告知乙方用能设备增减情况（设备更新情况统计可参考下表），并为乙方定期巡查设备更新提供便利。</w:t>
      </w:r>
    </w:p>
    <w:p w14:paraId="49DC4D5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用能设备增减情况统计表（   年  月— 年  月）</w:t>
      </w:r>
    </w:p>
    <w:tbl>
      <w:tblPr>
        <w:tblStyle w:val="5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8"/>
        <w:gridCol w:w="847"/>
        <w:gridCol w:w="755"/>
        <w:gridCol w:w="1079"/>
        <w:gridCol w:w="1324"/>
        <w:gridCol w:w="1032"/>
        <w:gridCol w:w="847"/>
        <w:gridCol w:w="728"/>
        <w:gridCol w:w="1468"/>
        <w:gridCol w:w="966"/>
      </w:tblGrid>
      <w:tr w14:paraId="4B0DD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349" w:type="pct"/>
            <w:vAlign w:val="center"/>
          </w:tcPr>
          <w:p w14:paraId="238EF2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序号</w:t>
            </w:r>
          </w:p>
        </w:tc>
        <w:tc>
          <w:tcPr>
            <w:tcW w:w="435" w:type="pct"/>
            <w:vAlign w:val="center"/>
          </w:tcPr>
          <w:p w14:paraId="3DF2073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设备名称</w:t>
            </w:r>
          </w:p>
        </w:tc>
        <w:tc>
          <w:tcPr>
            <w:tcW w:w="388" w:type="pct"/>
            <w:vAlign w:val="center"/>
          </w:tcPr>
          <w:p w14:paraId="090C301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使用部门</w:t>
            </w:r>
          </w:p>
        </w:tc>
        <w:tc>
          <w:tcPr>
            <w:tcW w:w="554" w:type="pct"/>
            <w:vAlign w:val="center"/>
          </w:tcPr>
          <w:p w14:paraId="339C90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设备型号</w:t>
            </w:r>
          </w:p>
        </w:tc>
        <w:tc>
          <w:tcPr>
            <w:tcW w:w="680" w:type="pct"/>
            <w:vAlign w:val="center"/>
          </w:tcPr>
          <w:p w14:paraId="3F53C7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设备</w:t>
            </w:r>
          </w:p>
          <w:p w14:paraId="185421A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功率（kW）</w:t>
            </w:r>
          </w:p>
        </w:tc>
        <w:tc>
          <w:tcPr>
            <w:tcW w:w="530" w:type="pct"/>
            <w:vAlign w:val="center"/>
          </w:tcPr>
          <w:p w14:paraId="4C22A1E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数量</w:t>
            </w:r>
          </w:p>
          <w:p w14:paraId="6E9C07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（台）</w:t>
            </w:r>
          </w:p>
        </w:tc>
        <w:tc>
          <w:tcPr>
            <w:tcW w:w="435" w:type="pct"/>
            <w:vAlign w:val="center"/>
          </w:tcPr>
          <w:p w14:paraId="72E88CB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投用时间</w:t>
            </w:r>
          </w:p>
        </w:tc>
        <w:tc>
          <w:tcPr>
            <w:tcW w:w="374" w:type="pct"/>
            <w:vAlign w:val="center"/>
          </w:tcPr>
          <w:p w14:paraId="5E6A90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弃用时间</w:t>
            </w:r>
          </w:p>
        </w:tc>
        <w:tc>
          <w:tcPr>
            <w:tcW w:w="754" w:type="pct"/>
            <w:vAlign w:val="center"/>
          </w:tcPr>
          <w:p w14:paraId="363B7D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每日</w:t>
            </w:r>
          </w:p>
          <w:p w14:paraId="2417E37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使用</w:t>
            </w:r>
          </w:p>
          <w:p w14:paraId="392571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时长（h）</w:t>
            </w:r>
          </w:p>
        </w:tc>
        <w:tc>
          <w:tcPr>
            <w:tcW w:w="496" w:type="pct"/>
            <w:vAlign w:val="center"/>
          </w:tcPr>
          <w:p w14:paraId="41833A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使用</w:t>
            </w:r>
          </w:p>
          <w:p w14:paraId="460B04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天数</w:t>
            </w:r>
          </w:p>
          <w:p w14:paraId="6C927E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（天）</w:t>
            </w:r>
          </w:p>
        </w:tc>
      </w:tr>
      <w:tr w14:paraId="144A5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 w:type="pct"/>
            <w:vAlign w:val="center"/>
          </w:tcPr>
          <w:p w14:paraId="6CBC71A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435" w:type="pct"/>
            <w:vAlign w:val="center"/>
          </w:tcPr>
          <w:p w14:paraId="146080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Align w:val="center"/>
          </w:tcPr>
          <w:p w14:paraId="553981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54" w:type="pct"/>
            <w:vAlign w:val="center"/>
          </w:tcPr>
          <w:p w14:paraId="1A2BD2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80" w:type="pct"/>
            <w:vAlign w:val="center"/>
          </w:tcPr>
          <w:p w14:paraId="1E3AD8E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30" w:type="pct"/>
            <w:vAlign w:val="center"/>
          </w:tcPr>
          <w:p w14:paraId="52A0CF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35" w:type="pct"/>
            <w:vAlign w:val="center"/>
          </w:tcPr>
          <w:p w14:paraId="7E4215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74" w:type="pct"/>
            <w:vAlign w:val="center"/>
          </w:tcPr>
          <w:p w14:paraId="4830B9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4" w:type="pct"/>
            <w:vAlign w:val="center"/>
          </w:tcPr>
          <w:p w14:paraId="1055A7C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96" w:type="pct"/>
            <w:vAlign w:val="center"/>
          </w:tcPr>
          <w:p w14:paraId="411316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r w14:paraId="6427B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49" w:type="pct"/>
            <w:vAlign w:val="center"/>
          </w:tcPr>
          <w:p w14:paraId="03963FA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435" w:type="pct"/>
            <w:vAlign w:val="center"/>
          </w:tcPr>
          <w:p w14:paraId="3614B4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88" w:type="pct"/>
            <w:vAlign w:val="center"/>
          </w:tcPr>
          <w:p w14:paraId="535E3D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54" w:type="pct"/>
            <w:vAlign w:val="center"/>
          </w:tcPr>
          <w:p w14:paraId="61744D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680" w:type="pct"/>
            <w:vAlign w:val="center"/>
          </w:tcPr>
          <w:p w14:paraId="45D9F49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530" w:type="pct"/>
            <w:vAlign w:val="center"/>
          </w:tcPr>
          <w:p w14:paraId="5588F8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35" w:type="pct"/>
            <w:vAlign w:val="center"/>
          </w:tcPr>
          <w:p w14:paraId="02A027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374" w:type="pct"/>
            <w:vAlign w:val="center"/>
          </w:tcPr>
          <w:p w14:paraId="5507A10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754" w:type="pct"/>
            <w:vAlign w:val="center"/>
          </w:tcPr>
          <w:p w14:paraId="20BA3C7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496" w:type="pct"/>
            <w:vAlign w:val="center"/>
          </w:tcPr>
          <w:p w14:paraId="23ADF8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r>
    </w:tbl>
    <w:p w14:paraId="623F545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项目托管后，如发生用能设备功率增、减</w:t>
      </w:r>
      <w:r>
        <w:rPr>
          <w:rFonts w:hint="default" w:ascii="Times New Roman" w:hAnsi="Times New Roman" w:eastAsia="宋体" w:cs="Times New Roman"/>
          <w:color w:val="auto"/>
          <w:sz w:val="24"/>
          <w:szCs w:val="24"/>
          <w:highlight w:val="none"/>
          <w:lang w:val="en-US" w:eastAsia="zh-CN"/>
        </w:rPr>
        <w:t>大于</w:t>
      </w:r>
      <w:r>
        <w:rPr>
          <w:rFonts w:hint="default" w:ascii="Times New Roman" w:hAnsi="Times New Roman" w:eastAsia="宋体" w:cs="Times New Roman"/>
          <w:color w:val="auto"/>
          <w:sz w:val="24"/>
          <w:szCs w:val="24"/>
          <w:highlight w:val="none"/>
        </w:rPr>
        <w:t xml:space="preserve"> 10 kW时，甲乙双方应调整能源费用托管基数，按照【增减设备功率×用能时间】计算增减总能耗，按照【增减总能耗×能源单价】调整能源费用基数。</w:t>
      </w:r>
    </w:p>
    <w:p w14:paraId="329441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10.3 甲方的用能人数的增加或减少，应当通知乙方。如办公/常驻人员增、减20人及以上，则按照【年基准能耗/原有用能人数】计算年人均能耗，按照【增减人数×年人均能耗】计算增减总能耗，按照【增减总能耗×能源单价】调整能源费用基数。</w:t>
      </w:r>
    </w:p>
    <w:p w14:paraId="7CB258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10.4 项目托管期间，因建筑改扩建增加的临时用能能耗需单独计量；新增用能区域的能耗需单独计量；如用能区域建筑功能发生改变，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p>
    <w:p w14:paraId="610C18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10.5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p>
    <w:p w14:paraId="2816E0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u w:val="single"/>
        </w:rPr>
        <w:t xml:space="preserve">10.6 </w:t>
      </w:r>
      <w:r>
        <w:rPr>
          <w:rFonts w:hint="default" w:ascii="Times New Roman" w:hAnsi="Times New Roman" w:eastAsia="宋体" w:cs="Times New Roman"/>
          <w:bCs/>
          <w:color w:val="auto"/>
          <w:sz w:val="24"/>
          <w:szCs w:val="24"/>
          <w:highlight w:val="none"/>
          <w:u w:val="single"/>
        </w:rPr>
        <w:t>若托管期内能源资源单价与电费基准单价（12家市级公共机构分户</w:t>
      </w:r>
      <w:r>
        <w:rPr>
          <w:rFonts w:hint="default" w:ascii="Times New Roman" w:hAnsi="Times New Roman" w:eastAsia="宋体" w:cs="Times New Roman"/>
          <w:bCs/>
          <w:color w:val="auto"/>
          <w:sz w:val="24"/>
          <w:szCs w:val="24"/>
          <w:highlight w:val="none"/>
          <w:u w:val="single"/>
          <w:lang w:val="en-US" w:eastAsia="zh-CN"/>
        </w:rPr>
        <w:t>基准</w:t>
      </w:r>
      <w:r>
        <w:rPr>
          <w:rFonts w:hint="default" w:ascii="Times New Roman" w:hAnsi="Times New Roman" w:eastAsia="宋体" w:cs="Times New Roman"/>
          <w:bCs/>
          <w:color w:val="auto"/>
          <w:sz w:val="24"/>
          <w:szCs w:val="24"/>
          <w:highlight w:val="none"/>
          <w:u w:val="single"/>
        </w:rPr>
        <w:t>单价），自来水费基准单价（12家市级公共机构分户</w:t>
      </w:r>
      <w:r>
        <w:rPr>
          <w:rFonts w:hint="default" w:ascii="Times New Roman" w:hAnsi="Times New Roman" w:eastAsia="宋体" w:cs="Times New Roman"/>
          <w:bCs/>
          <w:color w:val="auto"/>
          <w:sz w:val="24"/>
          <w:szCs w:val="24"/>
          <w:highlight w:val="none"/>
          <w:u w:val="single"/>
          <w:lang w:val="en-US" w:eastAsia="zh-CN"/>
        </w:rPr>
        <w:t>基准</w:t>
      </w:r>
      <w:r>
        <w:rPr>
          <w:rFonts w:hint="default" w:ascii="Times New Roman" w:hAnsi="Times New Roman" w:eastAsia="宋体" w:cs="Times New Roman"/>
          <w:bCs/>
          <w:color w:val="auto"/>
          <w:sz w:val="24"/>
          <w:szCs w:val="24"/>
          <w:highlight w:val="none"/>
          <w:u w:val="single"/>
        </w:rPr>
        <w:t>单价），天然气费基准单价（12家市级公共机构分户</w:t>
      </w:r>
      <w:r>
        <w:rPr>
          <w:rFonts w:hint="default" w:ascii="Times New Roman" w:hAnsi="Times New Roman" w:eastAsia="宋体" w:cs="Times New Roman"/>
          <w:bCs/>
          <w:color w:val="auto"/>
          <w:sz w:val="24"/>
          <w:szCs w:val="24"/>
          <w:highlight w:val="none"/>
          <w:u w:val="single"/>
          <w:lang w:val="en-US" w:eastAsia="zh-CN"/>
        </w:rPr>
        <w:t>基准</w:t>
      </w:r>
      <w:r>
        <w:rPr>
          <w:rFonts w:hint="default" w:ascii="Times New Roman" w:hAnsi="Times New Roman" w:eastAsia="宋体" w:cs="Times New Roman"/>
          <w:bCs/>
          <w:color w:val="auto"/>
          <w:sz w:val="24"/>
          <w:szCs w:val="24"/>
          <w:highlight w:val="none"/>
          <w:u w:val="single"/>
        </w:rPr>
        <w:t>单价），热力费基准单价（12家市级公共机构分户</w:t>
      </w:r>
      <w:r>
        <w:rPr>
          <w:rFonts w:hint="default" w:ascii="Times New Roman" w:hAnsi="Times New Roman" w:eastAsia="宋体" w:cs="Times New Roman"/>
          <w:bCs/>
          <w:color w:val="auto"/>
          <w:sz w:val="24"/>
          <w:szCs w:val="24"/>
          <w:highlight w:val="none"/>
          <w:u w:val="single"/>
          <w:lang w:val="en-US" w:eastAsia="zh-CN"/>
        </w:rPr>
        <w:t>基准</w:t>
      </w:r>
      <w:r>
        <w:rPr>
          <w:rFonts w:hint="default" w:ascii="Times New Roman" w:hAnsi="Times New Roman" w:eastAsia="宋体" w:cs="Times New Roman"/>
          <w:bCs/>
          <w:color w:val="auto"/>
          <w:sz w:val="24"/>
          <w:szCs w:val="24"/>
          <w:highlight w:val="none"/>
          <w:u w:val="single"/>
        </w:rPr>
        <w:t>单价）发生变化，单价波动大于±</w:t>
      </w:r>
      <w:r>
        <w:rPr>
          <w:rFonts w:hint="default" w:ascii="Times New Roman" w:hAnsi="Times New Roman" w:eastAsia="宋体" w:cs="Times New Roman"/>
          <w:bCs/>
          <w:color w:val="auto"/>
          <w:sz w:val="24"/>
          <w:szCs w:val="24"/>
          <w:highlight w:val="none"/>
          <w:u w:val="single"/>
          <w:lang w:val="en-US" w:eastAsia="zh-CN"/>
        </w:rPr>
        <w:t>3</w:t>
      </w:r>
      <w:r>
        <w:rPr>
          <w:rFonts w:hint="default" w:ascii="Times New Roman" w:hAnsi="Times New Roman" w:eastAsia="宋体" w:cs="Times New Roman"/>
          <w:bCs/>
          <w:color w:val="auto"/>
          <w:sz w:val="24"/>
          <w:szCs w:val="24"/>
          <w:highlight w:val="none"/>
          <w:u w:val="single"/>
        </w:rPr>
        <w:t>%时，双方应按能源资源费用价格调整比例同步调整能源托管费用。调整的时间为价格调整后的同步时间。</w:t>
      </w:r>
      <w:r>
        <w:rPr>
          <w:rFonts w:hint="default" w:ascii="Times New Roman" w:hAnsi="Times New Roman" w:eastAsia="宋体" w:cs="Times New Roman"/>
          <w:color w:val="auto"/>
          <w:sz w:val="24"/>
          <w:szCs w:val="24"/>
          <w:highlight w:val="none"/>
          <w:u w:val="single"/>
        </w:rPr>
        <w:t>以项目基准能源单价为参考，能源价格上涨时，按照【上涨月能源用量×（上涨月能源单价-基准单价）】计算甲方补偿乙方费用；能源价格下降时，按照【下降月能源用量×（基准单价-下降月能源单价）计算乙方退还甲方费用。</w:t>
      </w:r>
    </w:p>
    <w:p w14:paraId="1B63FB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none"/>
          <w:lang w:val="en-US" w:eastAsia="zh-CN"/>
        </w:rPr>
      </w:pPr>
      <w:r>
        <w:rPr>
          <w:rFonts w:hint="eastAsia" w:ascii="Times New Roman" w:hAnsi="Times New Roman" w:eastAsia="宋体" w:cs="Times New Roman"/>
          <w:color w:val="auto"/>
          <w:sz w:val="24"/>
          <w:szCs w:val="24"/>
          <w:highlight w:val="none"/>
          <w:u w:val="none"/>
          <w:lang w:val="en-US" w:eastAsia="zh-CN"/>
        </w:rPr>
        <w:t>10.7 本合同托管费用总金额低于招标预算金额的，各被托管单位每月支付的托管费用按同比例核减，计算公式为：月实付金额=月应付金额×（合同托管费总额÷招标预算总额），合同期内新增被托管单位按同等比例执行。</w:t>
      </w:r>
    </w:p>
    <w:p w14:paraId="10A2B0A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第十一条  改造相关要求</w:t>
      </w:r>
    </w:p>
    <w:p w14:paraId="4C5EF69D">
      <w:pPr>
        <w:widowControl/>
        <w:tabs>
          <w:tab w:val="left" w:pos="420"/>
        </w:tabs>
        <w:adjustRightInd w:val="0"/>
        <w:snapToGrid w:val="0"/>
        <w:spacing w:line="360" w:lineRule="auto"/>
        <w:ind w:firstLine="482" w:firstLineChars="200"/>
        <w:outlineLvl w:val="2"/>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（一）技术要求</w:t>
      </w:r>
    </w:p>
    <w:p w14:paraId="7227D4FA">
      <w:pPr>
        <w:adjustRightInd w:val="0"/>
        <w:snapToGrid w:val="0"/>
        <w:spacing w:line="360" w:lineRule="auto"/>
        <w:ind w:firstLine="482" w:firstLineChars="200"/>
        <w:outlineLvl w:val="3"/>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1.构建泰州市能源管理“一张网”平台</w:t>
      </w:r>
    </w:p>
    <w:p w14:paraId="7D2262E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依据《碳达峰碳中和综合评价考核办法》及《公共机构碳排放核算指南（JS/T 303-2026）》等政策文件要求，以数字化改革为牵引，面向整县（市、区）公共机构能源费用托管场景，利用物联网、大数据、人工智能技术，满足多租户多用户构建的全域设备一张网、数据一张网、运营一张网等多维一体化平台。一张网平台也是开展虚拟电厂、碳交易的数字化底座平台。依据《公共机构能源费用托管实施规程》及江苏省《整县（市、区）能源费用托管工作指引》等相关标准文件要求，能源管理“一张网”平台技术要求如下：</w:t>
      </w:r>
    </w:p>
    <w:p w14:paraId="2B38D0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1.1.平台一般规定</w:t>
      </w:r>
    </w:p>
    <w:p w14:paraId="3DA641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（1）基于整县（市、区）公共机构的规模体量，平台应采用云技术、分布式、集群架构设计，确保平台的并发性、扩展性和适应性。</w:t>
      </w:r>
    </w:p>
    <w:p w14:paraId="2E34BB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（2）平台应支持平台管理者、运营服务者、区域管理者、行业管理者、公共机构管理者等多租户、多用户设计。</w:t>
      </w:r>
    </w:p>
    <w:p w14:paraId="37FDFDE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（3）平台设计采用MQTT标准协议---基于发布/订阅模式的轻量级物联网通信协议。确保系统的兼容性、扩展性和可维护性。</w:t>
      </w:r>
    </w:p>
    <w:p w14:paraId="260141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（4）平台标准协议中间件服务并发连接数应不低于5W，支持设备单控和批量集控。</w:t>
      </w:r>
    </w:p>
    <w:p w14:paraId="193154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（5）平台设计应支持安全认证以及分租户、分用户权限访问控制。</w:t>
      </w:r>
    </w:p>
    <w:p w14:paraId="147EA0B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1.2.总体架构</w:t>
      </w:r>
    </w:p>
    <w:p w14:paraId="58E895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平台总体架构可按照“端、边、云”进行分层架构设计。各层定位如下：</w:t>
      </w:r>
    </w:p>
    <w:p w14:paraId="6DB758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端：狭义的包括各类仪表、传感器、控制器等，负责对现场用能设备、使用环境参数、能耗等进行感知或控制的装置；广义的包括主站、网关或采集器等，负责与感知或控制装置进行通讯，实现总线信号到网络信号的转换。</w:t>
      </w:r>
    </w:p>
    <w:p w14:paraId="2DC130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边：包括集成柜、控制柜、边缘节点等，以机房或楼宇为单位，南向负责集成汇聚各类端，北向负责与云侧进行交互，同时具有支持协调控制、边缘计算、负载均衡和第三方对接能力，边侧具备的能力包括：①兼容各类通讯服务；②逻辑存储服务；③逻辑执行服务；④触发回调机制；⑤一定的数据处理、存储服务。</w:t>
      </w:r>
    </w:p>
    <w:p w14:paraId="67720A9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云：基于互联网，采用分布式、高并发，面向“多租户”提供统一的一张网平台宏观管理和节能运营服务。南向负责集成汇聚各类边侧，北向负责支撑各类云服务应用。</w:t>
      </w:r>
    </w:p>
    <w:p w14:paraId="1D0E093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1.3.总体设计要求</w:t>
      </w:r>
    </w:p>
    <w:p w14:paraId="3E8572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（1）数字化底座</w:t>
      </w:r>
    </w:p>
    <w:p w14:paraId="207557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全方位数字传感技术的应用是一张网平台的数据底座，通过将计量场景、末端场景、BA场景等各类传感设备集成互联，实现数字孪生，构建可计量、可监测、可控制的数字化物联网底座。</w:t>
      </w:r>
    </w:p>
    <w:p w14:paraId="50A8EB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（2）能耗计量</w:t>
      </w:r>
    </w:p>
    <w:p w14:paraId="7B5449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能耗数据是节能成效核查和确认的依据，能耗精准计量一方面要及时的捕捉用能变化，另一方面可以对增量数据进行量化。</w:t>
      </w:r>
    </w:p>
    <w:p w14:paraId="6BA555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（3）设备管控</w:t>
      </w:r>
    </w:p>
    <w:p w14:paraId="40CB1D5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能耗设备的管控是节能的重要抓手，设备管控需要在符合法律法规前提下，满足用户基本用能需求基础上实现节能，因此需要具备精准化、智能化的管控能力，一方面避免用能浪费，另一方面实现按需、个性的用能精细管控。</w:t>
      </w:r>
    </w:p>
    <w:p w14:paraId="4B30D4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（4）AI智控</w:t>
      </w:r>
    </w:p>
    <w:p w14:paraId="2B4929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人工智能新技术在整区（县）制能源费用托管场景的赋能应用，将成为公共机构实现碳达峰、碳中</w:t>
      </w:r>
      <w:r>
        <w:rPr>
          <w:rFonts w:hint="default" w:ascii="Times New Roman" w:hAnsi="Times New Roman" w:eastAsia="宋体" w:cs="Times New Roman"/>
          <w:color w:val="auto"/>
          <w:sz w:val="24"/>
          <w:szCs w:val="24"/>
          <w:highlight w:val="none"/>
          <w:lang w:val="en-US" w:eastAsia="zh-CN"/>
        </w:rPr>
        <w:t>和</w:t>
      </w:r>
      <w:r>
        <w:rPr>
          <w:rFonts w:hint="default" w:ascii="Times New Roman" w:hAnsi="Times New Roman" w:eastAsia="宋体" w:cs="Times New Roman"/>
          <w:color w:val="auto"/>
          <w:sz w:val="24"/>
          <w:szCs w:val="24"/>
          <w:highlight w:val="none"/>
        </w:rPr>
        <w:t>双碳目标的核心推动力。基于云边端协同神经网络架构，通过运用AI自控新技术，对控制链路进行分层设计和协同设计，建立用能数据、运行数据和用户行为的捕捉，形成数据分析、学习迭代、模型建立的能力，通过下发边、端控制的执行，构建完整的AI学习控制链路闭环。以“数据驱动”实现精准数字化能源管理的AI赋能，实现大规模用能设施的管控，提升能源管理运营服务水平。</w:t>
      </w:r>
    </w:p>
    <w:p w14:paraId="30D85A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（5）开放性</w:t>
      </w:r>
    </w:p>
    <w:p w14:paraId="7716CDC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平台应具备开放性能力和对接要求，以实现数据共享和价值利用，具体要求包括：</w:t>
      </w:r>
    </w:p>
    <w:p w14:paraId="40E237F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①南向支持MQTT标准设备接入</w:t>
      </w:r>
    </w:p>
    <w:p w14:paraId="418A00B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②北向支持MQTT标准数据对接</w:t>
      </w:r>
    </w:p>
    <w:p w14:paraId="664AE5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③支持应用集成和二次开发能力</w:t>
      </w:r>
    </w:p>
    <w:p w14:paraId="624F16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④支持与省平台数据传输对接功能</w:t>
      </w:r>
    </w:p>
    <w:p w14:paraId="0F2E732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1.4.用户设计要求</w:t>
      </w:r>
    </w:p>
    <w:p w14:paraId="0403C9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平台应采用多租户，多用户体系设计，用户、项目和数据</w:t>
      </w:r>
    </w:p>
    <w:p w14:paraId="205CC2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能按租户进行隔离独立管理。</w:t>
      </w:r>
    </w:p>
    <w:p w14:paraId="218C21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用户角色应支持整区主管者角色（主管部门单位）、行业主管者角色（行业主管单位）、项目管理者角色（机构单位）和平台管理者角色（托管运营单位）。</w:t>
      </w:r>
    </w:p>
    <w:p w14:paraId="17E60E2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子系统和系统功能按照不同角色需求进行设计。</w:t>
      </w:r>
    </w:p>
    <w:p w14:paraId="6FBA4BE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1.5.接入设计要求</w:t>
      </w:r>
    </w:p>
    <w:p w14:paraId="58FDE2C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平台支持基于MQTT标准开放协议，设计各类场景、设备类型、测点参数等接入通讯格式和接口标准，作为平台内容进行开放发布。</w:t>
      </w:r>
    </w:p>
    <w:p w14:paraId="1EF210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1.6.平台系统要求</w:t>
      </w:r>
    </w:p>
    <w:p w14:paraId="4762D8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（1）驾驶舱</w:t>
      </w:r>
    </w:p>
    <w:p w14:paraId="360EE3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区域全景、行业系统、单体项目等角色，提供全域公共机构基本信息、定额指标信息、双控指标信息、能耗用量信息等总览指标，同时地图标注各版块各分类机构的总体数量、接入情况，可以查看具体接入项目主体信息，可以进入项目主体进行运营管控管理操作。</w:t>
      </w:r>
    </w:p>
    <w:p w14:paraId="743C32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（2）能耗统计</w:t>
      </w:r>
    </w:p>
    <w:p w14:paraId="446DEF0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依据《公共机构能源资源消耗统计制度》，按照《江苏省公共机构节能管理平台》对能耗统计数据上报要求，对区域内所有托管公共机构的账单数据进行处理、汇总和查询。</w:t>
      </w:r>
    </w:p>
    <w:p w14:paraId="487792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（3）节能评价</w:t>
      </w:r>
    </w:p>
    <w:p w14:paraId="2E2D7A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依据《公共机构日常节能管理规程》省地方标准，建立公共机构节约能源资源工作评价体系，可以对区域内所有公共机构的用能指标、日常用能行为等进行实时在线评价，对公共机构节约能源资源工作管理提供科学的评判依据。</w:t>
      </w:r>
    </w:p>
    <w:p w14:paraId="21AFB6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（4）AI智控</w:t>
      </w:r>
    </w:p>
    <w:p w14:paraId="6CEA404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可以对区域内已纳入AI智控的项目总数和列表信息进行查看和管控。</w:t>
      </w:r>
    </w:p>
    <w:p w14:paraId="71B040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（5）碳排管理</w:t>
      </w:r>
    </w:p>
    <w:p w14:paraId="11A199D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可以对区域内所有接入的公共机构碳资产、碳排放情况进行汇总统计。</w:t>
      </w:r>
    </w:p>
    <w:p w14:paraId="7F9751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1.7.系统功能要求</w:t>
      </w:r>
    </w:p>
    <w:p w14:paraId="6B2AF67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（1）运营管控系统</w:t>
      </w:r>
    </w:p>
    <w:p w14:paraId="6A3F673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项目看板：查看当前项目的实时运行指标，包括能耗总量信息、能耗强度信息、定额对标信息、用能结构信息、碳排放总量信息、碳排放强度信息等。</w:t>
      </w:r>
    </w:p>
    <w:p w14:paraId="1D6867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用能账单：可配置托管周期、能耗账单管理以及托管节能情况分析。</w:t>
      </w:r>
    </w:p>
    <w:p w14:paraId="4962F8B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用能监测：可配置用能场景，监测每日能耗及72小时能耗，分析同比环比详情。</w:t>
      </w:r>
    </w:p>
    <w:p w14:paraId="74ED5F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设备控制：可对用能系统基于传统的人机结合的策略管理或选择采用AI智控技术实现无人化专家级管理。</w:t>
      </w:r>
    </w:p>
    <w:p w14:paraId="517A45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（2）能耗统计系统</w:t>
      </w:r>
    </w:p>
    <w:p w14:paraId="5AC391C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月度统计台账：按办公区、年度对逐月统计数据进行核定，支持同步月度账单数据，台账包含电消费量、数据机房、充电桩、食堂、光伏、其他、电总费用，水消费量、水总费用、燃气消费量、燃气总费用、蒸汽消费量、蒸汽总费用、汽油消费量、汽油总费用、柴油总消费量、柴油总费用等，可以对数据进行更新核定。</w:t>
      </w:r>
    </w:p>
    <w:p w14:paraId="1BBCFB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主体机构配置：可以查看当前办公区下的公共机构，对代报主体进行设置，独立办公区无需设置，集中办公区设置一个代报主体。</w:t>
      </w:r>
    </w:p>
    <w:p w14:paraId="3C0946C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（3）评价考核系统</w:t>
      </w:r>
    </w:p>
    <w:p w14:paraId="4AECFB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评价管理：按年度查询当前办公区下的公共机构考核情况，包括考核年度、机构名称、得分、星级、同类排名、状态、考核结果等。</w:t>
      </w:r>
    </w:p>
    <w:p w14:paraId="007E70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考核提交：以年度为单位，按照区域主管者发布的年度考核日期，依据《公共机构日常节能管理规程》省地方标准进行对标自评，上传考核材料，完成自评提交。</w:t>
      </w:r>
    </w:p>
    <w:p w14:paraId="0DB4D21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（4）碳资产系统</w:t>
      </w:r>
    </w:p>
    <w:p w14:paraId="6CEBCBB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该模块应包括但不限于碳排放、碳资产、碳交易、碳履约等功能。</w:t>
      </w:r>
    </w:p>
    <w:p w14:paraId="2CF3F6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碳排放：对直接、间接碳排放源各类能源的年度活动数据、碳排放因子、碳排放量、同比变化进行查看，可查看每个月的活动数据、碳排放量和同比变化图表。</w:t>
      </w:r>
    </w:p>
    <w:p w14:paraId="264EFB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碳资产：对碳配额进行配置下发，显示碳配额、交易碳配额、交易CCER指标信息。</w:t>
      </w:r>
    </w:p>
    <w:p w14:paraId="3F1CA4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碳交易：可以添加配置配额交易记录，包括年份、交易编号、交易类型、交易配额、交易平台、交易总价等信息。</w:t>
      </w:r>
    </w:p>
    <w:p w14:paraId="48ED30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碳履约：包括碳排放指标、碳权量指标、清缴指标等。</w:t>
      </w:r>
    </w:p>
    <w:p w14:paraId="4E6CD7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（5）AI智控系统</w:t>
      </w:r>
    </w:p>
    <w:p w14:paraId="408DBB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基于神经网络模型，通过实时采集公共机构能耗数据、设备设施运行数据、能源消费行为数据，并对采集的数据进行分析、评估、建模，建立场景化AI模型，与边缘端智能体结合实现无人化专家级预测和管控。</w:t>
      </w:r>
    </w:p>
    <w:p w14:paraId="1863207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（6）基础管理平台</w:t>
      </w:r>
    </w:p>
    <w:p w14:paraId="2DE087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该模块应包括但不限于登录管理、用户管理、租户管理、系统管理、项目管理、角色管理、用户审核、用户授权等功能。</w:t>
      </w:r>
    </w:p>
    <w:p w14:paraId="19CACEF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（7）机构管理系统</w:t>
      </w:r>
    </w:p>
    <w:p w14:paraId="14727A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该模块应包括但不限于机构信息管理、机构台账管理、项目机构关系等功能。</w:t>
      </w:r>
    </w:p>
    <w:p w14:paraId="06D71C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机构信息管理：对机构信息进行导入维护管理，模板信息包括机构名称、统一社会信用代码、行政区划编码、机构类型、办公类型、空调形式、建筑面积、用能人数等。</w:t>
      </w:r>
    </w:p>
    <w:p w14:paraId="0559F7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机构台账管理：按年份对机构台账进入导入维护管理，模板信息包括机构名称、电消费量、电费用、水消费量、水费用、燃气消费量、燃气费用、数据中心用电、食堂用电、综合能耗、总费用等。</w:t>
      </w:r>
    </w:p>
    <w:p w14:paraId="677CB3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项目机构关系：按项目办公区对入驻的公共机构信息进行关联绑定。</w:t>
      </w:r>
    </w:p>
    <w:p w14:paraId="35F946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1.8.系统通讯要求</w:t>
      </w:r>
    </w:p>
    <w:p w14:paraId="3710CA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系统应根据传输设备技术性能要求优先采用4G物联网的传输方式，或多种混合传输方式。</w:t>
      </w:r>
    </w:p>
    <w:p w14:paraId="1A2CBC1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1.9.系统安全要求</w:t>
      </w:r>
    </w:p>
    <w:p w14:paraId="413998D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系统安全对象包括：能耗计量装置、设备控制装置、本地云/公共云等。安全保护措施应包括硬件防护、设备认证、专网和信道加密、接口鉴权、数据存储加密、应用鉴权、用户隐私保护、应用接口控制、用户访问控制等。</w:t>
      </w:r>
    </w:p>
    <w:p w14:paraId="59A8ACE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1.10.数据权属与移交要求：</w:t>
      </w:r>
    </w:p>
    <w:p w14:paraId="36FDA9A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建设过程中产生的所有硬件设备、业务数据、用户数据、操作日志数据及相关衍生数据的所有权、使用权及管理权均归招标人所有。供应商不得以任何形式将上述数据用于与本项目无关的用途，不得向任何第三方泄露。</w:t>
      </w:r>
    </w:p>
    <w:p w14:paraId="3C624B0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w:t>
      </w:r>
      <w:r>
        <w:rPr>
          <w:rFonts w:hint="eastAsia" w:ascii="Times New Roman" w:hAnsi="Times New Roman" w:eastAsia="宋体" w:cs="Times New Roman"/>
          <w:color w:val="auto"/>
          <w:sz w:val="24"/>
          <w:szCs w:val="24"/>
          <w:highlight w:val="none"/>
          <w:lang w:val="en-US" w:eastAsia="zh-CN"/>
        </w:rPr>
        <w:t>托管期</w:t>
      </w:r>
      <w:r>
        <w:rPr>
          <w:rFonts w:hint="default" w:ascii="Times New Roman" w:hAnsi="Times New Roman" w:eastAsia="宋体" w:cs="Times New Roman"/>
          <w:color w:val="auto"/>
          <w:sz w:val="24"/>
          <w:szCs w:val="24"/>
          <w:highlight w:val="none"/>
        </w:rPr>
        <w:t>结束并通过最终验收后，</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须在</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指定的政务外网环境中协助完成以下工作：</w:t>
      </w:r>
    </w:p>
    <w:p w14:paraId="21E6145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（1）移交项目涉及的所有硬件设备及软件的所有权、使用权及管理权；</w:t>
      </w:r>
    </w:p>
    <w:p w14:paraId="12A6B5D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（2）提供业务数据库的全量逻辑/物理备份数据（包括但不限于附件、图片、报表文件等）的完整备份及其与业务数据间的关联规则说明，并提交详细的备份与恢复操作说明文档；</w:t>
      </w:r>
    </w:p>
    <w:p w14:paraId="209B562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（3）提供完整的数据字典文档，包括各业务库的表结构说明、主要字段注释、数据关系说明以及主要统计指标/能耗指标的计算口径说明；</w:t>
      </w:r>
    </w:p>
    <w:p w14:paraId="02449D2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（4）提供项目中已实现的所有对外接口文档，包括接口列表、调用方式、参数说明、返回格式、鉴权机制等，确保后续可由招标人接管。</w:t>
      </w:r>
    </w:p>
    <w:p w14:paraId="1D4D1D6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上述备份数据和文档应统一存储于招标人指定的政务外网存储节点或备份服务器。如确需制作离线备份介质，应符合招标人及上级主管部门的保密与安全管理要求，介质的保管责任由招标人承担。</w:t>
      </w:r>
    </w:p>
    <w:p w14:paraId="326EFD6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在项目实施、测试、故障处理等过程中，如确需在自有环境中使用招标人项目数据，必须进行脱敏处理，并事先取得招标人书面同意。项目验收完成后，供应商须对其内部存储的项目相关数据进行彻底删除或物理销毁，不得保留任何形式的备份；并向招标人提交《数据销毁证明》，列明销毁的数据范围、时间和方式，由甲乙双方确认归档。</w:t>
      </w:r>
    </w:p>
    <w:p w14:paraId="66FB12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供应商有义务配合招标人进行数据备份恢复演练和移交流程确认，确保招标人在无需依赖供应商的前提下，能够独立完成项目数据的备份、恢复和迁移操作。</w:t>
      </w:r>
    </w:p>
    <w:p w14:paraId="48FD10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未按上述要求完成数据移交或造成招标人数据丢失、泄露、损毁的，供应商须承担相应的法律责任和违约责任，具体责任承担方式及赔偿标准由双方在合同中另行约定。</w:t>
      </w:r>
    </w:p>
    <w:p w14:paraId="2F6F8CC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2.数据采集与能源计量系统</w:t>
      </w:r>
    </w:p>
    <w:p w14:paraId="65781BD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计量系统是能源费用托管的基础。首批十二家单位普遍存在“有总表、缺分项”“有回路、无远传”“有电流表、无可用数据”的问题。托管改造应通过新增或替换具备远传功能的水电气表计、配置智能数据网关，将重点配电回路、空调回路、热水回路、照明回路、厨房及特殊负荷回路接入“一张网”平台。</w:t>
      </w:r>
    </w:p>
    <w:p w14:paraId="4BD1AC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应优先覆盖总进线、楼层配电、空调、照明、机房、厨房或开水设备。计量系统不直接产生大量可见节能量，但它决定后续节能量是否可核、异常用能是否可追溯、托管费用是否可结算。</w:t>
      </w:r>
    </w:p>
    <w:p w14:paraId="45E2D59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计量器具系统配置满足下列要求：</w:t>
      </w:r>
    </w:p>
    <w:p w14:paraId="2A27BF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a）公共机构均应配置能源计量系统。公共机构的能耗、水耗、气/汽耗等数据应上报至公共机构节能管理部门。</w:t>
      </w:r>
    </w:p>
    <w:p w14:paraId="51E1784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b）公共机构应根据电、水、燃气、热力等用能类型以及建筑、楼层、重点用能单位或设备等层级，按照GB/T 29149的要求分级配置计量器具。</w:t>
      </w:r>
    </w:p>
    <w:p w14:paraId="51CF4C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c）电能计量器具精度应不低于0.5级，水表不低于2.5级，热力表不低于2.0级，燃气表不低于1.5级。</w:t>
      </w:r>
    </w:p>
    <w:p w14:paraId="18BD546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d）出租或外包经营场所应独立配置计量装置。</w:t>
      </w:r>
    </w:p>
    <w:p w14:paraId="325AC4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e）计量器具应支持数据远传功能，远传数据接口应符合行业通用标准，采用开放的通信协议。</w:t>
      </w:r>
    </w:p>
    <w:p w14:paraId="5F29F7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f）计量系统应兼容多种通信协议，支持与建筑能源监控管理系统互联互通数据。</w:t>
      </w:r>
    </w:p>
    <w:p w14:paraId="6819D2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计量监测满足下列要求：</w:t>
      </w:r>
    </w:p>
    <w:p w14:paraId="41A600E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a）数据采集与传输，电、热力数据采集间隔≤15min，水、燃气数据采集间隔≤1h；</w:t>
      </w:r>
    </w:p>
    <w:p w14:paraId="187DA6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b）历史数据存储周期≥3年，支持按日、月、年生成能源消耗报表；</w:t>
      </w:r>
    </w:p>
    <w:p w14:paraId="27754DE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c）建立用能量突增、设备离线等报警机制。</w:t>
      </w:r>
    </w:p>
    <w:p w14:paraId="5A3B918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3.空调系统节能改造</w:t>
      </w:r>
    </w:p>
    <w:p w14:paraId="3A4AE1B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空调系统是首批十二家单位的核心节能对象。现场勘察发现，本项目有5家单位在使用水冷/风冷中央空调系统，共性问题为设备老旧低效、故障率高；设备全部手动开关，无节能控制装置，无法执行节能策略。使用年限长，设备老旧严重且能效水平较低。十二家单位均安装有多联式空调系统，共性问题为无集中控制系统，无法严格执行节能运行策略，导致能量浪费。未安装辅助降温措施，制冷能效低，且老旧主机容易高压报警，影响使用。十二家单位均部分使用分体式空调，共性问题为无集中控制系统，无法进行统一管理，无法严格执行节能运行策略。针对以上现状问题，建议对空调系统进行节能改造。</w:t>
      </w:r>
    </w:p>
    <w:p w14:paraId="65C275C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（1）高效冷热源系统改造</w:t>
      </w:r>
    </w:p>
    <w:p w14:paraId="702E6CD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增设高效风冷热泵机组：增设一台高效风冷热泵机组，其制冷量、制热量不低于现有主机，替代现有主机承担冷热负荷，拆除现有一台老旧主机，在原位置安装新增主机。保留另一台主机作为备用。</w:t>
      </w:r>
    </w:p>
    <w:p w14:paraId="4012BB3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同时对中央空调系统循环管路进行化学清洗、消毒、钝化处理。对冷凝水排水系统进行清洗消毒疏通处理。</w:t>
      </w:r>
    </w:p>
    <w:p w14:paraId="29A4121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高效风冷热泵机组应满足以下条件：</w:t>
      </w:r>
    </w:p>
    <w:p w14:paraId="16575E5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a）应采用同品牌或同等效力一线品牌的全新设备，机组总额定制冷量、总额定制热量不低于原有设备参数。</w:t>
      </w:r>
    </w:p>
    <w:p w14:paraId="30CB02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b）额定制冷能效比应≥3.30，额定制热能效比应≥3.40。</w:t>
      </w:r>
    </w:p>
    <w:p w14:paraId="7739377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（2）中央空调集中控制系统建设</w:t>
      </w:r>
    </w:p>
    <w:p w14:paraId="6911BB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增设基于AI智能优化的中央空调节能控制系统，具体包括：</w:t>
      </w:r>
    </w:p>
    <w:p w14:paraId="683FE9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冷热源主机控制：核心策略为运行数量调控与出水温度智能调节。</w:t>
      </w:r>
    </w:p>
    <w:p w14:paraId="76DCBA2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水泵变流量控制：温差结合压差控制，后期升级为负荷预测控制。</w:t>
      </w:r>
    </w:p>
    <w:p w14:paraId="0CDED5A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冷却塔变风量控制：近湿球温度控制。</w:t>
      </w:r>
    </w:p>
    <w:p w14:paraId="5BB7D7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以系统整体EER最高为控制目标，并且在服务期内持续优化。</w:t>
      </w:r>
    </w:p>
    <w:p w14:paraId="36C267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增设分体式/多联式空调集中控制系统：对分体式/多联式空调加装智能控制器，并将运行数据传输至智慧能源管理平台，通过平台下发节能运行策略，实现定时控制、模式控制、温度限定、分组及分区域控制等控制功能，从而减少/避免浪费。实时采集多联式空调机组运行状态和参数信息，结合现场环境参数进行运行策略处理，实现对室内风机联动控制和分区控制，杜绝无人空调，从而在满足实际需求的前提下，减少能源消耗。</w:t>
      </w:r>
    </w:p>
    <w:p w14:paraId="5B1393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多联式空调控制器应满足以下条件：</w:t>
      </w:r>
    </w:p>
    <w:p w14:paraId="191667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①支持市面上主流多联机空调系统，支持数据采集、数据上报、集中管控等功能。</w:t>
      </w:r>
    </w:p>
    <w:p w14:paraId="0B9B4C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②性能指标：</w:t>
      </w:r>
    </w:p>
    <w:p w14:paraId="5FCCBB9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电源输入：DC12V</w:t>
      </w:r>
    </w:p>
    <w:p w14:paraId="4C46423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待机功耗：&lt;2W</w:t>
      </w:r>
    </w:p>
    <w:p w14:paraId="3E67ED9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以太网接口：1路10/100M以太网</w:t>
      </w:r>
    </w:p>
    <w:p w14:paraId="34125BA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4G接口：内置4G CAT.1通信模块</w:t>
      </w:r>
    </w:p>
    <w:p w14:paraId="3F52C61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工作温度：-10~60°C</w:t>
      </w:r>
    </w:p>
    <w:p w14:paraId="658587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分体式空调控制器应满足以下条件：</w:t>
      </w:r>
    </w:p>
    <w:p w14:paraId="4EA8D6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①内置空调红外码库，支持市面上主流分体空调，支持负荷监测、集中管控、空调软关机、数据上报等功能。</w:t>
      </w:r>
    </w:p>
    <w:p w14:paraId="3E3639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②性能指标：</w:t>
      </w:r>
    </w:p>
    <w:p w14:paraId="4135EAC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额定电压：220VAC(380VAC)</w:t>
      </w:r>
    </w:p>
    <w:p w14:paraId="4C7CA1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额定电流：5(60)A或5(16)A</w:t>
      </w:r>
    </w:p>
    <w:p w14:paraId="643CF68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上行通信：4G(CAT.1)</w:t>
      </w:r>
    </w:p>
    <w:p w14:paraId="11CA669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计量精度：2级</w:t>
      </w:r>
    </w:p>
    <w:p w14:paraId="1CCEAE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工作温度：-10~60°C</w:t>
      </w:r>
    </w:p>
    <w:p w14:paraId="401BC44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（4）老旧多联机/分体式空调机组换新：针对投入使用年限久，制冷效率低下，设备老旧的多联式/分体式空调，建议对室内机、室外机进行全面更换，并对冷媒管道进行评估，如可以继续使用，则建议保留。</w:t>
      </w:r>
    </w:p>
    <w:p w14:paraId="0444A8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增设多联机雾化降温节能系统：将水（自来水或空调冷凝水）进行软化，去除水中的钙镁离子，减少管道结垢风险。软化水汽化成雾状的小颗粒（粒径小于翅片间距），在余压及散热风机的抽吸作用下快速流向翅片表面，通过雾状水的快速蒸发带走大量热量，从而显著改善风冷机组制冷时的运行工况，提高制冷能效，并延长设备使用寿命。</w:t>
      </w:r>
    </w:p>
    <w:p w14:paraId="590B0E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风机盘管更新及末端集中控制改造：采用一线品牌风机盘管替代现有老旧风机盘管，配套加长接水盘，并对冷凝水排水系统进行修复。同步更换4G型风机盘管温控器（设备自耗功率＜0.5W，设置温度范围：10~40℃，控温精度：±1℃）。增设电动二通阀并更换全部风机盘管阀门，减少使用过程中的能量浪费，并提高中央空调控制系统节能效益。同时对新风机水管阀门及温度表、压力表、软管、循环管路阀门等进行更换。并对空调管道进行化学清洗和钝化处理，对冷凝水排水系统进行清洗消毒疏通处理。最终通过对风机盘管增设集中控制系统，实现定时控制、模式控制、温度限定、分组及分区域控制等控制功能，从而减少/避免浪费。接入智慧能源管理平台，通过平台设置节能运行策略。</w:t>
      </w:r>
    </w:p>
    <w:p w14:paraId="183F6B9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风机盘管温控器应满足以下条件：</w:t>
      </w:r>
    </w:p>
    <w:p w14:paraId="540EC6F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①支持实时监测室内温度及运行状态、集中化批量管控、定制策略管理、运行统计和智能锁定等功能。</w:t>
      </w:r>
    </w:p>
    <w:p w14:paraId="55F4908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②性能指标：</w:t>
      </w:r>
    </w:p>
    <w:p w14:paraId="225A7DB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电源输入：AC220V，50Hz</w:t>
      </w:r>
    </w:p>
    <w:p w14:paraId="04959F1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待机功耗：≤2W</w:t>
      </w:r>
    </w:p>
    <w:p w14:paraId="7B03EA8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通信接口：内置4G CAT.1模块；</w:t>
      </w:r>
    </w:p>
    <w:p w14:paraId="6048FBF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工作温度：-10~60°C</w:t>
      </w:r>
    </w:p>
    <w:p w14:paraId="6AF7BC3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负载电流：≤2A（阻性负载） 或≤1A（感性负载）</w:t>
      </w:r>
    </w:p>
    <w:p w14:paraId="3CFBDF9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温度传感器：数字型传感器</w:t>
      </w:r>
    </w:p>
    <w:p w14:paraId="25BCC55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增设气候补偿控制系统：根据室外温度变化情况及用户设定不同时间对室内温度的要求，计算确定出恰当的供水温度，实现供水温度随室外温度和室内温度要求自动调节，避免产生：（1）夏季水温过高造成空调效果不足，或水温过低造成能源浪费。（2）冬季水温过高而造成能源浪费，或水温过低而造成供热效果不足。</w:t>
      </w:r>
    </w:p>
    <w:p w14:paraId="55ECA57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（8）增设小循环系统：根据部分单位周末、节假日及加班时段实际负荷，增设2台小循环泵（并配套变频控制系统），避免此时段内开启大循环泵，从而节约循环泵能耗。</w:t>
      </w:r>
    </w:p>
    <w:p w14:paraId="72951C9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4.照明系统节能改造</w:t>
      </w:r>
    </w:p>
    <w:p w14:paraId="5D770D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多数单位已完成或大部分完成LED照明改造，但部分单位仍存在部分T8荧光灯灯具替换空间。照明改造应遵循“补短板、不重复投资”的原则。已完成LED化且使用时间较短的区域不宜重复更换；公共走廊、地下车库、会议室、食堂、办公区等仍使用低效灯具的区域，应结合使用时长和维护成本优先改造。对亮灯时间短、人员停留少的区域，应优先通过管理策略和时段控制实现节能，而非简单更换灯具。地下停车场增加微波感应装置，根据人员、车辆通行情况自动调节照明亮度，减少长期照明造成的能源浪费。部分办事大厅增加光感控制装置，根据自然采光条件自动调整照明状态，减少人工照明运行时间，提高照明系统智能化水平。</w:t>
      </w:r>
    </w:p>
    <w:p w14:paraId="3B44FB4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5.热水系统节能改造</w:t>
      </w:r>
    </w:p>
    <w:p w14:paraId="60691C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生活热水和开水设备具有明显的管理节能空间，机关单位常见楼层开水器和食堂开水炉。本项目拟配置电大功率设备智能控制器和空气源热泵机组。对开水器、热水器等设备实施分时启停、负荷监测、异常报警和远程控制；对宿舍热水系统优化供水时段和温度设定。该类系统的节能逻辑并非“少供热水”，而是在保障使用需求的前提下，减少夜间保温、空载加热、无人时段运行和设备故障造成的隐性浪费。</w:t>
      </w:r>
    </w:p>
    <w:p w14:paraId="3B8872A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增设空气源热泵生活热水系统，替代燃气热水器供应宿舍热水，空气源热泵热水系统的全年能效比可达3.0以上，而燃气热水器的运行效率不足1.0，显著提高节能降碳效果。</w:t>
      </w:r>
    </w:p>
    <w:p w14:paraId="7CA3BC2B">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6.分布式光伏发电系统</w:t>
      </w:r>
    </w:p>
    <w:p w14:paraId="3076CAB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分布式光伏是本项目实现降碳目标的重要措施。本阶段拟建设分布式光伏约2300kWp，主要面向具备屋面铺设条件的单位。</w:t>
      </w:r>
    </w:p>
    <w:p w14:paraId="584B832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光伏系统应采用“自发自用、余电上网”的基本模式，优先满足公共机构自身用电需求。机关办公建筑工作日白天负荷与光伏出力较匹配，但周末和节假日需考虑余电上网比例。</w:t>
      </w:r>
    </w:p>
    <w:p w14:paraId="63F363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光伏实施前必须完成屋面结构承载、产权边界、防水条件、遮挡分析、并网容量、电气接入和消防通道核查。老旧砖混建筑、坡屋顶、鉴定为危房或业主不同意安装的屋面，不应纳入本阶段光伏建设范围。</w:t>
      </w:r>
    </w:p>
    <w:p w14:paraId="0B41157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光伏组件配置应满足以下要求：</w:t>
      </w:r>
    </w:p>
    <w:p w14:paraId="5AE230A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a）采用国产一线品牌的高效组件，组件额定（峰值）功率应≥630Wp，组件效率≥22%。</w:t>
      </w:r>
    </w:p>
    <w:p w14:paraId="3270709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b）采用国产一线品牌逆变器，效率≥98%。</w:t>
      </w:r>
    </w:p>
    <w:p w14:paraId="1E9D5F54">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7.数据机房能效提升改造</w:t>
      </w:r>
    </w:p>
    <w:p w14:paraId="165ECBA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部分单位的数据机房用电占其全年用电量约90%，数据机房是本项目节能降碳的核心环节和关键突破口，须坚持“设备提效、冷源优化、余热利用、智能管控”四位一体，实施系统性节能改造，大幅降低机房电能使用效率（PUE）指标。制冷系统能耗通常占数据机房总能耗的30%以上，是节能改造的重中之重。本次改造针对老旧精密空调进行替换，并增加氟泵系统，用于提升数据机房能效。氟泵节能系统，将压缩机与氟泵（如R22/R410A等制冷剂泵）并联运行，通过智能控制实现冷量的动态分配。压缩机提供基础冷量，氟泵辅助输送液态制冷剂，在低负载时通过氟泵循环减少压缩机启停次数，提升能效。</w:t>
      </w:r>
    </w:p>
    <w:p w14:paraId="4DB74046">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8.光伏、充电桩一体化建设</w:t>
      </w:r>
    </w:p>
    <w:p w14:paraId="0A29944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充分利用建筑屋顶、立面、停车棚等可利用空间，规模化铺设高效光伏组件，最大化开发建筑本体光伏资源，提升绿电自发自用和就地消纳水平。结合停车场建设智能充电设施，打造“光伏发电—充电桩用电”，优先使用绿电满足公务用车和职工车辆充电需求，实现“新能源车充新能源电”。通过光充一体化建设，显著降低建筑外购电量，减少化石能源消费对应的间接碳排放。</w:t>
      </w:r>
    </w:p>
    <w:p w14:paraId="782A08E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9.节水改造</w:t>
      </w:r>
    </w:p>
    <w:p w14:paraId="7FA4B76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（1）节水型龙头改造</w:t>
      </w:r>
    </w:p>
    <w:p w14:paraId="6D1D8FE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通过节能改造增加节水型起泡器，实现显著的节水减排、降低运营成本的目标。该技术成熟、投资成本低、安装简便、回报周期短，是一项极具性价比的绿色建筑改造措施。节水型起泡器，也称为低流量起泡器或充气式水嘴，其核心节水原理并非简单地限制水流，而是通过物理结构创新，在保证良好使用体验的前提下，智能地减少出水量。具体原理为空气混合技术，传统水龙头水流为实心水柱，出水完全依赖水的体积和压力，大部分水在无效冲洗中流失。而节水型起泡器内部装有多层滤网/筛网，当水流经过时，它会强制吸入周围空气，并将空气与水流充分混合，形成一股饱满、乳白色、不飞溅的“气泡水”。通过注入空气，水的体积被有效“撑大”，使得一股实际水量较少的水流，在视觉和触觉上给人感觉依然充沛、有力，从而实现了在不影响洗涤效果的情况下，大幅减少用水量。</w:t>
      </w:r>
    </w:p>
    <w:p w14:paraId="2226CA3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（2）修复原有雨水回用系统</w:t>
      </w:r>
    </w:p>
    <w:p w14:paraId="4528817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雨水回用系统是一套针对天然降水实现“收集－净化－资源化利用”的完整技术体系，也是当下海绵城市建设、绿色建筑节水改造的核心配套设施。它可以将屋面、路面、园区广场等区域的雨水径流，通过初期弃流、多级过滤、模块化蓄水、消毒净化等标准化工艺处理，转化为稳定达标的非传统水源，替代市政自来水用于绿化灌溉、道路冲洗、景观补水、工业冷却补水、冲厕抑尘等场景。</w:t>
      </w:r>
    </w:p>
    <w:p w14:paraId="3DFB71C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相比传统直排的雨水管理模式，这套系统既能大幅降低城市内涝风险、削减雨水径流带来的面源污染，又能长期减少企业、园区的自来水消耗，降低用水成本，然而随着时间的增长，部分单位原有雨水回用系统出现堵塞、设备损坏等状况，无法继续使用，本次托管将对原雨水回用设施进行修复，重新启用，降低市政用水量，协助单位创建“水效领跑者”。</w:t>
      </w:r>
    </w:p>
    <w:p w14:paraId="72486D9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10.安防系统升级</w:t>
      </w:r>
    </w:p>
    <w:p w14:paraId="1A72DE3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针对部分单位原安防系统设备老旧，能耗较高，安防等级无法满足新环境下的安全要求，本次重点对监控系统、门禁系统和访客系统进行更新改造，提升安防等级，降低设备能耗。</w:t>
      </w:r>
    </w:p>
    <w:p w14:paraId="21F5EC1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（1）400万半球型网络摄像机应满足以下要求：</w:t>
      </w:r>
    </w:p>
    <w:p w14:paraId="7A9A405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分辨率不低于400万像素，帧率不低于25fps，在该分辨率下可输出实时图像；</w:t>
      </w:r>
    </w:p>
    <w:p w14:paraId="713164B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支持侦测：场景变更侦测，虚焦侦测，区域入侵侦测，越界侦测，进入区域侦测，离开区域侦测，物品遗留侦测，物品拿取侦测，徘徊侦测等识别检测事件；</w:t>
      </w:r>
    </w:p>
    <w:p w14:paraId="51DBEA0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支持背光补偿，强光抑制，3D数字降噪，数字宽动态；</w:t>
      </w:r>
    </w:p>
    <w:p w14:paraId="0494504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支持：手动变焦；</w:t>
      </w:r>
    </w:p>
    <w:p w14:paraId="7702F92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采用高效阵列红外灯，使用寿命长，红外照射距离≥30m；</w:t>
      </w:r>
    </w:p>
    <w:p w14:paraId="4CF1ED6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支持最大512GB MicroSD/MicroSDHC/MicroSDXC卡本地存储；</w:t>
      </w:r>
    </w:p>
    <w:p w14:paraId="411D725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传感器不低于1/2.7英寸CMOS；彩色最低照度≤0.01Lux；</w:t>
      </w:r>
    </w:p>
    <w:p w14:paraId="4B2C7EE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宽动态：数字宽动态；</w:t>
      </w:r>
    </w:p>
    <w:p w14:paraId="54E2155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调节角度：水平：0°~355°，垂直：0°~75°，旋转：0°~355°；</w:t>
      </w:r>
    </w:p>
    <w:p w14:paraId="241306A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焦距&amp;视场角：2.7～8mm：水平视场角：110°~56°，垂直视场角：58.2°~31.4°，对角视场角：132°~64.5°；</w:t>
      </w:r>
    </w:p>
    <w:p w14:paraId="0D0487C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支持手动变焦；</w:t>
      </w:r>
    </w:p>
    <w:p w14:paraId="6CEDDE3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补光灯类型：红外灯；</w:t>
      </w:r>
    </w:p>
    <w:p w14:paraId="52AFB825">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补光距离：最远可达30m；</w:t>
      </w:r>
    </w:p>
    <w:p w14:paraId="469288D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（2）800万广角星光半球应满足以下要求：</w:t>
      </w:r>
    </w:p>
    <w:p w14:paraId="6CA2778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分辨率不低于800万像素，帧率不低于20fps；</w:t>
      </w:r>
    </w:p>
    <w:p w14:paraId="45133E9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支持背光补偿，强光抑制，3D数字降噪，支持120dB宽动态，适应不同环境；</w:t>
      </w:r>
    </w:p>
    <w:p w14:paraId="177301F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支持主流云平台接入；</w:t>
      </w:r>
    </w:p>
    <w:p w14:paraId="424735D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1个内置麦克风，1个内置扬声器，支持双向语音对讲；</w:t>
      </w:r>
    </w:p>
    <w:p w14:paraId="411D52A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采用高效阵列红外灯，使用寿命长，红外照射距离最远可达20m；</w:t>
      </w:r>
    </w:p>
    <w:p w14:paraId="6FF5A3B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符合IP66防尘防水设计，可靠性高；</w:t>
      </w:r>
    </w:p>
    <w:p w14:paraId="4E020FD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传感器类型：1/2.8"Progressive</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Scan</w:t>
      </w:r>
      <w:r>
        <w:rPr>
          <w:rFonts w:hint="eastAsia" w:ascii="Times New Roman" w:hAnsi="Times New Roman" w:eastAsia="宋体"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CMOS；</w:t>
      </w:r>
    </w:p>
    <w:p w14:paraId="26DD964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彩色最低照度≤0.005Lux；</w:t>
      </w:r>
    </w:p>
    <w:p w14:paraId="5931057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宽动态：120 dB；</w:t>
      </w:r>
    </w:p>
    <w:p w14:paraId="4520A8C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调节角度：垂直：0°~75°；</w:t>
      </w:r>
    </w:p>
    <w:p w14:paraId="5B25020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焦距&amp;视场角：2.8mm，水平视场角：180°±10°，垂直视场角：60.2°；</w:t>
      </w:r>
    </w:p>
    <w:p w14:paraId="2B3CFE7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补光灯类型：红外灯；</w:t>
      </w:r>
    </w:p>
    <w:p w14:paraId="175ABBF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补光距离：最远可达20m；</w:t>
      </w:r>
    </w:p>
    <w:p w14:paraId="61C9F3B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防补光过曝：支持；</w:t>
      </w:r>
    </w:p>
    <w:p w14:paraId="52BA468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最大图像尺寸：4416×1696；</w:t>
      </w:r>
    </w:p>
    <w:p w14:paraId="0710AF4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视频压缩标准：主码流：H.265/H.264；</w:t>
      </w:r>
    </w:p>
    <w:p w14:paraId="20E5123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子码流：H.265/H.264/MJPEG；</w:t>
      </w:r>
    </w:p>
    <w:p w14:paraId="15E27E2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网络：1个RJ45 10M/100M自适应以太网口；</w:t>
      </w:r>
    </w:p>
    <w:p w14:paraId="3D6FAE23">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音频：1个内置麦克风，1个内置扬声器；</w:t>
      </w:r>
    </w:p>
    <w:p w14:paraId="41922CC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供电方式：DC：12V±25%，支持防反接保护；</w:t>
      </w:r>
    </w:p>
    <w:p w14:paraId="3CD1699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PoE</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IEEE 802.3af</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Class 3;</w:t>
      </w:r>
    </w:p>
    <w:p w14:paraId="1BC332D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摄像机水平视场角不小于180°，垂直视场角不小于60°；</w:t>
      </w:r>
    </w:p>
    <w:p w14:paraId="5A1B916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内置不小于一个麦克风，一个扬声器；</w:t>
      </w:r>
    </w:p>
    <w:p w14:paraId="3C075A95">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（3）400万25倍球机应满足以下要求：</w:t>
      </w:r>
    </w:p>
    <w:p w14:paraId="48B1936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镜头采用1/1.8＂CMOS传感器，高清成像；</w:t>
      </w:r>
    </w:p>
    <w:p w14:paraId="4CD802F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支持25倍光学变倍，16倍数字变倍；</w:t>
      </w:r>
    </w:p>
    <w:p w14:paraId="4357383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传感器类型：1/1.8" Progressive Scan CMOS；</w:t>
      </w:r>
    </w:p>
    <w:p w14:paraId="55125BE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最低照度：彩色：0.0005Lux@（F1.5，AGC ON）；黑白：0.0001Lux@（F1.5，AGC ON）；0 Lux with light； </w:t>
      </w:r>
    </w:p>
    <w:p w14:paraId="6596DD1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焦距：5.9—147.5mm，25倍光学变倍；</w:t>
      </w:r>
    </w:p>
    <w:p w14:paraId="01FFF93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视场角：59.8-2.7度（广角-望远）；</w:t>
      </w:r>
    </w:p>
    <w:p w14:paraId="0029EC1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补光灯类型：混合光（红外+白光）；</w:t>
      </w:r>
    </w:p>
    <w:p w14:paraId="705567FE">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（4）高空球型鹰眼（含电源支架）应满足以下要求：</w:t>
      </w:r>
    </w:p>
    <w:p w14:paraId="403DE5E7">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全景+细节一体化高空球机，全景可输出180°无盲区大场景拼接画面，整体分辨率不低于1600万像素；</w:t>
      </w:r>
    </w:p>
    <w:p w14:paraId="7BB9BA5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全景画面支持关注区域畸变矫正；细节镜头光学变倍≥40倍，数字变倍≥16倍；</w:t>
      </w:r>
    </w:p>
    <w:p w14:paraId="299D201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全景水平视场角≥180°，垂直视场角≥110°；细节摄像机分辨率不低于400万像素；</w:t>
      </w:r>
    </w:p>
    <w:p w14:paraId="16E1B93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支持GB35114 A级安全加密；支持北斗卫星定位；支持光学透雾；</w:t>
      </w:r>
    </w:p>
    <w:p w14:paraId="697BFC0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具备镜头自动清洁装置，可对全景镜头、细节球机镜头进行清洁（实现方式不限）；</w:t>
      </w:r>
    </w:p>
    <w:p w14:paraId="355949C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设备在全景拼接模式下，垂直视场角不小于110°，水平视场角不小于180°。</w:t>
      </w:r>
    </w:p>
    <w:p w14:paraId="10E19B0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w:t>
      </w:r>
      <w:r>
        <w:rPr>
          <w:rFonts w:hint="default" w:ascii="Times New Roman" w:hAnsi="Times New Roman" w:eastAsia="宋体" w:cs="Times New Roman"/>
          <w:color w:val="auto"/>
          <w:sz w:val="24"/>
          <w:szCs w:val="24"/>
          <w:highlight w:val="none"/>
          <w:lang w:eastAsia="zh-CN"/>
        </w:rPr>
        <w:t>智能语义检索存储服务器</w:t>
      </w:r>
      <w:r>
        <w:rPr>
          <w:rFonts w:hint="default" w:ascii="Times New Roman" w:hAnsi="Times New Roman" w:eastAsia="宋体" w:cs="Times New Roman"/>
          <w:color w:val="auto"/>
          <w:sz w:val="24"/>
          <w:szCs w:val="24"/>
          <w:highlight w:val="none"/>
        </w:rPr>
        <w:t>应满足以下要求：</w:t>
      </w:r>
    </w:p>
    <w:p w14:paraId="2542C79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4U机架式智能网络存储服务器，64位多核处理器，配置1+1冗余电源、冗余风扇，满足7×24小时稳定运行；</w:t>
      </w:r>
    </w:p>
    <w:p w14:paraId="4C3B102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系统内存≥16GB（可扩展至64GB）；配置SSD系统盘、SSD数据盘，支持硬盘热插拔，存储容量满足本项目前端设备录像与图片存储需求并预留冗余；</w:t>
      </w:r>
    </w:p>
    <w:p w14:paraId="72FC1942">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支持语义图文检索（以文搜图）：支持输入文字描述检索人、车、非机动车及附属物等目标；</w:t>
      </w:r>
    </w:p>
    <w:p w14:paraId="48DB3C7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支持接入智能相机，对画面目标进行智能建模；</w:t>
      </w:r>
    </w:p>
    <w:p w14:paraId="2A344E6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支持视频流、图片直写存储；支持ONVIF、GB/T28181、RTSP等标准协议；</w:t>
      </w:r>
    </w:p>
    <w:p w14:paraId="5B779EA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网络视频接入能力、图片处理能力、检索与回放性能，应满足本项目全部前端摄像机接入、图片检索与回放的实际业务需求并预留冗余。</w:t>
      </w:r>
    </w:p>
    <w:p w14:paraId="3F96CA2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（7）55英寸液晶拼接屏应满足以下要求：</w:t>
      </w:r>
    </w:p>
    <w:p w14:paraId="2F2BF23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可接收HDMI、DVI等信号</w:t>
      </w:r>
    </w:p>
    <w:p w14:paraId="4C514DC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显示尺寸：55 inch</w:t>
      </w:r>
    </w:p>
    <w:p w14:paraId="11B23EF0">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背光源类型：D-LED</w:t>
      </w:r>
    </w:p>
    <w:p w14:paraId="4396D3B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物理拼缝：1.7mm</w:t>
      </w:r>
    </w:p>
    <w:p w14:paraId="3151676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物理拼缝公差：±1.5mm</w:t>
      </w:r>
    </w:p>
    <w:p w14:paraId="4098E011">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物理分辨率：1920×1080@60Hz（向下兼容）</w:t>
      </w:r>
    </w:p>
    <w:p w14:paraId="69D4423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亮度：500±10% cd/m²</w:t>
      </w:r>
    </w:p>
    <w:p w14:paraId="12A77309">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音视频输入接口：HDMI 1.4×1、DVI×1、USB2.0×1</w:t>
      </w:r>
    </w:p>
    <w:p w14:paraId="532F6FD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（8）超高清解码器应满足以下要求：</w:t>
      </w:r>
    </w:p>
    <w:p w14:paraId="49652D8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支持网络IPC、NVR等设备作为网络信号源输入；</w:t>
      </w:r>
    </w:p>
    <w:p w14:paraId="7B8A469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支持HDMI输出，支持4K超高清分辨率输出；支持对接LED显示系统；</w:t>
      </w:r>
    </w:p>
    <w:p w14:paraId="0BA42D65">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采用H.264/H.265编码标准，支持主/子码流编码与切换；</w:t>
      </w:r>
    </w:p>
    <w:p w14:paraId="1884CF94">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支持H.264、H.265、MJPEG等主流码流格式，支持PS、TS、RTP等主流封装格式；</w:t>
      </w:r>
    </w:p>
    <w:p w14:paraId="6F264211">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解码性能需满足本项目全部监控视频上墙解码需求，可支持多路高清视频同时解码输出，整体解码能力不低于本项目上墙总码流需求并预留冗余。</w:t>
      </w:r>
    </w:p>
    <w:p w14:paraId="1EBF9DBA">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（9）对外访客模块及访客服务器：</w:t>
      </w:r>
    </w:p>
    <w:p w14:paraId="03ED2581">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以小程序为载体，外来访客人员可扫描登记，上传人脸照片，审批通过后可正常刷脸通行；</w:t>
      </w:r>
    </w:p>
    <w:p w14:paraId="672902A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支持扫码登记、受邀预约、代填登记；可自定义字段、时段、事由及访客须知；</w:t>
      </w:r>
    </w:p>
    <w:p w14:paraId="39A7D2DC">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受访人审核为主，支持多级流程；含消息/短信通知、结果反馈与原因备注；</w:t>
      </w:r>
    </w:p>
    <w:p w14:paraId="222BC91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访客申请通过后，可在预约时限内凭人脸自由出入门禁，也支持保安扫码核销/签退；</w:t>
      </w:r>
    </w:p>
    <w:p w14:paraId="461687AB">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访客记录查询、统计报表导出；支持用户角色权限、黑白名单配置；</w:t>
      </w:r>
    </w:p>
    <w:p w14:paraId="7ABAF3D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自定义字段、时段、事由、审核流程、单位信息及二维码模板；</w:t>
      </w:r>
    </w:p>
    <w:p w14:paraId="3C23C60D">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访客服务器最低要求：8核16G处理器，1TB硬盘。</w:t>
      </w:r>
    </w:p>
    <w:p w14:paraId="1C99E528">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（10）NTP校时服务器（含60m天馈包）：</w:t>
      </w:r>
    </w:p>
    <w:p w14:paraId="4A7B2AF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1U机架式时间同步服务器，采用嵌入式处理器；</w:t>
      </w:r>
    </w:p>
    <w:p w14:paraId="4DF7054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支持北斗卫星授时，同时支持上级NTP网络授时；</w:t>
      </w:r>
    </w:p>
    <w:p w14:paraId="20F7180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支持多网域授时；支持双机热备、设备级联；</w:t>
      </w:r>
    </w:p>
    <w:p w14:paraId="3DB341BF">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卫星同步精度≤20ns；守时精度≤28us；</w:t>
      </w:r>
    </w:p>
    <w:p w14:paraId="52E280C6">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具备IPPS、RS485、光口、千兆网口等接口，接口数量满足本项目全部校时设备接入需求；</w:t>
      </w:r>
    </w:p>
    <w:p w14:paraId="6B786DD5">
      <w:pPr>
        <w:pStyle w:val="55"/>
        <w:keepNext w:val="0"/>
        <w:keepLines w:val="0"/>
        <w:pageBreakBefore w:val="0"/>
        <w:widowControl/>
        <w:kinsoku/>
        <w:wordWrap/>
        <w:overflowPunct/>
        <w:topLinePunct w:val="0"/>
        <w:autoSpaceDE/>
        <w:autoSpaceDN/>
        <w:bidi w:val="0"/>
        <w:adjustRightInd w:val="0"/>
        <w:snapToGrid w:val="0"/>
        <w:spacing w:after="0"/>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授时能力满足本项目全部安防设备校时规模并预留冗余；</w:t>
      </w:r>
    </w:p>
    <w:p w14:paraId="3532FC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支持Web管理，具备设备状态监控、告警等功能。 </w:t>
      </w:r>
    </w:p>
    <w:p w14:paraId="001A4888">
      <w:pPr>
        <w:numPr>
          <w:ilvl w:val="0"/>
          <w:numId w:val="14"/>
        </w:numPr>
        <w:tabs>
          <w:tab w:val="left" w:pos="420"/>
        </w:tabs>
        <w:adjustRightInd w:val="0"/>
        <w:snapToGrid w:val="0"/>
        <w:spacing w:line="360" w:lineRule="auto"/>
        <w:ind w:firstLine="482" w:firstLineChars="200"/>
        <w:outlineLvl w:val="2"/>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管理要求</w:t>
      </w:r>
    </w:p>
    <w:p w14:paraId="2C135D35">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1.人员组织</w:t>
      </w:r>
    </w:p>
    <w:p w14:paraId="3156D66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拟派专门人员负责能源费用托管区域化管理，管理人员应提前向</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及</w:t>
      </w:r>
      <w:r>
        <w:rPr>
          <w:rFonts w:hint="eastAsia" w:ascii="Times New Roman" w:hAnsi="Times New Roman" w:eastAsia="宋体" w:cs="Times New Roman"/>
          <w:color w:val="auto"/>
          <w:sz w:val="24"/>
          <w:szCs w:val="24"/>
          <w:highlight w:val="none"/>
          <w:lang w:val="en-US" w:eastAsia="zh-CN"/>
        </w:rPr>
        <w:t>被托管单位</w:t>
      </w:r>
      <w:r>
        <w:rPr>
          <w:rFonts w:hint="default" w:ascii="Times New Roman" w:hAnsi="Times New Roman" w:eastAsia="宋体" w:cs="Times New Roman"/>
          <w:color w:val="auto"/>
          <w:sz w:val="24"/>
          <w:szCs w:val="24"/>
          <w:highlight w:val="none"/>
        </w:rPr>
        <w:t>报备，需要更换人员时需提前提出。</w:t>
      </w:r>
    </w:p>
    <w:p w14:paraId="14D2B37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应为本项目配备经验丰富的项目团队，团队骨干成员应有能源系统管理、公共建筑节能改造、空调系统运维等相关经验。</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应保证项目团队的主要人员的稳定性，在未经过</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同意的情况下，</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不得随意更换人员。</w:t>
      </w:r>
      <w:r>
        <w:rPr>
          <w:rFonts w:hint="eastAsia" w:ascii="Times New Roman" w:hAnsi="Times New Roman" w:eastAsia="宋体" w:cs="Times New Roman"/>
          <w:color w:val="auto"/>
          <w:sz w:val="24"/>
          <w:szCs w:val="24"/>
          <w:highlight w:val="none"/>
          <w:lang w:val="en-US" w:eastAsia="zh-CN"/>
        </w:rPr>
        <w:t>甲方或乙方</w:t>
      </w:r>
      <w:r>
        <w:rPr>
          <w:rFonts w:hint="default" w:ascii="Times New Roman" w:hAnsi="Times New Roman" w:eastAsia="宋体" w:cs="Times New Roman"/>
          <w:color w:val="auto"/>
          <w:sz w:val="24"/>
          <w:szCs w:val="24"/>
          <w:highlight w:val="none"/>
        </w:rPr>
        <w:t>认为需要更换项目经理或项目团队成员时，均应提早两周向对方申明原因，</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应同时</w:t>
      </w:r>
      <w:r>
        <w:rPr>
          <w:rFonts w:hint="eastAsia" w:ascii="Times New Roman" w:hAnsi="Times New Roman" w:eastAsia="宋体" w:cs="Times New Roman"/>
          <w:color w:val="auto"/>
          <w:sz w:val="24"/>
          <w:szCs w:val="24"/>
          <w:highlight w:val="none"/>
          <w:lang w:val="en-US" w:eastAsia="zh-CN"/>
        </w:rPr>
        <w:t>提供</w:t>
      </w:r>
      <w:r>
        <w:rPr>
          <w:rFonts w:hint="default" w:ascii="Times New Roman" w:hAnsi="Times New Roman" w:eastAsia="宋体" w:cs="Times New Roman"/>
          <w:color w:val="auto"/>
          <w:sz w:val="24"/>
          <w:szCs w:val="24"/>
          <w:highlight w:val="none"/>
        </w:rPr>
        <w:t>新的符合</w:t>
      </w:r>
      <w:r>
        <w:rPr>
          <w:rFonts w:hint="eastAsia" w:ascii="Times New Roman" w:hAnsi="Times New Roman" w:eastAsia="宋体" w:cs="Times New Roman"/>
          <w:color w:val="auto"/>
          <w:sz w:val="24"/>
          <w:szCs w:val="24"/>
          <w:highlight w:val="none"/>
          <w:lang w:val="en-US" w:eastAsia="zh-CN"/>
        </w:rPr>
        <w:t>采购</w:t>
      </w:r>
      <w:r>
        <w:rPr>
          <w:rFonts w:hint="default" w:ascii="Times New Roman" w:hAnsi="Times New Roman" w:eastAsia="宋体" w:cs="Times New Roman"/>
          <w:color w:val="auto"/>
          <w:sz w:val="24"/>
          <w:szCs w:val="24"/>
          <w:highlight w:val="none"/>
        </w:rPr>
        <w:t>要求的项目经理或项目团队成员人选，经</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同意并办理交接手续后方可更换。</w:t>
      </w:r>
    </w:p>
    <w:p w14:paraId="65D14AB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应配备专业技术团队为本项目提供专业技术支持服务，专业技术人员应来自不同的专业领域，如网络专家、暖通设备专家、电力系统专家以及其它专业业务专家等。合同期内</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应当确保其工作人员或者其聘请的第三方在项目实施、运行的整个过程中遵守</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的相关规章制度。</w:t>
      </w:r>
    </w:p>
    <w:p w14:paraId="17CEE98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2.进度管理</w:t>
      </w:r>
    </w:p>
    <w:p w14:paraId="1B4C574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应有详细计划，明确每个阶段的阶段目标、阶段交付物的成果、验收依据、双方的责任和义务等。节能改造实施方案经</w:t>
      </w:r>
      <w:r>
        <w:rPr>
          <w:rFonts w:hint="eastAsia" w:ascii="Times New Roman" w:hAnsi="Times New Roman" w:eastAsia="宋体" w:cs="Times New Roman"/>
          <w:color w:val="auto"/>
          <w:sz w:val="24"/>
          <w:szCs w:val="24"/>
          <w:highlight w:val="none"/>
          <w:lang w:val="en-US" w:eastAsia="zh-CN"/>
        </w:rPr>
        <w:t>甲方和被托管单位</w:t>
      </w:r>
      <w:r>
        <w:rPr>
          <w:rFonts w:hint="default" w:ascii="Times New Roman" w:hAnsi="Times New Roman" w:eastAsia="宋体" w:cs="Times New Roman"/>
          <w:color w:val="auto"/>
          <w:sz w:val="24"/>
          <w:szCs w:val="24"/>
          <w:highlight w:val="none"/>
        </w:rPr>
        <w:t>同意，</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应按项目方案文件规定的技术标准和要求以及本合同的规定，在合同签订之日起180</w:t>
      </w:r>
      <w:r>
        <w:rPr>
          <w:rFonts w:hint="eastAsia" w:ascii="Times New Roman" w:hAnsi="Times New Roman" w:eastAsia="宋体" w:cs="Times New Roman"/>
          <w:color w:val="auto"/>
          <w:sz w:val="24"/>
          <w:szCs w:val="24"/>
          <w:highlight w:val="none"/>
          <w:lang w:val="en-US" w:eastAsia="zh-CN"/>
        </w:rPr>
        <w:t>个</w:t>
      </w:r>
      <w:r>
        <w:rPr>
          <w:rFonts w:hint="default" w:ascii="Times New Roman" w:hAnsi="Times New Roman" w:eastAsia="宋体" w:cs="Times New Roman"/>
          <w:color w:val="auto"/>
          <w:sz w:val="24"/>
          <w:szCs w:val="24"/>
          <w:highlight w:val="none"/>
        </w:rPr>
        <w:t>日历天内完成本项目的方案设计、建设及验收。</w:t>
      </w:r>
    </w:p>
    <w:p w14:paraId="45DBD9A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3.风险管理</w:t>
      </w:r>
    </w:p>
    <w:p w14:paraId="40E4A39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实际运行过程中，</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应根据项目实际情况加强风险管理，做好风险的识别，风险的量化分析，制定风险的应对预案。</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应当确保其工作人员和其聘请的第三方严格遵守</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有关施工场地安全和卫生等方面的规定，并听从</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合理的现场指挥。</w:t>
      </w:r>
    </w:p>
    <w:p w14:paraId="338E89D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4.服务质量</w:t>
      </w:r>
    </w:p>
    <w:p w14:paraId="17FDA9E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合理的特有的施工、管理、质量要求。满足</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对质量的要求。</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应根据整个项目周期的工作计划，对阶段性工作成果进行审查和测试，并向项目单位提交阶段性工作成果。通过保证各阶段性成果的质量，最终保证整个项目的质量。</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应针对项目制定详细的质量管理方案。</w:t>
      </w:r>
    </w:p>
    <w:p w14:paraId="2ECB0A9C">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5.文档要求</w:t>
      </w:r>
    </w:p>
    <w:p w14:paraId="52E65C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应依照要求提供服务周期内的各类文档，除特别要求的文档，可采用电子文档的形式；</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应按照</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规定的文档格式、文档要求、提交周期准时提交相关文档；</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应提供所有的文档，主要包括：各项问题分析报告、典型经验总结、系统数据报告、系统数据分析报告、系统的优化建议方案等；除了常规报告类的文档，</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需按照服务要求提供相关技术方案等临时性文档，还应配合</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进行相关项目验收的资料准备、各项规章制度的编制、完善等文档类工作。</w:t>
      </w:r>
    </w:p>
    <w:p w14:paraId="181D6C68">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6.知识产权</w:t>
      </w:r>
    </w:p>
    <w:p w14:paraId="082B220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对于结合</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专门服务需求开发的部分，</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享有知识产权。</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在项目服务过程中涉及第三方产品，若出现技术、经济或法律上的纠纷，应由</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全面承担并全权解决，确保不影响工作的正常开展。</w:t>
      </w:r>
    </w:p>
    <w:p w14:paraId="57B9EB3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3"/>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7.合同变更要求</w:t>
      </w:r>
    </w:p>
    <w:p w14:paraId="0EB6F0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如在项目服务过程中需要调整合同中规定的工作内容，需经</w:t>
      </w:r>
      <w:r>
        <w:rPr>
          <w:rFonts w:hint="eastAsia" w:ascii="Times New Roman" w:hAnsi="Times New Roman" w:eastAsia="宋体" w:cs="Times New Roman"/>
          <w:color w:val="auto"/>
          <w:sz w:val="24"/>
          <w:szCs w:val="24"/>
          <w:highlight w:val="none"/>
          <w:lang w:val="en-US" w:eastAsia="zh-CN"/>
        </w:rPr>
        <w:t>甲方和乙方</w:t>
      </w:r>
      <w:r>
        <w:rPr>
          <w:rFonts w:hint="default" w:ascii="Times New Roman" w:hAnsi="Times New Roman" w:eastAsia="宋体" w:cs="Times New Roman"/>
          <w:color w:val="auto"/>
          <w:sz w:val="24"/>
          <w:szCs w:val="24"/>
          <w:highlight w:val="none"/>
        </w:rPr>
        <w:t>共同同意，按合同变更程序办理。</w:t>
      </w:r>
    </w:p>
    <w:p w14:paraId="38789C93">
      <w:pPr>
        <w:tabs>
          <w:tab w:val="left" w:pos="420"/>
        </w:tabs>
        <w:adjustRightInd w:val="0"/>
        <w:snapToGrid w:val="0"/>
        <w:spacing w:line="360" w:lineRule="auto"/>
        <w:ind w:firstLine="482" w:firstLineChars="200"/>
        <w:outlineLvl w:val="2"/>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（三）其他要求</w:t>
      </w:r>
    </w:p>
    <w:p w14:paraId="2509EBA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1.因国家相关部门或能源供应公司给予</w:t>
      </w:r>
      <w:r>
        <w:rPr>
          <w:rFonts w:hint="eastAsia" w:ascii="Times New Roman" w:hAnsi="Times New Roman" w:eastAsia="宋体" w:cs="Times New Roman"/>
          <w:b w:val="0"/>
          <w:bCs/>
          <w:color w:val="auto"/>
          <w:sz w:val="24"/>
          <w:szCs w:val="24"/>
          <w:highlight w:val="none"/>
          <w:lang w:val="en-US" w:eastAsia="zh-CN"/>
        </w:rPr>
        <w:t>甲方</w:t>
      </w:r>
      <w:r>
        <w:rPr>
          <w:rFonts w:hint="default" w:ascii="Times New Roman" w:hAnsi="Times New Roman" w:eastAsia="宋体" w:cs="Times New Roman"/>
          <w:b w:val="0"/>
          <w:bCs/>
          <w:color w:val="auto"/>
          <w:sz w:val="24"/>
          <w:szCs w:val="24"/>
          <w:highlight w:val="none"/>
        </w:rPr>
        <w:t>、</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优惠政策而降低的能源费用应根据优惠政策条件由各方各自受益。</w:t>
      </w:r>
    </w:p>
    <w:p w14:paraId="59C0563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2.如单位年度内发生用能设备增减（累计10kW以上）、用能时间增减、用能区域增减、极端天气及设备损坏、遭外力破坏、办公人员增减（20人及以上）、能源资源价格调整等原因导致的能源消耗发生重大变化，双方依据合同约定的调整方式或聘请第三方核定机构确定变化量，具体方式以书面补充协议形式确定。</w:t>
      </w:r>
    </w:p>
    <w:p w14:paraId="4960BD1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3.考核要求：</w:t>
      </w:r>
    </w:p>
    <w:p w14:paraId="664E6C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空调集中供冷条件如下：</w:t>
      </w:r>
    </w:p>
    <w:p w14:paraId="428018A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a）供冷开始条件：室外最高气温连续3天&gt;28℃或当天&gt;31℃；</w:t>
      </w:r>
    </w:p>
    <w:p w14:paraId="5E775A8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b）供冷结束条件：室外最高气温连续3天&lt;27℃或当天&lt;24℃；</w:t>
      </w:r>
    </w:p>
    <w:p w14:paraId="0F13AE5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c）供冷时，室内温度范围26℃±2℃。</w:t>
      </w:r>
    </w:p>
    <w:p w14:paraId="3AF6AB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空调集中供暖条件如下：</w:t>
      </w:r>
    </w:p>
    <w:p w14:paraId="223E6B5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a）供暖开始条件：室外最低气温连续3天&lt;13℃或当天&lt;10℃；</w:t>
      </w:r>
    </w:p>
    <w:p w14:paraId="4F1BAB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b）供暖结束条件：室外最低气温连续3天&gt;17℃或当天&gt;20℃；</w:t>
      </w:r>
    </w:p>
    <w:p w14:paraId="36889F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c）供暖时，室内温度范围20℃±2℃。</w:t>
      </w:r>
    </w:p>
    <w:p w14:paraId="3DFE48F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服务指标：项目服务满意率95%以上；能源消耗量、能源费用、峰谷电比等核心数据维持较好应用水平，并呈现持续改进态势。</w:t>
      </w:r>
    </w:p>
    <w:p w14:paraId="55F2411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服务时间：提供365天*24小时的不间断运维服务指导，为用户提供最灵活的用能体验。</w:t>
      </w:r>
    </w:p>
    <w:p w14:paraId="131E8E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故障响应时间：设备发生故障应在1小时内予以响应，8小时内修复，因特殊零配件原因48小时内修复，并持续协助故障的最终解答或解决。托管期间，乙方投入设备的维修由乙方负责，报修方式为电话、短信、微信、QQ、信函等。</w:t>
      </w:r>
    </w:p>
    <w:p w14:paraId="6330D08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项目保障：建立健全项目相关组织构架、设备、系统、记录、创新、奖惩等各环节、多维度的规章制度，并执行到位。</w:t>
      </w:r>
    </w:p>
    <w:p w14:paraId="73AB62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供暖周期：一般为1月1日至3月15日和11月15日至12月31日。</w:t>
      </w:r>
    </w:p>
    <w:p w14:paraId="0D21B7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Times New Roman" w:hAnsi="Times New Roman" w:eastAsia="宋体" w:cs="Times New Roman"/>
          <w:b w:val="0"/>
          <w:bCs/>
          <w:color w:val="auto"/>
          <w:sz w:val="24"/>
          <w:szCs w:val="24"/>
          <w:highlight w:val="none"/>
          <w:lang w:eastAsia="zh-CN"/>
        </w:rPr>
      </w:pPr>
      <w:r>
        <w:rPr>
          <w:rFonts w:hint="default" w:ascii="Times New Roman" w:hAnsi="Times New Roman" w:eastAsia="宋体" w:cs="Times New Roman"/>
          <w:b w:val="0"/>
          <w:bCs/>
          <w:color w:val="auto"/>
          <w:sz w:val="24"/>
          <w:szCs w:val="24"/>
          <w:highlight w:val="none"/>
        </w:rPr>
        <w:t>供冷周期：一般为5月25日至9月30日</w:t>
      </w:r>
      <w:r>
        <w:rPr>
          <w:rFonts w:hint="eastAsia" w:ascii="Times New Roman" w:hAnsi="Times New Roman" w:eastAsia="宋体" w:cs="Times New Roman"/>
          <w:b w:val="0"/>
          <w:bCs/>
          <w:color w:val="auto"/>
          <w:sz w:val="24"/>
          <w:szCs w:val="24"/>
          <w:highlight w:val="none"/>
          <w:lang w:eastAsia="zh-CN"/>
        </w:rPr>
        <w:t>。</w:t>
      </w:r>
    </w:p>
    <w:p w14:paraId="37922B3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如</w:t>
      </w:r>
      <w:r>
        <w:rPr>
          <w:rFonts w:hint="eastAsia" w:ascii="Times New Roman" w:hAnsi="Times New Roman" w:eastAsia="宋体" w:cs="Times New Roman"/>
          <w:b w:val="0"/>
          <w:bCs/>
          <w:color w:val="auto"/>
          <w:sz w:val="24"/>
          <w:szCs w:val="24"/>
          <w:highlight w:val="none"/>
          <w:lang w:val="en-US" w:eastAsia="zh-CN"/>
        </w:rPr>
        <w:t>遇极端天气等特殊情况或被托管单位根据现场实际情况</w:t>
      </w:r>
      <w:r>
        <w:rPr>
          <w:rFonts w:hint="default" w:ascii="Times New Roman" w:hAnsi="Times New Roman" w:eastAsia="宋体" w:cs="Times New Roman"/>
          <w:b w:val="0"/>
          <w:bCs/>
          <w:color w:val="auto"/>
          <w:sz w:val="24"/>
          <w:szCs w:val="24"/>
          <w:highlight w:val="none"/>
        </w:rPr>
        <w:t>提出个性化需求，</w:t>
      </w:r>
      <w:r>
        <w:rPr>
          <w:rFonts w:hint="eastAsia" w:ascii="Times New Roman" w:hAnsi="Times New Roman" w:eastAsia="宋体" w:cs="Times New Roman"/>
          <w:b w:val="0"/>
          <w:bCs/>
          <w:color w:val="auto"/>
          <w:sz w:val="24"/>
          <w:szCs w:val="24"/>
          <w:highlight w:val="none"/>
          <w:lang w:val="en-US" w:eastAsia="zh-CN"/>
        </w:rPr>
        <w:t>乙方与被托管单位协商后决定，原则上应满足被托管单位需求</w:t>
      </w:r>
      <w:r>
        <w:rPr>
          <w:rFonts w:hint="default" w:ascii="Times New Roman" w:hAnsi="Times New Roman" w:eastAsia="宋体" w:cs="Times New Roman"/>
          <w:b w:val="0"/>
          <w:bCs/>
          <w:color w:val="auto"/>
          <w:sz w:val="24"/>
          <w:szCs w:val="24"/>
          <w:highlight w:val="none"/>
        </w:rPr>
        <w:t>。</w:t>
      </w:r>
    </w:p>
    <w:p w14:paraId="798E05C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color w:val="auto"/>
          <w:sz w:val="24"/>
          <w:szCs w:val="24"/>
          <w:highlight w:val="none"/>
        </w:rPr>
        <w:t>4</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泰州市能源管理“一张网”平台后续接入及数据贯通配合要求：本项目构建的全市一张网能管平台，</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应将</w:t>
      </w:r>
      <w:r>
        <w:rPr>
          <w:rFonts w:hint="eastAsia" w:ascii="Times New Roman" w:hAnsi="Times New Roman" w:eastAsia="宋体" w:cs="Times New Roman"/>
          <w:color w:val="auto"/>
          <w:sz w:val="24"/>
          <w:szCs w:val="24"/>
          <w:highlight w:val="none"/>
          <w:lang w:val="en-US" w:eastAsia="zh-CN"/>
        </w:rPr>
        <w:t>泰州</w:t>
      </w:r>
      <w:r>
        <w:rPr>
          <w:rFonts w:hint="default" w:ascii="Times New Roman" w:hAnsi="Times New Roman" w:eastAsia="宋体" w:cs="Times New Roman"/>
          <w:color w:val="auto"/>
          <w:sz w:val="24"/>
          <w:szCs w:val="24"/>
          <w:highlight w:val="none"/>
        </w:rPr>
        <w:t>市本级</w:t>
      </w:r>
      <w:r>
        <w:rPr>
          <w:rFonts w:hint="eastAsia" w:ascii="Times New Roman" w:hAnsi="Times New Roman" w:eastAsia="宋体" w:cs="Times New Roman"/>
          <w:color w:val="auto"/>
          <w:sz w:val="24"/>
          <w:szCs w:val="24"/>
          <w:highlight w:val="none"/>
          <w:lang w:val="en-US" w:eastAsia="zh-CN"/>
        </w:rPr>
        <w:t>其他</w:t>
      </w:r>
      <w:r>
        <w:rPr>
          <w:rFonts w:hint="default" w:ascii="Times New Roman" w:hAnsi="Times New Roman" w:eastAsia="宋体" w:cs="Times New Roman"/>
          <w:color w:val="auto"/>
          <w:sz w:val="24"/>
          <w:szCs w:val="24"/>
          <w:highlight w:val="none"/>
        </w:rPr>
        <w:t>40余家公共机构的能耗（电、气、水）总计量接入，平台应预留</w:t>
      </w:r>
      <w:r>
        <w:rPr>
          <w:rFonts w:hint="eastAsia" w:ascii="Times New Roman" w:hAnsi="Times New Roman" w:eastAsia="宋体" w:cs="Times New Roman"/>
          <w:color w:val="auto"/>
          <w:sz w:val="24"/>
          <w:szCs w:val="24"/>
          <w:highlight w:val="none"/>
          <w:lang w:val="en-US" w:eastAsia="zh-CN"/>
        </w:rPr>
        <w:t>泰州</w:t>
      </w:r>
      <w:r>
        <w:rPr>
          <w:rFonts w:hint="default" w:ascii="Times New Roman" w:hAnsi="Times New Roman" w:eastAsia="宋体" w:cs="Times New Roman"/>
          <w:color w:val="auto"/>
          <w:sz w:val="24"/>
          <w:szCs w:val="24"/>
          <w:highlight w:val="none"/>
        </w:rPr>
        <w:t>市本级</w:t>
      </w:r>
      <w:r>
        <w:rPr>
          <w:rFonts w:hint="eastAsia" w:ascii="Times New Roman" w:hAnsi="Times New Roman" w:eastAsia="宋体" w:cs="Times New Roman"/>
          <w:color w:val="auto"/>
          <w:sz w:val="24"/>
          <w:szCs w:val="24"/>
          <w:highlight w:val="none"/>
          <w:lang w:val="en-US" w:eastAsia="zh-CN"/>
        </w:rPr>
        <w:t>其他</w:t>
      </w:r>
      <w:r>
        <w:rPr>
          <w:rFonts w:hint="default" w:ascii="Times New Roman" w:hAnsi="Times New Roman" w:eastAsia="宋体" w:cs="Times New Roman"/>
          <w:color w:val="auto"/>
          <w:sz w:val="24"/>
          <w:szCs w:val="24"/>
          <w:highlight w:val="none"/>
        </w:rPr>
        <w:t>40余家</w:t>
      </w:r>
      <w:r>
        <w:rPr>
          <w:rFonts w:hint="eastAsia" w:ascii="Times New Roman" w:hAnsi="Times New Roman" w:eastAsia="宋体" w:cs="Times New Roman"/>
          <w:color w:val="auto"/>
          <w:sz w:val="24"/>
          <w:szCs w:val="24"/>
          <w:highlight w:val="none"/>
          <w:lang w:val="en-US" w:eastAsia="zh-CN"/>
        </w:rPr>
        <w:t>公共机构</w:t>
      </w:r>
      <w:r>
        <w:rPr>
          <w:rFonts w:hint="default" w:ascii="Times New Roman" w:hAnsi="Times New Roman" w:eastAsia="宋体" w:cs="Times New Roman"/>
          <w:color w:val="auto"/>
          <w:sz w:val="24"/>
          <w:szCs w:val="24"/>
          <w:highlight w:val="none"/>
        </w:rPr>
        <w:t>的接入端口及数据处理能力，实现区县、市级、省级三级能耗数据的互联互通和共享共用，后续单位接入时，</w:t>
      </w:r>
      <w:r>
        <w:rPr>
          <w:rFonts w:hint="eastAsia" w:ascii="Times New Roman" w:hAnsi="Times New Roman" w:eastAsia="宋体" w:cs="Times New Roman"/>
          <w:color w:val="auto"/>
          <w:sz w:val="24"/>
          <w:szCs w:val="24"/>
          <w:highlight w:val="none"/>
          <w:lang w:val="en-US" w:eastAsia="zh-CN"/>
        </w:rPr>
        <w:t>乙方</w:t>
      </w:r>
      <w:r>
        <w:rPr>
          <w:rFonts w:hint="default" w:ascii="Times New Roman" w:hAnsi="Times New Roman" w:eastAsia="宋体" w:cs="Times New Roman"/>
          <w:color w:val="auto"/>
          <w:sz w:val="24"/>
          <w:szCs w:val="24"/>
          <w:highlight w:val="none"/>
        </w:rPr>
        <w:t>应无条件予以配合和支持。</w:t>
      </w:r>
      <w:r>
        <w:rPr>
          <w:rFonts w:hint="eastAsia" w:ascii="Times New Roman" w:hAnsi="Times New Roman" w:eastAsia="宋体" w:cs="Times New Roman"/>
          <w:color w:val="auto"/>
          <w:sz w:val="24"/>
          <w:szCs w:val="24"/>
          <w:highlight w:val="none"/>
          <w:lang w:val="en-US" w:eastAsia="zh-CN"/>
        </w:rPr>
        <w:t>相关费用</w:t>
      </w:r>
      <w:r>
        <w:rPr>
          <w:rFonts w:hint="default" w:ascii="Times New Roman" w:hAnsi="Times New Roman" w:eastAsia="宋体" w:cs="Times New Roman"/>
          <w:b w:val="0"/>
          <w:bCs/>
          <w:color w:val="auto"/>
          <w:sz w:val="24"/>
          <w:szCs w:val="24"/>
          <w:highlight w:val="none"/>
        </w:rPr>
        <w:t>已纳入本项目托管费用基数，不得重复向</w:t>
      </w:r>
      <w:r>
        <w:rPr>
          <w:rFonts w:hint="eastAsia" w:ascii="Times New Roman" w:hAnsi="Times New Roman" w:eastAsia="宋体" w:cs="Times New Roman"/>
          <w:b w:val="0"/>
          <w:bCs/>
          <w:color w:val="auto"/>
          <w:sz w:val="24"/>
          <w:szCs w:val="24"/>
          <w:highlight w:val="none"/>
          <w:lang w:val="en-US" w:eastAsia="zh-CN"/>
        </w:rPr>
        <w:t>甲方</w:t>
      </w:r>
      <w:r>
        <w:rPr>
          <w:rFonts w:hint="default" w:ascii="Times New Roman" w:hAnsi="Times New Roman" w:eastAsia="宋体" w:cs="Times New Roman"/>
          <w:b w:val="0"/>
          <w:bCs/>
          <w:color w:val="auto"/>
          <w:sz w:val="24"/>
          <w:szCs w:val="24"/>
          <w:highlight w:val="none"/>
        </w:rPr>
        <w:t>收取。</w:t>
      </w:r>
    </w:p>
    <w:p w14:paraId="56244C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5</w:t>
      </w:r>
      <w:r>
        <w:rPr>
          <w:rFonts w:hint="default" w:ascii="Times New Roman" w:hAnsi="Times New Roman" w:eastAsia="宋体" w:cs="Times New Roman"/>
          <w:b w:val="0"/>
          <w:bCs/>
          <w:color w:val="auto"/>
          <w:sz w:val="24"/>
          <w:szCs w:val="24"/>
          <w:highlight w:val="none"/>
        </w:rPr>
        <w:t>.光伏发电：本项目光伏改造部分合作期限为10年，纳入本项目能源费用托管服务范围，能源托管期10年内光伏发电作为</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节能收益项。能源托管期结束后15年为延续运营期，由</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继续负责光伏系统的运营管理、日常维护、故障维修及相关设备维护更换等工作，并按照被托管单位当月对应的国家电网执行电价的7</w:t>
      </w:r>
      <w:r>
        <w:rPr>
          <w:rFonts w:hint="eastAsia" w:ascii="Times New Roman" w:hAnsi="Times New Roman" w:eastAsia="宋体" w:cs="Times New Roman"/>
          <w:b w:val="0"/>
          <w:bCs/>
          <w:color w:val="auto"/>
          <w:sz w:val="24"/>
          <w:szCs w:val="24"/>
          <w:highlight w:val="none"/>
          <w:lang w:val="en-US" w:eastAsia="zh-CN"/>
        </w:rPr>
        <w:t>8</w:t>
      </w:r>
      <w:r>
        <w:rPr>
          <w:rFonts w:hint="default" w:ascii="Times New Roman" w:hAnsi="Times New Roman" w:eastAsia="宋体" w:cs="Times New Roman"/>
          <w:b w:val="0"/>
          <w:bCs/>
          <w:color w:val="auto"/>
          <w:sz w:val="24"/>
          <w:szCs w:val="24"/>
          <w:highlight w:val="none"/>
        </w:rPr>
        <w:t>%向被托管单位售电。</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须充分考虑光伏项目全生命周期运营要求，</w:t>
      </w:r>
      <w:r>
        <w:rPr>
          <w:rFonts w:hint="eastAsia" w:ascii="Times New Roman" w:hAnsi="Times New Roman" w:eastAsia="宋体" w:cs="Times New Roman"/>
          <w:b w:val="0"/>
          <w:bCs/>
          <w:color w:val="auto"/>
          <w:sz w:val="24"/>
          <w:szCs w:val="24"/>
          <w:highlight w:val="none"/>
          <w:lang w:val="en-US" w:eastAsia="zh-CN"/>
        </w:rPr>
        <w:t>接受</w:t>
      </w:r>
      <w:r>
        <w:rPr>
          <w:rFonts w:hint="default" w:ascii="Times New Roman" w:hAnsi="Times New Roman" w:eastAsia="宋体" w:cs="Times New Roman"/>
          <w:b w:val="0"/>
          <w:bCs/>
          <w:color w:val="auto"/>
          <w:sz w:val="24"/>
          <w:szCs w:val="24"/>
          <w:highlight w:val="none"/>
        </w:rPr>
        <w:t>上述合作模式、服务期限及售电价格。</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应按照约定履行后</w:t>
      </w:r>
      <w:r>
        <w:rPr>
          <w:rFonts w:hint="eastAsia" w:ascii="Times New Roman" w:hAnsi="Times New Roman" w:eastAsia="宋体" w:cs="Times New Roman"/>
          <w:b w:val="0"/>
          <w:bCs/>
          <w:color w:val="auto"/>
          <w:sz w:val="24"/>
          <w:szCs w:val="24"/>
          <w:highlight w:val="none"/>
          <w:lang w:val="en-US" w:eastAsia="zh-CN"/>
        </w:rPr>
        <w:t>能源托管结束后</w:t>
      </w:r>
      <w:r>
        <w:rPr>
          <w:rFonts w:hint="default" w:ascii="Times New Roman" w:hAnsi="Times New Roman" w:eastAsia="宋体" w:cs="Times New Roman"/>
          <w:b w:val="0"/>
          <w:bCs/>
          <w:color w:val="auto"/>
          <w:sz w:val="24"/>
          <w:szCs w:val="24"/>
          <w:highlight w:val="none"/>
        </w:rPr>
        <w:t>15年延续运营及售电义务，确保光伏系统持续、安全、稳定运行。</w:t>
      </w:r>
    </w:p>
    <w:p w14:paraId="798F4AF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6</w:t>
      </w:r>
      <w:r>
        <w:rPr>
          <w:rFonts w:hint="default" w:ascii="Times New Roman" w:hAnsi="Times New Roman" w:eastAsia="宋体" w:cs="Times New Roman"/>
          <w:b w:val="0"/>
          <w:bCs/>
          <w:color w:val="auto"/>
          <w:sz w:val="24"/>
          <w:szCs w:val="24"/>
          <w:highlight w:val="none"/>
        </w:rPr>
        <w:t>.空调设备维保要求：</w:t>
      </w:r>
      <w:bookmarkStart w:id="281" w:name="_GoBack"/>
      <w:bookmarkEnd w:id="281"/>
    </w:p>
    <w:p w14:paraId="6A47C83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（1）维保范围及标准：本项目被托管单位的空调维保服务范围、服务内容、维保频次及服务标准，原则上以能耗基准值核定时所依据的原空调维保合同约定为准。</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应按照约定落实维保服务，确保托管期间空调设备正常运行，不得擅自缩减维保范围或降低服务标准。</w:t>
      </w:r>
    </w:p>
    <w:p w14:paraId="21B822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2）原维保合同重叠期费用处理：对于原空调维保合同期限与本项目能源费用托管期限存在重叠的，重叠期间对应的维保费用已纳入本项目核定的托管费用基数，不得重复向被托管单位收取。若被托管单位已提前支付重叠期间的维保费用，</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根据原维保合同、付款凭证及重叠期间对应的费用金额进行核实，并通过退还相应费用，或经被托管单位书面同意后在相关费用结算中予以抵扣等方式处理，确保被托管单位不重复承担该部分费用；若相关费用尚未支付，</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应按照合同约定负责支付。</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应形成费用核对及处理清单，经</w:t>
      </w:r>
      <w:r>
        <w:rPr>
          <w:rFonts w:hint="eastAsia" w:ascii="Times New Roman" w:hAnsi="Times New Roman" w:eastAsia="宋体" w:cs="Times New Roman"/>
          <w:b w:val="0"/>
          <w:bCs/>
          <w:color w:val="auto"/>
          <w:sz w:val="24"/>
          <w:szCs w:val="24"/>
          <w:highlight w:val="none"/>
          <w:lang w:val="en-US" w:eastAsia="zh-CN"/>
        </w:rPr>
        <w:t>被托管单位</w:t>
      </w:r>
      <w:r>
        <w:rPr>
          <w:rFonts w:hint="default" w:ascii="Times New Roman" w:hAnsi="Times New Roman" w:eastAsia="宋体" w:cs="Times New Roman"/>
          <w:b w:val="0"/>
          <w:bCs/>
          <w:color w:val="auto"/>
          <w:sz w:val="24"/>
          <w:szCs w:val="24"/>
          <w:highlight w:val="none"/>
        </w:rPr>
        <w:t>确认后实施，相关支付、退还或抵扣凭证应留档备查。</w:t>
      </w:r>
    </w:p>
    <w:p w14:paraId="1364D73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（3）节能改造及设备更换后的维保责任：托管期间，</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可根据实际运行情况及节能改造方案，对被托管单位现有空调设备实施节能改造、更新或更换。相关方案应事先报</w:t>
      </w:r>
      <w:r>
        <w:rPr>
          <w:rFonts w:hint="eastAsia" w:ascii="Times New Roman" w:hAnsi="Times New Roman" w:eastAsia="宋体" w:cs="Times New Roman"/>
          <w:b w:val="0"/>
          <w:bCs/>
          <w:color w:val="auto"/>
          <w:sz w:val="24"/>
          <w:szCs w:val="24"/>
          <w:highlight w:val="none"/>
          <w:lang w:val="en-US" w:eastAsia="zh-CN"/>
        </w:rPr>
        <w:t>甲方</w:t>
      </w:r>
      <w:r>
        <w:rPr>
          <w:rFonts w:hint="default" w:ascii="Times New Roman" w:hAnsi="Times New Roman" w:eastAsia="宋体" w:cs="Times New Roman"/>
          <w:b w:val="0"/>
          <w:bCs/>
          <w:color w:val="auto"/>
          <w:sz w:val="24"/>
          <w:szCs w:val="24"/>
          <w:highlight w:val="none"/>
        </w:rPr>
        <w:t>及被托管单位确认，并明确改造范围、设备清单、技术参数、实施计划及后续维保责任。对于</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实施改造或更换的设备及相关配套设施，能源托管期间</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应负责运行维护、故障维修及相关服务，相关费用已纳入托管费用，不得另行重复收费。对于未实施改造或更换的原有设备，仍按照原维保合同范围和标准执行。</w:t>
      </w:r>
    </w:p>
    <w:p w14:paraId="64D361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outlineLvl w:val="9"/>
        <w:rPr>
          <w:rFonts w:hint="default" w:ascii="Times New Roman" w:hAnsi="Times New Roman" w:eastAsia="宋体" w:cs="Times New Roman"/>
          <w:b w:val="0"/>
          <w:bCs/>
          <w:color w:val="auto"/>
          <w:sz w:val="24"/>
          <w:szCs w:val="24"/>
          <w:highlight w:val="none"/>
        </w:rPr>
      </w:pPr>
      <w:r>
        <w:rPr>
          <w:rFonts w:hint="eastAsia" w:ascii="Times New Roman" w:hAnsi="Times New Roman" w:eastAsia="宋体" w:cs="Times New Roman"/>
          <w:b w:val="0"/>
          <w:bCs/>
          <w:color w:val="auto"/>
          <w:sz w:val="24"/>
          <w:szCs w:val="24"/>
          <w:highlight w:val="none"/>
          <w:lang w:val="en-US" w:eastAsia="zh-CN"/>
        </w:rPr>
        <w:t>7</w:t>
      </w:r>
      <w:r>
        <w:rPr>
          <w:rFonts w:hint="default" w:ascii="Times New Roman" w:hAnsi="Times New Roman" w:eastAsia="宋体" w:cs="Times New Roman"/>
          <w:b w:val="0"/>
          <w:bCs/>
          <w:color w:val="auto"/>
          <w:sz w:val="24"/>
          <w:szCs w:val="24"/>
          <w:highlight w:val="none"/>
        </w:rPr>
        <w:t>.</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为本项目配备的所有服务人员若人员在服务期间内出现的工伤及其他意外事故，均由</w:t>
      </w:r>
      <w:r>
        <w:rPr>
          <w:rFonts w:hint="eastAsia" w:ascii="Times New Roman" w:hAnsi="Times New Roman" w:eastAsia="宋体" w:cs="Times New Roman"/>
          <w:b w:val="0"/>
          <w:bCs/>
          <w:color w:val="auto"/>
          <w:sz w:val="24"/>
          <w:szCs w:val="24"/>
          <w:highlight w:val="none"/>
          <w:lang w:val="en-US" w:eastAsia="zh-CN"/>
        </w:rPr>
        <w:t>乙方</w:t>
      </w:r>
      <w:r>
        <w:rPr>
          <w:rFonts w:hint="default" w:ascii="Times New Roman" w:hAnsi="Times New Roman" w:eastAsia="宋体" w:cs="Times New Roman"/>
          <w:b w:val="0"/>
          <w:bCs/>
          <w:color w:val="auto"/>
          <w:sz w:val="24"/>
          <w:szCs w:val="24"/>
          <w:highlight w:val="none"/>
        </w:rPr>
        <w:t>自行负责，</w:t>
      </w:r>
      <w:r>
        <w:rPr>
          <w:rFonts w:hint="eastAsia" w:ascii="Times New Roman" w:hAnsi="Times New Roman" w:eastAsia="宋体" w:cs="Times New Roman"/>
          <w:b w:val="0"/>
          <w:bCs/>
          <w:color w:val="auto"/>
          <w:sz w:val="24"/>
          <w:szCs w:val="24"/>
          <w:highlight w:val="none"/>
          <w:lang w:val="en-US" w:eastAsia="zh-CN"/>
        </w:rPr>
        <w:t>甲方和</w:t>
      </w:r>
      <w:r>
        <w:rPr>
          <w:rFonts w:hint="default" w:ascii="Times New Roman" w:hAnsi="Times New Roman" w:eastAsia="宋体" w:cs="Times New Roman"/>
          <w:b w:val="0"/>
          <w:bCs/>
          <w:color w:val="auto"/>
          <w:sz w:val="24"/>
          <w:szCs w:val="24"/>
          <w:highlight w:val="none"/>
        </w:rPr>
        <w:t>被托管单位不承担任何责任。</w:t>
      </w:r>
    </w:p>
    <w:p w14:paraId="12680622">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第十二</w:t>
      </w:r>
      <w:r>
        <w:rPr>
          <w:rFonts w:hint="default" w:ascii="Times New Roman" w:hAnsi="Times New Roman" w:eastAsia="宋体" w:cs="Times New Roman"/>
          <w:b/>
          <w:color w:val="auto"/>
          <w:sz w:val="24"/>
          <w:szCs w:val="24"/>
          <w:highlight w:val="none"/>
          <w:lang w:val="en-US" w:eastAsia="zh-CN"/>
        </w:rPr>
        <w:t>条</w:t>
      </w:r>
      <w:r>
        <w:rPr>
          <w:rFonts w:hint="default" w:ascii="Times New Roman" w:hAnsi="Times New Roman" w:eastAsia="宋体" w:cs="Times New Roman"/>
          <w:b/>
          <w:color w:val="auto"/>
          <w:sz w:val="24"/>
          <w:szCs w:val="24"/>
          <w:highlight w:val="none"/>
        </w:rPr>
        <w:t xml:space="preserve">  节能改造</w:t>
      </w:r>
    </w:p>
    <w:p w14:paraId="3BC011CE">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12.1 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p>
    <w:p w14:paraId="5277E24D">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12.2 节能改造所需投资和收益由甲乙双方本着经济合理性的原则协商确定。“节能改造方案”详见本合同附件三。</w:t>
      </w:r>
    </w:p>
    <w:p w14:paraId="5C31955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第十三条  安全生产和环境保护</w:t>
      </w:r>
    </w:p>
    <w:p w14:paraId="753AFDA0">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13.1 乙方在运营管理过程中应当严格遵守能源管理适用的法律、法规、规章制度，因违章操作或不尽职尽责导致在运行期间出现安全事故和经济损失由乙方负责。</w:t>
      </w:r>
    </w:p>
    <w:p w14:paraId="7320C6DA">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13.2 乙方进行的节能改造部分，由于乙方原因导致改造自身存在系统缺陷或施工质量导致安全事故和经济损失由乙方负责。</w:t>
      </w:r>
    </w:p>
    <w:p w14:paraId="4B799068">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13.3 甲方先期建设的能源供应和使用系统，由于系统缺陷或施工质量导致的安全事故和经济损失由甲方负责。</w:t>
      </w:r>
    </w:p>
    <w:p w14:paraId="11A5BF53">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13.4 针对安全生产和环境保护，甲、乙双方应当制定专项规范，划分相关的责任。</w:t>
      </w:r>
    </w:p>
    <w:p w14:paraId="1EA988F4">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“安全生产和环境保护规范”详见本合同附件四。</w:t>
      </w:r>
    </w:p>
    <w:p w14:paraId="68F7BC2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第十四条  禁止商业贿赂</w:t>
      </w:r>
    </w:p>
    <w:p w14:paraId="02F9F0E6">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甲、乙双方应当遵守廉洁从政、廉洁经商的有关规定，禁止一方向另一方提供实物、现金、有价证券、超标准宴请、高消费娱乐活动等违反“廉洁协议书”约定的行为。</w:t>
      </w:r>
    </w:p>
    <w:p w14:paraId="499B5B08">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“廉洁协议书”详见本合同附件五。</w:t>
      </w:r>
    </w:p>
    <w:p w14:paraId="6800139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第十五条  保密义务</w:t>
      </w:r>
    </w:p>
    <w:p w14:paraId="65FC0528">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15.1 甲、乙双方及其项目参加人员应对在合同履行过程中了解到的涉及到对方技术信息、经验信息、商业秘密以及其他尚未公开的有关信息、资料负有保密义务，并采取相应的保密措施。双方应承担的保密义务包括但不限于：</w:t>
      </w:r>
    </w:p>
    <w:p w14:paraId="105EBB0E">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15.1.1 未经对方书面同意，不得将上述信息、资料披露给任何第三人；不得将上述信息、资料用于本合同以外的其他目的；</w:t>
      </w:r>
    </w:p>
    <w:p w14:paraId="1D3AD4AA">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15.1.2必须严格遵守</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信息安全方面的要求。对于参与项目的人员均需要签订统一的信息保密协议；乙方组建的项目成员在项目单位履行职责期间，必须遵守甲方规定的任何成文或不成文的保密规章、制度，履行与其工作岗位相应的保密职责。不向不承担相应保密义务的任何第三人披露</w:t>
      </w:r>
      <w:r>
        <w:rPr>
          <w:rFonts w:hint="eastAsia" w:ascii="Times New Roman" w:hAnsi="Times New Roman" w:eastAsia="宋体" w:cs="Times New Roman"/>
          <w:color w:val="auto"/>
          <w:sz w:val="24"/>
          <w:szCs w:val="24"/>
          <w:highlight w:val="none"/>
          <w:lang w:val="en-US" w:eastAsia="zh-CN"/>
        </w:rPr>
        <w:t>甲方</w:t>
      </w:r>
      <w:r>
        <w:rPr>
          <w:rFonts w:hint="default" w:ascii="Times New Roman" w:hAnsi="Times New Roman" w:eastAsia="宋体" w:cs="Times New Roman"/>
          <w:color w:val="auto"/>
          <w:sz w:val="24"/>
          <w:szCs w:val="24"/>
          <w:highlight w:val="none"/>
        </w:rPr>
        <w:t>的</w:t>
      </w:r>
      <w:r>
        <w:rPr>
          <w:rFonts w:hint="eastAsia" w:ascii="Times New Roman" w:hAnsi="Times New Roman" w:eastAsia="宋体" w:cs="Times New Roman"/>
          <w:color w:val="auto"/>
          <w:sz w:val="24"/>
          <w:szCs w:val="24"/>
          <w:highlight w:val="none"/>
          <w:lang w:val="en-US" w:eastAsia="zh-CN"/>
        </w:rPr>
        <w:t>保密资料</w:t>
      </w:r>
      <w:r>
        <w:rPr>
          <w:rFonts w:hint="default" w:ascii="Times New Roman" w:hAnsi="Times New Roman" w:eastAsia="宋体" w:cs="Times New Roman"/>
          <w:color w:val="auto"/>
          <w:sz w:val="24"/>
          <w:szCs w:val="24"/>
          <w:highlight w:val="none"/>
        </w:rPr>
        <w:t>。</w:t>
      </w:r>
    </w:p>
    <w:p w14:paraId="74FD49A8">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15.1.3 在本合同终止或解除后应按对方要求，及时将上述信息、资料返还对方或按对方要求作适当处理。</w:t>
      </w:r>
    </w:p>
    <w:p w14:paraId="33FFB24F">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15.2 乙方对以下信息进行保密，具体包括：</w:t>
      </w:r>
    </w:p>
    <w:p w14:paraId="73685956">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项目信息：如业务流程、技术方案、业务数据（静态数据、动态数据、历史数据）、报表指标、技术指标、计算机软件、数据库、操作手册、技术资料等。</w:t>
      </w:r>
    </w:p>
    <w:p w14:paraId="053833E1">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保密信息既包括书面认定为保密或专有的，又包括口头给予，随即被书面确认为保密或专有的信息。保密信息存储介质包括但不限于纸质文档、电子文档、光盘、U盘、服务器等文档。</w:t>
      </w:r>
    </w:p>
    <w:p w14:paraId="582AE720">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15.3 本合同项下的保密义务至相关商业秘密信息、资料正式向社会公开之日或一方书面解除另一方本合同项下保密义务之日起终止。本条约定在本合同终止后仍然继续有效，且不受合同解除、终止或无效的影响。</w:t>
      </w:r>
    </w:p>
    <w:p w14:paraId="00F18C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第十六条  合同变更、中止、解除</w:t>
      </w:r>
    </w:p>
    <w:p w14:paraId="4DB31D3D">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16.1 出现需要变更合同内容的客观情形，或者一方提出合理的诉求，经双方协商一致可以变更合同内容。</w:t>
      </w:r>
    </w:p>
    <w:p w14:paraId="6B7590AA">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16.2 本合同的权利义务不可转让，特殊情况下，如乙方确需转让本合同权利义务，须经甲方书面同意，并另行签署合同约定。</w:t>
      </w:r>
    </w:p>
    <w:p w14:paraId="183BB775">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16.3 甲方发生必须停止办公或经营的情况，例如房屋大修或者部分拆除，可以中止合同履行。导致合同中止的事由消除后，恢复合同履行。</w:t>
      </w:r>
    </w:p>
    <w:p w14:paraId="45F9B3FC">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16.4 双方协商一致可以解除本合同。</w:t>
      </w:r>
    </w:p>
    <w:p w14:paraId="177A9208">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16.5 一方严重违约，导致合同不能继续履行或者使合同履行成为不必要。守约方有权解除合同，守约方应当书面通知对方，书面通知到达违约方时即产生解除合同的效力。</w:t>
      </w:r>
    </w:p>
    <w:p w14:paraId="5440FB52">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16.6 本合同经双方签字并盖章之日起90天内没有实际履行，任何一方均可书面通知对方解除合同。</w:t>
      </w:r>
    </w:p>
    <w:p w14:paraId="5BF65E64">
      <w:pPr>
        <w:adjustRightInd w:val="0"/>
        <w:snapToGrid w:val="0"/>
        <w:spacing w:line="360" w:lineRule="auto"/>
        <w:ind w:firstLine="482" w:firstLineChars="20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16.7如有违反《公共机构能源费用托管实施规程》《公共机构能源托管规程》相关规定的，可解除合同。</w:t>
      </w:r>
    </w:p>
    <w:p w14:paraId="159007D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第十七条  违约责任</w:t>
      </w:r>
    </w:p>
    <w:p w14:paraId="518A3B1E">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17.1 甲方违约责任</w:t>
      </w:r>
    </w:p>
    <w:p w14:paraId="3F0AD094">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17.1.1 如甲方未能按时足额支付托管费用经乙方催告后仍不支付时，按照拖延支付的金额每日万分之五向乙方支付违约金。</w:t>
      </w:r>
    </w:p>
    <w:p w14:paraId="1CF0A013">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17.1.2 如甲方未遵守本合同附件及其他条款约定，导致乙方经济损失，甲方应当按照乙方的实际损失额向乙方赔偿。</w:t>
      </w:r>
    </w:p>
    <w:p w14:paraId="5639B85E">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17.2 乙方违约责任</w:t>
      </w:r>
    </w:p>
    <w:p w14:paraId="7F62C237">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17.2.1 如乙方未能按照服务标准提供服务，违反操作规章制度、违反相关的服务标准，经甲方催</w:t>
      </w:r>
      <w:r>
        <w:rPr>
          <w:rFonts w:hint="default" w:ascii="Times New Roman" w:hAnsi="Times New Roman" w:eastAsia="宋体" w:cs="Times New Roman"/>
          <w:color w:val="auto"/>
          <w:sz w:val="24"/>
          <w:szCs w:val="24"/>
          <w:highlight w:val="none"/>
          <w:lang w:val="en-US" w:eastAsia="zh-CN"/>
        </w:rPr>
        <w:t>告</w:t>
      </w:r>
      <w:r>
        <w:rPr>
          <w:rFonts w:hint="default" w:ascii="Times New Roman" w:hAnsi="Times New Roman" w:eastAsia="宋体" w:cs="Times New Roman"/>
          <w:color w:val="auto"/>
          <w:sz w:val="24"/>
          <w:szCs w:val="24"/>
          <w:highlight w:val="none"/>
        </w:rPr>
        <w:t>仍不能改正的，按照对甲方的实际影响，向甲方支付违约金不少于年能源托管费用</w:t>
      </w:r>
      <w:r>
        <w:rPr>
          <w:rFonts w:hint="default" w:ascii="Times New Roman" w:hAnsi="Times New Roman" w:eastAsia="宋体" w:cs="Times New Roman"/>
          <w:color w:val="auto"/>
          <w:sz w:val="24"/>
          <w:szCs w:val="24"/>
          <w:highlight w:val="none"/>
          <w:u w:val="single"/>
        </w:rPr>
        <w:t xml:space="preserve">0.1%  </w:t>
      </w:r>
      <w:r>
        <w:rPr>
          <w:rFonts w:hint="default" w:ascii="Times New Roman" w:hAnsi="Times New Roman" w:eastAsia="宋体" w:cs="Times New Roman"/>
          <w:color w:val="auto"/>
          <w:sz w:val="24"/>
          <w:szCs w:val="24"/>
          <w:highlight w:val="none"/>
        </w:rPr>
        <w:t>。</w:t>
      </w:r>
    </w:p>
    <w:p w14:paraId="0AC1B08B">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17.2.2如乙方在托管期间的综合节能率低于</w:t>
      </w:r>
      <w:r>
        <w:rPr>
          <w:rFonts w:hint="default" w:ascii="Times New Roman" w:hAnsi="Times New Roman" w:eastAsia="宋体" w:cs="Times New Roman"/>
          <w:color w:val="auto"/>
          <w:sz w:val="24"/>
          <w:szCs w:val="24"/>
          <w:highlight w:val="none"/>
          <w:u w:val="single"/>
        </w:rPr>
        <w:t>8%</w:t>
      </w:r>
      <w:r>
        <w:rPr>
          <w:rFonts w:hint="default" w:ascii="Times New Roman" w:hAnsi="Times New Roman" w:eastAsia="宋体" w:cs="Times New Roman"/>
          <w:color w:val="auto"/>
          <w:sz w:val="24"/>
          <w:szCs w:val="24"/>
          <w:highlight w:val="none"/>
        </w:rPr>
        <w:t>（中标节能率）的，</w:t>
      </w:r>
      <w:r>
        <w:rPr>
          <w:rFonts w:hint="eastAsia" w:ascii="Times New Roman" w:hAnsi="Times New Roman" w:eastAsia="宋体" w:cs="Times New Roman"/>
          <w:color w:val="auto"/>
          <w:sz w:val="24"/>
          <w:szCs w:val="24"/>
          <w:highlight w:val="none"/>
          <w:lang w:val="en-US" w:eastAsia="zh-CN"/>
        </w:rPr>
        <w:t>按照本合同4.5章节执行</w:t>
      </w:r>
      <w:r>
        <w:rPr>
          <w:rFonts w:hint="default" w:ascii="Times New Roman" w:hAnsi="Times New Roman" w:eastAsia="宋体" w:cs="Times New Roman"/>
          <w:color w:val="auto"/>
          <w:sz w:val="24"/>
          <w:szCs w:val="24"/>
          <w:highlight w:val="none"/>
        </w:rPr>
        <w:t>。连续2年达不到承诺的节能率，经分析为非公共机构不当引起的，甲方有权要求乙方优化节能措施，加大节能改造投入。</w:t>
      </w:r>
    </w:p>
    <w:p w14:paraId="439E8203">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17.2.3 如乙方未遵守本合同附件及其他条款规定，导致甲方经济损失，应当按照甲方的实际损失额向甲方赔偿。</w:t>
      </w:r>
    </w:p>
    <w:p w14:paraId="32EE8BCD">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17.2.4乙方应始终本着服务至上、保障运行的原则，积极响应和满足甲方的特殊和应急用能需求，所产生的额外能源费用事后双方协商解决。</w:t>
      </w:r>
    </w:p>
    <w:p w14:paraId="047601B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第十八条  不可抗力</w:t>
      </w:r>
    </w:p>
    <w:p w14:paraId="3E2D16A2">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p>
    <w:p w14:paraId="62CA2B6D">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18.2 遇有不可抗力事件的一方可以中止履行，直至不可抗力事件结束，但中止最长时间不超过 90天，超过 90 天，终止本合同的履行。</w:t>
      </w:r>
    </w:p>
    <w:p w14:paraId="00F0E7FE">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18.3 遇有不可抗力事件的一方可以在通知另一方后 10 日内终止合同，任何一方将不对另一方继续承担义务，但甲方和乙方应当据实结算托管费用。仅仅发生不可抗力事件并不能必然减轻或影响具有付款义务的一方向另一方付款。</w:t>
      </w:r>
    </w:p>
    <w:p w14:paraId="3500A443">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18.4 遇有不可抗力事件的一方应采取措施，避免损失的扩大。如果因未采取相应的措施而导致损失扩大，应向另一方承担赔偿责任。</w:t>
      </w:r>
    </w:p>
    <w:p w14:paraId="74AA5F8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第十九条  法律适用和争议解决</w:t>
      </w:r>
    </w:p>
    <w:p w14:paraId="471FA46F">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19.1 本合同的订立、履行和解释，应遵守中华人民共和国法律、法规，并应遵守行业惯例。</w:t>
      </w:r>
    </w:p>
    <w:p w14:paraId="23F4053A">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19.2 因本合同的履行、解释等引起的争议，双方应友好协商解决。如在一方提出书面协商请求后15个工作日内双方无法达成一致，任何一方均可选择</w:t>
      </w:r>
      <w:r>
        <w:rPr>
          <w:rFonts w:hint="default" w:ascii="Times New Roman" w:hAnsi="Times New Roman" w:eastAsia="宋体" w:cs="Times New Roman"/>
          <w:color w:val="auto"/>
          <w:sz w:val="24"/>
          <w:szCs w:val="24"/>
          <w:highlight w:val="none"/>
          <w:u w:val="single"/>
        </w:rPr>
        <w:t>（1）</w:t>
      </w:r>
      <w:r>
        <w:rPr>
          <w:rFonts w:hint="default" w:ascii="Times New Roman" w:hAnsi="Times New Roman" w:eastAsia="宋体" w:cs="Times New Roman"/>
          <w:color w:val="auto"/>
          <w:sz w:val="24"/>
          <w:szCs w:val="24"/>
          <w:highlight w:val="none"/>
        </w:rPr>
        <w:t xml:space="preserve"> ：</w:t>
      </w:r>
    </w:p>
    <w:p w14:paraId="63793FCF">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（1）依法向项目所在地有管辖权的人民法院提起诉讼。</w:t>
      </w:r>
    </w:p>
    <w:p w14:paraId="3D91DBD0">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（2）将争议提交</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仲裁委员会，按照该会的仲裁程序和规则进行仲裁。</w:t>
      </w:r>
    </w:p>
    <w:p w14:paraId="1FAA9ED2">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19.3 无论采用仲裁还是诉讼，由此产生的律师代理费、交通差旅费、举证费、鉴定费及其他与仲裁或诉讼相关的费用，均由败诉方承担。</w:t>
      </w:r>
    </w:p>
    <w:p w14:paraId="6F9B931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1"/>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第二十条  合同的生效及其他</w:t>
      </w:r>
    </w:p>
    <w:p w14:paraId="3E679B8C">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20.1 本合同适用于能源费用托管形式的合同能源管理项目，包括但不限于政府机关、政府投资的医院、学校、社团组织及其他事业单位的办公和经营场所。</w:t>
      </w:r>
    </w:p>
    <w:p w14:paraId="27C725CC">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20.2 本合同一式捌份，甲、乙双方各执叁份，代理机构贰份。具有同等法律效力。本合同经双方法定代表人或授权代表签字并加盖公章之日起生效。</w:t>
      </w:r>
    </w:p>
    <w:p w14:paraId="1E01D815">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20.3 本合同的附件为本合同不可分割的组成部分，与本合同具有同等法律效力。本合同与附件及附件之间规定不一致时，以规定详细的文件为准。</w:t>
      </w:r>
    </w:p>
    <w:p w14:paraId="47CB505B">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附件共</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份：</w:t>
      </w:r>
    </w:p>
    <w:p w14:paraId="5DD68BC6">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附件一：项目现有用能情况；</w:t>
      </w:r>
    </w:p>
    <w:p w14:paraId="0ABD072C">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附件二：乙方的服务标准；</w:t>
      </w:r>
    </w:p>
    <w:p w14:paraId="10C8C71A">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附件三：节能改造方案；</w:t>
      </w:r>
    </w:p>
    <w:p w14:paraId="018AF90E">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附件四：安全生产和环境保护规范；</w:t>
      </w:r>
    </w:p>
    <w:p w14:paraId="4B8141F0">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附件五：廉洁协议书</w:t>
      </w:r>
    </w:p>
    <w:p w14:paraId="38CB6257">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20.4 甲、乙双方发送给对方的通知，如用电话、微信、传真、电子邮件等形式发送通知时，凡涉及各方权利、义务的，应随之以书面形式通知对方。本合同中所列甲、乙双方的地址即为甲、乙双方的收件地址。如果任何一方地址发生变化，应在15日内书面通知对方。</w:t>
      </w:r>
    </w:p>
    <w:p w14:paraId="6D8873DA">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（以下无正文）</w:t>
      </w:r>
    </w:p>
    <w:p w14:paraId="26D160A4">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甲方：（盖章）</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                         乙方：（盖章）</w:t>
      </w:r>
    </w:p>
    <w:p w14:paraId="49754387">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                                   地址：</w:t>
      </w:r>
    </w:p>
    <w:p w14:paraId="32AC649D">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法定代表人／授权代表：</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                 法定代表人／授权代表：</w:t>
      </w:r>
    </w:p>
    <w:p w14:paraId="1A9CBB52">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联系电话：                               联系电话：</w:t>
      </w:r>
    </w:p>
    <w:p w14:paraId="4B2F8358">
      <w:pPr>
        <w:adjustRightInd w:val="0"/>
        <w:snapToGrid w:val="0"/>
        <w:spacing w:line="360" w:lineRule="auto"/>
        <w:ind w:firstLine="480" w:firstLineChars="200"/>
        <w:rPr>
          <w:rFonts w:hint="default" w:ascii="Times New Roman" w:hAnsi="Times New Roman" w:eastAsia="宋体" w:cs="Times New Roman"/>
          <w:color w:val="auto"/>
          <w:sz w:val="44"/>
          <w:szCs w:val="40"/>
          <w:highlight w:val="none"/>
        </w:rPr>
      </w:pPr>
      <w:r>
        <w:rPr>
          <w:rFonts w:hint="default" w:ascii="Times New Roman" w:hAnsi="Times New Roman" w:eastAsia="宋体" w:cs="Times New Roman"/>
          <w:color w:val="auto"/>
          <w:sz w:val="24"/>
          <w:szCs w:val="24"/>
          <w:highlight w:val="none"/>
        </w:rPr>
        <w:t>日期：   年  月  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t xml:space="preserve">                    日期：   年  月  日</w:t>
      </w:r>
    </w:p>
    <w:p w14:paraId="20DC632C">
      <w:pPr>
        <w:rPr>
          <w:rFonts w:hint="default" w:ascii="Times New Roman" w:hAnsi="Times New Roman" w:eastAsia="宋体" w:cs="Times New Roman"/>
          <w:b/>
          <w:color w:val="auto"/>
          <w:spacing w:val="20"/>
          <w:sz w:val="24"/>
          <w:szCs w:val="24"/>
          <w:highlight w:val="none"/>
        </w:rPr>
      </w:pPr>
    </w:p>
    <w:p w14:paraId="633821D0">
      <w:pPr>
        <w:ind w:firstLine="420"/>
        <w:rPr>
          <w:rFonts w:hint="default" w:ascii="Times New Roman" w:hAnsi="Times New Roman" w:eastAsia="宋体" w:cs="Times New Roman"/>
          <w:color w:val="auto"/>
          <w:sz w:val="24"/>
          <w:szCs w:val="24"/>
          <w:highlight w:val="none"/>
        </w:rPr>
      </w:pPr>
    </w:p>
    <w:p w14:paraId="6FE6D447">
      <w:pPr>
        <w:keepNext w:val="0"/>
        <w:keepLines w:val="0"/>
        <w:pageBreakBefore w:val="0"/>
        <w:widowControl/>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auto"/>
          <w:sz w:val="44"/>
          <w:szCs w:val="44"/>
          <w:highlight w:val="none"/>
        </w:rPr>
      </w:pPr>
    </w:p>
    <w:p w14:paraId="6CC99FBB">
      <w:pPr>
        <w:rPr>
          <w:rFonts w:hint="default" w:ascii="Times New Roman" w:hAnsi="Times New Roman" w:eastAsia="宋体" w:cs="Times New Roman"/>
          <w:color w:val="auto"/>
          <w:sz w:val="44"/>
          <w:szCs w:val="44"/>
          <w:highlight w:val="none"/>
        </w:rPr>
      </w:pPr>
      <w:r>
        <w:rPr>
          <w:rFonts w:hint="default" w:ascii="Times New Roman" w:hAnsi="Times New Roman" w:eastAsia="宋体" w:cs="Times New Roman"/>
          <w:color w:val="auto"/>
          <w:sz w:val="44"/>
          <w:szCs w:val="44"/>
          <w:highlight w:val="none"/>
        </w:rPr>
        <w:br w:type="page" w:clear="all"/>
      </w:r>
    </w:p>
    <w:p w14:paraId="62F5FD32">
      <w:pPr>
        <w:pStyle w:val="2"/>
        <w:spacing w:line="240" w:lineRule="auto"/>
        <w:rPr>
          <w:rFonts w:hint="default" w:ascii="Times New Roman" w:hAnsi="Times New Roman" w:eastAsia="宋体" w:cs="Times New Roman"/>
          <w:color w:val="auto"/>
          <w:spacing w:val="0"/>
          <w:highlight w:val="none"/>
        </w:rPr>
      </w:pPr>
      <w:bookmarkStart w:id="216" w:name="_Toc21934"/>
      <w:r>
        <w:rPr>
          <w:rFonts w:hint="default" w:ascii="Times New Roman" w:hAnsi="Times New Roman" w:eastAsia="宋体" w:cs="Times New Roman"/>
          <w:color w:val="auto"/>
          <w:spacing w:val="0"/>
          <w:sz w:val="44"/>
          <w:szCs w:val="40"/>
          <w:highlight w:val="none"/>
        </w:rPr>
        <w:t>第六章  投标文件格式</w:t>
      </w:r>
      <w:bookmarkEnd w:id="213"/>
      <w:bookmarkEnd w:id="216"/>
    </w:p>
    <w:p w14:paraId="11FF413B">
      <w:pPr>
        <w:pStyle w:val="92"/>
        <w:keepNext w:val="0"/>
        <w:keepLines w:val="0"/>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sz w:val="24"/>
          <w:szCs w:val="24"/>
          <w:highlight w:val="none"/>
        </w:rPr>
      </w:pPr>
      <w:bookmarkStart w:id="217" w:name="_Toc120614282"/>
      <w:bookmarkEnd w:id="217"/>
      <w:bookmarkStart w:id="218" w:name="_Hlt26955039"/>
      <w:bookmarkEnd w:id="218"/>
      <w:bookmarkStart w:id="219" w:name="_Hlt26671244"/>
      <w:bookmarkEnd w:id="219"/>
      <w:bookmarkStart w:id="220" w:name="_Toc26554094"/>
      <w:bookmarkEnd w:id="220"/>
      <w:bookmarkStart w:id="221" w:name="_Toc49090576"/>
      <w:bookmarkEnd w:id="221"/>
      <w:r>
        <w:rPr>
          <w:rFonts w:hint="default" w:ascii="Times New Roman" w:hAnsi="Times New Roman" w:eastAsia="宋体" w:cs="Times New Roman"/>
          <w:color w:val="auto"/>
          <w:sz w:val="24"/>
          <w:szCs w:val="24"/>
          <w:highlight w:val="none"/>
        </w:rPr>
        <w:t>说明：对本章所有的投标书格式，除开标一览表外，投标方可根据自身情况进行补充和修改，但补充和修改不得造成与本格式内容有实质性的违背。</w:t>
      </w:r>
    </w:p>
    <w:p w14:paraId="087634A7">
      <w:pPr>
        <w:jc w:val="center"/>
        <w:rPr>
          <w:rFonts w:hint="default" w:ascii="Times New Roman" w:hAnsi="Times New Roman" w:eastAsia="宋体" w:cs="Times New Roman"/>
          <w:b/>
          <w:bCs/>
          <w:color w:val="auto"/>
          <w:sz w:val="72"/>
          <w:szCs w:val="72"/>
          <w:highlight w:val="none"/>
        </w:rPr>
      </w:pPr>
    </w:p>
    <w:p w14:paraId="39CE9155">
      <w:pPr>
        <w:jc w:val="center"/>
        <w:rPr>
          <w:rFonts w:hint="default" w:ascii="Times New Roman" w:hAnsi="Times New Roman" w:eastAsia="宋体" w:cs="Times New Roman"/>
          <w:b/>
          <w:bCs/>
          <w:color w:val="auto"/>
          <w:sz w:val="72"/>
          <w:szCs w:val="72"/>
          <w:highlight w:val="none"/>
        </w:rPr>
      </w:pPr>
    </w:p>
    <w:p w14:paraId="44AA393A">
      <w:pPr>
        <w:jc w:val="center"/>
        <w:rPr>
          <w:rFonts w:hint="default" w:ascii="Times New Roman" w:hAnsi="Times New Roman" w:eastAsia="宋体" w:cs="Times New Roman"/>
          <w:b/>
          <w:bCs/>
          <w:color w:val="auto"/>
          <w:sz w:val="72"/>
          <w:szCs w:val="72"/>
          <w:highlight w:val="none"/>
        </w:rPr>
      </w:pPr>
    </w:p>
    <w:p w14:paraId="51624D9F">
      <w:pPr>
        <w:jc w:val="center"/>
        <w:rPr>
          <w:rFonts w:hint="default" w:ascii="Times New Roman" w:hAnsi="Times New Roman" w:eastAsia="宋体" w:cs="Times New Roman"/>
          <w:b/>
          <w:bCs/>
          <w:color w:val="auto"/>
          <w:sz w:val="72"/>
          <w:szCs w:val="72"/>
          <w:highlight w:val="none"/>
        </w:rPr>
      </w:pPr>
    </w:p>
    <w:p w14:paraId="4348A7A6">
      <w:pPr>
        <w:jc w:val="center"/>
        <w:rPr>
          <w:rFonts w:hint="default" w:ascii="Times New Roman" w:hAnsi="Times New Roman" w:eastAsia="宋体" w:cs="Times New Roman"/>
          <w:b/>
          <w:bCs/>
          <w:color w:val="auto"/>
          <w:sz w:val="72"/>
          <w:szCs w:val="72"/>
          <w:highlight w:val="none"/>
        </w:rPr>
      </w:pPr>
    </w:p>
    <w:p w14:paraId="555471CE">
      <w:pPr>
        <w:jc w:val="center"/>
        <w:rPr>
          <w:rFonts w:hint="default" w:ascii="Times New Roman" w:hAnsi="Times New Roman" w:eastAsia="宋体" w:cs="Times New Roman"/>
          <w:b/>
          <w:bCs/>
          <w:color w:val="auto"/>
          <w:sz w:val="72"/>
          <w:szCs w:val="72"/>
          <w:highlight w:val="none"/>
        </w:rPr>
      </w:pPr>
    </w:p>
    <w:p w14:paraId="239ED842">
      <w:pPr>
        <w:jc w:val="center"/>
        <w:rPr>
          <w:rFonts w:hint="default" w:ascii="Times New Roman" w:hAnsi="Times New Roman" w:eastAsia="宋体" w:cs="Times New Roman"/>
          <w:b/>
          <w:bCs/>
          <w:color w:val="auto"/>
          <w:sz w:val="72"/>
          <w:szCs w:val="72"/>
          <w:highlight w:val="none"/>
        </w:rPr>
      </w:pPr>
    </w:p>
    <w:p w14:paraId="1FDB2F73">
      <w:pPr>
        <w:jc w:val="center"/>
        <w:rPr>
          <w:rFonts w:hint="default" w:ascii="Times New Roman" w:hAnsi="Times New Roman" w:eastAsia="宋体" w:cs="Times New Roman"/>
          <w:b/>
          <w:bCs/>
          <w:color w:val="auto"/>
          <w:sz w:val="72"/>
          <w:szCs w:val="72"/>
          <w:highlight w:val="none"/>
        </w:rPr>
      </w:pPr>
    </w:p>
    <w:p w14:paraId="36B80F97">
      <w:pPr>
        <w:jc w:val="center"/>
        <w:rPr>
          <w:rFonts w:hint="default" w:ascii="Times New Roman" w:hAnsi="Times New Roman" w:eastAsia="宋体" w:cs="Times New Roman"/>
          <w:b/>
          <w:bCs/>
          <w:color w:val="auto"/>
          <w:sz w:val="72"/>
          <w:szCs w:val="72"/>
          <w:highlight w:val="none"/>
        </w:rPr>
      </w:pPr>
    </w:p>
    <w:p w14:paraId="4E3AF244">
      <w:pPr>
        <w:jc w:val="center"/>
        <w:rPr>
          <w:rFonts w:hint="default" w:ascii="Times New Roman" w:hAnsi="Times New Roman" w:eastAsia="宋体" w:cs="Times New Roman"/>
          <w:b/>
          <w:bCs/>
          <w:color w:val="auto"/>
          <w:sz w:val="72"/>
          <w:szCs w:val="72"/>
          <w:highlight w:val="none"/>
        </w:rPr>
      </w:pPr>
    </w:p>
    <w:p w14:paraId="466CEF72">
      <w:pPr>
        <w:jc w:val="center"/>
        <w:rPr>
          <w:rFonts w:hint="default" w:ascii="Times New Roman" w:hAnsi="Times New Roman" w:eastAsia="宋体" w:cs="Times New Roman"/>
          <w:b/>
          <w:bCs/>
          <w:color w:val="auto"/>
          <w:sz w:val="72"/>
          <w:szCs w:val="72"/>
          <w:highlight w:val="none"/>
        </w:rPr>
      </w:pPr>
    </w:p>
    <w:p w14:paraId="5C2AD2F6">
      <w:pPr>
        <w:jc w:val="center"/>
        <w:rPr>
          <w:rFonts w:hint="default" w:ascii="Times New Roman" w:hAnsi="Times New Roman" w:eastAsia="宋体" w:cs="Times New Roman"/>
          <w:b/>
          <w:bCs/>
          <w:color w:val="auto"/>
          <w:sz w:val="72"/>
          <w:szCs w:val="72"/>
          <w:highlight w:val="none"/>
        </w:rPr>
      </w:pPr>
    </w:p>
    <w:p w14:paraId="71EC0C71">
      <w:pPr>
        <w:pStyle w:val="1056"/>
        <w:spacing w:after="400"/>
        <w:jc w:val="center"/>
        <w:rPr>
          <w:rFonts w:hint="default" w:ascii="Times New Roman" w:hAnsi="Times New Roman" w:eastAsia="宋体" w:cs="Times New Roman"/>
          <w:color w:val="auto"/>
          <w:sz w:val="40"/>
          <w:szCs w:val="40"/>
          <w:highlight w:val="none"/>
        </w:rPr>
      </w:pPr>
      <w:bookmarkStart w:id="222" w:name="_Toc7048"/>
      <w:bookmarkStart w:id="223" w:name="_Toc15031"/>
      <w:bookmarkStart w:id="224" w:name="_Toc16918"/>
      <w:bookmarkStart w:id="225" w:name="_Toc3794"/>
      <w:bookmarkStart w:id="226" w:name="_Toc21886"/>
      <w:bookmarkStart w:id="227" w:name="_Toc9691"/>
      <w:bookmarkStart w:id="228" w:name="_Toc19872"/>
      <w:bookmarkStart w:id="229" w:name="_Toc9036"/>
    </w:p>
    <w:p w14:paraId="3ACB8B12">
      <w:pPr>
        <w:pStyle w:val="1056"/>
        <w:spacing w:after="400"/>
        <w:jc w:val="center"/>
        <w:rPr>
          <w:rFonts w:hint="default" w:ascii="Times New Roman" w:hAnsi="Times New Roman" w:eastAsia="宋体" w:cs="Times New Roman"/>
          <w:color w:val="auto"/>
          <w:sz w:val="40"/>
          <w:szCs w:val="40"/>
          <w:highlight w:val="none"/>
        </w:rPr>
      </w:pPr>
    </w:p>
    <w:p w14:paraId="07A64C88">
      <w:pPr>
        <w:pStyle w:val="1056"/>
        <w:spacing w:after="400"/>
        <w:jc w:val="center"/>
        <w:rPr>
          <w:rFonts w:hint="default" w:ascii="Times New Roman" w:hAnsi="Times New Roman" w:eastAsia="宋体" w:cs="Times New Roman"/>
          <w:color w:val="auto"/>
          <w:sz w:val="40"/>
          <w:szCs w:val="40"/>
          <w:highlight w:val="none"/>
        </w:rPr>
      </w:pPr>
      <w:r>
        <w:rPr>
          <w:rFonts w:hint="default" w:ascii="Times New Roman" w:hAnsi="Times New Roman" w:eastAsia="宋体" w:cs="Times New Roman"/>
          <w:color w:val="auto"/>
          <w:sz w:val="40"/>
          <w:szCs w:val="40"/>
          <w:highlight w:val="none"/>
        </w:rPr>
        <w:t>投标主要文件目录</w:t>
      </w:r>
    </w:p>
    <w:p w14:paraId="11D2AC17">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一、封面</w:t>
      </w:r>
    </w:p>
    <w:p w14:paraId="5A20A80D">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二、投标函格式</w:t>
      </w:r>
    </w:p>
    <w:p w14:paraId="31DBCF51">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三、开标一览表</w:t>
      </w:r>
    </w:p>
    <w:p w14:paraId="58AD3309">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四、资格证明文件  </w:t>
      </w:r>
    </w:p>
    <w:p w14:paraId="078BCD98">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五、分项报价表</w:t>
      </w:r>
    </w:p>
    <w:p w14:paraId="195AF439">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六、技术要求响应及偏离表</w:t>
      </w:r>
    </w:p>
    <w:p w14:paraId="5157E46E">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七、项目人员介绍</w:t>
      </w:r>
    </w:p>
    <w:p w14:paraId="33E332DE">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八、类似业绩一览表</w:t>
      </w:r>
    </w:p>
    <w:p w14:paraId="2E233F7F">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九、中小企业声明函</w:t>
      </w:r>
    </w:p>
    <w:p w14:paraId="370FB9F7">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rPr>
        <w:t>十、综合节能率承诺书</w:t>
      </w:r>
    </w:p>
    <w:p w14:paraId="7425070E">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default" w:ascii="Times New Roman" w:hAnsi="Times New Roman" w:eastAsia="宋体" w:cs="Times New Roman"/>
          <w:i w:val="0"/>
          <w:iCs w:val="0"/>
          <w:color w:val="auto"/>
          <w:highlight w:val="none"/>
          <w:lang w:val="en-US" w:eastAsia="zh-CN"/>
        </w:rPr>
        <w:t>十一、</w:t>
      </w:r>
      <w:r>
        <w:rPr>
          <w:rFonts w:hint="eastAsia" w:ascii="Times New Roman" w:hAnsi="Times New Roman" w:eastAsia="宋体" w:cs="Times New Roman"/>
          <w:i w:val="0"/>
          <w:iCs w:val="0"/>
          <w:color w:val="auto"/>
          <w:highlight w:val="none"/>
          <w:lang w:val="en-US" w:eastAsia="zh-CN"/>
        </w:rPr>
        <w:t>节能改造实施</w:t>
      </w:r>
      <w:r>
        <w:rPr>
          <w:rFonts w:hint="default" w:ascii="Times New Roman" w:hAnsi="Times New Roman" w:eastAsia="宋体" w:cs="Times New Roman"/>
          <w:i w:val="0"/>
          <w:iCs w:val="0"/>
          <w:color w:val="auto"/>
          <w:highlight w:val="none"/>
        </w:rPr>
        <w:t>承诺书</w:t>
      </w:r>
    </w:p>
    <w:p w14:paraId="23B2F403">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lang w:val="en-US" w:eastAsia="zh-CN"/>
        </w:rPr>
      </w:pPr>
      <w:r>
        <w:rPr>
          <w:rFonts w:hint="eastAsia" w:eastAsia="宋体" w:cs="Times New Roman"/>
          <w:i w:val="0"/>
          <w:iCs w:val="0"/>
          <w:color w:val="auto"/>
          <w:highlight w:val="none"/>
          <w:lang w:val="en-US" w:eastAsia="zh-CN"/>
        </w:rPr>
        <w:t>十二、采购需求中要求的承诺书</w:t>
      </w:r>
    </w:p>
    <w:p w14:paraId="1947C49B">
      <w:pPr>
        <w:pStyle w:val="1056"/>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i w:val="0"/>
          <w:iCs w:val="0"/>
          <w:color w:val="auto"/>
          <w:highlight w:val="none"/>
        </w:rPr>
      </w:pPr>
      <w:r>
        <w:rPr>
          <w:rFonts w:hint="eastAsia" w:ascii="Times New Roman" w:hAnsi="Times New Roman" w:eastAsia="宋体" w:cs="Times New Roman"/>
          <w:i w:val="0"/>
          <w:iCs w:val="0"/>
          <w:color w:val="auto"/>
          <w:highlight w:val="none"/>
          <w:lang w:val="en-US" w:eastAsia="zh-CN"/>
        </w:rPr>
        <w:t>十二、</w:t>
      </w:r>
      <w:r>
        <w:rPr>
          <w:rFonts w:hint="default" w:ascii="Times New Roman" w:hAnsi="Times New Roman" w:eastAsia="宋体" w:cs="Times New Roman"/>
          <w:i w:val="0"/>
          <w:iCs w:val="0"/>
          <w:color w:val="auto"/>
          <w:highlight w:val="none"/>
        </w:rPr>
        <w:t>其他材料</w:t>
      </w:r>
    </w:p>
    <w:p w14:paraId="40D7B351">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487D3B01">
      <w:pPr>
        <w:pStyle w:val="1058"/>
        <w:spacing w:line="440" w:lineRule="exact"/>
        <w:rPr>
          <w:rFonts w:hint="default" w:ascii="Times New Roman" w:hAnsi="Times New Roman" w:eastAsia="宋体" w:cs="Times New Roman"/>
          <w:b/>
          <w:bCs/>
          <w:color w:val="auto"/>
          <w:sz w:val="28"/>
          <w:szCs w:val="28"/>
          <w:highlight w:val="none"/>
        </w:rPr>
      </w:pPr>
      <w:bookmarkStart w:id="230" w:name="_Toc256000014"/>
      <w:bookmarkStart w:id="231" w:name="_Toc3226"/>
      <w:bookmarkStart w:id="232" w:name="_Toc27616"/>
      <w:bookmarkStart w:id="233" w:name="_Toc11630"/>
      <w:bookmarkStart w:id="234" w:name="_Toc1997"/>
      <w:r>
        <w:rPr>
          <w:rFonts w:hint="default" w:ascii="Times New Roman" w:hAnsi="Times New Roman" w:eastAsia="宋体" w:cs="Times New Roman"/>
          <w:b/>
          <w:bCs/>
          <w:color w:val="auto"/>
          <w:sz w:val="28"/>
          <w:szCs w:val="28"/>
          <w:highlight w:val="none"/>
        </w:rPr>
        <w:t>一、封面</w:t>
      </w:r>
    </w:p>
    <w:p w14:paraId="074D7FB1">
      <w:pPr>
        <w:jc w:val="center"/>
        <w:rPr>
          <w:rFonts w:hint="default" w:ascii="Times New Roman" w:hAnsi="Times New Roman" w:eastAsia="宋体" w:cs="Times New Roman"/>
          <w:b/>
          <w:bCs/>
          <w:color w:val="auto"/>
          <w:sz w:val="72"/>
          <w:szCs w:val="72"/>
          <w:highlight w:val="none"/>
        </w:rPr>
      </w:pPr>
    </w:p>
    <w:p w14:paraId="4328531C">
      <w:pPr>
        <w:jc w:val="center"/>
        <w:rPr>
          <w:rFonts w:hint="default" w:ascii="Times New Roman" w:hAnsi="Times New Roman" w:eastAsia="宋体" w:cs="Times New Roman"/>
          <w:b/>
          <w:bCs/>
          <w:color w:val="auto"/>
          <w:sz w:val="72"/>
          <w:szCs w:val="72"/>
          <w:highlight w:val="none"/>
        </w:rPr>
      </w:pPr>
    </w:p>
    <w:p w14:paraId="7D0940A5">
      <w:pPr>
        <w:jc w:val="center"/>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投</w:t>
      </w:r>
      <w:r>
        <w:rPr>
          <w:rFonts w:hint="default" w:ascii="Times New Roman" w:hAnsi="Times New Roman" w:eastAsia="宋体" w:cs="Times New Roman"/>
          <w:b/>
          <w:bCs/>
          <w:color w:val="auto"/>
          <w:sz w:val="72"/>
          <w:szCs w:val="72"/>
          <w:highlight w:val="none"/>
          <w:lang w:val="en-US" w:eastAsia="zh-CN"/>
        </w:rPr>
        <w:t xml:space="preserve"> </w:t>
      </w:r>
      <w:r>
        <w:rPr>
          <w:rFonts w:hint="default" w:ascii="Times New Roman" w:hAnsi="Times New Roman" w:eastAsia="宋体" w:cs="Times New Roman"/>
          <w:b/>
          <w:bCs/>
          <w:color w:val="auto"/>
          <w:sz w:val="72"/>
          <w:szCs w:val="72"/>
          <w:highlight w:val="none"/>
        </w:rPr>
        <w:t>标</w:t>
      </w:r>
      <w:r>
        <w:rPr>
          <w:rFonts w:hint="default" w:ascii="Times New Roman" w:hAnsi="Times New Roman" w:eastAsia="宋体" w:cs="Times New Roman"/>
          <w:b/>
          <w:bCs/>
          <w:color w:val="auto"/>
          <w:sz w:val="72"/>
          <w:szCs w:val="72"/>
          <w:highlight w:val="none"/>
          <w:lang w:val="en-US" w:eastAsia="zh-CN"/>
        </w:rPr>
        <w:t xml:space="preserve"> </w:t>
      </w:r>
      <w:r>
        <w:rPr>
          <w:rFonts w:hint="default" w:ascii="Times New Roman" w:hAnsi="Times New Roman" w:eastAsia="宋体" w:cs="Times New Roman"/>
          <w:b/>
          <w:bCs/>
          <w:color w:val="auto"/>
          <w:sz w:val="72"/>
          <w:szCs w:val="72"/>
          <w:highlight w:val="none"/>
        </w:rPr>
        <w:t>文</w:t>
      </w:r>
      <w:r>
        <w:rPr>
          <w:rFonts w:hint="default" w:ascii="Times New Roman" w:hAnsi="Times New Roman" w:eastAsia="宋体" w:cs="Times New Roman"/>
          <w:b/>
          <w:bCs/>
          <w:color w:val="auto"/>
          <w:sz w:val="72"/>
          <w:szCs w:val="72"/>
          <w:highlight w:val="none"/>
          <w:lang w:val="en-US" w:eastAsia="zh-CN"/>
        </w:rPr>
        <w:t xml:space="preserve"> </w:t>
      </w:r>
      <w:r>
        <w:rPr>
          <w:rFonts w:hint="default" w:ascii="Times New Roman" w:hAnsi="Times New Roman" w:eastAsia="宋体" w:cs="Times New Roman"/>
          <w:b/>
          <w:bCs/>
          <w:color w:val="auto"/>
          <w:sz w:val="72"/>
          <w:szCs w:val="72"/>
          <w:highlight w:val="none"/>
        </w:rPr>
        <w:t>件</w:t>
      </w:r>
    </w:p>
    <w:p w14:paraId="0F4D7F9E">
      <w:pPr>
        <w:jc w:val="center"/>
        <w:rPr>
          <w:rFonts w:hint="default" w:ascii="Times New Roman" w:hAnsi="Times New Roman" w:eastAsia="宋体" w:cs="Times New Roman"/>
          <w:b/>
          <w:bCs/>
          <w:color w:val="auto"/>
          <w:sz w:val="72"/>
          <w:szCs w:val="72"/>
          <w:highlight w:val="none"/>
        </w:rPr>
      </w:pPr>
    </w:p>
    <w:p w14:paraId="20D631D7">
      <w:pPr>
        <w:jc w:val="center"/>
        <w:rPr>
          <w:rFonts w:hint="default" w:ascii="Times New Roman" w:hAnsi="Times New Roman" w:eastAsia="宋体" w:cs="Times New Roman"/>
          <w:b/>
          <w:bCs/>
          <w:color w:val="auto"/>
          <w:sz w:val="72"/>
          <w:szCs w:val="72"/>
          <w:highlight w:val="none"/>
        </w:rPr>
      </w:pPr>
    </w:p>
    <w:p w14:paraId="70A0DD6F">
      <w:pPr>
        <w:jc w:val="center"/>
        <w:rPr>
          <w:rFonts w:hint="default" w:ascii="Times New Roman" w:hAnsi="Times New Roman" w:eastAsia="宋体" w:cs="Times New Roman"/>
          <w:b/>
          <w:bCs/>
          <w:color w:val="auto"/>
          <w:sz w:val="72"/>
          <w:szCs w:val="72"/>
          <w:highlight w:val="none"/>
        </w:rPr>
      </w:pPr>
    </w:p>
    <w:p w14:paraId="2FA9A029">
      <w:pPr>
        <w:jc w:val="center"/>
        <w:rPr>
          <w:rFonts w:hint="default" w:ascii="Times New Roman" w:hAnsi="Times New Roman" w:eastAsia="宋体" w:cs="Times New Roman"/>
          <w:b/>
          <w:bCs/>
          <w:color w:val="auto"/>
          <w:sz w:val="72"/>
          <w:szCs w:val="72"/>
          <w:highlight w:val="none"/>
        </w:rPr>
      </w:pPr>
    </w:p>
    <w:p w14:paraId="3B6CDBED">
      <w:pPr>
        <w:jc w:val="center"/>
        <w:rPr>
          <w:rFonts w:hint="default" w:ascii="Times New Roman" w:hAnsi="Times New Roman" w:eastAsia="宋体" w:cs="Times New Roman"/>
          <w:b/>
          <w:bCs/>
          <w:color w:val="auto"/>
          <w:sz w:val="72"/>
          <w:szCs w:val="72"/>
          <w:highlight w:val="none"/>
        </w:rPr>
      </w:pPr>
    </w:p>
    <w:p w14:paraId="325954A4">
      <w:pPr>
        <w:jc w:val="center"/>
        <w:rPr>
          <w:rFonts w:hint="default" w:ascii="Times New Roman" w:hAnsi="Times New Roman" w:eastAsia="宋体" w:cs="Times New Roman"/>
          <w:b/>
          <w:bCs/>
          <w:color w:val="auto"/>
          <w:sz w:val="72"/>
          <w:szCs w:val="72"/>
          <w:highlight w:val="none"/>
        </w:rPr>
      </w:pPr>
    </w:p>
    <w:p w14:paraId="3778092E">
      <w:pPr>
        <w:jc w:val="center"/>
        <w:rPr>
          <w:rFonts w:hint="default" w:ascii="Times New Roman" w:hAnsi="Times New Roman" w:eastAsia="宋体" w:cs="Times New Roman"/>
          <w:b/>
          <w:bCs/>
          <w:color w:val="auto"/>
          <w:sz w:val="72"/>
          <w:szCs w:val="72"/>
          <w:highlight w:val="none"/>
        </w:rPr>
      </w:pPr>
    </w:p>
    <w:p w14:paraId="371C3EA2">
      <w:pPr>
        <w:keepNext w:val="0"/>
        <w:keepLines w:val="0"/>
        <w:pageBreakBefore w:val="0"/>
        <w:widowControl w:val="0"/>
        <w:kinsoku/>
        <w:wordWrap/>
        <w:overflowPunct/>
        <w:topLinePunct w:val="0"/>
        <w:autoSpaceDE/>
        <w:autoSpaceDN/>
        <w:bidi w:val="0"/>
        <w:adjustRightInd w:val="0"/>
        <w:snapToGrid w:val="0"/>
        <w:spacing w:line="480" w:lineRule="auto"/>
        <w:ind w:firstLine="1084"/>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36"/>
          <w:szCs w:val="36"/>
          <w:highlight w:val="none"/>
        </w:rPr>
        <w:t>项目名称：</w:t>
      </w:r>
      <w:r>
        <w:rPr>
          <w:rFonts w:hint="default" w:ascii="Times New Roman" w:hAnsi="Times New Roman" w:eastAsia="宋体" w:cs="Times New Roman"/>
          <w:b/>
          <w:bCs/>
          <w:color w:val="auto"/>
          <w:sz w:val="36"/>
          <w:szCs w:val="36"/>
          <w:highlight w:val="none"/>
          <w:u w:val="single"/>
          <w:lang w:val="en-US" w:eastAsia="zh-CN"/>
        </w:rPr>
        <w:t xml:space="preserve">                             </w:t>
      </w:r>
    </w:p>
    <w:p w14:paraId="5A6250F7">
      <w:pPr>
        <w:keepNext w:val="0"/>
        <w:keepLines w:val="0"/>
        <w:pageBreakBefore w:val="0"/>
        <w:widowControl w:val="0"/>
        <w:kinsoku/>
        <w:wordWrap/>
        <w:overflowPunct/>
        <w:topLinePunct w:val="0"/>
        <w:autoSpaceDE/>
        <w:autoSpaceDN/>
        <w:bidi w:val="0"/>
        <w:adjustRightInd w:val="0"/>
        <w:snapToGrid w:val="0"/>
        <w:spacing w:line="480" w:lineRule="auto"/>
        <w:ind w:firstLine="1084"/>
        <w:textAlignment w:val="auto"/>
        <w:rPr>
          <w:rFonts w:hint="default" w:ascii="Times New Roman" w:hAnsi="Times New Roman" w:eastAsia="宋体" w:cs="Times New Roman"/>
          <w:b/>
          <w:bCs/>
          <w:color w:val="auto"/>
          <w:sz w:val="36"/>
          <w:szCs w:val="36"/>
          <w:highlight w:val="none"/>
          <w:u w:val="single"/>
          <w:lang w:val="en-US"/>
        </w:rPr>
      </w:pPr>
      <w:r>
        <w:rPr>
          <w:rFonts w:hint="default" w:ascii="Times New Roman" w:hAnsi="Times New Roman" w:eastAsia="宋体" w:cs="Times New Roman"/>
          <w:b/>
          <w:bCs/>
          <w:color w:val="auto"/>
          <w:sz w:val="36"/>
          <w:szCs w:val="36"/>
          <w:highlight w:val="none"/>
        </w:rPr>
        <w:t>项目编号：</w:t>
      </w:r>
      <w:r>
        <w:rPr>
          <w:rFonts w:hint="default" w:ascii="Times New Roman" w:hAnsi="Times New Roman" w:eastAsia="宋体" w:cs="Times New Roman"/>
          <w:b/>
          <w:bCs/>
          <w:color w:val="auto"/>
          <w:sz w:val="36"/>
          <w:szCs w:val="36"/>
          <w:highlight w:val="none"/>
          <w:u w:val="single"/>
          <w:lang w:val="en-US" w:eastAsia="zh-CN"/>
        </w:rPr>
        <w:t xml:space="preserve">                             </w:t>
      </w:r>
    </w:p>
    <w:p w14:paraId="1FFE23D3">
      <w:pPr>
        <w:keepNext w:val="0"/>
        <w:keepLines w:val="0"/>
        <w:pageBreakBefore w:val="0"/>
        <w:widowControl w:val="0"/>
        <w:kinsoku/>
        <w:wordWrap/>
        <w:overflowPunct/>
        <w:topLinePunct w:val="0"/>
        <w:autoSpaceDE/>
        <w:autoSpaceDN/>
        <w:bidi w:val="0"/>
        <w:adjustRightInd w:val="0"/>
        <w:snapToGrid w:val="0"/>
        <w:spacing w:line="480" w:lineRule="auto"/>
        <w:ind w:firstLine="1084" w:firstLineChars="3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36"/>
          <w:szCs w:val="36"/>
          <w:highlight w:val="none"/>
        </w:rPr>
        <w:t>投标人名称：</w:t>
      </w:r>
      <w:r>
        <w:rPr>
          <w:rFonts w:hint="default" w:ascii="Times New Roman" w:hAnsi="Times New Roman" w:eastAsia="宋体" w:cs="Times New Roman"/>
          <w:b/>
          <w:bCs/>
          <w:color w:val="auto"/>
          <w:sz w:val="36"/>
          <w:szCs w:val="36"/>
          <w:highlight w:val="none"/>
          <w:u w:val="single"/>
        </w:rPr>
        <w:t xml:space="preserve">（加盖CA电子公章）       </w:t>
      </w:r>
    </w:p>
    <w:p w14:paraId="6C390BD1">
      <w:pPr>
        <w:keepNext w:val="0"/>
        <w:keepLines w:val="0"/>
        <w:pageBreakBefore w:val="0"/>
        <w:widowControl w:val="0"/>
        <w:kinsoku/>
        <w:wordWrap/>
        <w:overflowPunct/>
        <w:topLinePunct w:val="0"/>
        <w:autoSpaceDE/>
        <w:autoSpaceDN/>
        <w:bidi w:val="0"/>
        <w:adjustRightInd w:val="0"/>
        <w:snapToGrid w:val="0"/>
        <w:spacing w:line="480" w:lineRule="auto"/>
        <w:ind w:firstLine="1084" w:firstLineChars="3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36"/>
          <w:szCs w:val="36"/>
          <w:highlight w:val="none"/>
        </w:rPr>
        <w:t>日期：</w:t>
      </w:r>
      <w:r>
        <w:rPr>
          <w:rFonts w:hint="default" w:ascii="Times New Roman" w:hAnsi="Times New Roman" w:eastAsia="宋体" w:cs="Times New Roman"/>
          <w:b/>
          <w:bCs/>
          <w:color w:val="auto"/>
          <w:sz w:val="36"/>
          <w:szCs w:val="36"/>
          <w:highlight w:val="none"/>
          <w:u w:val="single"/>
          <w:lang w:val="en-US" w:eastAsia="zh-CN"/>
        </w:rPr>
        <w:t xml:space="preserve">                                 </w:t>
      </w:r>
    </w:p>
    <w:p w14:paraId="130AA6CA">
      <w:pPr>
        <w:jc w:val="center"/>
        <w:rPr>
          <w:rFonts w:hint="default" w:ascii="Times New Roman" w:hAnsi="Times New Roman" w:eastAsia="宋体" w:cs="Times New Roman"/>
          <w:b/>
          <w:bCs/>
          <w:color w:val="auto"/>
          <w:sz w:val="36"/>
          <w:szCs w:val="36"/>
          <w:highlight w:val="none"/>
          <w:u w:val="single"/>
        </w:rPr>
      </w:pPr>
    </w:p>
    <w:p w14:paraId="1AAD467D">
      <w:pPr>
        <w:rPr>
          <w:rFonts w:hint="default" w:ascii="Times New Roman" w:hAnsi="Times New Roman" w:eastAsia="宋体" w:cs="Times New Roman"/>
          <w:b/>
          <w:bCs/>
          <w:color w:val="auto"/>
          <w:sz w:val="36"/>
          <w:szCs w:val="36"/>
          <w:highlight w:val="none"/>
          <w:u w:val="single"/>
        </w:rPr>
      </w:pPr>
      <w:r>
        <w:rPr>
          <w:rFonts w:hint="default" w:ascii="Times New Roman" w:hAnsi="Times New Roman" w:eastAsia="宋体" w:cs="Times New Roman"/>
          <w:b/>
          <w:bCs/>
          <w:color w:val="auto"/>
          <w:sz w:val="36"/>
          <w:szCs w:val="36"/>
          <w:highlight w:val="none"/>
          <w:u w:val="single"/>
        </w:rPr>
        <w:br w:type="page"/>
      </w:r>
    </w:p>
    <w:p w14:paraId="4935F2F5">
      <w:pPr>
        <w:pStyle w:val="1058"/>
        <w:spacing w:line="440" w:lineRule="exact"/>
        <w:rPr>
          <w:rFonts w:hint="default" w:ascii="Times New Roman" w:hAnsi="Times New Roman" w:eastAsia="宋体" w:cs="Times New Roman"/>
          <w:b/>
          <w:bCs/>
          <w:i/>
          <w:iCs/>
          <w:color w:val="auto"/>
          <w:spacing w:val="7"/>
          <w:highlight w:val="none"/>
          <w:u w:val="single"/>
        </w:rPr>
      </w:pPr>
      <w:r>
        <w:rPr>
          <w:rFonts w:hint="default" w:ascii="Times New Roman" w:hAnsi="Times New Roman" w:eastAsia="宋体" w:cs="Times New Roman"/>
          <w:b/>
          <w:bCs/>
          <w:i/>
          <w:iCs/>
          <w:color w:val="auto"/>
          <w:sz w:val="28"/>
          <w:szCs w:val="28"/>
          <w:highlight w:val="none"/>
          <w:u w:val="single"/>
        </w:rPr>
        <w:t>二、投标函格式</w:t>
      </w:r>
      <w:bookmarkEnd w:id="230"/>
      <w:bookmarkEnd w:id="231"/>
      <w:bookmarkEnd w:id="232"/>
      <w:bookmarkEnd w:id="233"/>
      <w:bookmarkEnd w:id="234"/>
    </w:p>
    <w:p w14:paraId="35B680D7">
      <w:pPr>
        <w:pStyle w:val="1059"/>
        <w:spacing w:before="320" w:after="320" w:line="440" w:lineRule="exact"/>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投标函格式</w:t>
      </w:r>
    </w:p>
    <w:p w14:paraId="357977CC">
      <w:pPr>
        <w:pStyle w:val="1059"/>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致</w:t>
      </w:r>
      <w:r>
        <w:rPr>
          <w:rFonts w:hint="default" w:ascii="Times New Roman" w:hAnsi="Times New Roman" w:eastAsia="宋体" w:cs="Times New Roman"/>
          <w:color w:val="auto"/>
          <w:highlight w:val="none"/>
          <w:u w:val="single"/>
          <w:lang w:val="en-US" w:eastAsia="zh-CN"/>
        </w:rPr>
        <w:t xml:space="preserve">  泰</w:t>
      </w:r>
      <w:r>
        <w:rPr>
          <w:rFonts w:hint="default" w:ascii="Times New Roman" w:hAnsi="Times New Roman" w:eastAsia="宋体" w:cs="Times New Roman"/>
          <w:color w:val="auto"/>
          <w:highlight w:val="none"/>
          <w:u w:val="single"/>
        </w:rPr>
        <w:t xml:space="preserve">州市机关事务管理局 </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rPr>
        <w:t>：</w:t>
      </w:r>
    </w:p>
    <w:p w14:paraId="0FF58FB9">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根据贵方的</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号招标文件，正式授权下述签字人</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u w:val="single"/>
        </w:rPr>
        <w:t>（</w:t>
      </w:r>
      <w:r>
        <w:rPr>
          <w:rFonts w:hint="default" w:ascii="Times New Roman" w:hAnsi="Times New Roman" w:eastAsia="宋体" w:cs="Times New Roman"/>
          <w:color w:val="auto"/>
          <w:highlight w:val="none"/>
        </w:rPr>
        <w:t>姓名和职务）代表我方</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u w:val="single"/>
          <w:lang w:val="en-US" w:eastAsia="zh-CN"/>
        </w:rPr>
        <w:t xml:space="preserve"> </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（投标人的名称），全权处理本次项目投标的有关事宜。 </w:t>
      </w:r>
    </w:p>
    <w:p w14:paraId="5A97720A">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据此函，签字人兹宣布同意如下： </w:t>
      </w:r>
    </w:p>
    <w:p w14:paraId="7EFECE8F">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1.同意向贵方提供贵方可能另外要求的与投标有关的任何证据或资料。 </w:t>
      </w:r>
    </w:p>
    <w:p w14:paraId="1047377E">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2.我们完全理解贵方不一定将合同授予最低报价的投标人。 </w:t>
      </w:r>
    </w:p>
    <w:p w14:paraId="172893D9">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3.我们已详细审核全部招标文件及其有效补充文件，我们知道必须放弃提出含糊不清或误解问题的权利。 </w:t>
      </w:r>
    </w:p>
    <w:p w14:paraId="0ABCB2B8">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4.一旦我方中标，我们将根据招标文件的规定，严格履行合同条款的责任和义务，并保证按照合同条款提供服务。 </w:t>
      </w:r>
    </w:p>
    <w:p w14:paraId="0420E9E1">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5.与本投标有关的正式通讯地址为： </w:t>
      </w:r>
    </w:p>
    <w:p w14:paraId="7DB91694">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地址：</w:t>
      </w:r>
    </w:p>
    <w:p w14:paraId="40A434A9">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邮编：</w:t>
      </w:r>
    </w:p>
    <w:p w14:paraId="76850BD6">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电话：</w:t>
      </w:r>
    </w:p>
    <w:p w14:paraId="692405C7">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传真：</w:t>
      </w:r>
    </w:p>
    <w:p w14:paraId="25FE9902">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投标人代表姓名：</w:t>
      </w:r>
    </w:p>
    <w:p w14:paraId="3340A2EA">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投标人名称：</w:t>
      </w:r>
    </w:p>
    <w:p w14:paraId="51B6C5E5">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电子签章：</w:t>
      </w:r>
    </w:p>
    <w:p w14:paraId="6BD2C8B1">
      <w:pPr>
        <w:pStyle w:val="105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日期：</w:t>
      </w:r>
    </w:p>
    <w:p w14:paraId="106A1ABA">
      <w:pPr>
        <w:pStyle w:val="1059"/>
        <w:spacing w:line="440" w:lineRule="exact"/>
        <w:rPr>
          <w:rFonts w:hint="default" w:ascii="Times New Roman" w:hAnsi="Times New Roman" w:eastAsia="宋体" w:cs="Times New Roman"/>
          <w:color w:val="auto"/>
          <w:highlight w:val="none"/>
        </w:rPr>
      </w:pPr>
    </w:p>
    <w:p w14:paraId="518FFEC0">
      <w:pPr>
        <w:pStyle w:val="1059"/>
        <w:spacing w:line="440" w:lineRule="exact"/>
        <w:rPr>
          <w:rFonts w:hint="default" w:ascii="Times New Roman" w:hAnsi="Times New Roman" w:eastAsia="宋体" w:cs="Times New Roman"/>
          <w:color w:val="auto"/>
          <w:highlight w:val="none"/>
        </w:rPr>
      </w:pPr>
    </w:p>
    <w:p w14:paraId="1C2CF9E6">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15C863CE">
      <w:pPr>
        <w:pStyle w:val="1059"/>
        <w:spacing w:before="240" w:after="240"/>
        <w:rPr>
          <w:rFonts w:hint="default" w:ascii="Times New Roman" w:hAnsi="Times New Roman" w:eastAsia="宋体" w:cs="Times New Roman"/>
          <w:b/>
          <w:bCs/>
          <w:i/>
          <w:iCs/>
          <w:color w:val="auto"/>
          <w:sz w:val="32"/>
          <w:szCs w:val="32"/>
          <w:highlight w:val="none"/>
          <w:u w:val="single"/>
        </w:rPr>
      </w:pPr>
      <w:bookmarkStart w:id="235" w:name="_Toc256000015"/>
      <w:bookmarkStart w:id="236" w:name="_Toc4920"/>
      <w:bookmarkStart w:id="237" w:name="_Toc31037"/>
      <w:bookmarkStart w:id="238" w:name="_Toc15503"/>
      <w:bookmarkStart w:id="239" w:name="_Toc8792"/>
      <w:r>
        <w:rPr>
          <w:rFonts w:hint="default" w:ascii="Times New Roman" w:hAnsi="Times New Roman" w:eastAsia="宋体" w:cs="Times New Roman"/>
          <w:b/>
          <w:bCs/>
          <w:i/>
          <w:iCs/>
          <w:color w:val="auto"/>
          <w:sz w:val="32"/>
          <w:szCs w:val="32"/>
          <w:highlight w:val="none"/>
          <w:u w:val="single"/>
        </w:rPr>
        <w:t>三、开标一览表</w:t>
      </w:r>
      <w:bookmarkEnd w:id="235"/>
      <w:bookmarkEnd w:id="236"/>
      <w:bookmarkEnd w:id="237"/>
      <w:bookmarkEnd w:id="238"/>
      <w:bookmarkEnd w:id="239"/>
    </w:p>
    <w:p w14:paraId="43A99680">
      <w:pPr>
        <w:pStyle w:val="1060"/>
        <w:spacing w:line="440" w:lineRule="exact"/>
        <w:rPr>
          <w:rFonts w:hint="default" w:ascii="Times New Roman" w:hAnsi="Times New Roman" w:eastAsia="宋体" w:cs="Times New Roman"/>
          <w:b/>
          <w:color w:val="auto"/>
          <w:highlight w:val="none"/>
        </w:rPr>
      </w:pPr>
    </w:p>
    <w:p w14:paraId="5BFF7CF9">
      <w:pPr>
        <w:spacing w:line="360" w:lineRule="auto"/>
        <w:ind w:firstLine="480"/>
        <w:jc w:val="center"/>
        <w:rPr>
          <w:rFonts w:hint="default" w:ascii="Times New Roman" w:hAnsi="Times New Roman" w:eastAsia="宋体" w:cs="Times New Roman"/>
          <w:b/>
          <w:color w:val="auto"/>
          <w:sz w:val="32"/>
          <w:szCs w:val="32"/>
          <w:highlight w:val="none"/>
        </w:rPr>
      </w:pPr>
      <w:bookmarkStart w:id="240" w:name="_Toc23470"/>
      <w:bookmarkStart w:id="241" w:name="_Toc10330"/>
      <w:r>
        <w:rPr>
          <w:rStyle w:val="1061"/>
          <w:rFonts w:hint="default" w:ascii="Times New Roman" w:hAnsi="Times New Roman" w:eastAsia="宋体" w:cs="Times New Roman"/>
          <w:color w:val="auto"/>
          <w:highlight w:val="none"/>
        </w:rPr>
        <w:t>﻿</w:t>
      </w:r>
      <w:r>
        <w:rPr>
          <w:rStyle w:val="807"/>
          <w:rFonts w:hint="default" w:ascii="Times New Roman" w:hAnsi="Times New Roman" w:eastAsia="宋体" w:cs="Times New Roman"/>
          <w:b/>
          <w:color w:val="auto"/>
          <w:sz w:val="32"/>
          <w:szCs w:val="32"/>
          <w:highlight w:val="none"/>
        </w:rPr>
        <w:t>开标一览（以苏采云内填写的</w:t>
      </w:r>
      <w:r>
        <w:rPr>
          <w:rStyle w:val="807"/>
          <w:rFonts w:hint="eastAsia" w:ascii="Times New Roman" w:hAnsi="Times New Roman" w:eastAsia="宋体" w:cs="Times New Roman"/>
          <w:b/>
          <w:color w:val="auto"/>
          <w:sz w:val="32"/>
          <w:szCs w:val="32"/>
          <w:highlight w:val="none"/>
          <w:lang w:val="en-US" w:eastAsia="zh-CN"/>
        </w:rPr>
        <w:t>模板</w:t>
      </w:r>
      <w:r>
        <w:rPr>
          <w:rStyle w:val="807"/>
          <w:rFonts w:hint="default" w:ascii="Times New Roman" w:hAnsi="Times New Roman" w:eastAsia="宋体" w:cs="Times New Roman"/>
          <w:b/>
          <w:color w:val="auto"/>
          <w:sz w:val="32"/>
          <w:szCs w:val="32"/>
          <w:highlight w:val="none"/>
        </w:rPr>
        <w:t>为准）</w:t>
      </w:r>
    </w:p>
    <w:p w14:paraId="0474F94F">
      <w:pPr>
        <w:pStyle w:val="251"/>
        <w:keepNext w:val="0"/>
        <w:keepLines w:val="0"/>
        <w:pageBreakBefore w:val="0"/>
        <w:widowControl/>
        <w:kinsoku/>
        <w:wordWrap/>
        <w:overflowPunct/>
        <w:topLinePunct w:val="0"/>
        <w:autoSpaceDE/>
        <w:autoSpaceDN/>
        <w:bidi w:val="0"/>
        <w:adjustRightInd w:val="0"/>
        <w:snapToGrid w:val="0"/>
        <w:spacing w:before="0" w:beforeAutospacing="0" w:after="0" w:afterAutospacing="0" w:line="480" w:lineRule="auto"/>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项目名称：</w:t>
      </w:r>
    </w:p>
    <w:p w14:paraId="736A3971">
      <w:pPr>
        <w:pStyle w:val="251"/>
        <w:keepNext w:val="0"/>
        <w:keepLines w:val="0"/>
        <w:pageBreakBefore w:val="0"/>
        <w:widowControl/>
        <w:kinsoku/>
        <w:wordWrap/>
        <w:overflowPunct/>
        <w:topLinePunct w:val="0"/>
        <w:autoSpaceDE/>
        <w:autoSpaceDN/>
        <w:bidi w:val="0"/>
        <w:adjustRightInd w:val="0"/>
        <w:snapToGrid w:val="0"/>
        <w:spacing w:before="0" w:beforeAutospacing="0" w:after="0" w:afterAutospacing="0" w:line="480" w:lineRule="auto"/>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项目编号：</w:t>
      </w:r>
    </w:p>
    <w:p w14:paraId="4D2A8DD9">
      <w:pPr>
        <w:pStyle w:val="251"/>
        <w:keepNext w:val="0"/>
        <w:keepLines w:val="0"/>
        <w:pageBreakBefore w:val="0"/>
        <w:widowControl/>
        <w:kinsoku/>
        <w:wordWrap/>
        <w:overflowPunct/>
        <w:topLinePunct w:val="0"/>
        <w:autoSpaceDE/>
        <w:autoSpaceDN/>
        <w:bidi w:val="0"/>
        <w:adjustRightInd w:val="0"/>
        <w:snapToGrid w:val="0"/>
        <w:spacing w:before="0" w:beforeAutospacing="0" w:after="0" w:afterAutospacing="0" w:line="480" w:lineRule="auto"/>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货币单位：人民币元</w:t>
      </w:r>
    </w:p>
    <w:tbl>
      <w:tblPr>
        <w:tblStyle w:val="57"/>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805"/>
        <w:gridCol w:w="2787"/>
        <w:gridCol w:w="4132"/>
      </w:tblGrid>
      <w:tr w14:paraId="4B04C3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48" w:hRule="atLeast"/>
          <w:jc w:val="center"/>
        </w:trPr>
        <w:tc>
          <w:tcPr>
            <w:tcW w:w="1442" w:type="pct"/>
            <w:vAlign w:val="center"/>
          </w:tcPr>
          <w:p w14:paraId="7490A9F3">
            <w:pPr>
              <w:pStyle w:val="251"/>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项目名称</w:t>
            </w:r>
          </w:p>
        </w:tc>
        <w:tc>
          <w:tcPr>
            <w:tcW w:w="1433" w:type="pct"/>
            <w:vAlign w:val="center"/>
          </w:tcPr>
          <w:p w14:paraId="6CD4D399">
            <w:pPr>
              <w:pStyle w:val="251"/>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项目内容</w:t>
            </w:r>
          </w:p>
        </w:tc>
        <w:tc>
          <w:tcPr>
            <w:tcW w:w="2123" w:type="pct"/>
            <w:vAlign w:val="center"/>
          </w:tcPr>
          <w:p w14:paraId="3BC68C65">
            <w:pPr>
              <w:pStyle w:val="251"/>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总价（小写）</w:t>
            </w:r>
          </w:p>
        </w:tc>
      </w:tr>
      <w:tr w14:paraId="0CF8E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1091" w:hRule="atLeast"/>
          <w:jc w:val="center"/>
        </w:trPr>
        <w:tc>
          <w:tcPr>
            <w:tcW w:w="1442" w:type="pct"/>
            <w:vAlign w:val="center"/>
          </w:tcPr>
          <w:p w14:paraId="10C34FCF">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项目名称</w:t>
            </w:r>
          </w:p>
        </w:tc>
        <w:tc>
          <w:tcPr>
            <w:tcW w:w="1433" w:type="pct"/>
            <w:vAlign w:val="center"/>
          </w:tcPr>
          <w:p w14:paraId="2FD97EB5">
            <w:pPr>
              <w:pStyle w:val="251"/>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详见投标文件</w:t>
            </w:r>
          </w:p>
        </w:tc>
        <w:tc>
          <w:tcPr>
            <w:tcW w:w="2123" w:type="pct"/>
            <w:vAlign w:val="center"/>
          </w:tcPr>
          <w:p w14:paraId="45DEBCAC">
            <w:pPr>
              <w:pStyle w:val="251"/>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元 </w:t>
            </w:r>
          </w:p>
        </w:tc>
      </w:tr>
      <w:tr w14:paraId="46C41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27" w:hRule="atLeast"/>
          <w:jc w:val="center"/>
        </w:trPr>
        <w:tc>
          <w:tcPr>
            <w:tcW w:w="1442" w:type="pct"/>
            <w:vAlign w:val="center"/>
          </w:tcPr>
          <w:p w14:paraId="42DA117B">
            <w:pPr>
              <w:pStyle w:val="251"/>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总价（大写）：</w:t>
            </w:r>
          </w:p>
        </w:tc>
        <w:tc>
          <w:tcPr>
            <w:tcW w:w="3557" w:type="pct"/>
            <w:gridSpan w:val="2"/>
            <w:vAlign w:val="center"/>
          </w:tcPr>
          <w:p w14:paraId="42DD81A9">
            <w:pPr>
              <w:pStyle w:val="251"/>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金额大写</w:t>
            </w:r>
          </w:p>
        </w:tc>
      </w:tr>
    </w:tbl>
    <w:p w14:paraId="6B02C35F">
      <w:pPr>
        <w:spacing w:line="360" w:lineRule="auto"/>
        <w:ind w:firstLine="540"/>
        <w:jc w:val="left"/>
        <w:rPr>
          <w:rFonts w:hint="default" w:ascii="Times New Roman" w:hAnsi="Times New Roman" w:eastAsia="宋体" w:cs="Times New Roman"/>
          <w:color w:val="auto"/>
          <w:sz w:val="24"/>
          <w:szCs w:val="24"/>
          <w:highlight w:val="none"/>
        </w:rPr>
      </w:pPr>
    </w:p>
    <w:p w14:paraId="620C0FC1">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投标人公章：（电子签章）</w:t>
      </w:r>
      <w:r>
        <w:rPr>
          <w:rStyle w:val="1061"/>
          <w:rFonts w:hint="default" w:ascii="Times New Roman" w:hAnsi="Times New Roman" w:eastAsia="宋体" w:cs="Times New Roman"/>
          <w:color w:val="auto"/>
          <w:highlight w:val="none"/>
          <w:lang w:val="en-US" w:eastAsia="zh-CN"/>
        </w:rPr>
        <w:t xml:space="preserve">         </w:t>
      </w:r>
    </w:p>
    <w:p w14:paraId="0235C5AE">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日期：</w:t>
      </w:r>
      <w:r>
        <w:rPr>
          <w:rStyle w:val="1061"/>
          <w:rFonts w:hint="default" w:ascii="Times New Roman" w:hAnsi="Times New Roman" w:eastAsia="宋体" w:cs="Times New Roman"/>
          <w:color w:val="auto"/>
          <w:highlight w:val="none"/>
          <w:lang w:val="en-US" w:eastAsia="zh-CN"/>
        </w:rPr>
        <w:t xml:space="preserve">                     </w:t>
      </w:r>
    </w:p>
    <w:p w14:paraId="30378FA0">
      <w:pPr>
        <w:spacing w:line="360" w:lineRule="auto"/>
        <w:ind w:firstLine="540"/>
        <w:jc w:val="left"/>
        <w:rPr>
          <w:rFonts w:hint="default" w:ascii="Times New Roman" w:hAnsi="Times New Roman" w:eastAsia="宋体" w:cs="Times New Roman"/>
          <w:color w:val="auto"/>
          <w:sz w:val="24"/>
          <w:szCs w:val="24"/>
          <w:highlight w:val="none"/>
        </w:rPr>
      </w:pPr>
    </w:p>
    <w:p w14:paraId="06F27507">
      <w:pPr>
        <w:spacing w:line="360" w:lineRule="auto"/>
        <w:rPr>
          <w:rFonts w:hint="default" w:ascii="Times New Roman" w:hAnsi="Times New Roman" w:eastAsia="宋体" w:cs="Times New Roman"/>
          <w:b/>
          <w:bCs/>
          <w:color w:val="auto"/>
          <w:sz w:val="36"/>
          <w:szCs w:val="44"/>
          <w:highlight w:val="none"/>
        </w:rPr>
      </w:pPr>
      <w:r>
        <w:rPr>
          <w:rFonts w:hint="default" w:ascii="Times New Roman" w:hAnsi="Times New Roman" w:eastAsia="宋体" w:cs="Times New Roman"/>
          <w:b/>
          <w:bCs/>
          <w:color w:val="auto"/>
          <w:sz w:val="36"/>
          <w:szCs w:val="44"/>
          <w:highlight w:val="none"/>
        </w:rPr>
        <w:br w:type="page" w:clear="all"/>
      </w:r>
    </w:p>
    <w:p w14:paraId="1E8040A5">
      <w:pPr>
        <w:pStyle w:val="1060"/>
        <w:spacing w:before="240" w:after="240"/>
        <w:rPr>
          <w:rFonts w:hint="default" w:ascii="Times New Roman" w:hAnsi="Times New Roman" w:eastAsia="宋体" w:cs="Times New Roman"/>
          <w:b/>
          <w:i/>
          <w:iCs/>
          <w:color w:val="auto"/>
          <w:sz w:val="28"/>
          <w:szCs w:val="28"/>
          <w:highlight w:val="none"/>
          <w:u w:val="single"/>
        </w:rPr>
      </w:pPr>
      <w:bookmarkStart w:id="242" w:name="_Toc28895"/>
      <w:bookmarkStart w:id="243" w:name="_Toc9320"/>
      <w:r>
        <w:rPr>
          <w:rFonts w:hint="default" w:ascii="Times New Roman" w:hAnsi="Times New Roman" w:eastAsia="宋体" w:cs="Times New Roman"/>
          <w:b/>
          <w:i/>
          <w:iCs/>
          <w:color w:val="auto"/>
          <w:sz w:val="28"/>
          <w:szCs w:val="28"/>
          <w:highlight w:val="none"/>
        </w:rPr>
        <w:t>四、</w:t>
      </w:r>
      <w:r>
        <w:rPr>
          <w:rFonts w:hint="default" w:ascii="Times New Roman" w:hAnsi="Times New Roman" w:eastAsia="宋体" w:cs="Times New Roman"/>
          <w:bCs/>
          <w:i/>
          <w:iCs/>
          <w:color w:val="auto"/>
          <w:sz w:val="28"/>
          <w:szCs w:val="28"/>
          <w:highlight w:val="none"/>
          <w:u w:val="single"/>
        </w:rPr>
        <w:t>资格证明文件</w:t>
      </w:r>
      <w:bookmarkEnd w:id="240"/>
      <w:bookmarkEnd w:id="241"/>
      <w:bookmarkEnd w:id="242"/>
      <w:bookmarkEnd w:id="243"/>
    </w:p>
    <w:p w14:paraId="22CECDB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Cs/>
          <w:color w:val="auto"/>
          <w:sz w:val="24"/>
          <w:szCs w:val="24"/>
          <w:highlight w:val="none"/>
          <w:lang w:eastAsia="zh-CN"/>
        </w:rPr>
      </w:pPr>
      <w:r>
        <w:rPr>
          <w:rFonts w:hint="default" w:ascii="Times New Roman" w:hAnsi="Times New Roman" w:eastAsia="宋体" w:cs="Times New Roman"/>
          <w:bCs/>
          <w:color w:val="auto"/>
          <w:sz w:val="24"/>
          <w:szCs w:val="24"/>
          <w:highlight w:val="none"/>
        </w:rPr>
        <w:t>1.采购人要求的特定资质证明（详见</w:t>
      </w:r>
      <w:r>
        <w:rPr>
          <w:rFonts w:hint="eastAsia" w:ascii="Times New Roman" w:hAnsi="Times New Roman" w:eastAsia="宋体" w:cs="Times New Roman"/>
          <w:bCs/>
          <w:color w:val="auto"/>
          <w:sz w:val="24"/>
          <w:szCs w:val="24"/>
          <w:highlight w:val="none"/>
          <w:lang w:eastAsia="zh-CN"/>
        </w:rPr>
        <w:t>“</w:t>
      </w:r>
      <w:r>
        <w:rPr>
          <w:rFonts w:hint="eastAsia" w:ascii="Times New Roman" w:hAnsi="Times New Roman" w:eastAsia="宋体" w:cs="Times New Roman"/>
          <w:bCs/>
          <w:color w:val="auto"/>
          <w:sz w:val="24"/>
          <w:szCs w:val="24"/>
          <w:highlight w:val="none"/>
          <w:lang w:val="en-US" w:eastAsia="zh-CN"/>
        </w:rPr>
        <w:t>招标</w:t>
      </w:r>
      <w:r>
        <w:rPr>
          <w:rFonts w:hint="default" w:ascii="Times New Roman" w:hAnsi="Times New Roman" w:eastAsia="宋体" w:cs="Times New Roman"/>
          <w:bCs/>
          <w:color w:val="auto"/>
          <w:sz w:val="24"/>
          <w:szCs w:val="24"/>
          <w:highlight w:val="none"/>
        </w:rPr>
        <w:t>公告</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color w:val="auto"/>
          <w:sz w:val="24"/>
          <w:szCs w:val="24"/>
          <w:highlight w:val="none"/>
        </w:rPr>
        <w:t>（三）本项目的特定资格要求</w:t>
      </w:r>
      <w:r>
        <w:rPr>
          <w:rFonts w:hint="eastAsia" w:ascii="Times New Roman" w:hAnsi="Times New Roman" w:eastAsia="宋体" w:cs="Times New Roman"/>
          <w:bCs/>
          <w:color w:val="auto"/>
          <w:sz w:val="24"/>
          <w:szCs w:val="24"/>
          <w:highlight w:val="none"/>
          <w:lang w:eastAsia="zh-CN"/>
        </w:rPr>
        <w:t>”</w:t>
      </w:r>
      <w:r>
        <w:rPr>
          <w:rFonts w:hint="default" w:ascii="Times New Roman" w:hAnsi="Times New Roman" w:eastAsia="宋体" w:cs="Times New Roman"/>
          <w:bCs/>
          <w:color w:val="auto"/>
          <w:sz w:val="24"/>
          <w:szCs w:val="24"/>
          <w:highlight w:val="none"/>
        </w:rPr>
        <w:t>）</w:t>
      </w:r>
      <w:r>
        <w:rPr>
          <w:rFonts w:hint="eastAsia" w:ascii="Times New Roman" w:hAnsi="Times New Roman" w:eastAsia="宋体" w:cs="Times New Roman"/>
          <w:bCs/>
          <w:color w:val="auto"/>
          <w:sz w:val="24"/>
          <w:szCs w:val="24"/>
          <w:highlight w:val="none"/>
          <w:lang w:eastAsia="zh-CN"/>
        </w:rPr>
        <w:t>；</w:t>
      </w:r>
    </w:p>
    <w:p w14:paraId="1B2E3203">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bCs w:val="0"/>
          <w:color w:val="auto"/>
          <w:sz w:val="24"/>
          <w:szCs w:val="24"/>
          <w:highlight w:val="none"/>
          <w:lang w:eastAsia="zh-CN"/>
        </w:rPr>
      </w:pPr>
      <w:r>
        <w:rPr>
          <w:rFonts w:hint="default" w:ascii="Times New Roman" w:hAnsi="Times New Roman" w:eastAsia="宋体" w:cs="Times New Roman"/>
          <w:bCs/>
          <w:color w:val="auto"/>
          <w:sz w:val="24"/>
          <w:szCs w:val="24"/>
          <w:highlight w:val="none"/>
        </w:rPr>
        <w:t>2.</w:t>
      </w:r>
      <w:bookmarkStart w:id="244" w:name="_Toc17784"/>
      <w:r>
        <w:rPr>
          <w:rFonts w:hint="default" w:ascii="Times New Roman" w:hAnsi="Times New Roman" w:eastAsia="宋体" w:cs="Times New Roman"/>
          <w:bCs/>
          <w:color w:val="auto"/>
          <w:sz w:val="24"/>
          <w:szCs w:val="24"/>
          <w:highlight w:val="none"/>
        </w:rPr>
        <w:t>法人或者其他组织的营业执照等证明文件，自然人的身份证明</w:t>
      </w:r>
      <w:bookmarkEnd w:id="244"/>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联合体所有成员均需提供</w:t>
      </w:r>
      <w:r>
        <w:rPr>
          <w:rFonts w:hint="eastAsia" w:ascii="Times New Roman" w:hAnsi="Times New Roman" w:eastAsia="宋体" w:cs="Times New Roman"/>
          <w:b/>
          <w:bCs w:val="0"/>
          <w:color w:val="auto"/>
          <w:sz w:val="24"/>
          <w:szCs w:val="24"/>
          <w:highlight w:val="none"/>
          <w:lang w:eastAsia="zh-CN"/>
        </w:rPr>
        <w:t>）；</w:t>
      </w:r>
    </w:p>
    <w:p w14:paraId="3EEEEC77">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b/>
          <w:bCs w:val="0"/>
          <w:color w:val="auto"/>
          <w:sz w:val="24"/>
          <w:szCs w:val="24"/>
          <w:highlight w:val="none"/>
          <w:lang w:eastAsia="zh-CN"/>
        </w:rPr>
      </w:pPr>
      <w:r>
        <w:rPr>
          <w:rFonts w:hint="default" w:ascii="Times New Roman" w:hAnsi="Times New Roman" w:eastAsia="宋体" w:cs="Times New Roman"/>
          <w:bCs/>
          <w:color w:val="auto"/>
          <w:sz w:val="24"/>
          <w:szCs w:val="24"/>
          <w:highlight w:val="none"/>
        </w:rPr>
        <w:t>3.投标人近六个月中任意一个月份（不含投标文件递交当月）的财务状况报告或由会计师事务所出具的近两年中任意一个年度的审计报告，其他组织、自然人及成立未满一年的法人应提供银行出具的资信证明</w:t>
      </w: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联合体所有成员均需提供</w:t>
      </w:r>
      <w:r>
        <w:rPr>
          <w:rFonts w:hint="eastAsia" w:ascii="Times New Roman" w:hAnsi="Times New Roman" w:eastAsia="宋体" w:cs="Times New Roman"/>
          <w:b/>
          <w:bCs w:val="0"/>
          <w:color w:val="auto"/>
          <w:sz w:val="24"/>
          <w:szCs w:val="24"/>
          <w:highlight w:val="none"/>
          <w:lang w:eastAsia="zh-CN"/>
        </w:rPr>
        <w:t>）；</w:t>
      </w:r>
    </w:p>
    <w:p w14:paraId="28779429">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bookmarkStart w:id="245" w:name="_Toc15410"/>
      <w:r>
        <w:rPr>
          <w:rFonts w:hint="default" w:ascii="Times New Roman" w:hAnsi="Times New Roman" w:eastAsia="宋体" w:cs="Times New Roman"/>
          <w:bCs/>
          <w:color w:val="auto"/>
          <w:sz w:val="24"/>
          <w:szCs w:val="24"/>
          <w:highlight w:val="none"/>
        </w:rPr>
        <w:t>4.</w:t>
      </w:r>
      <w:bookmarkEnd w:id="245"/>
      <w:r>
        <w:rPr>
          <w:rFonts w:hint="default" w:ascii="Times New Roman" w:hAnsi="Times New Roman" w:eastAsia="宋体" w:cs="Times New Roman"/>
          <w:bCs/>
          <w:color w:val="auto"/>
          <w:sz w:val="24"/>
          <w:szCs w:val="24"/>
          <w:highlight w:val="none"/>
        </w:rPr>
        <w:t>投标人近六个月中任意一个月份（不含投标文件递交当月）的依法缴纳税收的相关材料（提供相关主管部门证明或银行代扣证明）（依法免缴或缓缴的</w:t>
      </w:r>
      <w:r>
        <w:rPr>
          <w:rFonts w:hint="eastAsia"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bCs/>
          <w:color w:val="auto"/>
          <w:sz w:val="24"/>
          <w:szCs w:val="24"/>
          <w:highlight w:val="none"/>
        </w:rPr>
        <w:t>，应提供相应文件证明其依法免税的证明材料）</w:t>
      </w: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联合体所有成员均需提供</w:t>
      </w:r>
      <w:r>
        <w:rPr>
          <w:rFonts w:hint="eastAsia" w:ascii="Times New Roman" w:hAnsi="Times New Roman" w:eastAsia="宋体" w:cs="Times New Roman"/>
          <w:b/>
          <w:bCs w:val="0"/>
          <w:color w:val="auto"/>
          <w:sz w:val="24"/>
          <w:szCs w:val="24"/>
          <w:highlight w:val="none"/>
          <w:lang w:eastAsia="zh-CN"/>
        </w:rPr>
        <w:t>）；</w:t>
      </w:r>
    </w:p>
    <w:p w14:paraId="0201B804">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5.投标人近六个月中任意一个月份（不含投标文件递交当月）的依法缴纳社会保障资金的相关材料（提供相关主管部门证明或银行代扣证明）复印件（依法免缴或缓缴的</w:t>
      </w:r>
      <w:r>
        <w:rPr>
          <w:rFonts w:hint="eastAsia" w:ascii="Times New Roman" w:hAnsi="Times New Roman" w:eastAsia="宋体" w:cs="Times New Roman"/>
          <w:bCs/>
          <w:color w:val="auto"/>
          <w:sz w:val="24"/>
          <w:szCs w:val="24"/>
          <w:highlight w:val="none"/>
          <w:lang w:eastAsia="zh-CN"/>
        </w:rPr>
        <w:t>投标人</w:t>
      </w:r>
      <w:r>
        <w:rPr>
          <w:rFonts w:hint="default" w:ascii="Times New Roman" w:hAnsi="Times New Roman" w:eastAsia="宋体" w:cs="Times New Roman"/>
          <w:bCs/>
          <w:color w:val="auto"/>
          <w:sz w:val="24"/>
          <w:szCs w:val="24"/>
          <w:highlight w:val="none"/>
        </w:rPr>
        <w:t>，应提供相应文件证明其依法免税的证明材料）</w:t>
      </w: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联合体所有成员均需提供</w:t>
      </w:r>
      <w:r>
        <w:rPr>
          <w:rFonts w:hint="eastAsia" w:ascii="Times New Roman" w:hAnsi="Times New Roman" w:eastAsia="宋体" w:cs="Times New Roman"/>
          <w:b/>
          <w:bCs w:val="0"/>
          <w:color w:val="auto"/>
          <w:sz w:val="24"/>
          <w:szCs w:val="24"/>
          <w:highlight w:val="none"/>
          <w:lang w:eastAsia="zh-CN"/>
        </w:rPr>
        <w:t>）；</w:t>
      </w:r>
    </w:p>
    <w:p w14:paraId="07875B43">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6.未被列入“信用中国”网站（www.creditchina.gov.cn）失信被执行人名单、重大税收违法案件当事人名单和中国政府采购网（www.ccgp.gov.cn）政府采购严重违法失信行为记录名单。</w:t>
      </w:r>
      <w:r>
        <w:rPr>
          <w:rFonts w:hint="eastAsia" w:ascii="Times New Roman" w:hAnsi="Times New Roman" w:eastAsia="宋体" w:cs="Times New Roman"/>
          <w:b/>
          <w:bCs w:val="0"/>
          <w:color w:val="auto"/>
          <w:sz w:val="24"/>
          <w:szCs w:val="24"/>
          <w:highlight w:val="none"/>
          <w:lang w:eastAsia="zh-CN"/>
        </w:rPr>
        <w:t>（</w:t>
      </w:r>
      <w:r>
        <w:rPr>
          <w:rFonts w:hint="eastAsia" w:ascii="Times New Roman" w:hAnsi="Times New Roman" w:eastAsia="宋体" w:cs="Times New Roman"/>
          <w:b/>
          <w:bCs w:val="0"/>
          <w:color w:val="auto"/>
          <w:sz w:val="24"/>
          <w:szCs w:val="24"/>
          <w:highlight w:val="none"/>
          <w:lang w:val="en-US" w:eastAsia="zh-CN"/>
        </w:rPr>
        <w:t>联合体所有成员均需提供</w:t>
      </w:r>
      <w:r>
        <w:rPr>
          <w:rFonts w:hint="eastAsia" w:ascii="Times New Roman" w:hAnsi="Times New Roman" w:eastAsia="宋体" w:cs="Times New Roman"/>
          <w:b/>
          <w:bCs w:val="0"/>
          <w:color w:val="auto"/>
          <w:sz w:val="24"/>
          <w:szCs w:val="24"/>
          <w:highlight w:val="none"/>
          <w:lang w:eastAsia="zh-CN"/>
        </w:rPr>
        <w:t>）；</w:t>
      </w:r>
    </w:p>
    <w:p w14:paraId="0DF26B1C">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Cs/>
          <w:color w:val="auto"/>
          <w:sz w:val="24"/>
          <w:szCs w:val="24"/>
          <w:highlight w:val="none"/>
        </w:rPr>
      </w:pPr>
    </w:p>
    <w:p w14:paraId="3397BE20">
      <w:pPr>
        <w:numPr>
          <w:ilvl w:val="0"/>
          <w:numId w:val="0"/>
        </w:numPr>
        <w:rPr>
          <w:rFonts w:hint="eastAsia" w:ascii="Times New Roman" w:hAnsi="Times New Roman" w:eastAsia="宋体" w:cs="Times New Roman"/>
          <w:bCs/>
          <w:color w:val="auto"/>
          <w:sz w:val="28"/>
          <w:szCs w:val="28"/>
          <w:highlight w:val="none"/>
          <w:lang w:val="en-US" w:eastAsia="zh-CN"/>
        </w:rPr>
      </w:pPr>
    </w:p>
    <w:p w14:paraId="22F84615">
      <w:pPr>
        <w:numPr>
          <w:ilvl w:val="0"/>
          <w:numId w:val="0"/>
        </w:numPr>
        <w:rPr>
          <w:rFonts w:hint="eastAsia" w:ascii="Times New Roman" w:hAnsi="Times New Roman" w:eastAsia="宋体" w:cs="Times New Roman"/>
          <w:b/>
          <w:bCs w:val="0"/>
          <w:color w:val="auto"/>
          <w:sz w:val="32"/>
          <w:szCs w:val="32"/>
          <w:highlight w:val="none"/>
          <w:lang w:val="en-US" w:eastAsia="zh-CN"/>
        </w:rPr>
      </w:pPr>
      <w:r>
        <w:rPr>
          <w:rFonts w:hint="eastAsia" w:ascii="Times New Roman" w:hAnsi="Times New Roman" w:eastAsia="宋体" w:cs="Times New Roman"/>
          <w:b/>
          <w:bCs w:val="0"/>
          <w:color w:val="auto"/>
          <w:sz w:val="32"/>
          <w:szCs w:val="32"/>
          <w:highlight w:val="none"/>
          <w:lang w:val="en-US" w:eastAsia="zh-CN"/>
        </w:rPr>
        <w:t>特别提醒：</w:t>
      </w:r>
    </w:p>
    <w:p w14:paraId="4DD084A4">
      <w:pPr>
        <w:numPr>
          <w:ilvl w:val="0"/>
          <w:numId w:val="0"/>
        </w:numPr>
        <w:rPr>
          <w:rFonts w:hint="eastAsia" w:ascii="Times New Roman" w:hAnsi="Times New Roman" w:eastAsia="宋体" w:cs="Times New Roman"/>
          <w:b/>
          <w:bCs w:val="0"/>
          <w:color w:val="auto"/>
          <w:sz w:val="32"/>
          <w:szCs w:val="32"/>
          <w:highlight w:val="none"/>
          <w:lang w:val="en-US" w:eastAsia="zh-CN"/>
        </w:rPr>
      </w:pPr>
      <w:r>
        <w:rPr>
          <w:rFonts w:hint="eastAsia" w:ascii="Times New Roman" w:hAnsi="Times New Roman" w:eastAsia="宋体" w:cs="Times New Roman"/>
          <w:b/>
          <w:bCs w:val="0"/>
          <w:color w:val="auto"/>
          <w:sz w:val="32"/>
          <w:szCs w:val="32"/>
          <w:highlight w:val="none"/>
          <w:lang w:val="en-US" w:eastAsia="zh-CN"/>
        </w:rPr>
        <w:t>签署要求：联合体所有成员单位的证明材料，由各成员自行打印、加盖本单位鲜章后扫描；扫描件组成的整套联合体资料，最终由联合体牵头人（投标人）上传并加盖电子签章。</w:t>
      </w:r>
    </w:p>
    <w:p w14:paraId="065C85E6">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0FF729BD">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6CA29447">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64242FA2">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2D35835E">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76D4B2E4">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66001751">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736DB089">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2044E7CC">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4B21ED55">
      <w:pPr>
        <w:widowControl w:val="0"/>
        <w:numPr>
          <w:ilvl w:val="0"/>
          <w:numId w:val="0"/>
        </w:numPr>
        <w:jc w:val="both"/>
        <w:rPr>
          <w:rFonts w:hint="eastAsia" w:ascii="Times New Roman" w:hAnsi="Times New Roman" w:eastAsia="宋体" w:cs="Times New Roman"/>
          <w:bCs/>
          <w:color w:val="auto"/>
          <w:sz w:val="28"/>
          <w:szCs w:val="28"/>
          <w:highlight w:val="none"/>
          <w:lang w:val="en-US" w:eastAsia="zh-CN"/>
        </w:rPr>
      </w:pPr>
    </w:p>
    <w:p w14:paraId="079E9B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rPr>
          <w:rFonts w:hint="default" w:ascii="Times New Roman" w:hAnsi="Times New Roman" w:eastAsia="宋体" w:cs="Times New Roman"/>
          <w:bCs/>
          <w:color w:val="auto"/>
          <w:sz w:val="28"/>
          <w:szCs w:val="28"/>
          <w:highlight w:val="none"/>
        </w:rPr>
      </w:pPr>
      <w:r>
        <w:rPr>
          <w:rFonts w:hint="eastAsia" w:ascii="Times New Roman" w:hAnsi="Times New Roman" w:eastAsia="宋体" w:cs="Times New Roman"/>
          <w:bCs/>
          <w:color w:val="auto"/>
          <w:sz w:val="28"/>
          <w:szCs w:val="28"/>
          <w:highlight w:val="none"/>
          <w:lang w:val="en-US" w:eastAsia="zh-CN"/>
        </w:rPr>
        <w:t>7</w:t>
      </w:r>
      <w:r>
        <w:rPr>
          <w:rFonts w:hint="default" w:ascii="Times New Roman" w:hAnsi="Times New Roman" w:eastAsia="宋体" w:cs="Times New Roman"/>
          <w:bCs/>
          <w:color w:val="auto"/>
          <w:sz w:val="28"/>
          <w:szCs w:val="28"/>
          <w:highlight w:val="none"/>
        </w:rPr>
        <w:t>.</w:t>
      </w:r>
      <w:bookmarkStart w:id="246" w:name="_Toc30219"/>
      <w:r>
        <w:rPr>
          <w:rFonts w:hint="default" w:ascii="Times New Roman" w:hAnsi="Times New Roman" w:eastAsia="宋体" w:cs="Times New Roman"/>
          <w:bCs/>
          <w:color w:val="auto"/>
          <w:sz w:val="28"/>
          <w:szCs w:val="28"/>
          <w:highlight w:val="none"/>
        </w:rPr>
        <w:t>具备履行合同所必需的设备和专业技术能力的书面声明</w:t>
      </w:r>
      <w:bookmarkEnd w:id="246"/>
    </w:p>
    <w:p w14:paraId="6ACBA5BE">
      <w:pPr>
        <w:pStyle w:val="1068"/>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21A2528D">
      <w:pPr>
        <w:pStyle w:val="1068"/>
        <w:spacing w:before="320" w:after="320"/>
        <w:jc w:val="center"/>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具备履行合同所必需的设备和专业技术能力的书面声明</w:t>
      </w:r>
    </w:p>
    <w:p w14:paraId="6B45ADAF">
      <w:pPr>
        <w:pStyle w:val="1068"/>
        <w:spacing w:before="240" w:after="240"/>
        <w:rPr>
          <w:rFonts w:hint="default" w:ascii="Times New Roman" w:hAnsi="Times New Roman" w:eastAsia="宋体" w:cs="Times New Roman"/>
          <w:color w:val="auto"/>
          <w:sz w:val="24"/>
          <w:szCs w:val="24"/>
          <w:highlight w:val="none"/>
        </w:rPr>
      </w:pPr>
    </w:p>
    <w:p w14:paraId="6B24F0D5">
      <w:pPr>
        <w:pStyle w:val="106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我单位郑重声明：我单位具备履行本项采购合同所必需的设备和专业技术能力。</w:t>
      </w:r>
    </w:p>
    <w:p w14:paraId="0382B9B1">
      <w:pPr>
        <w:pStyle w:val="1068"/>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p>
    <w:p w14:paraId="5E74A131">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sz w:val="24"/>
          <w:szCs w:val="24"/>
          <w:highlight w:val="none"/>
          <w:lang w:val="en-US" w:eastAsia="zh-CN"/>
        </w:rPr>
      </w:pPr>
      <w:r>
        <w:rPr>
          <w:rStyle w:val="1061"/>
          <w:rFonts w:hint="default" w:ascii="Times New Roman" w:hAnsi="Times New Roman" w:eastAsia="宋体" w:cs="Times New Roman"/>
          <w:color w:val="auto"/>
          <w:sz w:val="24"/>
          <w:szCs w:val="24"/>
          <w:highlight w:val="none"/>
        </w:rPr>
        <w:t>投标人公章：（电子签章）</w:t>
      </w:r>
      <w:r>
        <w:rPr>
          <w:rStyle w:val="1061"/>
          <w:rFonts w:hint="default" w:ascii="Times New Roman" w:hAnsi="Times New Roman" w:eastAsia="宋体" w:cs="Times New Roman"/>
          <w:color w:val="auto"/>
          <w:sz w:val="24"/>
          <w:szCs w:val="24"/>
          <w:highlight w:val="none"/>
          <w:lang w:val="en-US" w:eastAsia="zh-CN"/>
        </w:rPr>
        <w:t xml:space="preserve">         </w:t>
      </w:r>
    </w:p>
    <w:p w14:paraId="34B493CD">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sz w:val="24"/>
          <w:szCs w:val="24"/>
          <w:highlight w:val="none"/>
          <w:lang w:val="en-US" w:eastAsia="zh-CN"/>
        </w:rPr>
      </w:pPr>
      <w:r>
        <w:rPr>
          <w:rStyle w:val="1061"/>
          <w:rFonts w:hint="default" w:ascii="Times New Roman" w:hAnsi="Times New Roman" w:eastAsia="宋体" w:cs="Times New Roman"/>
          <w:color w:val="auto"/>
          <w:sz w:val="24"/>
          <w:szCs w:val="24"/>
          <w:highlight w:val="none"/>
        </w:rPr>
        <w:t>日期：</w:t>
      </w:r>
      <w:r>
        <w:rPr>
          <w:rStyle w:val="1061"/>
          <w:rFonts w:hint="default" w:ascii="Times New Roman" w:hAnsi="Times New Roman" w:eastAsia="宋体" w:cs="Times New Roman"/>
          <w:color w:val="auto"/>
          <w:sz w:val="24"/>
          <w:szCs w:val="24"/>
          <w:highlight w:val="none"/>
          <w:lang w:val="en-US" w:eastAsia="zh-CN"/>
        </w:rPr>
        <w:t xml:space="preserve">                     </w:t>
      </w:r>
    </w:p>
    <w:p w14:paraId="17B29578">
      <w:pP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br w:type="page"/>
      </w:r>
    </w:p>
    <w:p w14:paraId="22C8BB4F">
      <w:pPr>
        <w:spacing w:line="440" w:lineRule="exact"/>
        <w:rPr>
          <w:rFonts w:hint="default" w:ascii="Times New Roman" w:hAnsi="Times New Roman" w:eastAsia="宋体" w:cs="Times New Roman"/>
          <w:bCs/>
          <w:color w:val="auto"/>
          <w:sz w:val="28"/>
          <w:szCs w:val="28"/>
          <w:highlight w:val="none"/>
        </w:rPr>
      </w:pPr>
      <w:bookmarkStart w:id="247" w:name="_Toc10194"/>
      <w:r>
        <w:rPr>
          <w:rFonts w:hint="eastAsia" w:ascii="Times New Roman" w:hAnsi="Times New Roman" w:eastAsia="宋体" w:cs="Times New Roman"/>
          <w:bCs/>
          <w:color w:val="auto"/>
          <w:sz w:val="28"/>
          <w:szCs w:val="28"/>
          <w:highlight w:val="none"/>
          <w:lang w:val="en-US" w:eastAsia="zh-CN"/>
        </w:rPr>
        <w:t>8</w:t>
      </w:r>
      <w:r>
        <w:rPr>
          <w:rFonts w:hint="default" w:ascii="Times New Roman" w:hAnsi="Times New Roman" w:eastAsia="宋体" w:cs="Times New Roman"/>
          <w:bCs/>
          <w:color w:val="auto"/>
          <w:sz w:val="28"/>
          <w:szCs w:val="28"/>
          <w:highlight w:val="none"/>
        </w:rPr>
        <w:t>.参加政府采购活动前3年内在经营活动中没有重大违法记录的书面声明</w:t>
      </w:r>
      <w:bookmarkEnd w:id="247"/>
    </w:p>
    <w:p w14:paraId="213CE154">
      <w:pPr>
        <w:pStyle w:val="1068"/>
        <w:spacing w:before="320" w:after="320"/>
        <w:jc w:val="center"/>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参加政府采购活动前3年内在经营活动中没有重大违法记录的书面声明</w:t>
      </w:r>
    </w:p>
    <w:p w14:paraId="20163972">
      <w:pPr>
        <w:pStyle w:val="1068"/>
        <w:keepNext w:val="0"/>
        <w:keepLines w:val="0"/>
        <w:pageBreakBefore w:val="0"/>
        <w:kinsoku/>
        <w:wordWrap/>
        <w:overflowPunct/>
        <w:topLinePunct w:val="0"/>
        <w:autoSpaceDE/>
        <w:autoSpaceDN/>
        <w:bidi w:val="0"/>
        <w:adjustRightInd w:val="0"/>
        <w:snapToGrid w:val="0"/>
        <w:spacing w:line="360" w:lineRule="auto"/>
        <w:ind w:firstLine="562" w:firstLineChars="200"/>
        <w:jc w:val="both"/>
        <w:textAlignment w:val="auto"/>
        <w:rPr>
          <w:rFonts w:hint="default" w:ascii="Times New Roman" w:hAnsi="Times New Roman" w:eastAsia="宋体" w:cs="Times New Roman"/>
          <w:b/>
          <w:bCs/>
          <w:color w:val="auto"/>
          <w:sz w:val="28"/>
          <w:szCs w:val="28"/>
          <w:highlight w:val="none"/>
        </w:rPr>
      </w:pPr>
    </w:p>
    <w:p w14:paraId="0FA68948">
      <w:pPr>
        <w:pStyle w:val="1069"/>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 </w:t>
      </w:r>
    </w:p>
    <w:p w14:paraId="65699845">
      <w:pPr>
        <w:pStyle w:val="1069"/>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p>
    <w:p w14:paraId="1F036FE1">
      <w:pPr>
        <w:keepNext w:val="0"/>
        <w:keepLines w:val="0"/>
        <w:pageBreakBefore w:val="0"/>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投标人公章：</w:t>
      </w:r>
      <w:r>
        <w:rPr>
          <w:rStyle w:val="1061"/>
          <w:rFonts w:hint="default" w:ascii="Times New Roman" w:hAnsi="Times New Roman" w:eastAsia="宋体" w:cs="Times New Roman"/>
          <w:color w:val="auto"/>
          <w:sz w:val="24"/>
          <w:szCs w:val="24"/>
          <w:highlight w:val="none"/>
        </w:rPr>
        <w:t>（电子签章）</w:t>
      </w:r>
      <w:r>
        <w:rPr>
          <w:rFonts w:hint="eastAsia" w:ascii="Times New Roman" w:hAnsi="Times New Roman" w:eastAsia="宋体" w:cs="Times New Roman"/>
          <w:color w:val="auto"/>
          <w:sz w:val="24"/>
          <w:szCs w:val="24"/>
          <w:highlight w:val="none"/>
          <w:lang w:val="en-US" w:eastAsia="zh-CN"/>
        </w:rPr>
        <w:t xml:space="preserve">     </w:t>
      </w:r>
    </w:p>
    <w:p w14:paraId="68FEC75C">
      <w:pPr>
        <w:pStyle w:val="1071"/>
        <w:keepNext w:val="0"/>
        <w:keepLines w:val="0"/>
        <w:pageBreakBefore w:val="0"/>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日期：</w:t>
      </w:r>
      <w:r>
        <w:rPr>
          <w:rFonts w:hint="eastAsia" w:eastAsia="宋体" w:cs="Times New Roman"/>
          <w:color w:val="auto"/>
          <w:sz w:val="24"/>
          <w:szCs w:val="24"/>
          <w:highlight w:val="none"/>
          <w:lang w:val="en-US" w:eastAsia="zh-CN"/>
        </w:rPr>
        <w:t xml:space="preserve">                </w:t>
      </w:r>
    </w:p>
    <w:p w14:paraId="61E7C8ED">
      <w:pPr>
        <w:pStyle w:val="1071"/>
        <w:keepNext w:val="0"/>
        <w:keepLines w:val="0"/>
        <w:pageBreakBefore w:val="0"/>
        <w:kinsoku/>
        <w:wordWrap/>
        <w:overflowPunct/>
        <w:topLinePunct w:val="0"/>
        <w:autoSpaceDE/>
        <w:autoSpaceDN/>
        <w:bidi w:val="0"/>
        <w:adjustRightInd w:val="0"/>
        <w:snapToGrid w:val="0"/>
        <w:spacing w:line="360" w:lineRule="auto"/>
        <w:ind w:firstLine="480" w:firstLineChars="200"/>
        <w:jc w:val="center"/>
        <w:textAlignment w:val="auto"/>
        <w:rPr>
          <w:rFonts w:hint="default" w:ascii="Times New Roman" w:hAnsi="Times New Roman" w:eastAsia="宋体" w:cs="Times New Roman"/>
          <w:b/>
          <w:bCs/>
          <w:color w:val="auto"/>
          <w:highlight w:val="none"/>
        </w:rPr>
      </w:pPr>
      <w:r>
        <w:rPr>
          <w:rFonts w:hint="default" w:ascii="Times New Roman" w:hAnsi="Times New Roman" w:eastAsia="宋体" w:cs="Times New Roman"/>
          <w:color w:val="auto"/>
          <w:highlight w:val="none"/>
        </w:rPr>
        <w:br w:type="page" w:clear="all"/>
      </w:r>
    </w:p>
    <w:p w14:paraId="14142329">
      <w:pPr>
        <w:pStyle w:val="1072"/>
        <w:rPr>
          <w:rFonts w:hint="default" w:ascii="Times New Roman" w:hAnsi="Times New Roman" w:eastAsia="宋体" w:cs="Times New Roman"/>
          <w:b/>
          <w:bCs/>
          <w:color w:val="auto"/>
          <w:sz w:val="28"/>
          <w:szCs w:val="28"/>
          <w:highlight w:val="none"/>
        </w:rPr>
      </w:pPr>
      <w:bookmarkStart w:id="248" w:name="_Toc12504"/>
      <w:r>
        <w:rPr>
          <w:rFonts w:hint="eastAsia" w:cs="Times New Roman"/>
          <w:b/>
          <w:bCs/>
          <w:color w:val="auto"/>
          <w:sz w:val="28"/>
          <w:szCs w:val="28"/>
          <w:highlight w:val="none"/>
          <w:lang w:val="en-US" w:eastAsia="zh-CN"/>
        </w:rPr>
        <w:t>9</w:t>
      </w:r>
      <w:r>
        <w:rPr>
          <w:rFonts w:hint="default" w:ascii="Times New Roman" w:hAnsi="Times New Roman" w:eastAsia="宋体" w:cs="Times New Roman"/>
          <w:b/>
          <w:bCs/>
          <w:color w:val="auto"/>
          <w:sz w:val="28"/>
          <w:szCs w:val="28"/>
          <w:highlight w:val="none"/>
        </w:rPr>
        <w:t>.关于资格证明文件的书面承诺</w:t>
      </w:r>
      <w:bookmarkEnd w:id="248"/>
    </w:p>
    <w:p w14:paraId="6395A76C">
      <w:pPr>
        <w:pStyle w:val="1039"/>
        <w:spacing w:line="440" w:lineRule="exact"/>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p>
    <w:p w14:paraId="7F44B7AB">
      <w:pPr>
        <w:pStyle w:val="1039"/>
        <w:spacing w:before="320" w:after="320"/>
        <w:jc w:val="center"/>
        <w:rPr>
          <w:rFonts w:hint="default" w:ascii="Times New Roman" w:hAnsi="Times New Roman" w:eastAsia="宋体" w:cs="Times New Roman"/>
          <w:bCs/>
          <w:color w:val="auto"/>
          <w:szCs w:val="32"/>
          <w:highlight w:val="none"/>
        </w:rPr>
      </w:pPr>
      <w:r>
        <w:rPr>
          <w:rFonts w:hint="default" w:ascii="Times New Roman" w:hAnsi="Times New Roman" w:eastAsia="宋体" w:cs="Times New Roman"/>
          <w:bCs/>
          <w:color w:val="auto"/>
          <w:szCs w:val="32"/>
          <w:highlight w:val="none"/>
        </w:rPr>
        <w:t>关于资格证明文件的书面承诺</w:t>
      </w:r>
    </w:p>
    <w:p w14:paraId="0A47085F">
      <w:pPr>
        <w:pStyle w:val="1039"/>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 xml:space="preserve">我单位郑重承诺：本单位所提交的投标文件中的关于投标资格的文件、证明和陈述均符合《中华人民共和国政府采购法》第二十二条第一款规定的条件，且所有关于投标资格的文件、证明和陈述均是真实的、准确的。若与真实情况不符，本公司愿意承担由此而产生的一切后果。 </w:t>
      </w:r>
    </w:p>
    <w:p w14:paraId="6218D1B1">
      <w:pPr>
        <w:pStyle w:val="1039"/>
        <w:spacing w:before="240" w:after="240"/>
        <w:rPr>
          <w:rFonts w:hint="default" w:ascii="Times New Roman" w:hAnsi="Times New Roman" w:eastAsia="宋体" w:cs="Times New Roman"/>
          <w:b w:val="0"/>
          <w:bCs/>
          <w:color w:val="auto"/>
          <w:sz w:val="24"/>
          <w:highlight w:val="none"/>
          <w:lang w:val="en-US" w:eastAsia="zh-CN"/>
        </w:rPr>
      </w:pPr>
    </w:p>
    <w:p w14:paraId="1BAF34C5">
      <w:pPr>
        <w:pStyle w:val="1039"/>
        <w:spacing w:before="240" w:after="240"/>
        <w:rPr>
          <w:rFonts w:hint="default" w:ascii="Times New Roman" w:hAnsi="Times New Roman" w:eastAsia="宋体" w:cs="Times New Roman"/>
          <w:b w:val="0"/>
          <w:bCs/>
          <w:color w:val="auto"/>
          <w:sz w:val="24"/>
          <w:highlight w:val="none"/>
          <w:lang w:val="en-US" w:eastAsia="zh-CN"/>
        </w:rPr>
      </w:pPr>
    </w:p>
    <w:p w14:paraId="298F31CC">
      <w:pPr>
        <w:pStyle w:val="1039"/>
        <w:spacing w:before="240" w:after="240"/>
        <w:rPr>
          <w:rFonts w:hint="default" w:ascii="Times New Roman" w:hAnsi="Times New Roman" w:eastAsia="宋体" w:cs="Times New Roman"/>
          <w:b w:val="0"/>
          <w:bCs/>
          <w:color w:val="auto"/>
          <w:sz w:val="24"/>
          <w:highlight w:val="none"/>
          <w:lang w:val="en-US" w:eastAsia="zh-CN"/>
        </w:rPr>
      </w:pPr>
    </w:p>
    <w:p w14:paraId="1A742CB5">
      <w:pPr>
        <w:pStyle w:val="1039"/>
        <w:keepNext w:val="0"/>
        <w:keepLines w:val="0"/>
        <w:pageBreakBefore w:val="0"/>
        <w:widowControl/>
        <w:kinsoku/>
        <w:overflowPunct/>
        <w:topLinePunct w:val="0"/>
        <w:autoSpaceDE/>
        <w:autoSpaceDN/>
        <w:bidi w:val="0"/>
        <w:adjustRightInd w:val="0"/>
        <w:snapToGrid w:val="0"/>
        <w:spacing w:line="360" w:lineRule="auto"/>
        <w:jc w:val="right"/>
        <w:textAlignment w:val="auto"/>
        <w:rPr>
          <w:rFonts w:hint="default" w:ascii="Times New Roman" w:hAnsi="Times New Roman" w:eastAsia="宋体" w:cs="Times New Roman"/>
          <w:b w:val="0"/>
          <w:bCs/>
          <w:color w:val="auto"/>
          <w:sz w:val="24"/>
          <w:highlight w:val="none"/>
        </w:rPr>
      </w:pPr>
      <w:r>
        <w:rPr>
          <w:rFonts w:hint="default" w:ascii="Times New Roman" w:hAnsi="Times New Roman" w:eastAsia="宋体" w:cs="Times New Roman"/>
          <w:b w:val="0"/>
          <w:bCs/>
          <w:color w:val="auto"/>
          <w:sz w:val="24"/>
          <w:highlight w:val="none"/>
        </w:rPr>
        <w:t>投标人公章：（电子签章）</w:t>
      </w:r>
    </w:p>
    <w:p w14:paraId="75E3CA95">
      <w:pPr>
        <w:pStyle w:val="1039"/>
        <w:keepNext w:val="0"/>
        <w:keepLines w:val="0"/>
        <w:pageBreakBefore w:val="0"/>
        <w:widowControl/>
        <w:kinsoku/>
        <w:wordWrap w:val="0"/>
        <w:overflowPunct/>
        <w:topLinePunct w:val="0"/>
        <w:autoSpaceDE/>
        <w:autoSpaceDN/>
        <w:bidi w:val="0"/>
        <w:adjustRightInd w:val="0"/>
        <w:snapToGrid w:val="0"/>
        <w:spacing w:line="360" w:lineRule="auto"/>
        <w:ind w:firstLine="720" w:firstLineChars="300"/>
        <w:jc w:val="right"/>
        <w:textAlignment w:val="auto"/>
        <w:rPr>
          <w:rFonts w:hint="default" w:ascii="Times New Roman" w:hAnsi="Times New Roman" w:eastAsia="宋体" w:cs="Times New Roman"/>
          <w:b w:val="0"/>
          <w:bCs/>
          <w:color w:val="auto"/>
          <w:sz w:val="24"/>
          <w:highlight w:val="none"/>
          <w:lang w:val="en-US" w:eastAsia="zh-CN"/>
        </w:rPr>
      </w:pPr>
      <w:r>
        <w:rPr>
          <w:rFonts w:hint="default" w:ascii="Times New Roman" w:hAnsi="Times New Roman" w:eastAsia="宋体" w:cs="Times New Roman"/>
          <w:b w:val="0"/>
          <w:bCs/>
          <w:color w:val="auto"/>
          <w:sz w:val="24"/>
          <w:highlight w:val="none"/>
        </w:rPr>
        <w:t>日期</w:t>
      </w:r>
      <w:r>
        <w:rPr>
          <w:rFonts w:hint="default" w:ascii="Times New Roman" w:hAnsi="Times New Roman" w:eastAsia="宋体" w:cs="Times New Roman"/>
          <w:b w:val="0"/>
          <w:bCs/>
          <w:color w:val="auto"/>
          <w:sz w:val="24"/>
          <w:highlight w:val="none"/>
          <w:lang w:eastAsia="zh-CN"/>
        </w:rPr>
        <w:t>：</w:t>
      </w:r>
      <w:r>
        <w:rPr>
          <w:rFonts w:hint="default" w:ascii="Times New Roman" w:hAnsi="Times New Roman" w:eastAsia="宋体" w:cs="Times New Roman"/>
          <w:b w:val="0"/>
          <w:bCs/>
          <w:color w:val="auto"/>
          <w:sz w:val="24"/>
          <w:highlight w:val="none"/>
          <w:lang w:val="en-US" w:eastAsia="zh-CN"/>
        </w:rPr>
        <w:t xml:space="preserve">           </w:t>
      </w:r>
    </w:p>
    <w:p w14:paraId="3EDFA420">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58827BF6">
      <w:pPr>
        <w:spacing w:line="440" w:lineRule="exact"/>
        <w:rPr>
          <w:rFonts w:hint="default" w:ascii="Times New Roman" w:hAnsi="Times New Roman" w:eastAsia="宋体" w:cs="Times New Roman"/>
          <w:b/>
          <w:bCs/>
          <w:color w:val="auto"/>
          <w:sz w:val="28"/>
          <w:szCs w:val="28"/>
          <w:highlight w:val="none"/>
        </w:rPr>
      </w:pPr>
      <w:bookmarkStart w:id="249" w:name="_Toc29557"/>
      <w:r>
        <w:rPr>
          <w:rFonts w:hint="default" w:ascii="Times New Roman" w:hAnsi="Times New Roman" w:eastAsia="宋体" w:cs="Times New Roman"/>
          <w:b/>
          <w:bCs/>
          <w:color w:val="auto"/>
          <w:sz w:val="28"/>
          <w:szCs w:val="28"/>
          <w:highlight w:val="none"/>
        </w:rPr>
        <w:t>1</w:t>
      </w:r>
      <w:r>
        <w:rPr>
          <w:rFonts w:hint="eastAsia" w:ascii="Times New Roman" w:hAnsi="Times New Roman" w:eastAsia="宋体" w:cs="Times New Roman"/>
          <w:b/>
          <w:bCs/>
          <w:color w:val="auto"/>
          <w:sz w:val="28"/>
          <w:szCs w:val="28"/>
          <w:highlight w:val="none"/>
          <w:lang w:val="en-US" w:eastAsia="zh-CN"/>
        </w:rPr>
        <w:t>0</w:t>
      </w:r>
      <w:r>
        <w:rPr>
          <w:rFonts w:hint="default" w:ascii="Times New Roman" w:hAnsi="Times New Roman" w:eastAsia="宋体" w:cs="Times New Roman"/>
          <w:b/>
          <w:bCs/>
          <w:color w:val="auto"/>
          <w:sz w:val="28"/>
          <w:szCs w:val="28"/>
          <w:highlight w:val="none"/>
        </w:rPr>
        <w:t>.授权委托书</w:t>
      </w:r>
      <w:bookmarkEnd w:id="249"/>
    </w:p>
    <w:p w14:paraId="20DA786A">
      <w:pPr>
        <w:pStyle w:val="1070"/>
        <w:spacing w:line="440" w:lineRule="exact"/>
        <w:rPr>
          <w:rFonts w:hint="default" w:ascii="Times New Roman" w:hAnsi="Times New Roman" w:eastAsia="宋体" w:cs="Times New Roman"/>
          <w:color w:val="auto"/>
          <w:spacing w:val="7"/>
          <w:highlight w:val="none"/>
          <w:lang w:eastAsia="zh-CN"/>
        </w:rPr>
      </w:pPr>
    </w:p>
    <w:p w14:paraId="784A517F">
      <w:pPr>
        <w:pStyle w:val="1070"/>
        <w:spacing w:before="320" w:after="320"/>
        <w:jc w:val="cente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t>授权委托书</w:t>
      </w:r>
    </w:p>
    <w:p w14:paraId="562570EB">
      <w:pPr>
        <w:pStyle w:val="1070"/>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highlight w:val="none"/>
        </w:rPr>
      </w:pPr>
    </w:p>
    <w:p w14:paraId="7569C3E8">
      <w:pPr>
        <w:keepNext w:val="0"/>
        <w:keepLines w:val="0"/>
        <w:pageBreakBefore w:val="0"/>
        <w:tabs>
          <w:tab w:val="left" w:pos="36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本授权书声明：____________（投标人名称）授权________________（被授权人的姓名）为我方就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号项目采购活动的合法代理人，以本单位名义全权处理一切与该项目采购有关的事务。</w:t>
      </w:r>
    </w:p>
    <w:p w14:paraId="758D81A1">
      <w:pPr>
        <w:keepNext w:val="0"/>
        <w:keepLines w:val="0"/>
        <w:pageBreakBefore w:val="0"/>
        <w:tabs>
          <w:tab w:val="left" w:pos="36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本授权书于______年____月____日起生效，特此声明。</w:t>
      </w:r>
    </w:p>
    <w:p w14:paraId="50B3027C">
      <w:pPr>
        <w:keepNext w:val="0"/>
        <w:keepLines w:val="0"/>
        <w:pageBreakBefore w:val="0"/>
        <w:tabs>
          <w:tab w:val="left" w:pos="36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      被授权人身份证号码：</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p>
    <w:p w14:paraId="7E7338C4">
      <w:pPr>
        <w:keepNext w:val="0"/>
        <w:keepLines w:val="0"/>
        <w:pageBreakBefore w:val="0"/>
        <w:tabs>
          <w:tab w:val="left" w:pos="36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 xml:space="preserve">      被授权人联系电话：（手机）</w:t>
      </w:r>
      <w:r>
        <w:rPr>
          <w:rFonts w:hint="default" w:ascii="Times New Roman" w:hAnsi="Times New Roman" w:eastAsia="宋体" w:cs="Times New Roman"/>
          <w:color w:val="auto"/>
          <w:sz w:val="24"/>
          <w:szCs w:val="24"/>
          <w:highlight w:val="none"/>
          <w:u w:val="single"/>
        </w:rPr>
        <w:t xml:space="preserve">                          </w:t>
      </w:r>
    </w:p>
    <w:p w14:paraId="2555C2B9">
      <w:pPr>
        <w:keepNext w:val="0"/>
        <w:keepLines w:val="0"/>
        <w:pageBreakBefore w:val="0"/>
        <w:tabs>
          <w:tab w:val="left" w:pos="36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授权单位名称：</w:t>
      </w:r>
      <w:r>
        <w:rPr>
          <w:rFonts w:hint="default" w:ascii="Times New Roman" w:hAnsi="Times New Roman" w:eastAsia="宋体" w:cs="Times New Roman"/>
          <w:color w:val="auto"/>
          <w:sz w:val="24"/>
          <w:szCs w:val="24"/>
          <w:highlight w:val="none"/>
          <w:u w:val="single"/>
        </w:rPr>
        <w:t>（加盖CA电子公章）</w:t>
      </w:r>
    </w:p>
    <w:p w14:paraId="661BEF13">
      <w:pPr>
        <w:keepNext w:val="0"/>
        <w:keepLines w:val="0"/>
        <w:pageBreakBefore w:val="0"/>
        <w:tabs>
          <w:tab w:val="left" w:pos="36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      单位地址：</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p>
    <w:p w14:paraId="58AF8AC3">
      <w:pPr>
        <w:keepNext w:val="0"/>
        <w:keepLines w:val="0"/>
        <w:pageBreakBefore w:val="0"/>
        <w:tabs>
          <w:tab w:val="left" w:pos="360"/>
        </w:tabs>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rPr>
        <w:t xml:space="preserve">      日期：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lang w:val="en-US" w:eastAsia="zh-CN"/>
        </w:rPr>
        <w:t xml:space="preserve">     </w:t>
      </w:r>
    </w:p>
    <w:p w14:paraId="616B3307">
      <w:pPr>
        <w:pStyle w:val="1070"/>
        <w:spacing w:before="240" w:after="240"/>
        <w:ind w:firstLine="3600"/>
        <w:rPr>
          <w:rFonts w:hint="default" w:ascii="Times New Roman" w:hAnsi="Times New Roman" w:eastAsia="宋体" w:cs="Times New Roman"/>
          <w:color w:val="auto"/>
          <w:highlight w:val="none"/>
        </w:rPr>
      </w:pPr>
    </w:p>
    <w:p w14:paraId="68918BBA">
      <w:pPr>
        <w:pStyle w:val="1071"/>
        <w:spacing w:before="240" w:after="24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附：法定代表人及被授权人身份证扫描件（正反面）</w:t>
      </w:r>
    </w:p>
    <w:p w14:paraId="32AA45E6">
      <w:pPr>
        <w:spacing w:line="360" w:lineRule="auto"/>
        <w:jc w:val="left"/>
        <w:rPr>
          <w:rFonts w:hint="default" w:ascii="Times New Roman" w:hAnsi="Times New Roman" w:eastAsia="宋体" w:cs="Times New Roman"/>
          <w:color w:val="auto"/>
          <w:highlight w:val="none"/>
        </w:rPr>
      </w:pPr>
    </w:p>
    <w:p w14:paraId="49484E8A">
      <w:pPr>
        <w:spacing w:line="360" w:lineRule="auto"/>
        <w:jc w:val="left"/>
        <w:rPr>
          <w:rFonts w:hint="default" w:ascii="Times New Roman" w:hAnsi="Times New Roman" w:eastAsia="宋体" w:cs="Times New Roman"/>
          <w:color w:val="auto"/>
          <w:highlight w:val="none"/>
        </w:rPr>
      </w:pPr>
    </w:p>
    <w:p w14:paraId="75F9D0A2">
      <w:pPr>
        <w:spacing w:line="360" w:lineRule="auto"/>
        <w:jc w:val="left"/>
        <w:rPr>
          <w:rFonts w:hint="default" w:ascii="Times New Roman" w:hAnsi="Times New Roman" w:eastAsia="宋体" w:cs="Times New Roman"/>
          <w:color w:val="auto"/>
          <w:highlight w:val="none"/>
        </w:rPr>
      </w:pPr>
    </w:p>
    <w:p w14:paraId="0BC5C227">
      <w:pPr>
        <w:spacing w:line="360" w:lineRule="auto"/>
        <w:jc w:val="left"/>
        <w:rPr>
          <w:rFonts w:hint="default" w:ascii="Times New Roman" w:hAnsi="Times New Roman" w:eastAsia="宋体" w:cs="Times New Roman"/>
          <w:color w:val="auto"/>
          <w:highlight w:val="none"/>
        </w:rPr>
      </w:pPr>
    </w:p>
    <w:p w14:paraId="3CB609D7">
      <w:pPr>
        <w:spacing w:line="360" w:lineRule="auto"/>
        <w:jc w:val="left"/>
        <w:rPr>
          <w:rFonts w:hint="default" w:ascii="Times New Roman" w:hAnsi="Times New Roman" w:eastAsia="宋体" w:cs="Times New Roman"/>
          <w:color w:val="auto"/>
          <w:sz w:val="28"/>
          <w:szCs w:val="28"/>
          <w:highlight w:val="none"/>
        </w:rPr>
      </w:pPr>
    </w:p>
    <w:p w14:paraId="2EA4555F">
      <w:pPr>
        <w:spacing w:line="360" w:lineRule="auto"/>
        <w:jc w:val="left"/>
        <w:rPr>
          <w:rFonts w:hint="default" w:ascii="Times New Roman" w:hAnsi="Times New Roman" w:eastAsia="宋体" w:cs="Times New Roman"/>
          <w:color w:val="auto"/>
          <w:sz w:val="28"/>
          <w:szCs w:val="28"/>
          <w:highlight w:val="none"/>
        </w:rPr>
      </w:pPr>
    </w:p>
    <w:p w14:paraId="716BF64D">
      <w:pPr>
        <w:spacing w:line="360" w:lineRule="auto"/>
        <w:jc w:val="left"/>
        <w:rPr>
          <w:rFonts w:hint="default" w:ascii="Times New Roman" w:hAnsi="Times New Roman" w:eastAsia="宋体" w:cs="Times New Roman"/>
          <w:color w:val="auto"/>
          <w:sz w:val="28"/>
          <w:szCs w:val="28"/>
          <w:highlight w:val="none"/>
        </w:rPr>
      </w:pPr>
    </w:p>
    <w:p w14:paraId="55D4CB2D">
      <w:pPr>
        <w:spacing w:line="360" w:lineRule="auto"/>
        <w:jc w:val="left"/>
        <w:rPr>
          <w:rFonts w:hint="default" w:ascii="Times New Roman" w:hAnsi="Times New Roman" w:eastAsia="宋体" w:cs="Times New Roman"/>
          <w:color w:val="auto"/>
          <w:sz w:val="28"/>
          <w:szCs w:val="28"/>
          <w:highlight w:val="none"/>
        </w:rPr>
      </w:pPr>
    </w:p>
    <w:p w14:paraId="5F836A11">
      <w:pPr>
        <w:spacing w:line="360" w:lineRule="auto"/>
        <w:jc w:val="left"/>
        <w:rPr>
          <w:rFonts w:hint="default" w:ascii="Times New Roman" w:hAnsi="Times New Roman" w:eastAsia="宋体" w:cs="Times New Roman"/>
          <w:color w:val="auto"/>
          <w:sz w:val="28"/>
          <w:szCs w:val="28"/>
          <w:highlight w:val="none"/>
        </w:rPr>
      </w:pPr>
    </w:p>
    <w:p w14:paraId="4F88FD85">
      <w:pPr>
        <w:spacing w:line="360" w:lineRule="auto"/>
        <w:jc w:val="left"/>
        <w:rPr>
          <w:rFonts w:hint="default" w:ascii="Times New Roman" w:hAnsi="Times New Roman" w:eastAsia="宋体" w:cs="Times New Roman"/>
          <w:b/>
          <w:bCs/>
          <w:color w:val="auto"/>
          <w:sz w:val="28"/>
          <w:szCs w:val="28"/>
          <w:highlight w:val="none"/>
          <w:lang w:val="zh-CN"/>
        </w:rPr>
      </w:pPr>
      <w:r>
        <w:rPr>
          <w:rFonts w:hint="default" w:ascii="Times New Roman" w:hAnsi="Times New Roman" w:eastAsia="宋体" w:cs="Times New Roman"/>
          <w:color w:val="auto"/>
          <w:sz w:val="28"/>
          <w:szCs w:val="28"/>
          <w:highlight w:val="none"/>
        </w:rPr>
        <w:br w:type="page" w:clear="all"/>
      </w:r>
      <w:r>
        <w:rPr>
          <w:rFonts w:hint="default" w:ascii="Times New Roman" w:hAnsi="Times New Roman" w:eastAsia="宋体" w:cs="Times New Roman"/>
          <w:b/>
          <w:bCs/>
          <w:color w:val="auto"/>
          <w:sz w:val="28"/>
          <w:szCs w:val="28"/>
          <w:highlight w:val="none"/>
        </w:rPr>
        <w:t>1</w:t>
      </w:r>
      <w:r>
        <w:rPr>
          <w:rFonts w:hint="eastAsia" w:ascii="Times New Roman" w:hAnsi="Times New Roman" w:eastAsia="宋体" w:cs="Times New Roman"/>
          <w:b/>
          <w:bCs/>
          <w:color w:val="auto"/>
          <w:sz w:val="28"/>
          <w:szCs w:val="28"/>
          <w:highlight w:val="none"/>
          <w:lang w:val="en-US" w:eastAsia="zh-CN"/>
        </w:rPr>
        <w:t>1</w:t>
      </w:r>
      <w:r>
        <w:rPr>
          <w:rFonts w:hint="default" w:ascii="Times New Roman" w:hAnsi="Times New Roman" w:eastAsia="宋体" w:cs="Times New Roman"/>
          <w:b/>
          <w:bCs/>
          <w:color w:val="auto"/>
          <w:sz w:val="28"/>
          <w:szCs w:val="28"/>
          <w:highlight w:val="none"/>
        </w:rPr>
        <w:t>.</w:t>
      </w:r>
      <w:r>
        <w:rPr>
          <w:rFonts w:hint="default" w:ascii="Times New Roman" w:hAnsi="Times New Roman" w:eastAsia="宋体" w:cs="Times New Roman"/>
          <w:b/>
          <w:bCs/>
          <w:color w:val="auto"/>
          <w:sz w:val="28"/>
          <w:szCs w:val="28"/>
          <w:highlight w:val="none"/>
          <w:lang w:val="zh-CN"/>
        </w:rPr>
        <w:t>联合体投标协议书（如有）</w:t>
      </w:r>
    </w:p>
    <w:p w14:paraId="5572AE02">
      <w:pPr>
        <w:spacing w:line="276" w:lineRule="auto"/>
        <w:ind w:left="709"/>
        <w:jc w:val="center"/>
        <w:rPr>
          <w:rFonts w:hint="default" w:ascii="Times New Roman" w:hAnsi="Times New Roman" w:eastAsia="宋体" w:cs="Times New Roman"/>
          <w:b/>
          <w:color w:val="auto"/>
          <w:sz w:val="32"/>
          <w:szCs w:val="32"/>
          <w:highlight w:val="none"/>
          <w:lang w:val="zh-CN"/>
        </w:rPr>
      </w:pPr>
      <w:r>
        <w:rPr>
          <w:rFonts w:hint="default" w:ascii="Times New Roman" w:hAnsi="Times New Roman" w:eastAsia="宋体" w:cs="Times New Roman"/>
          <w:b/>
          <w:color w:val="auto"/>
          <w:sz w:val="32"/>
          <w:szCs w:val="32"/>
          <w:highlight w:val="none"/>
          <w:lang w:val="zh-CN"/>
        </w:rPr>
        <w:t>联合体投标协议书</w:t>
      </w:r>
    </w:p>
    <w:p w14:paraId="2B8A62A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甲方：</w:t>
      </w:r>
    </w:p>
    <w:p w14:paraId="76F6CDD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乙方：</w:t>
      </w:r>
    </w:p>
    <w:p w14:paraId="7544C8D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（如果有的话，可按甲、乙、丙序列增加）</w:t>
      </w:r>
    </w:p>
    <w:p w14:paraId="6ADAB30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各方经协商，就响应组织实施的编号为</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号的招标活动联合进行投标之事宜，达成如下协议：</w:t>
      </w:r>
    </w:p>
    <w:p w14:paraId="63121CC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一、各方一致决定，以</w:t>
      </w:r>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为牵头方（即联合体投标人代表）进行投标，并按照招标文件的规定提交资格文件。联合体牵头方合法代表联合体各成员负责本招标项目投标文件编制和合同谈判活动，并代表联合体提交和接收相关的资料、信息及指示，并处理与之有关的一切事务，负责合同实施阶段的主办、组织和协调工作。</w:t>
      </w:r>
    </w:p>
    <w:p w14:paraId="48E70264">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二、在本次投标过程中，牵头方的法定代表人或代理人根据招标文件规定及投标内容而对采购人所作的任何合法承诺，包括书面澄清及响应等均对联合投标各方产生约束力。如果中标并签订合同，则联合投标各方将共同履行对采购人所负有的全部义务并就采购合同约定的事项对采购人承担连带责任。</w:t>
      </w:r>
    </w:p>
    <w:p w14:paraId="6153991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三、联合投标其余各方保证对牵头方为响应本次招标而提供的产品和服务提供全部质量保证及售后服务支持。</w:t>
      </w:r>
    </w:p>
    <w:p w14:paraId="5F24A3E7">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highlight w:val="none"/>
        </w:rPr>
      </w:pPr>
      <w:r>
        <w:rPr>
          <w:rFonts w:hint="default" w:ascii="Times New Roman" w:hAnsi="Times New Roman" w:eastAsia="宋体" w:cs="Times New Roman"/>
          <w:b/>
          <w:color w:val="auto"/>
          <w:sz w:val="24"/>
          <w:highlight w:val="none"/>
        </w:rPr>
        <w:t>四、本次联合投标中</w:t>
      </w:r>
    </w:p>
    <w:p w14:paraId="1BB0B6A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highlight w:val="none"/>
          <w:u w:val="single"/>
        </w:rPr>
      </w:pPr>
      <w:r>
        <w:rPr>
          <w:rFonts w:hint="default" w:ascii="Times New Roman" w:hAnsi="Times New Roman" w:eastAsia="宋体" w:cs="Times New Roman"/>
          <w:b/>
          <w:color w:val="auto"/>
          <w:sz w:val="24"/>
          <w:highlight w:val="none"/>
        </w:rPr>
        <w:t>甲方承担的工作和义务为：</w:t>
      </w:r>
      <w:r>
        <w:rPr>
          <w:rFonts w:hint="default" w:ascii="Times New Roman" w:hAnsi="Times New Roman" w:eastAsia="宋体" w:cs="Times New Roman"/>
          <w:b/>
          <w:color w:val="auto"/>
          <w:sz w:val="24"/>
          <w:highlight w:val="none"/>
          <w:u w:val="single"/>
        </w:rPr>
        <w:t xml:space="preserve">                                          </w:t>
      </w:r>
    </w:p>
    <w:p w14:paraId="655AEC91">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highlight w:val="none"/>
          <w:u w:val="single"/>
        </w:rPr>
      </w:pPr>
      <w:r>
        <w:rPr>
          <w:rFonts w:hint="default" w:ascii="Times New Roman" w:hAnsi="Times New Roman" w:eastAsia="宋体" w:cs="Times New Roman"/>
          <w:b/>
          <w:color w:val="auto"/>
          <w:sz w:val="24"/>
          <w:highlight w:val="none"/>
        </w:rPr>
        <w:t>乙方承担的工作和义务为：</w:t>
      </w:r>
      <w:r>
        <w:rPr>
          <w:rFonts w:hint="default" w:ascii="Times New Roman" w:hAnsi="Times New Roman" w:eastAsia="宋体" w:cs="Times New Roman"/>
          <w:b/>
          <w:color w:val="auto"/>
          <w:sz w:val="24"/>
          <w:highlight w:val="none"/>
          <w:u w:val="single"/>
        </w:rPr>
        <w:t xml:space="preserve">                                          </w:t>
      </w:r>
    </w:p>
    <w:p w14:paraId="6C326BB6">
      <w:pPr>
        <w:pStyle w:val="1052"/>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（如果有的话，可按甲、乙、丙序列增加）</w:t>
      </w:r>
    </w:p>
    <w:p w14:paraId="655B1AAD">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eastAsia="宋体" w:cs="Times New Roman"/>
          <w:b/>
          <w:color w:val="auto"/>
          <w:sz w:val="24"/>
          <w:highlight w:val="none"/>
          <w:u w:val="single"/>
        </w:rPr>
      </w:pPr>
      <w:r>
        <w:rPr>
          <w:rFonts w:hint="default" w:ascii="Times New Roman" w:hAnsi="Times New Roman" w:eastAsia="宋体" w:cs="Times New Roman"/>
          <w:b/>
          <w:color w:val="auto"/>
          <w:sz w:val="24"/>
          <w:highlight w:val="none"/>
        </w:rPr>
        <w:t>五、有关本次联合投标的其他事宜：</w:t>
      </w:r>
      <w:r>
        <w:rPr>
          <w:rFonts w:hint="default" w:ascii="Times New Roman" w:hAnsi="Times New Roman" w:eastAsia="宋体" w:cs="Times New Roman"/>
          <w:b/>
          <w:color w:val="auto"/>
          <w:sz w:val="24"/>
          <w:highlight w:val="none"/>
          <w:u w:val="single"/>
        </w:rPr>
        <w:t xml:space="preserve">                                  </w:t>
      </w:r>
    </w:p>
    <w:p w14:paraId="731B5EE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六、本协议提交采购人后，联合投标各方不得以任何形式对上述实质内容进行修改或撤销。</w:t>
      </w:r>
    </w:p>
    <w:tbl>
      <w:tblPr>
        <w:tblStyle w:val="57"/>
        <w:tblW w:w="9684" w:type="dxa"/>
        <w:tblInd w:w="0" w:type="dxa"/>
        <w:tblLayout w:type="fixed"/>
        <w:tblCellMar>
          <w:top w:w="0" w:type="dxa"/>
          <w:left w:w="108" w:type="dxa"/>
          <w:bottom w:w="0" w:type="dxa"/>
          <w:right w:w="108" w:type="dxa"/>
        </w:tblCellMar>
      </w:tblPr>
      <w:tblGrid>
        <w:gridCol w:w="4626"/>
        <w:gridCol w:w="5058"/>
      </w:tblGrid>
      <w:tr w14:paraId="1A9A7D1A">
        <w:tblPrEx>
          <w:tblCellMar>
            <w:top w:w="0" w:type="dxa"/>
            <w:left w:w="108" w:type="dxa"/>
            <w:bottom w:w="0" w:type="dxa"/>
            <w:right w:w="108" w:type="dxa"/>
          </w:tblCellMar>
        </w:tblPrEx>
        <w:tc>
          <w:tcPr>
            <w:tcW w:w="4626" w:type="dxa"/>
            <w:noWrap/>
          </w:tcPr>
          <w:p w14:paraId="7C1487A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p>
          <w:p w14:paraId="3AA4F34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甲方单位（公章）： </w:t>
            </w:r>
          </w:p>
          <w:p w14:paraId="65169E8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法定代表人（签字或盖章）： </w:t>
            </w:r>
          </w:p>
          <w:p w14:paraId="2FCC54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年   月   日</w:t>
            </w:r>
          </w:p>
        </w:tc>
        <w:tc>
          <w:tcPr>
            <w:tcW w:w="5058" w:type="dxa"/>
            <w:noWrap/>
          </w:tcPr>
          <w:p w14:paraId="4CD0641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p>
          <w:p w14:paraId="719DB06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乙方单位（公章）： </w:t>
            </w:r>
          </w:p>
          <w:p w14:paraId="498579F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法定代表人（签字或盖章）： </w:t>
            </w:r>
          </w:p>
          <w:p w14:paraId="20A5FAF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年   月   日</w:t>
            </w:r>
          </w:p>
        </w:tc>
      </w:tr>
    </w:tbl>
    <w:p w14:paraId="33BE02F9">
      <w:pPr>
        <w:pStyle w:val="1052"/>
        <w:keepNext w:val="0"/>
        <w:keepLines w:val="0"/>
        <w:pageBreakBefore w:val="0"/>
        <w:widowControl w:val="0"/>
        <w:kinsoku/>
        <w:wordWrap/>
        <w:overflowPunct/>
        <w:topLinePunct w:val="0"/>
        <w:autoSpaceDE/>
        <w:autoSpaceDN/>
        <w:bidi w:val="0"/>
        <w:adjustRightInd w:val="0"/>
        <w:snapToGrid w:val="0"/>
        <w:spacing w:line="360" w:lineRule="auto"/>
        <w:ind w:firstLine="0"/>
        <w:textAlignment w:val="auto"/>
        <w:rPr>
          <w:rFonts w:hint="default" w:ascii="Times New Roman" w:hAnsi="Times New Roman" w:eastAsia="宋体" w:cs="Times New Roman"/>
          <w:color w:val="auto"/>
          <w:highlight w:val="none"/>
        </w:rPr>
      </w:pPr>
      <w:bookmarkStart w:id="250" w:name="_Toc7099"/>
      <w:bookmarkStart w:id="251" w:name="_Toc3645"/>
      <w:bookmarkStart w:id="252" w:name="_Toc4300"/>
      <w:bookmarkStart w:id="253" w:name="_Toc24256"/>
      <w:r>
        <w:rPr>
          <w:rFonts w:hint="default" w:ascii="Times New Roman" w:hAnsi="Times New Roman" w:eastAsia="宋体" w:cs="Times New Roman"/>
          <w:color w:val="auto"/>
          <w:highlight w:val="none"/>
        </w:rPr>
        <w:t>（如果有的话，可按甲、乙、丙序列增加）</w:t>
      </w:r>
    </w:p>
    <w:p w14:paraId="1B84CA99">
      <w:pPr>
        <w:pStyle w:val="1073"/>
        <w:jc w:val="both"/>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Cs/>
          <w:color w:val="auto"/>
          <w:sz w:val="28"/>
          <w:szCs w:val="28"/>
          <w:highlight w:val="none"/>
        </w:rPr>
        <w:br w:type="page" w:clear="all"/>
      </w:r>
      <w:r>
        <w:rPr>
          <w:rFonts w:hint="default" w:ascii="Times New Roman" w:hAnsi="Times New Roman" w:eastAsia="宋体" w:cs="Times New Roman"/>
          <w:b/>
          <w:i/>
          <w:iCs/>
          <w:color w:val="auto"/>
          <w:sz w:val="28"/>
          <w:szCs w:val="28"/>
          <w:highlight w:val="none"/>
          <w:u w:val="single"/>
        </w:rPr>
        <w:t>五、分项报价表</w:t>
      </w:r>
      <w:bookmarkEnd w:id="250"/>
      <w:bookmarkEnd w:id="251"/>
      <w:bookmarkEnd w:id="252"/>
      <w:bookmarkEnd w:id="253"/>
    </w:p>
    <w:p w14:paraId="505D15A4">
      <w:pPr>
        <w:spacing w:line="360" w:lineRule="auto"/>
        <w:jc w:val="center"/>
        <w:rPr>
          <w:rFonts w:hint="default" w:ascii="Times New Roman" w:hAnsi="Times New Roman" w:eastAsia="宋体" w:cs="Times New Roman"/>
          <w:b/>
          <w:color w:val="auto"/>
          <w:sz w:val="28"/>
          <w:szCs w:val="28"/>
          <w:highlight w:val="none"/>
          <w:lang w:val="zh-CN"/>
        </w:rPr>
      </w:pPr>
      <w:r>
        <w:rPr>
          <w:rFonts w:hint="default" w:ascii="Times New Roman" w:hAnsi="Times New Roman" w:eastAsia="宋体" w:cs="Times New Roman"/>
          <w:b/>
          <w:color w:val="auto"/>
          <w:sz w:val="28"/>
          <w:szCs w:val="28"/>
          <w:highlight w:val="none"/>
          <w:lang w:val="zh-CN"/>
        </w:rPr>
        <w:t>分项报价表</w:t>
      </w:r>
    </w:p>
    <w:p w14:paraId="1E14080D">
      <w:pPr>
        <w:pStyle w:val="1060"/>
        <w:spacing w:line="440" w:lineRule="exac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项目名称：</w:t>
      </w:r>
    </w:p>
    <w:tbl>
      <w:tblPr>
        <w:tblStyle w:val="57"/>
        <w:tblW w:w="4999"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top w:w="0" w:type="dxa"/>
          <w:left w:w="0" w:type="dxa"/>
          <w:bottom w:w="0" w:type="dxa"/>
          <w:right w:w="0" w:type="dxa"/>
        </w:tblCellMar>
      </w:tblPr>
      <w:tblGrid>
        <w:gridCol w:w="4010"/>
        <w:gridCol w:w="3804"/>
        <w:gridCol w:w="1910"/>
      </w:tblGrid>
      <w:tr w14:paraId="17F9AA4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67" w:hRule="atLeast"/>
          <w:jc w:val="center"/>
        </w:trPr>
        <w:tc>
          <w:tcPr>
            <w:tcW w:w="2062" w:type="pct"/>
            <w:tcBorders>
              <w:top w:val="single" w:color="808080" w:sz="6" w:space="0"/>
              <w:left w:val="single" w:color="808080" w:sz="6" w:space="0"/>
              <w:bottom w:val="single" w:color="808080" w:sz="6" w:space="0"/>
              <w:right w:val="single" w:color="808080" w:sz="6" w:space="0"/>
            </w:tcBorders>
            <w:vAlign w:val="center"/>
          </w:tcPr>
          <w:p w14:paraId="01859B8A">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项目名称</w:t>
            </w:r>
          </w:p>
        </w:tc>
        <w:tc>
          <w:tcPr>
            <w:tcW w:w="1956" w:type="pct"/>
            <w:tcBorders>
              <w:top w:val="single" w:color="808080" w:sz="6" w:space="0"/>
              <w:left w:val="single" w:color="808080" w:sz="6" w:space="0"/>
              <w:bottom w:val="single" w:color="808080" w:sz="6" w:space="0"/>
              <w:right w:val="single" w:color="808080" w:sz="6" w:space="0"/>
            </w:tcBorders>
            <w:vAlign w:val="center"/>
          </w:tcPr>
          <w:p w14:paraId="7DACB52D">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投标报价（元）</w:t>
            </w:r>
          </w:p>
        </w:tc>
        <w:tc>
          <w:tcPr>
            <w:tcW w:w="980" w:type="pct"/>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5AF7A74">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合计（元/年）</w:t>
            </w:r>
          </w:p>
        </w:tc>
      </w:tr>
      <w:tr w14:paraId="298F371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703" w:hRule="atLeast"/>
          <w:jc w:val="center"/>
        </w:trPr>
        <w:tc>
          <w:tcPr>
            <w:tcW w:w="2062" w:type="pct"/>
            <w:tcBorders>
              <w:top w:val="single" w:color="808080" w:sz="6" w:space="0"/>
              <w:left w:val="single" w:color="808080" w:sz="6" w:space="0"/>
              <w:bottom w:val="single" w:color="808080" w:sz="6" w:space="0"/>
              <w:right w:val="single" w:color="808080" w:sz="6" w:space="0"/>
            </w:tcBorders>
            <w:vAlign w:val="center"/>
          </w:tcPr>
          <w:p w14:paraId="600736F8">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能源托管费用（电、水、燃气等）</w:t>
            </w:r>
          </w:p>
        </w:tc>
        <w:tc>
          <w:tcPr>
            <w:tcW w:w="1956" w:type="pct"/>
            <w:tcBorders>
              <w:top w:val="single" w:color="808080" w:sz="6" w:space="0"/>
              <w:left w:val="single" w:color="808080" w:sz="6" w:space="0"/>
              <w:bottom w:val="single" w:color="808080" w:sz="6" w:space="0"/>
              <w:right w:val="single" w:color="808080" w:sz="6" w:space="0"/>
            </w:tcBorders>
            <w:vAlign w:val="center"/>
          </w:tcPr>
          <w:p w14:paraId="0FD4B09F">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p>
        </w:tc>
        <w:tc>
          <w:tcPr>
            <w:tcW w:w="980" w:type="pct"/>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D888625">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p>
        </w:tc>
      </w:tr>
      <w:tr w14:paraId="4F83771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75" w:hRule="atLeast"/>
          <w:jc w:val="center"/>
        </w:trPr>
        <w:tc>
          <w:tcPr>
            <w:tcW w:w="2062" w:type="pct"/>
            <w:tcBorders>
              <w:top w:val="single" w:color="808080" w:sz="6" w:space="0"/>
              <w:left w:val="single" w:color="808080" w:sz="6" w:space="0"/>
              <w:bottom w:val="single" w:color="808080" w:sz="6" w:space="0"/>
              <w:right w:val="single" w:color="808080" w:sz="6" w:space="0"/>
            </w:tcBorders>
            <w:vAlign w:val="center"/>
          </w:tcPr>
          <w:p w14:paraId="76418515">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p>
        </w:tc>
        <w:tc>
          <w:tcPr>
            <w:tcW w:w="1956" w:type="pct"/>
            <w:tcBorders>
              <w:top w:val="single" w:color="808080" w:sz="6" w:space="0"/>
              <w:left w:val="single" w:color="808080" w:sz="6" w:space="0"/>
              <w:bottom w:val="single" w:color="808080" w:sz="6" w:space="0"/>
              <w:right w:val="single" w:color="808080" w:sz="6" w:space="0"/>
            </w:tcBorders>
            <w:vAlign w:val="center"/>
          </w:tcPr>
          <w:p w14:paraId="4A9B7003">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p>
        </w:tc>
        <w:tc>
          <w:tcPr>
            <w:tcW w:w="980" w:type="pct"/>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82506D2">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p>
        </w:tc>
      </w:tr>
      <w:tr w14:paraId="7803770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44" w:hRule="atLeast"/>
          <w:jc w:val="center"/>
        </w:trPr>
        <w:tc>
          <w:tcPr>
            <w:tcW w:w="5000" w:type="pct"/>
            <w:gridSpan w:val="3"/>
            <w:tcBorders>
              <w:top w:val="single" w:color="808080" w:sz="6" w:space="0"/>
              <w:left w:val="single" w:color="808080" w:sz="6" w:space="0"/>
              <w:bottom w:val="single" w:color="808080" w:sz="6" w:space="0"/>
              <w:right w:val="single" w:color="808080" w:sz="6" w:space="0"/>
            </w:tcBorders>
            <w:vAlign w:val="center"/>
          </w:tcPr>
          <w:p w14:paraId="017B7350">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每年汇总（元）：</w:t>
            </w:r>
          </w:p>
        </w:tc>
      </w:tr>
      <w:tr w14:paraId="7DD7709A">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44" w:hRule="atLeast"/>
          <w:jc w:val="center"/>
        </w:trPr>
        <w:tc>
          <w:tcPr>
            <w:tcW w:w="5000" w:type="pct"/>
            <w:gridSpan w:val="3"/>
            <w:tcBorders>
              <w:top w:val="single" w:color="808080" w:sz="6" w:space="0"/>
              <w:left w:val="single" w:color="808080" w:sz="6" w:space="0"/>
              <w:bottom w:val="single" w:color="808080" w:sz="6" w:space="0"/>
              <w:right w:val="single" w:color="808080" w:sz="6" w:space="0"/>
            </w:tcBorders>
            <w:vAlign w:val="center"/>
          </w:tcPr>
          <w:p w14:paraId="37F99BB6">
            <w:pPr>
              <w:pStyle w:val="1060"/>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能源托管期10年总计（元）：</w:t>
            </w:r>
          </w:p>
        </w:tc>
      </w:tr>
    </w:tbl>
    <w:p w14:paraId="4D07BBD5">
      <w:pPr>
        <w:pStyle w:val="1060"/>
        <w:spacing w:line="440" w:lineRule="exac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注：1.本投标分项报价表的“能源托管期10年总计”应与“开标一览表”投标总价一致。</w:t>
      </w:r>
    </w:p>
    <w:p w14:paraId="567758F8">
      <w:pPr>
        <w:pStyle w:val="1060"/>
        <w:spacing w:line="440" w:lineRule="exact"/>
        <w:rPr>
          <w:rFonts w:hint="default" w:ascii="Times New Roman" w:hAnsi="Times New Roman" w:eastAsia="宋体" w:cs="Times New Roman"/>
          <w:bCs/>
          <w:color w:val="auto"/>
          <w:highlight w:val="none"/>
        </w:rPr>
      </w:pPr>
    </w:p>
    <w:p w14:paraId="168F8827">
      <w:pPr>
        <w:pStyle w:val="1060"/>
        <w:spacing w:line="440" w:lineRule="exact"/>
        <w:rPr>
          <w:rFonts w:hint="default" w:ascii="Times New Roman" w:hAnsi="Times New Roman" w:eastAsia="宋体" w:cs="Times New Roman"/>
          <w:bCs/>
          <w:color w:val="auto"/>
          <w:highlight w:val="none"/>
        </w:rPr>
      </w:pPr>
    </w:p>
    <w:p w14:paraId="3CBDA5D5">
      <w:pPr>
        <w:keepNext w:val="0"/>
        <w:keepLines w:val="0"/>
        <w:pageBreakBefore w:val="0"/>
        <w:kinsoku/>
        <w:wordWrap/>
        <w:overflowPunct/>
        <w:topLinePunct w:val="0"/>
        <w:autoSpaceDE/>
        <w:autoSpaceDN/>
        <w:bidi w:val="0"/>
        <w:adjustRightInd w:val="0"/>
        <w:snapToGrid w:val="0"/>
        <w:spacing w:line="360" w:lineRule="auto"/>
        <w:ind w:firstLine="0"/>
        <w:jc w:val="both"/>
        <w:textAlignment w:val="auto"/>
        <w:rPr>
          <w:rFonts w:hint="default" w:ascii="Times New Roman" w:hAnsi="Times New Roman" w:eastAsia="宋体" w:cs="Times New Roman"/>
          <w:color w:val="auto"/>
          <w:sz w:val="24"/>
          <w:szCs w:val="24"/>
          <w:highlight w:val="none"/>
          <w:lang w:val="zh-CN"/>
        </w:rPr>
      </w:pPr>
    </w:p>
    <w:p w14:paraId="528FB2D8">
      <w:pPr>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zh-CN"/>
        </w:rPr>
        <w:t>投标人公章：（电子签章）</w:t>
      </w:r>
      <w:r>
        <w:rPr>
          <w:rFonts w:hint="default" w:ascii="Times New Roman" w:hAnsi="Times New Roman" w:eastAsia="宋体" w:cs="Times New Roman"/>
          <w:bCs/>
          <w:color w:val="auto"/>
          <w:sz w:val="24"/>
          <w:szCs w:val="24"/>
          <w:highlight w:val="none"/>
          <w:lang w:val="en-US" w:eastAsia="zh-CN"/>
        </w:rPr>
        <w:t xml:space="preserve">          </w:t>
      </w:r>
    </w:p>
    <w:p w14:paraId="1C3C153B">
      <w:pPr>
        <w:pStyle w:val="1074"/>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Fonts w:hint="default" w:ascii="Times New Roman" w:hAnsi="Times New Roman" w:eastAsia="宋体" w:cs="Times New Roman"/>
          <w:bCs/>
          <w:color w:val="auto"/>
          <w:sz w:val="28"/>
          <w:szCs w:val="28"/>
          <w:highlight w:val="none"/>
          <w:lang w:val="en-US" w:eastAsia="zh-CN"/>
        </w:rPr>
      </w:pPr>
      <w:r>
        <w:rPr>
          <w:rFonts w:hint="default" w:ascii="Times New Roman" w:hAnsi="Times New Roman" w:eastAsia="宋体" w:cs="Times New Roman"/>
          <w:bCs/>
          <w:color w:val="auto"/>
          <w:sz w:val="24"/>
          <w:szCs w:val="24"/>
          <w:highlight w:val="none"/>
          <w:lang w:val="zh-CN"/>
        </w:rPr>
        <w:t>日期：</w:t>
      </w:r>
      <w:r>
        <w:rPr>
          <w:rFonts w:hint="default" w:ascii="Times New Roman" w:hAnsi="Times New Roman" w:eastAsia="宋体" w:cs="Times New Roman"/>
          <w:bCs/>
          <w:color w:val="auto"/>
          <w:sz w:val="24"/>
          <w:szCs w:val="24"/>
          <w:highlight w:val="none"/>
          <w:lang w:val="en-US" w:eastAsia="zh-CN"/>
        </w:rPr>
        <w:t xml:space="preserve">   </w:t>
      </w:r>
      <w:r>
        <w:rPr>
          <w:rFonts w:hint="default" w:ascii="Times New Roman" w:hAnsi="Times New Roman" w:eastAsia="宋体" w:cs="Times New Roman"/>
          <w:bCs/>
          <w:color w:val="auto"/>
          <w:sz w:val="28"/>
          <w:szCs w:val="28"/>
          <w:highlight w:val="none"/>
          <w:lang w:val="en-US" w:eastAsia="zh-CN"/>
        </w:rPr>
        <w:t xml:space="preserve">                   </w:t>
      </w:r>
    </w:p>
    <w:p w14:paraId="7B3C9B5A">
      <w:pPr>
        <w:rPr>
          <w:rFonts w:hint="default" w:ascii="Times New Roman" w:hAnsi="Times New Roman" w:eastAsia="宋体" w:cs="Times New Roman"/>
          <w:bCs/>
          <w:color w:val="auto"/>
          <w:sz w:val="28"/>
          <w:szCs w:val="28"/>
          <w:highlight w:val="none"/>
          <w:lang w:val="zh-CN"/>
        </w:rPr>
      </w:pPr>
      <w:r>
        <w:rPr>
          <w:rFonts w:hint="default" w:ascii="Times New Roman" w:hAnsi="Times New Roman" w:eastAsia="宋体" w:cs="Times New Roman"/>
          <w:bCs/>
          <w:color w:val="auto"/>
          <w:sz w:val="28"/>
          <w:szCs w:val="28"/>
          <w:highlight w:val="none"/>
          <w:lang w:val="zh-CN"/>
        </w:rPr>
        <w:br w:type="page" w:clear="all"/>
      </w:r>
    </w:p>
    <w:p w14:paraId="6B9959C3">
      <w:pPr>
        <w:pStyle w:val="1076"/>
        <w:spacing w:line="440" w:lineRule="exact"/>
        <w:rPr>
          <w:rFonts w:hint="default" w:ascii="Times New Roman" w:hAnsi="Times New Roman" w:eastAsia="宋体" w:cs="Times New Roman"/>
          <w:b/>
          <w:color w:val="auto"/>
          <w:sz w:val="28"/>
          <w:szCs w:val="28"/>
          <w:highlight w:val="none"/>
        </w:rPr>
      </w:pPr>
      <w:bookmarkStart w:id="254" w:name="_Toc23389"/>
      <w:bookmarkStart w:id="255" w:name="_Toc26962"/>
      <w:bookmarkStart w:id="256" w:name="_Toc23684"/>
      <w:r>
        <w:rPr>
          <w:rFonts w:hint="default" w:ascii="Times New Roman" w:hAnsi="Times New Roman" w:eastAsia="宋体" w:cs="Times New Roman"/>
          <w:b/>
          <w:i/>
          <w:iCs/>
          <w:color w:val="auto"/>
          <w:sz w:val="28"/>
          <w:szCs w:val="28"/>
          <w:highlight w:val="none"/>
          <w:u w:val="single"/>
        </w:rPr>
        <w:t>六、</w:t>
      </w:r>
      <w:bookmarkEnd w:id="254"/>
      <w:bookmarkEnd w:id="255"/>
      <w:bookmarkEnd w:id="256"/>
      <w:r>
        <w:rPr>
          <w:rFonts w:hint="default" w:ascii="Times New Roman" w:hAnsi="Times New Roman" w:eastAsia="宋体" w:cs="Times New Roman"/>
          <w:b/>
          <w:i/>
          <w:iCs/>
          <w:color w:val="auto"/>
          <w:sz w:val="28"/>
          <w:szCs w:val="28"/>
          <w:highlight w:val="none"/>
          <w:u w:val="single"/>
        </w:rPr>
        <w:t>技术要求响应及偏离表</w:t>
      </w:r>
    </w:p>
    <w:p w14:paraId="75157191">
      <w:pPr>
        <w:pStyle w:val="1077"/>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highlight w:val="none"/>
        </w:rPr>
        <w:t xml:space="preserve">﻿ </w:t>
      </w:r>
    </w:p>
    <w:p w14:paraId="52B2BEE3">
      <w:pPr>
        <w:pStyle w:val="1078"/>
        <w:spacing w:line="440" w:lineRule="exact"/>
        <w:rPr>
          <w:rStyle w:val="1061"/>
          <w:rFonts w:hint="default" w:ascii="Times New Roman" w:hAnsi="Times New Roman" w:eastAsia="宋体" w:cs="Times New Roman"/>
          <w:b/>
          <w:bCs/>
          <w:color w:val="auto"/>
          <w:highlight w:val="none"/>
        </w:rPr>
      </w:pPr>
      <w:r>
        <w:rPr>
          <w:rStyle w:val="1061"/>
          <w:rFonts w:hint="default" w:ascii="Times New Roman" w:hAnsi="Times New Roman" w:eastAsia="宋体" w:cs="Times New Roman"/>
          <w:b/>
          <w:bCs/>
          <w:color w:val="auto"/>
          <w:highlight w:val="none"/>
        </w:rPr>
        <w:t xml:space="preserve"> 1.商务条款的实质性格式 </w:t>
      </w:r>
    </w:p>
    <w:tbl>
      <w:tblPr>
        <w:tblStyle w:val="5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14:paraId="4A35E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24" w:type="dxa"/>
            <w:noWrap w:val="0"/>
            <w:vAlign w:val="center"/>
          </w:tcPr>
          <w:p w14:paraId="38C14606">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序号</w:t>
            </w:r>
          </w:p>
        </w:tc>
        <w:tc>
          <w:tcPr>
            <w:tcW w:w="1823" w:type="dxa"/>
            <w:noWrap w:val="0"/>
            <w:vAlign w:val="center"/>
          </w:tcPr>
          <w:p w14:paraId="5F7D9C7C">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w:t>
            </w:r>
          </w:p>
        </w:tc>
        <w:tc>
          <w:tcPr>
            <w:tcW w:w="1984" w:type="dxa"/>
            <w:noWrap w:val="0"/>
            <w:vAlign w:val="center"/>
          </w:tcPr>
          <w:p w14:paraId="4E1569DA">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招标要求</w:t>
            </w:r>
          </w:p>
        </w:tc>
        <w:tc>
          <w:tcPr>
            <w:tcW w:w="2127" w:type="dxa"/>
            <w:noWrap w:val="0"/>
            <w:vAlign w:val="center"/>
          </w:tcPr>
          <w:p w14:paraId="42C14A0A">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投标内容</w:t>
            </w:r>
          </w:p>
        </w:tc>
        <w:tc>
          <w:tcPr>
            <w:tcW w:w="1842" w:type="dxa"/>
            <w:noWrap w:val="0"/>
            <w:vAlign w:val="center"/>
          </w:tcPr>
          <w:p w14:paraId="0782E622">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偏离说明</w:t>
            </w:r>
          </w:p>
        </w:tc>
        <w:tc>
          <w:tcPr>
            <w:tcW w:w="1418" w:type="dxa"/>
            <w:noWrap w:val="0"/>
            <w:vAlign w:val="center"/>
          </w:tcPr>
          <w:p w14:paraId="5EF4E501">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证明材料</w:t>
            </w:r>
          </w:p>
        </w:tc>
      </w:tr>
      <w:tr w14:paraId="03441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72842D6A">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23" w:type="dxa"/>
            <w:noWrap w:val="0"/>
            <w:vAlign w:val="center"/>
          </w:tcPr>
          <w:p w14:paraId="4BB924C6">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984" w:type="dxa"/>
            <w:noWrap w:val="0"/>
            <w:vAlign w:val="center"/>
          </w:tcPr>
          <w:p w14:paraId="5EFF6A74">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2127" w:type="dxa"/>
            <w:noWrap w:val="0"/>
            <w:vAlign w:val="center"/>
          </w:tcPr>
          <w:p w14:paraId="383A4644">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42" w:type="dxa"/>
            <w:noWrap w:val="0"/>
            <w:vAlign w:val="center"/>
          </w:tcPr>
          <w:p w14:paraId="6751EC26">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418" w:type="dxa"/>
            <w:noWrap w:val="0"/>
          </w:tcPr>
          <w:p w14:paraId="32873864">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r>
      <w:tr w14:paraId="7CA6A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17880CED">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23" w:type="dxa"/>
            <w:noWrap w:val="0"/>
            <w:vAlign w:val="center"/>
          </w:tcPr>
          <w:p w14:paraId="034263A9">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984" w:type="dxa"/>
            <w:noWrap w:val="0"/>
            <w:vAlign w:val="center"/>
          </w:tcPr>
          <w:p w14:paraId="7E6030FB">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2127" w:type="dxa"/>
            <w:noWrap w:val="0"/>
            <w:vAlign w:val="center"/>
          </w:tcPr>
          <w:p w14:paraId="5D3E2CD6">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42" w:type="dxa"/>
            <w:noWrap w:val="0"/>
            <w:vAlign w:val="center"/>
          </w:tcPr>
          <w:p w14:paraId="03FD9F5A">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418" w:type="dxa"/>
            <w:noWrap w:val="0"/>
          </w:tcPr>
          <w:p w14:paraId="6BE2E871">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r>
      <w:tr w14:paraId="6D453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72A1C1D7">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23" w:type="dxa"/>
            <w:noWrap w:val="0"/>
            <w:vAlign w:val="center"/>
          </w:tcPr>
          <w:p w14:paraId="1B3534CD">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984" w:type="dxa"/>
            <w:noWrap w:val="0"/>
            <w:vAlign w:val="center"/>
          </w:tcPr>
          <w:p w14:paraId="3718FF7F">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2127" w:type="dxa"/>
            <w:noWrap w:val="0"/>
            <w:vAlign w:val="center"/>
          </w:tcPr>
          <w:p w14:paraId="4CEBCB66">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42" w:type="dxa"/>
            <w:noWrap w:val="0"/>
            <w:vAlign w:val="center"/>
          </w:tcPr>
          <w:p w14:paraId="0452295F">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418" w:type="dxa"/>
            <w:noWrap w:val="0"/>
          </w:tcPr>
          <w:p w14:paraId="0980B500">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r>
    </w:tbl>
    <w:p w14:paraId="54140896">
      <w:pPr>
        <w:keepNext w:val="0"/>
        <w:keepLines w:val="0"/>
        <w:pageBreakBefore w:val="0"/>
        <w:kinsoku/>
        <w:overflowPunct/>
        <w:topLinePunct w:val="0"/>
        <w:autoSpaceDE/>
        <w:autoSpaceDN/>
        <w:bidi w:val="0"/>
        <w:adjustRightInd w:val="0"/>
        <w:snapToGrid w:val="0"/>
        <w:spacing w:line="360" w:lineRule="auto"/>
        <w:ind w:firstLine="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备注：</w:t>
      </w:r>
    </w:p>
    <w:p w14:paraId="05DCFFF4">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投标人应在本表中对照招标文件</w:t>
      </w:r>
      <w:r>
        <w:rPr>
          <w:rFonts w:hint="default" w:ascii="Times New Roman" w:hAnsi="Times New Roman" w:eastAsia="宋体" w:cs="Times New Roman"/>
          <w:color w:val="auto"/>
          <w:sz w:val="24"/>
          <w:szCs w:val="24"/>
          <w:highlight w:val="none"/>
          <w:lang w:val="en-US" w:eastAsia="zh-CN"/>
        </w:rPr>
        <w:t>商务</w:t>
      </w:r>
      <w:r>
        <w:rPr>
          <w:rFonts w:hint="default" w:ascii="Times New Roman" w:hAnsi="Times New Roman" w:eastAsia="宋体" w:cs="Times New Roman"/>
          <w:color w:val="auto"/>
          <w:sz w:val="24"/>
          <w:szCs w:val="24"/>
          <w:highlight w:val="none"/>
        </w:rPr>
        <w:t>要求逐项对应列出响应内容，并在“偏离说明”项下填写以下内容：优于的，填写“正偏离”；符合的，填写“无偏离”；低于的，填写“负偏离”。</w:t>
      </w:r>
    </w:p>
    <w:p w14:paraId="2FAEEAA6">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以上表格内容不够的请自行添加。</w:t>
      </w:r>
    </w:p>
    <w:p w14:paraId="06CCE905">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053A19BA">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4D4B2918">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248DF492">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236F41BD">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1AA17236">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59EAA767">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投标人公章：（电子签章）</w:t>
      </w:r>
      <w:r>
        <w:rPr>
          <w:rStyle w:val="1061"/>
          <w:rFonts w:hint="default" w:ascii="Times New Roman" w:hAnsi="Times New Roman" w:eastAsia="宋体" w:cs="Times New Roman"/>
          <w:color w:val="auto"/>
          <w:highlight w:val="none"/>
          <w:lang w:val="en-US" w:eastAsia="zh-CN"/>
        </w:rPr>
        <w:t xml:space="preserve">         </w:t>
      </w:r>
    </w:p>
    <w:p w14:paraId="1A24EEDD">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日期：</w:t>
      </w:r>
      <w:r>
        <w:rPr>
          <w:rStyle w:val="1061"/>
          <w:rFonts w:hint="default" w:ascii="Times New Roman" w:hAnsi="Times New Roman" w:eastAsia="宋体" w:cs="Times New Roman"/>
          <w:color w:val="auto"/>
          <w:highlight w:val="none"/>
          <w:lang w:val="en-US" w:eastAsia="zh-CN"/>
        </w:rPr>
        <w:t xml:space="preserve">                     </w:t>
      </w:r>
    </w:p>
    <w:p w14:paraId="15EC62F6">
      <w:pPr>
        <w:pStyle w:val="1078"/>
        <w:ind w:firstLine="482"/>
        <w:rPr>
          <w:rStyle w:val="1061"/>
          <w:rFonts w:hint="default" w:ascii="Times New Roman" w:hAnsi="Times New Roman" w:eastAsia="宋体" w:cs="Times New Roman"/>
          <w:b/>
          <w:bCs/>
          <w:color w:val="auto"/>
          <w:highlight w:val="none"/>
        </w:rPr>
      </w:pPr>
    </w:p>
    <w:p w14:paraId="289D4691">
      <w:pPr>
        <w:pStyle w:val="1078"/>
        <w:ind w:firstLine="482"/>
        <w:rPr>
          <w:rStyle w:val="1061"/>
          <w:rFonts w:hint="default" w:ascii="Times New Roman" w:hAnsi="Times New Roman" w:eastAsia="宋体" w:cs="Times New Roman"/>
          <w:b/>
          <w:bCs/>
          <w:color w:val="auto"/>
          <w:highlight w:val="none"/>
        </w:rPr>
      </w:pPr>
    </w:p>
    <w:p w14:paraId="34A9024B">
      <w:pPr>
        <w:pStyle w:val="1078"/>
        <w:ind w:firstLine="482"/>
        <w:rPr>
          <w:rStyle w:val="1061"/>
          <w:rFonts w:hint="default" w:ascii="Times New Roman" w:hAnsi="Times New Roman" w:eastAsia="宋体" w:cs="Times New Roman"/>
          <w:b/>
          <w:bCs/>
          <w:color w:val="auto"/>
          <w:highlight w:val="none"/>
        </w:rPr>
      </w:pPr>
    </w:p>
    <w:p w14:paraId="52C9B403">
      <w:pPr>
        <w:pStyle w:val="1078"/>
        <w:ind w:firstLine="482"/>
        <w:rPr>
          <w:rStyle w:val="1061"/>
          <w:rFonts w:hint="default" w:ascii="Times New Roman" w:hAnsi="Times New Roman" w:eastAsia="宋体" w:cs="Times New Roman"/>
          <w:b/>
          <w:bCs/>
          <w:color w:val="auto"/>
          <w:highlight w:val="none"/>
        </w:rPr>
      </w:pPr>
    </w:p>
    <w:p w14:paraId="1F0BBCD8">
      <w:pPr>
        <w:pStyle w:val="1078"/>
        <w:ind w:firstLine="482"/>
        <w:rPr>
          <w:rStyle w:val="1061"/>
          <w:rFonts w:hint="default" w:ascii="Times New Roman" w:hAnsi="Times New Roman" w:eastAsia="宋体" w:cs="Times New Roman"/>
          <w:b/>
          <w:bCs/>
          <w:color w:val="auto"/>
          <w:highlight w:val="none"/>
        </w:rPr>
      </w:pPr>
    </w:p>
    <w:p w14:paraId="20587792">
      <w:pPr>
        <w:pStyle w:val="1078"/>
        <w:ind w:firstLine="482"/>
        <w:rPr>
          <w:rStyle w:val="1061"/>
          <w:rFonts w:hint="default" w:ascii="Times New Roman" w:hAnsi="Times New Roman" w:eastAsia="宋体" w:cs="Times New Roman"/>
          <w:b/>
          <w:bCs/>
          <w:color w:val="auto"/>
          <w:highlight w:val="none"/>
        </w:rPr>
      </w:pPr>
    </w:p>
    <w:p w14:paraId="7CEFF25A">
      <w:pPr>
        <w:pStyle w:val="1078"/>
        <w:ind w:firstLine="482"/>
        <w:rPr>
          <w:rStyle w:val="1061"/>
          <w:rFonts w:hint="default" w:ascii="Times New Roman" w:hAnsi="Times New Roman" w:eastAsia="宋体" w:cs="Times New Roman"/>
          <w:b/>
          <w:bCs/>
          <w:color w:val="auto"/>
          <w:highlight w:val="none"/>
        </w:rPr>
      </w:pPr>
    </w:p>
    <w:p w14:paraId="1C31707E">
      <w:pPr>
        <w:pStyle w:val="1078"/>
        <w:ind w:firstLine="482"/>
        <w:rPr>
          <w:rStyle w:val="1061"/>
          <w:rFonts w:hint="default" w:ascii="Times New Roman" w:hAnsi="Times New Roman" w:eastAsia="宋体" w:cs="Times New Roman"/>
          <w:b/>
          <w:bCs/>
          <w:color w:val="auto"/>
          <w:highlight w:val="none"/>
        </w:rPr>
      </w:pPr>
    </w:p>
    <w:p w14:paraId="2FB546C0">
      <w:pPr>
        <w:pStyle w:val="1078"/>
        <w:ind w:firstLine="482"/>
        <w:rPr>
          <w:rStyle w:val="1061"/>
          <w:rFonts w:hint="default" w:ascii="Times New Roman" w:hAnsi="Times New Roman" w:eastAsia="宋体" w:cs="Times New Roman"/>
          <w:b/>
          <w:bCs/>
          <w:color w:val="auto"/>
          <w:highlight w:val="none"/>
        </w:rPr>
      </w:pPr>
    </w:p>
    <w:p w14:paraId="5867F756">
      <w:pPr>
        <w:pStyle w:val="1078"/>
        <w:ind w:firstLine="482"/>
        <w:rPr>
          <w:rStyle w:val="1061"/>
          <w:rFonts w:hint="default" w:ascii="Times New Roman" w:hAnsi="Times New Roman" w:eastAsia="宋体" w:cs="Times New Roman"/>
          <w:b/>
          <w:bCs/>
          <w:color w:val="auto"/>
          <w:highlight w:val="none"/>
        </w:rPr>
      </w:pPr>
    </w:p>
    <w:p w14:paraId="278871F0">
      <w:pPr>
        <w:pStyle w:val="1078"/>
        <w:ind w:firstLine="482"/>
        <w:rPr>
          <w:rStyle w:val="1061"/>
          <w:rFonts w:hint="default" w:ascii="Times New Roman" w:hAnsi="Times New Roman" w:eastAsia="宋体" w:cs="Times New Roman"/>
          <w:b/>
          <w:bCs/>
          <w:color w:val="auto"/>
          <w:highlight w:val="none"/>
        </w:rPr>
      </w:pPr>
    </w:p>
    <w:p w14:paraId="3887D9E8">
      <w:pPr>
        <w:pStyle w:val="1078"/>
        <w:ind w:firstLine="482"/>
        <w:rPr>
          <w:rStyle w:val="1061"/>
          <w:rFonts w:hint="default" w:ascii="Times New Roman" w:hAnsi="Times New Roman" w:eastAsia="宋体" w:cs="Times New Roman"/>
          <w:b/>
          <w:bCs/>
          <w:color w:val="auto"/>
          <w:highlight w:val="none"/>
        </w:rPr>
      </w:pPr>
    </w:p>
    <w:p w14:paraId="4EBF6B54">
      <w:pPr>
        <w:pStyle w:val="1078"/>
        <w:ind w:firstLine="482"/>
        <w:rPr>
          <w:rStyle w:val="1061"/>
          <w:rFonts w:hint="default" w:ascii="Times New Roman" w:hAnsi="Times New Roman" w:eastAsia="宋体" w:cs="Times New Roman"/>
          <w:b/>
          <w:bCs/>
          <w:color w:val="auto"/>
          <w:highlight w:val="none"/>
        </w:rPr>
      </w:pPr>
    </w:p>
    <w:p w14:paraId="20854B63">
      <w:pPr>
        <w:pStyle w:val="1078"/>
        <w:ind w:firstLine="482"/>
        <w:rPr>
          <w:rStyle w:val="1061"/>
          <w:rFonts w:hint="default" w:ascii="Times New Roman" w:hAnsi="Times New Roman" w:eastAsia="宋体" w:cs="Times New Roman"/>
          <w:b/>
          <w:bCs/>
          <w:color w:val="auto"/>
          <w:highlight w:val="none"/>
        </w:rPr>
      </w:pPr>
    </w:p>
    <w:p w14:paraId="34A9CE96">
      <w:pPr>
        <w:pStyle w:val="1078"/>
        <w:ind w:firstLine="482"/>
        <w:rPr>
          <w:rStyle w:val="1061"/>
          <w:rFonts w:hint="default" w:ascii="Times New Roman" w:hAnsi="Times New Roman" w:eastAsia="宋体" w:cs="Times New Roman"/>
          <w:b/>
          <w:bCs/>
          <w:color w:val="auto"/>
          <w:highlight w:val="none"/>
        </w:rPr>
      </w:pPr>
    </w:p>
    <w:p w14:paraId="71671E1D">
      <w:pPr>
        <w:pStyle w:val="1078"/>
        <w:ind w:firstLine="482"/>
        <w:rPr>
          <w:rStyle w:val="1061"/>
          <w:rFonts w:hint="default" w:ascii="Times New Roman" w:hAnsi="Times New Roman" w:eastAsia="宋体" w:cs="Times New Roman"/>
          <w:b/>
          <w:bCs/>
          <w:color w:val="auto"/>
          <w:highlight w:val="none"/>
        </w:rPr>
      </w:pPr>
    </w:p>
    <w:p w14:paraId="1BFB45A2">
      <w:pPr>
        <w:pStyle w:val="1078"/>
        <w:ind w:firstLine="482"/>
        <w:rPr>
          <w:rStyle w:val="1061"/>
          <w:rFonts w:hint="default" w:ascii="Times New Roman" w:hAnsi="Times New Roman" w:eastAsia="宋体" w:cs="Times New Roman"/>
          <w:b/>
          <w:bCs/>
          <w:color w:val="auto"/>
          <w:highlight w:val="none"/>
        </w:rPr>
      </w:pPr>
    </w:p>
    <w:p w14:paraId="11AB1E83">
      <w:pPr>
        <w:rPr>
          <w:rStyle w:val="1061"/>
          <w:rFonts w:hint="default" w:ascii="Times New Roman" w:hAnsi="Times New Roman" w:eastAsia="宋体" w:cs="Times New Roman"/>
          <w:b/>
          <w:bCs/>
          <w:color w:val="auto"/>
          <w:highlight w:val="none"/>
        </w:rPr>
      </w:pPr>
      <w:r>
        <w:rPr>
          <w:rStyle w:val="1061"/>
          <w:rFonts w:hint="default" w:ascii="Times New Roman" w:hAnsi="Times New Roman" w:eastAsia="宋体" w:cs="Times New Roman"/>
          <w:b/>
          <w:bCs/>
          <w:color w:val="auto"/>
          <w:highlight w:val="none"/>
        </w:rPr>
        <w:br w:type="page"/>
      </w:r>
    </w:p>
    <w:p w14:paraId="5A9359D6">
      <w:pPr>
        <w:pStyle w:val="1078"/>
        <w:rPr>
          <w:rStyle w:val="1061"/>
          <w:rFonts w:hint="default" w:ascii="Times New Roman" w:hAnsi="Times New Roman" w:eastAsia="宋体" w:cs="Times New Roman"/>
          <w:b/>
          <w:bCs/>
          <w:color w:val="auto"/>
          <w:highlight w:val="none"/>
        </w:rPr>
      </w:pPr>
      <w:r>
        <w:rPr>
          <w:rStyle w:val="1061"/>
          <w:rFonts w:hint="default" w:ascii="Times New Roman" w:hAnsi="Times New Roman" w:eastAsia="宋体" w:cs="Times New Roman"/>
          <w:b/>
          <w:bCs/>
          <w:color w:val="auto"/>
          <w:highlight w:val="none"/>
        </w:rPr>
        <w:t>2.技术要求的实质性格式</w:t>
      </w:r>
    </w:p>
    <w:tbl>
      <w:tblPr>
        <w:tblStyle w:val="57"/>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4"/>
        <w:gridCol w:w="1823"/>
        <w:gridCol w:w="1984"/>
        <w:gridCol w:w="2127"/>
        <w:gridCol w:w="1842"/>
        <w:gridCol w:w="1418"/>
      </w:tblGrid>
      <w:tr w14:paraId="7A368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724" w:type="dxa"/>
            <w:noWrap w:val="0"/>
            <w:vAlign w:val="center"/>
          </w:tcPr>
          <w:p w14:paraId="621215F7">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序号</w:t>
            </w:r>
          </w:p>
        </w:tc>
        <w:tc>
          <w:tcPr>
            <w:tcW w:w="1823" w:type="dxa"/>
            <w:noWrap w:val="0"/>
            <w:vAlign w:val="center"/>
          </w:tcPr>
          <w:p w14:paraId="0C3B8D41">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项目</w:t>
            </w:r>
          </w:p>
        </w:tc>
        <w:tc>
          <w:tcPr>
            <w:tcW w:w="1984" w:type="dxa"/>
            <w:noWrap w:val="0"/>
            <w:vAlign w:val="center"/>
          </w:tcPr>
          <w:p w14:paraId="5C0B5645">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招标要求</w:t>
            </w:r>
          </w:p>
        </w:tc>
        <w:tc>
          <w:tcPr>
            <w:tcW w:w="2127" w:type="dxa"/>
            <w:noWrap w:val="0"/>
            <w:vAlign w:val="center"/>
          </w:tcPr>
          <w:p w14:paraId="73C3E814">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投标内容</w:t>
            </w:r>
          </w:p>
        </w:tc>
        <w:tc>
          <w:tcPr>
            <w:tcW w:w="1842" w:type="dxa"/>
            <w:noWrap w:val="0"/>
            <w:vAlign w:val="center"/>
          </w:tcPr>
          <w:p w14:paraId="1DFB2BFD">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偏离说明</w:t>
            </w:r>
          </w:p>
        </w:tc>
        <w:tc>
          <w:tcPr>
            <w:tcW w:w="1418" w:type="dxa"/>
            <w:noWrap w:val="0"/>
            <w:vAlign w:val="center"/>
          </w:tcPr>
          <w:p w14:paraId="42B41BF7">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证明材料</w:t>
            </w:r>
          </w:p>
        </w:tc>
      </w:tr>
      <w:tr w14:paraId="28C55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0C2117D8">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23" w:type="dxa"/>
            <w:noWrap w:val="0"/>
            <w:vAlign w:val="center"/>
          </w:tcPr>
          <w:p w14:paraId="28643436">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984" w:type="dxa"/>
            <w:noWrap w:val="0"/>
            <w:vAlign w:val="center"/>
          </w:tcPr>
          <w:p w14:paraId="3215B425">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2127" w:type="dxa"/>
            <w:noWrap w:val="0"/>
            <w:vAlign w:val="center"/>
          </w:tcPr>
          <w:p w14:paraId="4BC05355">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42" w:type="dxa"/>
            <w:noWrap w:val="0"/>
            <w:vAlign w:val="center"/>
          </w:tcPr>
          <w:p w14:paraId="04730574">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418" w:type="dxa"/>
            <w:noWrap w:val="0"/>
          </w:tcPr>
          <w:p w14:paraId="1E928142">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r>
      <w:tr w14:paraId="0CF35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16574FDB">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23" w:type="dxa"/>
            <w:noWrap w:val="0"/>
            <w:vAlign w:val="center"/>
          </w:tcPr>
          <w:p w14:paraId="1F048E55">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984" w:type="dxa"/>
            <w:noWrap w:val="0"/>
            <w:vAlign w:val="center"/>
          </w:tcPr>
          <w:p w14:paraId="0C1B0780">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2127" w:type="dxa"/>
            <w:noWrap w:val="0"/>
            <w:vAlign w:val="center"/>
          </w:tcPr>
          <w:p w14:paraId="1F25612A">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42" w:type="dxa"/>
            <w:noWrap w:val="0"/>
            <w:vAlign w:val="center"/>
          </w:tcPr>
          <w:p w14:paraId="17917780">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418" w:type="dxa"/>
            <w:noWrap w:val="0"/>
          </w:tcPr>
          <w:p w14:paraId="0DDA5B4E">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r>
      <w:tr w14:paraId="32829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24" w:type="dxa"/>
            <w:noWrap w:val="0"/>
            <w:vAlign w:val="center"/>
          </w:tcPr>
          <w:p w14:paraId="50AB3DAB">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23" w:type="dxa"/>
            <w:noWrap w:val="0"/>
            <w:vAlign w:val="center"/>
          </w:tcPr>
          <w:p w14:paraId="09826893">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984" w:type="dxa"/>
            <w:noWrap w:val="0"/>
            <w:vAlign w:val="center"/>
          </w:tcPr>
          <w:p w14:paraId="7C5CEFD8">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2127" w:type="dxa"/>
            <w:noWrap w:val="0"/>
            <w:vAlign w:val="center"/>
          </w:tcPr>
          <w:p w14:paraId="42E047BD">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842" w:type="dxa"/>
            <w:noWrap w:val="0"/>
            <w:vAlign w:val="center"/>
          </w:tcPr>
          <w:p w14:paraId="1045FC97">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c>
          <w:tcPr>
            <w:tcW w:w="1418" w:type="dxa"/>
            <w:noWrap w:val="0"/>
          </w:tcPr>
          <w:p w14:paraId="6C68751C">
            <w:pPr>
              <w:keepNext w:val="0"/>
              <w:keepLines w:val="0"/>
              <w:widowControl w:val="0"/>
              <w:suppressLineNumbers w:val="0"/>
              <w:spacing w:before="0" w:beforeAutospacing="0" w:after="0" w:afterAutospacing="0" w:line="360" w:lineRule="auto"/>
              <w:ind w:left="0" w:right="0"/>
              <w:jc w:val="center"/>
              <w:rPr>
                <w:rFonts w:hint="default" w:ascii="Times New Roman" w:hAnsi="Times New Roman" w:eastAsia="宋体" w:cs="Times New Roman"/>
                <w:color w:val="auto"/>
                <w:sz w:val="24"/>
                <w:szCs w:val="24"/>
                <w:highlight w:val="none"/>
              </w:rPr>
            </w:pPr>
          </w:p>
        </w:tc>
      </w:tr>
    </w:tbl>
    <w:p w14:paraId="7099E0EE">
      <w:pPr>
        <w:keepNext w:val="0"/>
        <w:keepLines w:val="0"/>
        <w:pageBreakBefore w:val="0"/>
        <w:kinsoku/>
        <w:overflowPunct/>
        <w:topLinePunct w:val="0"/>
        <w:autoSpaceDE/>
        <w:autoSpaceDN/>
        <w:bidi w:val="0"/>
        <w:adjustRightInd w:val="0"/>
        <w:snapToGrid w:val="0"/>
        <w:spacing w:line="360" w:lineRule="auto"/>
        <w:ind w:firstLine="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备注：</w:t>
      </w:r>
    </w:p>
    <w:p w14:paraId="55876ABE">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投标人应在本表中对照招标文件技术要求逐项对应列出响应内容，并在“偏离说明”项下填写以下内容：优于的，填写“正偏离”；符合的，填写“无偏离”；低于的，填写“负偏离”。</w:t>
      </w:r>
    </w:p>
    <w:p w14:paraId="10B48006">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以上表格内容不够的请自行添加。</w:t>
      </w:r>
    </w:p>
    <w:p w14:paraId="5195D325">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57C64B1B">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22DFD088">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5FBB21A3">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2E3AD1B8">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1AAEAC89">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4D2B5C45">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投标人公章：（电子签章）</w:t>
      </w:r>
      <w:r>
        <w:rPr>
          <w:rStyle w:val="1061"/>
          <w:rFonts w:hint="default" w:ascii="Times New Roman" w:hAnsi="Times New Roman" w:eastAsia="宋体" w:cs="Times New Roman"/>
          <w:color w:val="auto"/>
          <w:highlight w:val="none"/>
          <w:lang w:val="en-US" w:eastAsia="zh-CN"/>
        </w:rPr>
        <w:t xml:space="preserve">         </w:t>
      </w:r>
    </w:p>
    <w:p w14:paraId="04AB94B9">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日期：</w:t>
      </w:r>
      <w:r>
        <w:rPr>
          <w:rStyle w:val="1061"/>
          <w:rFonts w:hint="default" w:ascii="Times New Roman" w:hAnsi="Times New Roman" w:eastAsia="宋体" w:cs="Times New Roman"/>
          <w:color w:val="auto"/>
          <w:highlight w:val="none"/>
          <w:lang w:val="en-US" w:eastAsia="zh-CN"/>
        </w:rPr>
        <w:t xml:space="preserve">                     </w:t>
      </w:r>
    </w:p>
    <w:p w14:paraId="2BFEB50C">
      <w:pPr>
        <w:pStyle w:val="1087"/>
        <w:rPr>
          <w:rFonts w:hint="default" w:ascii="Times New Roman" w:hAnsi="Times New Roman" w:eastAsia="宋体" w:cs="Times New Roman"/>
          <w:b/>
          <w:color w:val="auto"/>
          <w:highlight w:val="none"/>
        </w:rPr>
      </w:pPr>
      <w:r>
        <w:rPr>
          <w:rFonts w:hint="default" w:ascii="Times New Roman" w:hAnsi="Times New Roman" w:eastAsia="宋体" w:cs="Times New Roman"/>
          <w:color w:val="auto"/>
          <w:highlight w:val="none"/>
        </w:rPr>
        <w:br w:type="page" w:clear="all"/>
      </w:r>
      <w:bookmarkStart w:id="257" w:name="_Toc13504"/>
      <w:bookmarkStart w:id="258" w:name="_Toc20006"/>
      <w:bookmarkStart w:id="259" w:name="_Toc19438"/>
      <w:bookmarkStart w:id="260" w:name="_Toc21122"/>
      <w:bookmarkStart w:id="261" w:name="_Toc256000023"/>
      <w:r>
        <w:rPr>
          <w:rFonts w:hint="default" w:ascii="Times New Roman" w:hAnsi="Times New Roman" w:eastAsia="宋体" w:cs="Times New Roman"/>
          <w:b/>
          <w:color w:val="auto"/>
          <w:sz w:val="28"/>
          <w:szCs w:val="28"/>
          <w:highlight w:val="none"/>
        </w:rPr>
        <w:t>七、</w:t>
      </w:r>
      <w:bookmarkEnd w:id="257"/>
      <w:bookmarkEnd w:id="258"/>
      <w:bookmarkEnd w:id="259"/>
      <w:bookmarkEnd w:id="260"/>
      <w:bookmarkEnd w:id="261"/>
      <w:r>
        <w:rPr>
          <w:rFonts w:hint="default" w:ascii="Times New Roman" w:hAnsi="Times New Roman" w:eastAsia="宋体" w:cs="Times New Roman"/>
          <w:b/>
          <w:color w:val="auto"/>
          <w:sz w:val="28"/>
          <w:szCs w:val="28"/>
          <w:highlight w:val="none"/>
        </w:rPr>
        <w:t>项目人员介绍</w:t>
      </w:r>
    </w:p>
    <w:p w14:paraId="65745464">
      <w:pPr>
        <w:jc w:val="center"/>
        <w:rPr>
          <w:rFonts w:hint="default" w:ascii="Times New Roman" w:hAnsi="Times New Roman" w:eastAsia="宋体" w:cs="Times New Roman"/>
          <w:bCs/>
          <w:color w:val="auto"/>
          <w:sz w:val="24"/>
          <w:highlight w:val="none"/>
        </w:rPr>
      </w:pPr>
    </w:p>
    <w:p w14:paraId="3AD661A9">
      <w:pPr>
        <w:jc w:val="center"/>
        <w:rPr>
          <w:rFonts w:hint="default" w:ascii="Times New Roman" w:hAnsi="Times New Roman" w:eastAsia="宋体" w:cs="Times New Roman"/>
          <w:bCs/>
          <w:color w:val="auto"/>
          <w:sz w:val="24"/>
          <w:highlight w:val="none"/>
        </w:rPr>
      </w:pPr>
      <w:r>
        <w:rPr>
          <w:rFonts w:hint="default" w:ascii="Times New Roman" w:hAnsi="Times New Roman" w:eastAsia="宋体" w:cs="Times New Roman"/>
          <w:b/>
          <w:bCs/>
          <w:color w:val="auto"/>
          <w:sz w:val="32"/>
          <w:szCs w:val="32"/>
          <w:highlight w:val="none"/>
        </w:rPr>
        <w:t>项目人员介绍</w:t>
      </w:r>
    </w:p>
    <w:tbl>
      <w:tblPr>
        <w:tblStyle w:val="57"/>
        <w:tblpPr w:leftFromText="180" w:rightFromText="180" w:vertAnchor="text" w:horzAnchor="margin" w:tblpXSpec="center" w:tblpY="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03"/>
        <w:gridCol w:w="2123"/>
        <w:gridCol w:w="1143"/>
        <w:gridCol w:w="2287"/>
        <w:gridCol w:w="1962"/>
        <w:gridCol w:w="1108"/>
      </w:tblGrid>
      <w:tr w14:paraId="1DF86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567" w:type="pct"/>
            <w:vAlign w:val="center"/>
          </w:tcPr>
          <w:p w14:paraId="4D6D685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姓名</w:t>
            </w:r>
          </w:p>
        </w:tc>
        <w:tc>
          <w:tcPr>
            <w:tcW w:w="1091" w:type="pct"/>
            <w:vAlign w:val="center"/>
          </w:tcPr>
          <w:p w14:paraId="794974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职务</w:t>
            </w:r>
          </w:p>
        </w:tc>
        <w:tc>
          <w:tcPr>
            <w:tcW w:w="587" w:type="pct"/>
            <w:vAlign w:val="center"/>
          </w:tcPr>
          <w:p w14:paraId="120EEA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学历</w:t>
            </w:r>
          </w:p>
        </w:tc>
        <w:tc>
          <w:tcPr>
            <w:tcW w:w="1175" w:type="pct"/>
            <w:vAlign w:val="center"/>
          </w:tcPr>
          <w:p w14:paraId="614F59B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身份证号</w:t>
            </w:r>
          </w:p>
        </w:tc>
        <w:tc>
          <w:tcPr>
            <w:tcW w:w="1008" w:type="pct"/>
            <w:vAlign w:val="center"/>
          </w:tcPr>
          <w:p w14:paraId="3C31257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相关证书</w:t>
            </w:r>
          </w:p>
        </w:tc>
        <w:tc>
          <w:tcPr>
            <w:tcW w:w="569" w:type="pct"/>
            <w:vAlign w:val="center"/>
          </w:tcPr>
          <w:p w14:paraId="4476D5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备注</w:t>
            </w:r>
          </w:p>
        </w:tc>
      </w:tr>
      <w:tr w14:paraId="1D0673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5D2A854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4346C33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587" w:type="pct"/>
            <w:vAlign w:val="center"/>
          </w:tcPr>
          <w:p w14:paraId="0CBBDC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1DF7204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2C9EB1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5EFCA30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1414E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1B98EED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550E54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587" w:type="pct"/>
            <w:vAlign w:val="center"/>
          </w:tcPr>
          <w:p w14:paraId="21BEB3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2C06BD0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198EF25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1BF4A97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546096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008A745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5A9F22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tc>
        <w:tc>
          <w:tcPr>
            <w:tcW w:w="587" w:type="pct"/>
            <w:vAlign w:val="center"/>
          </w:tcPr>
          <w:p w14:paraId="25EDEA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333C40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297C4A1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2032B5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60E63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187D209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13588B5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87" w:type="pct"/>
            <w:vAlign w:val="center"/>
          </w:tcPr>
          <w:p w14:paraId="46E54DF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65EC9E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4181B1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27902B9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46229E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7A6C6BC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2C6F8B6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87" w:type="pct"/>
            <w:vAlign w:val="center"/>
          </w:tcPr>
          <w:p w14:paraId="4E44E8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449B6C0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198B2D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0B6F41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06F3D7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3926821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1559890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87" w:type="pct"/>
            <w:vAlign w:val="center"/>
          </w:tcPr>
          <w:p w14:paraId="26EB38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28F38B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224DD24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1E88F38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57C55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53A848F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7A05489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87" w:type="pct"/>
            <w:vAlign w:val="center"/>
          </w:tcPr>
          <w:p w14:paraId="37BE763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20C8E53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560EE17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13EBCA8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5F596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48A8E4B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125BF2C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87" w:type="pct"/>
            <w:vAlign w:val="center"/>
          </w:tcPr>
          <w:p w14:paraId="6C7DF7D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3799BF6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204FE92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34B0026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54A504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047A58E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64B0C9B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87" w:type="pct"/>
            <w:vAlign w:val="center"/>
          </w:tcPr>
          <w:p w14:paraId="6D3755B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7EE0E87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1543B92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6222305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r w14:paraId="21E54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567" w:type="pct"/>
            <w:vAlign w:val="center"/>
          </w:tcPr>
          <w:p w14:paraId="59B1F60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91" w:type="pct"/>
            <w:vAlign w:val="center"/>
          </w:tcPr>
          <w:p w14:paraId="1B37804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87" w:type="pct"/>
            <w:vAlign w:val="center"/>
          </w:tcPr>
          <w:p w14:paraId="3B41A7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175" w:type="pct"/>
            <w:vAlign w:val="center"/>
          </w:tcPr>
          <w:p w14:paraId="60CC1BF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1008" w:type="pct"/>
            <w:vAlign w:val="center"/>
          </w:tcPr>
          <w:p w14:paraId="11593EE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c>
          <w:tcPr>
            <w:tcW w:w="569" w:type="pct"/>
            <w:vAlign w:val="center"/>
          </w:tcPr>
          <w:p w14:paraId="27CDEC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firstLine="0"/>
              <w:jc w:val="center"/>
              <w:textAlignment w:val="auto"/>
              <w:rPr>
                <w:rFonts w:hint="default" w:ascii="Times New Roman" w:hAnsi="Times New Roman" w:eastAsia="宋体" w:cs="Times New Roman"/>
                <w:color w:val="auto"/>
                <w:sz w:val="24"/>
                <w:szCs w:val="24"/>
                <w:highlight w:val="none"/>
              </w:rPr>
            </w:pPr>
          </w:p>
        </w:tc>
      </w:tr>
    </w:tbl>
    <w:p w14:paraId="73AB0199">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2"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szCs w:val="24"/>
          <w:highlight w:val="none"/>
        </w:rPr>
        <w:t>注：如</w:t>
      </w:r>
      <w:r>
        <w:rPr>
          <w:rFonts w:hint="eastAsia" w:ascii="Times New Roman" w:hAnsi="Times New Roman" w:eastAsia="宋体" w:cs="Times New Roman"/>
          <w:b/>
          <w:color w:val="auto"/>
          <w:sz w:val="24"/>
          <w:szCs w:val="24"/>
          <w:highlight w:val="none"/>
          <w:lang w:eastAsia="zh-CN"/>
        </w:rPr>
        <w:t>投标人</w:t>
      </w:r>
      <w:r>
        <w:rPr>
          <w:rFonts w:hint="default" w:ascii="Times New Roman" w:hAnsi="Times New Roman" w:eastAsia="宋体" w:cs="Times New Roman"/>
          <w:b/>
          <w:color w:val="auto"/>
          <w:sz w:val="24"/>
          <w:szCs w:val="24"/>
          <w:highlight w:val="none"/>
        </w:rPr>
        <w:t>成交，项目组成员必须按本表承诺人员操作，不得随意更换。按招标文件要求附相关人员证书。</w:t>
      </w:r>
    </w:p>
    <w:p w14:paraId="1BC90FA9">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67C7CC6F">
      <w:pPr>
        <w:keepNext w:val="0"/>
        <w:keepLines w:val="0"/>
        <w:pageBreakBefore w:val="0"/>
        <w:kinsoku/>
        <w:overflowPunct/>
        <w:topLinePunct w:val="0"/>
        <w:autoSpaceDE/>
        <w:autoSpaceDN/>
        <w:bidi w:val="0"/>
        <w:adjustRightInd w:val="0"/>
        <w:snapToGrid w:val="0"/>
        <w:spacing w:line="360" w:lineRule="auto"/>
        <w:ind w:left="0" w:firstLine="0"/>
        <w:jc w:val="both"/>
        <w:textAlignment w:val="auto"/>
        <w:rPr>
          <w:rFonts w:hint="default" w:ascii="Times New Roman" w:hAnsi="Times New Roman" w:eastAsia="宋体" w:cs="Times New Roman"/>
          <w:color w:val="auto"/>
          <w:sz w:val="24"/>
          <w:szCs w:val="24"/>
          <w:highlight w:val="none"/>
        </w:rPr>
      </w:pPr>
    </w:p>
    <w:p w14:paraId="53757F0F">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投标人公章：（电子签章）</w:t>
      </w:r>
      <w:r>
        <w:rPr>
          <w:rStyle w:val="1061"/>
          <w:rFonts w:hint="default" w:ascii="Times New Roman" w:hAnsi="Times New Roman" w:eastAsia="宋体" w:cs="Times New Roman"/>
          <w:color w:val="auto"/>
          <w:highlight w:val="none"/>
          <w:lang w:val="en-US" w:eastAsia="zh-CN"/>
        </w:rPr>
        <w:t xml:space="preserve">         </w:t>
      </w:r>
    </w:p>
    <w:p w14:paraId="2C79A9E1">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日期：</w:t>
      </w:r>
      <w:r>
        <w:rPr>
          <w:rStyle w:val="1061"/>
          <w:rFonts w:hint="default" w:ascii="Times New Roman" w:hAnsi="Times New Roman" w:eastAsia="宋体" w:cs="Times New Roman"/>
          <w:color w:val="auto"/>
          <w:highlight w:val="none"/>
          <w:lang w:val="en-US" w:eastAsia="zh-CN"/>
        </w:rPr>
        <w:t xml:space="preserve">                     </w:t>
      </w:r>
    </w:p>
    <w:p w14:paraId="590E0A54">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rPr>
      </w:pPr>
    </w:p>
    <w:p w14:paraId="5AFD8040">
      <w:pPr>
        <w:pStyle w:val="98"/>
        <w:rPr>
          <w:rFonts w:hint="default" w:ascii="Times New Roman" w:hAnsi="Times New Roman" w:eastAsia="宋体" w:cs="Times New Roman"/>
          <w:b/>
          <w:bCs/>
          <w:color w:val="auto"/>
          <w:sz w:val="24"/>
          <w:highlight w:val="none"/>
        </w:rPr>
      </w:pPr>
    </w:p>
    <w:p w14:paraId="733CC3C4">
      <w:pPr>
        <w:pStyle w:val="97"/>
        <w:rPr>
          <w:rFonts w:hint="default" w:ascii="Times New Roman" w:hAnsi="Times New Roman" w:eastAsia="宋体" w:cs="Times New Roman"/>
          <w:color w:val="auto"/>
          <w:highlight w:val="none"/>
        </w:rPr>
        <w:sectPr>
          <w:footerReference r:id="rId8" w:type="default"/>
          <w:pgSz w:w="11906" w:h="16838"/>
          <w:pgMar w:top="1440" w:right="1083" w:bottom="1440" w:left="1083" w:header="283" w:footer="992" w:gutter="0"/>
          <w:pgNumType w:fmt="decimal"/>
          <w:cols w:space="0" w:num="1"/>
          <w:docGrid w:linePitch="360" w:charSpace="0"/>
        </w:sectPr>
      </w:pPr>
    </w:p>
    <w:p w14:paraId="7D2F18E1">
      <w:pPr>
        <w:pStyle w:val="1088"/>
        <w:spacing w:line="360" w:lineRule="auto"/>
        <w:rPr>
          <w:rStyle w:val="803"/>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color w:val="auto"/>
          <w:sz w:val="28"/>
          <w:szCs w:val="28"/>
          <w:highlight w:val="none"/>
        </w:rPr>
        <w:t>八、类似业绩一览表</w:t>
      </w:r>
    </w:p>
    <w:p w14:paraId="12DA787C">
      <w:pPr>
        <w:pStyle w:val="1088"/>
        <w:spacing w:line="360" w:lineRule="auto"/>
        <w:jc w:val="center"/>
        <w:rPr>
          <w:rStyle w:val="803"/>
          <w:rFonts w:hint="default" w:ascii="Times New Roman" w:hAnsi="Times New Roman" w:eastAsia="宋体" w:cs="Times New Roman"/>
          <w:b/>
          <w:bCs/>
          <w:color w:val="auto"/>
          <w:sz w:val="36"/>
          <w:szCs w:val="36"/>
          <w:highlight w:val="none"/>
        </w:rPr>
      </w:pPr>
      <w:r>
        <w:rPr>
          <w:rStyle w:val="803"/>
          <w:rFonts w:hint="default" w:ascii="Times New Roman" w:hAnsi="Times New Roman" w:eastAsia="宋体" w:cs="Times New Roman"/>
          <w:b/>
          <w:bCs/>
          <w:color w:val="auto"/>
          <w:sz w:val="36"/>
          <w:szCs w:val="36"/>
          <w:highlight w:val="none"/>
        </w:rPr>
        <w:t xml:space="preserve">类似业绩一览表 </w:t>
      </w:r>
    </w:p>
    <w:tbl>
      <w:tblPr>
        <w:tblStyle w:val="57"/>
        <w:tblW w:w="4998" w:type="pct"/>
        <w:jc w:val="center"/>
        <w:tblLayout w:type="autofit"/>
        <w:tblCellMar>
          <w:top w:w="0" w:type="dxa"/>
          <w:left w:w="0" w:type="dxa"/>
          <w:bottom w:w="0" w:type="dxa"/>
          <w:right w:w="0" w:type="dxa"/>
        </w:tblCellMar>
      </w:tblPr>
      <w:tblGrid>
        <w:gridCol w:w="894"/>
        <w:gridCol w:w="1767"/>
        <w:gridCol w:w="1522"/>
        <w:gridCol w:w="2252"/>
        <w:gridCol w:w="1319"/>
        <w:gridCol w:w="1982"/>
      </w:tblGrid>
      <w:tr w14:paraId="15E3598D">
        <w:tblPrEx>
          <w:tblCellMar>
            <w:top w:w="0" w:type="dxa"/>
            <w:left w:w="0" w:type="dxa"/>
            <w:bottom w:w="0" w:type="dxa"/>
            <w:right w:w="0" w:type="dxa"/>
          </w:tblCellMar>
        </w:tblPrEx>
        <w:trPr>
          <w:trHeight w:val="921" w:hRule="atLeast"/>
          <w:jc w:val="center"/>
        </w:trPr>
        <w:tc>
          <w:tcPr>
            <w:tcW w:w="459"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624CF3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序号</w:t>
            </w:r>
          </w:p>
        </w:tc>
        <w:tc>
          <w:tcPr>
            <w:tcW w:w="90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D2865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项目名称</w:t>
            </w:r>
          </w:p>
        </w:tc>
        <w:tc>
          <w:tcPr>
            <w:tcW w:w="78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1CAD45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签约</w:t>
            </w:r>
          </w:p>
          <w:p w14:paraId="6D3FE1B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日期</w:t>
            </w:r>
          </w:p>
        </w:tc>
        <w:tc>
          <w:tcPr>
            <w:tcW w:w="115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6C335D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同类或相似服务</w:t>
            </w:r>
          </w:p>
          <w:p w14:paraId="49F49B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合同价</w:t>
            </w:r>
          </w:p>
        </w:tc>
        <w:tc>
          <w:tcPr>
            <w:tcW w:w="67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7F95C6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业主名称</w:t>
            </w:r>
          </w:p>
        </w:tc>
        <w:tc>
          <w:tcPr>
            <w:tcW w:w="101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45BEE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地址/电话/传真</w:t>
            </w:r>
          </w:p>
        </w:tc>
      </w:tr>
      <w:tr w14:paraId="279644FE">
        <w:tblPrEx>
          <w:tblCellMar>
            <w:top w:w="0" w:type="dxa"/>
            <w:left w:w="0" w:type="dxa"/>
            <w:bottom w:w="0" w:type="dxa"/>
            <w:right w:w="0" w:type="dxa"/>
          </w:tblCellMar>
        </w:tblPrEx>
        <w:trPr>
          <w:trHeight w:val="921" w:hRule="atLeast"/>
          <w:jc w:val="center"/>
        </w:trPr>
        <w:tc>
          <w:tcPr>
            <w:tcW w:w="459"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4DEF3E3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90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E3326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78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B4FC77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15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EA3BB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67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A65C1C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01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CC90A2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r>
      <w:tr w14:paraId="16CC78B5">
        <w:tblPrEx>
          <w:tblCellMar>
            <w:top w:w="0" w:type="dxa"/>
            <w:left w:w="0" w:type="dxa"/>
            <w:bottom w:w="0" w:type="dxa"/>
            <w:right w:w="0" w:type="dxa"/>
          </w:tblCellMar>
        </w:tblPrEx>
        <w:trPr>
          <w:trHeight w:val="921" w:hRule="atLeast"/>
          <w:jc w:val="center"/>
        </w:trPr>
        <w:tc>
          <w:tcPr>
            <w:tcW w:w="459"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4AE1962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90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B4ADD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78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230423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15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069C4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67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4AAE2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01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AB6EDC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r>
      <w:tr w14:paraId="5A1CD9A1">
        <w:tblPrEx>
          <w:tblCellMar>
            <w:top w:w="0" w:type="dxa"/>
            <w:left w:w="0" w:type="dxa"/>
            <w:bottom w:w="0" w:type="dxa"/>
            <w:right w:w="0" w:type="dxa"/>
          </w:tblCellMar>
        </w:tblPrEx>
        <w:trPr>
          <w:trHeight w:val="921" w:hRule="atLeast"/>
          <w:jc w:val="center"/>
        </w:trPr>
        <w:tc>
          <w:tcPr>
            <w:tcW w:w="459"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3D3F7EF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90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7F5861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78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126167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15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D37D1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67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15CD8E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01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1FA4B0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r>
      <w:tr w14:paraId="46F50B3A">
        <w:tblPrEx>
          <w:tblCellMar>
            <w:top w:w="0" w:type="dxa"/>
            <w:left w:w="0" w:type="dxa"/>
            <w:bottom w:w="0" w:type="dxa"/>
            <w:right w:w="0" w:type="dxa"/>
          </w:tblCellMar>
        </w:tblPrEx>
        <w:trPr>
          <w:trHeight w:val="921" w:hRule="atLeast"/>
          <w:jc w:val="center"/>
        </w:trPr>
        <w:tc>
          <w:tcPr>
            <w:tcW w:w="459"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1FD5E07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90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B11DD9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78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76E12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15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4D3A6D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67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06B3C5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01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39AD43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r>
      <w:tr w14:paraId="56CDFE4C">
        <w:tblPrEx>
          <w:tblCellMar>
            <w:top w:w="0" w:type="dxa"/>
            <w:left w:w="0" w:type="dxa"/>
            <w:bottom w:w="0" w:type="dxa"/>
            <w:right w:w="0" w:type="dxa"/>
          </w:tblCellMar>
        </w:tblPrEx>
        <w:trPr>
          <w:trHeight w:val="921" w:hRule="atLeast"/>
          <w:jc w:val="center"/>
        </w:trPr>
        <w:tc>
          <w:tcPr>
            <w:tcW w:w="459" w:type="pct"/>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41BC796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90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68B1D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781"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5201D9D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156"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C10089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67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7E276F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c>
          <w:tcPr>
            <w:tcW w:w="1017" w:type="pct"/>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9F1A82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4"/>
                <w:szCs w:val="24"/>
                <w:highlight w:val="none"/>
              </w:rPr>
            </w:pPr>
          </w:p>
        </w:tc>
      </w:tr>
    </w:tbl>
    <w:p w14:paraId="49D2493C">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color w:val="auto"/>
          <w:sz w:val="24"/>
          <w:highlight w:val="none"/>
        </w:rPr>
        <w:t>注：</w:t>
      </w:r>
      <w:r>
        <w:rPr>
          <w:rFonts w:hint="default" w:ascii="Times New Roman" w:hAnsi="Times New Roman" w:eastAsia="宋体" w:cs="Times New Roman"/>
          <w:b/>
          <w:color w:val="auto"/>
          <w:sz w:val="24"/>
          <w:szCs w:val="24"/>
          <w:highlight w:val="none"/>
        </w:rPr>
        <w:t>请填写此表，并按要求上传业绩资料电子件。</w:t>
      </w:r>
    </w:p>
    <w:p w14:paraId="23505B37">
      <w:pPr>
        <w:spacing w:line="360" w:lineRule="auto"/>
        <w:ind w:firstLine="210"/>
        <w:rPr>
          <w:rFonts w:hint="default" w:ascii="Times New Roman" w:hAnsi="Times New Roman" w:eastAsia="宋体" w:cs="Times New Roman"/>
          <w:bCs/>
          <w:color w:val="auto"/>
          <w:highlight w:val="none"/>
        </w:rPr>
      </w:pPr>
    </w:p>
    <w:p w14:paraId="5CC80D58">
      <w:pPr>
        <w:pStyle w:val="1089"/>
        <w:spacing w:before="240" w:after="240"/>
        <w:ind w:firstLine="360"/>
        <w:rPr>
          <w:rFonts w:hint="default" w:ascii="Times New Roman" w:hAnsi="Times New Roman" w:eastAsia="宋体" w:cs="Times New Roman"/>
          <w:color w:val="auto"/>
          <w:highlight w:val="none"/>
        </w:rPr>
      </w:pPr>
    </w:p>
    <w:p w14:paraId="78BE7E0B">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投标人公章：（电子签章）</w:t>
      </w:r>
      <w:r>
        <w:rPr>
          <w:rStyle w:val="1061"/>
          <w:rFonts w:hint="default" w:ascii="Times New Roman" w:hAnsi="Times New Roman" w:eastAsia="宋体" w:cs="Times New Roman"/>
          <w:color w:val="auto"/>
          <w:highlight w:val="none"/>
          <w:lang w:val="en-US" w:eastAsia="zh-CN"/>
        </w:rPr>
        <w:t xml:space="preserve">         </w:t>
      </w:r>
    </w:p>
    <w:p w14:paraId="02A7E3F9">
      <w:pPr>
        <w:pStyle w:val="1090"/>
        <w:jc w:val="center"/>
        <w:rPr>
          <w:rStyle w:val="1061"/>
          <w:rFonts w:hint="default" w:ascii="Times New Roman" w:hAnsi="Times New Roman" w:eastAsia="宋体" w:cs="Times New Roman"/>
          <w:color w:val="auto"/>
          <w:highlight w:val="none"/>
        </w:rPr>
      </w:pPr>
      <w:r>
        <w:rPr>
          <w:rStyle w:val="1061"/>
          <w:rFonts w:hint="eastAsia" w:cs="Times New Roman"/>
          <w:color w:val="auto"/>
          <w:highlight w:val="none"/>
          <w:lang w:val="en-US" w:eastAsia="zh-CN"/>
        </w:rPr>
        <w:t xml:space="preserve">                                   </w:t>
      </w:r>
      <w:r>
        <w:rPr>
          <w:rStyle w:val="1061"/>
          <w:rFonts w:hint="default" w:ascii="Times New Roman" w:hAnsi="Times New Roman" w:eastAsia="宋体" w:cs="Times New Roman"/>
          <w:color w:val="auto"/>
          <w:highlight w:val="none"/>
        </w:rPr>
        <w:t>日期：</w:t>
      </w:r>
      <w:bookmarkEnd w:id="222"/>
      <w:bookmarkEnd w:id="223"/>
      <w:bookmarkEnd w:id="224"/>
      <w:bookmarkEnd w:id="225"/>
      <w:bookmarkEnd w:id="226"/>
      <w:bookmarkEnd w:id="227"/>
      <w:bookmarkEnd w:id="228"/>
      <w:bookmarkEnd w:id="229"/>
      <w:bookmarkStart w:id="262" w:name="_Toc3848"/>
      <w:bookmarkStart w:id="263" w:name="_Toc7669"/>
      <w:bookmarkStart w:id="264" w:name="_Toc7749"/>
      <w:bookmarkStart w:id="265" w:name="_Toc16131"/>
      <w:bookmarkStart w:id="266" w:name="_Toc21845"/>
      <w:bookmarkStart w:id="267" w:name="_Toc4157"/>
      <w:bookmarkStart w:id="268" w:name="_Toc23271"/>
      <w:bookmarkStart w:id="269" w:name="_Toc24022"/>
      <w:bookmarkStart w:id="270" w:name="_Toc20511"/>
      <w:bookmarkStart w:id="271" w:name="_Toc32451"/>
      <w:bookmarkStart w:id="272" w:name="_Toc18854"/>
    </w:p>
    <w:p w14:paraId="3835F002">
      <w:pPr>
        <w:pStyle w:val="1090"/>
        <w:jc w:val="center"/>
        <w:rPr>
          <w:rFonts w:hint="default" w:ascii="Times New Roman" w:hAnsi="Times New Roman" w:eastAsia="宋体" w:cs="Times New Roman"/>
          <w:b/>
          <w:bCs/>
          <w:iCs/>
          <w:color w:val="auto"/>
          <w:sz w:val="28"/>
          <w:szCs w:val="28"/>
          <w:highlight w:val="none"/>
        </w:rPr>
      </w:pPr>
    </w:p>
    <w:p w14:paraId="528F4BB7">
      <w:pPr>
        <w:pStyle w:val="1090"/>
        <w:jc w:val="center"/>
        <w:rPr>
          <w:rFonts w:hint="default" w:ascii="Times New Roman" w:hAnsi="Times New Roman" w:eastAsia="宋体" w:cs="Times New Roman"/>
          <w:b/>
          <w:bCs/>
          <w:iCs/>
          <w:color w:val="auto"/>
          <w:sz w:val="28"/>
          <w:szCs w:val="28"/>
          <w:highlight w:val="none"/>
        </w:rPr>
      </w:pPr>
    </w:p>
    <w:p w14:paraId="097BB456">
      <w:pPr>
        <w:pStyle w:val="1090"/>
        <w:jc w:val="center"/>
        <w:rPr>
          <w:rFonts w:hint="default" w:ascii="Times New Roman" w:hAnsi="Times New Roman" w:eastAsia="宋体" w:cs="Times New Roman"/>
          <w:b/>
          <w:bCs/>
          <w:iCs/>
          <w:color w:val="auto"/>
          <w:sz w:val="28"/>
          <w:szCs w:val="28"/>
          <w:highlight w:val="none"/>
        </w:rPr>
      </w:pPr>
    </w:p>
    <w:p w14:paraId="4803A18D">
      <w:pPr>
        <w:pStyle w:val="1090"/>
        <w:jc w:val="center"/>
        <w:rPr>
          <w:rFonts w:hint="default" w:ascii="Times New Roman" w:hAnsi="Times New Roman" w:eastAsia="宋体" w:cs="Times New Roman"/>
          <w:b/>
          <w:bCs/>
          <w:iCs/>
          <w:color w:val="auto"/>
          <w:sz w:val="28"/>
          <w:szCs w:val="28"/>
          <w:highlight w:val="none"/>
        </w:rPr>
      </w:pPr>
    </w:p>
    <w:p w14:paraId="2485007F">
      <w:pPr>
        <w:pStyle w:val="1090"/>
        <w:jc w:val="center"/>
        <w:rPr>
          <w:rFonts w:hint="default" w:ascii="Times New Roman" w:hAnsi="Times New Roman" w:eastAsia="宋体" w:cs="Times New Roman"/>
          <w:b/>
          <w:bCs/>
          <w:iCs/>
          <w:color w:val="auto"/>
          <w:sz w:val="28"/>
          <w:szCs w:val="28"/>
          <w:highlight w:val="none"/>
        </w:rPr>
      </w:pPr>
    </w:p>
    <w:p w14:paraId="288919F4">
      <w:pPr>
        <w:pStyle w:val="1090"/>
        <w:jc w:val="center"/>
        <w:rPr>
          <w:rFonts w:hint="default" w:ascii="Times New Roman" w:hAnsi="Times New Roman" w:eastAsia="宋体" w:cs="Times New Roman"/>
          <w:b/>
          <w:bCs/>
          <w:iCs/>
          <w:color w:val="auto"/>
          <w:sz w:val="28"/>
          <w:szCs w:val="28"/>
          <w:highlight w:val="none"/>
        </w:rPr>
      </w:pPr>
    </w:p>
    <w:p w14:paraId="54B661C3">
      <w:pPr>
        <w:pStyle w:val="1090"/>
        <w:jc w:val="center"/>
        <w:rPr>
          <w:rFonts w:hint="default" w:ascii="Times New Roman" w:hAnsi="Times New Roman" w:eastAsia="宋体" w:cs="Times New Roman"/>
          <w:b/>
          <w:bCs/>
          <w:iCs/>
          <w:color w:val="auto"/>
          <w:sz w:val="28"/>
          <w:szCs w:val="28"/>
          <w:highlight w:val="none"/>
        </w:rPr>
      </w:pPr>
    </w:p>
    <w:p w14:paraId="72247307">
      <w:pPr>
        <w:pStyle w:val="1090"/>
        <w:jc w:val="center"/>
        <w:rPr>
          <w:rFonts w:hint="default" w:ascii="Times New Roman" w:hAnsi="Times New Roman" w:eastAsia="宋体" w:cs="Times New Roman"/>
          <w:b/>
          <w:bCs/>
          <w:iCs/>
          <w:color w:val="auto"/>
          <w:sz w:val="28"/>
          <w:szCs w:val="28"/>
          <w:highlight w:val="none"/>
        </w:rPr>
      </w:pPr>
    </w:p>
    <w:p w14:paraId="5C6936EF">
      <w:pPr>
        <w:pStyle w:val="1090"/>
        <w:jc w:val="center"/>
        <w:rPr>
          <w:rFonts w:hint="default" w:ascii="Times New Roman" w:hAnsi="Times New Roman" w:eastAsia="宋体" w:cs="Times New Roman"/>
          <w:b/>
          <w:bCs/>
          <w:iCs/>
          <w:color w:val="auto"/>
          <w:sz w:val="28"/>
          <w:szCs w:val="28"/>
          <w:highlight w:val="none"/>
        </w:rPr>
      </w:pPr>
    </w:p>
    <w:p w14:paraId="6313D5AE">
      <w:pPr>
        <w:pStyle w:val="1090"/>
        <w:jc w:val="center"/>
        <w:rPr>
          <w:rFonts w:hint="default" w:ascii="Times New Roman" w:hAnsi="Times New Roman" w:eastAsia="宋体" w:cs="Times New Roman"/>
          <w:b/>
          <w:bCs/>
          <w:iCs/>
          <w:color w:val="auto"/>
          <w:sz w:val="28"/>
          <w:szCs w:val="28"/>
          <w:highlight w:val="none"/>
        </w:rPr>
      </w:pPr>
    </w:p>
    <w:p w14:paraId="1CD60187">
      <w:pPr>
        <w:pStyle w:val="1090"/>
        <w:jc w:val="center"/>
        <w:rPr>
          <w:rFonts w:hint="default" w:ascii="Times New Roman" w:hAnsi="Times New Roman" w:eastAsia="宋体" w:cs="Times New Roman"/>
          <w:b/>
          <w:bCs/>
          <w:iCs/>
          <w:color w:val="auto"/>
          <w:sz w:val="28"/>
          <w:szCs w:val="28"/>
          <w:highlight w:val="none"/>
        </w:rPr>
      </w:pPr>
    </w:p>
    <w:p w14:paraId="56276560">
      <w:pPr>
        <w:pStyle w:val="1090"/>
        <w:jc w:val="center"/>
        <w:rPr>
          <w:rFonts w:hint="default" w:ascii="Times New Roman" w:hAnsi="Times New Roman" w:eastAsia="宋体" w:cs="Times New Roman"/>
          <w:b/>
          <w:bCs/>
          <w:iCs/>
          <w:color w:val="auto"/>
          <w:sz w:val="28"/>
          <w:szCs w:val="28"/>
          <w:highlight w:val="none"/>
        </w:rPr>
      </w:pPr>
    </w:p>
    <w:p w14:paraId="77477520">
      <w:pPr>
        <w:pStyle w:val="1090"/>
        <w:jc w:val="center"/>
        <w:rPr>
          <w:rFonts w:hint="default" w:ascii="Times New Roman" w:hAnsi="Times New Roman" w:eastAsia="宋体" w:cs="Times New Roman"/>
          <w:b/>
          <w:bCs/>
          <w:iCs/>
          <w:color w:val="auto"/>
          <w:sz w:val="28"/>
          <w:szCs w:val="28"/>
          <w:highlight w:val="none"/>
        </w:rPr>
      </w:pPr>
    </w:p>
    <w:p w14:paraId="051DCB89">
      <w:pPr>
        <w:pStyle w:val="1090"/>
        <w:jc w:val="center"/>
        <w:rPr>
          <w:rFonts w:hint="default" w:ascii="Times New Roman" w:hAnsi="Times New Roman" w:eastAsia="宋体" w:cs="Times New Roman"/>
          <w:b/>
          <w:bCs/>
          <w:iCs/>
          <w:color w:val="auto"/>
          <w:sz w:val="28"/>
          <w:szCs w:val="28"/>
          <w:highlight w:val="none"/>
        </w:rPr>
      </w:pPr>
    </w:p>
    <w:p w14:paraId="0ECD6EEF">
      <w:pPr>
        <w:pStyle w:val="1090"/>
        <w:jc w:val="center"/>
        <w:rPr>
          <w:rFonts w:hint="default" w:ascii="Times New Roman" w:hAnsi="Times New Roman" w:eastAsia="宋体" w:cs="Times New Roman"/>
          <w:b/>
          <w:bCs/>
          <w:iCs/>
          <w:color w:val="auto"/>
          <w:sz w:val="28"/>
          <w:szCs w:val="28"/>
          <w:highlight w:val="none"/>
        </w:rPr>
      </w:pPr>
      <w:r>
        <w:rPr>
          <w:rFonts w:hint="default" w:ascii="Times New Roman" w:hAnsi="Times New Roman" w:eastAsia="宋体" w:cs="Times New Roman"/>
          <w:b/>
          <w:bCs/>
          <w:iCs/>
          <w:color w:val="auto"/>
          <w:sz w:val="28"/>
          <w:szCs w:val="28"/>
          <w:highlight w:val="none"/>
        </w:rPr>
        <w:t>九、中小企业声明函</w:t>
      </w:r>
      <w:r>
        <w:rPr>
          <w:rFonts w:hint="eastAsia" w:ascii="Times New Roman" w:hAnsi="Times New Roman" w:eastAsia="宋体" w:cs="Times New Roman"/>
          <w:b/>
          <w:bCs/>
          <w:iCs/>
          <w:color w:val="auto"/>
          <w:sz w:val="28"/>
          <w:szCs w:val="28"/>
          <w:highlight w:val="none"/>
          <w:lang w:eastAsia="zh-CN"/>
        </w:rPr>
        <w:t>（</w:t>
      </w:r>
      <w:r>
        <w:rPr>
          <w:rFonts w:hint="eastAsia" w:ascii="Times New Roman" w:hAnsi="Times New Roman" w:eastAsia="宋体" w:cs="Times New Roman"/>
          <w:b/>
          <w:bCs/>
          <w:iCs/>
          <w:color w:val="auto"/>
          <w:sz w:val="28"/>
          <w:szCs w:val="28"/>
          <w:highlight w:val="none"/>
          <w:lang w:val="en-US" w:eastAsia="zh-CN"/>
        </w:rPr>
        <w:t>如联合体投标，所有成员均需填写</w:t>
      </w:r>
      <w:r>
        <w:rPr>
          <w:rFonts w:hint="eastAsia" w:ascii="Times New Roman" w:hAnsi="Times New Roman" w:eastAsia="宋体" w:cs="Times New Roman"/>
          <w:b/>
          <w:bCs/>
          <w:iCs/>
          <w:color w:val="auto"/>
          <w:sz w:val="28"/>
          <w:szCs w:val="28"/>
          <w:highlight w:val="none"/>
          <w:lang w:eastAsia="zh-CN"/>
        </w:rPr>
        <w:t>）；</w:t>
      </w:r>
    </w:p>
    <w:p w14:paraId="7A2588C3">
      <w:pPr>
        <w:spacing w:line="360" w:lineRule="auto"/>
        <w:jc w:val="center"/>
        <w:rPr>
          <w:rFonts w:hint="default" w:ascii="Times New Roman" w:hAnsi="Times New Roman" w:eastAsia="宋体" w:cs="Times New Roman"/>
          <w:b/>
          <w:bCs/>
          <w:iCs/>
          <w:color w:val="auto"/>
          <w:sz w:val="28"/>
          <w:szCs w:val="28"/>
          <w:highlight w:val="none"/>
        </w:rPr>
      </w:pPr>
      <w:r>
        <w:rPr>
          <w:rFonts w:hint="default" w:ascii="Times New Roman" w:hAnsi="Times New Roman" w:eastAsia="宋体" w:cs="Times New Roman"/>
          <w:b/>
          <w:bCs/>
          <w:iCs/>
          <w:color w:val="auto"/>
          <w:sz w:val="28"/>
          <w:szCs w:val="28"/>
          <w:highlight w:val="none"/>
        </w:rPr>
        <w:t>中小企业声明函</w:t>
      </w:r>
    </w:p>
    <w:p w14:paraId="0CFC8BB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本公司（联合体）郑重声明，根据《政府采购促进中小企业发展管理办法》（财库﹝2020﹞46 号）的规定，本公司（联合体）参加</w:t>
      </w:r>
      <w:r>
        <w:rPr>
          <w:rFonts w:hint="default" w:ascii="Times New Roman" w:hAnsi="Times New Roman" w:eastAsia="宋体" w:cs="Times New Roman"/>
          <w:color w:val="auto"/>
          <w:position w:val="-10"/>
          <w:sz w:val="24"/>
          <w:szCs w:val="24"/>
          <w:highlight w:val="none"/>
          <w:u w:val="single"/>
        </w:rPr>
        <w:t>（单位名称）</w:t>
      </w:r>
      <w:r>
        <w:rPr>
          <w:rFonts w:hint="default" w:ascii="Times New Roman" w:hAnsi="Times New Roman" w:eastAsia="宋体" w:cs="Times New Roman"/>
          <w:color w:val="auto"/>
          <w:position w:val="-10"/>
          <w:sz w:val="24"/>
          <w:szCs w:val="24"/>
          <w:highlight w:val="none"/>
        </w:rPr>
        <w:t>的</w:t>
      </w:r>
      <w:r>
        <w:rPr>
          <w:rFonts w:hint="default" w:ascii="Times New Roman" w:hAnsi="Times New Roman" w:eastAsia="宋体" w:cs="Times New Roman"/>
          <w:color w:val="auto"/>
          <w:position w:val="-10"/>
          <w:sz w:val="24"/>
          <w:szCs w:val="24"/>
          <w:highlight w:val="none"/>
          <w:u w:val="single"/>
        </w:rPr>
        <w:t>（项目名称）</w:t>
      </w:r>
      <w:r>
        <w:rPr>
          <w:rFonts w:hint="default" w:ascii="Times New Roman" w:hAnsi="Times New Roman" w:eastAsia="宋体" w:cs="Times New Roman"/>
          <w:color w:val="auto"/>
          <w:position w:val="-10"/>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F87B9A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 xml:space="preserve">1. </w:t>
      </w:r>
      <w:r>
        <w:rPr>
          <w:rFonts w:hint="default" w:ascii="Times New Roman" w:hAnsi="Times New Roman" w:eastAsia="宋体" w:cs="Times New Roman"/>
          <w:color w:val="auto"/>
          <w:position w:val="-10"/>
          <w:sz w:val="24"/>
          <w:szCs w:val="24"/>
          <w:highlight w:val="none"/>
          <w:u w:val="single"/>
        </w:rPr>
        <w:t>（标的名称）</w:t>
      </w:r>
      <w:r>
        <w:rPr>
          <w:rFonts w:hint="default" w:ascii="Times New Roman" w:hAnsi="Times New Roman" w:eastAsia="宋体" w:cs="Times New Roman"/>
          <w:color w:val="auto"/>
          <w:position w:val="-10"/>
          <w:sz w:val="24"/>
          <w:szCs w:val="24"/>
          <w:highlight w:val="none"/>
        </w:rPr>
        <w:t>，属于</w:t>
      </w:r>
      <w:r>
        <w:rPr>
          <w:rFonts w:hint="default" w:ascii="Times New Roman" w:hAnsi="Times New Roman" w:eastAsia="宋体" w:cs="Times New Roman"/>
          <w:color w:val="auto"/>
          <w:position w:val="-10"/>
          <w:sz w:val="24"/>
          <w:szCs w:val="24"/>
          <w:highlight w:val="none"/>
          <w:u w:val="single"/>
        </w:rPr>
        <w:t>（招标文件中明确的所属行业）</w:t>
      </w:r>
      <w:r>
        <w:rPr>
          <w:rFonts w:hint="default" w:ascii="Times New Roman" w:hAnsi="Times New Roman" w:eastAsia="宋体" w:cs="Times New Roman"/>
          <w:color w:val="auto"/>
          <w:position w:val="-10"/>
          <w:sz w:val="24"/>
          <w:szCs w:val="24"/>
          <w:highlight w:val="none"/>
        </w:rPr>
        <w:t>；承建（承接）企业为</w:t>
      </w:r>
      <w:r>
        <w:rPr>
          <w:rFonts w:hint="default" w:ascii="Times New Roman" w:hAnsi="Times New Roman" w:eastAsia="宋体" w:cs="Times New Roman"/>
          <w:color w:val="auto"/>
          <w:position w:val="-10"/>
          <w:sz w:val="24"/>
          <w:szCs w:val="24"/>
          <w:highlight w:val="none"/>
          <w:u w:val="single"/>
        </w:rPr>
        <w:t>（企业名称）</w:t>
      </w:r>
      <w:r>
        <w:rPr>
          <w:rFonts w:hint="default" w:ascii="Times New Roman" w:hAnsi="Times New Roman" w:eastAsia="宋体" w:cs="Times New Roman"/>
          <w:color w:val="auto"/>
          <w:position w:val="-10"/>
          <w:sz w:val="24"/>
          <w:szCs w:val="24"/>
          <w:highlight w:val="none"/>
        </w:rPr>
        <w:t>，从业人员</w:t>
      </w:r>
      <w:r>
        <w:rPr>
          <w:rFonts w:hint="default" w:ascii="Times New Roman" w:hAnsi="Times New Roman" w:eastAsia="宋体" w:cs="Times New Roman"/>
          <w:color w:val="auto"/>
          <w:position w:val="-10"/>
          <w:sz w:val="24"/>
          <w:szCs w:val="24"/>
          <w:highlight w:val="none"/>
          <w:u w:val="single"/>
        </w:rPr>
        <w:t xml:space="preserve">  </w:t>
      </w:r>
      <w:r>
        <w:rPr>
          <w:rFonts w:hint="default" w:ascii="Times New Roman" w:hAnsi="Times New Roman" w:eastAsia="宋体" w:cs="Times New Roman"/>
          <w:color w:val="auto"/>
          <w:position w:val="-10"/>
          <w:sz w:val="24"/>
          <w:szCs w:val="24"/>
          <w:highlight w:val="none"/>
        </w:rPr>
        <w:t>人，营业收入为</w:t>
      </w:r>
      <w:r>
        <w:rPr>
          <w:rFonts w:hint="default" w:ascii="Times New Roman" w:hAnsi="Times New Roman" w:eastAsia="宋体" w:cs="Times New Roman"/>
          <w:color w:val="auto"/>
          <w:position w:val="-10"/>
          <w:sz w:val="24"/>
          <w:szCs w:val="24"/>
          <w:highlight w:val="none"/>
          <w:u w:val="single"/>
        </w:rPr>
        <w:t xml:space="preserve">    </w:t>
      </w:r>
      <w:r>
        <w:rPr>
          <w:rFonts w:hint="default" w:ascii="Times New Roman" w:hAnsi="Times New Roman" w:eastAsia="宋体" w:cs="Times New Roman"/>
          <w:color w:val="auto"/>
          <w:position w:val="-10"/>
          <w:sz w:val="24"/>
          <w:szCs w:val="24"/>
          <w:highlight w:val="none"/>
        </w:rPr>
        <w:t>万元，资产总额为</w:t>
      </w:r>
      <w:r>
        <w:rPr>
          <w:rFonts w:hint="default" w:ascii="Times New Roman" w:hAnsi="Times New Roman" w:eastAsia="宋体" w:cs="Times New Roman"/>
          <w:color w:val="auto"/>
          <w:position w:val="-10"/>
          <w:sz w:val="24"/>
          <w:szCs w:val="24"/>
          <w:highlight w:val="none"/>
          <w:u w:val="single"/>
        </w:rPr>
        <w:t xml:space="preserve">    </w:t>
      </w:r>
      <w:r>
        <w:rPr>
          <w:rFonts w:hint="default" w:ascii="Times New Roman" w:hAnsi="Times New Roman" w:eastAsia="宋体" w:cs="Times New Roman"/>
          <w:color w:val="auto"/>
          <w:position w:val="-10"/>
          <w:sz w:val="24"/>
          <w:szCs w:val="24"/>
          <w:highlight w:val="none"/>
        </w:rPr>
        <w:t>万元，属于</w:t>
      </w:r>
      <w:r>
        <w:rPr>
          <w:rFonts w:hint="default" w:ascii="Times New Roman" w:hAnsi="Times New Roman" w:eastAsia="宋体" w:cs="Times New Roman"/>
          <w:color w:val="auto"/>
          <w:position w:val="-10"/>
          <w:sz w:val="24"/>
          <w:szCs w:val="24"/>
          <w:highlight w:val="none"/>
          <w:u w:val="single"/>
        </w:rPr>
        <w:t>（□中型企业、□小型企业、□微型企业）</w:t>
      </w:r>
      <w:r>
        <w:rPr>
          <w:rFonts w:hint="default" w:ascii="Times New Roman" w:hAnsi="Times New Roman" w:eastAsia="宋体" w:cs="Times New Roman"/>
          <w:color w:val="auto"/>
          <w:position w:val="-10"/>
          <w:sz w:val="24"/>
          <w:szCs w:val="24"/>
          <w:highlight w:val="none"/>
        </w:rPr>
        <w:t>；</w:t>
      </w:r>
    </w:p>
    <w:p w14:paraId="24EAFA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 xml:space="preserve">2. </w:t>
      </w:r>
      <w:r>
        <w:rPr>
          <w:rFonts w:hint="default" w:ascii="Times New Roman" w:hAnsi="Times New Roman" w:eastAsia="宋体" w:cs="Times New Roman"/>
          <w:color w:val="auto"/>
          <w:position w:val="-10"/>
          <w:sz w:val="24"/>
          <w:szCs w:val="24"/>
          <w:highlight w:val="none"/>
          <w:u w:val="single"/>
        </w:rPr>
        <w:t>（标的名称）</w:t>
      </w:r>
      <w:r>
        <w:rPr>
          <w:rFonts w:hint="default" w:ascii="Times New Roman" w:hAnsi="Times New Roman" w:eastAsia="宋体" w:cs="Times New Roman"/>
          <w:color w:val="auto"/>
          <w:position w:val="-10"/>
          <w:sz w:val="24"/>
          <w:szCs w:val="24"/>
          <w:highlight w:val="none"/>
        </w:rPr>
        <w:t>，属于</w:t>
      </w:r>
      <w:r>
        <w:rPr>
          <w:rFonts w:hint="default" w:ascii="Times New Roman" w:hAnsi="Times New Roman" w:eastAsia="宋体" w:cs="Times New Roman"/>
          <w:color w:val="auto"/>
          <w:position w:val="-10"/>
          <w:sz w:val="24"/>
          <w:szCs w:val="24"/>
          <w:highlight w:val="none"/>
          <w:u w:val="single"/>
        </w:rPr>
        <w:t>（招标文件中明确的所属行业）</w:t>
      </w:r>
      <w:r>
        <w:rPr>
          <w:rFonts w:hint="default" w:ascii="Times New Roman" w:hAnsi="Times New Roman" w:eastAsia="宋体" w:cs="Times New Roman"/>
          <w:color w:val="auto"/>
          <w:position w:val="-10"/>
          <w:sz w:val="24"/>
          <w:szCs w:val="24"/>
          <w:highlight w:val="none"/>
        </w:rPr>
        <w:t>；承建（承接）企业为</w:t>
      </w:r>
      <w:r>
        <w:rPr>
          <w:rFonts w:hint="default" w:ascii="Times New Roman" w:hAnsi="Times New Roman" w:eastAsia="宋体" w:cs="Times New Roman"/>
          <w:color w:val="auto"/>
          <w:position w:val="-10"/>
          <w:sz w:val="24"/>
          <w:szCs w:val="24"/>
          <w:highlight w:val="none"/>
          <w:u w:val="single"/>
        </w:rPr>
        <w:t>（企业名称）</w:t>
      </w:r>
      <w:r>
        <w:rPr>
          <w:rFonts w:hint="default" w:ascii="Times New Roman" w:hAnsi="Times New Roman" w:eastAsia="宋体" w:cs="Times New Roman"/>
          <w:color w:val="auto"/>
          <w:position w:val="-10"/>
          <w:sz w:val="24"/>
          <w:szCs w:val="24"/>
          <w:highlight w:val="none"/>
        </w:rPr>
        <w:t>，从业人员</w:t>
      </w:r>
      <w:r>
        <w:rPr>
          <w:rFonts w:hint="default" w:ascii="Times New Roman" w:hAnsi="Times New Roman" w:eastAsia="宋体" w:cs="Times New Roman"/>
          <w:color w:val="auto"/>
          <w:position w:val="-10"/>
          <w:sz w:val="24"/>
          <w:szCs w:val="24"/>
          <w:highlight w:val="none"/>
          <w:u w:val="single"/>
        </w:rPr>
        <w:t xml:space="preserve">  </w:t>
      </w:r>
      <w:r>
        <w:rPr>
          <w:rFonts w:hint="default" w:ascii="Times New Roman" w:hAnsi="Times New Roman" w:eastAsia="宋体" w:cs="Times New Roman"/>
          <w:color w:val="auto"/>
          <w:position w:val="-10"/>
          <w:sz w:val="24"/>
          <w:szCs w:val="24"/>
          <w:highlight w:val="none"/>
        </w:rPr>
        <w:t>人，营业收入为</w:t>
      </w:r>
      <w:r>
        <w:rPr>
          <w:rFonts w:hint="default" w:ascii="Times New Roman" w:hAnsi="Times New Roman" w:eastAsia="宋体" w:cs="Times New Roman"/>
          <w:color w:val="auto"/>
          <w:position w:val="-10"/>
          <w:sz w:val="24"/>
          <w:szCs w:val="24"/>
          <w:highlight w:val="none"/>
          <w:u w:val="single"/>
        </w:rPr>
        <w:t xml:space="preserve">     </w:t>
      </w:r>
      <w:r>
        <w:rPr>
          <w:rFonts w:hint="default" w:ascii="Times New Roman" w:hAnsi="Times New Roman" w:eastAsia="宋体" w:cs="Times New Roman"/>
          <w:color w:val="auto"/>
          <w:position w:val="-10"/>
          <w:sz w:val="24"/>
          <w:szCs w:val="24"/>
          <w:highlight w:val="none"/>
        </w:rPr>
        <w:t>万元，资产总额为</w:t>
      </w:r>
      <w:r>
        <w:rPr>
          <w:rFonts w:hint="default" w:ascii="Times New Roman" w:hAnsi="Times New Roman" w:eastAsia="宋体" w:cs="Times New Roman"/>
          <w:color w:val="auto"/>
          <w:position w:val="-10"/>
          <w:sz w:val="24"/>
          <w:szCs w:val="24"/>
          <w:highlight w:val="none"/>
          <w:u w:val="single"/>
        </w:rPr>
        <w:t xml:space="preserve">   </w:t>
      </w:r>
      <w:r>
        <w:rPr>
          <w:rFonts w:hint="default" w:ascii="Times New Roman" w:hAnsi="Times New Roman" w:eastAsia="宋体" w:cs="Times New Roman"/>
          <w:color w:val="auto"/>
          <w:position w:val="-10"/>
          <w:sz w:val="24"/>
          <w:szCs w:val="24"/>
          <w:highlight w:val="none"/>
        </w:rPr>
        <w:t>万元，属于</w:t>
      </w:r>
      <w:r>
        <w:rPr>
          <w:rFonts w:hint="default" w:ascii="Times New Roman" w:hAnsi="Times New Roman" w:eastAsia="宋体" w:cs="Times New Roman"/>
          <w:color w:val="auto"/>
          <w:position w:val="-10"/>
          <w:sz w:val="24"/>
          <w:szCs w:val="24"/>
          <w:highlight w:val="none"/>
          <w:u w:val="single"/>
        </w:rPr>
        <w:t>（□中型企业、□小型企业、□微型企业）</w:t>
      </w:r>
      <w:r>
        <w:rPr>
          <w:rFonts w:hint="default" w:ascii="Times New Roman" w:hAnsi="Times New Roman" w:eastAsia="宋体" w:cs="Times New Roman"/>
          <w:color w:val="auto"/>
          <w:position w:val="-10"/>
          <w:sz w:val="24"/>
          <w:szCs w:val="24"/>
          <w:highlight w:val="none"/>
        </w:rPr>
        <w:t>；</w:t>
      </w:r>
    </w:p>
    <w:p w14:paraId="659582C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w:t>
      </w:r>
    </w:p>
    <w:p w14:paraId="33C811E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以上企业，不属于大企业的分支机构，不存在控股股东为大企业的情形，也不存在与大企业的负责人为同一人的情形。</w:t>
      </w:r>
    </w:p>
    <w:p w14:paraId="1D6452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本企业对上述声明内容的真实性负责。如有虚假，将依法承担相应责任。</w:t>
      </w:r>
    </w:p>
    <w:p w14:paraId="2CC14C1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p>
    <w:p w14:paraId="0E91C58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p>
    <w:p w14:paraId="0953D9D0">
      <w:pPr>
        <w:keepNext w:val="0"/>
        <w:keepLines w:val="0"/>
        <w:pageBreakBefore w:val="0"/>
        <w:widowControl w:val="0"/>
        <w:tabs>
          <w:tab w:val="left" w:pos="7098"/>
        </w:tabs>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position w:val="-10"/>
          <w:sz w:val="24"/>
          <w:szCs w:val="24"/>
          <w:highlight w:val="none"/>
          <w:lang w:val="en-US" w:eastAsia="zh-CN"/>
        </w:rPr>
      </w:pPr>
      <w:r>
        <w:rPr>
          <w:rFonts w:hint="eastAsia" w:ascii="Times New Roman" w:hAnsi="Times New Roman" w:eastAsia="宋体" w:cs="Times New Roman"/>
          <w:color w:val="auto"/>
          <w:position w:val="-10"/>
          <w:sz w:val="24"/>
          <w:szCs w:val="24"/>
          <w:highlight w:val="none"/>
          <w:lang w:eastAsia="zh-CN"/>
        </w:rPr>
        <w:t>投标人</w:t>
      </w:r>
      <w:r>
        <w:rPr>
          <w:rFonts w:hint="default" w:ascii="Times New Roman" w:hAnsi="Times New Roman" w:eastAsia="宋体" w:cs="Times New Roman"/>
          <w:color w:val="auto"/>
          <w:position w:val="-10"/>
          <w:sz w:val="24"/>
          <w:szCs w:val="24"/>
          <w:highlight w:val="none"/>
        </w:rPr>
        <w:t>名称（电子签章）：</w:t>
      </w:r>
      <w:r>
        <w:rPr>
          <w:rFonts w:hint="default" w:ascii="Times New Roman" w:hAnsi="Times New Roman" w:eastAsia="宋体" w:cs="Times New Roman"/>
          <w:color w:val="auto"/>
          <w:position w:val="-10"/>
          <w:sz w:val="24"/>
          <w:szCs w:val="24"/>
          <w:highlight w:val="none"/>
          <w:lang w:val="en-US" w:eastAsia="zh-CN"/>
        </w:rPr>
        <w:t xml:space="preserve">            </w:t>
      </w:r>
    </w:p>
    <w:p w14:paraId="70D7A726">
      <w:pPr>
        <w:keepNext w:val="0"/>
        <w:keepLines w:val="0"/>
        <w:pageBreakBefore w:val="0"/>
        <w:widowControl w:val="0"/>
        <w:tabs>
          <w:tab w:val="left" w:pos="7098"/>
        </w:tabs>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position w:val="-10"/>
          <w:sz w:val="24"/>
          <w:szCs w:val="24"/>
          <w:highlight w:val="none"/>
          <w:lang w:val="en-US" w:eastAsia="zh-CN"/>
        </w:rPr>
      </w:pPr>
      <w:r>
        <w:rPr>
          <w:rFonts w:hint="default" w:ascii="Times New Roman" w:hAnsi="Times New Roman" w:eastAsia="宋体" w:cs="Times New Roman"/>
          <w:color w:val="auto"/>
          <w:position w:val="-10"/>
          <w:sz w:val="24"/>
          <w:szCs w:val="24"/>
          <w:highlight w:val="none"/>
        </w:rPr>
        <w:t>日 期：</w:t>
      </w:r>
      <w:r>
        <w:rPr>
          <w:rFonts w:hint="default" w:ascii="Times New Roman" w:hAnsi="Times New Roman" w:eastAsia="宋体" w:cs="Times New Roman"/>
          <w:color w:val="auto"/>
          <w:position w:val="-10"/>
          <w:sz w:val="24"/>
          <w:szCs w:val="24"/>
          <w:highlight w:val="none"/>
          <w:lang w:val="en-US" w:eastAsia="zh-CN"/>
        </w:rPr>
        <w:t xml:space="preserve">            </w:t>
      </w:r>
    </w:p>
    <w:p w14:paraId="1C344B8D">
      <w:pPr>
        <w:spacing w:line="360" w:lineRule="auto"/>
        <w:contextualSpacing/>
        <w:jc w:val="left"/>
        <w:rPr>
          <w:rFonts w:hint="default" w:ascii="Times New Roman" w:hAnsi="Times New Roman" w:eastAsia="宋体" w:cs="Times New Roman"/>
          <w:color w:val="auto"/>
          <w:position w:val="-10"/>
          <w:sz w:val="24"/>
          <w:szCs w:val="24"/>
          <w:highlight w:val="none"/>
        </w:rPr>
      </w:pPr>
    </w:p>
    <w:p w14:paraId="1D4325AF">
      <w:pPr>
        <w:spacing w:line="360" w:lineRule="auto"/>
        <w:ind w:firstLine="480"/>
        <w:contextualSpacing/>
        <w:jc w:val="left"/>
        <w:rPr>
          <w:rFonts w:hint="default" w:ascii="Times New Roman" w:hAnsi="Times New Roman" w:eastAsia="宋体" w:cs="Times New Roman"/>
          <w:color w:val="auto"/>
          <w:position w:val="-10"/>
          <w:sz w:val="24"/>
          <w:szCs w:val="24"/>
          <w:highlight w:val="none"/>
        </w:rPr>
      </w:pPr>
    </w:p>
    <w:p w14:paraId="34096CA9">
      <w:pPr>
        <w:spacing w:line="360" w:lineRule="auto"/>
        <w:ind w:firstLine="480"/>
        <w:contextualSpacing/>
        <w:jc w:val="left"/>
        <w:rPr>
          <w:rFonts w:hint="default" w:ascii="Times New Roman" w:hAnsi="Times New Roman" w:eastAsia="宋体" w:cs="Times New Roman"/>
          <w:color w:val="auto"/>
          <w:position w:val="-10"/>
          <w:sz w:val="24"/>
          <w:szCs w:val="24"/>
          <w:highlight w:val="none"/>
        </w:rPr>
      </w:pPr>
    </w:p>
    <w:p w14:paraId="689A712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注：从业人员、营业收入、资产总额填报上一年度数据，无上一年度数据的新成立企业可不填报。</w:t>
      </w:r>
    </w:p>
    <w:p w14:paraId="07F4A6C4">
      <w:pPr>
        <w:widowControl/>
        <w:jc w:val="left"/>
        <w:rPr>
          <w:rFonts w:hint="default" w:ascii="Times New Roman" w:hAnsi="Times New Roman" w:eastAsia="宋体" w:cs="Times New Roman"/>
          <w:color w:val="auto"/>
          <w:highlight w:val="none"/>
        </w:rPr>
      </w:pPr>
      <w:bookmarkStart w:id="273" w:name="_Toc6744"/>
      <w:bookmarkStart w:id="274" w:name="_Toc5053"/>
      <w:bookmarkStart w:id="275" w:name="_Toc26632"/>
      <w:bookmarkStart w:id="276" w:name="_Toc28844"/>
      <w:bookmarkStart w:id="277" w:name="_Toc15125"/>
      <w:bookmarkStart w:id="278" w:name="_Toc25521"/>
      <w:bookmarkStart w:id="279" w:name="_Toc8088"/>
      <w:r>
        <w:rPr>
          <w:rFonts w:hint="default" w:ascii="Times New Roman" w:hAnsi="Times New Roman" w:eastAsia="宋体" w:cs="Times New Roman"/>
          <w:color w:val="auto"/>
          <w:highlight w:val="none"/>
        </w:rPr>
        <w:br w:type="page"/>
      </w:r>
    </w:p>
    <w:p w14:paraId="4AD489CC">
      <w:pPr>
        <w:spacing w:line="360" w:lineRule="auto"/>
        <w:jc w:val="center"/>
        <w:outlineLvl w:val="1"/>
        <w:rPr>
          <w:rFonts w:hint="default" w:ascii="Times New Roman" w:hAnsi="Times New Roman" w:eastAsia="宋体" w:cs="Times New Roman"/>
          <w:b/>
          <w:bCs/>
          <w:color w:val="auto"/>
          <w:sz w:val="28"/>
          <w:szCs w:val="24"/>
          <w:highlight w:val="none"/>
        </w:rPr>
      </w:pPr>
      <w:r>
        <w:rPr>
          <w:rFonts w:hint="default" w:ascii="Times New Roman" w:hAnsi="Times New Roman" w:eastAsia="宋体" w:cs="Times New Roman"/>
          <w:b/>
          <w:bCs/>
          <w:color w:val="auto"/>
          <w:sz w:val="28"/>
          <w:szCs w:val="24"/>
          <w:highlight w:val="none"/>
        </w:rPr>
        <w:t>残疾人福利性单位声明函</w:t>
      </w:r>
      <w:bookmarkEnd w:id="273"/>
      <w:bookmarkEnd w:id="274"/>
      <w:bookmarkEnd w:id="275"/>
      <w:bookmarkEnd w:id="276"/>
      <w:bookmarkEnd w:id="277"/>
      <w:r>
        <w:rPr>
          <w:rFonts w:hint="eastAsia" w:ascii="Times New Roman" w:hAnsi="Times New Roman" w:eastAsia="宋体" w:cs="Times New Roman"/>
          <w:b/>
          <w:bCs/>
          <w:iCs/>
          <w:color w:val="auto"/>
          <w:sz w:val="28"/>
          <w:szCs w:val="28"/>
          <w:highlight w:val="none"/>
          <w:lang w:eastAsia="zh-CN"/>
        </w:rPr>
        <w:t>（</w:t>
      </w:r>
      <w:r>
        <w:rPr>
          <w:rFonts w:hint="eastAsia" w:ascii="Times New Roman" w:hAnsi="Times New Roman" w:eastAsia="宋体" w:cs="Times New Roman"/>
          <w:b/>
          <w:bCs/>
          <w:iCs/>
          <w:color w:val="auto"/>
          <w:sz w:val="28"/>
          <w:szCs w:val="28"/>
          <w:highlight w:val="none"/>
          <w:lang w:val="en-US" w:eastAsia="zh-CN"/>
        </w:rPr>
        <w:t>如联合体投标，所有成员均需填写</w:t>
      </w:r>
      <w:r>
        <w:rPr>
          <w:rFonts w:hint="eastAsia" w:ascii="Times New Roman" w:hAnsi="Times New Roman" w:eastAsia="宋体" w:cs="Times New Roman"/>
          <w:b/>
          <w:bCs/>
          <w:iCs/>
          <w:color w:val="auto"/>
          <w:sz w:val="28"/>
          <w:szCs w:val="28"/>
          <w:highlight w:val="none"/>
          <w:lang w:eastAsia="zh-CN"/>
        </w:rPr>
        <w:t>）；</w:t>
      </w:r>
    </w:p>
    <w:p w14:paraId="56B725B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B2E7F5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r>
        <w:rPr>
          <w:rFonts w:hint="default" w:ascii="Times New Roman" w:hAnsi="Times New Roman" w:eastAsia="宋体" w:cs="Times New Roman"/>
          <w:color w:val="auto"/>
          <w:position w:val="-10"/>
          <w:sz w:val="24"/>
          <w:szCs w:val="24"/>
          <w:highlight w:val="none"/>
        </w:rPr>
        <w:t>本单位对上述声明的真实性负责。如有虚假，将依法承担相应责任。</w:t>
      </w:r>
    </w:p>
    <w:p w14:paraId="75ADAD7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both"/>
        <w:textAlignment w:val="auto"/>
        <w:rPr>
          <w:rFonts w:hint="default" w:ascii="Times New Roman" w:hAnsi="Times New Roman" w:eastAsia="宋体" w:cs="Times New Roman"/>
          <w:color w:val="auto"/>
          <w:position w:val="-10"/>
          <w:sz w:val="24"/>
          <w:szCs w:val="24"/>
          <w:highlight w:val="none"/>
        </w:rPr>
      </w:pPr>
    </w:p>
    <w:p w14:paraId="3590C215">
      <w:pPr>
        <w:keepNext w:val="0"/>
        <w:keepLines w:val="0"/>
        <w:pageBreakBefore w:val="0"/>
        <w:widowControl w:val="0"/>
        <w:tabs>
          <w:tab w:val="left" w:pos="7098"/>
        </w:tabs>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position w:val="-10"/>
          <w:sz w:val="24"/>
          <w:szCs w:val="24"/>
          <w:highlight w:val="none"/>
          <w:lang w:val="en-US" w:eastAsia="zh-CN"/>
        </w:rPr>
      </w:pPr>
      <w:r>
        <w:rPr>
          <w:rFonts w:hint="eastAsia" w:ascii="Times New Roman" w:hAnsi="Times New Roman" w:eastAsia="宋体" w:cs="Times New Roman"/>
          <w:color w:val="auto"/>
          <w:position w:val="-10"/>
          <w:sz w:val="24"/>
          <w:szCs w:val="24"/>
          <w:highlight w:val="none"/>
          <w:lang w:eastAsia="zh-CN"/>
        </w:rPr>
        <w:t>投标人</w:t>
      </w:r>
      <w:r>
        <w:rPr>
          <w:rFonts w:hint="default" w:ascii="Times New Roman" w:hAnsi="Times New Roman" w:eastAsia="宋体" w:cs="Times New Roman"/>
          <w:color w:val="auto"/>
          <w:position w:val="-10"/>
          <w:sz w:val="24"/>
          <w:szCs w:val="24"/>
          <w:highlight w:val="none"/>
        </w:rPr>
        <w:t>名称（电子签章）：</w:t>
      </w:r>
      <w:r>
        <w:rPr>
          <w:rFonts w:hint="default" w:ascii="Times New Roman" w:hAnsi="Times New Roman" w:eastAsia="宋体" w:cs="Times New Roman"/>
          <w:color w:val="auto"/>
          <w:position w:val="-10"/>
          <w:sz w:val="24"/>
          <w:szCs w:val="24"/>
          <w:highlight w:val="none"/>
          <w:lang w:val="en-US" w:eastAsia="zh-CN"/>
        </w:rPr>
        <w:t xml:space="preserve">            </w:t>
      </w:r>
    </w:p>
    <w:p w14:paraId="55076C7D">
      <w:pPr>
        <w:keepNext w:val="0"/>
        <w:keepLines w:val="0"/>
        <w:pageBreakBefore w:val="0"/>
        <w:widowControl w:val="0"/>
        <w:tabs>
          <w:tab w:val="left" w:pos="7098"/>
        </w:tabs>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position w:val="-10"/>
          <w:sz w:val="24"/>
          <w:szCs w:val="24"/>
          <w:highlight w:val="none"/>
          <w:lang w:val="en-US" w:eastAsia="zh-CN"/>
        </w:rPr>
      </w:pPr>
      <w:r>
        <w:rPr>
          <w:rFonts w:hint="default" w:ascii="Times New Roman" w:hAnsi="Times New Roman" w:eastAsia="宋体" w:cs="Times New Roman"/>
          <w:color w:val="auto"/>
          <w:position w:val="-10"/>
          <w:sz w:val="24"/>
          <w:szCs w:val="24"/>
          <w:highlight w:val="none"/>
        </w:rPr>
        <w:t>日 期：</w:t>
      </w:r>
      <w:r>
        <w:rPr>
          <w:rFonts w:hint="default" w:ascii="Times New Roman" w:hAnsi="Times New Roman" w:eastAsia="宋体" w:cs="Times New Roman"/>
          <w:color w:val="auto"/>
          <w:position w:val="-10"/>
          <w:sz w:val="24"/>
          <w:szCs w:val="24"/>
          <w:highlight w:val="none"/>
          <w:lang w:val="en-US" w:eastAsia="zh-CN"/>
        </w:rPr>
        <w:t xml:space="preserve">            </w:t>
      </w:r>
    </w:p>
    <w:p w14:paraId="5DF6293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contextualSpacing/>
        <w:jc w:val="right"/>
        <w:textAlignment w:val="auto"/>
        <w:rPr>
          <w:rFonts w:hint="default" w:ascii="Times New Roman" w:hAnsi="Times New Roman" w:eastAsia="宋体" w:cs="Times New Roman"/>
          <w:color w:val="auto"/>
          <w:position w:val="-10"/>
          <w:sz w:val="24"/>
          <w:szCs w:val="24"/>
          <w:highlight w:val="none"/>
        </w:rPr>
      </w:pPr>
    </w:p>
    <w:p w14:paraId="1E36D8BD">
      <w:pPr>
        <w:spacing w:line="360" w:lineRule="auto"/>
        <w:rPr>
          <w:rFonts w:hint="default" w:ascii="Times New Roman" w:hAnsi="Times New Roman" w:eastAsia="宋体" w:cs="Times New Roman"/>
          <w:b/>
          <w:bCs/>
          <w:color w:val="auto"/>
          <w:szCs w:val="24"/>
          <w:highlight w:val="none"/>
        </w:rPr>
      </w:pPr>
    </w:p>
    <w:p w14:paraId="39258614">
      <w:pPr>
        <w:spacing w:line="360" w:lineRule="auto"/>
        <w:rPr>
          <w:rFonts w:hint="default" w:ascii="Times New Roman" w:hAnsi="Times New Roman" w:eastAsia="宋体" w:cs="Times New Roman"/>
          <w:b/>
          <w:bCs/>
          <w:color w:val="auto"/>
          <w:szCs w:val="24"/>
          <w:highlight w:val="none"/>
        </w:rPr>
      </w:pPr>
    </w:p>
    <w:p w14:paraId="6F9588AD">
      <w:pPr>
        <w:spacing w:line="360" w:lineRule="auto"/>
        <w:rPr>
          <w:rFonts w:hint="default" w:ascii="Times New Roman" w:hAnsi="Times New Roman" w:eastAsia="宋体" w:cs="Times New Roman"/>
          <w:b/>
          <w:bCs/>
          <w:color w:val="auto"/>
          <w:szCs w:val="24"/>
          <w:highlight w:val="none"/>
        </w:rPr>
      </w:pPr>
    </w:p>
    <w:p w14:paraId="56A945C3">
      <w:pPr>
        <w:spacing w:line="360" w:lineRule="auto"/>
        <w:jc w:val="center"/>
        <w:rPr>
          <w:rFonts w:hint="default" w:ascii="Times New Roman" w:hAnsi="Times New Roman" w:eastAsia="宋体" w:cs="Times New Roman"/>
          <w:b/>
          <w:bCs/>
          <w:color w:val="auto"/>
          <w:sz w:val="28"/>
          <w:szCs w:val="24"/>
          <w:highlight w:val="none"/>
        </w:rPr>
      </w:pPr>
    </w:p>
    <w:p w14:paraId="36E63FDA">
      <w:pPr>
        <w:spacing w:line="360" w:lineRule="auto"/>
        <w:jc w:val="center"/>
        <w:outlineLvl w:val="1"/>
        <w:rPr>
          <w:rFonts w:hint="default" w:ascii="Times New Roman" w:hAnsi="Times New Roman" w:eastAsia="宋体" w:cs="Times New Roman"/>
          <w:b/>
          <w:bCs/>
          <w:color w:val="auto"/>
          <w:sz w:val="28"/>
          <w:szCs w:val="24"/>
          <w:highlight w:val="none"/>
        </w:rPr>
      </w:pPr>
      <w:r>
        <w:rPr>
          <w:rFonts w:hint="default" w:ascii="Times New Roman" w:hAnsi="Times New Roman" w:eastAsia="宋体" w:cs="Times New Roman"/>
          <w:b/>
          <w:bCs/>
          <w:color w:val="auto"/>
          <w:sz w:val="28"/>
          <w:szCs w:val="24"/>
          <w:highlight w:val="none"/>
        </w:rPr>
        <w:t>属于监狱企业的证明文件</w:t>
      </w:r>
      <w:r>
        <w:rPr>
          <w:rFonts w:hint="eastAsia" w:ascii="Times New Roman" w:hAnsi="Times New Roman" w:eastAsia="宋体" w:cs="Times New Roman"/>
          <w:b/>
          <w:bCs/>
          <w:iCs/>
          <w:color w:val="auto"/>
          <w:sz w:val="28"/>
          <w:szCs w:val="28"/>
          <w:highlight w:val="none"/>
          <w:lang w:eastAsia="zh-CN"/>
        </w:rPr>
        <w:t>（</w:t>
      </w:r>
      <w:r>
        <w:rPr>
          <w:rFonts w:hint="eastAsia" w:ascii="Times New Roman" w:hAnsi="Times New Roman" w:eastAsia="宋体" w:cs="Times New Roman"/>
          <w:b/>
          <w:bCs/>
          <w:iCs/>
          <w:color w:val="auto"/>
          <w:sz w:val="28"/>
          <w:szCs w:val="28"/>
          <w:highlight w:val="none"/>
          <w:lang w:val="en-US" w:eastAsia="zh-CN"/>
        </w:rPr>
        <w:t>如联合体投标，所有成员均需填写</w:t>
      </w:r>
      <w:r>
        <w:rPr>
          <w:rFonts w:hint="eastAsia" w:ascii="Times New Roman" w:hAnsi="Times New Roman" w:eastAsia="宋体" w:cs="Times New Roman"/>
          <w:b/>
          <w:bCs/>
          <w:iCs/>
          <w:color w:val="auto"/>
          <w:sz w:val="28"/>
          <w:szCs w:val="28"/>
          <w:highlight w:val="none"/>
          <w:lang w:eastAsia="zh-CN"/>
        </w:rPr>
        <w:t>）；</w:t>
      </w:r>
    </w:p>
    <w:p w14:paraId="3A2C6B42">
      <w:pPr>
        <w:spacing w:line="360" w:lineRule="auto"/>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color w:val="auto"/>
          <w:szCs w:val="24"/>
          <w:highlight w:val="none"/>
        </w:rPr>
        <w:t>（提供由省级以上监狱管理局、戒毒管理局（含新疆生产建设兵团）出具的属于监狱企业的证明文件）</w:t>
      </w:r>
    </w:p>
    <w:p w14:paraId="551B8D61">
      <w:pPr>
        <w:spacing w:line="360" w:lineRule="auto"/>
        <w:jc w:val="center"/>
        <w:rPr>
          <w:rFonts w:hint="default" w:ascii="Times New Roman" w:hAnsi="Times New Roman" w:eastAsia="宋体" w:cs="Times New Roman"/>
          <w:b/>
          <w:bCs/>
          <w:color w:val="auto"/>
          <w:sz w:val="28"/>
          <w:szCs w:val="24"/>
          <w:highlight w:val="none"/>
        </w:rPr>
      </w:pPr>
    </w:p>
    <w:p w14:paraId="1D0BAA3E">
      <w:pPr>
        <w:spacing w:line="360" w:lineRule="auto"/>
        <w:jc w:val="center"/>
        <w:rPr>
          <w:rFonts w:hint="default" w:ascii="Times New Roman" w:hAnsi="Times New Roman" w:eastAsia="宋体" w:cs="Times New Roman"/>
          <w:b/>
          <w:bCs/>
          <w:color w:val="auto"/>
          <w:sz w:val="28"/>
          <w:szCs w:val="24"/>
          <w:highlight w:val="none"/>
        </w:rPr>
      </w:pPr>
    </w:p>
    <w:p w14:paraId="638EC47E">
      <w:pPr>
        <w:spacing w:line="360" w:lineRule="auto"/>
        <w:jc w:val="center"/>
        <w:outlineLvl w:val="1"/>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 w:val="28"/>
          <w:szCs w:val="24"/>
          <w:highlight w:val="none"/>
        </w:rPr>
        <w:t>节能产品认证证书</w:t>
      </w:r>
    </w:p>
    <w:p w14:paraId="771509E9">
      <w:pPr>
        <w:spacing w:line="360" w:lineRule="auto"/>
        <w:rPr>
          <w:rFonts w:hint="default" w:ascii="Times New Roman" w:hAnsi="Times New Roman" w:eastAsia="宋体" w:cs="Times New Roman"/>
          <w:bCs/>
          <w:color w:val="auto"/>
          <w:szCs w:val="24"/>
          <w:highlight w:val="none"/>
        </w:rPr>
      </w:pPr>
      <w:r>
        <w:rPr>
          <w:rFonts w:hint="default" w:ascii="Times New Roman" w:hAnsi="Times New Roman" w:eastAsia="宋体" w:cs="Times New Roman"/>
          <w:bCs/>
          <w:color w:val="auto"/>
          <w:szCs w:val="24"/>
          <w:highlight w:val="none"/>
        </w:rPr>
        <w:t>（提供国家确定的认证机构出具的、处于有效期之内的产品认证证书）</w:t>
      </w:r>
    </w:p>
    <w:p w14:paraId="7D2A1E4F">
      <w:pPr>
        <w:spacing w:line="360" w:lineRule="auto"/>
        <w:rPr>
          <w:rFonts w:hint="default" w:ascii="Times New Roman" w:hAnsi="Times New Roman" w:eastAsia="宋体" w:cs="Times New Roman"/>
          <w:b/>
          <w:bCs/>
          <w:color w:val="auto"/>
          <w:szCs w:val="24"/>
          <w:highlight w:val="none"/>
        </w:rPr>
      </w:pPr>
    </w:p>
    <w:p w14:paraId="53D9C7D7">
      <w:pPr>
        <w:spacing w:line="360" w:lineRule="auto"/>
        <w:jc w:val="center"/>
        <w:rPr>
          <w:rFonts w:hint="default" w:ascii="Times New Roman" w:hAnsi="Times New Roman" w:eastAsia="宋体" w:cs="Times New Roman"/>
          <w:b/>
          <w:bCs/>
          <w:color w:val="auto"/>
          <w:sz w:val="28"/>
          <w:szCs w:val="24"/>
          <w:highlight w:val="none"/>
        </w:rPr>
      </w:pPr>
    </w:p>
    <w:p w14:paraId="64D468C8">
      <w:pPr>
        <w:spacing w:line="360" w:lineRule="auto"/>
        <w:jc w:val="center"/>
        <w:rPr>
          <w:rFonts w:hint="default" w:ascii="Times New Roman" w:hAnsi="Times New Roman" w:eastAsia="宋体" w:cs="Times New Roman"/>
          <w:b/>
          <w:bCs/>
          <w:color w:val="auto"/>
          <w:szCs w:val="24"/>
          <w:highlight w:val="none"/>
        </w:rPr>
      </w:pPr>
      <w:r>
        <w:rPr>
          <w:rFonts w:hint="default" w:ascii="Times New Roman" w:hAnsi="Times New Roman" w:eastAsia="宋体" w:cs="Times New Roman"/>
          <w:b/>
          <w:bCs/>
          <w:color w:val="auto"/>
          <w:sz w:val="28"/>
          <w:szCs w:val="24"/>
          <w:highlight w:val="none"/>
        </w:rPr>
        <w:t>环境标志产品认证证书</w:t>
      </w:r>
    </w:p>
    <w:p w14:paraId="43C4AD27">
      <w:pPr>
        <w:spacing w:line="360" w:lineRule="auto"/>
        <w:rPr>
          <w:rFonts w:hint="default" w:ascii="Times New Roman" w:hAnsi="Times New Roman" w:eastAsia="宋体" w:cs="Times New Roman"/>
          <w:color w:val="auto"/>
          <w:szCs w:val="24"/>
          <w:highlight w:val="none"/>
        </w:rPr>
      </w:pPr>
      <w:r>
        <w:rPr>
          <w:rFonts w:hint="default" w:ascii="Times New Roman" w:hAnsi="Times New Roman" w:eastAsia="宋体" w:cs="Times New Roman"/>
          <w:bCs/>
          <w:color w:val="auto"/>
          <w:szCs w:val="24"/>
          <w:highlight w:val="none"/>
        </w:rPr>
        <w:t>（提供国家确定的认证机构出具的、处于有效期之内的产品认证证书）</w:t>
      </w:r>
      <w:bookmarkEnd w:id="278"/>
      <w:bookmarkEnd w:id="279"/>
    </w:p>
    <w:p w14:paraId="6B338B9B">
      <w:pPr>
        <w:pStyle w:val="16"/>
        <w:spacing w:line="360" w:lineRule="auto"/>
        <w:ind w:firstLine="0"/>
        <w:rPr>
          <w:rFonts w:hint="default" w:ascii="Times New Roman" w:hAnsi="Times New Roman" w:eastAsia="宋体" w:cs="Times New Roman"/>
          <w:color w:val="auto"/>
          <w:highlight w:val="none"/>
        </w:rPr>
      </w:pPr>
    </w:p>
    <w:p w14:paraId="337F9C5D">
      <w:pP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br w:type="page" w:clear="all"/>
      </w:r>
    </w:p>
    <w:p w14:paraId="3EB1BBC1">
      <w:pPr>
        <w:spacing w:line="360" w:lineRule="auto"/>
        <w:jc w:val="both"/>
        <w:rPr>
          <w:rFonts w:hint="default" w:ascii="Times New Roman" w:hAnsi="Times New Roman" w:eastAsia="宋体" w:cs="Times New Roman"/>
          <w:b/>
          <w:i/>
          <w:iCs/>
          <w:color w:val="auto"/>
          <w:sz w:val="28"/>
          <w:szCs w:val="28"/>
          <w:highlight w:val="none"/>
          <w:u w:val="single"/>
          <w:lang w:val="en-US" w:eastAsia="zh-CN"/>
        </w:rPr>
      </w:pPr>
      <w:bookmarkStart w:id="280" w:name="_Toc28140"/>
      <w:r>
        <w:rPr>
          <w:rFonts w:hint="default" w:ascii="Times New Roman" w:hAnsi="Times New Roman" w:eastAsia="宋体" w:cs="Times New Roman"/>
          <w:b/>
          <w:i/>
          <w:iCs/>
          <w:color w:val="auto"/>
          <w:sz w:val="28"/>
          <w:szCs w:val="28"/>
          <w:highlight w:val="none"/>
          <w:u w:val="single"/>
        </w:rPr>
        <w:t>十、</w:t>
      </w:r>
      <w:r>
        <w:rPr>
          <w:rFonts w:hint="default" w:ascii="Times New Roman" w:hAnsi="Times New Roman" w:eastAsia="宋体" w:cs="Times New Roman"/>
          <w:b/>
          <w:i/>
          <w:iCs/>
          <w:color w:val="auto"/>
          <w:sz w:val="28"/>
          <w:szCs w:val="28"/>
          <w:highlight w:val="none"/>
          <w:u w:val="single"/>
          <w:lang w:val="en-US" w:eastAsia="zh-CN"/>
        </w:rPr>
        <w:t>综合节能率承诺书</w:t>
      </w:r>
    </w:p>
    <w:p w14:paraId="30BF06A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i/>
          <w:iCs/>
          <w:color w:val="auto"/>
          <w:sz w:val="24"/>
          <w:szCs w:val="24"/>
          <w:highlight w:val="none"/>
          <w:u w:val="single"/>
          <w:lang w:val="en-US" w:eastAsia="zh-CN"/>
        </w:rPr>
      </w:pPr>
      <w:r>
        <w:rPr>
          <w:rFonts w:hint="default" w:ascii="Times New Roman" w:hAnsi="Times New Roman" w:eastAsia="宋体" w:cs="Times New Roman"/>
          <w:b w:val="0"/>
          <w:bCs/>
          <w:i/>
          <w:iCs/>
          <w:color w:val="auto"/>
          <w:sz w:val="24"/>
          <w:szCs w:val="24"/>
          <w:highlight w:val="none"/>
          <w:u w:val="single"/>
          <w:lang w:val="en-US" w:eastAsia="zh-CN"/>
        </w:rPr>
        <w:t>注：本承诺书为本项目投标文件的实质性要求组成部分。投标人未提供本承诺书、未加盖投标人电子公章、承诺内容不完整，或承诺的年度综合节能率低于8%的，其投标作无效投标处理。（本文件所称“中标节能率”“承诺节能率”，均指投标人《综合节能率承诺书》中承诺的年度综合节能率，且不低于8%。）</w:t>
      </w:r>
    </w:p>
    <w:p w14:paraId="45B0CB05">
      <w:pPr>
        <w:spacing w:line="360" w:lineRule="auto"/>
        <w:jc w:val="center"/>
        <w:rPr>
          <w:rFonts w:hint="default" w:ascii="Times New Roman" w:hAnsi="Times New Roman" w:eastAsia="宋体" w:cs="Times New Roman"/>
          <w:b/>
          <w:color w:val="auto"/>
          <w:sz w:val="28"/>
          <w:szCs w:val="28"/>
          <w:highlight w:val="none"/>
          <w:lang w:val="en-US" w:eastAsia="zh-CN"/>
        </w:rPr>
      </w:pPr>
      <w:r>
        <w:rPr>
          <w:rFonts w:hint="default" w:ascii="Times New Roman" w:hAnsi="Times New Roman" w:eastAsia="宋体" w:cs="Times New Roman"/>
          <w:b/>
          <w:color w:val="auto"/>
          <w:sz w:val="28"/>
          <w:szCs w:val="28"/>
          <w:highlight w:val="none"/>
          <w:lang w:val="en-US" w:eastAsia="zh-CN"/>
        </w:rPr>
        <w:t>综合节能率承诺书</w:t>
      </w:r>
    </w:p>
    <w:p w14:paraId="4BB4FB54">
      <w:pPr>
        <w:spacing w:line="360" w:lineRule="auto"/>
        <w:jc w:val="center"/>
        <w:rPr>
          <w:rFonts w:hint="default" w:ascii="Times New Roman" w:hAnsi="Times New Roman" w:eastAsia="宋体" w:cs="Times New Roman"/>
          <w:b/>
          <w:color w:val="auto"/>
          <w:sz w:val="28"/>
          <w:szCs w:val="28"/>
          <w:highlight w:val="none"/>
          <w:lang w:val="en-US" w:eastAsia="zh-CN"/>
        </w:rPr>
      </w:pPr>
    </w:p>
    <w:p w14:paraId="1E89270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kern w:val="0"/>
          <w:sz w:val="24"/>
          <w:szCs w:val="24"/>
          <w:highlight w:val="none"/>
          <w:lang w:val="en-US" w:eastAsia="zh-CN" w:bidi="ar"/>
        </w:rPr>
        <w:t>本单位郑重声明，我公司已详细阅读并充分理解</w:t>
      </w:r>
      <w:r>
        <w:rPr>
          <w:rFonts w:hint="default" w:ascii="Times New Roman" w:hAnsi="Times New Roman" w:eastAsia="宋体" w:cs="Times New Roman"/>
          <w:color w:val="auto"/>
          <w:kern w:val="0"/>
          <w:sz w:val="24"/>
          <w:szCs w:val="24"/>
          <w:highlight w:val="none"/>
          <w:u w:val="single"/>
          <w:lang w:val="en-US" w:eastAsia="zh-CN" w:bidi="ar"/>
        </w:rPr>
        <w:t xml:space="preserve">                      </w:t>
      </w:r>
      <w:r>
        <w:rPr>
          <w:rFonts w:hint="default" w:ascii="Times New Roman" w:hAnsi="Times New Roman" w:eastAsia="宋体" w:cs="Times New Roman"/>
          <w:color w:val="auto"/>
          <w:kern w:val="0"/>
          <w:sz w:val="24"/>
          <w:szCs w:val="24"/>
          <w:highlight w:val="none"/>
          <w:lang w:val="en-US" w:eastAsia="zh-CN" w:bidi="ar"/>
        </w:rPr>
        <w:t>（项目名称，项目编号：</w:t>
      </w:r>
      <w:r>
        <w:rPr>
          <w:rFonts w:hint="default" w:ascii="Times New Roman" w:hAnsi="Times New Roman" w:eastAsia="宋体" w:cs="Times New Roman"/>
          <w:color w:val="auto"/>
          <w:kern w:val="0"/>
          <w:sz w:val="24"/>
          <w:szCs w:val="24"/>
          <w:highlight w:val="none"/>
          <w:u w:val="single"/>
          <w:lang w:val="en-US" w:eastAsia="zh-CN" w:bidi="ar"/>
        </w:rPr>
        <w:t xml:space="preserve">                     </w:t>
      </w:r>
      <w:r>
        <w:rPr>
          <w:rFonts w:hint="default" w:ascii="Times New Roman" w:hAnsi="Times New Roman" w:eastAsia="宋体" w:cs="Times New Roman"/>
          <w:color w:val="auto"/>
          <w:kern w:val="0"/>
          <w:sz w:val="24"/>
          <w:szCs w:val="24"/>
          <w:highlight w:val="none"/>
          <w:lang w:val="en-US" w:eastAsia="zh-CN" w:bidi="ar"/>
        </w:rPr>
        <w:t>）招标文件的全部内容和要求，自愿参加本项目投标，并就本项目能源托管服务期内的综合节能率郑重保证如下：</w:t>
      </w:r>
    </w:p>
    <w:p w14:paraId="442A7EE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sz w:val="24"/>
          <w:szCs w:val="24"/>
          <w:highlight w:val="none"/>
          <w:lang w:val="en-US"/>
        </w:rPr>
        <w:t>本项目能源托管服务期内，以经能源审计确定并经双方签认的托管基准能耗为基准，本项目全部被托管单位的年度综合节能率均不低于________％（投标人填写的数值不得低于8%；填写的数值即为投标承诺节能率，作为评审、考核和违约认定的唯一依据）。</w:t>
      </w:r>
    </w:p>
    <w:p w14:paraId="081A6E4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rPr>
      </w:pPr>
      <w:r>
        <w:rPr>
          <w:rFonts w:hint="default" w:ascii="Times New Roman" w:hAnsi="Times New Roman" w:eastAsia="宋体" w:cs="Times New Roman"/>
          <w:color w:val="auto"/>
          <w:kern w:val="0"/>
          <w:sz w:val="24"/>
          <w:szCs w:val="24"/>
          <w:highlight w:val="none"/>
          <w:lang w:val="en-US" w:eastAsia="zh-CN" w:bidi="ar"/>
        </w:rPr>
        <w:t>年度综合节能率按以下口径核算：年度综合节能率=（年度基准能耗折标准煤量-当年度实际能耗折标准煤量）÷年度基准能耗折标准煤量×100％。各类能源折标准煤系数按国家现行标准执行。</w:t>
      </w:r>
    </w:p>
    <w:p w14:paraId="40DFA4D7">
      <w:pPr>
        <w:pStyle w:val="55"/>
        <w:keepNext w:val="0"/>
        <w:keepLines w:val="0"/>
        <w:pageBreakBefore w:val="0"/>
        <w:kinsoku/>
        <w:wordWrap/>
        <w:overflowPunct/>
        <w:topLinePunct w:val="0"/>
        <w:autoSpaceDE/>
        <w:autoSpaceDN/>
        <w:bidi w:val="0"/>
        <w:adjustRightInd w:val="0"/>
        <w:snapToGrid w:val="0"/>
        <w:ind w:firstLine="480" w:firstLineChars="200"/>
        <w:textAlignment w:val="auto"/>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szCs w:val="21"/>
          <w:highlight w:val="none"/>
        </w:rPr>
        <w:t>本单位对上述</w:t>
      </w:r>
      <w:r>
        <w:rPr>
          <w:rFonts w:hint="eastAsia" w:ascii="Times New Roman" w:hAnsi="Times New Roman" w:eastAsia="宋体" w:cs="Times New Roman"/>
          <w:color w:val="auto"/>
          <w:szCs w:val="21"/>
          <w:highlight w:val="none"/>
          <w:lang w:val="en-US" w:eastAsia="zh-CN"/>
        </w:rPr>
        <w:t>承诺</w:t>
      </w:r>
      <w:r>
        <w:rPr>
          <w:rFonts w:hint="default" w:ascii="Times New Roman" w:hAnsi="Times New Roman" w:eastAsia="宋体" w:cs="Times New Roman"/>
          <w:color w:val="auto"/>
          <w:szCs w:val="21"/>
          <w:highlight w:val="none"/>
        </w:rPr>
        <w:t>的真实性负责。</w:t>
      </w:r>
      <w:r>
        <w:rPr>
          <w:rFonts w:hint="default" w:ascii="Times New Roman" w:hAnsi="Times New Roman" w:eastAsia="宋体" w:cs="Times New Roman"/>
          <w:b w:val="0"/>
          <w:bCs/>
          <w:color w:val="auto"/>
          <w:sz w:val="24"/>
          <w:szCs w:val="24"/>
          <w:highlight w:val="none"/>
        </w:rPr>
        <w:t>如违反上述承诺</w:t>
      </w:r>
      <w:r>
        <w:rPr>
          <w:rFonts w:hint="default" w:ascii="Times New Roman" w:hAnsi="Times New Roman" w:eastAsia="宋体" w:cs="Times New Roman"/>
          <w:color w:val="auto"/>
          <w:szCs w:val="21"/>
          <w:highlight w:val="none"/>
        </w:rPr>
        <w:t>，将依法承担相应责任。</w:t>
      </w:r>
    </w:p>
    <w:p w14:paraId="27734346">
      <w:pPr>
        <w:pStyle w:val="55"/>
        <w:rPr>
          <w:rFonts w:hint="default" w:ascii="Times New Roman" w:hAnsi="Times New Roman" w:eastAsia="宋体" w:cs="Times New Roman"/>
          <w:color w:val="auto"/>
          <w:kern w:val="0"/>
          <w:sz w:val="24"/>
          <w:szCs w:val="24"/>
          <w:highlight w:val="none"/>
          <w:lang w:val="en-US" w:eastAsia="zh-CN" w:bidi="ar"/>
        </w:rPr>
      </w:pPr>
    </w:p>
    <w:p w14:paraId="57E299C5">
      <w:pPr>
        <w:pStyle w:val="55"/>
        <w:rPr>
          <w:rFonts w:hint="default" w:ascii="Times New Roman" w:hAnsi="Times New Roman" w:eastAsia="宋体" w:cs="Times New Roman"/>
          <w:color w:val="auto"/>
          <w:kern w:val="0"/>
          <w:sz w:val="24"/>
          <w:szCs w:val="24"/>
          <w:highlight w:val="none"/>
          <w:lang w:val="en-US" w:eastAsia="zh-CN" w:bidi="ar"/>
        </w:rPr>
      </w:pPr>
    </w:p>
    <w:p w14:paraId="13F897E4">
      <w:pPr>
        <w:keepNext w:val="0"/>
        <w:keepLines w:val="0"/>
        <w:pageBreakBefore w:val="0"/>
        <w:widowControl w:val="0"/>
        <w:tabs>
          <w:tab w:val="left" w:pos="7098"/>
        </w:tabs>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position w:val="-10"/>
          <w:sz w:val="24"/>
          <w:szCs w:val="24"/>
          <w:highlight w:val="none"/>
          <w:lang w:val="en-US" w:eastAsia="zh-CN"/>
        </w:rPr>
      </w:pPr>
      <w:r>
        <w:rPr>
          <w:rFonts w:hint="eastAsia" w:ascii="Times New Roman" w:hAnsi="Times New Roman" w:eastAsia="宋体" w:cs="Times New Roman"/>
          <w:color w:val="auto"/>
          <w:position w:val="-10"/>
          <w:sz w:val="24"/>
          <w:szCs w:val="24"/>
          <w:highlight w:val="none"/>
          <w:lang w:eastAsia="zh-CN"/>
        </w:rPr>
        <w:t>投标人</w:t>
      </w:r>
      <w:r>
        <w:rPr>
          <w:rFonts w:hint="default" w:ascii="Times New Roman" w:hAnsi="Times New Roman" w:eastAsia="宋体" w:cs="Times New Roman"/>
          <w:color w:val="auto"/>
          <w:position w:val="-10"/>
          <w:sz w:val="24"/>
          <w:szCs w:val="24"/>
          <w:highlight w:val="none"/>
        </w:rPr>
        <w:t>名称（电子签章）：</w:t>
      </w:r>
      <w:r>
        <w:rPr>
          <w:rFonts w:hint="default" w:ascii="Times New Roman" w:hAnsi="Times New Roman" w:eastAsia="宋体" w:cs="Times New Roman"/>
          <w:color w:val="auto"/>
          <w:position w:val="-10"/>
          <w:sz w:val="24"/>
          <w:szCs w:val="24"/>
          <w:highlight w:val="none"/>
          <w:lang w:val="en-US" w:eastAsia="zh-CN"/>
        </w:rPr>
        <w:t xml:space="preserve">            </w:t>
      </w:r>
    </w:p>
    <w:p w14:paraId="1E0F4FC9">
      <w:pPr>
        <w:keepNext w:val="0"/>
        <w:keepLines w:val="0"/>
        <w:pageBreakBefore w:val="0"/>
        <w:widowControl w:val="0"/>
        <w:tabs>
          <w:tab w:val="left" w:pos="7098"/>
        </w:tabs>
        <w:kinsoku/>
        <w:wordWrap w:val="0"/>
        <w:overflowPunct/>
        <w:topLinePunct w:val="0"/>
        <w:autoSpaceDE/>
        <w:autoSpaceDN/>
        <w:bidi w:val="0"/>
        <w:adjustRightInd w:val="0"/>
        <w:snapToGrid w:val="0"/>
        <w:spacing w:line="360" w:lineRule="auto"/>
        <w:ind w:firstLine="480" w:firstLineChars="200"/>
        <w:jc w:val="right"/>
        <w:textAlignment w:val="auto"/>
        <w:rPr>
          <w:rFonts w:hint="default" w:ascii="Times New Roman" w:hAnsi="Times New Roman" w:eastAsia="宋体" w:cs="Times New Roman"/>
          <w:color w:val="auto"/>
          <w:position w:val="-10"/>
          <w:sz w:val="24"/>
          <w:szCs w:val="24"/>
          <w:highlight w:val="none"/>
          <w:lang w:val="en-US" w:eastAsia="zh-CN"/>
        </w:rPr>
      </w:pPr>
      <w:r>
        <w:rPr>
          <w:rFonts w:hint="default" w:ascii="Times New Roman" w:hAnsi="Times New Roman" w:eastAsia="宋体" w:cs="Times New Roman"/>
          <w:color w:val="auto"/>
          <w:position w:val="-10"/>
          <w:sz w:val="24"/>
          <w:szCs w:val="24"/>
          <w:highlight w:val="none"/>
        </w:rPr>
        <w:t>日 期：</w:t>
      </w:r>
      <w:r>
        <w:rPr>
          <w:rFonts w:hint="default" w:ascii="Times New Roman" w:hAnsi="Times New Roman" w:eastAsia="宋体" w:cs="Times New Roman"/>
          <w:color w:val="auto"/>
          <w:position w:val="-10"/>
          <w:sz w:val="24"/>
          <w:szCs w:val="24"/>
          <w:highlight w:val="none"/>
          <w:lang w:val="en-US" w:eastAsia="zh-CN"/>
        </w:rPr>
        <w:t xml:space="preserve">            </w:t>
      </w:r>
    </w:p>
    <w:p w14:paraId="5AE8CE04">
      <w:pPr>
        <w:rPr>
          <w:rFonts w:hint="default" w:ascii="Times New Roman" w:hAnsi="Times New Roman" w:eastAsia="宋体" w:cs="Times New Roman"/>
          <w:color w:val="auto"/>
          <w:kern w:val="0"/>
          <w:sz w:val="24"/>
          <w:szCs w:val="24"/>
          <w:highlight w:val="none"/>
          <w:lang w:val="en-US" w:eastAsia="zh-CN" w:bidi="ar"/>
        </w:rPr>
      </w:pPr>
      <w:r>
        <w:rPr>
          <w:rFonts w:hint="default" w:ascii="Times New Roman" w:hAnsi="Times New Roman" w:eastAsia="宋体" w:cs="Times New Roman"/>
          <w:color w:val="auto"/>
          <w:kern w:val="0"/>
          <w:sz w:val="24"/>
          <w:szCs w:val="24"/>
          <w:highlight w:val="none"/>
          <w:lang w:val="en-US" w:eastAsia="zh-CN" w:bidi="ar"/>
        </w:rPr>
        <w:br w:type="page"/>
      </w:r>
    </w:p>
    <w:p w14:paraId="73F2E99D">
      <w:pPr>
        <w:pStyle w:val="1056"/>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i/>
          <w:iCs/>
          <w:color w:val="auto"/>
          <w:sz w:val="28"/>
          <w:szCs w:val="28"/>
          <w:highlight w:val="none"/>
          <w:u w:val="single"/>
        </w:rPr>
      </w:pPr>
      <w:r>
        <w:rPr>
          <w:rFonts w:hint="eastAsia" w:ascii="Times New Roman" w:hAnsi="Times New Roman" w:eastAsia="宋体" w:cs="Times New Roman"/>
          <w:b/>
          <w:bCs/>
          <w:i/>
          <w:iCs/>
          <w:color w:val="auto"/>
          <w:sz w:val="28"/>
          <w:szCs w:val="28"/>
          <w:highlight w:val="none"/>
          <w:u w:val="single"/>
          <w:lang w:val="en-US" w:eastAsia="zh-CN" w:bidi="ar-SA"/>
        </w:rPr>
        <w:t>十一、</w:t>
      </w:r>
      <w:r>
        <w:rPr>
          <w:rFonts w:hint="eastAsia" w:eastAsia="宋体" w:cs="Times New Roman"/>
          <w:b/>
          <w:bCs/>
          <w:i/>
          <w:iCs/>
          <w:color w:val="auto"/>
          <w:sz w:val="28"/>
          <w:szCs w:val="28"/>
          <w:highlight w:val="none"/>
          <w:u w:val="single"/>
          <w:lang w:val="en-US" w:eastAsia="zh-CN"/>
        </w:rPr>
        <w:t>节能改造实施</w:t>
      </w:r>
      <w:r>
        <w:rPr>
          <w:rFonts w:hint="default" w:ascii="Times New Roman" w:hAnsi="Times New Roman" w:eastAsia="宋体" w:cs="Times New Roman"/>
          <w:b/>
          <w:bCs/>
          <w:i/>
          <w:iCs/>
          <w:color w:val="auto"/>
          <w:sz w:val="28"/>
          <w:szCs w:val="28"/>
          <w:highlight w:val="none"/>
          <w:u w:val="single"/>
        </w:rPr>
        <w:t>承诺书</w:t>
      </w:r>
    </w:p>
    <w:p w14:paraId="781EB32A">
      <w:pPr>
        <w:pStyle w:val="1056"/>
        <w:keepNext w:val="0"/>
        <w:keepLines w:val="0"/>
        <w:pageBreakBefore w:val="0"/>
        <w:widowControl/>
        <w:numPr>
          <w:ilvl w:val="0"/>
          <w:numId w:val="0"/>
        </w:numPr>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bCs/>
          <w:i/>
          <w:iCs/>
          <w:color w:val="auto"/>
          <w:sz w:val="28"/>
          <w:szCs w:val="28"/>
          <w:highlight w:val="none"/>
          <w:u w:val="single"/>
        </w:rPr>
      </w:pPr>
      <w:r>
        <w:rPr>
          <w:rFonts w:hint="default" w:ascii="Times New Roman" w:hAnsi="Times New Roman" w:eastAsia="宋体" w:cs="Times New Roman"/>
          <w:b w:val="0"/>
          <w:bCs/>
          <w:i/>
          <w:iCs/>
          <w:color w:val="auto"/>
          <w:sz w:val="24"/>
          <w:szCs w:val="24"/>
          <w:highlight w:val="none"/>
          <w:u w:val="single"/>
          <w:lang w:val="en-US" w:eastAsia="zh-CN"/>
        </w:rPr>
        <w:t>注：本承诺书为本项目投标文件的实质性要求组成部分。投标人未提供本承诺书、未加盖投标人电子公章</w:t>
      </w:r>
      <w:r>
        <w:rPr>
          <w:rFonts w:hint="eastAsia" w:eastAsia="宋体" w:cs="Times New Roman"/>
          <w:b w:val="0"/>
          <w:bCs/>
          <w:i/>
          <w:iCs/>
          <w:color w:val="auto"/>
          <w:sz w:val="24"/>
          <w:szCs w:val="24"/>
          <w:highlight w:val="none"/>
          <w:u w:val="single"/>
          <w:lang w:val="en-US" w:eastAsia="zh-CN"/>
        </w:rPr>
        <w:t>或</w:t>
      </w:r>
      <w:r>
        <w:rPr>
          <w:rFonts w:hint="default" w:ascii="Times New Roman" w:hAnsi="Times New Roman" w:eastAsia="宋体" w:cs="Times New Roman"/>
          <w:b w:val="0"/>
          <w:bCs/>
          <w:i/>
          <w:iCs/>
          <w:color w:val="auto"/>
          <w:sz w:val="24"/>
          <w:szCs w:val="24"/>
          <w:highlight w:val="none"/>
          <w:u w:val="single"/>
          <w:lang w:val="en-US" w:eastAsia="zh-CN"/>
        </w:rPr>
        <w:t>承诺内容不完整</w:t>
      </w:r>
      <w:r>
        <w:rPr>
          <w:rFonts w:hint="eastAsia" w:eastAsia="宋体" w:cs="Times New Roman"/>
          <w:b w:val="0"/>
          <w:bCs/>
          <w:i/>
          <w:iCs/>
          <w:color w:val="auto"/>
          <w:sz w:val="24"/>
          <w:szCs w:val="24"/>
          <w:highlight w:val="none"/>
          <w:u w:val="single"/>
          <w:lang w:val="en-US" w:eastAsia="zh-CN"/>
        </w:rPr>
        <w:t>，</w:t>
      </w:r>
      <w:r>
        <w:rPr>
          <w:rFonts w:hint="default" w:ascii="Times New Roman" w:hAnsi="Times New Roman" w:eastAsia="宋体" w:cs="Times New Roman"/>
          <w:b w:val="0"/>
          <w:bCs/>
          <w:i/>
          <w:iCs/>
          <w:color w:val="auto"/>
          <w:sz w:val="24"/>
          <w:szCs w:val="24"/>
          <w:highlight w:val="none"/>
          <w:u w:val="single"/>
          <w:lang w:val="en-US" w:eastAsia="zh-CN"/>
        </w:rPr>
        <w:t>其投标作无效投标处理。</w:t>
      </w:r>
    </w:p>
    <w:p w14:paraId="310F879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b/>
          <w:bCs w:val="0"/>
          <w:color w:val="auto"/>
          <w:sz w:val="24"/>
          <w:szCs w:val="24"/>
          <w:highlight w:val="none"/>
        </w:rPr>
      </w:pPr>
      <w:r>
        <w:rPr>
          <w:rFonts w:hint="default" w:ascii="Times New Roman" w:hAnsi="Times New Roman" w:eastAsia="宋体" w:cs="Times New Roman"/>
          <w:b/>
          <w:bCs w:val="0"/>
          <w:color w:val="auto"/>
          <w:sz w:val="24"/>
          <w:szCs w:val="24"/>
          <w:highlight w:val="none"/>
        </w:rPr>
        <w:t>节能改造实施承诺书</w:t>
      </w:r>
    </w:p>
    <w:p w14:paraId="285EA6D7">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致：</w:t>
      </w:r>
      <w:r>
        <w:rPr>
          <w:rFonts w:hint="eastAsia" w:ascii="Times New Roman" w:hAnsi="Times New Roman" w:eastAsia="宋体" w:cs="Times New Roman"/>
          <w:b w:val="0"/>
          <w:bCs/>
          <w:color w:val="auto"/>
          <w:sz w:val="24"/>
          <w:szCs w:val="24"/>
          <w:highlight w:val="none"/>
          <w:u w:val="single"/>
          <w:lang w:val="en-US" w:eastAsia="zh-CN"/>
        </w:rPr>
        <w:t xml:space="preserve">                </w:t>
      </w:r>
      <w:r>
        <w:rPr>
          <w:rFonts w:hint="default" w:ascii="Times New Roman" w:hAnsi="Times New Roman" w:eastAsia="宋体" w:cs="Times New Roman"/>
          <w:b w:val="0"/>
          <w:bCs/>
          <w:color w:val="auto"/>
          <w:sz w:val="24"/>
          <w:szCs w:val="24"/>
          <w:highlight w:val="none"/>
        </w:rPr>
        <w:t>（采购人名称）</w:t>
      </w:r>
    </w:p>
    <w:p w14:paraId="377B188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我单位自愿参加贵单位组织的</w:t>
      </w:r>
      <w:r>
        <w:rPr>
          <w:rFonts w:hint="eastAsia" w:ascii="Times New Roman" w:hAnsi="Times New Roman" w:eastAsia="宋体" w:cs="Times New Roman"/>
          <w:b w:val="0"/>
          <w:bCs/>
          <w:color w:val="auto"/>
          <w:sz w:val="24"/>
          <w:szCs w:val="24"/>
          <w:highlight w:val="none"/>
          <w:u w:val="single"/>
          <w:lang w:val="en-US" w:eastAsia="zh-CN"/>
        </w:rPr>
        <w:t xml:space="preserve">                </w:t>
      </w:r>
      <w:r>
        <w:rPr>
          <w:rFonts w:hint="default" w:ascii="Times New Roman" w:hAnsi="Times New Roman" w:eastAsia="宋体" w:cs="Times New Roman"/>
          <w:b w:val="0"/>
          <w:bCs/>
          <w:color w:val="auto"/>
          <w:sz w:val="24"/>
          <w:szCs w:val="24"/>
          <w:highlight w:val="none"/>
        </w:rPr>
        <w:t>项目</w:t>
      </w:r>
      <w:r>
        <w:rPr>
          <w:rFonts w:hint="eastAsia" w:ascii="Times New Roman" w:hAnsi="Times New Roman" w:eastAsia="宋体" w:cs="Times New Roman"/>
          <w:b w:val="0"/>
          <w:bCs/>
          <w:color w:val="auto"/>
          <w:sz w:val="24"/>
          <w:szCs w:val="24"/>
          <w:highlight w:val="none"/>
          <w:lang w:eastAsia="zh-CN"/>
        </w:rPr>
        <w:t>（</w:t>
      </w:r>
      <w:r>
        <w:rPr>
          <w:rFonts w:hint="default" w:ascii="Times New Roman" w:hAnsi="Times New Roman" w:eastAsia="宋体" w:cs="Times New Roman"/>
          <w:b w:val="0"/>
          <w:bCs/>
          <w:color w:val="auto"/>
          <w:sz w:val="24"/>
          <w:szCs w:val="24"/>
          <w:highlight w:val="none"/>
        </w:rPr>
        <w:t>项目编号</w:t>
      </w:r>
      <w:r>
        <w:rPr>
          <w:rFonts w:hint="eastAsia" w:ascii="Times New Roman" w:hAnsi="Times New Roman" w:eastAsia="宋体" w:cs="Times New Roman"/>
          <w:b w:val="0"/>
          <w:bCs/>
          <w:color w:val="auto"/>
          <w:sz w:val="24"/>
          <w:szCs w:val="24"/>
          <w:highlight w:val="none"/>
          <w:lang w:eastAsia="zh-CN"/>
        </w:rPr>
        <w:t>：</w:t>
      </w:r>
      <w:r>
        <w:rPr>
          <w:rFonts w:hint="eastAsia" w:ascii="Times New Roman" w:hAnsi="Times New Roman" w:eastAsia="宋体" w:cs="Times New Roman"/>
          <w:b w:val="0"/>
          <w:bCs/>
          <w:color w:val="auto"/>
          <w:sz w:val="24"/>
          <w:szCs w:val="24"/>
          <w:highlight w:val="none"/>
          <w:u w:val="single"/>
          <w:lang w:val="en-US" w:eastAsia="zh-CN"/>
        </w:rPr>
        <w:t xml:space="preserve">                  </w:t>
      </w:r>
      <w:r>
        <w:rPr>
          <w:rFonts w:hint="eastAsia" w:ascii="Times New Roman" w:hAnsi="Times New Roman" w:eastAsia="宋体" w:cs="Times New Roman"/>
          <w:b w:val="0"/>
          <w:bCs/>
          <w:color w:val="auto"/>
          <w:sz w:val="24"/>
          <w:szCs w:val="24"/>
          <w:highlight w:val="none"/>
          <w:lang w:val="en-US" w:eastAsia="zh-CN"/>
        </w:rPr>
        <w:t>）</w:t>
      </w:r>
      <w:r>
        <w:rPr>
          <w:rFonts w:hint="default" w:ascii="Times New Roman" w:hAnsi="Times New Roman" w:eastAsia="宋体" w:cs="Times New Roman"/>
          <w:b w:val="0"/>
          <w:bCs/>
          <w:color w:val="auto"/>
          <w:sz w:val="24"/>
          <w:szCs w:val="24"/>
          <w:highlight w:val="none"/>
        </w:rPr>
        <w:t>投标，现就本项目节能改造实施事项郑重承诺如下：</w:t>
      </w:r>
    </w:p>
    <w:p w14:paraId="6077C86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我单位已完整阅读、充分理解并完全接受本项目采购需求，承诺严格按照采购需求所列</w:t>
      </w:r>
      <w:r>
        <w:rPr>
          <w:rFonts w:hint="eastAsia" w:ascii="Times New Roman" w:hAnsi="Times New Roman" w:eastAsia="宋体" w:cs="Times New Roman"/>
          <w:b w:val="0"/>
          <w:bCs/>
          <w:color w:val="auto"/>
          <w:sz w:val="24"/>
          <w:szCs w:val="24"/>
          <w:highlight w:val="none"/>
          <w:lang w:val="en-US" w:eastAsia="zh-CN"/>
        </w:rPr>
        <w:t>被托管</w:t>
      </w:r>
      <w:r>
        <w:rPr>
          <w:rFonts w:hint="default" w:ascii="Times New Roman" w:hAnsi="Times New Roman" w:eastAsia="宋体" w:cs="Times New Roman"/>
          <w:b w:val="0"/>
          <w:bCs/>
          <w:color w:val="auto"/>
          <w:sz w:val="24"/>
          <w:szCs w:val="24"/>
          <w:highlight w:val="none"/>
        </w:rPr>
        <w:t>单位的节能改造内容和</w:t>
      </w:r>
      <w:r>
        <w:rPr>
          <w:rFonts w:hint="eastAsia" w:ascii="Times New Roman" w:hAnsi="Times New Roman" w:eastAsia="宋体" w:cs="Times New Roman"/>
          <w:b w:val="0"/>
          <w:bCs/>
          <w:color w:val="auto"/>
          <w:sz w:val="24"/>
          <w:szCs w:val="24"/>
          <w:highlight w:val="none"/>
          <w:lang w:val="en-US" w:eastAsia="zh-CN"/>
        </w:rPr>
        <w:t>技术</w:t>
      </w:r>
      <w:r>
        <w:rPr>
          <w:rFonts w:hint="default" w:ascii="Times New Roman" w:hAnsi="Times New Roman" w:eastAsia="宋体" w:cs="Times New Roman"/>
          <w:b w:val="0"/>
          <w:bCs/>
          <w:color w:val="auto"/>
          <w:sz w:val="24"/>
          <w:szCs w:val="24"/>
          <w:highlight w:val="none"/>
        </w:rPr>
        <w:t>要求组织实施改造，做到改造项目齐全、数量匹配、技术参数不低于采购需求要求。改造实施过程中，我单位不擅自减少改造项目、降低改造数量或技术参数；确因现场条件限制等客观原因需调整的，事先书面报采购人同意后方可实施，且调整后的标准不低于采购需求和投标文件的要求。</w:t>
      </w:r>
    </w:p>
    <w:p w14:paraId="7EDFFA8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我单位接受采购人及采购人委托的监理机构对节能改造实施的全过程监管；对监管中发现不符合采购需求要求的情形，按采购人和监理机构的要求限期整改，直至完全满足采购需求，整改所需费用由我单位承担。</w:t>
      </w:r>
    </w:p>
    <w:p w14:paraId="00CE73A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本项目节能改造的全部费用</w:t>
      </w:r>
      <w:r>
        <w:rPr>
          <w:rFonts w:hint="eastAsia" w:ascii="Times New Roman" w:hAnsi="Times New Roman" w:eastAsia="宋体" w:cs="Times New Roman"/>
          <w:b w:val="0"/>
          <w:bCs/>
          <w:color w:val="auto"/>
          <w:sz w:val="24"/>
          <w:szCs w:val="24"/>
          <w:highlight w:val="none"/>
          <w:lang w:val="en-US" w:eastAsia="zh-CN"/>
        </w:rPr>
        <w:t>已</w:t>
      </w:r>
      <w:r>
        <w:rPr>
          <w:rFonts w:hint="default" w:ascii="Times New Roman" w:hAnsi="Times New Roman" w:eastAsia="宋体" w:cs="Times New Roman"/>
          <w:b w:val="0"/>
          <w:bCs/>
          <w:color w:val="auto"/>
          <w:sz w:val="24"/>
          <w:szCs w:val="24"/>
          <w:highlight w:val="none"/>
        </w:rPr>
        <w:t>包含在投标总价（能源托管费用）中，我单位不就此向采购人及各</w:t>
      </w:r>
      <w:r>
        <w:rPr>
          <w:rFonts w:hint="eastAsia" w:ascii="Times New Roman" w:hAnsi="Times New Roman" w:eastAsia="宋体" w:cs="Times New Roman"/>
          <w:b w:val="0"/>
          <w:bCs/>
          <w:color w:val="auto"/>
          <w:sz w:val="24"/>
          <w:szCs w:val="24"/>
          <w:highlight w:val="none"/>
          <w:lang w:val="en-US" w:eastAsia="zh-CN"/>
        </w:rPr>
        <w:t>被托管</w:t>
      </w:r>
      <w:r>
        <w:rPr>
          <w:rFonts w:hint="default" w:ascii="Times New Roman" w:hAnsi="Times New Roman" w:eastAsia="宋体" w:cs="Times New Roman"/>
          <w:b w:val="0"/>
          <w:bCs/>
          <w:color w:val="auto"/>
          <w:sz w:val="24"/>
          <w:szCs w:val="24"/>
          <w:highlight w:val="none"/>
        </w:rPr>
        <w:t>单位另行收取任何费用。</w:t>
      </w:r>
    </w:p>
    <w:p w14:paraId="3B69770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本单位对上述</w:t>
      </w:r>
      <w:r>
        <w:rPr>
          <w:rFonts w:hint="eastAsia" w:ascii="Times New Roman" w:hAnsi="Times New Roman" w:eastAsia="宋体" w:cs="Times New Roman"/>
          <w:b w:val="0"/>
          <w:bCs/>
          <w:color w:val="auto"/>
          <w:sz w:val="24"/>
          <w:szCs w:val="24"/>
          <w:highlight w:val="none"/>
          <w:lang w:val="en-US" w:eastAsia="zh-CN"/>
        </w:rPr>
        <w:t>承诺</w:t>
      </w:r>
      <w:r>
        <w:rPr>
          <w:rFonts w:hint="default" w:ascii="Times New Roman" w:hAnsi="Times New Roman" w:eastAsia="宋体" w:cs="Times New Roman"/>
          <w:b w:val="0"/>
          <w:bCs/>
          <w:color w:val="auto"/>
          <w:sz w:val="24"/>
          <w:szCs w:val="24"/>
          <w:highlight w:val="none"/>
        </w:rPr>
        <w:t>的真实性负责。如违反上述承诺，将依法承担相应责任。</w:t>
      </w:r>
    </w:p>
    <w:p w14:paraId="768309D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p>
    <w:p w14:paraId="6CB2B29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p>
    <w:p w14:paraId="1A2F75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p>
    <w:p w14:paraId="52B70959">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投标人公章：（电子签章）</w:t>
      </w:r>
      <w:r>
        <w:rPr>
          <w:rStyle w:val="1061"/>
          <w:rFonts w:hint="default" w:ascii="Times New Roman" w:hAnsi="Times New Roman" w:eastAsia="宋体" w:cs="Times New Roman"/>
          <w:color w:val="auto"/>
          <w:highlight w:val="none"/>
          <w:lang w:val="en-US" w:eastAsia="zh-CN"/>
        </w:rPr>
        <w:t xml:space="preserve">         </w:t>
      </w:r>
    </w:p>
    <w:p w14:paraId="2F865E9D">
      <w:pPr>
        <w:pStyle w:val="1078"/>
        <w:keepNext w:val="0"/>
        <w:keepLines w:val="0"/>
        <w:pageBreakBefore w:val="0"/>
        <w:kinsoku/>
        <w:wordWrap w:val="0"/>
        <w:overflowPunct/>
        <w:topLinePunct w:val="0"/>
        <w:autoSpaceDE/>
        <w:autoSpaceDN/>
        <w:bidi w:val="0"/>
        <w:adjustRightInd w:val="0"/>
        <w:snapToGrid w:val="0"/>
        <w:spacing w:line="360" w:lineRule="auto"/>
        <w:ind w:firstLine="0"/>
        <w:jc w:val="right"/>
        <w:textAlignment w:val="auto"/>
        <w:rPr>
          <w:rStyle w:val="1061"/>
          <w:rFonts w:hint="default" w:ascii="Times New Roman" w:hAnsi="Times New Roman" w:eastAsia="宋体" w:cs="Times New Roman"/>
          <w:color w:val="auto"/>
          <w:highlight w:val="none"/>
          <w:lang w:val="en-US" w:eastAsia="zh-CN"/>
        </w:rPr>
      </w:pPr>
      <w:r>
        <w:rPr>
          <w:rStyle w:val="1061"/>
          <w:rFonts w:hint="default" w:ascii="Times New Roman" w:hAnsi="Times New Roman" w:eastAsia="宋体" w:cs="Times New Roman"/>
          <w:color w:val="auto"/>
          <w:highlight w:val="none"/>
        </w:rPr>
        <w:t>日期：</w:t>
      </w:r>
      <w:r>
        <w:rPr>
          <w:rStyle w:val="1061"/>
          <w:rFonts w:hint="default" w:ascii="Times New Roman" w:hAnsi="Times New Roman" w:eastAsia="宋体" w:cs="Times New Roman"/>
          <w:color w:val="auto"/>
          <w:highlight w:val="none"/>
          <w:lang w:val="en-US" w:eastAsia="zh-CN"/>
        </w:rPr>
        <w:t xml:space="preserve">                     </w:t>
      </w:r>
    </w:p>
    <w:p w14:paraId="004E2FB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b w:val="0"/>
          <w:bCs/>
          <w:color w:val="auto"/>
          <w:sz w:val="24"/>
          <w:szCs w:val="24"/>
          <w:highlight w:val="none"/>
        </w:rPr>
      </w:pPr>
    </w:p>
    <w:p w14:paraId="70733742">
      <w:pPr>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br w:type="page"/>
      </w:r>
    </w:p>
    <w:p w14:paraId="120F8C5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十二、采购需求中要求的承诺书</w:t>
      </w:r>
    </w:p>
    <w:p w14:paraId="26CCF86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格式自拟并加盖电子公章</w:t>
      </w:r>
    </w:p>
    <w:p w14:paraId="11A4F48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8"/>
          <w:szCs w:val="28"/>
          <w:highlight w:val="none"/>
        </w:rPr>
      </w:pPr>
    </w:p>
    <w:p w14:paraId="2CA05BD3">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8"/>
          <w:szCs w:val="28"/>
          <w:highlight w:val="none"/>
        </w:rPr>
      </w:pPr>
    </w:p>
    <w:p w14:paraId="76D7363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8"/>
          <w:szCs w:val="28"/>
          <w:highlight w:val="none"/>
        </w:rPr>
      </w:pPr>
    </w:p>
    <w:p w14:paraId="1F84AF4F">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8"/>
          <w:szCs w:val="28"/>
          <w:highlight w:val="none"/>
        </w:rPr>
      </w:pPr>
    </w:p>
    <w:p w14:paraId="3A4DA082">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8"/>
          <w:szCs w:val="28"/>
          <w:highlight w:val="none"/>
        </w:rPr>
      </w:pPr>
    </w:p>
    <w:p w14:paraId="345EF5A1">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8"/>
          <w:szCs w:val="28"/>
          <w:highlight w:val="none"/>
        </w:rPr>
      </w:pPr>
    </w:p>
    <w:p w14:paraId="419E7AB8">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8"/>
          <w:szCs w:val="28"/>
          <w:highlight w:val="none"/>
        </w:rPr>
        <w:t>十</w:t>
      </w:r>
      <w:r>
        <w:rPr>
          <w:rFonts w:hint="eastAsia" w:ascii="Times New Roman" w:hAnsi="Times New Roman" w:eastAsia="宋体" w:cs="Times New Roman"/>
          <w:b/>
          <w:color w:val="auto"/>
          <w:sz w:val="28"/>
          <w:szCs w:val="28"/>
          <w:highlight w:val="none"/>
          <w:lang w:val="en-US" w:eastAsia="zh-CN"/>
        </w:rPr>
        <w:t>三</w:t>
      </w:r>
      <w:r>
        <w:rPr>
          <w:rFonts w:hint="default" w:ascii="Times New Roman" w:hAnsi="Times New Roman" w:eastAsia="宋体" w:cs="Times New Roman"/>
          <w:b/>
          <w:color w:val="auto"/>
          <w:sz w:val="28"/>
          <w:szCs w:val="28"/>
          <w:highlight w:val="none"/>
        </w:rPr>
        <w:t>、其他材料</w:t>
      </w:r>
      <w:bookmarkEnd w:id="280"/>
    </w:p>
    <w:p w14:paraId="77D6C40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请在此文档中增加所需其他相关内容（包括资格要求、评分办法、采购需求中涉及的证件证明及其它</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认为有必要提供的资料），如没有请将此空文档上传。</w:t>
      </w:r>
    </w:p>
    <w:p w14:paraId="052A2811">
      <w:pPr>
        <w:spacing w:line="360" w:lineRule="auto"/>
        <w:jc w:val="center"/>
        <w:rPr>
          <w:rFonts w:hint="default" w:ascii="Times New Roman" w:hAnsi="Times New Roman" w:eastAsia="宋体" w:cs="Times New Roman"/>
          <w:b/>
          <w:bCs/>
          <w:color w:val="auto"/>
          <w:sz w:val="24"/>
          <w:szCs w:val="24"/>
          <w:highlight w:val="none"/>
        </w:rPr>
      </w:pPr>
    </w:p>
    <w:p w14:paraId="3D4FD597">
      <w:pPr>
        <w:spacing w:line="360" w:lineRule="auto"/>
        <w:jc w:val="center"/>
        <w:rPr>
          <w:rFonts w:hint="default" w:ascii="Times New Roman" w:hAnsi="Times New Roman" w:eastAsia="宋体" w:cs="Times New Roman"/>
          <w:b/>
          <w:bCs/>
          <w:color w:val="auto"/>
          <w:sz w:val="24"/>
          <w:szCs w:val="24"/>
          <w:highlight w:val="none"/>
        </w:rPr>
      </w:pPr>
    </w:p>
    <w:p w14:paraId="3AC1CB49">
      <w:pPr>
        <w:spacing w:line="360" w:lineRule="auto"/>
        <w:jc w:val="center"/>
        <w:rPr>
          <w:rFonts w:hint="default" w:ascii="Times New Roman" w:hAnsi="Times New Roman" w:eastAsia="宋体" w:cs="Times New Roman"/>
          <w:b/>
          <w:bCs/>
          <w:color w:val="auto"/>
          <w:sz w:val="24"/>
          <w:szCs w:val="24"/>
          <w:highlight w:val="none"/>
        </w:rPr>
      </w:pPr>
    </w:p>
    <w:p w14:paraId="37A089A9">
      <w:pPr>
        <w:spacing w:line="360" w:lineRule="auto"/>
        <w:jc w:val="center"/>
        <w:rPr>
          <w:rFonts w:hint="default" w:ascii="Times New Roman" w:hAnsi="Times New Roman" w:eastAsia="宋体" w:cs="Times New Roman"/>
          <w:b/>
          <w:bCs/>
          <w:color w:val="auto"/>
          <w:sz w:val="24"/>
          <w:szCs w:val="24"/>
          <w:highlight w:val="none"/>
        </w:rPr>
      </w:pPr>
    </w:p>
    <w:p w14:paraId="24CDDF94">
      <w:pPr>
        <w:spacing w:line="360" w:lineRule="auto"/>
        <w:rPr>
          <w:rFonts w:hint="default" w:ascii="Times New Roman" w:hAnsi="Times New Roman" w:eastAsia="宋体" w:cs="Times New Roman"/>
          <w:color w:val="auto"/>
          <w:sz w:val="24"/>
          <w:szCs w:val="24"/>
          <w:highlight w:val="none"/>
        </w:rPr>
      </w:pPr>
    </w:p>
    <w:p w14:paraId="0906F9AD">
      <w:pPr>
        <w:spacing w:line="360" w:lineRule="auto"/>
        <w:rPr>
          <w:rFonts w:hint="default" w:ascii="Times New Roman" w:hAnsi="Times New Roman" w:eastAsia="宋体" w:cs="Times New Roman"/>
          <w:color w:val="auto"/>
          <w:sz w:val="24"/>
          <w:szCs w:val="24"/>
          <w:highlight w:val="none"/>
        </w:rPr>
      </w:pPr>
    </w:p>
    <w:bookmarkEnd w:id="262"/>
    <w:bookmarkEnd w:id="263"/>
    <w:bookmarkEnd w:id="264"/>
    <w:bookmarkEnd w:id="265"/>
    <w:bookmarkEnd w:id="266"/>
    <w:bookmarkEnd w:id="267"/>
    <w:bookmarkEnd w:id="268"/>
    <w:bookmarkEnd w:id="269"/>
    <w:bookmarkEnd w:id="270"/>
    <w:bookmarkEnd w:id="271"/>
    <w:bookmarkEnd w:id="272"/>
    <w:p w14:paraId="6BA50B35">
      <w:pPr>
        <w:rPr>
          <w:rFonts w:hint="default" w:ascii="Times New Roman" w:hAnsi="Times New Roman" w:eastAsia="宋体" w:cs="Times New Roman"/>
          <w:color w:val="auto"/>
          <w:highlight w:val="none"/>
        </w:rPr>
      </w:pPr>
    </w:p>
    <w:p w14:paraId="35ABD449">
      <w:pPr>
        <w:rPr>
          <w:rFonts w:hint="default" w:ascii="Times New Roman" w:hAnsi="Times New Roman" w:eastAsia="宋体" w:cs="Times New Roman"/>
          <w:color w:val="auto"/>
          <w:sz w:val="36"/>
          <w:szCs w:val="36"/>
          <w:highlight w:val="none"/>
        </w:rPr>
      </w:pPr>
    </w:p>
    <w:p w14:paraId="1BFBBAE1">
      <w:pPr>
        <w:rPr>
          <w:rFonts w:hint="default" w:ascii="Times New Roman" w:hAnsi="Times New Roman" w:eastAsia="宋体" w:cs="Times New Roman"/>
          <w:color w:val="auto"/>
          <w:sz w:val="36"/>
          <w:szCs w:val="36"/>
          <w:highlight w:val="none"/>
        </w:rPr>
      </w:pPr>
    </w:p>
    <w:p w14:paraId="233D12B8">
      <w:pPr>
        <w:rPr>
          <w:rFonts w:hint="default" w:ascii="Times New Roman" w:hAnsi="Times New Roman" w:eastAsia="宋体" w:cs="Times New Roman"/>
          <w:color w:val="auto"/>
          <w:sz w:val="36"/>
          <w:szCs w:val="36"/>
          <w:highlight w:val="none"/>
        </w:rPr>
      </w:pPr>
    </w:p>
    <w:p w14:paraId="7903F388">
      <w:pPr>
        <w:rPr>
          <w:rFonts w:hint="default" w:ascii="Times New Roman" w:hAnsi="Times New Roman" w:eastAsia="宋体" w:cs="Times New Roman"/>
          <w:color w:val="auto"/>
          <w:sz w:val="36"/>
          <w:szCs w:val="36"/>
          <w:highlight w:val="none"/>
        </w:rPr>
      </w:pPr>
    </w:p>
    <w:p w14:paraId="27A2AEAE">
      <w:pPr>
        <w:rPr>
          <w:rFonts w:hint="default" w:ascii="Times New Roman" w:hAnsi="Times New Roman" w:eastAsia="宋体" w:cs="Times New Roman"/>
          <w:color w:val="auto"/>
          <w:sz w:val="36"/>
          <w:szCs w:val="36"/>
          <w:highlight w:val="none"/>
        </w:rPr>
      </w:pPr>
      <w:r>
        <w:rPr>
          <w:rFonts w:hint="default" w:ascii="Times New Roman" w:hAnsi="Times New Roman" w:eastAsia="宋体" w:cs="Times New Roman"/>
          <w:color w:val="auto"/>
          <w:sz w:val="36"/>
          <w:szCs w:val="36"/>
          <w:highlight w:val="none"/>
        </w:rPr>
        <w:br w:type="page"/>
      </w:r>
    </w:p>
    <w:p w14:paraId="27140FDF">
      <w:pPr>
        <w:keepNext/>
        <w:keepLines/>
        <w:pageBreakBefore w:val="0"/>
        <w:widowControl w:val="0"/>
        <w:tabs>
          <w:tab w:val="left" w:pos="879"/>
        </w:tabs>
        <w:kinsoku/>
        <w:wordWrap/>
        <w:overflowPunct/>
        <w:topLinePunct w:val="0"/>
        <w:autoSpaceDE/>
        <w:autoSpaceDN/>
        <w:bidi w:val="0"/>
        <w:adjustRightInd/>
        <w:snapToGrid/>
        <w:spacing w:line="360" w:lineRule="auto"/>
        <w:jc w:val="left"/>
        <w:textAlignment w:val="auto"/>
        <w:outlineLvl w:val="9"/>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质疑函</w:t>
      </w:r>
    </w:p>
    <w:p w14:paraId="47B19C80">
      <w:pPr>
        <w:spacing w:line="360" w:lineRule="auto"/>
        <w:rPr>
          <w:rFonts w:hint="default" w:ascii="Times New Roman" w:hAnsi="Times New Roman" w:eastAsia="宋体" w:cs="Times New Roman"/>
          <w:color w:val="auto"/>
          <w:highlight w:val="none"/>
        </w:rPr>
      </w:pPr>
    </w:p>
    <w:p w14:paraId="03CDC713">
      <w:pPr>
        <w:spacing w:line="360" w:lineRule="auto"/>
        <w:jc w:val="center"/>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质疑函范本</w:t>
      </w:r>
    </w:p>
    <w:p w14:paraId="085ADEF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一、质疑</w:t>
      </w:r>
      <w:r>
        <w:rPr>
          <w:rFonts w:hint="eastAsia" w:ascii="Times New Roman" w:hAnsi="Times New Roman" w:eastAsia="宋体" w:cs="Times New Roman"/>
          <w:bCs/>
          <w:color w:val="auto"/>
          <w:sz w:val="24"/>
          <w:szCs w:val="24"/>
          <w:highlight w:val="none"/>
          <w:lang w:val="en-US" w:eastAsia="zh-CN"/>
        </w:rPr>
        <w:t>供应商</w:t>
      </w:r>
      <w:r>
        <w:rPr>
          <w:rFonts w:hint="default" w:ascii="Times New Roman" w:hAnsi="Times New Roman" w:eastAsia="宋体" w:cs="Times New Roman"/>
          <w:bCs/>
          <w:color w:val="auto"/>
          <w:sz w:val="24"/>
          <w:szCs w:val="24"/>
          <w:highlight w:val="none"/>
        </w:rPr>
        <w:t>基本信息</w:t>
      </w:r>
    </w:p>
    <w:p w14:paraId="2127C8D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质疑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w:t>
      </w:r>
    </w:p>
    <w:p w14:paraId="0E510BFF">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                 邮编：</w:t>
      </w:r>
    </w:p>
    <w:p w14:paraId="5645DC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联系人：               联系电话：</w:t>
      </w:r>
    </w:p>
    <w:p w14:paraId="513B242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授权代表：</w:t>
      </w:r>
    </w:p>
    <w:p w14:paraId="64E6FB5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联系电话：</w:t>
      </w:r>
    </w:p>
    <w:p w14:paraId="0C45B05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地址：                  邮编：</w:t>
      </w:r>
    </w:p>
    <w:p w14:paraId="688A009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二、质疑项目基本情况</w:t>
      </w:r>
    </w:p>
    <w:p w14:paraId="1145BA03">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质疑项目的名称：</w:t>
      </w:r>
    </w:p>
    <w:p w14:paraId="3AFDC30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质疑项目的编号：</w:t>
      </w:r>
    </w:p>
    <w:p w14:paraId="3430D23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采购人名称：</w:t>
      </w:r>
    </w:p>
    <w:p w14:paraId="4FFE6C6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采购文件获取日期：</w:t>
      </w:r>
    </w:p>
    <w:p w14:paraId="6E91FAD1">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三、质疑事项具体内容</w:t>
      </w:r>
    </w:p>
    <w:p w14:paraId="71501BBC">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质疑事项1：</w:t>
      </w:r>
    </w:p>
    <w:p w14:paraId="2944E63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事实依据：</w:t>
      </w:r>
    </w:p>
    <w:p w14:paraId="5340D3F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p>
    <w:p w14:paraId="7910EB4B">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法律依据：</w:t>
      </w:r>
    </w:p>
    <w:p w14:paraId="191F956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p>
    <w:p w14:paraId="6BB385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质疑事项2</w:t>
      </w:r>
    </w:p>
    <w:p w14:paraId="611C485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w:t>
      </w:r>
    </w:p>
    <w:p w14:paraId="150F18AE">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四、与质疑事项相关的质疑请求</w:t>
      </w:r>
    </w:p>
    <w:p w14:paraId="7F328919">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color w:val="auto"/>
          <w:sz w:val="24"/>
          <w:szCs w:val="24"/>
          <w:highlight w:val="none"/>
        </w:rPr>
        <w:t>请求：</w:t>
      </w:r>
    </w:p>
    <w:p w14:paraId="50C285A2">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p>
    <w:p w14:paraId="518D73F0">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签字（签章）：                   公章：                      </w:t>
      </w:r>
    </w:p>
    <w:p w14:paraId="3AA5A118">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日期：    </w:t>
      </w:r>
    </w:p>
    <w:p w14:paraId="7F21E690">
      <w:pPr>
        <w:spacing w:line="360" w:lineRule="auto"/>
        <w:rPr>
          <w:rFonts w:hint="default" w:ascii="Times New Roman" w:hAnsi="Times New Roman" w:eastAsia="宋体" w:cs="Times New Roman"/>
          <w:color w:val="auto"/>
          <w:sz w:val="24"/>
          <w:szCs w:val="24"/>
          <w:highlight w:val="none"/>
        </w:rPr>
      </w:pPr>
    </w:p>
    <w:p w14:paraId="41628D28">
      <w:pPr>
        <w:spacing w:line="360" w:lineRule="auto"/>
        <w:rPr>
          <w:rFonts w:hint="default" w:ascii="Times New Roman" w:hAnsi="Times New Roman" w:eastAsia="宋体" w:cs="Times New Roman"/>
          <w:color w:val="auto"/>
          <w:sz w:val="24"/>
          <w:szCs w:val="24"/>
          <w:highlight w:val="none"/>
        </w:rPr>
      </w:pPr>
    </w:p>
    <w:p w14:paraId="0B05946D">
      <w:pPr>
        <w:spacing w:line="360" w:lineRule="auto"/>
        <w:jc w:val="center"/>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质疑函制作说明</w:t>
      </w:r>
    </w:p>
    <w:p w14:paraId="701BC8CD">
      <w:pPr>
        <w:keepNext w:val="0"/>
        <w:keepLines w:val="0"/>
        <w:pageBreakBefore w:val="0"/>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color w:val="auto"/>
          <w:sz w:val="24"/>
          <w:szCs w:val="24"/>
          <w:highlight w:val="none"/>
        </w:rPr>
      </w:pPr>
    </w:p>
    <w:p w14:paraId="74F34AF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1.</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提出质疑时，应提交质疑函和必要的证明材料。</w:t>
      </w:r>
    </w:p>
    <w:p w14:paraId="348F041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2.质疑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若委托代理人进行质疑的，质疑函应按要求列明“授权代表”的有关内容，并在附件中提交由质疑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签署的授权委托书。授权委托书应载明代理人的姓名或者名称、代理事项、具体权限、期限和相关事项。</w:t>
      </w:r>
    </w:p>
    <w:p w14:paraId="6D9D195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3.质疑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若对项目的某一分包进行质疑，质疑函中应列明具体分包号。</w:t>
      </w:r>
    </w:p>
    <w:p w14:paraId="3EE2B5F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4.质疑函的质疑事项应具体、明确，并有必要的事实依据和法律依据。</w:t>
      </w:r>
    </w:p>
    <w:p w14:paraId="1A6A980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5.质疑函的质疑请求应与质疑事项相关。</w:t>
      </w:r>
    </w:p>
    <w:p w14:paraId="0656DDD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6.质疑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为自然人的，质疑函应由本人签字；质疑</w:t>
      </w:r>
      <w:r>
        <w:rPr>
          <w:rFonts w:hint="eastAsia" w:ascii="Times New Roman" w:hAnsi="Times New Roman" w:eastAsia="宋体" w:cs="Times New Roman"/>
          <w:color w:val="auto"/>
          <w:sz w:val="24"/>
          <w:szCs w:val="24"/>
          <w:highlight w:val="none"/>
          <w:lang w:eastAsia="zh-CN"/>
        </w:rPr>
        <w:t>投标人</w:t>
      </w:r>
      <w:r>
        <w:rPr>
          <w:rFonts w:hint="default" w:ascii="Times New Roman" w:hAnsi="Times New Roman" w:eastAsia="宋体" w:cs="Times New Roman"/>
          <w:color w:val="auto"/>
          <w:sz w:val="24"/>
          <w:szCs w:val="24"/>
          <w:highlight w:val="none"/>
        </w:rPr>
        <w:t>为法人或者其他组织的，质疑函应由法定代表人、主要负责人，或者其授权代表签字或者盖章，并加盖公章。</w:t>
      </w:r>
    </w:p>
    <w:p w14:paraId="4D8A769F">
      <w:pPr>
        <w:spacing w:line="360" w:lineRule="auto"/>
        <w:rPr>
          <w:rFonts w:hint="default" w:ascii="Times New Roman" w:hAnsi="Times New Roman" w:eastAsia="宋体" w:cs="Times New Roman"/>
          <w:color w:val="auto"/>
          <w:sz w:val="24"/>
          <w:szCs w:val="24"/>
          <w:highlight w:val="none"/>
        </w:rPr>
      </w:pPr>
    </w:p>
    <w:p w14:paraId="53F59DF5">
      <w:pPr>
        <w:spacing w:line="360" w:lineRule="auto"/>
        <w:jc w:val="center"/>
        <w:rPr>
          <w:rFonts w:hint="default" w:ascii="Times New Roman" w:hAnsi="Times New Roman" w:eastAsia="宋体" w:cs="Times New Roman"/>
          <w:b/>
          <w:color w:val="auto"/>
          <w:spacing w:val="20"/>
          <w:sz w:val="24"/>
          <w:szCs w:val="24"/>
          <w:highlight w:val="none"/>
        </w:rPr>
      </w:pPr>
    </w:p>
    <w:p w14:paraId="10B9A4EF">
      <w:pPr>
        <w:ind w:firstLine="420"/>
        <w:rPr>
          <w:rFonts w:hint="default" w:ascii="Times New Roman" w:hAnsi="Times New Roman" w:eastAsia="宋体" w:cs="Times New Roman"/>
          <w:color w:val="auto"/>
          <w:sz w:val="24"/>
          <w:szCs w:val="24"/>
          <w:highlight w:val="none"/>
        </w:rPr>
      </w:pPr>
    </w:p>
    <w:sectPr>
      <w:headerReference r:id="rId9" w:type="default"/>
      <w:footerReference r:id="rId10" w:type="default"/>
      <w:pgSz w:w="11906" w:h="16838"/>
      <w:pgMar w:top="1440" w:right="1083" w:bottom="1440" w:left="1083" w:header="283" w:footer="992"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DejaVu Math TeX Gyre">
    <w:panose1 w:val="02000503000000000000"/>
    <w:charset w:val="00"/>
    <w:family w:val="auto"/>
    <w:pitch w:val="default"/>
    <w:sig w:usb0="A10000EF" w:usb1="4201F9EE" w:usb2="02000000" w:usb3="00000000" w:csb0="60000193" w:csb1="0DD40000"/>
  </w:font>
  <w:font w:name="新宋体">
    <w:panose1 w:val="02010609030101010101"/>
    <w:charset w:val="86"/>
    <w:family w:val="modern"/>
    <w:pitch w:val="default"/>
    <w:sig w:usb0="00000203" w:usb1="288F0000" w:usb2="00000006" w:usb3="00000000" w:csb0="00040001" w:csb1="00000000"/>
  </w:font>
  <w:font w:name="Trebuchet MS">
    <w:panose1 w:val="020B0603020202020204"/>
    <w:charset w:val="00"/>
    <w:family w:val="swiss"/>
    <w:pitch w:val="default"/>
    <w:sig w:usb0="00000687" w:usb1="00000000" w:usb2="00000000" w:usb3="00000000" w:csb0="2000009F" w:csb1="00000000"/>
  </w:font>
  <w:font w:name="Arial Black">
    <w:panose1 w:val="020B0A04020102020204"/>
    <w:charset w:val="00"/>
    <w:family w:val="swiss"/>
    <w:pitch w:val="default"/>
    <w:sig w:usb0="A00002AF" w:usb1="400078FB" w:usb2="00000000" w:usb3="00000000" w:csb0="6000009F" w:csb1="DFD70000"/>
  </w:font>
  <w:font w:name="Tahoma">
    <w:panose1 w:val="020B0604030504040204"/>
    <w:charset w:val="00"/>
    <w:family w:val="swiss"/>
    <w:pitch w:val="default"/>
    <w:sig w:usb0="E1002EFF" w:usb1="C000605B" w:usb2="00000029" w:usb3="00000000" w:csb0="200101FF" w:csb1="20280000"/>
  </w:font>
  <w:font w:name="Century Gothic">
    <w:altName w:val="Yu Gothic UI"/>
    <w:panose1 w:val="020B0502020202020204"/>
    <w:charset w:val="00"/>
    <w:family w:val="swiss"/>
    <w:pitch w:val="default"/>
    <w:sig w:usb0="00000000" w:usb1="00000000" w:usb2="00000000" w:usb3="00000000" w:csb0="2000009F" w:csb1="DFD70000"/>
  </w:font>
  <w:font w:name="Yu Gothic UI">
    <w:panose1 w:val="020B0500000000000000"/>
    <w:charset w:val="80"/>
    <w:family w:val="auto"/>
    <w:pitch w:val="default"/>
    <w:sig w:usb0="E00002FF" w:usb1="2AC7FDFF" w:usb2="00000016" w:usb3="00000000" w:csb0="2002009F" w:csb1="00000000"/>
  </w:font>
  <w:font w:name="Good Times">
    <w:altName w:val="FFont-Family"/>
    <w:panose1 w:val="00000500000000000000"/>
    <w:charset w:val="00"/>
    <w:family w:val="auto"/>
    <w:pitch w:val="default"/>
    <w:sig w:usb0="00000000" w:usb1="00000000" w:usb2="00000000" w:usb3="00000000" w:csb0="00000003" w:csb1="00000000"/>
  </w:font>
  <w:font w:name="FFont-Family">
    <w:panose1 w:val="02000509000000000000"/>
    <w:charset w:val="00"/>
    <w:family w:val="auto"/>
    <w:pitch w:val="default"/>
    <w:sig w:usb0="00000001" w:usb1="00000000" w:usb2="00000000" w:usb3="00000000" w:csb0="00000001" w:csb1="00000000"/>
  </w:font>
  <w:font w:name="兰米仿宋体">
    <w:altName w:val="仿宋"/>
    <w:panose1 w:val="02000503000000000000"/>
    <w:charset w:val="86"/>
    <w:family w:val="auto"/>
    <w:pitch w:val="default"/>
    <w:sig w:usb0="00000000" w:usb1="00000000" w:usb2="00000012" w:usb3="00000000" w:csb0="00040001" w:csb1="00000000"/>
  </w:font>
  <w:font w:name="华文楷体">
    <w:panose1 w:val="02010600040101010101"/>
    <w:charset w:val="86"/>
    <w:family w:val="auto"/>
    <w:pitch w:val="default"/>
    <w:sig w:usb0="A00002BF" w:usb1="78CF7CFB" w:usb2="00000016" w:usb3="00000000" w:csb0="6006009F" w:csb1="DFD70000"/>
  </w:font>
  <w:font w:name="Garamond">
    <w:altName w:val="仓耳舒圆体 W03"/>
    <w:panose1 w:val="02020404030301010803"/>
    <w:charset w:val="00"/>
    <w:family w:val="roman"/>
    <w:pitch w:val="default"/>
    <w:sig w:usb0="00000000" w:usb1="00000000" w:usb2="00000000" w:usb3="00000000" w:csb0="0000009F" w:csb1="DFD70000"/>
  </w:font>
  <w:font w:name="仓耳舒圆体 W03">
    <w:panose1 w:val="02020400000000000000"/>
    <w:charset w:val="80"/>
    <w:family w:val="auto"/>
    <w:pitch w:val="default"/>
    <w:sig w:usb0="80000023" w:usb1="08C10458" w:usb2="00000012" w:usb3="00000000" w:csb0="00020001" w:csb1="00000000"/>
  </w:font>
  <w:font w:name="Microsoft Sans Serif">
    <w:panose1 w:val="020B0604020202020204"/>
    <w:charset w:val="00"/>
    <w:family w:val="swiss"/>
    <w:pitch w:val="default"/>
    <w:sig w:usb0="E5002EFF" w:usb1="C000605B" w:usb2="00000029" w:usb3="00000000" w:csb0="200101FF" w:csb1="20280000"/>
  </w:font>
  <w:font w:name="幼圆">
    <w:altName w:val="宋体"/>
    <w:panose1 w:val="0201050906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font>
  <w:font w:name="Microsoft YaHei UI">
    <w:panose1 w:val="020B0503020204020204"/>
    <w:charset w:val="86"/>
    <w:family w:val="swiss"/>
    <w:pitch w:val="default"/>
    <w:sig w:usb0="80000287" w:usb1="2ACF3C50" w:usb2="00000016" w:usb3="00000000" w:csb0="0004001F" w:csb1="00000000"/>
  </w:font>
  <w:font w:name="方正黑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Windsor Std Light">
    <w:altName w:val="宋体"/>
    <w:panose1 w:val="02010600010101010101"/>
    <w:charset w:val="86"/>
    <w:family w:val="auto"/>
    <w:pitch w:val="default"/>
    <w:sig w:usb0="00000000" w:usb1="00000000" w:usb2="00000000" w:usb3="00000000" w:csb0="00040000" w:csb1="00000000"/>
  </w:font>
  <w:font w:name="KSOF8080F95D">
    <w:panose1 w:val="020B0503020204020204"/>
    <w:charset w:val="86"/>
    <w:family w:val="auto"/>
    <w:pitch w:val="default"/>
    <w:sig w:usb0="00000001" w:usb1="00000000" w:usb2="00000000" w:usb3="00000000" w:csb0="00040001" w:csb1="00000000"/>
  </w:font>
  <w:font w:name="KSOFEC83043A">
    <w:panose1 w:val="020B0503020204020204"/>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EE2FB3">
    <w:pPr>
      <w:pStyle w:val="36"/>
      <w:jc w:val="center"/>
      <w:rPr>
        <w:rFonts w:hint="eastAsia"/>
      </w:rPr>
    </w:pPr>
  </w:p>
  <w:p w14:paraId="09A8CB43">
    <w:pPr>
      <w:tabs>
        <w:tab w:val="center" w:pos="4153"/>
        <w:tab w:val="right" w:pos="8306"/>
      </w:tabs>
      <w:jc w:val="left"/>
      <w:rPr>
        <w:rFonts w:ascii="Times New Roman" w:hAnsi="Times New Roman"/>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B9E3B">
    <w:pPr>
      <w:pStyle w:val="36"/>
      <w:jc w:val="center"/>
      <w:rPr>
        <w:rFonts w:hint="eastAsia"/>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228600" cy="269875"/>
              <wp:effectExtent l="0" t="0" r="0" b="0"/>
              <wp:wrapNone/>
              <wp:docPr id="1" name="文本框 3"/>
              <wp:cNvGraphicFramePr/>
              <a:graphic xmlns:a="http://schemas.openxmlformats.org/drawingml/2006/main">
                <a:graphicData uri="http://schemas.microsoft.com/office/word/2010/wordprocessingShape">
                  <wps:wsp>
                    <wps:cNvSpPr/>
                    <wps:spPr bwMode="auto">
                      <a:xfrm>
                        <a:off x="0" y="0"/>
                        <a:ext cx="228600" cy="269875"/>
                      </a:xfrm>
                      <a:prstGeom prst="rect">
                        <a:avLst/>
                      </a:prstGeom>
                      <a:ln>
                        <a:noFill/>
                      </a:ln>
                    </wps:spPr>
                    <wps:txbx>
                      <w:txbxContent>
                        <w:p w14:paraId="398DFEB0">
                          <w:pPr>
                            <w:pStyle w:val="36"/>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66</w:t>
                          </w:r>
                          <w:r>
                            <w:rPr>
                              <w:rFonts w:hint="eastAsia"/>
                            </w:rPr>
                            <w:fldChar w:fldCharType="end"/>
                          </w:r>
                        </w:p>
                      </w:txbxContent>
                    </wps:txbx>
                    <wps:bodyPr wrap="square" lIns="0" tIns="0" rIns="0" bIns="0" upright="1"/>
                  </wps:wsp>
                </a:graphicData>
              </a:graphic>
            </wp:anchor>
          </w:drawing>
        </mc:Choice>
        <mc:Fallback>
          <w:pict>
            <v:rect id="文本框 3" o:spid="_x0000_s1026" o:spt="1" style="position:absolute;left:0pt;margin-top:0pt;height:21.25pt;width:18pt;mso-position-horizontal:center;mso-position-horizontal-relative:margin;z-index:251659264;mso-width-relative:page;mso-height-relative:page;" filled="f" stroked="f" coordsize="21600,21600" o:gfxdata="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a98ek1QAAAAMBAAAPAAAAAAAAAAEAIAAAACIAAABkcnMvZG93bnJldi54&#10;bWxQSwECFAAUAAAACACHTuJAwkbVrcQBAAB4AwAADgAAAAAAAAABACAAAAAkAQAAZHJzL2Uyb0Rv&#10;Yy54bWxQSwUGAAAAAAYABgBZAQAAWgUAAAAA&#10;">
              <v:fill on="f" focussize="0,0"/>
              <v:stroke on="f"/>
              <v:imagedata o:title=""/>
              <o:lock v:ext="edit" aspectratio="f"/>
              <v:textbox inset="0mm,0mm,0mm,0mm">
                <w:txbxContent>
                  <w:p w14:paraId="398DFEB0">
                    <w:pPr>
                      <w:pStyle w:val="36"/>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t>66</w:t>
                    </w:r>
                    <w:r>
                      <w:rPr>
                        <w:rFonts w:hint="eastAsia"/>
                      </w:rPr>
                      <w:fldChar w:fldCharType="end"/>
                    </w:r>
                  </w:p>
                </w:txbxContent>
              </v:textbox>
            </v:rect>
          </w:pict>
        </mc:Fallback>
      </mc:AlternateContent>
    </w:r>
  </w:p>
  <w:p w14:paraId="3831E8D1">
    <w:pPr>
      <w:tabs>
        <w:tab w:val="center" w:pos="4153"/>
        <w:tab w:val="right" w:pos="8306"/>
      </w:tabs>
      <w:jc w:val="left"/>
      <w:rPr>
        <w:rFonts w:ascii="Times New Roman" w:hAnsi="Times New Roman"/>
        <w:sz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CFBFF1">
    <w:pPr>
      <w:pStyle w:val="36"/>
      <w:jc w:val="center"/>
      <w:rPr>
        <w:rFonts w:hint="eastAsia"/>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260985" cy="189230"/>
              <wp:effectExtent l="0" t="0" r="0" b="0"/>
              <wp:wrapNone/>
              <wp:docPr id="4" name="文本框 4"/>
              <wp:cNvGraphicFramePr/>
              <a:graphic xmlns:a="http://schemas.openxmlformats.org/drawingml/2006/main">
                <a:graphicData uri="http://schemas.microsoft.com/office/word/2010/wordprocessingShape">
                  <wps:wsp>
                    <wps:cNvSpPr/>
                    <wps:spPr bwMode="auto">
                      <a:xfrm>
                        <a:off x="0" y="0"/>
                        <a:ext cx="260985" cy="189230"/>
                      </a:xfrm>
                      <a:prstGeom prst="rect">
                        <a:avLst/>
                      </a:prstGeom>
                      <a:ln>
                        <a:noFill/>
                      </a:ln>
                    </wps:spPr>
                    <wps:txbx>
                      <w:txbxContent>
                        <w:p w14:paraId="0F31EDEC">
                          <w:pPr>
                            <w:pStyle w:val="36"/>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rPr>
                            <w:t>2</w:t>
                          </w:r>
                          <w:r>
                            <w:rPr>
                              <w:rFonts w:ascii="Times New Roman" w:hAnsi="Times New Roman" w:cs="Times New Roman"/>
                              <w:sz w:val="21"/>
                              <w:szCs w:val="21"/>
                            </w:rPr>
                            <w:fldChar w:fldCharType="end"/>
                          </w:r>
                        </w:p>
                      </w:txbxContent>
                    </wps:txbx>
                    <wps:bodyPr wrap="square" lIns="0" tIns="0" rIns="0" bIns="0" upright="1">
                      <a:noAutofit/>
                    </wps:bodyPr>
                  </wps:wsp>
                </a:graphicData>
              </a:graphic>
            </wp:anchor>
          </w:drawing>
        </mc:Choice>
        <mc:Fallback>
          <w:pict>
            <v:rect id="文本框 4" o:spid="_x0000_s1026" o:spt="1" style="position:absolute;left:0pt;margin-top:0pt;height:14.9pt;width:20.55pt;mso-position-horizontal:center;mso-position-horizontal-relative:margin;z-index:251660288;mso-width-relative:page;mso-height-relative:page;" filled="f" stroked="f" coordsize="21600,21600" o:gfxdata="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0GEDP1gAAAAMBAAAPAAAAAAAAAAEAIAAAACIA&#10;AABkcnMvZG93bnJldi54bWxQSwECFAAUAAAACACHTuJAf8NnoNIBAACSAwAADgAAAAAAAAABACAA&#10;AAAlAQAAZHJzL2Uyb0RvYy54bWxQSwUGAAAAAAYABgBZAQAAaQUAAAAA&#10;">
              <v:fill on="f" focussize="0,0"/>
              <v:stroke on="f"/>
              <v:imagedata o:title=""/>
              <o:lock v:ext="edit" aspectratio="f"/>
              <v:textbox inset="0mm,0mm,0mm,0mm">
                <w:txbxContent>
                  <w:p w14:paraId="0F31EDEC">
                    <w:pPr>
                      <w:pStyle w:val="36"/>
                      <w:jc w:val="center"/>
                      <w:rPr>
                        <w:rFonts w:ascii="Times New Roman" w:hAnsi="Times New Roman" w:cs="Times New Roman"/>
                        <w:sz w:val="21"/>
                        <w:szCs w:val="21"/>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rPr>
                      <w:t>2</w:t>
                    </w:r>
                    <w:r>
                      <w:rPr>
                        <w:rFonts w:ascii="Times New Roman" w:hAnsi="Times New Roman" w:cs="Times New Roman"/>
                        <w:sz w:val="21"/>
                        <w:szCs w:val="21"/>
                      </w:rP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6FC8D">
    <w:pPr>
      <w:pStyle w:val="36"/>
      <w:jc w:val="center"/>
      <w:rPr>
        <w:rFonts w:hint="eastAsia"/>
      </w:rPr>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228600" cy="269875"/>
              <wp:effectExtent l="0" t="0" r="0" b="0"/>
              <wp:wrapNone/>
              <wp:docPr id="2" name="文本框 3"/>
              <wp:cNvGraphicFramePr/>
              <a:graphic xmlns:a="http://schemas.openxmlformats.org/drawingml/2006/main">
                <a:graphicData uri="http://schemas.microsoft.com/office/word/2010/wordprocessingShape">
                  <wps:wsp>
                    <wps:cNvSpPr/>
                    <wps:spPr bwMode="auto">
                      <a:xfrm>
                        <a:off x="0" y="0"/>
                        <a:ext cx="228600" cy="269875"/>
                      </a:xfrm>
                      <a:prstGeom prst="rect">
                        <a:avLst/>
                      </a:prstGeom>
                      <a:ln>
                        <a:noFill/>
                      </a:ln>
                    </wps:spPr>
                    <wps:txbx>
                      <w:txbxContent>
                        <w:p w14:paraId="55CE2891">
                          <w:pPr>
                            <w:pStyle w:val="36"/>
                            <w:jc w:val="center"/>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66</w:t>
                          </w:r>
                          <w:r>
                            <w:rPr>
                              <w:rFonts w:hint="default" w:ascii="Times New Roman" w:hAnsi="Times New Roman" w:cs="Times New Roman"/>
                            </w:rPr>
                            <w:fldChar w:fldCharType="end"/>
                          </w:r>
                        </w:p>
                      </w:txbxContent>
                    </wps:txbx>
                    <wps:bodyPr wrap="square" lIns="0" tIns="0" rIns="0" bIns="0" upright="1"/>
                  </wps:wsp>
                </a:graphicData>
              </a:graphic>
            </wp:anchor>
          </w:drawing>
        </mc:Choice>
        <mc:Fallback>
          <w:pict>
            <v:rect id="文本框 3" o:spid="_x0000_s1026" o:spt="1" style="position:absolute;left:0pt;margin-top:0pt;height:21.25pt;width:18pt;mso-position-horizontal:center;mso-position-horizontal-relative:margin;z-index:251659264;mso-width-relative:page;mso-height-relative:page;" filled="f" stroked="f" coordsize="21600,21600" o:gfxdata="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a98ek1QAAAAMBAAAPAAAAAAAAAAEAIAAAACIAAABkcnMvZG93bnJldi54&#10;bWxQSwECFAAUAAAACACHTuJAS6ZclMQBAAB4AwAADgAAAAAAAAABACAAAAAkAQAAZHJzL2Uyb0Rv&#10;Yy54bWxQSwUGAAAAAAYABgBZAQAAWgUAAAAA&#10;">
              <v:fill on="f" focussize="0,0"/>
              <v:stroke on="f"/>
              <v:imagedata o:title=""/>
              <o:lock v:ext="edit" aspectratio="f"/>
              <v:textbox inset="0mm,0mm,0mm,0mm">
                <w:txbxContent>
                  <w:p w14:paraId="55CE2891">
                    <w:pPr>
                      <w:pStyle w:val="36"/>
                      <w:jc w:val="center"/>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66</w:t>
                    </w:r>
                    <w:r>
                      <w:rPr>
                        <w:rFonts w:hint="default" w:ascii="Times New Roman" w:hAnsi="Times New Roman" w:cs="Times New Roman"/>
                      </w:rPr>
                      <w:fldChar w:fldCharType="end"/>
                    </w:r>
                  </w:p>
                </w:txbxContent>
              </v:textbox>
            </v:rect>
          </w:pict>
        </mc:Fallback>
      </mc:AlternateContent>
    </w:r>
  </w:p>
  <w:p w14:paraId="58CFA175">
    <w:pPr>
      <w:tabs>
        <w:tab w:val="center" w:pos="4153"/>
        <w:tab w:val="right" w:pos="8306"/>
      </w:tabs>
      <w:jc w:val="left"/>
      <w:rPr>
        <w:rFonts w:ascii="Times New Roman" w:hAnsi="Times New Roman"/>
        <w:sz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271421">
    <w:pPr>
      <w:pStyle w:val="36"/>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1623"/>
                          </w:sdtPr>
                          <w:sdtContent>
                            <w:p w14:paraId="3922A6BA">
                              <w:pPr>
                                <w:pStyle w:val="36"/>
                                <w:jc w:val="center"/>
                              </w:pPr>
                              <w:r>
                                <w:rPr>
                                  <w:rFonts w:hint="default" w:ascii="Times New Roman" w:hAnsi="Times New Roman" w:cs="Times New Roman"/>
                                </w:rPr>
                                <w:fldChar w:fldCharType="begin"/>
                              </w:r>
                              <w:r>
                                <w:rPr>
                                  <w:rFonts w:hint="default" w:ascii="Times New Roman" w:hAnsi="Times New Roman" w:cs="Times New Roman"/>
                                </w:rPr>
                                <w:instrText xml:space="preserve">PAGE   \* MERGEFORMAT</w:instrText>
                              </w:r>
                              <w:r>
                                <w:rPr>
                                  <w:rFonts w:hint="default" w:ascii="Times New Roman" w:hAnsi="Times New Roman" w:cs="Times New Roman"/>
                                </w:rPr>
                                <w:fldChar w:fldCharType="separate"/>
                              </w:r>
                              <w:r>
                                <w:rPr>
                                  <w:rFonts w:hint="default" w:ascii="Times New Roman" w:hAnsi="Times New Roman" w:cs="Times New Roman"/>
                                  <w:lang w:val="zh-CN"/>
                                </w:rPr>
                                <w:t>39</w:t>
                              </w:r>
                              <w:r>
                                <w:rPr>
                                  <w:rFonts w:hint="default" w:ascii="Times New Roman" w:hAnsi="Times New Roman" w:cs="Times New Roman"/>
                                </w:rPr>
                                <w:fldChar w:fldCharType="end"/>
                              </w:r>
                            </w:p>
                          </w:sdtContent>
                        </w:sdt>
                        <w:p w14:paraId="3ADD8C5A"/>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sdt>
                    <w:sdtPr>
                      <w:id w:val="147451623"/>
                    </w:sdtPr>
                    <w:sdtContent>
                      <w:p w14:paraId="3922A6BA">
                        <w:pPr>
                          <w:pStyle w:val="36"/>
                          <w:jc w:val="center"/>
                        </w:pPr>
                        <w:r>
                          <w:rPr>
                            <w:rFonts w:hint="default" w:ascii="Times New Roman" w:hAnsi="Times New Roman" w:cs="Times New Roman"/>
                          </w:rPr>
                          <w:fldChar w:fldCharType="begin"/>
                        </w:r>
                        <w:r>
                          <w:rPr>
                            <w:rFonts w:hint="default" w:ascii="Times New Roman" w:hAnsi="Times New Roman" w:cs="Times New Roman"/>
                          </w:rPr>
                          <w:instrText xml:space="preserve">PAGE   \* MERGEFORMAT</w:instrText>
                        </w:r>
                        <w:r>
                          <w:rPr>
                            <w:rFonts w:hint="default" w:ascii="Times New Roman" w:hAnsi="Times New Roman" w:cs="Times New Roman"/>
                          </w:rPr>
                          <w:fldChar w:fldCharType="separate"/>
                        </w:r>
                        <w:r>
                          <w:rPr>
                            <w:rFonts w:hint="default" w:ascii="Times New Roman" w:hAnsi="Times New Roman" w:cs="Times New Roman"/>
                            <w:lang w:val="zh-CN"/>
                          </w:rPr>
                          <w:t>39</w:t>
                        </w:r>
                        <w:r>
                          <w:rPr>
                            <w:rFonts w:hint="default" w:ascii="Times New Roman" w:hAnsi="Times New Roman" w:cs="Times New Roman"/>
                          </w:rPr>
                          <w:fldChar w:fldCharType="end"/>
                        </w:r>
                      </w:p>
                    </w:sdtContent>
                  </w:sdt>
                  <w:p w14:paraId="3ADD8C5A"/>
                </w:txbxContent>
              </v:textbox>
            </v:shape>
          </w:pict>
        </mc:Fallback>
      </mc:AlternateContent>
    </w:r>
  </w:p>
  <w:p w14:paraId="753BEEA2">
    <w:pPr>
      <w:pStyle w:val="36"/>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091E86">
    <w:pPr>
      <w:pStyle w:val="3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90CA0">
    <w:pPr>
      <w:pStyle w:val="38"/>
      <w:pBdr>
        <w:bottom w:val="none" w:color="auto" w:sz="0" w:space="0"/>
      </w:pBdr>
      <w:tabs>
        <w:tab w:val="left" w:pos="6292"/>
        <w:tab w:val="clear" w:pos="4153"/>
        <w:tab w:val="clear" w:pos="8306"/>
      </w:tabs>
      <w:jc w:val="both"/>
      <w:rPr>
        <w:rFonts w:eastAsia="宋体"/>
      </w:rPr>
    </w:pPr>
    <w:r>
      <w:rPr>
        <w:rFonts w:hint="eastAsia"/>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2C3C5">
    <w:pPr>
      <w:pStyle w:val="38"/>
      <w:pBdr>
        <w:bottom w:val="none" w:color="auto" w:sz="0" w:space="0"/>
      </w:pBdr>
      <w:ind w:firstLine="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951"/>
      <w:lvlText w:val="%1)"/>
      <w:lvlJc w:val="left"/>
      <w:pPr>
        <w:ind w:left="780" w:hanging="420"/>
      </w:p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1">
    <w:nsid w:val="B5E306ED"/>
    <w:multiLevelType w:val="multilevel"/>
    <w:tmpl w:val="B5E306ED"/>
    <w:lvl w:ilvl="0" w:tentative="0">
      <w:start w:val="1"/>
      <w:numFmt w:val="decimal"/>
      <w:pStyle w:val="632"/>
      <w:suff w:val="nothing"/>
      <w:lvlText w:val="附图%1："/>
      <w:lvlJc w:val="left"/>
      <w:pPr>
        <w:ind w:left="0" w:firstLine="0"/>
      </w:pPr>
      <w:rPr>
        <w:rFonts w:hint="eastAsia" w:ascii="宋体" w:hAnsi="宋体" w:eastAsia="宋体"/>
        <w:b/>
        <w:i w:val="0"/>
        <w:sz w:val="36"/>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BF205925"/>
    <w:multiLevelType w:val="multilevel"/>
    <w:tmpl w:val="BF205925"/>
    <w:lvl w:ilvl="0" w:tentative="0">
      <w:start w:val="1"/>
      <w:numFmt w:val="decimal"/>
      <w:pStyle w:val="630"/>
      <w:suff w:val="nothing"/>
      <w:lvlText w:val="附表%1："/>
      <w:lvlJc w:val="left"/>
      <w:pPr>
        <w:ind w:left="0" w:firstLine="0"/>
      </w:pPr>
      <w:rPr>
        <w:rFonts w:hint="eastAsia" w:ascii="宋体" w:hAnsi="宋体" w:eastAsia="宋体"/>
        <w:b/>
        <w:i w:val="0"/>
        <w:sz w:val="36"/>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C57F35C8"/>
    <w:multiLevelType w:val="singleLevel"/>
    <w:tmpl w:val="C57F35C8"/>
    <w:lvl w:ilvl="0" w:tentative="0">
      <w:start w:val="2"/>
      <w:numFmt w:val="chineseCounting"/>
      <w:suff w:val="nothing"/>
      <w:lvlText w:val="（%1）"/>
      <w:lvlJc w:val="left"/>
      <w:rPr>
        <w:rFonts w:hint="eastAsia"/>
      </w:rPr>
    </w:lvl>
  </w:abstractNum>
  <w:abstractNum w:abstractNumId="4">
    <w:nsid w:val="C8879AEF"/>
    <w:multiLevelType w:val="multilevel"/>
    <w:tmpl w:val="C8879AEF"/>
    <w:lvl w:ilvl="0" w:tentative="0">
      <w:start w:val="1"/>
      <w:numFmt w:val="decimal"/>
      <w:pStyle w:val="960"/>
      <w:suff w:val="space"/>
      <w:lvlText w:val="表%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CF092B84"/>
    <w:multiLevelType w:val="multilevel"/>
    <w:tmpl w:val="CF092B84"/>
    <w:lvl w:ilvl="0" w:tentative="0">
      <w:start w:val="1"/>
      <w:numFmt w:val="bullet"/>
      <w:pStyle w:val="14"/>
      <w:lvlText w:val=""/>
      <w:lvlJc w:val="left"/>
      <w:pPr>
        <w:tabs>
          <w:tab w:val="left" w:pos="1620"/>
        </w:tabs>
        <w:ind w:left="162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0053208E"/>
    <w:multiLevelType w:val="multilevel"/>
    <w:tmpl w:val="0053208E"/>
    <w:lvl w:ilvl="0" w:tentative="0">
      <w:start w:val="1"/>
      <w:numFmt w:val="decimal"/>
      <w:pStyle w:val="13"/>
      <w:lvlText w:val="%1."/>
      <w:lvlJc w:val="left"/>
      <w:pPr>
        <w:tabs>
          <w:tab w:val="left" w:pos="1854"/>
        </w:tabs>
        <w:ind w:left="1854"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248C179"/>
    <w:multiLevelType w:val="multilevel"/>
    <w:tmpl w:val="0248C179"/>
    <w:lvl w:ilvl="0" w:tentative="0">
      <w:start w:val="1"/>
      <w:numFmt w:val="bullet"/>
      <w:pStyle w:val="950"/>
      <w:suff w:val="space"/>
      <w:lvlText w:val=""/>
      <w:lvlJc w:val="left"/>
      <w:pPr>
        <w:ind w:left="420" w:hanging="420"/>
      </w:pPr>
      <w:rPr>
        <w:rFonts w:hint="default" w:ascii="Wingdings" w:hAnsi="Wingdings"/>
        <w:caps w:val="0"/>
        <w:strike w:val="0"/>
        <w:vanish w:val="0"/>
        <w:sz w:val="18"/>
        <w:vertAlign w:val="baseline"/>
      </w:rPr>
    </w:lvl>
    <w:lvl w:ilvl="1" w:tentative="0">
      <w:start w:val="1"/>
      <w:numFmt w:val="bullet"/>
      <w:lvlText w:val=""/>
      <w:lvlJc w:val="left"/>
      <w:pPr>
        <w:tabs>
          <w:tab w:val="left" w:pos="0"/>
        </w:tabs>
        <w:ind w:left="420" w:hanging="420"/>
      </w:pPr>
      <w:rPr>
        <w:rFonts w:hint="default" w:ascii="Wingdings" w:hAnsi="Wingdings"/>
        <w:caps w:val="0"/>
        <w:strike w:val="0"/>
        <w:vanish w:val="0"/>
        <w:color w:val="000000"/>
        <w:sz w:val="18"/>
        <w:vertAlign w:val="baseline"/>
      </w:rPr>
    </w:lvl>
    <w:lvl w:ilvl="2" w:tentative="0">
      <w:start w:val="1"/>
      <w:numFmt w:val="lowerRoman"/>
      <w:lvlText w:val="%3."/>
      <w:lvlJc w:val="right"/>
      <w:pPr>
        <w:tabs>
          <w:tab w:val="left" w:pos="0"/>
        </w:tabs>
        <w:ind w:left="420" w:hanging="420"/>
      </w:pPr>
      <w:rPr>
        <w:rFonts w:hint="eastAsia"/>
      </w:rPr>
    </w:lvl>
    <w:lvl w:ilvl="3" w:tentative="0">
      <w:start w:val="1"/>
      <w:numFmt w:val="decimal"/>
      <w:lvlText w:val="%4."/>
      <w:lvlJc w:val="left"/>
      <w:pPr>
        <w:tabs>
          <w:tab w:val="left" w:pos="0"/>
        </w:tabs>
        <w:ind w:left="420" w:hanging="420"/>
      </w:pPr>
      <w:rPr>
        <w:rFonts w:hint="eastAsia"/>
      </w:rPr>
    </w:lvl>
    <w:lvl w:ilvl="4" w:tentative="0">
      <w:start w:val="1"/>
      <w:numFmt w:val="lowerLetter"/>
      <w:lvlText w:val="%5)"/>
      <w:lvlJc w:val="left"/>
      <w:pPr>
        <w:tabs>
          <w:tab w:val="left" w:pos="0"/>
        </w:tabs>
        <w:ind w:left="420" w:hanging="420"/>
      </w:pPr>
      <w:rPr>
        <w:rFonts w:hint="eastAsia"/>
      </w:rPr>
    </w:lvl>
    <w:lvl w:ilvl="5" w:tentative="0">
      <w:start w:val="1"/>
      <w:numFmt w:val="lowerRoman"/>
      <w:lvlText w:val="%6."/>
      <w:lvlJc w:val="right"/>
      <w:pPr>
        <w:tabs>
          <w:tab w:val="left" w:pos="0"/>
        </w:tabs>
        <w:ind w:left="420" w:hanging="420"/>
      </w:pPr>
      <w:rPr>
        <w:rFonts w:hint="eastAsia"/>
      </w:rPr>
    </w:lvl>
    <w:lvl w:ilvl="6" w:tentative="0">
      <w:start w:val="1"/>
      <w:numFmt w:val="decimal"/>
      <w:lvlText w:val="%7."/>
      <w:lvlJc w:val="left"/>
      <w:pPr>
        <w:tabs>
          <w:tab w:val="left" w:pos="0"/>
        </w:tabs>
        <w:ind w:left="420" w:hanging="420"/>
      </w:pPr>
      <w:rPr>
        <w:rFonts w:hint="eastAsia"/>
      </w:rPr>
    </w:lvl>
    <w:lvl w:ilvl="7" w:tentative="0">
      <w:start w:val="1"/>
      <w:numFmt w:val="lowerLetter"/>
      <w:lvlText w:val="%8)"/>
      <w:lvlJc w:val="left"/>
      <w:pPr>
        <w:tabs>
          <w:tab w:val="left" w:pos="0"/>
        </w:tabs>
        <w:ind w:left="420" w:hanging="420"/>
      </w:pPr>
      <w:rPr>
        <w:rFonts w:hint="eastAsia"/>
      </w:rPr>
    </w:lvl>
    <w:lvl w:ilvl="8" w:tentative="0">
      <w:start w:val="1"/>
      <w:numFmt w:val="lowerRoman"/>
      <w:lvlText w:val="%9."/>
      <w:lvlJc w:val="right"/>
      <w:pPr>
        <w:tabs>
          <w:tab w:val="left" w:pos="0"/>
        </w:tabs>
        <w:ind w:left="420" w:hanging="420"/>
      </w:pPr>
      <w:rPr>
        <w:rFonts w:hint="eastAsia"/>
      </w:rPr>
    </w:lvl>
  </w:abstractNum>
  <w:abstractNum w:abstractNumId="8">
    <w:nsid w:val="03D62ECE"/>
    <w:multiLevelType w:val="multilevel"/>
    <w:tmpl w:val="03D62ECE"/>
    <w:lvl w:ilvl="0" w:tentative="0">
      <w:start w:val="1"/>
      <w:numFmt w:val="none"/>
      <w:lvlText w:val="1)"/>
      <w:lvlJc w:val="left"/>
      <w:pPr>
        <w:ind w:left="839" w:hanging="419"/>
      </w:pPr>
    </w:lvl>
    <w:lvl w:ilvl="1" w:tentative="0">
      <w:start w:val="2"/>
      <w:numFmt w:val="decimal"/>
      <w:lvlText w:val="%2)"/>
      <w:lvlJc w:val="left"/>
      <w:pPr>
        <w:ind w:left="839" w:hanging="419"/>
      </w:pPr>
    </w:lvl>
    <w:lvl w:ilvl="2" w:tentative="0">
      <w:start w:val="1"/>
      <w:numFmt w:val="none"/>
      <w:lvlRestart w:val="0"/>
      <w:lvlText w:val="%3a)"/>
      <w:lvlJc w:val="left"/>
      <w:pPr>
        <w:ind w:left="1259" w:hanging="420"/>
      </w:pPr>
    </w:lvl>
    <w:lvl w:ilvl="3" w:tentative="0">
      <w:start w:val="2"/>
      <w:numFmt w:val="lowerLetter"/>
      <w:lvlText w:val="%4)"/>
      <w:lvlJc w:val="left"/>
      <w:pPr>
        <w:ind w:left="1259"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2A8F537B"/>
    <w:multiLevelType w:val="multilevel"/>
    <w:tmpl w:val="2A8F537B"/>
    <w:lvl w:ilvl="0" w:tentative="0">
      <w:start w:val="1"/>
      <w:numFmt w:val="decimal"/>
      <w:pStyle w:val="956"/>
      <w:lvlText w:val="%1)"/>
      <w:lvlJc w:val="left"/>
      <w:pPr>
        <w:ind w:left="420" w:firstLine="0"/>
      </w:pPr>
      <w:rPr>
        <w:rFonts w:hint="eastAsia"/>
      </w:rPr>
    </w:lvl>
    <w:lvl w:ilvl="1" w:tentative="0">
      <w:start w:val="1"/>
      <w:numFmt w:val="lowerLetter"/>
      <w:lvlText w:val="%2)"/>
      <w:lvlJc w:val="left"/>
      <w:pPr>
        <w:ind w:left="420" w:hanging="420"/>
      </w:pPr>
    </w:lvl>
    <w:lvl w:ilvl="2" w:tentative="0">
      <w:start w:val="1"/>
      <w:numFmt w:val="lowerRoman"/>
      <w:lvlText w:val="%3."/>
      <w:lvlJc w:val="right"/>
      <w:pPr>
        <w:ind w:left="840" w:hanging="420"/>
      </w:pPr>
    </w:lvl>
    <w:lvl w:ilvl="3" w:tentative="0">
      <w:start w:val="1"/>
      <w:numFmt w:val="decimal"/>
      <w:lvlText w:val="%4."/>
      <w:lvlJc w:val="left"/>
      <w:pPr>
        <w:ind w:left="1260" w:hanging="420"/>
      </w:pPr>
    </w:lvl>
    <w:lvl w:ilvl="4" w:tentative="0">
      <w:start w:val="1"/>
      <w:numFmt w:val="lowerLetter"/>
      <w:lvlText w:val="%5)"/>
      <w:lvlJc w:val="left"/>
      <w:pPr>
        <w:ind w:left="1680" w:hanging="420"/>
      </w:pPr>
    </w:lvl>
    <w:lvl w:ilvl="5" w:tentative="0">
      <w:start w:val="1"/>
      <w:numFmt w:val="lowerRoman"/>
      <w:lvlText w:val="%6."/>
      <w:lvlJc w:val="right"/>
      <w:pPr>
        <w:ind w:left="2100" w:hanging="420"/>
      </w:pPr>
    </w:lvl>
    <w:lvl w:ilvl="6" w:tentative="0">
      <w:start w:val="1"/>
      <w:numFmt w:val="decimal"/>
      <w:lvlText w:val="%7."/>
      <w:lvlJc w:val="left"/>
      <w:pPr>
        <w:ind w:left="2520" w:hanging="420"/>
      </w:pPr>
    </w:lvl>
    <w:lvl w:ilvl="7" w:tentative="0">
      <w:start w:val="1"/>
      <w:numFmt w:val="lowerLetter"/>
      <w:lvlText w:val="%8)"/>
      <w:lvlJc w:val="left"/>
      <w:pPr>
        <w:ind w:left="2940" w:hanging="420"/>
      </w:pPr>
    </w:lvl>
    <w:lvl w:ilvl="8" w:tentative="0">
      <w:start w:val="1"/>
      <w:numFmt w:val="lowerRoman"/>
      <w:lvlText w:val="%9."/>
      <w:lvlJc w:val="right"/>
      <w:pPr>
        <w:ind w:left="3360" w:hanging="420"/>
      </w:pPr>
    </w:lvl>
  </w:abstractNum>
  <w:abstractNum w:abstractNumId="10">
    <w:nsid w:val="4D4DC07F"/>
    <w:multiLevelType w:val="multilevel"/>
    <w:tmpl w:val="4D4DC07F"/>
    <w:lvl w:ilvl="0" w:tentative="0">
      <w:start w:val="1"/>
      <w:numFmt w:val="bullet"/>
      <w:pStyle w:val="984"/>
      <w:lvlText w:val=""/>
      <w:lvlJc w:val="left"/>
      <w:pPr>
        <w:ind w:left="846" w:hanging="420"/>
      </w:pPr>
      <w:rPr>
        <w:rFonts w:hint="default" w:ascii="Wingdings" w:hAnsi="Wingdings"/>
      </w:rPr>
    </w:lvl>
    <w:lvl w:ilvl="1" w:tentative="0">
      <w:start w:val="1"/>
      <w:numFmt w:val="bullet"/>
      <w:lvlText w:val=""/>
      <w:lvlJc w:val="left"/>
      <w:pPr>
        <w:ind w:left="1124" w:hanging="420"/>
      </w:pPr>
      <w:rPr>
        <w:rFonts w:hint="default" w:ascii="Wingdings" w:hAnsi="Wingdings"/>
      </w:rPr>
    </w:lvl>
    <w:lvl w:ilvl="2" w:tentative="0">
      <w:start w:val="1"/>
      <w:numFmt w:val="bullet"/>
      <w:lvlText w:val=""/>
      <w:lvlJc w:val="left"/>
      <w:pPr>
        <w:ind w:left="1544" w:hanging="420"/>
      </w:pPr>
      <w:rPr>
        <w:rFonts w:hint="default" w:ascii="Wingdings" w:hAnsi="Wingdings"/>
      </w:rPr>
    </w:lvl>
    <w:lvl w:ilvl="3" w:tentative="0">
      <w:start w:val="1"/>
      <w:numFmt w:val="bullet"/>
      <w:lvlText w:val=""/>
      <w:lvlJc w:val="left"/>
      <w:pPr>
        <w:ind w:left="1964" w:hanging="420"/>
      </w:pPr>
      <w:rPr>
        <w:rFonts w:hint="default" w:ascii="Wingdings" w:hAnsi="Wingdings"/>
      </w:rPr>
    </w:lvl>
    <w:lvl w:ilvl="4" w:tentative="0">
      <w:start w:val="1"/>
      <w:numFmt w:val="bullet"/>
      <w:lvlText w:val=""/>
      <w:lvlJc w:val="left"/>
      <w:pPr>
        <w:ind w:left="2384" w:hanging="420"/>
      </w:pPr>
      <w:rPr>
        <w:rFonts w:hint="default" w:ascii="Wingdings" w:hAnsi="Wingdings"/>
      </w:rPr>
    </w:lvl>
    <w:lvl w:ilvl="5" w:tentative="0">
      <w:start w:val="1"/>
      <w:numFmt w:val="bullet"/>
      <w:lvlText w:val=""/>
      <w:lvlJc w:val="left"/>
      <w:pPr>
        <w:ind w:left="2804" w:hanging="420"/>
      </w:pPr>
      <w:rPr>
        <w:rFonts w:hint="default" w:ascii="Wingdings" w:hAnsi="Wingdings"/>
      </w:rPr>
    </w:lvl>
    <w:lvl w:ilvl="6" w:tentative="0">
      <w:start w:val="1"/>
      <w:numFmt w:val="bullet"/>
      <w:lvlText w:val=""/>
      <w:lvlJc w:val="left"/>
      <w:pPr>
        <w:ind w:left="3224" w:hanging="420"/>
      </w:pPr>
      <w:rPr>
        <w:rFonts w:hint="default" w:ascii="Wingdings" w:hAnsi="Wingdings"/>
      </w:rPr>
    </w:lvl>
    <w:lvl w:ilvl="7" w:tentative="0">
      <w:start w:val="1"/>
      <w:numFmt w:val="bullet"/>
      <w:lvlText w:val=""/>
      <w:lvlJc w:val="left"/>
      <w:pPr>
        <w:ind w:left="3644" w:hanging="420"/>
      </w:pPr>
      <w:rPr>
        <w:rFonts w:hint="default" w:ascii="Wingdings" w:hAnsi="Wingdings"/>
      </w:rPr>
    </w:lvl>
    <w:lvl w:ilvl="8" w:tentative="0">
      <w:start w:val="1"/>
      <w:numFmt w:val="bullet"/>
      <w:lvlText w:val=""/>
      <w:lvlJc w:val="left"/>
      <w:pPr>
        <w:ind w:left="4064" w:hanging="420"/>
      </w:pPr>
      <w:rPr>
        <w:rFonts w:hint="default" w:ascii="Wingdings" w:hAnsi="Wingdings"/>
      </w:rPr>
    </w:lvl>
  </w:abstractNum>
  <w:abstractNum w:abstractNumId="11">
    <w:nsid w:val="59ADCABA"/>
    <w:multiLevelType w:val="multilevel"/>
    <w:tmpl w:val="59ADCABA"/>
    <w:lvl w:ilvl="0" w:tentative="0">
      <w:start w:val="1"/>
      <w:numFmt w:val="japaneseCounting"/>
      <w:pStyle w:val="610"/>
      <w:suff w:val="nothing"/>
      <w:lvlText w:val="%1、"/>
      <w:lvlJc w:val="left"/>
      <w:pPr>
        <w:ind w:firstLine="420"/>
      </w:pPr>
      <w:rPr>
        <w:rFonts w:asciiTheme="minorHAnsi" w:hAnsiTheme="minorHAnsi" w:eastAsiaTheme="minorEastAsia" w:cstheme="minorBidi"/>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5A241D34"/>
    <w:multiLevelType w:val="multilevel"/>
    <w:tmpl w:val="5A241D34"/>
    <w:lvl w:ilvl="0" w:tentative="0">
      <w:start w:val="1"/>
      <w:numFmt w:val="decimal"/>
      <w:lvlText w:val="%1."/>
      <w:lvlJc w:val="left"/>
      <w:pPr>
        <w:ind w:left="4679" w:hanging="425"/>
      </w:pPr>
    </w:lvl>
    <w:lvl w:ilvl="1" w:tentative="0">
      <w:start w:val="1"/>
      <w:numFmt w:val="decimal"/>
      <w:lvlText w:val="%1.%2."/>
      <w:lvlJc w:val="left"/>
      <w:pPr>
        <w:ind w:left="4821" w:hanging="567"/>
      </w:pPr>
    </w:lvl>
    <w:lvl w:ilvl="2" w:tentative="0">
      <w:start w:val="1"/>
      <w:numFmt w:val="decimal"/>
      <w:lvlText w:val="%1.%2.%3."/>
      <w:lvlJc w:val="left"/>
      <w:pPr>
        <w:ind w:left="4963" w:hanging="709"/>
      </w:pPr>
    </w:lvl>
    <w:lvl w:ilvl="3" w:tentative="0">
      <w:start w:val="1"/>
      <w:numFmt w:val="decimal"/>
      <w:lvlText w:val="%1.%2.%3.%4."/>
      <w:lvlJc w:val="left"/>
      <w:pPr>
        <w:ind w:left="5105" w:hanging="851"/>
      </w:pPr>
    </w:lvl>
    <w:lvl w:ilvl="4" w:tentative="0">
      <w:start w:val="1"/>
      <w:numFmt w:val="decimal"/>
      <w:pStyle w:val="957"/>
      <w:lvlText w:val="%1.%2.%3.%4.%5."/>
      <w:lvlJc w:val="left"/>
      <w:pPr>
        <w:ind w:left="5246" w:hanging="992"/>
      </w:pPr>
    </w:lvl>
    <w:lvl w:ilvl="5" w:tentative="0">
      <w:start w:val="1"/>
      <w:numFmt w:val="decimal"/>
      <w:lvlText w:val="%1.%2.%3.%4.%5.%6."/>
      <w:lvlJc w:val="left"/>
      <w:pPr>
        <w:ind w:left="5388" w:hanging="1134"/>
      </w:pPr>
    </w:lvl>
    <w:lvl w:ilvl="6" w:tentative="0">
      <w:start w:val="1"/>
      <w:numFmt w:val="decimal"/>
      <w:lvlText w:val="%1.%2.%3.%4.%5.%6.%7."/>
      <w:lvlJc w:val="left"/>
      <w:pPr>
        <w:ind w:left="5530" w:hanging="1276"/>
      </w:pPr>
    </w:lvl>
    <w:lvl w:ilvl="7" w:tentative="0">
      <w:start w:val="1"/>
      <w:numFmt w:val="decimal"/>
      <w:lvlText w:val="%1.%2.%3.%4.%5.%6.%7.%8."/>
      <w:lvlJc w:val="left"/>
      <w:pPr>
        <w:ind w:left="5672" w:hanging="1418"/>
      </w:pPr>
    </w:lvl>
    <w:lvl w:ilvl="8" w:tentative="0">
      <w:start w:val="1"/>
      <w:numFmt w:val="decimal"/>
      <w:lvlText w:val="%1.%2.%3.%4.%5.%6.%7.%8.%9."/>
      <w:lvlJc w:val="left"/>
      <w:pPr>
        <w:ind w:left="5813" w:hanging="1559"/>
      </w:pPr>
    </w:lvl>
  </w:abstractNum>
  <w:abstractNum w:abstractNumId="13">
    <w:nsid w:val="72183CF9"/>
    <w:multiLevelType w:val="multilevel"/>
    <w:tmpl w:val="72183CF9"/>
    <w:lvl w:ilvl="0" w:tentative="0">
      <w:start w:val="1"/>
      <w:numFmt w:val="decimal"/>
      <w:pStyle w:val="653"/>
      <w:lvlText w:val="(%1)"/>
      <w:lvlJc w:val="left"/>
      <w:pPr>
        <w:ind w:left="425" w:hanging="425"/>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11"/>
  </w:num>
  <w:num w:numId="4">
    <w:abstractNumId w:val="2"/>
  </w:num>
  <w:num w:numId="5">
    <w:abstractNumId w:val="1"/>
  </w:num>
  <w:num w:numId="6">
    <w:abstractNumId w:val="8"/>
    <w:lvlOverride w:ilvl="0">
      <w:lvl w:ilvl="0" w:tentative="1">
        <w:start w:val="1"/>
        <w:numFmt w:val="decimal"/>
        <w:lvlText w:val="1)"/>
        <w:lvlJc w:val="left"/>
        <w:pPr>
          <w:ind w:left="839" w:hanging="419"/>
        </w:pPr>
      </w:lvl>
    </w:lvlOverride>
    <w:lvlOverride w:ilvl="1">
      <w:lvl w:ilvl="1" w:tentative="1">
        <w:start w:val="2"/>
        <w:numFmt w:val="decimal"/>
        <w:lvlText w:val="%2)"/>
        <w:lvlJc w:val="left"/>
        <w:pPr>
          <w:ind w:left="839" w:hanging="419"/>
        </w:pPr>
      </w:lvl>
    </w:lvlOverride>
    <w:lvlOverride w:ilvl="2">
      <w:lvl w:ilvl="2" w:tentative="1">
        <w:start w:val="1"/>
        <w:numFmt w:val="decimal"/>
        <w:lvlRestart w:val="0"/>
        <w:lvlText w:val="%3a)"/>
        <w:lvlJc w:val="left"/>
        <w:pPr>
          <w:ind w:left="1259" w:hanging="420"/>
        </w:pPr>
      </w:lvl>
    </w:lvlOverride>
    <w:lvlOverride w:ilvl="3">
      <w:lvl w:ilvl="3" w:tentative="1">
        <w:start w:val="2"/>
        <w:numFmt w:val="decimal"/>
        <w:pStyle w:val="635"/>
        <w:lvlText w:val="%4)"/>
        <w:lvlJc w:val="left"/>
        <w:pPr>
          <w:ind w:left="1259" w:hanging="420"/>
        </w:pPr>
      </w:lvl>
    </w:lvlOverride>
    <w:lvlOverride w:ilvl="4">
      <w:lvl w:ilvl="4" w:tentative="1">
        <w:start w:val="1"/>
        <w:numFmt w:val="decimal"/>
        <w:lvlText w:val="%5)"/>
        <w:lvlJc w:val="left"/>
        <w:pPr>
          <w:ind w:left="2520" w:hanging="420"/>
        </w:pPr>
      </w:lvl>
    </w:lvlOverride>
    <w:lvlOverride w:ilvl="5">
      <w:lvl w:ilvl="5" w:tentative="1">
        <w:start w:val="1"/>
        <w:numFmt w:val="decimal"/>
        <w:lvlText w:val="%6."/>
        <w:lvlJc w:val="right"/>
        <w:pPr>
          <w:ind w:left="2940" w:hanging="420"/>
        </w:pPr>
      </w:lvl>
    </w:lvlOverride>
    <w:lvlOverride w:ilvl="6">
      <w:lvl w:ilvl="6" w:tentative="1">
        <w:start w:val="1"/>
        <w:numFmt w:val="decimal"/>
        <w:lvlText w:val="%7."/>
        <w:lvlJc w:val="left"/>
        <w:pPr>
          <w:ind w:left="3360" w:hanging="420"/>
        </w:pPr>
      </w:lvl>
    </w:lvlOverride>
    <w:lvlOverride w:ilvl="7">
      <w:lvl w:ilvl="7" w:tentative="1">
        <w:start w:val="1"/>
        <w:numFmt w:val="decimal"/>
        <w:lvlText w:val="%8)"/>
        <w:lvlJc w:val="left"/>
        <w:pPr>
          <w:ind w:left="3780" w:hanging="420"/>
        </w:pPr>
      </w:lvl>
    </w:lvlOverride>
    <w:lvlOverride w:ilvl="8">
      <w:lvl w:ilvl="8" w:tentative="1">
        <w:start w:val="1"/>
        <w:numFmt w:val="decimal"/>
        <w:lvlText w:val="%9."/>
        <w:lvlJc w:val="right"/>
        <w:pPr>
          <w:ind w:left="4200" w:hanging="420"/>
        </w:pPr>
      </w:lvl>
    </w:lvlOverride>
  </w:num>
  <w:num w:numId="7">
    <w:abstractNumId w:val="13"/>
  </w:num>
  <w:num w:numId="8">
    <w:abstractNumId w:val="7"/>
  </w:num>
  <w:num w:numId="9">
    <w:abstractNumId w:val="0"/>
  </w:num>
  <w:num w:numId="10">
    <w:abstractNumId w:val="9"/>
  </w:num>
  <w:num w:numId="11">
    <w:abstractNumId w:val="12"/>
  </w:num>
  <w:num w:numId="12">
    <w:abstractNumId w:val="4"/>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6C0"/>
    <w:rsid w:val="000D2A20"/>
    <w:rsid w:val="00144AA8"/>
    <w:rsid w:val="002A083A"/>
    <w:rsid w:val="002A55E1"/>
    <w:rsid w:val="0035219F"/>
    <w:rsid w:val="003658AD"/>
    <w:rsid w:val="003A5C14"/>
    <w:rsid w:val="003C4D6C"/>
    <w:rsid w:val="00413C66"/>
    <w:rsid w:val="004449DF"/>
    <w:rsid w:val="004C547F"/>
    <w:rsid w:val="005956BC"/>
    <w:rsid w:val="005C52A7"/>
    <w:rsid w:val="006E0278"/>
    <w:rsid w:val="007E4715"/>
    <w:rsid w:val="008A7562"/>
    <w:rsid w:val="008D1483"/>
    <w:rsid w:val="008D14D7"/>
    <w:rsid w:val="009176C0"/>
    <w:rsid w:val="00A354BD"/>
    <w:rsid w:val="00B72020"/>
    <w:rsid w:val="00CA45BD"/>
    <w:rsid w:val="00D01459"/>
    <w:rsid w:val="00D82034"/>
    <w:rsid w:val="00D86DF1"/>
    <w:rsid w:val="00DA1B58"/>
    <w:rsid w:val="00E16CEE"/>
    <w:rsid w:val="00E806F2"/>
    <w:rsid w:val="01457570"/>
    <w:rsid w:val="0194780A"/>
    <w:rsid w:val="01A22C15"/>
    <w:rsid w:val="01D80100"/>
    <w:rsid w:val="01D859CB"/>
    <w:rsid w:val="025C7A5F"/>
    <w:rsid w:val="027469F5"/>
    <w:rsid w:val="03BF6CEB"/>
    <w:rsid w:val="05143E2A"/>
    <w:rsid w:val="05557F9E"/>
    <w:rsid w:val="056E0609"/>
    <w:rsid w:val="05E008D0"/>
    <w:rsid w:val="06363CF6"/>
    <w:rsid w:val="07473243"/>
    <w:rsid w:val="078D7EC3"/>
    <w:rsid w:val="07E66653"/>
    <w:rsid w:val="085C2446"/>
    <w:rsid w:val="08914579"/>
    <w:rsid w:val="08F271B7"/>
    <w:rsid w:val="095E6CA5"/>
    <w:rsid w:val="098F0433"/>
    <w:rsid w:val="0A124F9F"/>
    <w:rsid w:val="0A4D7D33"/>
    <w:rsid w:val="0AAA00CF"/>
    <w:rsid w:val="0AB26910"/>
    <w:rsid w:val="0AE95B0C"/>
    <w:rsid w:val="0B5232ED"/>
    <w:rsid w:val="0B5807E8"/>
    <w:rsid w:val="0B971310"/>
    <w:rsid w:val="0BD64717"/>
    <w:rsid w:val="0BD85E41"/>
    <w:rsid w:val="0BE94DC3"/>
    <w:rsid w:val="0BFA364D"/>
    <w:rsid w:val="0C3F0A5E"/>
    <w:rsid w:val="0C943AA2"/>
    <w:rsid w:val="0D810BAF"/>
    <w:rsid w:val="0DD01284"/>
    <w:rsid w:val="0DF06AB6"/>
    <w:rsid w:val="0F5355AE"/>
    <w:rsid w:val="0F9E0235"/>
    <w:rsid w:val="0FB25CBD"/>
    <w:rsid w:val="10036E70"/>
    <w:rsid w:val="104C32F3"/>
    <w:rsid w:val="10A90362"/>
    <w:rsid w:val="10AA7D4E"/>
    <w:rsid w:val="11335637"/>
    <w:rsid w:val="114F0544"/>
    <w:rsid w:val="118C2F9A"/>
    <w:rsid w:val="11E60541"/>
    <w:rsid w:val="12411FD6"/>
    <w:rsid w:val="12C068C4"/>
    <w:rsid w:val="13103CB9"/>
    <w:rsid w:val="132C1B59"/>
    <w:rsid w:val="136273F1"/>
    <w:rsid w:val="149B6264"/>
    <w:rsid w:val="14E135FC"/>
    <w:rsid w:val="14ED2365"/>
    <w:rsid w:val="15202377"/>
    <w:rsid w:val="164F0893"/>
    <w:rsid w:val="17284349"/>
    <w:rsid w:val="17754899"/>
    <w:rsid w:val="17FF2717"/>
    <w:rsid w:val="1820443C"/>
    <w:rsid w:val="184526DF"/>
    <w:rsid w:val="187F2A1E"/>
    <w:rsid w:val="18E303F6"/>
    <w:rsid w:val="191B1CDA"/>
    <w:rsid w:val="19E5593D"/>
    <w:rsid w:val="1B582381"/>
    <w:rsid w:val="1B99360F"/>
    <w:rsid w:val="1BED7F05"/>
    <w:rsid w:val="1C4F57A1"/>
    <w:rsid w:val="1CD23EF9"/>
    <w:rsid w:val="1DD40180"/>
    <w:rsid w:val="1E2D0B4E"/>
    <w:rsid w:val="1E7718F6"/>
    <w:rsid w:val="1EAB0141"/>
    <w:rsid w:val="1ED55F80"/>
    <w:rsid w:val="1EDF295B"/>
    <w:rsid w:val="1EF04110"/>
    <w:rsid w:val="1FB16C3F"/>
    <w:rsid w:val="21BF16DB"/>
    <w:rsid w:val="23074B60"/>
    <w:rsid w:val="231F4C56"/>
    <w:rsid w:val="232B6B2C"/>
    <w:rsid w:val="23490CEA"/>
    <w:rsid w:val="23FA061B"/>
    <w:rsid w:val="24243E05"/>
    <w:rsid w:val="24D96ACF"/>
    <w:rsid w:val="24DB2D1A"/>
    <w:rsid w:val="255D6CCF"/>
    <w:rsid w:val="25774BC8"/>
    <w:rsid w:val="25D8025A"/>
    <w:rsid w:val="25E9532A"/>
    <w:rsid w:val="26515D64"/>
    <w:rsid w:val="26E85EF6"/>
    <w:rsid w:val="27501A06"/>
    <w:rsid w:val="27547F59"/>
    <w:rsid w:val="27982EAB"/>
    <w:rsid w:val="27CF39B9"/>
    <w:rsid w:val="28291D8F"/>
    <w:rsid w:val="287A1946"/>
    <w:rsid w:val="28CF57EE"/>
    <w:rsid w:val="29565F3D"/>
    <w:rsid w:val="2981671A"/>
    <w:rsid w:val="29C37547"/>
    <w:rsid w:val="29FC6970"/>
    <w:rsid w:val="2A6F54DA"/>
    <w:rsid w:val="2A946E68"/>
    <w:rsid w:val="2AA40C82"/>
    <w:rsid w:val="2ACB231E"/>
    <w:rsid w:val="2AD27817"/>
    <w:rsid w:val="2BFB1B9B"/>
    <w:rsid w:val="2C505482"/>
    <w:rsid w:val="2C840FE5"/>
    <w:rsid w:val="2CD56C19"/>
    <w:rsid w:val="2CEA52EC"/>
    <w:rsid w:val="2CF6225B"/>
    <w:rsid w:val="2D8D48CB"/>
    <w:rsid w:val="2DB41456"/>
    <w:rsid w:val="2DB94473"/>
    <w:rsid w:val="2E915BA4"/>
    <w:rsid w:val="2EDA313F"/>
    <w:rsid w:val="2EEE7427"/>
    <w:rsid w:val="2F3E02C0"/>
    <w:rsid w:val="2F703B37"/>
    <w:rsid w:val="2F813FD6"/>
    <w:rsid w:val="302E3742"/>
    <w:rsid w:val="30751371"/>
    <w:rsid w:val="30BE3F5C"/>
    <w:rsid w:val="30EB1633"/>
    <w:rsid w:val="31BE0AF5"/>
    <w:rsid w:val="32C4213C"/>
    <w:rsid w:val="32F43A5F"/>
    <w:rsid w:val="335F3CCF"/>
    <w:rsid w:val="33822768"/>
    <w:rsid w:val="33A67CB6"/>
    <w:rsid w:val="33F86629"/>
    <w:rsid w:val="343A4DA2"/>
    <w:rsid w:val="3599395F"/>
    <w:rsid w:val="360A2C76"/>
    <w:rsid w:val="36FD3E6E"/>
    <w:rsid w:val="370E409C"/>
    <w:rsid w:val="374E1BAF"/>
    <w:rsid w:val="37537F32"/>
    <w:rsid w:val="37590D17"/>
    <w:rsid w:val="3781684D"/>
    <w:rsid w:val="389071E2"/>
    <w:rsid w:val="38E942A0"/>
    <w:rsid w:val="39271432"/>
    <w:rsid w:val="396010F1"/>
    <w:rsid w:val="39684EB4"/>
    <w:rsid w:val="3A8E0B3B"/>
    <w:rsid w:val="3A9659F5"/>
    <w:rsid w:val="3B1F4044"/>
    <w:rsid w:val="3C652116"/>
    <w:rsid w:val="3CCE2B34"/>
    <w:rsid w:val="3D205D17"/>
    <w:rsid w:val="3DBF2615"/>
    <w:rsid w:val="3F517BB5"/>
    <w:rsid w:val="3F823162"/>
    <w:rsid w:val="3FA806EF"/>
    <w:rsid w:val="3FB84DD6"/>
    <w:rsid w:val="40FD6DCE"/>
    <w:rsid w:val="41412A75"/>
    <w:rsid w:val="41B16896"/>
    <w:rsid w:val="41E7660E"/>
    <w:rsid w:val="42A76F80"/>
    <w:rsid w:val="42B64197"/>
    <w:rsid w:val="441924CA"/>
    <w:rsid w:val="446F1467"/>
    <w:rsid w:val="45B115F8"/>
    <w:rsid w:val="45C97502"/>
    <w:rsid w:val="45D5234C"/>
    <w:rsid w:val="45D87CF5"/>
    <w:rsid w:val="46073EC4"/>
    <w:rsid w:val="464A2500"/>
    <w:rsid w:val="46911EDD"/>
    <w:rsid w:val="46B5385F"/>
    <w:rsid w:val="471C5C89"/>
    <w:rsid w:val="47B9793D"/>
    <w:rsid w:val="47E56984"/>
    <w:rsid w:val="48244021"/>
    <w:rsid w:val="4828061F"/>
    <w:rsid w:val="48435459"/>
    <w:rsid w:val="485633DE"/>
    <w:rsid w:val="495C2C76"/>
    <w:rsid w:val="496B7101"/>
    <w:rsid w:val="4A161077"/>
    <w:rsid w:val="4B906C07"/>
    <w:rsid w:val="4C0F1B08"/>
    <w:rsid w:val="4C931859"/>
    <w:rsid w:val="4CF7339A"/>
    <w:rsid w:val="4CFF7966"/>
    <w:rsid w:val="4DC51B47"/>
    <w:rsid w:val="4ED05CBC"/>
    <w:rsid w:val="4F400944"/>
    <w:rsid w:val="4F4A5326"/>
    <w:rsid w:val="4F6031FC"/>
    <w:rsid w:val="50B417CC"/>
    <w:rsid w:val="50F419E6"/>
    <w:rsid w:val="518F76C0"/>
    <w:rsid w:val="51D83203"/>
    <w:rsid w:val="51DA6E2E"/>
    <w:rsid w:val="52A45D24"/>
    <w:rsid w:val="52B70F1D"/>
    <w:rsid w:val="52D356F3"/>
    <w:rsid w:val="52EB76D0"/>
    <w:rsid w:val="5317767D"/>
    <w:rsid w:val="533D3D2C"/>
    <w:rsid w:val="536536CD"/>
    <w:rsid w:val="543C3DD0"/>
    <w:rsid w:val="54F248D0"/>
    <w:rsid w:val="55173EF5"/>
    <w:rsid w:val="552503C0"/>
    <w:rsid w:val="558C7202"/>
    <w:rsid w:val="55C72EB8"/>
    <w:rsid w:val="560857B6"/>
    <w:rsid w:val="56244555"/>
    <w:rsid w:val="57991311"/>
    <w:rsid w:val="57D719C0"/>
    <w:rsid w:val="586616BE"/>
    <w:rsid w:val="586823DC"/>
    <w:rsid w:val="58E04A8C"/>
    <w:rsid w:val="5947124D"/>
    <w:rsid w:val="594F426F"/>
    <w:rsid w:val="596E57A6"/>
    <w:rsid w:val="59821704"/>
    <w:rsid w:val="5A6B648D"/>
    <w:rsid w:val="5A727A49"/>
    <w:rsid w:val="5A767910"/>
    <w:rsid w:val="5B690070"/>
    <w:rsid w:val="5B7F45A2"/>
    <w:rsid w:val="5C0C5724"/>
    <w:rsid w:val="5C297083"/>
    <w:rsid w:val="5C474D3A"/>
    <w:rsid w:val="5CA84336"/>
    <w:rsid w:val="5CD85C35"/>
    <w:rsid w:val="5D062AC6"/>
    <w:rsid w:val="5D141674"/>
    <w:rsid w:val="5DD7107A"/>
    <w:rsid w:val="5E1E3064"/>
    <w:rsid w:val="5E9A0997"/>
    <w:rsid w:val="5F2825B7"/>
    <w:rsid w:val="5F4D4F1A"/>
    <w:rsid w:val="5F8C56A9"/>
    <w:rsid w:val="5F91136E"/>
    <w:rsid w:val="60255718"/>
    <w:rsid w:val="606C36F8"/>
    <w:rsid w:val="60757548"/>
    <w:rsid w:val="60E7755F"/>
    <w:rsid w:val="616C19B4"/>
    <w:rsid w:val="617A4C24"/>
    <w:rsid w:val="61872199"/>
    <w:rsid w:val="61DB4C28"/>
    <w:rsid w:val="62946B85"/>
    <w:rsid w:val="637C335C"/>
    <w:rsid w:val="638C5AAE"/>
    <w:rsid w:val="63E8362C"/>
    <w:rsid w:val="63E91B17"/>
    <w:rsid w:val="64137D86"/>
    <w:rsid w:val="649015CE"/>
    <w:rsid w:val="64A22A05"/>
    <w:rsid w:val="64EE6A20"/>
    <w:rsid w:val="65474383"/>
    <w:rsid w:val="65586590"/>
    <w:rsid w:val="670853FD"/>
    <w:rsid w:val="67B6134C"/>
    <w:rsid w:val="68507D88"/>
    <w:rsid w:val="689D724E"/>
    <w:rsid w:val="6AED05D1"/>
    <w:rsid w:val="6B810CE3"/>
    <w:rsid w:val="6CA02C98"/>
    <w:rsid w:val="6CA53CAE"/>
    <w:rsid w:val="6CE131BE"/>
    <w:rsid w:val="6CF1267E"/>
    <w:rsid w:val="6D074487"/>
    <w:rsid w:val="6E1866FE"/>
    <w:rsid w:val="6E540DCA"/>
    <w:rsid w:val="6E7864BF"/>
    <w:rsid w:val="6EEC35EC"/>
    <w:rsid w:val="6F0848D7"/>
    <w:rsid w:val="6F2C4EEB"/>
    <w:rsid w:val="6F4D3531"/>
    <w:rsid w:val="6F59718C"/>
    <w:rsid w:val="6F765F90"/>
    <w:rsid w:val="6FAE57BF"/>
    <w:rsid w:val="6FC0545D"/>
    <w:rsid w:val="6FCA1BE8"/>
    <w:rsid w:val="6FDD600F"/>
    <w:rsid w:val="705F377C"/>
    <w:rsid w:val="710540F1"/>
    <w:rsid w:val="729E5688"/>
    <w:rsid w:val="732857F3"/>
    <w:rsid w:val="73B32736"/>
    <w:rsid w:val="73D74B24"/>
    <w:rsid w:val="748A4EB3"/>
    <w:rsid w:val="756248C1"/>
    <w:rsid w:val="75F25CC3"/>
    <w:rsid w:val="766D7DC9"/>
    <w:rsid w:val="77043E82"/>
    <w:rsid w:val="772C265A"/>
    <w:rsid w:val="773E0DC5"/>
    <w:rsid w:val="77B852EA"/>
    <w:rsid w:val="77C33D3D"/>
    <w:rsid w:val="78065819"/>
    <w:rsid w:val="78197E01"/>
    <w:rsid w:val="7846768C"/>
    <w:rsid w:val="788F4AB2"/>
    <w:rsid w:val="78C179B3"/>
    <w:rsid w:val="79077C59"/>
    <w:rsid w:val="794835E0"/>
    <w:rsid w:val="79DF4732"/>
    <w:rsid w:val="7A212F9C"/>
    <w:rsid w:val="7A2166EB"/>
    <w:rsid w:val="7A5C5F17"/>
    <w:rsid w:val="7A971B9E"/>
    <w:rsid w:val="7AA80AB2"/>
    <w:rsid w:val="7AD33A6E"/>
    <w:rsid w:val="7B0D6374"/>
    <w:rsid w:val="7B76172D"/>
    <w:rsid w:val="7BC54D78"/>
    <w:rsid w:val="7C3074C7"/>
    <w:rsid w:val="7CEC05BF"/>
    <w:rsid w:val="7D8A547F"/>
    <w:rsid w:val="7E891110"/>
    <w:rsid w:val="7F0C421B"/>
    <w:rsid w:val="7F207CC7"/>
    <w:rsid w:val="7F991D30"/>
    <w:rsid w:val="7FB83A5B"/>
    <w:rsid w:val="7FF60A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semiHidden="0" w:name="heading 3"/>
    <w:lsdException w:qFormat="1" w:uiPriority="0" w:semiHidden="0" w:name="heading 4"/>
    <w:lsdException w:qFormat="1"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nhideWhenUsed="0" w:uiPriority="99" w:semiHidden="0"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uiPriority="99" w:name="List 4"/>
    <w:lsdException w:uiPriority="99" w:name="List 5"/>
    <w:lsdException w:qFormat="1" w:unhideWhenUsed="0" w:uiPriority="99" w:semiHidden="0" w:name="List Bullet 2"/>
    <w:lsdException w:uiPriority="99" w:name="List Bullet 3"/>
    <w:lsdException w:qFormat="1" w:uiPriority="0" w:semiHidden="0" w:name="List Bullet 4"/>
    <w:lsdException w:uiPriority="99" w:name="List Bullet 5"/>
    <w:lsdException w:qFormat="1" w:uiPriority="0" w:semiHidden="0"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0"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sz w:val="21"/>
      <w:szCs w:val="22"/>
      <w:lang w:val="en-US" w:eastAsia="zh-CN" w:bidi="ar-SA"/>
    </w:rPr>
  </w:style>
  <w:style w:type="paragraph" w:styleId="2">
    <w:name w:val="heading 1"/>
    <w:basedOn w:val="1"/>
    <w:next w:val="1"/>
    <w:link w:val="151"/>
    <w:qFormat/>
    <w:uiPriority w:val="0"/>
    <w:pPr>
      <w:keepNext/>
      <w:keepLines/>
      <w:tabs>
        <w:tab w:val="left" w:pos="879"/>
      </w:tabs>
      <w:spacing w:before="340" w:after="330" w:line="578" w:lineRule="auto"/>
      <w:jc w:val="center"/>
      <w:outlineLvl w:val="0"/>
    </w:pPr>
    <w:rPr>
      <w:rFonts w:ascii="Times New Roman" w:hAnsi="Times New Roman" w:eastAsia="黑体"/>
      <w:b/>
      <w:bCs/>
      <w:spacing w:val="20"/>
      <w:sz w:val="48"/>
      <w:szCs w:val="44"/>
    </w:rPr>
  </w:style>
  <w:style w:type="paragraph" w:styleId="3">
    <w:name w:val="heading 2"/>
    <w:basedOn w:val="1"/>
    <w:next w:val="1"/>
    <w:link w:val="147"/>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55"/>
    <w:unhideWhenUsed/>
    <w:qFormat/>
    <w:uiPriority w:val="0"/>
    <w:pPr>
      <w:keepNext/>
      <w:keepLines/>
      <w:spacing w:before="260" w:after="260" w:line="416" w:lineRule="auto"/>
      <w:outlineLvl w:val="2"/>
    </w:pPr>
    <w:rPr>
      <w:b/>
      <w:bCs/>
      <w:sz w:val="32"/>
      <w:szCs w:val="32"/>
    </w:rPr>
  </w:style>
  <w:style w:type="paragraph" w:styleId="5">
    <w:name w:val="heading 4"/>
    <w:basedOn w:val="1"/>
    <w:next w:val="1"/>
    <w:link w:val="184"/>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566"/>
    <w:unhideWhenUsed/>
    <w:qFormat/>
    <w:uiPriority w:val="0"/>
    <w:pPr>
      <w:keepNext/>
      <w:keepLines/>
      <w:spacing w:before="280" w:after="290" w:line="376" w:lineRule="auto"/>
      <w:outlineLvl w:val="4"/>
    </w:pPr>
    <w:rPr>
      <w:rFonts w:eastAsia="宋体"/>
      <w:b/>
      <w:bCs/>
      <w:sz w:val="28"/>
      <w:szCs w:val="28"/>
    </w:rPr>
  </w:style>
  <w:style w:type="paragraph" w:styleId="7">
    <w:name w:val="heading 6"/>
    <w:basedOn w:val="1"/>
    <w:next w:val="1"/>
    <w:link w:val="567"/>
    <w:qFormat/>
    <w:uiPriority w:val="0"/>
    <w:pPr>
      <w:keepNext/>
      <w:keepLines/>
      <w:tabs>
        <w:tab w:val="left" w:pos="3714"/>
      </w:tabs>
      <w:spacing w:before="240" w:after="64" w:line="319" w:lineRule="auto"/>
      <w:ind w:left="3714" w:hanging="1134"/>
      <w:jc w:val="left"/>
      <w:outlineLvl w:val="5"/>
    </w:pPr>
    <w:rPr>
      <w:rFonts w:ascii="Calibri" w:hAnsi="Calibri" w:eastAsia="黑体" w:cs="Times New Roman"/>
      <w:b/>
      <w:bCs/>
      <w:sz w:val="28"/>
      <w:szCs w:val="24"/>
    </w:rPr>
  </w:style>
  <w:style w:type="paragraph" w:styleId="8">
    <w:name w:val="heading 7"/>
    <w:basedOn w:val="1"/>
    <w:next w:val="1"/>
    <w:link w:val="568"/>
    <w:qFormat/>
    <w:uiPriority w:val="0"/>
    <w:pPr>
      <w:keepNext/>
      <w:keepLines/>
      <w:tabs>
        <w:tab w:val="left" w:pos="425"/>
      </w:tabs>
      <w:spacing w:before="240" w:after="64" w:line="320" w:lineRule="auto"/>
      <w:ind w:firstLine="200"/>
      <w:jc w:val="left"/>
      <w:outlineLvl w:val="6"/>
    </w:pPr>
    <w:rPr>
      <w:rFonts w:ascii="Calibri" w:hAnsi="Calibri" w:eastAsia="黑体" w:cs="Times New Roman"/>
      <w:b/>
      <w:bCs/>
      <w:sz w:val="20"/>
      <w:szCs w:val="20"/>
    </w:rPr>
  </w:style>
  <w:style w:type="paragraph" w:styleId="9">
    <w:name w:val="heading 8"/>
    <w:basedOn w:val="1"/>
    <w:next w:val="1"/>
    <w:link w:val="569"/>
    <w:qFormat/>
    <w:uiPriority w:val="0"/>
    <w:pPr>
      <w:keepNext/>
      <w:keepLines/>
      <w:tabs>
        <w:tab w:val="left" w:pos="3261"/>
      </w:tabs>
      <w:spacing w:before="240" w:after="64" w:line="320" w:lineRule="auto"/>
      <w:ind w:left="2836" w:firstLine="200"/>
      <w:jc w:val="left"/>
      <w:outlineLvl w:val="7"/>
    </w:pPr>
    <w:rPr>
      <w:rFonts w:ascii="Calibri" w:hAnsi="Calibri" w:eastAsia="黑体" w:cs="Times New Roman"/>
      <w:sz w:val="20"/>
      <w:szCs w:val="20"/>
    </w:rPr>
  </w:style>
  <w:style w:type="paragraph" w:styleId="10">
    <w:name w:val="heading 9"/>
    <w:basedOn w:val="1"/>
    <w:next w:val="1"/>
    <w:link w:val="570"/>
    <w:qFormat/>
    <w:uiPriority w:val="0"/>
    <w:pPr>
      <w:keepNext/>
      <w:keepLines/>
      <w:spacing w:before="240" w:after="64" w:line="320" w:lineRule="atLeast"/>
      <w:ind w:firstLine="200"/>
      <w:jc w:val="left"/>
      <w:outlineLvl w:val="8"/>
    </w:pPr>
    <w:rPr>
      <w:rFonts w:ascii="Calibri" w:hAnsi="Calibri" w:eastAsia="黑体" w:cs="Times New Roman"/>
      <w:b/>
      <w:sz w:val="20"/>
      <w:szCs w:val="20"/>
    </w:rPr>
  </w:style>
  <w:style w:type="character" w:default="1" w:styleId="59">
    <w:name w:val="Default Paragraph Font"/>
    <w:semiHidden/>
    <w:unhideWhenUsed/>
    <w:qFormat/>
    <w:uiPriority w:val="1"/>
  </w:style>
  <w:style w:type="table" w:default="1" w:styleId="57">
    <w:name w:val="Normal Table"/>
    <w:semiHidden/>
    <w:unhideWhenUsed/>
    <w:qFormat/>
    <w:uiPriority w:val="99"/>
    <w:pPr>
      <w:keepNext w:val="0"/>
      <w:keepLines w:val="0"/>
      <w:widowControl/>
      <w:suppressLineNumbers w:val="0"/>
      <w:spacing w:before="0" w:beforeAutospacing="0" w:after="0" w:afterAutospacing="0" w:line="360" w:lineRule="auto"/>
      <w:ind w:left="0" w:right="0"/>
    </w:pPr>
    <w:rPr>
      <w:rFonts w:hint="eastAsia" w:ascii="宋体" w:hAnsi="宋体" w:eastAsia="宋体" w:cs="宋体"/>
      <w:sz w:val="24"/>
      <w:szCs w:val="24"/>
    </w:rPr>
    <w:tblPr>
      <w:tblCellMar>
        <w:top w:w="0" w:type="dxa"/>
        <w:left w:w="108" w:type="dxa"/>
        <w:bottom w:w="0" w:type="dxa"/>
        <w:right w:w="108" w:type="dxa"/>
      </w:tblCellMar>
    </w:tblPr>
  </w:style>
  <w:style w:type="paragraph" w:styleId="11">
    <w:name w:val="List 3"/>
    <w:basedOn w:val="1"/>
    <w:qFormat/>
    <w:uiPriority w:val="0"/>
    <w:pPr>
      <w:ind w:left="100" w:hanging="200"/>
    </w:pPr>
    <w:rPr>
      <w:rFonts w:ascii="Times New Roman" w:hAnsi="Times New Roman" w:eastAsia="宋体" w:cs="Times New Roman"/>
      <w:szCs w:val="21"/>
    </w:rPr>
  </w:style>
  <w:style w:type="paragraph" w:styleId="12">
    <w:name w:val="toc 7"/>
    <w:basedOn w:val="1"/>
    <w:next w:val="1"/>
    <w:unhideWhenUsed/>
    <w:qFormat/>
    <w:uiPriority w:val="39"/>
    <w:pPr>
      <w:ind w:left="2520" w:firstLine="200"/>
      <w:jc w:val="left"/>
    </w:pPr>
    <w:rPr>
      <w:rFonts w:ascii="Calibri" w:hAnsi="Calibri" w:eastAsia="仿宋" w:cs="Times New Roman"/>
      <w:sz w:val="28"/>
    </w:rPr>
  </w:style>
  <w:style w:type="paragraph" w:styleId="13">
    <w:name w:val="List Number 2"/>
    <w:basedOn w:val="1"/>
    <w:unhideWhenUsed/>
    <w:qFormat/>
    <w:uiPriority w:val="0"/>
    <w:pPr>
      <w:widowControl/>
      <w:numPr>
        <w:ilvl w:val="0"/>
        <w:numId w:val="1"/>
      </w:numPr>
      <w:spacing w:line="360" w:lineRule="auto"/>
      <w:ind w:firstLine="0"/>
      <w:jc w:val="left"/>
    </w:pPr>
    <w:rPr>
      <w:rFonts w:ascii="宋体" w:hAnsi="宋体" w:eastAsia="宋体" w:cs="Times New Roman"/>
      <w:sz w:val="24"/>
      <w:szCs w:val="20"/>
    </w:rPr>
  </w:style>
  <w:style w:type="paragraph" w:styleId="14">
    <w:name w:val="List Bullet 4"/>
    <w:basedOn w:val="1"/>
    <w:unhideWhenUsed/>
    <w:qFormat/>
    <w:uiPriority w:val="0"/>
    <w:pPr>
      <w:numPr>
        <w:ilvl w:val="0"/>
        <w:numId w:val="2"/>
      </w:numPr>
      <w:contextualSpacing/>
    </w:pPr>
  </w:style>
  <w:style w:type="paragraph" w:styleId="15">
    <w:name w:val="List Number"/>
    <w:basedOn w:val="1"/>
    <w:qFormat/>
    <w:uiPriority w:val="0"/>
    <w:pPr>
      <w:widowControl/>
      <w:tabs>
        <w:tab w:val="left" w:pos="360"/>
      </w:tabs>
      <w:spacing w:before="120" w:line="280" w:lineRule="atLeast"/>
      <w:ind w:left="1276" w:hanging="425"/>
      <w:jc w:val="left"/>
    </w:pPr>
    <w:rPr>
      <w:rFonts w:ascii="Times New Roman" w:hAnsi="Times New Roman" w:eastAsia="楷体_GB2312" w:cs="Times New Roman"/>
      <w:sz w:val="24"/>
      <w:szCs w:val="20"/>
    </w:rPr>
  </w:style>
  <w:style w:type="paragraph" w:styleId="16">
    <w:name w:val="Normal Indent"/>
    <w:basedOn w:val="1"/>
    <w:next w:val="1"/>
    <w:link w:val="624"/>
    <w:unhideWhenUsed/>
    <w:qFormat/>
    <w:uiPriority w:val="0"/>
    <w:pPr>
      <w:ind w:firstLine="420"/>
      <w:jc w:val="left"/>
    </w:pPr>
    <w:rPr>
      <w:rFonts w:ascii="Times New Roman" w:hAnsi="Times New Roman" w:eastAsia="宋体"/>
      <w:sz w:val="28"/>
      <w:szCs w:val="24"/>
    </w:rPr>
  </w:style>
  <w:style w:type="paragraph" w:styleId="17">
    <w:name w:val="caption"/>
    <w:basedOn w:val="1"/>
    <w:next w:val="1"/>
    <w:link w:val="574"/>
    <w:qFormat/>
    <w:uiPriority w:val="0"/>
    <w:pPr>
      <w:widowControl/>
      <w:spacing w:after="200"/>
      <w:ind w:firstLine="200"/>
      <w:jc w:val="left"/>
    </w:pPr>
    <w:rPr>
      <w:rFonts w:ascii="Calibri" w:hAnsi="Calibri" w:eastAsia="仿宋" w:cstheme="majorBidi"/>
      <w:b/>
      <w:bCs/>
      <w:color w:val="4F81BD"/>
      <w:sz w:val="18"/>
      <w:szCs w:val="18"/>
      <w:lang w:eastAsia="en-US" w:bidi="en-US"/>
    </w:rPr>
  </w:style>
  <w:style w:type="paragraph" w:styleId="18">
    <w:name w:val="List Bullet"/>
    <w:qFormat/>
    <w:uiPriority w:val="0"/>
    <w:pPr>
      <w:tabs>
        <w:tab w:val="left" w:pos="480"/>
      </w:tabs>
      <w:spacing w:after="200" w:line="276" w:lineRule="auto"/>
    </w:pPr>
    <w:rPr>
      <w:rFonts w:ascii="Calibri" w:hAnsi="Calibri" w:eastAsia="宋体" w:cstheme="minorBidi"/>
      <w:sz w:val="22"/>
      <w:szCs w:val="22"/>
      <w:lang w:val="en-US" w:eastAsia="zh-CN" w:bidi="ar-SA"/>
    </w:rPr>
  </w:style>
  <w:style w:type="paragraph" w:styleId="19">
    <w:name w:val="Document Map"/>
    <w:basedOn w:val="1"/>
    <w:link w:val="578"/>
    <w:qFormat/>
    <w:uiPriority w:val="0"/>
    <w:pPr>
      <w:widowControl/>
      <w:shd w:val="clear" w:color="auto" w:fill="000080"/>
      <w:spacing w:after="200" w:line="360" w:lineRule="auto"/>
      <w:ind w:firstLine="200"/>
      <w:jc w:val="left"/>
    </w:pPr>
    <w:rPr>
      <w:rFonts w:eastAsia="仿宋"/>
      <w:sz w:val="24"/>
      <w:szCs w:val="20"/>
      <w:lang w:eastAsia="en-US" w:bidi="en-US"/>
    </w:rPr>
  </w:style>
  <w:style w:type="paragraph" w:styleId="20">
    <w:name w:val="annotation text"/>
    <w:basedOn w:val="1"/>
    <w:link w:val="214"/>
    <w:qFormat/>
    <w:uiPriority w:val="0"/>
    <w:pPr>
      <w:ind w:firstLine="200"/>
      <w:jc w:val="left"/>
    </w:pPr>
    <w:rPr>
      <w:rFonts w:ascii="Times New Roman" w:hAnsi="Times New Roman" w:eastAsia="仿宋"/>
      <w:sz w:val="28"/>
      <w:szCs w:val="24"/>
    </w:rPr>
  </w:style>
  <w:style w:type="paragraph" w:styleId="21">
    <w:name w:val="Body Text 3"/>
    <w:basedOn w:val="1"/>
    <w:link w:val="589"/>
    <w:qFormat/>
    <w:uiPriority w:val="0"/>
    <w:rPr>
      <w:rFonts w:ascii="仿宋_GB2312" w:hAnsi="Arial" w:eastAsia="仿宋_GB2312" w:cs="Times New Roman"/>
      <w:sz w:val="32"/>
      <w:szCs w:val="32"/>
    </w:rPr>
  </w:style>
  <w:style w:type="paragraph" w:styleId="22">
    <w:name w:val="Body Text"/>
    <w:basedOn w:val="1"/>
    <w:link w:val="236"/>
    <w:unhideWhenUsed/>
    <w:qFormat/>
    <w:uiPriority w:val="0"/>
    <w:pPr>
      <w:spacing w:after="120"/>
    </w:pPr>
    <w:rPr>
      <w:sz w:val="20"/>
      <w:szCs w:val="20"/>
    </w:rPr>
  </w:style>
  <w:style w:type="paragraph" w:styleId="23">
    <w:name w:val="Body Text Indent"/>
    <w:basedOn w:val="1"/>
    <w:next w:val="1"/>
    <w:link w:val="590"/>
    <w:unhideWhenUsed/>
    <w:qFormat/>
    <w:uiPriority w:val="0"/>
    <w:pPr>
      <w:widowControl/>
      <w:spacing w:after="120"/>
      <w:ind w:left="420"/>
      <w:jc w:val="left"/>
    </w:pPr>
    <w:rPr>
      <w:rFonts w:ascii="Arial" w:hAnsi="Arial" w:eastAsia="Arial" w:cs="Arial"/>
      <w:color w:val="000000"/>
      <w:szCs w:val="21"/>
    </w:rPr>
  </w:style>
  <w:style w:type="paragraph" w:styleId="24">
    <w:name w:val="List 2"/>
    <w:basedOn w:val="1"/>
    <w:qFormat/>
    <w:uiPriority w:val="0"/>
    <w:pPr>
      <w:ind w:left="100" w:hanging="200"/>
    </w:pPr>
    <w:rPr>
      <w:rFonts w:ascii="Times New Roman" w:hAnsi="Times New Roman" w:eastAsia="宋体" w:cs="Times New Roman"/>
      <w:szCs w:val="21"/>
    </w:rPr>
  </w:style>
  <w:style w:type="paragraph" w:styleId="25">
    <w:name w:val="Block Text"/>
    <w:basedOn w:val="1"/>
    <w:unhideWhenUsed/>
    <w:qFormat/>
    <w:uiPriority w:val="0"/>
    <w:pPr>
      <w:spacing w:after="120" w:line="360" w:lineRule="auto"/>
      <w:ind w:left="1440" w:right="1440"/>
    </w:pPr>
    <w:rPr>
      <w:rFonts w:ascii="宋体" w:hAnsi="宋体" w:eastAsia="宋体" w:cs="宋体"/>
      <w:sz w:val="24"/>
      <w:szCs w:val="24"/>
    </w:rPr>
  </w:style>
  <w:style w:type="paragraph" w:styleId="26">
    <w:name w:val="List Bullet 2"/>
    <w:basedOn w:val="1"/>
    <w:qFormat/>
    <w:uiPriority w:val="99"/>
    <w:pPr>
      <w:tabs>
        <w:tab w:val="left" w:pos="780"/>
      </w:tabs>
      <w:ind w:left="780" w:hanging="360"/>
      <w:contextualSpacing/>
    </w:pPr>
    <w:rPr>
      <w:rFonts w:ascii="Times New Roman" w:hAnsi="Times New Roman" w:eastAsia="宋体" w:cs="Times New Roman"/>
      <w:szCs w:val="24"/>
    </w:rPr>
  </w:style>
  <w:style w:type="paragraph" w:styleId="27">
    <w:name w:val="index 4"/>
    <w:basedOn w:val="1"/>
    <w:next w:val="1"/>
    <w:unhideWhenUsed/>
    <w:qFormat/>
    <w:uiPriority w:val="99"/>
    <w:pPr>
      <w:spacing w:line="360" w:lineRule="auto"/>
      <w:ind w:firstLine="840"/>
      <w:jc w:val="left"/>
    </w:pPr>
    <w:rPr>
      <w:rFonts w:ascii="宋体" w:hAnsi="宋体" w:eastAsia="宋体" w:cs="宋体"/>
      <w:sz w:val="22"/>
      <w:lang w:val="zh-CN" w:bidi="zh-CN"/>
    </w:rPr>
  </w:style>
  <w:style w:type="paragraph" w:styleId="28">
    <w:name w:val="toc 5"/>
    <w:basedOn w:val="1"/>
    <w:next w:val="1"/>
    <w:unhideWhenUsed/>
    <w:qFormat/>
    <w:uiPriority w:val="39"/>
    <w:pPr>
      <w:ind w:left="1680" w:firstLine="200"/>
      <w:jc w:val="left"/>
    </w:pPr>
    <w:rPr>
      <w:rFonts w:ascii="Calibri" w:hAnsi="Calibri" w:eastAsia="仿宋" w:cs="Times New Roman"/>
      <w:sz w:val="28"/>
    </w:rPr>
  </w:style>
  <w:style w:type="paragraph" w:styleId="29">
    <w:name w:val="toc 3"/>
    <w:basedOn w:val="1"/>
    <w:next w:val="1"/>
    <w:unhideWhenUsed/>
    <w:qFormat/>
    <w:uiPriority w:val="39"/>
    <w:pPr>
      <w:ind w:left="840" w:firstLine="200"/>
      <w:jc w:val="left"/>
    </w:pPr>
    <w:rPr>
      <w:rFonts w:ascii="Calibri" w:hAnsi="Calibri" w:eastAsia="仿宋" w:cs="Times New Roman"/>
      <w:sz w:val="28"/>
      <w:szCs w:val="24"/>
    </w:rPr>
  </w:style>
  <w:style w:type="paragraph" w:styleId="30">
    <w:name w:val="Plain Text"/>
    <w:basedOn w:val="1"/>
    <w:link w:val="579"/>
    <w:qFormat/>
    <w:uiPriority w:val="0"/>
    <w:pPr>
      <w:widowControl/>
      <w:spacing w:after="200" w:line="360" w:lineRule="auto"/>
      <w:ind w:firstLine="200"/>
      <w:jc w:val="left"/>
    </w:pPr>
    <w:rPr>
      <w:rFonts w:ascii="宋体" w:hAnsi="Courier New" w:eastAsia="仿宋"/>
      <w:sz w:val="24"/>
      <w:szCs w:val="20"/>
      <w:lang w:eastAsia="en-US"/>
    </w:rPr>
  </w:style>
  <w:style w:type="paragraph" w:styleId="31">
    <w:name w:val="toc 8"/>
    <w:basedOn w:val="1"/>
    <w:next w:val="1"/>
    <w:unhideWhenUsed/>
    <w:qFormat/>
    <w:uiPriority w:val="39"/>
    <w:pPr>
      <w:ind w:left="2940" w:firstLine="200"/>
      <w:jc w:val="left"/>
    </w:pPr>
    <w:rPr>
      <w:rFonts w:ascii="Calibri" w:hAnsi="Calibri" w:eastAsia="仿宋" w:cs="Times New Roman"/>
      <w:sz w:val="28"/>
    </w:rPr>
  </w:style>
  <w:style w:type="paragraph" w:styleId="32">
    <w:name w:val="Date"/>
    <w:basedOn w:val="2"/>
    <w:next w:val="1"/>
    <w:link w:val="591"/>
    <w:unhideWhenUsed/>
    <w:qFormat/>
    <w:uiPriority w:val="99"/>
    <w:pPr>
      <w:spacing w:line="360" w:lineRule="auto"/>
      <w:ind w:left="100" w:firstLine="480"/>
    </w:pPr>
    <w:rPr>
      <w:rFonts w:ascii="宋体" w:hAnsi="宋体" w:eastAsia="宋体" w:cs="Times New Roman"/>
      <w:color w:val="000000" w:themeColor="text1"/>
      <w:sz w:val="24"/>
      <w:szCs w:val="24"/>
      <w14:textFill>
        <w14:solidFill>
          <w14:schemeClr w14:val="tx1"/>
        </w14:solidFill>
      </w14:textFill>
    </w:rPr>
  </w:style>
  <w:style w:type="paragraph" w:styleId="33">
    <w:name w:val="Body Text Indent 2"/>
    <w:basedOn w:val="2"/>
    <w:next w:val="1"/>
    <w:link w:val="592"/>
    <w:qFormat/>
    <w:uiPriority w:val="0"/>
    <w:pPr>
      <w:keepLines w:val="0"/>
      <w:tabs>
        <w:tab w:val="clear" w:pos="879"/>
      </w:tabs>
      <w:spacing w:before="0" w:after="0" w:line="240" w:lineRule="auto"/>
      <w:ind w:left="630" w:firstLine="645"/>
    </w:pPr>
    <w:rPr>
      <w:rFonts w:ascii="Arial" w:hAnsi="Arial" w:eastAsia="仿宋_GB2312" w:cs="Arial"/>
      <w:b w:val="0"/>
      <w:bCs w:val="0"/>
      <w:spacing w:val="0"/>
      <w:sz w:val="32"/>
      <w:szCs w:val="32"/>
    </w:rPr>
  </w:style>
  <w:style w:type="paragraph" w:styleId="34">
    <w:name w:val="endnote text"/>
    <w:basedOn w:val="1"/>
    <w:link w:val="593"/>
    <w:semiHidden/>
    <w:unhideWhenUsed/>
    <w:qFormat/>
    <w:uiPriority w:val="99"/>
    <w:rPr>
      <w:rFonts w:ascii="Times New Roman" w:hAnsi="Times New Roman" w:eastAsia="宋体" w:cs="Times New Roman"/>
      <w:sz w:val="20"/>
      <w:szCs w:val="21"/>
    </w:rPr>
  </w:style>
  <w:style w:type="paragraph" w:styleId="35">
    <w:name w:val="Balloon Text"/>
    <w:basedOn w:val="1"/>
    <w:link w:val="580"/>
    <w:unhideWhenUsed/>
    <w:qFormat/>
    <w:uiPriority w:val="0"/>
    <w:pPr>
      <w:ind w:firstLine="200"/>
      <w:jc w:val="left"/>
    </w:pPr>
    <w:rPr>
      <w:sz w:val="18"/>
      <w:szCs w:val="18"/>
    </w:rPr>
  </w:style>
  <w:style w:type="paragraph" w:styleId="36">
    <w:name w:val="footer"/>
    <w:basedOn w:val="1"/>
    <w:link w:val="573"/>
    <w:unhideWhenUsed/>
    <w:qFormat/>
    <w:uiPriority w:val="99"/>
    <w:pPr>
      <w:tabs>
        <w:tab w:val="center" w:pos="4153"/>
        <w:tab w:val="right" w:pos="8306"/>
      </w:tabs>
      <w:jc w:val="left"/>
    </w:pPr>
    <w:rPr>
      <w:sz w:val="18"/>
      <w:szCs w:val="18"/>
    </w:rPr>
  </w:style>
  <w:style w:type="paragraph" w:styleId="37">
    <w:name w:val="envelope return"/>
    <w:basedOn w:val="1"/>
    <w:qFormat/>
    <w:uiPriority w:val="99"/>
    <w:rPr>
      <w:rFonts w:ascii="Arial" w:hAnsi="Arial" w:cs="Times New Roman"/>
      <w:color w:val="000000" w:themeColor="text1"/>
      <w14:textFill>
        <w14:solidFill>
          <w14:schemeClr w14:val="tx1"/>
        </w14:solidFill>
      </w14:textFill>
    </w:rPr>
  </w:style>
  <w:style w:type="paragraph" w:styleId="38">
    <w:name w:val="header"/>
    <w:basedOn w:val="2"/>
    <w:next w:val="32"/>
    <w:link w:val="572"/>
    <w:unhideWhenUsed/>
    <w:qFormat/>
    <w:uiPriority w:val="99"/>
    <w:pPr>
      <w:pBdr>
        <w:bottom w:val="single" w:color="auto" w:sz="6" w:space="1"/>
      </w:pBdr>
      <w:tabs>
        <w:tab w:val="center" w:pos="4153"/>
        <w:tab w:val="right" w:pos="8306"/>
        <w:tab w:val="clear" w:pos="879"/>
      </w:tabs>
    </w:pPr>
    <w:rPr>
      <w:sz w:val="18"/>
      <w:szCs w:val="18"/>
    </w:rPr>
  </w:style>
  <w:style w:type="paragraph" w:styleId="39">
    <w:name w:val="toc 1"/>
    <w:basedOn w:val="1"/>
    <w:next w:val="1"/>
    <w:unhideWhenUsed/>
    <w:qFormat/>
    <w:uiPriority w:val="39"/>
    <w:pPr>
      <w:ind w:firstLine="200"/>
      <w:jc w:val="left"/>
    </w:pPr>
    <w:rPr>
      <w:rFonts w:ascii="Calibri" w:hAnsi="Calibri" w:eastAsia="仿宋" w:cs="Times New Roman"/>
      <w:b/>
      <w:sz w:val="28"/>
      <w:szCs w:val="24"/>
    </w:rPr>
  </w:style>
  <w:style w:type="paragraph" w:styleId="40">
    <w:name w:val="toc 4"/>
    <w:basedOn w:val="1"/>
    <w:next w:val="1"/>
    <w:unhideWhenUsed/>
    <w:qFormat/>
    <w:uiPriority w:val="39"/>
    <w:pPr>
      <w:ind w:left="1260" w:firstLine="200"/>
      <w:jc w:val="left"/>
    </w:pPr>
    <w:rPr>
      <w:rFonts w:ascii="Calibri" w:hAnsi="Calibri" w:eastAsia="仿宋" w:cs="Times New Roman"/>
      <w:sz w:val="28"/>
    </w:rPr>
  </w:style>
  <w:style w:type="paragraph" w:styleId="41">
    <w:name w:val="Subtitle"/>
    <w:basedOn w:val="1"/>
    <w:next w:val="1"/>
    <w:link w:val="576"/>
    <w:qFormat/>
    <w:uiPriority w:val="11"/>
    <w:pPr>
      <w:widowControl/>
      <w:spacing w:after="200" w:line="360" w:lineRule="auto"/>
      <w:ind w:firstLine="200"/>
      <w:jc w:val="left"/>
    </w:pPr>
    <w:rPr>
      <w:rFonts w:ascii="Cambria" w:hAnsi="Cambria" w:eastAsia="仿宋"/>
      <w:i/>
      <w:iCs/>
      <w:color w:val="4F81BD"/>
      <w:spacing w:val="15"/>
      <w:sz w:val="24"/>
      <w:szCs w:val="24"/>
      <w:lang w:eastAsia="en-US" w:bidi="en-US"/>
    </w:rPr>
  </w:style>
  <w:style w:type="paragraph" w:styleId="42">
    <w:name w:val="List"/>
    <w:basedOn w:val="1"/>
    <w:qFormat/>
    <w:uiPriority w:val="0"/>
    <w:pPr>
      <w:ind w:left="200" w:hanging="200"/>
    </w:pPr>
    <w:rPr>
      <w:rFonts w:ascii="Times New Roman" w:hAnsi="Times New Roman" w:eastAsia="宋体" w:cs="Times New Roman"/>
      <w:szCs w:val="21"/>
    </w:rPr>
  </w:style>
  <w:style w:type="paragraph" w:styleId="43">
    <w:name w:val="footnote text"/>
    <w:basedOn w:val="1"/>
    <w:link w:val="571"/>
    <w:qFormat/>
    <w:uiPriority w:val="99"/>
    <w:pPr>
      <w:spacing w:line="312" w:lineRule="atLeast"/>
    </w:pPr>
    <w:rPr>
      <w:rFonts w:ascii="Times New Roman" w:hAnsi="Times New Roman" w:eastAsia="宋体" w:cs="Times New Roman"/>
      <w:sz w:val="18"/>
      <w:szCs w:val="20"/>
    </w:rPr>
  </w:style>
  <w:style w:type="paragraph" w:styleId="44">
    <w:name w:val="toc 6"/>
    <w:basedOn w:val="1"/>
    <w:next w:val="1"/>
    <w:unhideWhenUsed/>
    <w:qFormat/>
    <w:uiPriority w:val="39"/>
    <w:pPr>
      <w:ind w:left="2100" w:firstLine="200"/>
      <w:jc w:val="left"/>
    </w:pPr>
    <w:rPr>
      <w:rFonts w:ascii="Calibri" w:hAnsi="Calibri" w:eastAsia="仿宋" w:cs="Times New Roman"/>
      <w:sz w:val="28"/>
    </w:rPr>
  </w:style>
  <w:style w:type="paragraph" w:styleId="45">
    <w:name w:val="Body Text Indent 3"/>
    <w:basedOn w:val="1"/>
    <w:link w:val="577"/>
    <w:qFormat/>
    <w:uiPriority w:val="0"/>
    <w:pPr>
      <w:widowControl/>
      <w:spacing w:before="100" w:beforeAutospacing="1" w:after="100" w:afterAutospacing="1" w:line="360" w:lineRule="auto"/>
      <w:ind w:firstLine="420"/>
      <w:jc w:val="left"/>
    </w:pPr>
    <w:rPr>
      <w:rFonts w:ascii="宋体" w:hAnsi="宋体" w:eastAsia="仿宋"/>
      <w:sz w:val="24"/>
      <w:szCs w:val="24"/>
    </w:rPr>
  </w:style>
  <w:style w:type="paragraph" w:styleId="46">
    <w:name w:val="table of figures"/>
    <w:basedOn w:val="1"/>
    <w:next w:val="1"/>
    <w:unhideWhenUsed/>
    <w:qFormat/>
    <w:uiPriority w:val="99"/>
    <w:pPr>
      <w:spacing w:line="360" w:lineRule="auto"/>
      <w:ind w:left="200" w:hanging="200"/>
    </w:pPr>
    <w:rPr>
      <w:rFonts w:ascii="宋体" w:hAnsi="宋体" w:eastAsia="宋体"/>
      <w:sz w:val="24"/>
      <w:szCs w:val="24"/>
    </w:rPr>
  </w:style>
  <w:style w:type="paragraph" w:styleId="47">
    <w:name w:val="toc 2"/>
    <w:basedOn w:val="1"/>
    <w:next w:val="1"/>
    <w:unhideWhenUsed/>
    <w:qFormat/>
    <w:uiPriority w:val="39"/>
    <w:pPr>
      <w:ind w:left="420" w:firstLine="200"/>
      <w:jc w:val="left"/>
    </w:pPr>
    <w:rPr>
      <w:rFonts w:ascii="Calibri" w:hAnsi="Calibri" w:eastAsia="仿宋" w:cs="Times New Roman"/>
      <w:sz w:val="28"/>
      <w:szCs w:val="24"/>
    </w:rPr>
  </w:style>
  <w:style w:type="paragraph" w:styleId="48">
    <w:name w:val="toc 9"/>
    <w:basedOn w:val="1"/>
    <w:next w:val="1"/>
    <w:unhideWhenUsed/>
    <w:qFormat/>
    <w:uiPriority w:val="39"/>
    <w:pPr>
      <w:ind w:left="3360" w:firstLine="200"/>
      <w:jc w:val="left"/>
    </w:pPr>
    <w:rPr>
      <w:rFonts w:ascii="Calibri" w:hAnsi="Calibri" w:eastAsia="仿宋" w:cs="Times New Roman"/>
      <w:sz w:val="28"/>
    </w:rPr>
  </w:style>
  <w:style w:type="paragraph" w:styleId="49">
    <w:name w:val="Body Text 2"/>
    <w:basedOn w:val="1"/>
    <w:link w:val="594"/>
    <w:qFormat/>
    <w:uiPriority w:val="0"/>
    <w:pPr>
      <w:widowControl/>
      <w:jc w:val="center"/>
    </w:pPr>
    <w:rPr>
      <w:rFonts w:ascii="楷体_GB2312" w:hAnsi="Times New Roman" w:eastAsia="楷体_GB2312" w:cs="Times New Roman"/>
      <w:sz w:val="28"/>
      <w:szCs w:val="28"/>
    </w:rPr>
  </w:style>
  <w:style w:type="paragraph" w:styleId="50">
    <w:name w:val="HTML Preformatted"/>
    <w:basedOn w:val="1"/>
    <w:link w:val="595"/>
    <w:qFormat/>
    <w:uiPriority w:val="99"/>
    <w:rPr>
      <w:rFonts w:ascii="Courier New" w:hAnsi="Courier New"/>
      <w:sz w:val="20"/>
      <w:szCs w:val="24"/>
    </w:rPr>
  </w:style>
  <w:style w:type="paragraph" w:styleId="51">
    <w:name w:val="Normal (Web)"/>
    <w:basedOn w:val="1"/>
    <w:link w:val="645"/>
    <w:unhideWhenUsed/>
    <w:qFormat/>
    <w:uiPriority w:val="0"/>
    <w:pPr>
      <w:widowControl/>
      <w:spacing w:before="100" w:beforeAutospacing="1" w:after="100" w:afterAutospacing="1"/>
      <w:jc w:val="left"/>
    </w:pPr>
    <w:rPr>
      <w:rFonts w:ascii="宋体" w:hAnsi="宋体" w:eastAsia="宋体" w:cs="宋体"/>
      <w:sz w:val="24"/>
      <w:szCs w:val="24"/>
    </w:rPr>
  </w:style>
  <w:style w:type="paragraph" w:styleId="52">
    <w:name w:val="index 1"/>
    <w:basedOn w:val="1"/>
    <w:next w:val="1"/>
    <w:semiHidden/>
    <w:qFormat/>
    <w:uiPriority w:val="0"/>
    <w:pPr>
      <w:spacing w:line="240" w:lineRule="atLeast"/>
    </w:pPr>
    <w:rPr>
      <w:rFonts w:ascii="Times New Roman" w:hAnsi="Times New Roman" w:eastAsia="宋体" w:cs="Times New Roman"/>
      <w:b/>
      <w:bCs/>
      <w:szCs w:val="21"/>
    </w:rPr>
  </w:style>
  <w:style w:type="paragraph" w:styleId="53">
    <w:name w:val="Title"/>
    <w:basedOn w:val="1"/>
    <w:next w:val="1"/>
    <w:link w:val="575"/>
    <w:qFormat/>
    <w:uiPriority w:val="10"/>
    <w:pPr>
      <w:widowControl/>
      <w:pBdr>
        <w:bottom w:val="single" w:color="4F81BD" w:sz="8" w:space="4"/>
      </w:pBdr>
      <w:spacing w:after="300"/>
      <w:ind w:firstLine="200"/>
      <w:contextualSpacing/>
      <w:jc w:val="left"/>
    </w:pPr>
    <w:rPr>
      <w:rFonts w:ascii="Cambria" w:hAnsi="Cambria" w:eastAsia="仿宋"/>
      <w:color w:val="17365D"/>
      <w:spacing w:val="5"/>
      <w:sz w:val="52"/>
      <w:szCs w:val="52"/>
      <w:lang w:eastAsia="en-US" w:bidi="en-US"/>
    </w:rPr>
  </w:style>
  <w:style w:type="paragraph" w:styleId="54">
    <w:name w:val="annotation subject"/>
    <w:basedOn w:val="20"/>
    <w:next w:val="20"/>
    <w:link w:val="596"/>
    <w:unhideWhenUsed/>
    <w:qFormat/>
    <w:uiPriority w:val="0"/>
    <w:pPr>
      <w:spacing w:line="360" w:lineRule="auto"/>
    </w:pPr>
    <w:rPr>
      <w:rFonts w:ascii="宋体" w:hAnsi="宋体" w:eastAsia="宋体"/>
      <w:b/>
      <w:bCs/>
      <w:sz w:val="24"/>
    </w:rPr>
  </w:style>
  <w:style w:type="paragraph" w:styleId="55">
    <w:name w:val="Body Text First Indent"/>
    <w:basedOn w:val="22"/>
    <w:link w:val="597"/>
    <w:unhideWhenUsed/>
    <w:qFormat/>
    <w:uiPriority w:val="99"/>
    <w:pPr>
      <w:spacing w:line="360" w:lineRule="auto"/>
      <w:ind w:firstLine="420"/>
    </w:pPr>
    <w:rPr>
      <w:rFonts w:ascii="Calibri" w:hAnsi="Calibri" w:eastAsia="仿宋" w:cs="Times New Roman"/>
      <w:sz w:val="24"/>
      <w:szCs w:val="24"/>
    </w:rPr>
  </w:style>
  <w:style w:type="paragraph" w:styleId="56">
    <w:name w:val="Body Text First Indent 2"/>
    <w:basedOn w:val="23"/>
    <w:link w:val="598"/>
    <w:unhideWhenUsed/>
    <w:qFormat/>
    <w:uiPriority w:val="99"/>
    <w:pPr>
      <w:ind w:firstLine="420"/>
    </w:pPr>
  </w:style>
  <w:style w:type="table" w:styleId="58">
    <w:name w:val="Table Grid"/>
    <w:basedOn w:val="5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0">
    <w:name w:val="Strong"/>
    <w:basedOn w:val="59"/>
    <w:qFormat/>
    <w:uiPriority w:val="22"/>
    <w:rPr>
      <w:b/>
      <w:bCs/>
    </w:rPr>
  </w:style>
  <w:style w:type="character" w:styleId="61">
    <w:name w:val="endnote reference"/>
    <w:semiHidden/>
    <w:unhideWhenUsed/>
    <w:qFormat/>
    <w:uiPriority w:val="99"/>
    <w:rPr>
      <w:vertAlign w:val="superscript"/>
    </w:rPr>
  </w:style>
  <w:style w:type="character" w:styleId="62">
    <w:name w:val="page number"/>
    <w:basedOn w:val="59"/>
    <w:qFormat/>
    <w:uiPriority w:val="0"/>
  </w:style>
  <w:style w:type="character" w:styleId="63">
    <w:name w:val="FollowedHyperlink"/>
    <w:qFormat/>
    <w:uiPriority w:val="99"/>
    <w:rPr>
      <w:color w:val="800080"/>
      <w:u w:val="single"/>
    </w:rPr>
  </w:style>
  <w:style w:type="character" w:styleId="64">
    <w:name w:val="Emphasis"/>
    <w:qFormat/>
    <w:uiPriority w:val="20"/>
    <w:rPr>
      <w:rFonts w:ascii="宋体" w:eastAsia="仿宋"/>
      <w:iCs/>
      <w:color w:val="auto"/>
      <w:sz w:val="28"/>
      <w:u w:val="single"/>
    </w:rPr>
  </w:style>
  <w:style w:type="character" w:styleId="65">
    <w:name w:val="Hyperlink"/>
    <w:qFormat/>
    <w:uiPriority w:val="99"/>
    <w:rPr>
      <w:color w:val="0000FF"/>
      <w:u w:val="single"/>
    </w:rPr>
  </w:style>
  <w:style w:type="character" w:styleId="66">
    <w:name w:val="annotation reference"/>
    <w:qFormat/>
    <w:uiPriority w:val="0"/>
    <w:rPr>
      <w:rFonts w:eastAsia="宋体"/>
      <w:sz w:val="18"/>
    </w:rPr>
  </w:style>
  <w:style w:type="character" w:styleId="67">
    <w:name w:val="footnote reference"/>
    <w:qFormat/>
    <w:uiPriority w:val="99"/>
    <w:rPr>
      <w:vertAlign w:val="superscript"/>
    </w:rPr>
  </w:style>
  <w:style w:type="paragraph" w:customStyle="1" w:styleId="68">
    <w:name w:val="正文首行缩进1"/>
    <w:basedOn w:val="69"/>
    <w:link w:val="215"/>
    <w:qFormat/>
    <w:uiPriority w:val="0"/>
    <w:pPr>
      <w:spacing w:line="360" w:lineRule="auto"/>
      <w:ind w:firstLine="200"/>
    </w:pPr>
    <w:rPr>
      <w:rFonts w:eastAsia="宋体" w:cs="Times New Roman"/>
      <w:sz w:val="24"/>
      <w:szCs w:val="20"/>
    </w:rPr>
  </w:style>
  <w:style w:type="paragraph" w:customStyle="1" w:styleId="69">
    <w:name w:val="正文文本1"/>
    <w:basedOn w:val="1"/>
    <w:link w:val="140"/>
    <w:qFormat/>
    <w:uiPriority w:val="0"/>
    <w:pPr>
      <w:spacing w:after="120"/>
    </w:pPr>
    <w:rPr>
      <w:rFonts w:ascii="Times New Roman" w:hAnsi="Times New Roman" w:eastAsia="仿宋"/>
      <w:sz w:val="28"/>
      <w:szCs w:val="24"/>
    </w:rPr>
  </w:style>
  <w:style w:type="table" w:customStyle="1" w:styleId="70">
    <w:name w:val="无格式表格 11"/>
    <w:basedOn w:val="5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无格式表格 21"/>
    <w:basedOn w:val="5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57"/>
    <w:qFormat/>
    <w:uiPriority w:val="99"/>
    <w:tblPr>
      <w:tblCellMar>
        <w:left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57"/>
    <w:qFormat/>
    <w:uiPriority w:val="99"/>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57"/>
    <w:qFormat/>
    <w:uiPriority w:val="99"/>
    <w:tblPr>
      <w:tblCellMar>
        <w:left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57"/>
    <w:qFormat/>
    <w:uiPriority w:val="46"/>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5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5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5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5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5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5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57"/>
    <w:qFormat/>
    <w:uiPriority w:val="99"/>
    <w:tblPr>
      <w:tblCellMar>
        <w:left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5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5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5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5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57"/>
    <w:qFormat/>
    <w:uiPriority w:val="99"/>
    <w:tblPr>
      <w:tblBorders>
        <w:top w:val="single" w:color="7E7E7E" w:themeColor="text1" w:themeTint="80" w:sz="4" w:space="0"/>
        <w:bottom w:val="single" w:color="7E7E7E" w:themeColor="text1" w:themeTint="80" w:sz="4" w:space="0"/>
      </w:tblBorders>
      <w:tblCellMar>
        <w:left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57"/>
    <w:qFormat/>
    <w:uiPriority w:val="99"/>
    <w:tblPr>
      <w:tblBorders>
        <w:right w:val="single" w:color="7E7E7E" w:themeColor="text1" w:themeTint="80" w:sz="4" w:space="0"/>
      </w:tblBorders>
      <w:tblCellMar>
        <w:left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9">
    <w:name w:val="TOC 标题1"/>
    <w:unhideWhenUsed/>
    <w:qFormat/>
    <w:uiPriority w:val="39"/>
    <w:rPr>
      <w:rFonts w:ascii="Times New Roman" w:hAnsi="Times New Roman" w:eastAsia="宋体" w:cs="Times New Roman"/>
      <w:lang w:val="en-US" w:eastAsia="zh-CN" w:bidi="ar-SA"/>
    </w:rPr>
  </w:style>
  <w:style w:type="paragraph" w:customStyle="1" w:styleId="90">
    <w:name w:val="TOC 标题115"/>
    <w:unhideWhenUsed/>
    <w:qFormat/>
    <w:uiPriority w:val="39"/>
    <w:rPr>
      <w:rFonts w:ascii="Times New Roman" w:hAnsi="Times New Roman" w:eastAsia="宋体" w:cs="Times New Roman"/>
      <w:lang w:val="en-US" w:eastAsia="zh-CN" w:bidi="ar-SA"/>
    </w:rPr>
  </w:style>
  <w:style w:type="paragraph" w:customStyle="1" w:styleId="91">
    <w:name w:val="TOC 标题114"/>
    <w:unhideWhenUsed/>
    <w:qFormat/>
    <w:uiPriority w:val="39"/>
    <w:rPr>
      <w:rFonts w:ascii="Times New Roman" w:hAnsi="Times New Roman" w:eastAsia="宋体" w:cs="Times New Roman"/>
      <w:lang w:val="en-US" w:eastAsia="zh-CN" w:bidi="ar-SA"/>
    </w:rPr>
  </w:style>
  <w:style w:type="paragraph" w:customStyle="1" w:styleId="92">
    <w:name w:val="正文缩进1"/>
    <w:basedOn w:val="1"/>
    <w:link w:val="234"/>
    <w:qFormat/>
    <w:uiPriority w:val="0"/>
    <w:pPr>
      <w:ind w:firstLine="420"/>
    </w:pPr>
    <w:rPr>
      <w:rFonts w:ascii="Calibri" w:hAnsi="Calibri" w:eastAsia="宋体" w:cs="Times New Roman"/>
      <w:sz w:val="20"/>
      <w:szCs w:val="20"/>
    </w:rPr>
  </w:style>
  <w:style w:type="paragraph" w:customStyle="1" w:styleId="93">
    <w:name w:val="正文首行缩进 21"/>
    <w:basedOn w:val="94"/>
    <w:link w:val="223"/>
    <w:qFormat/>
    <w:uiPriority w:val="99"/>
    <w:pPr>
      <w:spacing w:after="120" w:line="240" w:lineRule="auto"/>
      <w:ind w:left="200" w:firstLine="200"/>
    </w:pPr>
    <w:rPr>
      <w:rFonts w:eastAsia="仿宋" w:cstheme="minorBidi"/>
      <w:sz w:val="28"/>
    </w:rPr>
  </w:style>
  <w:style w:type="paragraph" w:customStyle="1" w:styleId="94">
    <w:name w:val="正文文本缩进1"/>
    <w:basedOn w:val="1"/>
    <w:next w:val="95"/>
    <w:link w:val="210"/>
    <w:qFormat/>
    <w:uiPriority w:val="0"/>
    <w:pPr>
      <w:spacing w:line="240" w:lineRule="atLeast"/>
      <w:ind w:left="420" w:firstLine="420"/>
    </w:pPr>
    <w:rPr>
      <w:rFonts w:ascii="Times New Roman" w:hAnsi="Times New Roman" w:eastAsia="楷体_GB2312" w:cs="Times New Roman"/>
      <w:sz w:val="24"/>
      <w:szCs w:val="24"/>
    </w:rPr>
  </w:style>
  <w:style w:type="paragraph" w:customStyle="1" w:styleId="95">
    <w:name w:val="寄信人地址1"/>
    <w:qFormat/>
    <w:uiPriority w:val="99"/>
    <w:pPr>
      <w:widowControl w:val="0"/>
      <w:jc w:val="both"/>
    </w:pPr>
    <w:rPr>
      <w:rFonts w:ascii="Arial" w:hAnsi="Arial" w:eastAsia="宋体" w:cs="Arial"/>
      <w:sz w:val="26"/>
      <w:szCs w:val="26"/>
      <w:lang w:val="en-US" w:eastAsia="zh-CN" w:bidi="ar-SA"/>
    </w:rPr>
  </w:style>
  <w:style w:type="paragraph" w:customStyle="1" w:styleId="96">
    <w:name w:val="Default"/>
    <w:link w:val="961"/>
    <w:qFormat/>
    <w:uiPriority w:val="0"/>
    <w:pPr>
      <w:widowControl w:val="0"/>
    </w:pPr>
    <w:rPr>
      <w:rFonts w:ascii="黑体" w:hAnsi="Times New Roman" w:eastAsia="黑体" w:cs="黑体"/>
      <w:color w:val="000000"/>
      <w:sz w:val="24"/>
      <w:szCs w:val="24"/>
      <w:lang w:val="en-US" w:eastAsia="zh-CN" w:bidi="ar-SA"/>
    </w:rPr>
  </w:style>
  <w:style w:type="paragraph" w:customStyle="1" w:styleId="97">
    <w:name w:val="段"/>
    <w:next w:val="98"/>
    <w:link w:val="101"/>
    <w:qFormat/>
    <w:uiPriority w:val="0"/>
    <w:pPr>
      <w:tabs>
        <w:tab w:val="center" w:pos="4201"/>
        <w:tab w:val="right" w:leader="dot" w:pos="9298"/>
      </w:tabs>
      <w:spacing w:after="200" w:line="276" w:lineRule="auto"/>
      <w:ind w:firstLine="420"/>
      <w:jc w:val="both"/>
    </w:pPr>
    <w:rPr>
      <w:rFonts w:ascii="宋体" w:hAnsiTheme="minorHAnsi" w:eastAsiaTheme="minorEastAsia" w:cstheme="minorBidi"/>
      <w:lang w:val="en-US" w:eastAsia="zh-CN" w:bidi="ar-SA"/>
    </w:rPr>
  </w:style>
  <w:style w:type="paragraph" w:customStyle="1" w:styleId="98">
    <w:name w:val="正文 A"/>
    <w:next w:val="97"/>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99">
    <w:name w:val="TOC 标题113"/>
    <w:unhideWhenUsed/>
    <w:qFormat/>
    <w:uiPriority w:val="39"/>
    <w:rPr>
      <w:rFonts w:asciiTheme="minorHAnsi" w:hAnsiTheme="minorHAnsi" w:eastAsiaTheme="minorEastAsia" w:cstheme="minorBidi"/>
      <w:lang w:val="en-US" w:eastAsia="zh-CN" w:bidi="ar-SA"/>
    </w:rPr>
  </w:style>
  <w:style w:type="paragraph" w:customStyle="1" w:styleId="100">
    <w:name w:val="TOC 标题112"/>
    <w:unhideWhenUsed/>
    <w:qFormat/>
    <w:uiPriority w:val="39"/>
    <w:rPr>
      <w:rFonts w:asciiTheme="minorHAnsi" w:hAnsiTheme="minorHAnsi" w:eastAsiaTheme="minorEastAsia" w:cstheme="minorBidi"/>
      <w:lang w:val="en-US" w:eastAsia="zh-CN" w:bidi="ar-SA"/>
    </w:rPr>
  </w:style>
  <w:style w:type="character" w:customStyle="1" w:styleId="101">
    <w:name w:val="段 Char"/>
    <w:link w:val="97"/>
    <w:qFormat/>
    <w:uiPriority w:val="0"/>
    <w:rPr>
      <w:rFonts w:ascii="宋体"/>
    </w:rPr>
  </w:style>
  <w:style w:type="paragraph" w:customStyle="1" w:styleId="102">
    <w:name w:val="正文段落内容"/>
    <w:basedOn w:val="1"/>
    <w:link w:val="103"/>
    <w:qFormat/>
    <w:uiPriority w:val="0"/>
    <w:pPr>
      <w:ind w:firstLine="200"/>
      <w:jc w:val="left"/>
    </w:pPr>
    <w:rPr>
      <w:rFonts w:ascii="Times New Roman" w:hAnsi="Times New Roman"/>
      <w:sz w:val="20"/>
      <w:szCs w:val="24"/>
      <w:lang w:bidi="en-US"/>
    </w:rPr>
  </w:style>
  <w:style w:type="character" w:customStyle="1" w:styleId="103">
    <w:name w:val="正文段落内容 Char"/>
    <w:link w:val="102"/>
    <w:qFormat/>
    <w:uiPriority w:val="0"/>
    <w:rPr>
      <w:rFonts w:ascii="Times New Roman" w:hAnsi="Times New Roman"/>
      <w:szCs w:val="24"/>
      <w:lang w:bidi="en-US"/>
    </w:rPr>
  </w:style>
  <w:style w:type="paragraph" w:customStyle="1" w:styleId="104">
    <w:name w:val="标题 21"/>
    <w:basedOn w:val="1"/>
    <w:next w:val="1"/>
    <w:qFormat/>
    <w:uiPriority w:val="0"/>
    <w:pPr>
      <w:keepNext/>
      <w:keepLines/>
      <w:spacing w:before="260" w:after="260" w:line="416" w:lineRule="auto"/>
      <w:ind w:left="576" w:hanging="576"/>
      <w:outlineLvl w:val="1"/>
    </w:pPr>
    <w:rPr>
      <w:rFonts w:ascii="Cambria" w:hAnsi="Cambria" w:eastAsia="宋体" w:cs="Times New Roman"/>
      <w:b/>
      <w:bCs/>
      <w:sz w:val="32"/>
      <w:szCs w:val="32"/>
    </w:rPr>
  </w:style>
  <w:style w:type="paragraph" w:customStyle="1" w:styleId="105">
    <w:name w:val="标题 31"/>
    <w:basedOn w:val="1"/>
    <w:next w:val="1"/>
    <w:qFormat/>
    <w:uiPriority w:val="0"/>
    <w:pPr>
      <w:keepNext/>
      <w:keepLines/>
      <w:spacing w:before="260" w:after="260" w:line="416" w:lineRule="auto"/>
      <w:ind w:left="1430" w:hanging="720"/>
      <w:outlineLvl w:val="2"/>
    </w:pPr>
    <w:rPr>
      <w:rFonts w:ascii="Calibri" w:hAnsi="Calibri" w:eastAsia="宋体" w:cs="Times New Roman"/>
      <w:b/>
      <w:bCs/>
      <w:sz w:val="32"/>
      <w:szCs w:val="32"/>
    </w:rPr>
  </w:style>
  <w:style w:type="paragraph" w:customStyle="1" w:styleId="106">
    <w:name w:val="标题 41"/>
    <w:basedOn w:val="1"/>
    <w:next w:val="1"/>
    <w:link w:val="107"/>
    <w:qFormat/>
    <w:uiPriority w:val="0"/>
    <w:pPr>
      <w:keepNext/>
      <w:keepLines/>
      <w:spacing w:before="280" w:after="290" w:line="376" w:lineRule="auto"/>
      <w:ind w:left="864" w:hanging="864"/>
      <w:outlineLvl w:val="3"/>
    </w:pPr>
    <w:rPr>
      <w:rFonts w:ascii="Cambria" w:hAnsi="Cambria" w:eastAsia="宋体" w:cs="Times New Roman"/>
      <w:b/>
      <w:bCs/>
      <w:sz w:val="28"/>
      <w:szCs w:val="28"/>
    </w:rPr>
  </w:style>
  <w:style w:type="character" w:customStyle="1" w:styleId="107">
    <w:name w:val="标题 4 Char"/>
    <w:link w:val="106"/>
    <w:qFormat/>
    <w:uiPriority w:val="0"/>
    <w:rPr>
      <w:rFonts w:ascii="Cambria" w:hAnsi="Cambria" w:eastAsia="宋体" w:cs="Times New Roman"/>
      <w:b/>
      <w:bCs/>
      <w:sz w:val="28"/>
      <w:szCs w:val="28"/>
    </w:rPr>
  </w:style>
  <w:style w:type="paragraph" w:customStyle="1" w:styleId="108">
    <w:name w:val="标题 51"/>
    <w:basedOn w:val="1"/>
    <w:next w:val="1"/>
    <w:qFormat/>
    <w:uiPriority w:val="0"/>
    <w:pPr>
      <w:keepNext/>
      <w:keepLines/>
      <w:spacing w:before="280" w:after="290" w:line="376" w:lineRule="auto"/>
      <w:ind w:left="1008" w:hanging="1008"/>
      <w:outlineLvl w:val="4"/>
    </w:pPr>
    <w:rPr>
      <w:rFonts w:ascii="Calibri" w:hAnsi="Calibri" w:eastAsia="宋体" w:cs="Times New Roman"/>
      <w:b/>
      <w:bCs/>
      <w:sz w:val="28"/>
      <w:szCs w:val="28"/>
    </w:rPr>
  </w:style>
  <w:style w:type="paragraph" w:customStyle="1" w:styleId="109">
    <w:name w:val="标题 61"/>
    <w:basedOn w:val="1"/>
    <w:next w:val="1"/>
    <w:link w:val="808"/>
    <w:qFormat/>
    <w:uiPriority w:val="0"/>
    <w:pPr>
      <w:keepNext/>
      <w:keepLines/>
      <w:spacing w:before="240" w:after="64" w:line="320" w:lineRule="auto"/>
      <w:ind w:left="1152" w:hanging="1152"/>
      <w:outlineLvl w:val="5"/>
    </w:pPr>
    <w:rPr>
      <w:rFonts w:ascii="Cambria" w:hAnsi="Cambria" w:eastAsia="宋体" w:cs="Times New Roman"/>
      <w:b/>
      <w:bCs/>
      <w:sz w:val="24"/>
      <w:szCs w:val="24"/>
    </w:rPr>
  </w:style>
  <w:style w:type="paragraph" w:customStyle="1" w:styleId="110">
    <w:name w:val="标题 71"/>
    <w:basedOn w:val="1"/>
    <w:next w:val="1"/>
    <w:link w:val="111"/>
    <w:qFormat/>
    <w:uiPriority w:val="0"/>
    <w:pPr>
      <w:keepNext/>
      <w:keepLines/>
      <w:spacing w:before="240" w:after="64" w:line="320" w:lineRule="auto"/>
      <w:ind w:left="1296" w:hanging="1296"/>
      <w:outlineLvl w:val="6"/>
    </w:pPr>
    <w:rPr>
      <w:rFonts w:ascii="Calibri" w:hAnsi="Calibri" w:eastAsia="宋体" w:cs="Times New Roman"/>
      <w:b/>
      <w:bCs/>
      <w:sz w:val="24"/>
      <w:szCs w:val="24"/>
    </w:rPr>
  </w:style>
  <w:style w:type="character" w:customStyle="1" w:styleId="111">
    <w:name w:val="标题 7 Char1"/>
    <w:link w:val="110"/>
    <w:qFormat/>
    <w:uiPriority w:val="0"/>
    <w:rPr>
      <w:rFonts w:ascii="Calibri" w:hAnsi="Calibri" w:eastAsia="宋体" w:cs="Times New Roman"/>
      <w:b/>
      <w:bCs/>
      <w:sz w:val="24"/>
      <w:szCs w:val="24"/>
    </w:rPr>
  </w:style>
  <w:style w:type="paragraph" w:customStyle="1" w:styleId="112">
    <w:name w:val="标题 81"/>
    <w:basedOn w:val="1"/>
    <w:next w:val="1"/>
    <w:link w:val="823"/>
    <w:qFormat/>
    <w:uiPriority w:val="0"/>
    <w:pPr>
      <w:keepNext/>
      <w:keepLines/>
      <w:spacing w:before="240" w:after="64" w:line="320" w:lineRule="auto"/>
      <w:ind w:left="1440" w:hanging="1440"/>
      <w:outlineLvl w:val="7"/>
    </w:pPr>
    <w:rPr>
      <w:rFonts w:ascii="Cambria" w:hAnsi="Cambria" w:eastAsia="宋体" w:cs="Times New Roman"/>
      <w:sz w:val="24"/>
      <w:szCs w:val="24"/>
    </w:rPr>
  </w:style>
  <w:style w:type="paragraph" w:customStyle="1" w:styleId="113">
    <w:name w:val="标题 91"/>
    <w:basedOn w:val="1"/>
    <w:next w:val="1"/>
    <w:link w:val="814"/>
    <w:qFormat/>
    <w:uiPriority w:val="0"/>
    <w:pPr>
      <w:keepNext/>
      <w:keepLines/>
      <w:spacing w:before="240" w:after="64" w:line="320" w:lineRule="auto"/>
      <w:ind w:left="1584" w:hanging="1584"/>
      <w:outlineLvl w:val="8"/>
    </w:pPr>
    <w:rPr>
      <w:rFonts w:ascii="Cambria" w:hAnsi="Cambria" w:eastAsia="宋体" w:cs="Times New Roman"/>
      <w:szCs w:val="21"/>
    </w:rPr>
  </w:style>
  <w:style w:type="paragraph" w:customStyle="1" w:styleId="114">
    <w:name w:val="样式 样式 正文缩进四号ALT+Z段1 Char Char Char段1 Char Char标题4body text鋘d... ...1"/>
    <w:basedOn w:val="1"/>
    <w:link w:val="115"/>
    <w:qFormat/>
    <w:uiPriority w:val="0"/>
    <w:rPr>
      <w:rFonts w:ascii="宋体" w:hAnsi="宋体" w:eastAsia="宋体" w:cs="Times New Roman"/>
      <w:sz w:val="20"/>
      <w:szCs w:val="21"/>
    </w:rPr>
  </w:style>
  <w:style w:type="character" w:customStyle="1" w:styleId="115">
    <w:name w:val="样式 样式 正文缩进四号ALT+Z段1 Char Char Char段1 Char Char标题4body text鋘d... ...1 Char Char"/>
    <w:link w:val="114"/>
    <w:qFormat/>
    <w:uiPriority w:val="0"/>
    <w:rPr>
      <w:rFonts w:ascii="宋体" w:hAnsi="宋体" w:eastAsia="宋体" w:cs="Times New Roman"/>
      <w:szCs w:val="21"/>
    </w:rPr>
  </w:style>
  <w:style w:type="paragraph" w:customStyle="1" w:styleId="116">
    <w:name w:val="AC-Image-图片"/>
    <w:next w:val="1"/>
    <w:qFormat/>
    <w:uiPriority w:val="0"/>
    <w:pPr>
      <w:jc w:val="center"/>
    </w:pPr>
    <w:rPr>
      <w:rFonts w:ascii="Times New Roman" w:hAnsi="Times New Roman" w:eastAsia="宋体" w:cs="Calibri"/>
      <w:sz w:val="24"/>
      <w:szCs w:val="21"/>
      <w:lang w:val="en-US" w:eastAsia="zh-CN" w:bidi="ar-SA"/>
    </w:rPr>
  </w:style>
  <w:style w:type="paragraph" w:customStyle="1" w:styleId="117">
    <w:name w:val="AC-Image-图表标题"/>
    <w:qFormat/>
    <w:uiPriority w:val="0"/>
    <w:pPr>
      <w:jc w:val="center"/>
    </w:pPr>
    <w:rPr>
      <w:rFonts w:ascii="Times New Roman" w:hAnsi="Times New Roman" w:eastAsia="微软雅黑" w:cs="宋体"/>
      <w:sz w:val="21"/>
      <w:lang w:val="en-US" w:eastAsia="zh-CN" w:bidi="ar-SA"/>
    </w:rPr>
  </w:style>
  <w:style w:type="paragraph" w:customStyle="1" w:styleId="118">
    <w:name w:val="列项"/>
    <w:basedOn w:val="1"/>
    <w:qFormat/>
    <w:uiPriority w:val="0"/>
    <w:pPr>
      <w:widowControl/>
      <w:ind w:left="425" w:hanging="425"/>
      <w:jc w:val="left"/>
    </w:pPr>
    <w:rPr>
      <w:rFonts w:ascii="宋体" w:hAnsi="Calibri" w:eastAsia="仿宋" w:cs="Times New Roman"/>
      <w:sz w:val="28"/>
      <w:szCs w:val="24"/>
    </w:rPr>
  </w:style>
  <w:style w:type="character" w:customStyle="1" w:styleId="119">
    <w:name w:val="标题 7 字符"/>
    <w:basedOn w:val="59"/>
    <w:qFormat/>
    <w:uiPriority w:val="0"/>
    <w:rPr>
      <w:b/>
      <w:bCs/>
      <w:sz w:val="24"/>
      <w:szCs w:val="24"/>
    </w:rPr>
  </w:style>
  <w:style w:type="paragraph" w:customStyle="1" w:styleId="120">
    <w:name w:val="标书突出内容（文字加粗）"/>
    <w:basedOn w:val="102"/>
    <w:next w:val="102"/>
    <w:link w:val="121"/>
    <w:qFormat/>
    <w:uiPriority w:val="0"/>
    <w:rPr>
      <w:b/>
    </w:rPr>
  </w:style>
  <w:style w:type="character" w:customStyle="1" w:styleId="121">
    <w:name w:val="标书突出内容（文字加粗） Char"/>
    <w:link w:val="120"/>
    <w:qFormat/>
    <w:uiPriority w:val="0"/>
    <w:rPr>
      <w:rFonts w:ascii="Times New Roman" w:hAnsi="Times New Roman"/>
      <w:b/>
      <w:szCs w:val="24"/>
      <w:lang w:bidi="en-US"/>
    </w:rPr>
  </w:style>
  <w:style w:type="character" w:customStyle="1" w:styleId="122">
    <w:name w:val="webdict"/>
    <w:basedOn w:val="59"/>
    <w:qFormat/>
    <w:uiPriority w:val="0"/>
  </w:style>
  <w:style w:type="character" w:customStyle="1" w:styleId="123">
    <w:name w:val="明显参考1"/>
    <w:qFormat/>
    <w:uiPriority w:val="0"/>
    <w:rPr>
      <w:b/>
      <w:bCs/>
      <w:smallCaps/>
      <w:color w:val="C0504D"/>
      <w:spacing w:val="5"/>
      <w:u w:val="single"/>
    </w:rPr>
  </w:style>
  <w:style w:type="paragraph" w:customStyle="1" w:styleId="124">
    <w:name w:val="图片（居中）"/>
    <w:basedOn w:val="1"/>
    <w:next w:val="102"/>
    <w:link w:val="125"/>
    <w:qFormat/>
    <w:uiPriority w:val="0"/>
    <w:pPr>
      <w:jc w:val="center"/>
    </w:pPr>
    <w:rPr>
      <w:rFonts w:ascii="宋体" w:hAnsi="宋体"/>
      <w:sz w:val="24"/>
      <w:szCs w:val="24"/>
      <w:lang w:bidi="en-US"/>
    </w:rPr>
  </w:style>
  <w:style w:type="character" w:customStyle="1" w:styleId="125">
    <w:name w:val="图片（居中） Char"/>
    <w:link w:val="124"/>
    <w:qFormat/>
    <w:uiPriority w:val="0"/>
    <w:rPr>
      <w:rFonts w:ascii="宋体" w:hAnsi="宋体"/>
      <w:sz w:val="24"/>
      <w:szCs w:val="24"/>
      <w:lang w:bidi="en-US"/>
    </w:rPr>
  </w:style>
  <w:style w:type="paragraph" w:customStyle="1" w:styleId="126">
    <w:name w:val="页眉1"/>
    <w:basedOn w:val="1"/>
    <w:link w:val="127"/>
    <w:qFormat/>
    <w:uiPriority w:val="0"/>
    <w:pPr>
      <w:pBdr>
        <w:bottom w:val="single" w:color="auto" w:sz="6" w:space="1"/>
      </w:pBdr>
      <w:tabs>
        <w:tab w:val="center" w:pos="4153"/>
        <w:tab w:val="right" w:pos="8306"/>
      </w:tabs>
      <w:jc w:val="center"/>
    </w:pPr>
    <w:rPr>
      <w:sz w:val="18"/>
      <w:szCs w:val="18"/>
    </w:rPr>
  </w:style>
  <w:style w:type="character" w:customStyle="1" w:styleId="127">
    <w:name w:val="页眉 Char"/>
    <w:link w:val="126"/>
    <w:qFormat/>
    <w:uiPriority w:val="0"/>
    <w:rPr>
      <w:sz w:val="18"/>
      <w:szCs w:val="18"/>
    </w:rPr>
  </w:style>
  <w:style w:type="paragraph" w:customStyle="1" w:styleId="128">
    <w:name w:val="段落内容三级列表"/>
    <w:basedOn w:val="1"/>
    <w:link w:val="129"/>
    <w:qFormat/>
    <w:uiPriority w:val="30"/>
    <w:pPr>
      <w:tabs>
        <w:tab w:val="left" w:pos="4848"/>
      </w:tabs>
      <w:ind w:left="4848" w:hanging="1418"/>
      <w:jc w:val="left"/>
    </w:pPr>
    <w:rPr>
      <w:rFonts w:ascii="宋体" w:hAnsi="宋体" w:eastAsia="仿宋"/>
      <w:sz w:val="28"/>
      <w:szCs w:val="24"/>
      <w:lang w:bidi="en-US"/>
    </w:rPr>
  </w:style>
  <w:style w:type="character" w:customStyle="1" w:styleId="129">
    <w:name w:val="段落内容三级列表 Char"/>
    <w:link w:val="128"/>
    <w:qFormat/>
    <w:uiPriority w:val="30"/>
    <w:rPr>
      <w:rFonts w:ascii="宋体" w:hAnsi="宋体" w:eastAsia="仿宋"/>
      <w:sz w:val="28"/>
      <w:szCs w:val="24"/>
      <w:lang w:bidi="en-US"/>
    </w:rPr>
  </w:style>
  <w:style w:type="paragraph" w:customStyle="1" w:styleId="130">
    <w:name w:val="段落内容一级列表"/>
    <w:basedOn w:val="1"/>
    <w:link w:val="131"/>
    <w:qFormat/>
    <w:uiPriority w:val="29"/>
    <w:pPr>
      <w:tabs>
        <w:tab w:val="left" w:pos="4281"/>
      </w:tabs>
      <w:ind w:left="100" w:hanging="1276"/>
      <w:jc w:val="left"/>
    </w:pPr>
    <w:rPr>
      <w:rFonts w:ascii="宋体" w:hAnsi="宋体"/>
      <w:sz w:val="24"/>
      <w:szCs w:val="24"/>
      <w:lang w:bidi="en-US"/>
    </w:rPr>
  </w:style>
  <w:style w:type="character" w:customStyle="1" w:styleId="131">
    <w:name w:val="段落内容一级列表 Char"/>
    <w:link w:val="130"/>
    <w:qFormat/>
    <w:uiPriority w:val="29"/>
    <w:rPr>
      <w:rFonts w:ascii="宋体" w:hAnsi="宋体"/>
      <w:sz w:val="24"/>
      <w:szCs w:val="24"/>
      <w:lang w:bidi="en-US"/>
    </w:rPr>
  </w:style>
  <w:style w:type="character" w:customStyle="1" w:styleId="132">
    <w:name w:val="标题 3 Char"/>
    <w:qFormat/>
    <w:uiPriority w:val="0"/>
    <w:rPr>
      <w:rFonts w:eastAsia="黑体"/>
      <w:b/>
      <w:color w:val="000000"/>
      <w:sz w:val="28"/>
      <w:szCs w:val="32"/>
    </w:rPr>
  </w:style>
  <w:style w:type="paragraph" w:customStyle="1" w:styleId="133">
    <w:name w:val="段落内容无序列表"/>
    <w:basedOn w:val="1"/>
    <w:link w:val="134"/>
    <w:qFormat/>
    <w:uiPriority w:val="32"/>
    <w:pPr>
      <w:widowControl/>
      <w:tabs>
        <w:tab w:val="left" w:pos="720"/>
      </w:tabs>
      <w:ind w:left="250" w:hanging="720"/>
      <w:jc w:val="left"/>
    </w:pPr>
    <w:rPr>
      <w:rFonts w:ascii="宋体" w:hAnsi="宋体" w:eastAsia="仿宋"/>
      <w:sz w:val="24"/>
      <w:szCs w:val="24"/>
      <w:lang w:bidi="en-US"/>
    </w:rPr>
  </w:style>
  <w:style w:type="character" w:customStyle="1" w:styleId="134">
    <w:name w:val="段落内容无序列表 Char"/>
    <w:link w:val="133"/>
    <w:qFormat/>
    <w:uiPriority w:val="32"/>
    <w:rPr>
      <w:rFonts w:ascii="宋体" w:hAnsi="宋体" w:eastAsia="仿宋"/>
      <w:sz w:val="24"/>
      <w:szCs w:val="24"/>
      <w:lang w:bidi="en-US"/>
    </w:rPr>
  </w:style>
  <w:style w:type="character" w:customStyle="1" w:styleId="135">
    <w:name w:val="书籍标题1"/>
    <w:qFormat/>
    <w:uiPriority w:val="33"/>
    <w:rPr>
      <w:b/>
      <w:bCs/>
      <w:smallCaps/>
      <w:spacing w:val="5"/>
    </w:rPr>
  </w:style>
  <w:style w:type="character" w:customStyle="1" w:styleId="136">
    <w:name w:val="明显强调1"/>
    <w:qFormat/>
    <w:uiPriority w:val="21"/>
    <w:rPr>
      <w:b/>
      <w:bCs/>
      <w:i/>
      <w:iCs/>
      <w:color w:val="4F81BD"/>
    </w:rPr>
  </w:style>
  <w:style w:type="character" w:customStyle="1" w:styleId="137">
    <w:name w:val="标题 5 Char"/>
    <w:qFormat/>
    <w:uiPriority w:val="0"/>
    <w:rPr>
      <w:rFonts w:eastAsia="黑体"/>
      <w:b/>
      <w:bCs/>
      <w:sz w:val="28"/>
      <w:szCs w:val="28"/>
      <w:lang w:bidi="en-US"/>
    </w:rPr>
  </w:style>
  <w:style w:type="paragraph" w:customStyle="1" w:styleId="138">
    <w:name w:val="标题 11"/>
    <w:basedOn w:val="1"/>
    <w:next w:val="1"/>
    <w:link w:val="139"/>
    <w:qFormat/>
    <w:uiPriority w:val="0"/>
    <w:pPr>
      <w:keepNext/>
      <w:keepLines/>
      <w:pageBreakBefore/>
      <w:spacing w:before="340" w:after="330" w:line="578" w:lineRule="auto"/>
      <w:outlineLvl w:val="0"/>
    </w:pPr>
    <w:rPr>
      <w:rFonts w:eastAsia="黑体"/>
      <w:b/>
      <w:bCs/>
      <w:sz w:val="32"/>
      <w:szCs w:val="44"/>
    </w:rPr>
  </w:style>
  <w:style w:type="character" w:customStyle="1" w:styleId="139">
    <w:name w:val="标题 1 Char"/>
    <w:link w:val="138"/>
    <w:qFormat/>
    <w:uiPriority w:val="0"/>
    <w:rPr>
      <w:rFonts w:eastAsia="黑体"/>
      <w:b/>
      <w:bCs/>
      <w:sz w:val="32"/>
      <w:szCs w:val="44"/>
    </w:rPr>
  </w:style>
  <w:style w:type="character" w:customStyle="1" w:styleId="140">
    <w:name w:val="正文文本 Char"/>
    <w:link w:val="69"/>
    <w:qFormat/>
    <w:uiPriority w:val="0"/>
    <w:rPr>
      <w:rFonts w:ascii="Times New Roman" w:hAnsi="Times New Roman" w:eastAsia="仿宋"/>
      <w:sz w:val="28"/>
      <w:szCs w:val="24"/>
    </w:rPr>
  </w:style>
  <w:style w:type="paragraph" w:customStyle="1" w:styleId="141">
    <w:name w:val="页脚1"/>
    <w:basedOn w:val="1"/>
    <w:link w:val="142"/>
    <w:qFormat/>
    <w:uiPriority w:val="0"/>
    <w:pPr>
      <w:tabs>
        <w:tab w:val="center" w:pos="4153"/>
        <w:tab w:val="right" w:pos="8306"/>
      </w:tabs>
      <w:jc w:val="left"/>
    </w:pPr>
    <w:rPr>
      <w:rFonts w:ascii="Times New Roman" w:hAnsi="Times New Roman"/>
      <w:sz w:val="18"/>
      <w:szCs w:val="18"/>
    </w:rPr>
  </w:style>
  <w:style w:type="character" w:customStyle="1" w:styleId="142">
    <w:name w:val="页脚 Char"/>
    <w:link w:val="141"/>
    <w:qFormat/>
    <w:uiPriority w:val="0"/>
    <w:rPr>
      <w:rFonts w:ascii="Times New Roman" w:hAnsi="Times New Roman"/>
      <w:sz w:val="18"/>
      <w:szCs w:val="18"/>
    </w:rPr>
  </w:style>
  <w:style w:type="character" w:customStyle="1" w:styleId="143">
    <w:name w:val="标题 2 Char"/>
    <w:qFormat/>
    <w:uiPriority w:val="0"/>
    <w:rPr>
      <w:rFonts w:eastAsia="黑体"/>
      <w:b/>
      <w:bCs/>
      <w:color w:val="000000"/>
      <w:sz w:val="30"/>
      <w:szCs w:val="32"/>
    </w:rPr>
  </w:style>
  <w:style w:type="character" w:customStyle="1" w:styleId="144">
    <w:name w:val="不明显参考1"/>
    <w:qFormat/>
    <w:uiPriority w:val="0"/>
    <w:rPr>
      <w:smallCaps/>
      <w:color w:val="C0504D"/>
      <w:u w:val="single"/>
    </w:rPr>
  </w:style>
  <w:style w:type="character" w:customStyle="1" w:styleId="145">
    <w:name w:val="不明显强调1"/>
    <w:qFormat/>
    <w:uiPriority w:val="0"/>
    <w:rPr>
      <w:i/>
      <w:iCs/>
      <w:color w:val="4040FF"/>
    </w:rPr>
  </w:style>
  <w:style w:type="paragraph" w:customStyle="1" w:styleId="146">
    <w:name w:val="章节71"/>
    <w:basedOn w:val="3"/>
    <w:qFormat/>
    <w:uiPriority w:val="0"/>
    <w:pPr>
      <w:widowControl/>
      <w:tabs>
        <w:tab w:val="left" w:pos="567"/>
      </w:tabs>
      <w:spacing w:before="0" w:after="0" w:line="240" w:lineRule="auto"/>
      <w:jc w:val="left"/>
    </w:pPr>
    <w:rPr>
      <w:rFonts w:ascii="黑体" w:hAnsi="黑体" w:eastAsia="仿宋" w:cs="黑体"/>
      <w:color w:val="000000"/>
      <w:szCs w:val="21"/>
      <w:lang w:eastAsia="en-US" w:bidi="en-US"/>
    </w:rPr>
  </w:style>
  <w:style w:type="character" w:customStyle="1" w:styleId="147">
    <w:name w:val="标题 2 字符"/>
    <w:basedOn w:val="59"/>
    <w:link w:val="3"/>
    <w:qFormat/>
    <w:uiPriority w:val="9"/>
    <w:rPr>
      <w:rFonts w:asciiTheme="majorHAnsi" w:hAnsiTheme="majorHAnsi" w:eastAsiaTheme="majorEastAsia" w:cstheme="majorBidi"/>
      <w:b/>
      <w:bCs/>
      <w:sz w:val="32"/>
      <w:szCs w:val="32"/>
    </w:rPr>
  </w:style>
  <w:style w:type="paragraph" w:customStyle="1" w:styleId="148">
    <w:name w:val="章节6.1"/>
    <w:basedOn w:val="3"/>
    <w:qFormat/>
    <w:uiPriority w:val="0"/>
    <w:pPr>
      <w:widowControl/>
      <w:tabs>
        <w:tab w:val="left" w:pos="567"/>
        <w:tab w:val="left" w:pos="720"/>
      </w:tabs>
      <w:spacing w:before="0" w:after="0" w:line="240" w:lineRule="auto"/>
      <w:ind w:left="792" w:hanging="648"/>
    </w:pPr>
    <w:rPr>
      <w:rFonts w:ascii="黑体" w:hAnsi="Calibri" w:eastAsia="仿宋" w:cs="黑体"/>
      <w:szCs w:val="21"/>
      <w:lang w:bidi="en-US"/>
    </w:rPr>
  </w:style>
  <w:style w:type="paragraph" w:customStyle="1" w:styleId="149">
    <w:name w:val="章节2-1"/>
    <w:basedOn w:val="1"/>
    <w:qFormat/>
    <w:uiPriority w:val="0"/>
    <w:pPr>
      <w:jc w:val="left"/>
    </w:pPr>
    <w:rPr>
      <w:rFonts w:ascii="黑体" w:hAnsi="Calibri" w:eastAsia="黑体" w:cs="Times New Roman"/>
      <w:sz w:val="28"/>
      <w:szCs w:val="24"/>
    </w:rPr>
  </w:style>
  <w:style w:type="paragraph" w:customStyle="1" w:styleId="150">
    <w:name w:val="附录标题"/>
    <w:basedOn w:val="2"/>
    <w:qFormat/>
    <w:uiPriority w:val="0"/>
    <w:pPr>
      <w:widowControl/>
      <w:tabs>
        <w:tab w:val="clear" w:pos="879"/>
      </w:tabs>
      <w:spacing w:before="0" w:after="0" w:line="240" w:lineRule="auto"/>
    </w:pPr>
    <w:rPr>
      <w:rFonts w:ascii="黑体" w:hAnsi="宋体" w:eastAsia="仿宋" w:cs="黑体"/>
      <w:spacing w:val="0"/>
      <w:sz w:val="36"/>
      <w:szCs w:val="21"/>
      <w:lang w:eastAsia="en-US" w:bidi="en-US"/>
    </w:rPr>
  </w:style>
  <w:style w:type="character" w:customStyle="1" w:styleId="151">
    <w:name w:val="标题 1 字符"/>
    <w:basedOn w:val="59"/>
    <w:link w:val="2"/>
    <w:qFormat/>
    <w:uiPriority w:val="0"/>
    <w:rPr>
      <w:rFonts w:ascii="Times New Roman" w:hAnsi="Times New Roman" w:eastAsia="黑体"/>
      <w:b/>
      <w:bCs/>
      <w:spacing w:val="20"/>
      <w:sz w:val="48"/>
      <w:szCs w:val="44"/>
    </w:rPr>
  </w:style>
  <w:style w:type="character" w:customStyle="1" w:styleId="152">
    <w:name w:val="标题 字符"/>
    <w:basedOn w:val="59"/>
    <w:qFormat/>
    <w:uiPriority w:val="10"/>
    <w:rPr>
      <w:rFonts w:asciiTheme="majorHAnsi" w:hAnsiTheme="majorHAnsi" w:eastAsiaTheme="majorEastAsia" w:cstheme="majorBidi"/>
      <w:b/>
      <w:bCs/>
      <w:sz w:val="32"/>
      <w:szCs w:val="32"/>
    </w:rPr>
  </w:style>
  <w:style w:type="paragraph" w:customStyle="1" w:styleId="153">
    <w:name w:val="术语"/>
    <w:basedOn w:val="1"/>
    <w:qFormat/>
    <w:uiPriority w:val="0"/>
    <w:pPr>
      <w:ind w:firstLine="200"/>
      <w:jc w:val="left"/>
    </w:pPr>
    <w:rPr>
      <w:rFonts w:ascii="黑体" w:hAnsi="Calibri" w:eastAsia="黑体" w:cs="Times New Roman"/>
      <w:sz w:val="28"/>
      <w:szCs w:val="24"/>
    </w:rPr>
  </w:style>
  <w:style w:type="paragraph" w:customStyle="1" w:styleId="154">
    <w:name w:val="章节5.7.1"/>
    <w:basedOn w:val="4"/>
    <w:qFormat/>
    <w:uiPriority w:val="0"/>
    <w:pPr>
      <w:widowControl/>
      <w:spacing w:before="0" w:after="0" w:line="240" w:lineRule="auto"/>
      <w:ind w:left="1680" w:hanging="420"/>
      <w:jc w:val="left"/>
    </w:pPr>
    <w:rPr>
      <w:rFonts w:ascii="黑体" w:hAnsi="黑体" w:eastAsia="仿宋" w:cs="黑体"/>
      <w:color w:val="000000"/>
      <w:sz w:val="30"/>
      <w:szCs w:val="21"/>
      <w:lang w:eastAsia="en-US" w:bidi="en-US"/>
    </w:rPr>
  </w:style>
  <w:style w:type="character" w:customStyle="1" w:styleId="155">
    <w:name w:val="标题 3 字符"/>
    <w:basedOn w:val="59"/>
    <w:link w:val="4"/>
    <w:qFormat/>
    <w:uiPriority w:val="0"/>
    <w:rPr>
      <w:b/>
      <w:bCs/>
      <w:sz w:val="32"/>
      <w:szCs w:val="32"/>
    </w:rPr>
  </w:style>
  <w:style w:type="paragraph" w:customStyle="1" w:styleId="156">
    <w:name w:val="章节2-3"/>
    <w:basedOn w:val="149"/>
    <w:qFormat/>
    <w:uiPriority w:val="0"/>
    <w:pPr>
      <w:ind w:left="567" w:hanging="567"/>
    </w:pPr>
  </w:style>
  <w:style w:type="paragraph" w:customStyle="1" w:styleId="157">
    <w:name w:val="章节3"/>
    <w:basedOn w:val="4"/>
    <w:qFormat/>
    <w:uiPriority w:val="0"/>
    <w:pPr>
      <w:widowControl/>
      <w:tabs>
        <w:tab w:val="left" w:pos="57"/>
      </w:tabs>
      <w:spacing w:before="0" w:after="0" w:line="240" w:lineRule="auto"/>
      <w:ind w:left="709" w:hanging="709"/>
      <w:jc w:val="left"/>
    </w:pPr>
    <w:rPr>
      <w:rFonts w:ascii="黑体" w:hAnsi="Calibri" w:eastAsia="仿宋" w:cs="黑体"/>
      <w:sz w:val="30"/>
      <w:szCs w:val="21"/>
      <w:lang w:bidi="en-US"/>
    </w:rPr>
  </w:style>
  <w:style w:type="paragraph" w:customStyle="1" w:styleId="158">
    <w:name w:val="章节841"/>
    <w:basedOn w:val="4"/>
    <w:qFormat/>
    <w:uiPriority w:val="0"/>
    <w:pPr>
      <w:widowControl/>
      <w:spacing w:before="0" w:after="0" w:line="240" w:lineRule="auto"/>
      <w:ind w:left="1080" w:hanging="1080"/>
      <w:jc w:val="left"/>
    </w:pPr>
    <w:rPr>
      <w:rFonts w:ascii="黑体" w:hAnsi="黑体" w:eastAsia="仿宋" w:cs="黑体"/>
      <w:color w:val="000000"/>
      <w:sz w:val="30"/>
      <w:szCs w:val="21"/>
      <w:lang w:eastAsia="en-US" w:bidi="en-US"/>
    </w:rPr>
  </w:style>
  <w:style w:type="paragraph" w:customStyle="1" w:styleId="159">
    <w:name w:val="Char"/>
    <w:basedOn w:val="1"/>
    <w:qFormat/>
    <w:uiPriority w:val="0"/>
    <w:pPr>
      <w:ind w:firstLine="200"/>
      <w:jc w:val="left"/>
    </w:pPr>
    <w:rPr>
      <w:rFonts w:ascii="Calibri" w:hAnsi="Calibri" w:eastAsia="仿宋" w:cs="Times New Roman"/>
      <w:sz w:val="28"/>
      <w:szCs w:val="24"/>
    </w:rPr>
  </w:style>
  <w:style w:type="paragraph" w:customStyle="1" w:styleId="160">
    <w:name w:val="章节3-5"/>
    <w:basedOn w:val="157"/>
    <w:qFormat/>
    <w:uiPriority w:val="0"/>
    <w:pPr>
      <w:spacing w:before="312" w:after="312"/>
      <w:ind w:left="0" w:firstLine="0"/>
    </w:pPr>
  </w:style>
  <w:style w:type="paragraph" w:customStyle="1" w:styleId="161">
    <w:name w:val="章节6.1.1"/>
    <w:basedOn w:val="4"/>
    <w:qFormat/>
    <w:uiPriority w:val="0"/>
    <w:pPr>
      <w:widowControl/>
      <w:tabs>
        <w:tab w:val="left" w:pos="786"/>
      </w:tabs>
      <w:spacing w:before="0" w:after="0" w:line="240" w:lineRule="auto"/>
      <w:ind w:left="1794" w:hanging="1368"/>
    </w:pPr>
    <w:rPr>
      <w:rFonts w:ascii="黑体" w:hAnsi="Calibri" w:eastAsia="仿宋" w:cs="黑体"/>
      <w:sz w:val="30"/>
      <w:szCs w:val="21"/>
      <w:lang w:bidi="en-US"/>
    </w:rPr>
  </w:style>
  <w:style w:type="paragraph" w:customStyle="1" w:styleId="162">
    <w:name w:val="数字编号列项（二级）"/>
    <w:qFormat/>
    <w:uiPriority w:val="0"/>
    <w:pPr>
      <w:tabs>
        <w:tab w:val="left" w:pos="1259"/>
      </w:tabs>
      <w:spacing w:after="200" w:line="276" w:lineRule="auto"/>
      <w:ind w:left="1259" w:hanging="420"/>
      <w:jc w:val="both"/>
    </w:pPr>
    <w:rPr>
      <w:rFonts w:ascii="宋体" w:hAnsi="Calibri" w:eastAsia="宋体" w:cs="Times New Roman"/>
      <w:sz w:val="21"/>
      <w:szCs w:val="22"/>
      <w:lang w:val="en-US" w:eastAsia="zh-CN" w:bidi="ar-SA"/>
    </w:rPr>
  </w:style>
  <w:style w:type="paragraph" w:customStyle="1" w:styleId="163">
    <w:name w:val="正文标题名称"/>
    <w:basedOn w:val="1"/>
    <w:qFormat/>
    <w:uiPriority w:val="0"/>
    <w:pPr>
      <w:spacing w:before="640" w:after="560"/>
      <w:ind w:firstLine="200"/>
      <w:jc w:val="center"/>
    </w:pPr>
    <w:rPr>
      <w:rFonts w:ascii="黑体" w:hAnsi="华文中宋" w:eastAsia="仿宋" w:cs="Times New Roman"/>
      <w:b/>
      <w:sz w:val="44"/>
      <w:szCs w:val="32"/>
    </w:rPr>
  </w:style>
  <w:style w:type="paragraph" w:customStyle="1" w:styleId="164">
    <w:name w:val="引言内容"/>
    <w:basedOn w:val="1"/>
    <w:qFormat/>
    <w:uiPriority w:val="0"/>
    <w:pPr>
      <w:ind w:firstLine="454"/>
      <w:jc w:val="left"/>
    </w:pPr>
    <w:rPr>
      <w:rFonts w:ascii="Calibri" w:hAnsi="Calibri" w:eastAsia="仿宋" w:cs="Times New Roman"/>
      <w:sz w:val="28"/>
      <w:szCs w:val="21"/>
    </w:rPr>
  </w:style>
  <w:style w:type="paragraph" w:customStyle="1" w:styleId="165">
    <w:name w:val="附录1"/>
    <w:basedOn w:val="2"/>
    <w:next w:val="1"/>
    <w:qFormat/>
    <w:uiPriority w:val="0"/>
    <w:pPr>
      <w:widowControl/>
      <w:tabs>
        <w:tab w:val="clear" w:pos="879"/>
      </w:tabs>
      <w:spacing w:before="150" w:after="0" w:line="240" w:lineRule="auto"/>
      <w:ind w:left="1140" w:hanging="720"/>
      <w:jc w:val="left"/>
    </w:pPr>
    <w:rPr>
      <w:rFonts w:ascii="黑体" w:hAnsi="黑体" w:eastAsia="仿宋" w:cs="黑体"/>
      <w:spacing w:val="0"/>
      <w:sz w:val="36"/>
      <w:szCs w:val="21"/>
      <w:lang w:bidi="en-US"/>
    </w:rPr>
  </w:style>
  <w:style w:type="paragraph" w:customStyle="1" w:styleId="166">
    <w:name w:val="一致性程度标识"/>
    <w:basedOn w:val="1"/>
    <w:qFormat/>
    <w:uiPriority w:val="0"/>
    <w:pPr>
      <w:ind w:firstLine="200"/>
      <w:jc w:val="center"/>
    </w:pPr>
    <w:rPr>
      <w:rFonts w:ascii="宋体" w:hAnsi="宋体" w:eastAsia="宋体" w:cs="Times New Roman"/>
      <w:sz w:val="28"/>
      <w:szCs w:val="28"/>
    </w:rPr>
  </w:style>
  <w:style w:type="paragraph" w:customStyle="1" w:styleId="167">
    <w:name w:val="终结线"/>
    <w:basedOn w:val="1"/>
    <w:qFormat/>
    <w:uiPriority w:val="0"/>
    <w:pPr>
      <w:widowControl/>
      <w:spacing w:after="200" w:line="360" w:lineRule="auto"/>
      <w:ind w:firstLine="200"/>
      <w:jc w:val="left"/>
    </w:pPr>
    <w:rPr>
      <w:rFonts w:ascii="Calibri" w:hAnsi="Calibri" w:eastAsia="仿宋" w:cs="Times New Roman"/>
      <w:sz w:val="24"/>
      <w:lang w:eastAsia="en-US" w:bidi="en-US"/>
    </w:rPr>
  </w:style>
  <w:style w:type="paragraph" w:customStyle="1" w:styleId="168">
    <w:name w:val="章节3-5-3"/>
    <w:basedOn w:val="160"/>
    <w:qFormat/>
    <w:uiPriority w:val="0"/>
    <w:pPr>
      <w:ind w:left="1260" w:hanging="420"/>
    </w:pPr>
  </w:style>
  <w:style w:type="paragraph" w:customStyle="1" w:styleId="169">
    <w:name w:val="TOC 标题111"/>
    <w:basedOn w:val="138"/>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170">
    <w:name w:val="字母编号列项（一级）"/>
    <w:qFormat/>
    <w:uiPriority w:val="0"/>
    <w:pPr>
      <w:tabs>
        <w:tab w:val="left" w:pos="839"/>
      </w:tabs>
      <w:spacing w:after="200" w:line="276" w:lineRule="auto"/>
      <w:ind w:left="780" w:hanging="360"/>
      <w:jc w:val="both"/>
    </w:pPr>
    <w:rPr>
      <w:rFonts w:ascii="宋体" w:hAnsi="Calibri" w:eastAsia="宋体" w:cs="Times New Roman"/>
      <w:sz w:val="21"/>
      <w:szCs w:val="22"/>
      <w:lang w:val="en-US" w:eastAsia="zh-CN" w:bidi="ar-SA"/>
    </w:rPr>
  </w:style>
  <w:style w:type="paragraph" w:customStyle="1" w:styleId="171">
    <w:name w:val="章节2"/>
    <w:basedOn w:val="172"/>
    <w:qFormat/>
    <w:uiPriority w:val="0"/>
    <w:pPr>
      <w:tabs>
        <w:tab w:val="left" w:pos="0"/>
      </w:tabs>
      <w:ind w:left="0" w:firstLine="0"/>
    </w:pPr>
    <w:rPr>
      <w:lang w:val="zh-CN"/>
    </w:rPr>
  </w:style>
  <w:style w:type="paragraph" w:customStyle="1" w:styleId="172">
    <w:name w:val="章节1"/>
    <w:basedOn w:val="2"/>
    <w:qFormat/>
    <w:uiPriority w:val="0"/>
    <w:pPr>
      <w:widowControl/>
      <w:tabs>
        <w:tab w:val="left" w:pos="0"/>
        <w:tab w:val="clear" w:pos="879"/>
      </w:tabs>
      <w:spacing w:before="0" w:after="0" w:line="240" w:lineRule="auto"/>
      <w:ind w:left="425" w:hanging="425"/>
      <w:jc w:val="left"/>
    </w:pPr>
    <w:rPr>
      <w:rFonts w:ascii="黑体" w:hAnsi="Calibri" w:eastAsia="仿宋" w:cs="黑体"/>
      <w:spacing w:val="0"/>
      <w:sz w:val="36"/>
      <w:szCs w:val="21"/>
      <w:lang w:eastAsia="en-US" w:bidi="en-US"/>
    </w:rPr>
  </w:style>
  <w:style w:type="paragraph" w:customStyle="1" w:styleId="173">
    <w:name w:val="Char Char3 Char Char Char Char1"/>
    <w:basedOn w:val="1"/>
    <w:qFormat/>
    <w:uiPriority w:val="0"/>
    <w:pPr>
      <w:widowControl/>
      <w:spacing w:after="160" w:line="240" w:lineRule="exact"/>
      <w:jc w:val="left"/>
    </w:pPr>
    <w:rPr>
      <w:rFonts w:ascii="Verdana" w:hAnsi="Verdana" w:eastAsia="仿宋" w:cs="Times New Roman"/>
      <w:sz w:val="20"/>
      <w:szCs w:val="20"/>
      <w:lang w:eastAsia="en-US"/>
    </w:rPr>
  </w:style>
  <w:style w:type="paragraph" w:customStyle="1" w:styleId="174">
    <w:name w:val="_正文"/>
    <w:basedOn w:val="1"/>
    <w:qFormat/>
    <w:uiPriority w:val="0"/>
    <w:pPr>
      <w:spacing w:before="156"/>
      <w:ind w:firstLine="480"/>
      <w:jc w:val="left"/>
    </w:pPr>
    <w:rPr>
      <w:rFonts w:ascii="Calibri" w:hAnsi="Calibri" w:eastAsia="仿宋" w:cs="Times New Roman"/>
      <w:sz w:val="28"/>
      <w:szCs w:val="24"/>
    </w:rPr>
  </w:style>
  <w:style w:type="paragraph" w:customStyle="1" w:styleId="175">
    <w:name w:val="章节5.8.1"/>
    <w:basedOn w:val="160"/>
    <w:qFormat/>
    <w:uiPriority w:val="0"/>
    <w:pPr>
      <w:jc w:val="both"/>
    </w:pPr>
    <w:rPr>
      <w:color w:val="000000"/>
    </w:rPr>
  </w:style>
  <w:style w:type="paragraph" w:customStyle="1" w:styleId="176">
    <w:name w:val="附录c21"/>
    <w:basedOn w:val="4"/>
    <w:qFormat/>
    <w:uiPriority w:val="0"/>
    <w:pPr>
      <w:widowControl/>
      <w:spacing w:before="0" w:after="0" w:line="240" w:lineRule="auto"/>
      <w:ind w:left="1260" w:hanging="420"/>
      <w:jc w:val="left"/>
    </w:pPr>
    <w:rPr>
      <w:rFonts w:ascii="黑体" w:hAnsi="黑体" w:eastAsia="仿宋" w:cs="黑体"/>
      <w:sz w:val="30"/>
      <w:szCs w:val="21"/>
      <w:lang w:eastAsia="en-US" w:bidi="en-US"/>
    </w:rPr>
  </w:style>
  <w:style w:type="paragraph" w:customStyle="1" w:styleId="177">
    <w:name w:val="章节7.1"/>
    <w:basedOn w:val="148"/>
    <w:qFormat/>
    <w:uiPriority w:val="0"/>
  </w:style>
  <w:style w:type="paragraph" w:customStyle="1" w:styleId="178">
    <w:name w:val="附录3"/>
    <w:basedOn w:val="4"/>
    <w:next w:val="1"/>
    <w:qFormat/>
    <w:uiPriority w:val="0"/>
    <w:pPr>
      <w:widowControl/>
      <w:tabs>
        <w:tab w:val="left" w:pos="709"/>
      </w:tabs>
      <w:spacing w:before="0" w:after="0" w:line="240" w:lineRule="auto"/>
      <w:ind w:left="720" w:hanging="720"/>
      <w:jc w:val="left"/>
    </w:pPr>
    <w:rPr>
      <w:rFonts w:ascii="黑体" w:hAnsi="黑体" w:eastAsia="仿宋" w:cs="黑体"/>
      <w:sz w:val="30"/>
      <w:szCs w:val="21"/>
      <w:lang w:eastAsia="en-US" w:bidi="en-US"/>
    </w:rPr>
  </w:style>
  <w:style w:type="paragraph" w:customStyle="1" w:styleId="179">
    <w:name w:val="发布部门"/>
    <w:basedOn w:val="1"/>
    <w:qFormat/>
    <w:uiPriority w:val="0"/>
    <w:pPr>
      <w:ind w:firstLine="200"/>
      <w:jc w:val="center"/>
    </w:pPr>
    <w:rPr>
      <w:rFonts w:ascii="华文中宋" w:hAnsi="华文中宋" w:eastAsia="华文中宋" w:cs="Times New Roman"/>
      <w:b/>
      <w:sz w:val="32"/>
      <w:szCs w:val="32"/>
    </w:rPr>
  </w:style>
  <w:style w:type="paragraph" w:customStyle="1" w:styleId="180">
    <w:name w:val="附录表标题"/>
    <w:basedOn w:val="1"/>
    <w:next w:val="97"/>
    <w:qFormat/>
    <w:uiPriority w:val="0"/>
    <w:pPr>
      <w:widowControl/>
      <w:tabs>
        <w:tab w:val="left" w:pos="180"/>
      </w:tabs>
      <w:spacing w:line="360" w:lineRule="auto"/>
      <w:ind w:firstLine="200"/>
      <w:jc w:val="center"/>
    </w:pPr>
    <w:rPr>
      <w:rFonts w:ascii="黑体" w:hAnsi="Calibri" w:eastAsia="黑体" w:cs="Times New Roman"/>
      <w:sz w:val="24"/>
      <w:lang w:eastAsia="en-US" w:bidi="en-US"/>
    </w:rPr>
  </w:style>
  <w:style w:type="paragraph" w:customStyle="1" w:styleId="181">
    <w:name w:val="三级条标题"/>
    <w:basedOn w:val="1"/>
    <w:next w:val="97"/>
    <w:qFormat/>
    <w:uiPriority w:val="0"/>
    <w:pPr>
      <w:widowControl/>
      <w:spacing w:line="276" w:lineRule="auto"/>
      <w:jc w:val="left"/>
      <w:outlineLvl w:val="4"/>
    </w:pPr>
    <w:rPr>
      <w:rFonts w:ascii="黑体" w:hAnsi="Calibri" w:eastAsia="黑体" w:cs="Times New Roman"/>
    </w:rPr>
  </w:style>
  <w:style w:type="paragraph" w:customStyle="1" w:styleId="182">
    <w:name w:val="样式1"/>
    <w:basedOn w:val="5"/>
    <w:link w:val="183"/>
    <w:qFormat/>
    <w:uiPriority w:val="0"/>
    <w:pPr>
      <w:tabs>
        <w:tab w:val="left" w:pos="2141"/>
      </w:tabs>
      <w:ind w:left="2945" w:hanging="1668"/>
    </w:pPr>
    <w:rPr>
      <w:rFonts w:ascii="Arial" w:hAnsi="Arial" w:eastAsia="仿宋" w:cs="Times New Roman"/>
    </w:rPr>
  </w:style>
  <w:style w:type="character" w:customStyle="1" w:styleId="183">
    <w:name w:val="样式1 Char Char"/>
    <w:link w:val="182"/>
    <w:qFormat/>
    <w:uiPriority w:val="0"/>
    <w:rPr>
      <w:rFonts w:ascii="Arial" w:hAnsi="Arial" w:eastAsia="仿宋" w:cs="Times New Roman"/>
      <w:b/>
      <w:bCs/>
      <w:sz w:val="28"/>
      <w:szCs w:val="28"/>
    </w:rPr>
  </w:style>
  <w:style w:type="character" w:customStyle="1" w:styleId="184">
    <w:name w:val="标题 4 字符"/>
    <w:basedOn w:val="59"/>
    <w:link w:val="5"/>
    <w:qFormat/>
    <w:uiPriority w:val="0"/>
    <w:rPr>
      <w:rFonts w:asciiTheme="majorHAnsi" w:hAnsiTheme="majorHAnsi" w:eastAsiaTheme="majorEastAsia" w:cstheme="majorBidi"/>
      <w:b/>
      <w:bCs/>
      <w:sz w:val="28"/>
      <w:szCs w:val="28"/>
    </w:rPr>
  </w:style>
  <w:style w:type="paragraph" w:customStyle="1" w:styleId="185">
    <w:name w:val="2"/>
    <w:next w:val="1"/>
    <w:qFormat/>
    <w:uiPriority w:val="0"/>
    <w:pPr>
      <w:widowControl w:val="0"/>
      <w:ind w:firstLine="200"/>
    </w:pPr>
    <w:rPr>
      <w:rFonts w:ascii="Calibri" w:hAnsi="Calibri" w:eastAsia="仿宋" w:cs="Times New Roman"/>
      <w:sz w:val="28"/>
      <w:szCs w:val="24"/>
      <w:lang w:val="en-US" w:eastAsia="zh-CN" w:bidi="ar-SA"/>
    </w:rPr>
  </w:style>
  <w:style w:type="paragraph" w:customStyle="1" w:styleId="186">
    <w:name w:val="附录c"/>
    <w:basedOn w:val="3"/>
    <w:qFormat/>
    <w:uiPriority w:val="0"/>
    <w:pPr>
      <w:widowControl/>
      <w:tabs>
        <w:tab w:val="left" w:pos="567"/>
      </w:tabs>
      <w:spacing w:before="0" w:after="0" w:line="240" w:lineRule="auto"/>
      <w:ind w:left="576" w:hanging="576"/>
    </w:pPr>
    <w:rPr>
      <w:rFonts w:ascii="黑体" w:hAnsi="Calibri" w:eastAsia="仿宋" w:cs="黑体"/>
      <w:szCs w:val="21"/>
      <w:lang w:bidi="en-US"/>
    </w:rPr>
  </w:style>
  <w:style w:type="paragraph" w:customStyle="1" w:styleId="187">
    <w:name w:val="列项——（一级）"/>
    <w:qFormat/>
    <w:uiPriority w:val="0"/>
    <w:pPr>
      <w:widowControl w:val="0"/>
      <w:spacing w:after="200" w:line="276" w:lineRule="auto"/>
      <w:ind w:left="833" w:hanging="408"/>
      <w:jc w:val="both"/>
    </w:pPr>
    <w:rPr>
      <w:rFonts w:ascii="宋体" w:hAnsi="Calibri" w:eastAsia="宋体" w:cs="Times New Roman"/>
      <w:sz w:val="21"/>
      <w:szCs w:val="22"/>
      <w:lang w:val="en-US" w:eastAsia="zh-CN" w:bidi="ar-SA"/>
    </w:rPr>
  </w:style>
  <w:style w:type="paragraph" w:customStyle="1" w:styleId="188">
    <w:name w:val="章节7.1.1"/>
    <w:basedOn w:val="4"/>
    <w:qFormat/>
    <w:uiPriority w:val="0"/>
    <w:pPr>
      <w:widowControl/>
      <w:spacing w:before="0" w:after="0" w:line="240" w:lineRule="auto"/>
      <w:ind w:left="1430" w:hanging="720"/>
    </w:pPr>
    <w:rPr>
      <w:rFonts w:ascii="黑体" w:hAnsi="黑体" w:eastAsia="仿宋" w:cs="黑体"/>
      <w:color w:val="000000"/>
      <w:sz w:val="30"/>
      <w:szCs w:val="21"/>
      <w:lang w:bidi="en-US"/>
    </w:rPr>
  </w:style>
  <w:style w:type="paragraph" w:customStyle="1" w:styleId="189">
    <w:name w:val="章节821"/>
    <w:basedOn w:val="4"/>
    <w:qFormat/>
    <w:uiPriority w:val="0"/>
    <w:pPr>
      <w:widowControl/>
      <w:spacing w:before="0" w:after="0" w:line="240" w:lineRule="auto"/>
      <w:ind w:left="1740" w:hanging="420"/>
      <w:jc w:val="left"/>
    </w:pPr>
    <w:rPr>
      <w:rFonts w:ascii="黑体" w:hAnsi="黑体" w:eastAsia="仿宋" w:cs="黑体"/>
      <w:color w:val="000000"/>
      <w:sz w:val="30"/>
      <w:szCs w:val="21"/>
      <w:lang w:bidi="en-US"/>
    </w:rPr>
  </w:style>
  <w:style w:type="paragraph" w:customStyle="1" w:styleId="190">
    <w:name w:val="章节8631"/>
    <w:basedOn w:val="5"/>
    <w:qFormat/>
    <w:uiPriority w:val="0"/>
    <w:pPr>
      <w:widowControl/>
      <w:tabs>
        <w:tab w:val="left" w:pos="993"/>
      </w:tabs>
      <w:spacing w:before="0" w:after="0" w:line="240" w:lineRule="auto"/>
      <w:ind w:left="1080" w:hanging="1080"/>
      <w:jc w:val="left"/>
    </w:pPr>
    <w:rPr>
      <w:rFonts w:ascii="黑体" w:hAnsi="Cambria" w:eastAsia="仿宋" w:cs="Times New Roman"/>
      <w:iCs/>
      <w:color w:val="000000"/>
      <w:szCs w:val="21"/>
      <w:lang w:bidi="en-US"/>
    </w:rPr>
  </w:style>
  <w:style w:type="paragraph" w:customStyle="1" w:styleId="191">
    <w:name w:val="章节8.1"/>
    <w:basedOn w:val="3"/>
    <w:qFormat/>
    <w:uiPriority w:val="0"/>
    <w:pPr>
      <w:widowControl/>
      <w:tabs>
        <w:tab w:val="left" w:pos="567"/>
      </w:tabs>
      <w:spacing w:before="0" w:after="0" w:line="240" w:lineRule="auto"/>
      <w:ind w:left="840" w:hanging="840"/>
      <w:jc w:val="left"/>
    </w:pPr>
    <w:rPr>
      <w:rFonts w:ascii="黑体" w:hAnsi="黑体" w:eastAsia="仿宋" w:cs="黑体"/>
      <w:color w:val="000000"/>
      <w:szCs w:val="21"/>
      <w:lang w:eastAsia="en-US" w:bidi="en-US"/>
    </w:rPr>
  </w:style>
  <w:style w:type="paragraph" w:customStyle="1" w:styleId="192">
    <w:name w:val="附录2"/>
    <w:basedOn w:val="3"/>
    <w:next w:val="1"/>
    <w:qFormat/>
    <w:uiPriority w:val="0"/>
    <w:pPr>
      <w:widowControl/>
      <w:tabs>
        <w:tab w:val="left" w:pos="567"/>
      </w:tabs>
      <w:spacing w:before="0" w:after="0" w:line="240" w:lineRule="auto"/>
      <w:ind w:left="1260" w:hanging="420"/>
    </w:pPr>
    <w:rPr>
      <w:rFonts w:ascii="黑体" w:hAnsi="宋体" w:eastAsia="仿宋" w:cs="黑体"/>
      <w:szCs w:val="21"/>
      <w:lang w:bidi="en-US"/>
    </w:rPr>
  </w:style>
  <w:style w:type="paragraph" w:customStyle="1" w:styleId="193">
    <w:name w:val="条款节部分"/>
    <w:basedOn w:val="1"/>
    <w:qFormat/>
    <w:uiPriority w:val="0"/>
    <w:pPr>
      <w:tabs>
        <w:tab w:val="left" w:pos="2850"/>
      </w:tabs>
      <w:ind w:left="2417" w:hanging="432"/>
    </w:pPr>
    <w:rPr>
      <w:rFonts w:ascii="Calibri" w:hAnsi="Calibri" w:eastAsia="仿宋_GB2312" w:cs="Times New Roman"/>
      <w:sz w:val="32"/>
      <w:szCs w:val="32"/>
    </w:rPr>
  </w:style>
  <w:style w:type="paragraph" w:customStyle="1" w:styleId="194">
    <w:name w:val="章节8621"/>
    <w:basedOn w:val="5"/>
    <w:qFormat/>
    <w:uiPriority w:val="0"/>
    <w:pPr>
      <w:widowControl/>
      <w:tabs>
        <w:tab w:val="left" w:pos="993"/>
      </w:tabs>
      <w:spacing w:before="0" w:after="0" w:line="240" w:lineRule="auto"/>
      <w:ind w:left="864" w:hanging="864"/>
      <w:jc w:val="left"/>
    </w:pPr>
    <w:rPr>
      <w:rFonts w:ascii="黑体" w:hAnsi="Cambria" w:eastAsia="仿宋" w:cs="Times New Roman"/>
      <w:iCs/>
      <w:color w:val="000000"/>
      <w:szCs w:val="21"/>
      <w:lang w:bidi="en-US"/>
    </w:rPr>
  </w:style>
  <w:style w:type="paragraph" w:customStyle="1" w:styleId="195">
    <w:name w:val="章节831"/>
    <w:basedOn w:val="4"/>
    <w:qFormat/>
    <w:uiPriority w:val="0"/>
    <w:pPr>
      <w:widowControl/>
      <w:spacing w:before="0" w:after="0" w:line="240" w:lineRule="auto"/>
      <w:ind w:left="1430" w:hanging="720"/>
      <w:jc w:val="left"/>
    </w:pPr>
    <w:rPr>
      <w:rFonts w:ascii="黑体" w:hAnsi="黑体" w:eastAsia="仿宋" w:cs="黑体"/>
      <w:color w:val="000000"/>
      <w:sz w:val="30"/>
      <w:szCs w:val="21"/>
      <w:lang w:bidi="en-US"/>
    </w:rPr>
  </w:style>
  <w:style w:type="paragraph" w:customStyle="1" w:styleId="196">
    <w:name w:val="章节2-5"/>
    <w:basedOn w:val="149"/>
    <w:qFormat/>
    <w:uiPriority w:val="0"/>
    <w:pPr>
      <w:tabs>
        <w:tab w:val="left" w:pos="567"/>
      </w:tabs>
      <w:ind w:left="576" w:hanging="576"/>
    </w:pPr>
  </w:style>
  <w:style w:type="paragraph" w:customStyle="1" w:styleId="197">
    <w:name w:val="附录4"/>
    <w:basedOn w:val="178"/>
    <w:qFormat/>
    <w:uiPriority w:val="0"/>
    <w:pPr>
      <w:ind w:left="2100" w:hanging="420"/>
      <w:outlineLvl w:val="3"/>
    </w:pPr>
  </w:style>
  <w:style w:type="paragraph" w:customStyle="1" w:styleId="198">
    <w:name w:val="章节8.1.1"/>
    <w:basedOn w:val="4"/>
    <w:qFormat/>
    <w:uiPriority w:val="0"/>
    <w:pPr>
      <w:widowControl/>
      <w:spacing w:before="0" w:after="0" w:line="240" w:lineRule="auto"/>
      <w:ind w:left="1430" w:hanging="720"/>
      <w:jc w:val="left"/>
    </w:pPr>
    <w:rPr>
      <w:rFonts w:ascii="黑体" w:hAnsi="黑体" w:eastAsia="仿宋" w:cs="黑体"/>
      <w:color w:val="000000"/>
      <w:sz w:val="30"/>
      <w:szCs w:val="21"/>
      <w:lang w:eastAsia="en-US" w:bidi="en-US"/>
    </w:rPr>
  </w:style>
  <w:style w:type="paragraph" w:customStyle="1" w:styleId="199">
    <w:name w:val="附录3新"/>
    <w:basedOn w:val="178"/>
    <w:next w:val="1"/>
    <w:qFormat/>
    <w:uiPriority w:val="0"/>
    <w:pPr>
      <w:spacing w:before="50" w:after="50"/>
      <w:ind w:left="1680" w:hanging="420"/>
    </w:pPr>
  </w:style>
  <w:style w:type="paragraph" w:customStyle="1" w:styleId="200">
    <w:name w:val="章节861"/>
    <w:basedOn w:val="4"/>
    <w:qFormat/>
    <w:uiPriority w:val="0"/>
    <w:pPr>
      <w:widowControl/>
      <w:spacing w:before="0" w:after="0" w:line="240" w:lineRule="auto"/>
      <w:ind w:left="1430" w:hanging="720"/>
      <w:jc w:val="left"/>
    </w:pPr>
    <w:rPr>
      <w:rFonts w:ascii="黑体" w:hAnsi="黑体" w:eastAsia="仿宋" w:cs="黑体"/>
      <w:color w:val="000000"/>
      <w:sz w:val="30"/>
      <w:szCs w:val="21"/>
      <w:lang w:eastAsia="en-US" w:bidi="en-US"/>
    </w:rPr>
  </w:style>
  <w:style w:type="paragraph" w:customStyle="1" w:styleId="201">
    <w:name w:val="表题"/>
    <w:basedOn w:val="1"/>
    <w:qFormat/>
    <w:uiPriority w:val="0"/>
    <w:pPr>
      <w:jc w:val="center"/>
    </w:pPr>
    <w:rPr>
      <w:rFonts w:ascii="黑体" w:hAnsi="Calibri" w:eastAsia="仿宋" w:cs="Times New Roman"/>
      <w:b/>
      <w:sz w:val="28"/>
      <w:szCs w:val="24"/>
    </w:rPr>
  </w:style>
  <w:style w:type="paragraph" w:customStyle="1" w:styleId="202">
    <w:name w:val="章节731"/>
    <w:basedOn w:val="188"/>
    <w:qFormat/>
    <w:uiPriority w:val="0"/>
  </w:style>
  <w:style w:type="paragraph" w:customStyle="1" w:styleId="203">
    <w:name w:val="章节5.6.1"/>
    <w:basedOn w:val="168"/>
    <w:qFormat/>
    <w:uiPriority w:val="0"/>
    <w:pPr>
      <w:ind w:left="840"/>
    </w:pPr>
  </w:style>
  <w:style w:type="paragraph" w:customStyle="1" w:styleId="204">
    <w:name w:val="章节5.9.1"/>
    <w:basedOn w:val="4"/>
    <w:qFormat/>
    <w:uiPriority w:val="0"/>
    <w:pPr>
      <w:widowControl/>
      <w:tabs>
        <w:tab w:val="left" w:pos="786"/>
      </w:tabs>
      <w:spacing w:before="0" w:after="0" w:line="240" w:lineRule="auto"/>
      <w:ind w:left="1794" w:hanging="1368"/>
    </w:pPr>
    <w:rPr>
      <w:rFonts w:ascii="黑体" w:hAnsi="Calibri" w:eastAsia="仿宋" w:cs="黑体"/>
      <w:color w:val="000000"/>
      <w:sz w:val="30"/>
      <w:szCs w:val="21"/>
      <w:lang w:bidi="en-US"/>
    </w:rPr>
  </w:style>
  <w:style w:type="paragraph" w:customStyle="1" w:styleId="205">
    <w:name w:val="Table Text"/>
    <w:basedOn w:val="1"/>
    <w:link w:val="971"/>
    <w:qFormat/>
    <w:uiPriority w:val="0"/>
    <w:pPr>
      <w:widowControl/>
      <w:spacing w:after="200" w:line="360" w:lineRule="exact"/>
      <w:ind w:firstLine="200"/>
      <w:jc w:val="left"/>
    </w:pPr>
    <w:rPr>
      <w:rFonts w:ascii="DejaVu Math TeX Gyre" w:hAnsi="DejaVu Math TeX Gyre" w:eastAsia="仿宋" w:cs="Times New Roman"/>
      <w:sz w:val="24"/>
      <w:lang w:val="en-GB" w:eastAsia="en-US" w:bidi="en-US"/>
    </w:rPr>
  </w:style>
  <w:style w:type="paragraph" w:customStyle="1" w:styleId="206">
    <w:name w:val="标准名称"/>
    <w:basedOn w:val="1"/>
    <w:qFormat/>
    <w:uiPriority w:val="0"/>
    <w:pPr>
      <w:ind w:firstLine="200"/>
      <w:jc w:val="center"/>
    </w:pPr>
    <w:rPr>
      <w:rFonts w:ascii="黑体" w:hAnsi="华文中宋" w:eastAsia="黑体" w:cs="Times New Roman"/>
      <w:sz w:val="52"/>
      <w:szCs w:val="52"/>
    </w:rPr>
  </w:style>
  <w:style w:type="paragraph" w:customStyle="1" w:styleId="207">
    <w:name w:val="章节5.1"/>
    <w:basedOn w:val="3"/>
    <w:qFormat/>
    <w:uiPriority w:val="0"/>
    <w:pPr>
      <w:widowControl/>
      <w:tabs>
        <w:tab w:val="left" w:pos="567"/>
      </w:tabs>
      <w:spacing w:before="0" w:after="0" w:line="240" w:lineRule="auto"/>
      <w:ind w:left="1260" w:hanging="420"/>
      <w:jc w:val="left"/>
    </w:pPr>
    <w:rPr>
      <w:rFonts w:ascii="黑体" w:hAnsi="黑体" w:eastAsia="仿宋" w:cs="黑体"/>
      <w:color w:val="000000"/>
      <w:szCs w:val="21"/>
      <w:lang w:eastAsia="en-US" w:bidi="en-US"/>
    </w:rPr>
  </w:style>
  <w:style w:type="paragraph" w:customStyle="1" w:styleId="208">
    <w:name w:val="中文标准正文"/>
    <w:basedOn w:val="1"/>
    <w:qFormat/>
    <w:uiPriority w:val="0"/>
    <w:pPr>
      <w:spacing w:line="360" w:lineRule="auto"/>
      <w:ind w:firstLine="200"/>
      <w:jc w:val="left"/>
    </w:pPr>
    <w:rPr>
      <w:rFonts w:ascii="Times New Roman" w:hAnsi="Times New Roman" w:eastAsia="宋体" w:cs="Times New Roman"/>
      <w:sz w:val="28"/>
      <w:szCs w:val="21"/>
    </w:rPr>
  </w:style>
  <w:style w:type="paragraph" w:customStyle="1" w:styleId="209">
    <w:name w:val="msolistparagraph"/>
    <w:basedOn w:val="1"/>
    <w:qFormat/>
    <w:uiPriority w:val="0"/>
    <w:pPr>
      <w:ind w:firstLine="200"/>
    </w:pPr>
    <w:rPr>
      <w:rFonts w:ascii="Calibri" w:hAnsi="Calibri" w:eastAsia="宋体" w:cs="Times New Roman"/>
    </w:rPr>
  </w:style>
  <w:style w:type="character" w:customStyle="1" w:styleId="210">
    <w:name w:val="正文文本缩进 Char1"/>
    <w:link w:val="94"/>
    <w:qFormat/>
    <w:uiPriority w:val="99"/>
    <w:rPr>
      <w:rFonts w:ascii="Times New Roman" w:hAnsi="Times New Roman" w:eastAsia="楷体_GB2312" w:cs="Times New Roman"/>
      <w:sz w:val="24"/>
      <w:szCs w:val="24"/>
    </w:rPr>
  </w:style>
  <w:style w:type="paragraph" w:customStyle="1" w:styleId="211">
    <w:name w:val="样式 宋体 小四 行距: 1.5 倍行距 首行缩进:  2 字符"/>
    <w:basedOn w:val="1"/>
    <w:qFormat/>
    <w:uiPriority w:val="0"/>
    <w:pPr>
      <w:spacing w:line="360" w:lineRule="auto"/>
      <w:ind w:firstLine="480"/>
    </w:pPr>
    <w:rPr>
      <w:rFonts w:ascii="宋体" w:hAnsi="宋体" w:eastAsia="宋体" w:cs="宋体"/>
      <w:sz w:val="24"/>
      <w:szCs w:val="20"/>
    </w:rPr>
  </w:style>
  <w:style w:type="paragraph" w:customStyle="1" w:styleId="212">
    <w:name w:val="样式 正文缩进 + 首行缩进:  2 字符"/>
    <w:basedOn w:val="16"/>
    <w:qFormat/>
    <w:uiPriority w:val="0"/>
    <w:pPr>
      <w:spacing w:line="360" w:lineRule="auto"/>
      <w:ind w:firstLine="200"/>
      <w:jc w:val="both"/>
    </w:pPr>
    <w:rPr>
      <w:rFonts w:cs="Times New Roman"/>
      <w:sz w:val="24"/>
      <w:szCs w:val="20"/>
    </w:rPr>
  </w:style>
  <w:style w:type="paragraph" w:customStyle="1" w:styleId="213">
    <w:name w:val="批注主题1"/>
    <w:basedOn w:val="20"/>
    <w:next w:val="20"/>
    <w:link w:val="809"/>
    <w:qFormat/>
    <w:uiPriority w:val="0"/>
    <w:pPr>
      <w:ind w:firstLine="0"/>
    </w:pPr>
    <w:rPr>
      <w:rFonts w:eastAsia="宋体" w:cs="Times New Roman"/>
      <w:b/>
      <w:bCs/>
      <w:sz w:val="21"/>
    </w:rPr>
  </w:style>
  <w:style w:type="character" w:customStyle="1" w:styleId="214">
    <w:name w:val="批注文字 字符"/>
    <w:link w:val="20"/>
    <w:qFormat/>
    <w:uiPriority w:val="0"/>
    <w:rPr>
      <w:rFonts w:ascii="Times New Roman" w:hAnsi="Times New Roman" w:eastAsia="仿宋"/>
      <w:sz w:val="28"/>
      <w:szCs w:val="24"/>
    </w:rPr>
  </w:style>
  <w:style w:type="character" w:customStyle="1" w:styleId="215">
    <w:name w:val="正文首行缩进 Char"/>
    <w:link w:val="68"/>
    <w:qFormat/>
    <w:uiPriority w:val="0"/>
    <w:rPr>
      <w:rFonts w:ascii="Times New Roman" w:hAnsi="Times New Roman" w:eastAsia="宋体" w:cs="Times New Roman"/>
      <w:sz w:val="24"/>
    </w:rPr>
  </w:style>
  <w:style w:type="paragraph" w:customStyle="1" w:styleId="216">
    <w:name w:val="注释标题1"/>
    <w:basedOn w:val="1"/>
    <w:next w:val="1"/>
    <w:link w:val="217"/>
    <w:qFormat/>
    <w:uiPriority w:val="0"/>
    <w:pPr>
      <w:jc w:val="center"/>
    </w:pPr>
    <w:rPr>
      <w:rFonts w:ascii="宋体" w:hAnsi="Times New Roman"/>
      <w:spacing w:val="-20"/>
      <w:position w:val="-6"/>
      <w:sz w:val="20"/>
      <w:szCs w:val="44"/>
    </w:rPr>
  </w:style>
  <w:style w:type="character" w:customStyle="1" w:styleId="217">
    <w:name w:val="注释标题 Char"/>
    <w:link w:val="216"/>
    <w:qFormat/>
    <w:uiPriority w:val="0"/>
    <w:rPr>
      <w:rFonts w:ascii="宋体" w:hAnsi="Times New Roman"/>
      <w:spacing w:val="-20"/>
      <w:position w:val="-6"/>
      <w:szCs w:val="44"/>
    </w:rPr>
  </w:style>
  <w:style w:type="paragraph" w:customStyle="1" w:styleId="218">
    <w:name w:val="文档结构图1"/>
    <w:basedOn w:val="1"/>
    <w:link w:val="806"/>
    <w:qFormat/>
    <w:uiPriority w:val="0"/>
    <w:rPr>
      <w:rFonts w:ascii="宋体" w:hAnsi="Calibri" w:eastAsia="宋体" w:cs="Times New Roman"/>
      <w:sz w:val="18"/>
      <w:szCs w:val="18"/>
    </w:rPr>
  </w:style>
  <w:style w:type="paragraph" w:customStyle="1" w:styleId="219">
    <w:name w:val="正文文本 31"/>
    <w:basedOn w:val="1"/>
    <w:link w:val="220"/>
    <w:qFormat/>
    <w:uiPriority w:val="0"/>
    <w:pPr>
      <w:spacing w:after="120"/>
    </w:pPr>
    <w:rPr>
      <w:rFonts w:ascii="Times New Roman" w:hAnsi="Times New Roman"/>
      <w:sz w:val="16"/>
      <w:szCs w:val="16"/>
    </w:rPr>
  </w:style>
  <w:style w:type="character" w:customStyle="1" w:styleId="220">
    <w:name w:val="正文文本 3 Char"/>
    <w:link w:val="219"/>
    <w:qFormat/>
    <w:uiPriority w:val="0"/>
    <w:rPr>
      <w:rFonts w:ascii="Times New Roman" w:hAnsi="Times New Roman"/>
      <w:sz w:val="16"/>
      <w:szCs w:val="16"/>
    </w:rPr>
  </w:style>
  <w:style w:type="paragraph" w:customStyle="1" w:styleId="221">
    <w:name w:val="日期1"/>
    <w:basedOn w:val="1"/>
    <w:next w:val="1"/>
    <w:link w:val="817"/>
    <w:qFormat/>
    <w:uiPriority w:val="0"/>
    <w:rPr>
      <w:rFonts w:ascii="Times New Roman" w:hAnsi="Times New Roman" w:eastAsia="宋体" w:cs="Times New Roman"/>
      <w:sz w:val="24"/>
    </w:rPr>
  </w:style>
  <w:style w:type="paragraph" w:customStyle="1" w:styleId="222">
    <w:name w:val="正文文本缩进 21"/>
    <w:basedOn w:val="1"/>
    <w:link w:val="816"/>
    <w:qFormat/>
    <w:uiPriority w:val="0"/>
    <w:pPr>
      <w:widowControl/>
      <w:spacing w:before="120" w:after="120" w:line="360" w:lineRule="auto"/>
      <w:ind w:firstLine="425"/>
      <w:jc w:val="left"/>
    </w:pPr>
    <w:rPr>
      <w:rFonts w:ascii="楷体" w:hAnsi="楷体" w:eastAsia="楷体" w:cs="Times New Roman"/>
      <w:color w:val="000000"/>
      <w:sz w:val="24"/>
      <w:szCs w:val="20"/>
      <w:lang w:eastAsia="ar-SA"/>
    </w:rPr>
  </w:style>
  <w:style w:type="character" w:customStyle="1" w:styleId="223">
    <w:name w:val="正文首行缩进 2 Char"/>
    <w:basedOn w:val="59"/>
    <w:link w:val="93"/>
    <w:qFormat/>
    <w:uiPriority w:val="99"/>
    <w:rPr>
      <w:rFonts w:ascii="Times New Roman" w:hAnsi="Times New Roman" w:eastAsia="仿宋"/>
      <w:sz w:val="28"/>
      <w:szCs w:val="24"/>
    </w:rPr>
  </w:style>
  <w:style w:type="paragraph" w:customStyle="1" w:styleId="224">
    <w:name w:val="正文文本缩进 31"/>
    <w:basedOn w:val="1"/>
    <w:link w:val="822"/>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25">
    <w:name w:val="正文文本 21"/>
    <w:basedOn w:val="1"/>
    <w:link w:val="226"/>
    <w:qFormat/>
    <w:uiPriority w:val="0"/>
    <w:pPr>
      <w:spacing w:after="120" w:line="480" w:lineRule="auto"/>
    </w:pPr>
    <w:rPr>
      <w:rFonts w:ascii="Times New Roman" w:hAnsi="Times New Roman"/>
      <w:sz w:val="20"/>
      <w:szCs w:val="24"/>
    </w:rPr>
  </w:style>
  <w:style w:type="character" w:customStyle="1" w:styleId="226">
    <w:name w:val="正文文本 2 Char"/>
    <w:link w:val="225"/>
    <w:qFormat/>
    <w:uiPriority w:val="0"/>
    <w:rPr>
      <w:rFonts w:ascii="Times New Roman" w:hAnsi="Times New Roman"/>
      <w:szCs w:val="24"/>
    </w:rPr>
  </w:style>
  <w:style w:type="paragraph" w:customStyle="1" w:styleId="22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lang w:eastAsia="en-US"/>
    </w:rPr>
  </w:style>
  <w:style w:type="paragraph" w:customStyle="1" w:styleId="228">
    <w:name w:val="批注框文本 Char Char"/>
    <w:basedOn w:val="1"/>
    <w:link w:val="229"/>
    <w:qFormat/>
    <w:uiPriority w:val="0"/>
    <w:rPr>
      <w:rFonts w:ascii="Calibri" w:hAnsi="Calibri" w:eastAsia="宋体" w:cs="Times New Roman"/>
      <w:sz w:val="18"/>
      <w:szCs w:val="18"/>
    </w:rPr>
  </w:style>
  <w:style w:type="character" w:customStyle="1" w:styleId="229">
    <w:name w:val="批注框文本 Char Char Char Char"/>
    <w:link w:val="228"/>
    <w:qFormat/>
    <w:uiPriority w:val="0"/>
    <w:rPr>
      <w:rFonts w:ascii="Calibri" w:hAnsi="Calibri" w:eastAsia="宋体" w:cs="Times New Roman"/>
      <w:sz w:val="18"/>
      <w:szCs w:val="18"/>
    </w:rPr>
  </w:style>
  <w:style w:type="paragraph" w:customStyle="1" w:styleId="230">
    <w:name w:val="Char Char Char Char Char Char Char1 Char Char Char Char Char Char Char"/>
    <w:basedOn w:val="218"/>
    <w:next w:val="1"/>
    <w:qFormat/>
    <w:uiPriority w:val="0"/>
  </w:style>
  <w:style w:type="paragraph" w:customStyle="1" w:styleId="231">
    <w:name w:val="文挡编号"/>
    <w:basedOn w:val="1"/>
    <w:next w:val="1"/>
    <w:qFormat/>
    <w:uiPriority w:val="0"/>
    <w:pPr>
      <w:widowControl/>
      <w:spacing w:before="480" w:after="120" w:line="360" w:lineRule="auto"/>
    </w:pPr>
    <w:rPr>
      <w:rFonts w:ascii="Times New Roman" w:hAnsi="Times New Roman" w:eastAsia="宋体" w:cs="Times New Roman"/>
      <w:szCs w:val="20"/>
    </w:rPr>
  </w:style>
  <w:style w:type="paragraph" w:customStyle="1" w:styleId="232">
    <w:name w:val="列出段落1"/>
    <w:basedOn w:val="1"/>
    <w:link w:val="233"/>
    <w:qFormat/>
    <w:uiPriority w:val="34"/>
    <w:pPr>
      <w:ind w:firstLine="420"/>
    </w:pPr>
    <w:rPr>
      <w:rFonts w:ascii="Calibri" w:hAnsi="Calibri" w:eastAsia="宋体" w:cs="Times New Roman"/>
      <w:sz w:val="20"/>
      <w:szCs w:val="20"/>
    </w:rPr>
  </w:style>
  <w:style w:type="character" w:customStyle="1" w:styleId="233">
    <w:name w:val="列出段落 Char"/>
    <w:link w:val="232"/>
    <w:qFormat/>
    <w:uiPriority w:val="0"/>
    <w:rPr>
      <w:rFonts w:ascii="Calibri" w:hAnsi="Calibri" w:eastAsia="宋体" w:cs="Times New Roman"/>
    </w:rPr>
  </w:style>
  <w:style w:type="character" w:customStyle="1" w:styleId="234">
    <w:name w:val="正文缩进 Char"/>
    <w:link w:val="92"/>
    <w:qFormat/>
    <w:uiPriority w:val="0"/>
    <w:rPr>
      <w:rFonts w:ascii="Calibri" w:hAnsi="Calibri" w:eastAsia="宋体" w:cs="Times New Roman"/>
    </w:rPr>
  </w:style>
  <w:style w:type="paragraph" w:customStyle="1" w:styleId="235">
    <w:name w:val="样式 正文文本 + 左侧:  2 字符 首行缩进:  2 字符 段前: 0.5 行"/>
    <w:basedOn w:val="22"/>
    <w:qFormat/>
    <w:uiPriority w:val="0"/>
    <w:pPr>
      <w:widowControl/>
      <w:spacing w:line="300" w:lineRule="auto"/>
      <w:ind w:firstLine="420"/>
      <w:jc w:val="left"/>
    </w:pPr>
    <w:rPr>
      <w:rFonts w:ascii="Times New Roman" w:hAnsi="Times New Roman" w:eastAsia="宋体" w:cs="宋体"/>
      <w:sz w:val="21"/>
    </w:rPr>
  </w:style>
  <w:style w:type="character" w:customStyle="1" w:styleId="236">
    <w:name w:val="正文文本 字符"/>
    <w:basedOn w:val="59"/>
    <w:link w:val="22"/>
    <w:qFormat/>
    <w:uiPriority w:val="0"/>
  </w:style>
  <w:style w:type="paragraph" w:customStyle="1" w:styleId="237">
    <w:name w:val="cLevel1"/>
    <w:basedOn w:val="138"/>
    <w:qFormat/>
    <w:uiPriority w:val="0"/>
    <w:pPr>
      <w:tabs>
        <w:tab w:val="left" w:pos="-180"/>
      </w:tabs>
      <w:spacing w:before="240" w:after="240" w:line="480" w:lineRule="auto"/>
      <w:jc w:val="center"/>
    </w:pPr>
    <w:rPr>
      <w:rFonts w:ascii="Times New Roman" w:hAnsi="Times New Roman"/>
      <w:sz w:val="48"/>
    </w:rPr>
  </w:style>
  <w:style w:type="paragraph" w:customStyle="1" w:styleId="238">
    <w:name w:val="cLevel2"/>
    <w:basedOn w:val="104"/>
    <w:qFormat/>
    <w:uiPriority w:val="0"/>
    <w:pPr>
      <w:tabs>
        <w:tab w:val="left" w:pos="4205"/>
      </w:tabs>
      <w:spacing w:before="0" w:after="0" w:line="360" w:lineRule="auto"/>
      <w:ind w:left="0" w:firstLine="0"/>
      <w:jc w:val="left"/>
    </w:pPr>
    <w:rPr>
      <w:rFonts w:ascii="Arial" w:hAnsi="Arial" w:eastAsia="新宋体"/>
      <w:sz w:val="36"/>
    </w:rPr>
  </w:style>
  <w:style w:type="paragraph" w:customStyle="1" w:styleId="239">
    <w:name w:val="cx标题三"/>
    <w:basedOn w:val="105"/>
    <w:qFormat/>
    <w:uiPriority w:val="0"/>
    <w:pPr>
      <w:tabs>
        <w:tab w:val="left" w:pos="4205"/>
      </w:tabs>
      <w:spacing w:before="0" w:after="0" w:line="360" w:lineRule="auto"/>
      <w:ind w:left="0" w:firstLine="50"/>
    </w:pPr>
    <w:rPr>
      <w:rFonts w:ascii="Times New Roman" w:hAnsi="Times New Roman" w:eastAsia="新宋体"/>
      <w:sz w:val="30"/>
    </w:rPr>
  </w:style>
  <w:style w:type="paragraph" w:customStyle="1" w:styleId="240">
    <w:name w:val="cxLevel4"/>
    <w:basedOn w:val="106"/>
    <w:link w:val="241"/>
    <w:qFormat/>
    <w:uiPriority w:val="0"/>
    <w:pPr>
      <w:tabs>
        <w:tab w:val="left" w:pos="4205"/>
      </w:tabs>
      <w:spacing w:before="0" w:after="0" w:line="360" w:lineRule="auto"/>
      <w:ind w:left="0" w:firstLine="100"/>
    </w:pPr>
    <w:rPr>
      <w:rFonts w:ascii="Arial" w:hAnsi="Arial"/>
    </w:rPr>
  </w:style>
  <w:style w:type="character" w:customStyle="1" w:styleId="241">
    <w:name w:val="cxLevel4 Char Char"/>
    <w:link w:val="240"/>
    <w:qFormat/>
    <w:uiPriority w:val="0"/>
    <w:rPr>
      <w:rFonts w:ascii="Arial" w:hAnsi="Arial" w:eastAsia="宋体" w:cs="Times New Roman"/>
      <w:b/>
      <w:bCs/>
      <w:sz w:val="28"/>
      <w:szCs w:val="28"/>
    </w:rPr>
  </w:style>
  <w:style w:type="paragraph" w:customStyle="1" w:styleId="242">
    <w:name w:val="cxLevel5"/>
    <w:basedOn w:val="108"/>
    <w:qFormat/>
    <w:uiPriority w:val="0"/>
    <w:pPr>
      <w:widowControl/>
      <w:tabs>
        <w:tab w:val="left" w:pos="4205"/>
      </w:tabs>
      <w:spacing w:before="0" w:after="0" w:line="360" w:lineRule="auto"/>
      <w:ind w:left="0" w:firstLine="150"/>
      <w:jc w:val="left"/>
    </w:pPr>
    <w:rPr>
      <w:rFonts w:ascii="宋体" w:hAnsi="宋体" w:eastAsia="楷体_GB2312" w:cs="宋体"/>
      <w:sz w:val="24"/>
    </w:rPr>
  </w:style>
  <w:style w:type="paragraph" w:customStyle="1" w:styleId="243">
    <w:name w:val="• NCS bullet list"/>
    <w:qFormat/>
    <w:uiPriority w:val="0"/>
    <w:pPr>
      <w:tabs>
        <w:tab w:val="left" w:pos="720"/>
        <w:tab w:val="left" w:pos="1584"/>
      </w:tabs>
      <w:spacing w:before="120" w:after="60"/>
      <w:ind w:left="-4896" w:hanging="360"/>
    </w:pPr>
    <w:rPr>
      <w:rFonts w:ascii="Trebuchet MS" w:hAnsi="Trebuchet MS" w:eastAsia="宋体" w:cs="Calibri"/>
      <w:lang w:val="en-US" w:eastAsia="ar-SA" w:bidi="ar-SA"/>
    </w:rPr>
  </w:style>
  <w:style w:type="paragraph" w:customStyle="1" w:styleId="244">
    <w:name w:val="标准文本"/>
    <w:basedOn w:val="1"/>
    <w:link w:val="245"/>
    <w:qFormat/>
    <w:uiPriority w:val="0"/>
    <w:pPr>
      <w:spacing w:line="360" w:lineRule="auto"/>
      <w:ind w:firstLine="480"/>
    </w:pPr>
    <w:rPr>
      <w:rFonts w:ascii="Calibri" w:hAnsi="Calibri" w:eastAsia="宋体" w:cs="宋体"/>
      <w:sz w:val="24"/>
      <w:szCs w:val="20"/>
    </w:rPr>
  </w:style>
  <w:style w:type="character" w:customStyle="1" w:styleId="245">
    <w:name w:val="标准文本 Char Char"/>
    <w:link w:val="244"/>
    <w:qFormat/>
    <w:uiPriority w:val="0"/>
    <w:rPr>
      <w:rFonts w:ascii="Calibri" w:hAnsi="Calibri" w:eastAsia="宋体" w:cs="宋体"/>
      <w:sz w:val="24"/>
    </w:rPr>
  </w:style>
  <w:style w:type="paragraph" w:customStyle="1" w:styleId="246">
    <w:name w:val="WDQ项目标号3"/>
    <w:basedOn w:val="1"/>
    <w:qFormat/>
    <w:uiPriority w:val="0"/>
    <w:pPr>
      <w:tabs>
        <w:tab w:val="left" w:pos="2024"/>
      </w:tabs>
      <w:ind w:left="2024" w:hanging="453"/>
    </w:pPr>
    <w:rPr>
      <w:rFonts w:ascii="Times New Roman" w:hAnsi="Times New Roman" w:eastAsia="宋体" w:cs="Times New Roman"/>
      <w:szCs w:val="20"/>
    </w:rPr>
  </w:style>
  <w:style w:type="paragraph" w:customStyle="1" w:styleId="247">
    <w:name w:val="样式 标题 4 + 段前: 14 磅 段后: 14.5 磅 行距: 多倍行距 1.57 字行"/>
    <w:basedOn w:val="106"/>
    <w:qFormat/>
    <w:uiPriority w:val="0"/>
    <w:pPr>
      <w:tabs>
        <w:tab w:val="left" w:pos="0"/>
      </w:tabs>
      <w:ind w:left="0" w:firstLine="0"/>
    </w:pPr>
    <w:rPr>
      <w:rFonts w:ascii="Arial" w:hAnsi="Arial" w:eastAsia="黑体" w:cs="宋体"/>
      <w:b w:val="0"/>
      <w:sz w:val="24"/>
      <w:szCs w:val="24"/>
    </w:rPr>
  </w:style>
  <w:style w:type="paragraph" w:customStyle="1" w:styleId="248">
    <w:name w:val="样式 样式 正文zhang + 首行缩进:  2 字符 段前: 0.5 行 段后: 0.5 行 + 段前: 0.5 行 段后:... Char"/>
    <w:basedOn w:val="1"/>
    <w:link w:val="249"/>
    <w:qFormat/>
    <w:uiPriority w:val="0"/>
    <w:pPr>
      <w:spacing w:line="360" w:lineRule="exact"/>
      <w:ind w:firstLine="480"/>
    </w:pPr>
    <w:rPr>
      <w:rFonts w:ascii="Calibri" w:hAnsi="Calibri" w:eastAsia="宋体" w:cs="宋体"/>
      <w:sz w:val="24"/>
      <w:szCs w:val="20"/>
    </w:rPr>
  </w:style>
  <w:style w:type="character" w:customStyle="1" w:styleId="249">
    <w:name w:val="样式 样式 正文zhang + 首行缩进:  2 字符 段前: 0.5 行 段后: 0.5 行 + 段前: 0.5 行 段后:... Char Char Char"/>
    <w:link w:val="248"/>
    <w:qFormat/>
    <w:uiPriority w:val="0"/>
    <w:rPr>
      <w:rFonts w:ascii="Calibri" w:hAnsi="Calibri" w:eastAsia="宋体" w:cs="宋体"/>
      <w:sz w:val="24"/>
    </w:rPr>
  </w:style>
  <w:style w:type="paragraph" w:customStyle="1" w:styleId="250">
    <w:name w:val="纯文本1"/>
    <w:basedOn w:val="1"/>
    <w:link w:val="805"/>
    <w:qFormat/>
    <w:uiPriority w:val="0"/>
    <w:pPr>
      <w:spacing w:line="312" w:lineRule="atLeast"/>
    </w:pPr>
    <w:rPr>
      <w:rFonts w:ascii="Arial Black" w:hAnsi="Courier New" w:eastAsia="宋体" w:cs="Times New Roman"/>
      <w:szCs w:val="20"/>
    </w:rPr>
  </w:style>
  <w:style w:type="paragraph" w:customStyle="1" w:styleId="251">
    <w:name w:val="普通(网站)1"/>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52">
    <w:name w:val="Char Char Char1 Char Char Char Char Char Char Char Char Char"/>
    <w:basedOn w:val="1"/>
    <w:qFormat/>
    <w:uiPriority w:val="0"/>
    <w:pPr>
      <w:spacing w:line="360" w:lineRule="auto"/>
    </w:pPr>
    <w:rPr>
      <w:rFonts w:ascii="Times New Roman" w:hAnsi="Times New Roman" w:eastAsia="宋体" w:cs="宋体"/>
      <w:b/>
      <w:sz w:val="24"/>
      <w:szCs w:val="20"/>
    </w:rPr>
  </w:style>
  <w:style w:type="paragraph" w:customStyle="1" w:styleId="253">
    <w:name w:val="样式 样式 宋体 首行缩进:  2 字符 段前: 0.5 行 + 首行缩进:  2 字符 段前: 0.5 行"/>
    <w:basedOn w:val="1"/>
    <w:qFormat/>
    <w:uiPriority w:val="0"/>
    <w:pPr>
      <w:spacing w:line="300" w:lineRule="auto"/>
      <w:ind w:firstLine="480"/>
    </w:pPr>
    <w:rPr>
      <w:rFonts w:ascii="Times New Roman" w:hAnsi="Times New Roman" w:eastAsia="宋体" w:cs="宋体"/>
      <w:sz w:val="24"/>
      <w:szCs w:val="20"/>
    </w:rPr>
  </w:style>
  <w:style w:type="paragraph" w:customStyle="1" w:styleId="254">
    <w:name w:val="FA正文"/>
    <w:basedOn w:val="1"/>
    <w:qFormat/>
    <w:uiPriority w:val="0"/>
    <w:pPr>
      <w:ind w:firstLine="200"/>
    </w:pPr>
    <w:rPr>
      <w:rFonts w:ascii="Calibri" w:hAnsi="宋体" w:eastAsia="宋体" w:cs="宋体"/>
      <w:bCs/>
      <w:sz w:val="24"/>
      <w:szCs w:val="21"/>
    </w:rPr>
  </w:style>
  <w:style w:type="paragraph" w:customStyle="1" w:styleId="255">
    <w:name w:val="文档正文"/>
    <w:basedOn w:val="1"/>
    <w:qFormat/>
    <w:uiPriority w:val="0"/>
    <w:pPr>
      <w:spacing w:line="312" w:lineRule="atLeast"/>
      <w:ind w:right="-107"/>
    </w:pPr>
    <w:rPr>
      <w:rFonts w:ascii="宋体" w:hAnsi="宋体" w:eastAsia="宋体" w:cs="Times New Roman"/>
      <w:spacing w:val="6"/>
      <w:sz w:val="24"/>
      <w:szCs w:val="24"/>
    </w:rPr>
  </w:style>
  <w:style w:type="paragraph" w:customStyle="1" w:styleId="256">
    <w:name w:val="样式 cz正文 + 仿宋_GB2312"/>
    <w:basedOn w:val="257"/>
    <w:qFormat/>
    <w:uiPriority w:val="0"/>
    <w:rPr>
      <w:rFonts w:ascii="仿宋_GB2312" w:hAnsi="仿宋_GB2312"/>
    </w:rPr>
  </w:style>
  <w:style w:type="paragraph" w:customStyle="1" w:styleId="257">
    <w:name w:val="cz正文"/>
    <w:basedOn w:val="1"/>
    <w:link w:val="258"/>
    <w:qFormat/>
    <w:uiPriority w:val="0"/>
    <w:pPr>
      <w:spacing w:line="360" w:lineRule="auto"/>
      <w:ind w:firstLine="480"/>
    </w:pPr>
    <w:rPr>
      <w:rFonts w:ascii="宋体" w:hAnsi="宋体" w:eastAsia="宋体" w:cs="宋体"/>
      <w:sz w:val="24"/>
      <w:szCs w:val="24"/>
    </w:rPr>
  </w:style>
  <w:style w:type="character" w:customStyle="1" w:styleId="258">
    <w:name w:val="cz正文 Char Char"/>
    <w:link w:val="257"/>
    <w:qFormat/>
    <w:uiPriority w:val="0"/>
    <w:rPr>
      <w:rFonts w:ascii="宋体" w:hAnsi="宋体" w:eastAsia="宋体" w:cs="宋体"/>
      <w:sz w:val="24"/>
      <w:szCs w:val="24"/>
    </w:rPr>
  </w:style>
  <w:style w:type="paragraph" w:customStyle="1" w:styleId="259">
    <w:name w:val="yh正文"/>
    <w:basedOn w:val="1"/>
    <w:qFormat/>
    <w:uiPriority w:val="0"/>
    <w:pPr>
      <w:spacing w:line="360" w:lineRule="auto"/>
      <w:ind w:firstLine="480"/>
    </w:pPr>
    <w:rPr>
      <w:rFonts w:ascii="Calibri" w:hAnsi="宋体" w:eastAsia="宋体" w:cs="宋体"/>
      <w:sz w:val="24"/>
      <w:szCs w:val="21"/>
    </w:rPr>
  </w:style>
  <w:style w:type="paragraph" w:customStyle="1" w:styleId="260">
    <w:name w:val="正文4"/>
    <w:basedOn w:val="1"/>
    <w:qFormat/>
    <w:uiPriority w:val="0"/>
    <w:pPr>
      <w:widowControl/>
      <w:spacing w:line="480" w:lineRule="atLeast"/>
      <w:ind w:left="3780"/>
      <w:jc w:val="left"/>
    </w:pPr>
    <w:rPr>
      <w:rFonts w:ascii="Times New Roman" w:hAnsi="Times New Roman" w:eastAsia="宋体" w:cs="Times New Roman"/>
      <w:sz w:val="24"/>
      <w:szCs w:val="24"/>
    </w:rPr>
  </w:style>
  <w:style w:type="paragraph" w:customStyle="1" w:styleId="261">
    <w:name w:val="Char Char Char Char Char Char Char Char Char Char Char Char Char Char Char"/>
    <w:basedOn w:val="1"/>
    <w:qFormat/>
    <w:uiPriority w:val="0"/>
    <w:rPr>
      <w:rFonts w:ascii="Tahoma" w:hAnsi="Tahoma" w:eastAsia="宋体" w:cs="Times New Roman"/>
      <w:sz w:val="24"/>
      <w:szCs w:val="24"/>
    </w:rPr>
  </w:style>
  <w:style w:type="paragraph" w:customStyle="1" w:styleId="262">
    <w:name w:val="Table Heading"/>
    <w:basedOn w:val="205"/>
    <w:link w:val="972"/>
    <w:qFormat/>
    <w:uiPriority w:val="0"/>
    <w:pPr>
      <w:spacing w:before="60" w:after="60" w:line="288" w:lineRule="auto"/>
      <w:ind w:firstLine="0"/>
      <w:jc w:val="center"/>
    </w:pPr>
    <w:rPr>
      <w:rFonts w:ascii="Times New Roman" w:hAnsi="Times New Roman" w:eastAsia="宋体" w:cs="Calibri"/>
      <w:b/>
      <w:sz w:val="21"/>
      <w:szCs w:val="24"/>
      <w:lang w:val="en-US" w:eastAsia="zh-CN" w:bidi="ar-SA"/>
    </w:rPr>
  </w:style>
  <w:style w:type="paragraph" w:customStyle="1" w:styleId="263">
    <w:name w:val="符号缩进"/>
    <w:basedOn w:val="92"/>
    <w:qFormat/>
    <w:uiPriority w:val="0"/>
    <w:pPr>
      <w:spacing w:before="120"/>
      <w:ind w:left="200" w:firstLine="200"/>
    </w:pPr>
    <w:rPr>
      <w:rFonts w:ascii="Arial" w:hAnsi="Arial" w:eastAsia="楷体_GB2312"/>
      <w:color w:val="000000"/>
      <w:sz w:val="24"/>
      <w:szCs w:val="22"/>
    </w:rPr>
  </w:style>
  <w:style w:type="paragraph" w:customStyle="1" w:styleId="264">
    <w:name w:val="样式 标题 1 + 居中"/>
    <w:basedOn w:val="138"/>
    <w:qFormat/>
    <w:uiPriority w:val="0"/>
    <w:pPr>
      <w:tabs>
        <w:tab w:val="left" w:pos="1283"/>
      </w:tabs>
      <w:ind w:left="1283" w:hanging="432"/>
      <w:jc w:val="center"/>
    </w:pPr>
    <w:rPr>
      <w:rFonts w:ascii="Times New Roman" w:hAnsi="Times New Roman" w:cs="宋体"/>
      <w:sz w:val="44"/>
      <w:szCs w:val="20"/>
    </w:rPr>
  </w:style>
  <w:style w:type="paragraph" w:customStyle="1" w:styleId="265">
    <w:name w:val="样式 样式 样式 宋体 小四 首行缩进:  0.74 厘米 行距: 最小值 18 磅 + 段前: 0.5 行 段后: 0.5 行..."/>
    <w:basedOn w:val="1"/>
    <w:link w:val="266"/>
    <w:qFormat/>
    <w:uiPriority w:val="0"/>
    <w:pPr>
      <w:spacing w:line="360" w:lineRule="auto"/>
      <w:ind w:firstLine="420"/>
    </w:pPr>
    <w:rPr>
      <w:rFonts w:ascii="宋体" w:hAnsi="Times New Roman" w:eastAsia="宋体" w:cs="宋体"/>
      <w:sz w:val="24"/>
      <w:szCs w:val="20"/>
    </w:rPr>
  </w:style>
  <w:style w:type="character" w:customStyle="1" w:styleId="266">
    <w:name w:val="样式 样式 样式 宋体 小四 首行缩进:  0.74 厘米 行距: 最小值 18 磅 + 段前: 0.5 行 段后: 0.5 行... Char3"/>
    <w:link w:val="265"/>
    <w:qFormat/>
    <w:uiPriority w:val="0"/>
    <w:rPr>
      <w:rFonts w:ascii="宋体" w:hAnsi="Times New Roman" w:eastAsia="宋体" w:cs="宋体"/>
      <w:sz w:val="24"/>
    </w:rPr>
  </w:style>
  <w:style w:type="paragraph" w:customStyle="1" w:styleId="267">
    <w:name w:val="样式 样式 样式 样式 宋体 小四 首行缩进:  0.74 厘米 行距: 最小值 18 磅 + 段前: 0.5 行 段后: 0...."/>
    <w:basedOn w:val="265"/>
    <w:link w:val="268"/>
    <w:qFormat/>
    <w:uiPriority w:val="0"/>
    <w:pPr>
      <w:spacing w:before="50" w:after="50" w:line="240" w:lineRule="auto"/>
    </w:pPr>
    <w:rPr>
      <w:rFonts w:hAnsi="宋体"/>
    </w:rPr>
  </w:style>
  <w:style w:type="character" w:customStyle="1" w:styleId="268">
    <w:name w:val="样式 样式 样式 样式 宋体 小四 首行缩进:  0.74 厘米 行距: 最小值 18 磅 + 段前: 0.5 行 段后: 0.... Char3"/>
    <w:link w:val="267"/>
    <w:qFormat/>
    <w:uiPriority w:val="0"/>
    <w:rPr>
      <w:rFonts w:ascii="宋体" w:hAnsi="宋体" w:eastAsia="宋体" w:cs="宋体"/>
      <w:sz w:val="24"/>
    </w:rPr>
  </w:style>
  <w:style w:type="paragraph" w:customStyle="1" w:styleId="269">
    <w:name w:val="样式 标题 22nd levelh22Header 2l2节Titre2Head 2H2heading 2+..."/>
    <w:basedOn w:val="104"/>
    <w:qFormat/>
    <w:uiPriority w:val="0"/>
    <w:pPr>
      <w:tabs>
        <w:tab w:val="left" w:pos="0"/>
      </w:tabs>
      <w:spacing w:before="360" w:after="0" w:line="240" w:lineRule="auto"/>
      <w:ind w:left="0" w:firstLine="0"/>
    </w:pPr>
    <w:rPr>
      <w:rFonts w:ascii="Arial" w:hAnsi="Arial" w:eastAsia="黑体" w:cs="宋体"/>
      <w:b w:val="0"/>
    </w:rPr>
  </w:style>
  <w:style w:type="paragraph" w:customStyle="1" w:styleId="270">
    <w:name w:val="样式 正文（首行缩进两字）正文双线正文非缩进表正文特点四号ALT+Z段1 + 宋体 段前: 5 磅 段后: 5..."/>
    <w:basedOn w:val="92"/>
    <w:link w:val="271"/>
    <w:qFormat/>
    <w:uiPriority w:val="0"/>
    <w:pPr>
      <w:spacing w:before="100" w:after="100" w:line="360" w:lineRule="auto"/>
    </w:pPr>
    <w:rPr>
      <w:rFonts w:ascii="宋体" w:hAnsi="宋体" w:cs="宋体"/>
      <w:sz w:val="24"/>
    </w:rPr>
  </w:style>
  <w:style w:type="character" w:customStyle="1" w:styleId="271">
    <w:name w:val="样式 正文（首行缩进两字）正文双线正文非缩进表正文特点四号ALT+Z段1 + 宋体 段前: 5 磅 段后: 5... Char Char"/>
    <w:link w:val="270"/>
    <w:qFormat/>
    <w:uiPriority w:val="0"/>
    <w:rPr>
      <w:rFonts w:ascii="宋体" w:hAnsi="宋体" w:eastAsia="宋体" w:cs="宋体"/>
      <w:sz w:val="24"/>
    </w:rPr>
  </w:style>
  <w:style w:type="paragraph" w:customStyle="1" w:styleId="272">
    <w:name w:val="样式 标题 3一1h33rd levelH3l3CTHeading 3 - oldLevel 3 Head3..."/>
    <w:basedOn w:val="105"/>
    <w:qFormat/>
    <w:uiPriority w:val="0"/>
    <w:pPr>
      <w:tabs>
        <w:tab w:val="left" w:pos="0"/>
      </w:tabs>
      <w:spacing w:before="240" w:after="0" w:line="240" w:lineRule="auto"/>
      <w:ind w:left="0" w:firstLine="0"/>
    </w:pPr>
    <w:rPr>
      <w:rFonts w:ascii="Times New Roman" w:hAnsi="Times New Roman" w:eastAsia="黑体" w:cs="宋体"/>
      <w:b w:val="0"/>
      <w:sz w:val="30"/>
      <w:szCs w:val="30"/>
    </w:rPr>
  </w:style>
  <w:style w:type="paragraph" w:customStyle="1" w:styleId="273">
    <w:name w:val="列表1"/>
    <w:basedOn w:val="1"/>
    <w:qFormat/>
    <w:uiPriority w:val="0"/>
    <w:pPr>
      <w:ind w:left="200" w:hanging="200"/>
    </w:pPr>
    <w:rPr>
      <w:rFonts w:ascii="Times New Roman" w:hAnsi="Times New Roman" w:eastAsia="宋体" w:cs="Times New Roman"/>
      <w:szCs w:val="24"/>
    </w:rPr>
  </w:style>
  <w:style w:type="paragraph" w:customStyle="1" w:styleId="274">
    <w:name w:val="HD图号"/>
    <w:basedOn w:val="1"/>
    <w:qFormat/>
    <w:uiPriority w:val="0"/>
    <w:pPr>
      <w:spacing w:line="440" w:lineRule="atLeast"/>
      <w:jc w:val="center"/>
    </w:pPr>
    <w:rPr>
      <w:rFonts w:ascii="Times New Roman" w:hAnsi="Times New Roman" w:eastAsia="楷体_GB2312" w:cs="Times New Roman"/>
      <w:sz w:val="24"/>
      <w:szCs w:val="20"/>
    </w:rPr>
  </w:style>
  <w:style w:type="paragraph" w:customStyle="1" w:styleId="275">
    <w:name w:val="样式 样式 样式 样式 样式 宋体 小四 首行缩进:  0.74 厘米 行距: 最小值 18 磅 + 段前: 0.5 行 段后:..."/>
    <w:basedOn w:val="267"/>
    <w:qFormat/>
    <w:uiPriority w:val="0"/>
    <w:rPr>
      <w:szCs w:val="22"/>
    </w:rPr>
  </w:style>
  <w:style w:type="paragraph" w:customStyle="1" w:styleId="276">
    <w:name w:val="样式 样式 样式 样式 样式 宋体 小四 首行缩进:  0.74 厘米 行距: 最小值 18 磅 + 段前: 0.5 行 段后:...1"/>
    <w:basedOn w:val="267"/>
    <w:qFormat/>
    <w:uiPriority w:val="0"/>
    <w:rPr>
      <w:szCs w:val="22"/>
    </w:rPr>
  </w:style>
  <w:style w:type="paragraph" w:customStyle="1" w:styleId="277">
    <w:name w:val="样式 样式 样式 样式 样式 样式 宋体 小四 首行缩进:  0.74 厘米 行距: 最小值 18 磅 + 段前: 0.5 行 ..."/>
    <w:basedOn w:val="276"/>
    <w:qFormat/>
    <w:uiPriority w:val="0"/>
    <w:pPr>
      <w:spacing w:line="320" w:lineRule="exact"/>
    </w:pPr>
  </w:style>
  <w:style w:type="paragraph" w:customStyle="1" w:styleId="278">
    <w:name w:val="样式 样式 样式 样式 样式 样式 样式 宋体 小四 首行缩进:  0.74 厘米 行距: 最小值 18 磅 + 段前: 0.5..."/>
    <w:basedOn w:val="277"/>
    <w:qFormat/>
    <w:uiPriority w:val="0"/>
    <w:pPr>
      <w:spacing w:line="360" w:lineRule="exact"/>
      <w:ind w:left="100" w:firstLine="454"/>
    </w:pPr>
  </w:style>
  <w:style w:type="paragraph" w:customStyle="1" w:styleId="279">
    <w:name w:val="样式 样式 标题 4 + 段前: 14 磅 段后: 14.5 磅 行距: 多倍行距 1.57 字行 + 左侧:  1.48 厘米"/>
    <w:basedOn w:val="247"/>
    <w:qFormat/>
    <w:uiPriority w:val="0"/>
    <w:pPr>
      <w:spacing w:before="240" w:after="0" w:line="240" w:lineRule="auto"/>
    </w:pPr>
    <w:rPr>
      <w:rFonts w:eastAsia="宋体"/>
      <w:b/>
      <w:szCs w:val="20"/>
    </w:rPr>
  </w:style>
  <w:style w:type="paragraph" w:customStyle="1" w:styleId="280">
    <w:name w:val="wen_2"/>
    <w:basedOn w:val="1"/>
    <w:qFormat/>
    <w:uiPriority w:val="0"/>
    <w:pPr>
      <w:widowControl/>
      <w:spacing w:before="100" w:beforeAutospacing="1" w:after="100" w:afterAutospacing="1" w:line="324" w:lineRule="auto"/>
      <w:jc w:val="left"/>
    </w:pPr>
    <w:rPr>
      <w:rFonts w:ascii="DejaVu Math TeX Gyre" w:hAnsi="DejaVu Math TeX Gyre" w:eastAsia="宋体" w:cs="宋体"/>
      <w:color w:val="000000"/>
      <w:sz w:val="18"/>
      <w:szCs w:val="18"/>
    </w:rPr>
  </w:style>
  <w:style w:type="paragraph" w:customStyle="1" w:styleId="281">
    <w:name w:val="样式 样式 样式 样式 样式 样式 样式 样式 宋体 小四 首行缩进:  0.74 厘米 行距: 最小值 18 磅 + 段前: ... Char"/>
    <w:basedOn w:val="278"/>
    <w:qFormat/>
    <w:uiPriority w:val="0"/>
    <w:pPr>
      <w:spacing w:line="240" w:lineRule="auto"/>
      <w:ind w:left="0" w:firstLine="0"/>
    </w:pPr>
    <w:rPr>
      <w:rFonts w:ascii="Calibri" w:hAnsi="Calibri"/>
      <w:sz w:val="21"/>
    </w:rPr>
  </w:style>
  <w:style w:type="paragraph" w:customStyle="1" w:styleId="282">
    <w:name w:val="封面标准名称"/>
    <w:qFormat/>
    <w:uiPriority w:val="0"/>
    <w:pPr>
      <w:widowControl w:val="0"/>
      <w:spacing w:after="200" w:line="680" w:lineRule="exact"/>
      <w:ind w:left="135"/>
      <w:jc w:val="center"/>
    </w:pPr>
    <w:rPr>
      <w:rFonts w:ascii="黑体" w:hAnsi="Calibri" w:eastAsia="黑体" w:cs="Calibri"/>
      <w:sz w:val="52"/>
      <w:szCs w:val="22"/>
      <w:lang w:val="en-US" w:eastAsia="zh-CN" w:bidi="ar-SA"/>
    </w:rPr>
  </w:style>
  <w:style w:type="paragraph" w:customStyle="1" w:styleId="283">
    <w:name w:val="Char2"/>
    <w:basedOn w:val="1"/>
    <w:qFormat/>
    <w:uiPriority w:val="0"/>
    <w:rPr>
      <w:rFonts w:ascii="仿宋_GB2312" w:hAnsi="Times New Roman" w:eastAsia="仿宋_GB2312" w:cs="Times New Roman"/>
      <w:b/>
      <w:sz w:val="32"/>
      <w:szCs w:val="32"/>
    </w:rPr>
  </w:style>
  <w:style w:type="paragraph" w:customStyle="1" w:styleId="284">
    <w:name w:val="正文悬挂缩进"/>
    <w:basedOn w:val="1"/>
    <w:qFormat/>
    <w:uiPriority w:val="0"/>
    <w:pPr>
      <w:tabs>
        <w:tab w:val="left" w:pos="450"/>
        <w:tab w:val="right" w:leader="dot" w:pos="9174"/>
      </w:tabs>
    </w:pPr>
    <w:rPr>
      <w:rFonts w:ascii="Times New Roman" w:hAnsi="Times New Roman" w:eastAsia="宋体" w:cs="Times New Roman"/>
      <w:szCs w:val="24"/>
    </w:rPr>
  </w:style>
  <w:style w:type="paragraph" w:customStyle="1" w:styleId="285">
    <w:name w:val="Char Char Char Char Char Char Char"/>
    <w:basedOn w:val="1"/>
    <w:link w:val="286"/>
    <w:qFormat/>
    <w:uiPriority w:val="0"/>
    <w:rPr>
      <w:rFonts w:ascii="Tahoma" w:hAnsi="Tahoma" w:eastAsia="宋体" w:cs="Times New Roman"/>
      <w:sz w:val="24"/>
      <w:szCs w:val="20"/>
    </w:rPr>
  </w:style>
  <w:style w:type="character" w:customStyle="1" w:styleId="286">
    <w:name w:val="Char Char Char Char Char Char Char Char Char Char Char Char"/>
    <w:link w:val="285"/>
    <w:qFormat/>
    <w:uiPriority w:val="0"/>
    <w:rPr>
      <w:rFonts w:ascii="Tahoma" w:hAnsi="Tahoma" w:eastAsia="宋体" w:cs="Times New Roman"/>
      <w:sz w:val="24"/>
    </w:rPr>
  </w:style>
  <w:style w:type="paragraph" w:customStyle="1" w:styleId="287">
    <w:name w:val="Char Char Char Char"/>
    <w:basedOn w:val="218"/>
    <w:qFormat/>
    <w:uiPriority w:val="0"/>
    <w:pPr>
      <w:shd w:val="clear" w:color="auto" w:fill="000080"/>
      <w:spacing w:line="360" w:lineRule="auto"/>
    </w:pPr>
    <w:rPr>
      <w:rFonts w:ascii="Tahoma" w:hAnsi="Tahoma"/>
      <w:sz w:val="24"/>
      <w:szCs w:val="24"/>
    </w:rPr>
  </w:style>
  <w:style w:type="paragraph" w:customStyle="1" w:styleId="288">
    <w:name w:val="样式 标题 3H3h3Level 3 Topic HeadingMap一13rd levell3CTHead..."/>
    <w:basedOn w:val="105"/>
    <w:qFormat/>
    <w:uiPriority w:val="0"/>
    <w:pPr>
      <w:tabs>
        <w:tab w:val="left" w:pos="360"/>
      </w:tabs>
      <w:spacing w:line="360" w:lineRule="auto"/>
      <w:ind w:left="567" w:hanging="567"/>
    </w:pPr>
    <w:rPr>
      <w:rFonts w:ascii="黑体" w:hAnsi="宋体" w:eastAsia="黑体"/>
      <w:spacing w:val="4"/>
      <w:sz w:val="28"/>
      <w:szCs w:val="28"/>
    </w:rPr>
  </w:style>
  <w:style w:type="paragraph" w:customStyle="1" w:styleId="289">
    <w:name w:val="样式 宋体 小四 首行缩进:  0.74 厘米 行距: 最小值 18 磅"/>
    <w:basedOn w:val="1"/>
    <w:qFormat/>
    <w:uiPriority w:val="0"/>
    <w:pPr>
      <w:spacing w:line="320" w:lineRule="exact"/>
      <w:ind w:firstLine="420"/>
    </w:pPr>
    <w:rPr>
      <w:rFonts w:ascii="宋体" w:hAnsi="Times New Roman" w:eastAsia="宋体" w:cs="宋体"/>
      <w:sz w:val="24"/>
      <w:szCs w:val="24"/>
    </w:rPr>
  </w:style>
  <w:style w:type="paragraph" w:customStyle="1" w:styleId="290">
    <w:name w:val="样式 样式 宋体 小四 首行缩进:  0.74 厘米 行距: 最小值 18 磅 + 段前: 0.5 行 段后: 0.5 行 Char"/>
    <w:basedOn w:val="289"/>
    <w:qFormat/>
    <w:uiPriority w:val="0"/>
    <w:pPr>
      <w:spacing w:line="360" w:lineRule="auto"/>
    </w:pPr>
    <w:rPr>
      <w:szCs w:val="20"/>
    </w:rPr>
  </w:style>
  <w:style w:type="paragraph" w:customStyle="1" w:styleId="291">
    <w:name w:val="11"/>
    <w:basedOn w:val="1"/>
    <w:next w:val="219"/>
    <w:qFormat/>
    <w:uiPriority w:val="0"/>
    <w:pPr>
      <w:jc w:val="center"/>
    </w:pPr>
    <w:rPr>
      <w:rFonts w:ascii="Times New Roman" w:hAnsi="Times New Roman" w:eastAsia="宋体" w:cs="Times New Roman"/>
      <w:color w:val="000000"/>
      <w:sz w:val="28"/>
      <w:szCs w:val="28"/>
      <w:lang w:val="zh-CN"/>
    </w:rPr>
  </w:style>
  <w:style w:type="paragraph" w:customStyle="1" w:styleId="292">
    <w:name w:val="10"/>
    <w:basedOn w:val="1"/>
    <w:next w:val="92"/>
    <w:qFormat/>
    <w:uiPriority w:val="0"/>
    <w:pPr>
      <w:spacing w:before="240"/>
      <w:ind w:left="200" w:firstLine="200"/>
    </w:pPr>
    <w:rPr>
      <w:rFonts w:ascii="Times New Roman" w:hAnsi="Times New Roman" w:eastAsia="楷体_GB2312" w:cs="Times New Roman"/>
      <w:sz w:val="24"/>
      <w:szCs w:val="20"/>
    </w:rPr>
  </w:style>
  <w:style w:type="paragraph" w:customStyle="1" w:styleId="293">
    <w:name w:val="样式 标题 2H2Heading 2 HiddenHeading 2 CCBSheading 2第一章 标题 2IS..."/>
    <w:basedOn w:val="104"/>
    <w:qFormat/>
    <w:uiPriority w:val="0"/>
    <w:pPr>
      <w:spacing w:line="400" w:lineRule="atLeast"/>
      <w:ind w:left="992" w:firstLine="0"/>
    </w:pPr>
    <w:rPr>
      <w:rFonts w:ascii="Arial" w:hAnsi="Arial" w:eastAsia="黑体" w:cs="宋体"/>
      <w:b w:val="0"/>
      <w:bCs w:val="0"/>
      <w:sz w:val="24"/>
      <w:szCs w:val="20"/>
    </w:rPr>
  </w:style>
  <w:style w:type="paragraph" w:customStyle="1" w:styleId="294">
    <w:name w:val="9"/>
    <w:basedOn w:val="1"/>
    <w:next w:val="92"/>
    <w:qFormat/>
    <w:uiPriority w:val="0"/>
    <w:pPr>
      <w:ind w:firstLine="420"/>
    </w:pPr>
    <w:rPr>
      <w:rFonts w:ascii="Times New Roman" w:hAnsi="Times New Roman" w:eastAsia="宋体" w:cs="Times New Roman"/>
      <w:szCs w:val="24"/>
    </w:rPr>
  </w:style>
  <w:style w:type="paragraph" w:customStyle="1" w:styleId="295">
    <w:name w:val="8"/>
    <w:basedOn w:val="1"/>
    <w:next w:val="94"/>
    <w:qFormat/>
    <w:uiPriority w:val="0"/>
    <w:pPr>
      <w:spacing w:after="120"/>
      <w:ind w:left="420"/>
    </w:pPr>
    <w:rPr>
      <w:rFonts w:ascii="Times New Roman" w:hAnsi="Times New Roman" w:eastAsia="宋体" w:cs="Times New Roman"/>
      <w:szCs w:val="24"/>
    </w:rPr>
  </w:style>
  <w:style w:type="paragraph" w:customStyle="1" w:styleId="296">
    <w:name w:val="索引 11"/>
    <w:basedOn w:val="1"/>
    <w:next w:val="1"/>
    <w:qFormat/>
    <w:uiPriority w:val="0"/>
    <w:rPr>
      <w:rFonts w:ascii="Times New Roman" w:hAnsi="Times New Roman" w:eastAsia="宋体" w:cs="Times New Roman"/>
      <w:szCs w:val="24"/>
    </w:rPr>
  </w:style>
  <w:style w:type="paragraph" w:customStyle="1" w:styleId="297">
    <w:name w:val="7"/>
    <w:basedOn w:val="1"/>
    <w:next w:val="94"/>
    <w:qFormat/>
    <w:uiPriority w:val="0"/>
    <w:pPr>
      <w:spacing w:after="120"/>
      <w:ind w:left="420"/>
    </w:pPr>
    <w:rPr>
      <w:rFonts w:ascii="Times New Roman" w:hAnsi="Times New Roman" w:eastAsia="宋体" w:cs="Times New Roman"/>
      <w:szCs w:val="24"/>
    </w:rPr>
  </w:style>
  <w:style w:type="paragraph" w:customStyle="1" w:styleId="298">
    <w:name w:val="表名"/>
    <w:basedOn w:val="1"/>
    <w:qFormat/>
    <w:uiPriority w:val="0"/>
    <w:pPr>
      <w:spacing w:line="227" w:lineRule="atLeast"/>
      <w:ind w:left="1920" w:firstLine="360"/>
      <w:jc w:val="center"/>
    </w:pPr>
    <w:rPr>
      <w:rFonts w:ascii="Times New Roman" w:hAnsi="Times New Roman" w:eastAsia="宋体" w:cs="Times New Roman"/>
      <w:b/>
      <w:sz w:val="18"/>
      <w:szCs w:val="20"/>
    </w:rPr>
  </w:style>
  <w:style w:type="paragraph" w:customStyle="1" w:styleId="299">
    <w:name w:val="主正文"/>
    <w:basedOn w:val="1"/>
    <w:qFormat/>
    <w:uiPriority w:val="0"/>
    <w:pPr>
      <w:spacing w:line="360" w:lineRule="exact"/>
      <w:ind w:left="200" w:firstLine="200"/>
    </w:pPr>
    <w:rPr>
      <w:rFonts w:ascii="宋体" w:hAnsi="宋体" w:eastAsia="宋体" w:cs="Times New Roman"/>
      <w:sz w:val="24"/>
      <w:szCs w:val="20"/>
    </w:rPr>
  </w:style>
  <w:style w:type="paragraph" w:customStyle="1" w:styleId="300">
    <w:name w:val="一般正文"/>
    <w:basedOn w:val="1"/>
    <w:qFormat/>
    <w:uiPriority w:val="0"/>
    <w:pPr>
      <w:spacing w:line="380" w:lineRule="exact"/>
      <w:ind w:firstLine="480"/>
    </w:pPr>
    <w:rPr>
      <w:rFonts w:ascii="宋体" w:hAnsi="宋体" w:eastAsia="宋体" w:cs="Times New Roman"/>
      <w:sz w:val="24"/>
      <w:szCs w:val="20"/>
    </w:rPr>
  </w:style>
  <w:style w:type="paragraph" w:customStyle="1" w:styleId="301">
    <w:name w:val="序号正文"/>
    <w:basedOn w:val="250"/>
    <w:qFormat/>
    <w:uiPriority w:val="0"/>
    <w:pPr>
      <w:tabs>
        <w:tab w:val="left" w:pos="720"/>
      </w:tabs>
      <w:ind w:left="200" w:firstLine="200"/>
    </w:pPr>
    <w:rPr>
      <w:sz w:val="24"/>
    </w:rPr>
  </w:style>
  <w:style w:type="paragraph" w:customStyle="1" w:styleId="302">
    <w:name w:val="样式 样式 样式 样式 左侧:  0 厘米 悬挂缩进: 2 字符 段前: 0.5 行 段后: 0.5 行1 + 首行缩进:  2..."/>
    <w:basedOn w:val="1"/>
    <w:qFormat/>
    <w:uiPriority w:val="0"/>
    <w:pPr>
      <w:spacing w:line="320" w:lineRule="exact"/>
      <w:ind w:firstLine="480"/>
    </w:pPr>
    <w:rPr>
      <w:rFonts w:ascii="Times New Roman" w:hAnsi="Times New Roman" w:eastAsia="宋体" w:cs="宋体"/>
      <w:sz w:val="24"/>
      <w:szCs w:val="24"/>
    </w:rPr>
  </w:style>
  <w:style w:type="paragraph" w:customStyle="1" w:styleId="303">
    <w:name w:val="z-窗体顶端1"/>
    <w:basedOn w:val="1"/>
    <w:next w:val="1"/>
    <w:link w:val="304"/>
    <w:qFormat/>
    <w:uiPriority w:val="0"/>
    <w:pPr>
      <w:widowControl/>
      <w:pBdr>
        <w:bottom w:val="single" w:color="auto" w:sz="6" w:space="1"/>
      </w:pBdr>
      <w:jc w:val="center"/>
    </w:pPr>
    <w:rPr>
      <w:rFonts w:ascii="Arial" w:hAnsi="Arial" w:eastAsia="宋体" w:cs="Arial"/>
      <w:vanish/>
      <w:sz w:val="16"/>
      <w:szCs w:val="16"/>
    </w:rPr>
  </w:style>
  <w:style w:type="character" w:customStyle="1" w:styleId="304">
    <w:name w:val="z-窗体顶端 Char"/>
    <w:link w:val="303"/>
    <w:qFormat/>
    <w:uiPriority w:val="0"/>
    <w:rPr>
      <w:rFonts w:ascii="Arial" w:hAnsi="Arial" w:eastAsia="宋体" w:cs="Arial"/>
      <w:vanish/>
      <w:sz w:val="16"/>
      <w:szCs w:val="16"/>
    </w:rPr>
  </w:style>
  <w:style w:type="paragraph" w:customStyle="1" w:styleId="305">
    <w:name w:val="z-窗体底端1"/>
    <w:basedOn w:val="1"/>
    <w:next w:val="1"/>
    <w:link w:val="306"/>
    <w:qFormat/>
    <w:uiPriority w:val="0"/>
    <w:pPr>
      <w:widowControl/>
      <w:pBdr>
        <w:top w:val="single" w:color="auto" w:sz="6" w:space="1"/>
      </w:pBdr>
      <w:jc w:val="center"/>
    </w:pPr>
    <w:rPr>
      <w:rFonts w:ascii="Arial" w:hAnsi="Arial" w:eastAsia="宋体" w:cs="Arial"/>
      <w:vanish/>
      <w:sz w:val="16"/>
      <w:szCs w:val="16"/>
    </w:rPr>
  </w:style>
  <w:style w:type="character" w:customStyle="1" w:styleId="306">
    <w:name w:val="z-窗体底端 Char"/>
    <w:link w:val="305"/>
    <w:qFormat/>
    <w:uiPriority w:val="0"/>
    <w:rPr>
      <w:rFonts w:ascii="Arial" w:hAnsi="Arial" w:eastAsia="宋体" w:cs="Arial"/>
      <w:vanish/>
      <w:sz w:val="16"/>
      <w:szCs w:val="16"/>
    </w:rPr>
  </w:style>
  <w:style w:type="paragraph" w:customStyle="1" w:styleId="307">
    <w:name w:val="题头"/>
    <w:basedOn w:val="105"/>
    <w:next w:val="1"/>
    <w:qFormat/>
    <w:uiPriority w:val="0"/>
    <w:pPr>
      <w:spacing w:before="240" w:after="240" w:line="312" w:lineRule="atLeast"/>
      <w:ind w:left="0" w:firstLine="0"/>
      <w:jc w:val="center"/>
      <w:outlineLvl w:val="9"/>
    </w:pPr>
    <w:rPr>
      <w:rFonts w:ascii="黑体" w:hAnsi="Arial" w:eastAsia="黑体" w:cs="黑体"/>
      <w:sz w:val="44"/>
      <w:szCs w:val="20"/>
      <w:lang w:val="zh-CN"/>
    </w:rPr>
  </w:style>
  <w:style w:type="paragraph" w:customStyle="1" w:styleId="308">
    <w:name w:val="样式 论文正文__最新 Char Char"/>
    <w:basedOn w:val="1"/>
    <w:qFormat/>
    <w:uiPriority w:val="0"/>
    <w:pPr>
      <w:spacing w:line="400" w:lineRule="exact"/>
      <w:ind w:left="210" w:firstLine="510"/>
    </w:pPr>
    <w:rPr>
      <w:rFonts w:ascii="Times New Roman" w:hAnsi="Times New Roman" w:eastAsia="宋体" w:cs="宋体"/>
      <w:sz w:val="24"/>
      <w:szCs w:val="24"/>
    </w:rPr>
  </w:style>
  <w:style w:type="paragraph" w:customStyle="1" w:styleId="309">
    <w:name w:val="索引 51"/>
    <w:basedOn w:val="1"/>
    <w:next w:val="1"/>
    <w:qFormat/>
    <w:uiPriority w:val="0"/>
    <w:pPr>
      <w:spacing w:line="227" w:lineRule="atLeast"/>
      <w:ind w:left="800"/>
    </w:pPr>
    <w:rPr>
      <w:rFonts w:ascii="宋体" w:hAnsi="Times New Roman" w:eastAsia="宋体" w:cs="Times New Roman"/>
      <w:szCs w:val="20"/>
    </w:rPr>
  </w:style>
  <w:style w:type="paragraph" w:customStyle="1" w:styleId="310">
    <w:name w:val="样式 正文缩进特点四号段1标题4body text鋘drad????ndBody Te?ndBo段1 Cha...1"/>
    <w:basedOn w:val="92"/>
    <w:qFormat/>
    <w:uiPriority w:val="0"/>
    <w:pPr>
      <w:spacing w:line="300" w:lineRule="auto"/>
      <w:ind w:left="480" w:firstLine="480"/>
    </w:pPr>
    <w:rPr>
      <w:rFonts w:eastAsia="仿宋_GB2312" w:cs="宋体"/>
      <w:sz w:val="24"/>
      <w:szCs w:val="22"/>
    </w:rPr>
  </w:style>
  <w:style w:type="paragraph" w:customStyle="1" w:styleId="311">
    <w:name w:val="样式 标题 22nd levelh22Header 2l2节Titre2Head 2H2heading 2+...1"/>
    <w:basedOn w:val="104"/>
    <w:qFormat/>
    <w:uiPriority w:val="0"/>
    <w:pPr>
      <w:tabs>
        <w:tab w:val="left" w:pos="425"/>
      </w:tabs>
      <w:spacing w:line="415" w:lineRule="auto"/>
      <w:ind w:left="578" w:hanging="578"/>
    </w:pPr>
    <w:rPr>
      <w:rFonts w:ascii="Arial" w:hAnsi="Arial" w:eastAsia="黑体" w:cs="宋体"/>
      <w:szCs w:val="20"/>
    </w:rPr>
  </w:style>
  <w:style w:type="paragraph" w:customStyle="1" w:styleId="312">
    <w:name w:val="样式 正文缩进特点四号段1标题4body text鋘drad????ndBody Te?ndBo段1 Cha..."/>
    <w:basedOn w:val="92"/>
    <w:qFormat/>
    <w:uiPriority w:val="0"/>
    <w:pPr>
      <w:spacing w:line="360" w:lineRule="auto"/>
      <w:ind w:left="480" w:firstLine="400"/>
    </w:pPr>
    <w:rPr>
      <w:rFonts w:eastAsia="仿宋_GB2312" w:cs="宋体"/>
      <w:sz w:val="24"/>
      <w:szCs w:val="22"/>
    </w:rPr>
  </w:style>
  <w:style w:type="paragraph" w:customStyle="1" w:styleId="313">
    <w:name w:val="样式 样式 标题 3一1h33rd levelH3l3CTHeading 3 - oldLevel 3 Head3...1 +"/>
    <w:basedOn w:val="1"/>
    <w:qFormat/>
    <w:uiPriority w:val="0"/>
    <w:pPr>
      <w:keepNext/>
      <w:keepLines/>
      <w:tabs>
        <w:tab w:val="left" w:pos="425"/>
      </w:tabs>
      <w:spacing w:line="415" w:lineRule="auto"/>
      <w:ind w:left="425" w:hanging="425"/>
      <w:outlineLvl w:val="2"/>
    </w:pPr>
    <w:rPr>
      <w:rFonts w:ascii="Times New Roman" w:hAnsi="Times New Roman" w:eastAsia="仿宋_GB2312" w:cs="宋体"/>
      <w:b/>
      <w:bCs/>
      <w:sz w:val="32"/>
      <w:szCs w:val="20"/>
    </w:rPr>
  </w:style>
  <w:style w:type="paragraph" w:customStyle="1" w:styleId="314">
    <w:name w:val="样式 (符号) 宋体 左侧:  2 字符 首行缩进:  2 字符 段前: 0.5 行 行距: 1.5 倍行距"/>
    <w:basedOn w:val="1"/>
    <w:qFormat/>
    <w:uiPriority w:val="0"/>
    <w:pPr>
      <w:spacing w:line="360" w:lineRule="auto"/>
      <w:ind w:left="480" w:firstLine="480"/>
    </w:pPr>
    <w:rPr>
      <w:rFonts w:ascii="Times New Roman" w:hAnsi="宋体" w:eastAsia="仿宋_GB2312" w:cs="宋体"/>
      <w:sz w:val="24"/>
      <w:szCs w:val="20"/>
    </w:rPr>
  </w:style>
  <w:style w:type="paragraph" w:customStyle="1" w:styleId="315">
    <w:name w:val="样式 主正文 + 左侧:  2 字符 首行缩进:  2 字符 段前: 0.5 行"/>
    <w:basedOn w:val="299"/>
    <w:qFormat/>
    <w:uiPriority w:val="0"/>
    <w:rPr>
      <w:rFonts w:cs="宋体"/>
    </w:rPr>
  </w:style>
  <w:style w:type="paragraph" w:customStyle="1" w:styleId="316">
    <w:name w:val="样式 样式 左侧:  2 字符 首行缩进:  2 字符 段前: 0.5 行1 + 左侧:  2 字符 首行缩进:  2 字符..."/>
    <w:basedOn w:val="1"/>
    <w:qFormat/>
    <w:uiPriority w:val="0"/>
    <w:pPr>
      <w:spacing w:line="360" w:lineRule="auto"/>
      <w:ind w:left="200" w:firstLine="200"/>
    </w:pPr>
    <w:rPr>
      <w:rFonts w:ascii="Times New Roman" w:hAnsi="Times New Roman" w:eastAsia="仿宋_GB2312" w:cs="Times New Roman"/>
      <w:sz w:val="24"/>
      <w:szCs w:val="20"/>
    </w:rPr>
  </w:style>
  <w:style w:type="paragraph" w:customStyle="1" w:styleId="317">
    <w:name w:val="样式 标题 3一1h33rd levelH3l3CTHeading 3 - oldLevel 3 Head3...1"/>
    <w:basedOn w:val="105"/>
    <w:qFormat/>
    <w:uiPriority w:val="0"/>
    <w:pPr>
      <w:tabs>
        <w:tab w:val="left" w:pos="0"/>
      </w:tabs>
      <w:spacing w:after="0" w:line="240" w:lineRule="auto"/>
      <w:ind w:left="200" w:firstLine="0"/>
    </w:pPr>
    <w:rPr>
      <w:rFonts w:ascii="Arial" w:hAnsi="Arial" w:eastAsia="黑体" w:cs="宋体"/>
      <w:b w:val="0"/>
      <w:bCs w:val="0"/>
      <w:sz w:val="30"/>
      <w:szCs w:val="20"/>
    </w:rPr>
  </w:style>
  <w:style w:type="paragraph" w:customStyle="1" w:styleId="318">
    <w:name w:val="样式 jerry + 左侧:  0 厘米 段前: 0.5 行 段后: 0.5 行"/>
    <w:basedOn w:val="1"/>
    <w:qFormat/>
    <w:uiPriority w:val="0"/>
    <w:pPr>
      <w:ind w:firstLine="420"/>
    </w:pPr>
    <w:rPr>
      <w:rFonts w:ascii="Times New Roman" w:hAnsi="Times New Roman" w:eastAsia="宋体" w:cs="Times New Roman"/>
      <w:sz w:val="24"/>
      <w:szCs w:val="20"/>
    </w:rPr>
  </w:style>
  <w:style w:type="paragraph" w:customStyle="1" w:styleId="319">
    <w:name w:val="aaaaa"/>
    <w:basedOn w:val="1"/>
    <w:qFormat/>
    <w:uiPriority w:val="0"/>
    <w:pPr>
      <w:spacing w:before="120" w:after="120" w:line="300" w:lineRule="auto"/>
      <w:ind w:firstLine="420"/>
    </w:pPr>
    <w:rPr>
      <w:rFonts w:ascii="仿宋_GB2312" w:hAnsi="Times New Roman" w:eastAsia="宋体" w:cs="Times New Roman"/>
      <w:sz w:val="28"/>
      <w:szCs w:val="28"/>
    </w:rPr>
  </w:style>
  <w:style w:type="paragraph" w:customStyle="1" w:styleId="320">
    <w:name w:val="样式 标题 2H2Heading 2 HiddenHeading 2 CCBSheading 2第一章 标题 2IS...1"/>
    <w:basedOn w:val="104"/>
    <w:qFormat/>
    <w:uiPriority w:val="0"/>
    <w:pPr>
      <w:spacing w:line="415" w:lineRule="auto"/>
      <w:ind w:left="0" w:firstLine="0"/>
    </w:pPr>
    <w:rPr>
      <w:rFonts w:ascii="Times New Roman" w:hAnsi="Times New Roman" w:eastAsia="黑体"/>
      <w:b w:val="0"/>
      <w:bCs w:val="0"/>
    </w:rPr>
  </w:style>
  <w:style w:type="paragraph" w:customStyle="1" w:styleId="321">
    <w:name w:val="样式 标题 2H2Heading 2 HiddenHeading 2 CCBSheading 2第一章 标题 2IS...2"/>
    <w:basedOn w:val="104"/>
    <w:qFormat/>
    <w:uiPriority w:val="0"/>
    <w:pPr>
      <w:spacing w:line="415" w:lineRule="auto"/>
      <w:ind w:left="0" w:firstLine="0"/>
    </w:pPr>
    <w:rPr>
      <w:rFonts w:ascii="Times New Roman" w:hAnsi="Times New Roman" w:eastAsia="黑体"/>
      <w:b w:val="0"/>
      <w:bCs w:val="0"/>
    </w:rPr>
  </w:style>
  <w:style w:type="paragraph" w:customStyle="1" w:styleId="322">
    <w:name w:val="样式 标题 2H2Heading 2 HiddenHeading 2 CCBSheading 2第一章 标题 2IS...3"/>
    <w:basedOn w:val="104"/>
    <w:qFormat/>
    <w:uiPriority w:val="0"/>
    <w:pPr>
      <w:ind w:left="0" w:firstLine="0"/>
    </w:pPr>
    <w:rPr>
      <w:rFonts w:ascii="Times New Roman" w:hAnsi="Times New Roman" w:eastAsia="黑体"/>
      <w:b w:val="0"/>
      <w:bCs w:val="0"/>
    </w:rPr>
  </w:style>
  <w:style w:type="paragraph" w:customStyle="1" w:styleId="323">
    <w:name w:val="样式 标题 2H2Heading 2 HiddenHeading 2 CCBSheading 2第一章 标题 2IS...4"/>
    <w:basedOn w:val="104"/>
    <w:qFormat/>
    <w:uiPriority w:val="0"/>
    <w:pPr>
      <w:ind w:left="0" w:firstLine="0"/>
    </w:pPr>
    <w:rPr>
      <w:rFonts w:ascii="Times New Roman" w:hAnsi="Times New Roman" w:eastAsia="黑体"/>
      <w:b w:val="0"/>
      <w:bCs w:val="0"/>
    </w:rPr>
  </w:style>
  <w:style w:type="paragraph" w:customStyle="1" w:styleId="324">
    <w:name w:val="样式 标题 4h4H4Ref Heading 1rh1Heading sqlsect 1.2.3.4PIM 4第..."/>
    <w:basedOn w:val="106"/>
    <w:link w:val="325"/>
    <w:qFormat/>
    <w:uiPriority w:val="0"/>
    <w:pPr>
      <w:tabs>
        <w:tab w:val="left" w:pos="2240"/>
      </w:tabs>
      <w:spacing w:before="120" w:line="240" w:lineRule="auto"/>
      <w:ind w:left="2240" w:hanging="420"/>
    </w:pPr>
    <w:rPr>
      <w:rFonts w:ascii="Times New Roman" w:hAnsi="Times New Roman" w:cs="宋体"/>
    </w:rPr>
  </w:style>
  <w:style w:type="character" w:customStyle="1" w:styleId="325">
    <w:name w:val="样式 标题 4h4H4Ref Heading 1rh1Heading sqlsect 1.2.3.4PIM 4第... Char Char"/>
    <w:link w:val="324"/>
    <w:qFormat/>
    <w:uiPriority w:val="0"/>
    <w:rPr>
      <w:rFonts w:ascii="Times New Roman" w:hAnsi="Times New Roman" w:eastAsia="宋体" w:cs="宋体"/>
      <w:b/>
      <w:bCs/>
      <w:sz w:val="28"/>
      <w:szCs w:val="28"/>
    </w:rPr>
  </w:style>
  <w:style w:type="paragraph" w:customStyle="1" w:styleId="326">
    <w:name w:val="样式 宋体 小四 行距: 1.5 倍行距"/>
    <w:basedOn w:val="1"/>
    <w:link w:val="327"/>
    <w:qFormat/>
    <w:uiPriority w:val="0"/>
    <w:pPr>
      <w:spacing w:line="300" w:lineRule="auto"/>
      <w:ind w:firstLine="540"/>
      <w:jc w:val="left"/>
    </w:pPr>
    <w:rPr>
      <w:rFonts w:ascii="宋体" w:hAnsi="Times New Roman" w:eastAsia="宋体" w:cs="宋体"/>
      <w:color w:val="000000"/>
      <w:sz w:val="24"/>
      <w:szCs w:val="21"/>
    </w:rPr>
  </w:style>
  <w:style w:type="character" w:customStyle="1" w:styleId="327">
    <w:name w:val="样式 宋体 小四 行距: 1.5 倍行距 Char Char"/>
    <w:link w:val="326"/>
    <w:qFormat/>
    <w:uiPriority w:val="0"/>
    <w:rPr>
      <w:rFonts w:ascii="宋体" w:hAnsi="Times New Roman" w:eastAsia="宋体" w:cs="宋体"/>
      <w:color w:val="000000"/>
      <w:sz w:val="24"/>
      <w:szCs w:val="21"/>
    </w:rPr>
  </w:style>
  <w:style w:type="paragraph" w:customStyle="1" w:styleId="328">
    <w:name w:val="样式 正文缩进正文（首行缩进两字）表正文正文非缩进特点段1四号正文不缩进特点 CharALT+Z水上软件 +..."/>
    <w:basedOn w:val="92"/>
    <w:qFormat/>
    <w:uiPriority w:val="0"/>
    <w:pPr>
      <w:spacing w:line="360" w:lineRule="auto"/>
      <w:ind w:firstLine="480"/>
    </w:pPr>
    <w:rPr>
      <w:sz w:val="24"/>
      <w:szCs w:val="22"/>
    </w:rPr>
  </w:style>
  <w:style w:type="paragraph" w:customStyle="1" w:styleId="329">
    <w:name w:val="标书正文"/>
    <w:basedOn w:val="1"/>
    <w:link w:val="330"/>
    <w:qFormat/>
    <w:uiPriority w:val="0"/>
    <w:pPr>
      <w:spacing w:before="120" w:after="120" w:line="360" w:lineRule="auto"/>
      <w:ind w:firstLine="540"/>
    </w:pPr>
    <w:rPr>
      <w:rFonts w:ascii="华文中宋" w:hAnsi="宋体" w:eastAsia="宋体" w:cs="宋体"/>
      <w:color w:val="000000"/>
      <w:sz w:val="28"/>
      <w:szCs w:val="28"/>
    </w:rPr>
  </w:style>
  <w:style w:type="character" w:customStyle="1" w:styleId="330">
    <w:name w:val="标书正文 Char2"/>
    <w:link w:val="329"/>
    <w:qFormat/>
    <w:uiPriority w:val="0"/>
    <w:rPr>
      <w:rFonts w:ascii="华文中宋" w:hAnsi="宋体" w:eastAsia="宋体" w:cs="宋体"/>
      <w:color w:val="000000"/>
      <w:sz w:val="28"/>
      <w:szCs w:val="28"/>
    </w:rPr>
  </w:style>
  <w:style w:type="paragraph" w:customStyle="1" w:styleId="331">
    <w:name w:val="样式14"/>
    <w:basedOn w:val="1"/>
    <w:next w:val="108"/>
    <w:qFormat/>
    <w:uiPriority w:val="0"/>
    <w:pPr>
      <w:keepNext/>
      <w:keepLines/>
      <w:tabs>
        <w:tab w:val="left" w:pos="432"/>
        <w:tab w:val="left" w:pos="1008"/>
      </w:tabs>
      <w:spacing w:before="280" w:after="290" w:line="376" w:lineRule="auto"/>
      <w:ind w:left="1008" w:hanging="1008"/>
      <w:outlineLvl w:val="0"/>
    </w:pPr>
    <w:rPr>
      <w:rFonts w:ascii="Times New Roman" w:hAnsi="Times New Roman" w:eastAsia="宋体" w:cs="Times New Roman"/>
      <w:b/>
      <w:bCs/>
      <w:sz w:val="28"/>
      <w:szCs w:val="28"/>
    </w:rPr>
  </w:style>
  <w:style w:type="paragraph" w:customStyle="1" w:styleId="332">
    <w:name w:val="样式 正文缩进特点四号段1标题4body text鋘drad????ndBody Te?ndBo段1 Cha...3"/>
    <w:basedOn w:val="92"/>
    <w:qFormat/>
    <w:uiPriority w:val="0"/>
    <w:pPr>
      <w:spacing w:line="300" w:lineRule="auto"/>
      <w:ind w:firstLine="200"/>
    </w:pPr>
    <w:rPr>
      <w:rFonts w:hAnsi="宋体" w:cs="宋体"/>
      <w:sz w:val="24"/>
      <w:szCs w:val="22"/>
    </w:rPr>
  </w:style>
  <w:style w:type="paragraph" w:customStyle="1" w:styleId="333">
    <w:name w:val="段落要点2"/>
    <w:basedOn w:val="1"/>
    <w:qFormat/>
    <w:uiPriority w:val="0"/>
    <w:pPr>
      <w:tabs>
        <w:tab w:val="left" w:pos="900"/>
        <w:tab w:val="left" w:pos="1320"/>
      </w:tabs>
      <w:spacing w:line="300" w:lineRule="auto"/>
      <w:ind w:left="1320" w:hanging="420"/>
      <w:jc w:val="left"/>
    </w:pPr>
    <w:rPr>
      <w:rFonts w:ascii="Times New Roman" w:hAnsi="Times New Roman" w:eastAsia="宋体" w:cs="Times New Roman"/>
      <w:sz w:val="24"/>
      <w:szCs w:val="24"/>
    </w:rPr>
  </w:style>
  <w:style w:type="paragraph" w:customStyle="1" w:styleId="334">
    <w:name w:val="样式 (中文) 仿宋_GB2312 小四 行距: 1.5 倍行距"/>
    <w:basedOn w:val="1"/>
    <w:link w:val="335"/>
    <w:qFormat/>
    <w:uiPriority w:val="0"/>
    <w:pPr>
      <w:spacing w:before="240" w:line="360" w:lineRule="auto"/>
      <w:ind w:firstLine="480"/>
    </w:pPr>
    <w:rPr>
      <w:rFonts w:ascii="Times New Roman" w:hAnsi="Times New Roman" w:eastAsia="仿宋_GB2312" w:cs="宋体"/>
      <w:sz w:val="24"/>
      <w:szCs w:val="20"/>
    </w:rPr>
  </w:style>
  <w:style w:type="character" w:customStyle="1" w:styleId="335">
    <w:name w:val="样式 (中文) 仿宋_GB2312 小四 行距: 1.5 倍行距 Char Char"/>
    <w:link w:val="334"/>
    <w:qFormat/>
    <w:uiPriority w:val="0"/>
    <w:rPr>
      <w:rFonts w:ascii="Times New Roman" w:hAnsi="Times New Roman" w:eastAsia="仿宋_GB2312" w:cs="宋体"/>
      <w:sz w:val="24"/>
    </w:rPr>
  </w:style>
  <w:style w:type="paragraph" w:customStyle="1" w:styleId="336">
    <w:name w:val="样式 左侧:  2 字符 首行缩进:  2 字符 段前: 0.5 行2"/>
    <w:basedOn w:val="1"/>
    <w:link w:val="337"/>
    <w:qFormat/>
    <w:uiPriority w:val="0"/>
    <w:pPr>
      <w:ind w:left="480" w:firstLine="480"/>
    </w:pPr>
    <w:rPr>
      <w:rFonts w:ascii="Times New Roman" w:hAnsi="Times New Roman" w:eastAsia="仿宋_GB2312" w:cs="宋体"/>
      <w:sz w:val="24"/>
      <w:szCs w:val="20"/>
    </w:rPr>
  </w:style>
  <w:style w:type="character" w:customStyle="1" w:styleId="337">
    <w:name w:val="样式 左侧:  2 字符 首行缩进:  2 字符 段前: 0.5 行2 Char1"/>
    <w:link w:val="336"/>
    <w:qFormat/>
    <w:uiPriority w:val="0"/>
    <w:rPr>
      <w:rFonts w:ascii="Times New Roman" w:hAnsi="Times New Roman" w:eastAsia="仿宋_GB2312" w:cs="宋体"/>
      <w:sz w:val="24"/>
    </w:rPr>
  </w:style>
  <w:style w:type="paragraph" w:customStyle="1" w:styleId="338">
    <w:name w:val="样式 样式 正文缩进四号ALT+Z段1 Char Char Char段1 Char Char标题4body text鋘d... ..."/>
    <w:basedOn w:val="1"/>
    <w:link w:val="339"/>
    <w:qFormat/>
    <w:uiPriority w:val="0"/>
    <w:pPr>
      <w:spacing w:line="300" w:lineRule="auto"/>
      <w:ind w:firstLine="640"/>
    </w:pPr>
    <w:rPr>
      <w:rFonts w:ascii="宋体" w:hAnsi="宋体" w:eastAsia="宋体" w:cs="宋体"/>
      <w:sz w:val="32"/>
      <w:szCs w:val="32"/>
    </w:rPr>
  </w:style>
  <w:style w:type="character" w:customStyle="1" w:styleId="339">
    <w:name w:val="样式 样式 正文缩进四号ALT+Z段1 Char Char Char段1 Char Char标题4body text鋘d... ... Char Char"/>
    <w:link w:val="338"/>
    <w:qFormat/>
    <w:uiPriority w:val="0"/>
    <w:rPr>
      <w:rFonts w:ascii="宋体" w:hAnsi="宋体" w:eastAsia="宋体" w:cs="宋体"/>
      <w:sz w:val="32"/>
      <w:szCs w:val="32"/>
    </w:rPr>
  </w:style>
  <w:style w:type="paragraph" w:customStyle="1" w:styleId="340">
    <w:name w:val="SG186正文"/>
    <w:basedOn w:val="1"/>
    <w:qFormat/>
    <w:uiPriority w:val="0"/>
    <w:pPr>
      <w:tabs>
        <w:tab w:val="left" w:pos="900"/>
      </w:tabs>
      <w:spacing w:line="360" w:lineRule="auto"/>
      <w:ind w:left="900" w:hanging="420"/>
      <w:jc w:val="left"/>
    </w:pPr>
    <w:rPr>
      <w:rFonts w:ascii="宋体" w:hAnsi="宋体" w:eastAsia="宋体" w:cs="宋体"/>
      <w:sz w:val="24"/>
      <w:szCs w:val="20"/>
    </w:rPr>
  </w:style>
  <w:style w:type="paragraph" w:customStyle="1" w:styleId="341">
    <w:name w:val="样式 样式 样式 正文缩进四号ALT+Z段1 Char Char Char段1 Char Char标题4body text鋘d...."/>
    <w:basedOn w:val="338"/>
    <w:link w:val="342"/>
    <w:qFormat/>
    <w:uiPriority w:val="0"/>
    <w:rPr>
      <w:rFonts w:ascii="Times New Roman" w:hAnsi="Times New Roman"/>
      <w:sz w:val="24"/>
      <w:szCs w:val="24"/>
    </w:rPr>
  </w:style>
  <w:style w:type="character" w:customStyle="1" w:styleId="342">
    <w:name w:val="样式 样式 样式 正文缩进四号ALT+Z段1 Char Char Char段1 Char Char标题4body text鋘d.... Char Char"/>
    <w:link w:val="341"/>
    <w:qFormat/>
    <w:uiPriority w:val="0"/>
    <w:rPr>
      <w:rFonts w:ascii="Times New Roman" w:hAnsi="Times New Roman" w:eastAsia="宋体" w:cs="宋体"/>
      <w:sz w:val="24"/>
      <w:szCs w:val="24"/>
    </w:rPr>
  </w:style>
  <w:style w:type="paragraph" w:customStyle="1" w:styleId="343">
    <w:name w:val="样式 样式 样式 样式 样式 样式 样式 样式 样式 宋体 小四 首行缩进:  0.74 厘米 行距: 最小值 18 磅 + 段..."/>
    <w:basedOn w:val="281"/>
    <w:qFormat/>
    <w:uiPriority w:val="0"/>
    <w:pPr>
      <w:spacing w:line="300" w:lineRule="auto"/>
      <w:ind w:firstLine="200"/>
    </w:pPr>
    <w:rPr>
      <w:rFonts w:ascii="Times New Roman" w:hAnsi="Times New Roman"/>
      <w:sz w:val="24"/>
      <w:szCs w:val="24"/>
    </w:rPr>
  </w:style>
  <w:style w:type="paragraph" w:customStyle="1" w:styleId="344">
    <w:name w:val="段落要点"/>
    <w:basedOn w:val="1"/>
    <w:qFormat/>
    <w:uiPriority w:val="0"/>
    <w:pPr>
      <w:tabs>
        <w:tab w:val="left" w:pos="900"/>
      </w:tabs>
      <w:spacing w:before="156"/>
      <w:ind w:left="900" w:hanging="420"/>
    </w:pPr>
    <w:rPr>
      <w:rFonts w:ascii="Times New Roman" w:hAnsi="Times New Roman" w:eastAsia="宋体" w:cs="Times New Roman"/>
      <w:sz w:val="24"/>
      <w:szCs w:val="24"/>
    </w:rPr>
  </w:style>
  <w:style w:type="paragraph" w:customStyle="1" w:styleId="345">
    <w:name w:val="样式2"/>
    <w:basedOn w:val="104"/>
    <w:next w:val="1"/>
    <w:qFormat/>
    <w:uiPriority w:val="0"/>
    <w:pPr>
      <w:tabs>
        <w:tab w:val="left" w:pos="1080"/>
      </w:tabs>
      <w:ind w:left="0" w:firstLine="0"/>
    </w:pPr>
    <w:rPr>
      <w:rFonts w:ascii="Arial" w:hAnsi="Arial" w:eastAsia="黑体"/>
    </w:rPr>
  </w:style>
  <w:style w:type="paragraph" w:customStyle="1" w:styleId="346">
    <w:name w:val="样式5"/>
    <w:basedOn w:val="104"/>
    <w:qFormat/>
    <w:uiPriority w:val="0"/>
    <w:pPr>
      <w:tabs>
        <w:tab w:val="left" w:pos="1500"/>
      </w:tabs>
      <w:ind w:left="420" w:firstLine="0"/>
    </w:pPr>
    <w:rPr>
      <w:rFonts w:ascii="Arial" w:hAnsi="Arial" w:eastAsia="黑体"/>
    </w:rPr>
  </w:style>
  <w:style w:type="paragraph" w:customStyle="1" w:styleId="347">
    <w:name w:val="样式 正文缩进四号ALT+Z段1 Char Char Char段1 Char Char标题4body text鋘d..."/>
    <w:basedOn w:val="92"/>
    <w:link w:val="348"/>
    <w:qFormat/>
    <w:uiPriority w:val="0"/>
    <w:pPr>
      <w:spacing w:line="300" w:lineRule="auto"/>
      <w:ind w:firstLine="200"/>
    </w:pPr>
    <w:rPr>
      <w:rFonts w:ascii="宋体" w:hAnsi="宋体" w:cs="宋体"/>
      <w:sz w:val="24"/>
      <w:szCs w:val="24"/>
    </w:rPr>
  </w:style>
  <w:style w:type="character" w:customStyle="1" w:styleId="348">
    <w:name w:val="样式 正文缩进四号ALT+Z段1 Char Char Char段1 Char Char标题4body text鋘d... Char Char"/>
    <w:link w:val="347"/>
    <w:qFormat/>
    <w:uiPriority w:val="0"/>
    <w:rPr>
      <w:rFonts w:ascii="宋体" w:hAnsi="宋体" w:eastAsia="宋体" w:cs="宋体"/>
      <w:sz w:val="24"/>
      <w:szCs w:val="24"/>
    </w:rPr>
  </w:style>
  <w:style w:type="paragraph" w:customStyle="1" w:styleId="349">
    <w:name w:val="样式 标题 1H1标书1Heading 0PIM 1h1Head1Heading apps合同标题标题一1s..."/>
    <w:basedOn w:val="138"/>
    <w:qFormat/>
    <w:uiPriority w:val="0"/>
    <w:pPr>
      <w:tabs>
        <w:tab w:val="left" w:pos="425"/>
        <w:tab w:val="left" w:pos="960"/>
      </w:tabs>
      <w:spacing w:after="240"/>
      <w:ind w:left="425" w:hanging="425"/>
    </w:pPr>
    <w:rPr>
      <w:rFonts w:ascii="Times New Roman" w:hAnsi="Times New Roman" w:eastAsia="仿宋_GB2312" w:cs="宋体"/>
      <w:sz w:val="44"/>
      <w:szCs w:val="20"/>
    </w:rPr>
  </w:style>
  <w:style w:type="paragraph" w:customStyle="1" w:styleId="350">
    <w:name w:val="样式 (中文) 仿宋_GB2312 小四 行距: 1.5 倍行距1"/>
    <w:basedOn w:val="1"/>
    <w:qFormat/>
    <w:uiPriority w:val="0"/>
    <w:pPr>
      <w:tabs>
        <w:tab w:val="left" w:pos="1504"/>
      </w:tabs>
      <w:spacing w:before="240" w:line="360" w:lineRule="auto"/>
      <w:ind w:left="1504" w:hanging="420"/>
    </w:pPr>
    <w:rPr>
      <w:rFonts w:ascii="Times New Roman" w:hAnsi="Times New Roman" w:eastAsia="仿宋_GB2312" w:cs="宋体"/>
      <w:sz w:val="24"/>
      <w:szCs w:val="20"/>
    </w:rPr>
  </w:style>
  <w:style w:type="paragraph" w:customStyle="1" w:styleId="351">
    <w:name w:val="融信正文"/>
    <w:basedOn w:val="1"/>
    <w:qFormat/>
    <w:uiPriority w:val="0"/>
    <w:pPr>
      <w:spacing w:line="360" w:lineRule="auto"/>
      <w:ind w:right="240" w:firstLine="480"/>
    </w:pPr>
    <w:rPr>
      <w:rFonts w:ascii="仿宋_GB2312" w:hAnsi="Arial" w:eastAsia="仿宋_GB2312" w:cs="Arial"/>
      <w:sz w:val="24"/>
      <w:szCs w:val="24"/>
    </w:rPr>
  </w:style>
  <w:style w:type="paragraph" w:customStyle="1" w:styleId="352">
    <w:name w:val="正文列4_1"/>
    <w:basedOn w:val="1"/>
    <w:qFormat/>
    <w:uiPriority w:val="0"/>
    <w:pPr>
      <w:tabs>
        <w:tab w:val="left" w:pos="900"/>
      </w:tabs>
      <w:spacing w:line="360" w:lineRule="exact"/>
      <w:ind w:left="900" w:hanging="420"/>
    </w:pPr>
    <w:rPr>
      <w:rFonts w:ascii="宋体" w:hAnsi="Times New Roman" w:eastAsia="仿宋_GB2312" w:cs="Times New Roman"/>
      <w:sz w:val="24"/>
      <w:szCs w:val="20"/>
    </w:rPr>
  </w:style>
  <w:style w:type="paragraph" w:customStyle="1" w:styleId="353">
    <w:name w:val="项目符号2"/>
    <w:basedOn w:val="1"/>
    <w:qFormat/>
    <w:uiPriority w:val="0"/>
    <w:pPr>
      <w:widowControl/>
      <w:tabs>
        <w:tab w:val="left" w:pos="0"/>
      </w:tabs>
      <w:spacing w:line="360" w:lineRule="auto"/>
      <w:jc w:val="left"/>
    </w:pPr>
    <w:rPr>
      <w:rFonts w:ascii="Times New Roman" w:hAnsi="Times New Roman" w:eastAsia="宋体" w:cs="Times New Roman"/>
      <w:szCs w:val="20"/>
    </w:rPr>
  </w:style>
  <w:style w:type="paragraph" w:customStyle="1" w:styleId="354">
    <w:name w:val="图题"/>
    <w:basedOn w:val="1"/>
    <w:next w:val="1"/>
    <w:qFormat/>
    <w:uiPriority w:val="0"/>
    <w:pPr>
      <w:widowControl/>
      <w:tabs>
        <w:tab w:val="left" w:pos="0"/>
      </w:tabs>
      <w:spacing w:line="300" w:lineRule="auto"/>
      <w:jc w:val="center"/>
    </w:pPr>
    <w:rPr>
      <w:rFonts w:ascii="Times New Roman" w:hAnsi="Times New Roman" w:eastAsia="黑体" w:cs="Times New Roman"/>
      <w:szCs w:val="24"/>
    </w:rPr>
  </w:style>
  <w:style w:type="paragraph" w:customStyle="1" w:styleId="355">
    <w:name w:val="正文段落"/>
    <w:basedOn w:val="92"/>
    <w:qFormat/>
    <w:uiPriority w:val="0"/>
    <w:pPr>
      <w:widowControl/>
      <w:spacing w:after="120" w:line="360" w:lineRule="auto"/>
      <w:ind w:firstLine="200"/>
    </w:pPr>
    <w:rPr>
      <w:sz w:val="24"/>
      <w:szCs w:val="24"/>
    </w:rPr>
  </w:style>
  <w:style w:type="paragraph" w:customStyle="1" w:styleId="356">
    <w:name w:val="Sale_Header 2"/>
    <w:next w:val="1"/>
    <w:link w:val="357"/>
    <w:qFormat/>
    <w:uiPriority w:val="0"/>
    <w:rPr>
      <w:rFonts w:ascii="Arial" w:hAnsi="Arial" w:eastAsia="宋体" w:cs="Calibri"/>
      <w:b/>
      <w:i/>
      <w:iCs/>
      <w:color w:val="000000"/>
      <w:sz w:val="28"/>
      <w:szCs w:val="24"/>
      <w:lang w:val="en-US" w:eastAsia="zh-CN" w:bidi="ar-SA"/>
    </w:rPr>
  </w:style>
  <w:style w:type="character" w:customStyle="1" w:styleId="357">
    <w:name w:val="Sale_Header 2 Char Char"/>
    <w:link w:val="356"/>
    <w:qFormat/>
    <w:uiPriority w:val="0"/>
    <w:rPr>
      <w:rFonts w:ascii="Arial" w:hAnsi="Arial" w:eastAsia="宋体" w:cs="Calibri"/>
      <w:b/>
      <w:i/>
      <w:iCs/>
      <w:color w:val="000000"/>
      <w:sz w:val="28"/>
      <w:szCs w:val="24"/>
    </w:rPr>
  </w:style>
  <w:style w:type="paragraph" w:customStyle="1" w:styleId="358">
    <w:name w:val="Default Text"/>
    <w:link w:val="359"/>
    <w:qFormat/>
    <w:uiPriority w:val="0"/>
    <w:pPr>
      <w:widowControl w:val="0"/>
      <w:tabs>
        <w:tab w:val="left" w:pos="720"/>
      </w:tabs>
      <w:ind w:left="289" w:hanging="181"/>
    </w:pPr>
    <w:rPr>
      <w:rFonts w:ascii="Arial" w:hAnsi="Arial" w:eastAsia="宋体" w:cs="Calibri"/>
      <w:sz w:val="18"/>
      <w:szCs w:val="18"/>
      <w:lang w:val="en-US" w:eastAsia="zh-CN" w:bidi="ar-SA"/>
    </w:rPr>
  </w:style>
  <w:style w:type="character" w:customStyle="1" w:styleId="359">
    <w:name w:val="Default Text Char Char"/>
    <w:link w:val="358"/>
    <w:qFormat/>
    <w:uiPriority w:val="0"/>
    <w:rPr>
      <w:rFonts w:ascii="Arial" w:hAnsi="Arial" w:eastAsia="宋体" w:cs="Calibri"/>
      <w:sz w:val="18"/>
      <w:szCs w:val="18"/>
    </w:rPr>
  </w:style>
  <w:style w:type="paragraph" w:customStyle="1" w:styleId="360">
    <w:name w:val="Normal (Arial)"/>
    <w:basedOn w:val="1"/>
    <w:qFormat/>
    <w:uiPriority w:val="0"/>
    <w:pPr>
      <w:widowControl/>
      <w:jc w:val="left"/>
    </w:pPr>
    <w:rPr>
      <w:rFonts w:ascii="Arial" w:hAnsi="Arial" w:eastAsia="宋体" w:cs="Arial"/>
      <w:sz w:val="20"/>
      <w:szCs w:val="20"/>
      <w:lang w:eastAsia="en-US"/>
    </w:rPr>
  </w:style>
  <w:style w:type="paragraph" w:customStyle="1" w:styleId="361">
    <w:name w:val="标题 42"/>
    <w:basedOn w:val="1"/>
    <w:next w:val="106"/>
    <w:qFormat/>
    <w:uiPriority w:val="0"/>
    <w:pPr>
      <w:widowControl/>
      <w:spacing w:before="180" w:after="180" w:line="300" w:lineRule="auto"/>
      <w:ind w:firstLine="454"/>
      <w:jc w:val="left"/>
    </w:pPr>
    <w:rPr>
      <w:rFonts w:ascii="Times New Roman" w:hAnsi="Times New Roman" w:eastAsia="宋体" w:cs="Times New Roman"/>
      <w:b/>
      <w:spacing w:val="6"/>
      <w:szCs w:val="24"/>
    </w:rPr>
  </w:style>
  <w:style w:type="paragraph" w:customStyle="1" w:styleId="362">
    <w:name w:val="List Bullet2"/>
    <w:basedOn w:val="1"/>
    <w:qFormat/>
    <w:uiPriority w:val="0"/>
    <w:pPr>
      <w:widowControl/>
      <w:tabs>
        <w:tab w:val="left" w:pos="1154"/>
      </w:tabs>
      <w:spacing w:before="60" w:after="60" w:line="288" w:lineRule="auto"/>
      <w:ind w:left="1151" w:right="794" w:hanging="357"/>
      <w:jc w:val="left"/>
    </w:pPr>
    <w:rPr>
      <w:rFonts w:ascii="Times New Roman" w:hAnsi="Times New Roman" w:eastAsia="宋体" w:cs="Times New Roman"/>
      <w:szCs w:val="24"/>
    </w:rPr>
  </w:style>
  <w:style w:type="paragraph" w:customStyle="1" w:styleId="363">
    <w:name w:val="正文缩进3"/>
    <w:qFormat/>
    <w:uiPriority w:val="0"/>
    <w:pPr>
      <w:ind w:firstLine="200"/>
    </w:pPr>
    <w:rPr>
      <w:rFonts w:ascii="Times New Roman" w:hAnsi="Times New Roman" w:eastAsia="宋体" w:cs="Calibri"/>
      <w:sz w:val="24"/>
      <w:lang w:val="en-US" w:eastAsia="zh-CN" w:bidi="ar-SA"/>
    </w:rPr>
  </w:style>
  <w:style w:type="paragraph" w:customStyle="1" w:styleId="364">
    <w:name w:val="列表 1"/>
    <w:qFormat/>
    <w:uiPriority w:val="0"/>
    <w:pPr>
      <w:tabs>
        <w:tab w:val="left" w:pos="840"/>
      </w:tabs>
      <w:ind w:left="840" w:hanging="420"/>
    </w:pPr>
    <w:rPr>
      <w:rFonts w:ascii="Times New Roman" w:hAnsi="Times New Roman" w:eastAsia="楷体_GB2312" w:cs="Calibri"/>
      <w:sz w:val="24"/>
      <w:lang w:val="en-US" w:eastAsia="zh-CN" w:bidi="ar-SA"/>
    </w:rPr>
  </w:style>
  <w:style w:type="paragraph" w:customStyle="1" w:styleId="365">
    <w:name w:val="小标题"/>
    <w:basedOn w:val="1"/>
    <w:next w:val="1"/>
    <w:qFormat/>
    <w:uiPriority w:val="0"/>
    <w:pPr>
      <w:keepNext/>
      <w:keepLines/>
      <w:ind w:firstLine="200"/>
      <w:outlineLvl w:val="4"/>
    </w:pPr>
    <w:rPr>
      <w:rFonts w:ascii="Times New Roman" w:hAnsi="Times New Roman" w:eastAsia="楷体_GB2312" w:cs="Times New Roman"/>
      <w:b/>
      <w:bCs/>
      <w:i/>
      <w:iCs/>
      <w:sz w:val="24"/>
      <w:szCs w:val="24"/>
      <w:u w:val="single"/>
    </w:rPr>
  </w:style>
  <w:style w:type="paragraph" w:customStyle="1" w:styleId="366">
    <w:name w:val="Body"/>
    <w:basedOn w:val="1"/>
    <w:qFormat/>
    <w:uiPriority w:val="0"/>
    <w:pPr>
      <w:widowControl/>
      <w:spacing w:after="200"/>
      <w:jc w:val="left"/>
    </w:pPr>
    <w:rPr>
      <w:rFonts w:ascii="Times New Roman" w:hAnsi="Times New Roman" w:eastAsia="宋体" w:cs="Times New Roman"/>
      <w:sz w:val="22"/>
      <w:szCs w:val="20"/>
    </w:rPr>
  </w:style>
  <w:style w:type="paragraph" w:customStyle="1" w:styleId="367">
    <w:name w:val="索引 91"/>
    <w:basedOn w:val="1"/>
    <w:next w:val="1"/>
    <w:qFormat/>
    <w:uiPriority w:val="0"/>
    <w:pPr>
      <w:ind w:left="1890" w:hanging="210"/>
      <w:jc w:val="left"/>
    </w:pPr>
    <w:rPr>
      <w:rFonts w:ascii="Times New Roman" w:hAnsi="Times New Roman" w:eastAsia="宋体" w:cs="Times New Roman"/>
      <w:sz w:val="20"/>
      <w:szCs w:val="20"/>
    </w:rPr>
  </w:style>
  <w:style w:type="paragraph" w:customStyle="1" w:styleId="368">
    <w:name w:val="基准索引样式"/>
    <w:basedOn w:val="1"/>
    <w:qFormat/>
    <w:uiPriority w:val="0"/>
    <w:pPr>
      <w:widowControl/>
      <w:spacing w:line="220" w:lineRule="atLeast"/>
      <w:ind w:left="360" w:firstLine="576"/>
      <w:jc w:val="left"/>
    </w:pPr>
    <w:rPr>
      <w:rFonts w:ascii="Times New Roman" w:hAnsi="Times New Roman" w:eastAsia="宋体" w:cs="Times New Roman"/>
      <w:sz w:val="20"/>
      <w:szCs w:val="20"/>
    </w:rPr>
  </w:style>
  <w:style w:type="paragraph" w:customStyle="1" w:styleId="369">
    <w:name w:val="Heading2REP"/>
    <w:basedOn w:val="69"/>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jc w:val="left"/>
    </w:pPr>
    <w:rPr>
      <w:rFonts w:ascii="Century Gothic" w:hAnsi="Century Gothic"/>
      <w:b/>
      <w:color w:val="000000"/>
      <w:szCs w:val="20"/>
    </w:rPr>
  </w:style>
  <w:style w:type="paragraph" w:customStyle="1" w:styleId="370">
    <w:name w:val="BodyREP"/>
    <w:basedOn w:val="69"/>
    <w:qFormat/>
    <w:uiPriority w:val="0"/>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ind w:left="2160"/>
      <w:jc w:val="left"/>
    </w:pPr>
    <w:rPr>
      <w:color w:val="000000"/>
      <w:sz w:val="20"/>
      <w:szCs w:val="20"/>
    </w:rPr>
  </w:style>
  <w:style w:type="paragraph" w:customStyle="1" w:styleId="371">
    <w:name w:val="Bullet1"/>
    <w:basedOn w:val="1"/>
    <w:qFormat/>
    <w:uiPriority w:val="0"/>
    <w:pPr>
      <w:widowControl/>
      <w:jc w:val="left"/>
    </w:pPr>
    <w:rPr>
      <w:rFonts w:ascii="Good Times" w:hAnsi="Good Times" w:eastAsia="宋体" w:cs="Times New Roman"/>
      <w:sz w:val="20"/>
      <w:szCs w:val="20"/>
    </w:rPr>
  </w:style>
  <w:style w:type="paragraph" w:customStyle="1" w:styleId="372">
    <w:name w:val="TableText"/>
    <w:basedOn w:val="1"/>
    <w:qFormat/>
    <w:uiPriority w:val="0"/>
    <w:pPr>
      <w:widowControl/>
      <w:spacing w:before="60" w:after="60" w:line="240" w:lineRule="atLeast"/>
      <w:jc w:val="left"/>
    </w:pPr>
    <w:rPr>
      <w:rFonts w:ascii="Times New Roman" w:hAnsi="Times New Roman" w:eastAsia="兰米仿宋体" w:cs="Times New Roman"/>
      <w:sz w:val="24"/>
      <w:szCs w:val="20"/>
      <w:lang w:eastAsia="en-US"/>
    </w:rPr>
  </w:style>
  <w:style w:type="paragraph" w:customStyle="1" w:styleId="373">
    <w:name w:val="工程正文"/>
    <w:basedOn w:val="1"/>
    <w:qFormat/>
    <w:uiPriority w:val="0"/>
    <w:pPr>
      <w:spacing w:line="360" w:lineRule="atLeast"/>
      <w:ind w:firstLine="500"/>
    </w:pPr>
    <w:rPr>
      <w:rFonts w:ascii="Times New Roman" w:hAnsi="Times New Roman" w:eastAsia="宋体" w:cs="Times New Roman"/>
      <w:color w:val="000000"/>
      <w:spacing w:val="20"/>
      <w:szCs w:val="20"/>
    </w:rPr>
  </w:style>
  <w:style w:type="paragraph" w:customStyle="1" w:styleId="374">
    <w:name w:val="Picture"/>
    <w:basedOn w:val="1"/>
    <w:next w:val="17"/>
    <w:qFormat/>
    <w:uiPriority w:val="0"/>
    <w:pPr>
      <w:keepNext/>
      <w:widowControl/>
    </w:pPr>
    <w:rPr>
      <w:rFonts w:hint="eastAsia" w:ascii="楷体" w:hAnsi="Arial" w:eastAsia="楷体" w:cs="Times New Roman"/>
      <w:b/>
      <w:spacing w:val="-5"/>
      <w:sz w:val="24"/>
      <w:szCs w:val="20"/>
    </w:rPr>
  </w:style>
  <w:style w:type="paragraph" w:customStyle="1" w:styleId="375">
    <w:name w:val="TableTitle"/>
    <w:basedOn w:val="376"/>
    <w:qFormat/>
    <w:uiPriority w:val="0"/>
    <w:pPr>
      <w:spacing w:before="0" w:after="120"/>
    </w:pPr>
  </w:style>
  <w:style w:type="paragraph" w:customStyle="1" w:styleId="376">
    <w:name w:val="TableNumber"/>
    <w:basedOn w:val="1"/>
    <w:next w:val="375"/>
    <w:qFormat/>
    <w:uiPriority w:val="0"/>
    <w:pPr>
      <w:keepNext/>
      <w:widowControl/>
      <w:spacing w:before="75" w:after="40" w:line="260" w:lineRule="atLeast"/>
      <w:jc w:val="center"/>
    </w:pPr>
    <w:rPr>
      <w:rFonts w:ascii="DejaVu Math TeX Gyre" w:hAnsi="DejaVu Math TeX Gyre" w:eastAsia="宋体" w:cs="Times New Roman"/>
      <w:b/>
      <w:sz w:val="22"/>
      <w:szCs w:val="20"/>
    </w:rPr>
  </w:style>
  <w:style w:type="paragraph" w:customStyle="1" w:styleId="377">
    <w:name w:val="TH_FL"/>
    <w:basedOn w:val="1"/>
    <w:qFormat/>
    <w:uiPriority w:val="0"/>
    <w:pPr>
      <w:widowControl/>
      <w:spacing w:before="40" w:after="40" w:line="220" w:lineRule="atLeast"/>
      <w:jc w:val="left"/>
    </w:pPr>
    <w:rPr>
      <w:rFonts w:ascii="DejaVu Math TeX Gyre" w:hAnsi="DejaVu Math TeX Gyre" w:eastAsia="宋体" w:cs="Times New Roman"/>
      <w:sz w:val="18"/>
      <w:szCs w:val="20"/>
    </w:rPr>
  </w:style>
  <w:style w:type="paragraph" w:customStyle="1" w:styleId="378">
    <w:name w:val="TH_CTR"/>
    <w:basedOn w:val="377"/>
    <w:qFormat/>
    <w:uiPriority w:val="0"/>
    <w:pPr>
      <w:jc w:val="center"/>
    </w:pPr>
  </w:style>
  <w:style w:type="paragraph" w:customStyle="1" w:styleId="379">
    <w:name w:val="TB_FL"/>
    <w:basedOn w:val="1"/>
    <w:qFormat/>
    <w:uiPriority w:val="0"/>
    <w:pPr>
      <w:widowControl/>
      <w:spacing w:before="40" w:after="40" w:line="220" w:lineRule="atLeast"/>
      <w:jc w:val="left"/>
    </w:pPr>
    <w:rPr>
      <w:rFonts w:ascii="DejaVu Math TeX Gyre" w:hAnsi="DejaVu Math TeX Gyre" w:eastAsia="宋体" w:cs="Times New Roman"/>
      <w:sz w:val="18"/>
      <w:szCs w:val="20"/>
    </w:rPr>
  </w:style>
  <w:style w:type="paragraph" w:customStyle="1" w:styleId="380">
    <w:name w:val="TB_FR"/>
    <w:basedOn w:val="379"/>
    <w:qFormat/>
    <w:uiPriority w:val="0"/>
    <w:pPr>
      <w:jc w:val="right"/>
    </w:pPr>
  </w:style>
  <w:style w:type="paragraph" w:customStyle="1" w:styleId="381">
    <w:name w:val="TFN"/>
    <w:basedOn w:val="379"/>
    <w:qFormat/>
    <w:uiPriority w:val="0"/>
    <w:pPr>
      <w:spacing w:after="0"/>
    </w:pPr>
  </w:style>
  <w:style w:type="paragraph" w:customStyle="1" w:styleId="382">
    <w:name w:val="ymtext"/>
    <w:basedOn w:val="1"/>
    <w:qFormat/>
    <w:uiPriority w:val="0"/>
    <w:pPr>
      <w:widowControl/>
      <w:spacing w:after="100" w:line="500" w:lineRule="atLeast"/>
      <w:ind w:firstLine="547"/>
      <w:jc w:val="left"/>
    </w:pPr>
    <w:rPr>
      <w:rFonts w:hint="eastAsia" w:ascii="宋体" w:hAnsi="Times New Roman" w:eastAsia="宋体" w:cs="Times New Roman"/>
      <w:spacing w:val="40"/>
      <w:sz w:val="24"/>
      <w:szCs w:val="20"/>
    </w:rPr>
  </w:style>
  <w:style w:type="paragraph" w:customStyle="1" w:styleId="383">
    <w:name w:val="正文1"/>
    <w:basedOn w:val="1"/>
    <w:qFormat/>
    <w:uiPriority w:val="0"/>
    <w:pPr>
      <w:spacing w:before="156" w:line="360" w:lineRule="auto"/>
      <w:jc w:val="left"/>
    </w:pPr>
    <w:rPr>
      <w:rFonts w:ascii="华文楷体" w:hAnsi="Times New Roman" w:eastAsia="宋体" w:cs="Times New Roman"/>
      <w:sz w:val="24"/>
      <w:szCs w:val="20"/>
    </w:rPr>
  </w:style>
  <w:style w:type="paragraph" w:customStyle="1" w:styleId="384">
    <w:name w:val="text"/>
    <w:basedOn w:val="106"/>
    <w:qFormat/>
    <w:uiPriority w:val="0"/>
    <w:pPr>
      <w:widowControl/>
      <w:tabs>
        <w:tab w:val="left" w:pos="1440"/>
      </w:tabs>
      <w:spacing w:before="0" w:after="0" w:line="300" w:lineRule="atLeast"/>
      <w:ind w:left="2880" w:hanging="1000"/>
      <w:jc w:val="left"/>
      <w:outlineLvl w:val="9"/>
    </w:pPr>
    <w:rPr>
      <w:rFonts w:ascii="Garamond" w:hAnsi="Garamond"/>
      <w:b w:val="0"/>
      <w:bCs w:val="0"/>
      <w:sz w:val="24"/>
      <w:szCs w:val="20"/>
      <w:lang w:eastAsia="en-US"/>
    </w:rPr>
  </w:style>
  <w:style w:type="paragraph" w:customStyle="1" w:styleId="385">
    <w:name w:val="正文文字（缩进2字）"/>
    <w:basedOn w:val="69"/>
    <w:qFormat/>
    <w:uiPriority w:val="0"/>
    <w:pPr>
      <w:ind w:firstLine="422"/>
    </w:pPr>
    <w:rPr>
      <w:b/>
      <w:bCs/>
      <w:szCs w:val="20"/>
    </w:rPr>
  </w:style>
  <w:style w:type="paragraph" w:customStyle="1" w:styleId="386">
    <w:name w:val="我的标题2"/>
    <w:basedOn w:val="1"/>
    <w:next w:val="1"/>
    <w:qFormat/>
    <w:uiPriority w:val="0"/>
    <w:pPr>
      <w:widowControl/>
      <w:spacing w:line="300" w:lineRule="auto"/>
      <w:jc w:val="left"/>
    </w:pPr>
    <w:rPr>
      <w:rFonts w:ascii="宋体" w:hAnsi="宋体" w:eastAsia="宋体" w:cs="Times New Roman"/>
      <w:b/>
      <w:bCs/>
      <w:spacing w:val="6"/>
      <w:sz w:val="24"/>
      <w:szCs w:val="20"/>
    </w:rPr>
  </w:style>
  <w:style w:type="paragraph" w:customStyle="1" w:styleId="387">
    <w:name w:val="我的正文"/>
    <w:basedOn w:val="1"/>
    <w:qFormat/>
    <w:uiPriority w:val="0"/>
    <w:pPr>
      <w:widowControl/>
      <w:spacing w:line="288" w:lineRule="auto"/>
      <w:ind w:firstLine="510"/>
      <w:jc w:val="left"/>
    </w:pPr>
    <w:rPr>
      <w:rFonts w:ascii="Times New Roman" w:hAnsi="Times New Roman" w:eastAsia="宋体" w:cs="Times New Roman"/>
      <w:spacing w:val="6"/>
      <w:sz w:val="24"/>
      <w:szCs w:val="20"/>
    </w:rPr>
  </w:style>
  <w:style w:type="paragraph" w:customStyle="1" w:styleId="388">
    <w:name w:val="Body Single"/>
    <w:basedOn w:val="1"/>
    <w:qFormat/>
    <w:uiPriority w:val="0"/>
    <w:pPr>
      <w:widowControl/>
      <w:jc w:val="left"/>
    </w:pPr>
    <w:rPr>
      <w:rFonts w:ascii="Times New Roman" w:hAnsi="Times New Roman" w:eastAsia="Times New Roman" w:cs="Times New Roman"/>
      <w:sz w:val="24"/>
      <w:szCs w:val="20"/>
      <w:lang w:eastAsia="en-US"/>
    </w:rPr>
  </w:style>
  <w:style w:type="paragraph" w:customStyle="1" w:styleId="389">
    <w:name w:val="图片"/>
    <w:basedOn w:val="1"/>
    <w:next w:val="1"/>
    <w:qFormat/>
    <w:uiPriority w:val="0"/>
    <w:pPr>
      <w:jc w:val="center"/>
    </w:pPr>
    <w:rPr>
      <w:rFonts w:ascii="Times New Roman" w:hAnsi="Times New Roman" w:eastAsia="宋体" w:cs="Times New Roman"/>
      <w:szCs w:val="24"/>
    </w:rPr>
  </w:style>
  <w:style w:type="paragraph" w:customStyle="1" w:styleId="390">
    <w:name w:val="图名"/>
    <w:basedOn w:val="1"/>
    <w:next w:val="1"/>
    <w:qFormat/>
    <w:uiPriority w:val="0"/>
    <w:pPr>
      <w:spacing w:line="360" w:lineRule="auto"/>
      <w:jc w:val="center"/>
    </w:pPr>
    <w:rPr>
      <w:rFonts w:ascii="Arial" w:hAnsi="Arial" w:eastAsia="黑体" w:cs="Times New Roman"/>
      <w:b/>
      <w:szCs w:val="24"/>
    </w:rPr>
  </w:style>
  <w:style w:type="paragraph" w:customStyle="1" w:styleId="391">
    <w:name w:val="项目 1"/>
    <w:basedOn w:val="92"/>
    <w:qFormat/>
    <w:uiPriority w:val="0"/>
    <w:pPr>
      <w:spacing w:line="360" w:lineRule="auto"/>
      <w:ind w:firstLine="0"/>
    </w:pPr>
    <w:rPr>
      <w:sz w:val="24"/>
      <w:szCs w:val="24"/>
    </w:rPr>
  </w:style>
  <w:style w:type="paragraph" w:customStyle="1" w:styleId="392">
    <w:name w:val="List Bullet1"/>
    <w:basedOn w:val="1"/>
    <w:qFormat/>
    <w:uiPriority w:val="0"/>
    <w:pPr>
      <w:widowControl/>
      <w:tabs>
        <w:tab w:val="left" w:pos="1344"/>
      </w:tabs>
      <w:spacing w:before="240" w:after="120" w:line="288" w:lineRule="auto"/>
      <w:ind w:left="1344" w:right="57" w:hanging="360"/>
      <w:jc w:val="left"/>
    </w:pPr>
    <w:rPr>
      <w:rFonts w:ascii="宋体" w:hAnsi="Times New Roman" w:eastAsia="宋体" w:cs="Times New Roman"/>
      <w:bCs/>
      <w:color w:val="000000"/>
      <w:szCs w:val="24"/>
    </w:rPr>
  </w:style>
  <w:style w:type="paragraph" w:customStyle="1" w:styleId="393">
    <w:name w:val="封面落款"/>
    <w:basedOn w:val="1"/>
    <w:qFormat/>
    <w:uiPriority w:val="0"/>
    <w:pPr>
      <w:spacing w:line="360" w:lineRule="auto"/>
      <w:jc w:val="center"/>
    </w:pPr>
    <w:rPr>
      <w:rFonts w:ascii="Arial" w:hAnsi="Arial" w:eastAsia="黑体" w:cs="Times New Roman"/>
      <w:sz w:val="32"/>
      <w:szCs w:val="24"/>
    </w:rPr>
  </w:style>
  <w:style w:type="paragraph" w:customStyle="1" w:styleId="394">
    <w:name w:val="表格标注"/>
    <w:basedOn w:val="1"/>
    <w:qFormat/>
    <w:uiPriority w:val="0"/>
    <w:pPr>
      <w:tabs>
        <w:tab w:val="left" w:pos="420"/>
      </w:tabs>
      <w:spacing w:line="360" w:lineRule="auto"/>
      <w:ind w:left="420" w:hanging="420"/>
    </w:pPr>
    <w:rPr>
      <w:rFonts w:ascii="Times New Roman" w:hAnsi="Times New Roman" w:eastAsia="宋体" w:cs="Times New Roman"/>
      <w:szCs w:val="24"/>
    </w:rPr>
  </w:style>
  <w:style w:type="paragraph" w:customStyle="1" w:styleId="395">
    <w:name w:val="Char Char1"/>
    <w:basedOn w:val="1"/>
    <w:qFormat/>
    <w:uiPriority w:val="0"/>
    <w:pPr>
      <w:spacing w:line="360" w:lineRule="auto"/>
    </w:pPr>
    <w:rPr>
      <w:rFonts w:ascii="Tahoma" w:hAnsi="Tahoma" w:eastAsia="宋体" w:cs="Times New Roman"/>
      <w:sz w:val="24"/>
      <w:szCs w:val="20"/>
    </w:rPr>
  </w:style>
  <w:style w:type="paragraph" w:customStyle="1" w:styleId="396">
    <w:name w:val="Char1 Char Char Char Char Char"/>
    <w:basedOn w:val="1"/>
    <w:qFormat/>
    <w:uiPriority w:val="0"/>
    <w:pPr>
      <w:spacing w:before="240" w:after="120" w:line="288" w:lineRule="auto"/>
      <w:ind w:firstLine="200"/>
      <w:jc w:val="left"/>
    </w:pPr>
    <w:rPr>
      <w:rFonts w:ascii="Tahoma" w:hAnsi="Tahoma" w:eastAsia="宋体" w:cs="Times New Roman"/>
      <w:sz w:val="24"/>
      <w:szCs w:val="24"/>
    </w:rPr>
  </w:style>
  <w:style w:type="paragraph" w:customStyle="1" w:styleId="397">
    <w:name w:val="WW-正文缩进"/>
    <w:basedOn w:val="1"/>
    <w:qFormat/>
    <w:uiPriority w:val="0"/>
    <w:pPr>
      <w:ind w:firstLine="420"/>
    </w:pPr>
    <w:rPr>
      <w:rFonts w:ascii="Times New Roman" w:hAnsi="Times New Roman" w:eastAsia="宋体" w:cs="Times New Roman"/>
      <w:szCs w:val="20"/>
      <w:lang w:eastAsia="ar-SA"/>
    </w:rPr>
  </w:style>
  <w:style w:type="paragraph" w:customStyle="1" w:styleId="398">
    <w:name w:val="Table Text Bullet"/>
    <w:basedOn w:val="205"/>
    <w:qFormat/>
    <w:uiPriority w:val="0"/>
    <w:pPr>
      <w:tabs>
        <w:tab w:val="left" w:pos="1080"/>
      </w:tabs>
      <w:spacing w:before="60" w:after="60" w:line="288" w:lineRule="auto"/>
      <w:ind w:left="360" w:firstLine="0"/>
    </w:pPr>
    <w:rPr>
      <w:rFonts w:ascii="Times New Roman" w:hAnsi="Times New Roman" w:eastAsia="宋体" w:cs="Calibri"/>
      <w:sz w:val="19"/>
      <w:szCs w:val="19"/>
      <w:lang w:val="en-US" w:eastAsia="zh-CN" w:bidi="ar-SA"/>
    </w:rPr>
  </w:style>
  <w:style w:type="paragraph" w:customStyle="1" w:styleId="399">
    <w:name w:val="RFP Question List 2"/>
    <w:basedOn w:val="1"/>
    <w:qFormat/>
    <w:uiPriority w:val="0"/>
    <w:pPr>
      <w:widowControl/>
      <w:tabs>
        <w:tab w:val="left" w:pos="720"/>
      </w:tabs>
      <w:spacing w:before="120" w:after="120" w:line="288" w:lineRule="auto"/>
      <w:ind w:left="720" w:hanging="360"/>
      <w:jc w:val="left"/>
    </w:pPr>
    <w:rPr>
      <w:rFonts w:ascii="Times New Roman" w:hAnsi="Times New Roman" w:eastAsia="宋体" w:cs="Times New Roman"/>
      <w:color w:val="6666FF"/>
      <w:szCs w:val="21"/>
    </w:rPr>
  </w:style>
  <w:style w:type="paragraph" w:customStyle="1" w:styleId="400">
    <w:name w:val="bullet box 2 (arrows)"/>
    <w:basedOn w:val="1"/>
    <w:qFormat/>
    <w:uiPriority w:val="0"/>
    <w:pPr>
      <w:widowControl/>
      <w:tabs>
        <w:tab w:val="left" w:pos="720"/>
      </w:tabs>
      <w:spacing w:before="120"/>
      <w:ind w:left="720" w:hanging="720"/>
    </w:pPr>
    <w:rPr>
      <w:rFonts w:ascii="Arial" w:hAnsi="Arial" w:eastAsia="宋体" w:cs="Times New Roman"/>
      <w:sz w:val="20"/>
      <w:szCs w:val="20"/>
      <w:lang w:eastAsia="en-US"/>
    </w:rPr>
  </w:style>
  <w:style w:type="paragraph" w:customStyle="1" w:styleId="401">
    <w:name w:val="表格项目符号"/>
    <w:basedOn w:val="18"/>
    <w:qFormat/>
    <w:uiPriority w:val="0"/>
    <w:pPr>
      <w:widowControl w:val="0"/>
      <w:tabs>
        <w:tab w:val="left" w:pos="249"/>
        <w:tab w:val="left" w:pos="360"/>
        <w:tab w:val="clear" w:pos="480"/>
      </w:tabs>
      <w:spacing w:after="0" w:line="300" w:lineRule="auto"/>
      <w:ind w:left="249" w:hanging="249"/>
      <w:jc w:val="both"/>
    </w:pPr>
    <w:rPr>
      <w:rFonts w:ascii="Times New Roman" w:hAnsi="Times New Roman" w:cs="Times New Roman"/>
      <w:sz w:val="21"/>
      <w:szCs w:val="24"/>
    </w:rPr>
  </w:style>
  <w:style w:type="paragraph" w:customStyle="1" w:styleId="402">
    <w:name w:val="附图标题"/>
    <w:basedOn w:val="1"/>
    <w:next w:val="92"/>
    <w:qFormat/>
    <w:uiPriority w:val="0"/>
    <w:pPr>
      <w:tabs>
        <w:tab w:val="left" w:pos="720"/>
      </w:tabs>
      <w:ind w:left="420" w:hanging="420"/>
      <w:jc w:val="center"/>
    </w:pPr>
    <w:rPr>
      <w:rFonts w:ascii="Arial" w:hAnsi="Arial" w:eastAsia="黑体" w:cs="Times New Roman"/>
      <w:b/>
      <w:sz w:val="18"/>
      <w:szCs w:val="24"/>
    </w:rPr>
  </w:style>
  <w:style w:type="paragraph" w:customStyle="1" w:styleId="403">
    <w:name w:val="bullet box 1"/>
    <w:basedOn w:val="1"/>
    <w:qFormat/>
    <w:uiPriority w:val="0"/>
    <w:pPr>
      <w:widowControl/>
      <w:tabs>
        <w:tab w:val="left" w:pos="1080"/>
      </w:tabs>
      <w:spacing w:before="120"/>
      <w:ind w:left="1080" w:hanging="360"/>
    </w:pPr>
    <w:rPr>
      <w:rFonts w:ascii="Arial" w:hAnsi="Arial" w:eastAsia="宋体" w:cs="Times New Roman"/>
      <w:sz w:val="20"/>
      <w:szCs w:val="20"/>
      <w:lang w:eastAsia="en-US"/>
    </w:rPr>
  </w:style>
  <w:style w:type="paragraph" w:customStyle="1" w:styleId="404">
    <w:name w:val="Char1 Char Char Char Char Char Char Char Char Char Char"/>
    <w:basedOn w:val="1"/>
    <w:qFormat/>
    <w:uiPriority w:val="0"/>
    <w:rPr>
      <w:rFonts w:ascii="Tahoma" w:hAnsi="Tahoma" w:eastAsia="宋体" w:cs="Times New Roman"/>
      <w:sz w:val="24"/>
      <w:szCs w:val="20"/>
    </w:rPr>
  </w:style>
  <w:style w:type="paragraph" w:customStyle="1" w:styleId="405">
    <w:name w:val="Char Char Char Char Char Char Char Char Char Char Char Char Char Char Char Char Char Char Char Char Char Char Char Char"/>
    <w:basedOn w:val="1"/>
    <w:qFormat/>
    <w:uiPriority w:val="0"/>
    <w:rPr>
      <w:rFonts w:ascii="Tahoma" w:hAnsi="Tahoma" w:eastAsia="宋体" w:cs="Times New Roman"/>
      <w:sz w:val="24"/>
      <w:szCs w:val="20"/>
    </w:rPr>
  </w:style>
  <w:style w:type="paragraph" w:customStyle="1" w:styleId="406">
    <w:name w:val="Char Char Char Char1 Char Char"/>
    <w:basedOn w:val="1"/>
    <w:qFormat/>
    <w:uiPriority w:val="0"/>
    <w:pPr>
      <w:jc w:val="center"/>
    </w:pPr>
    <w:rPr>
      <w:rFonts w:ascii="Tahoma" w:hAnsi="Tahoma" w:eastAsia="宋体" w:cs="Times New Roman"/>
      <w:sz w:val="24"/>
      <w:szCs w:val="24"/>
    </w:rPr>
  </w:style>
  <w:style w:type="paragraph" w:customStyle="1" w:styleId="407">
    <w:name w:val="Char1 Char Char"/>
    <w:basedOn w:val="1"/>
    <w:qFormat/>
    <w:uiPriority w:val="0"/>
    <w:rPr>
      <w:rFonts w:ascii="Tahoma" w:hAnsi="Tahoma" w:eastAsia="宋体" w:cs="Times New Roman"/>
      <w:sz w:val="24"/>
      <w:szCs w:val="20"/>
    </w:rPr>
  </w:style>
  <w:style w:type="paragraph" w:customStyle="1" w:styleId="408">
    <w:name w:val="a14"/>
    <w:basedOn w:val="1"/>
    <w:qFormat/>
    <w:uiPriority w:val="0"/>
    <w:pPr>
      <w:widowControl/>
      <w:spacing w:before="100" w:beforeAutospacing="1" w:after="100" w:afterAutospacing="1" w:line="335" w:lineRule="atLeast"/>
      <w:ind w:firstLine="419"/>
      <w:jc w:val="left"/>
    </w:pPr>
    <w:rPr>
      <w:rFonts w:ascii="宋体" w:hAnsi="宋体" w:eastAsia="宋体" w:cs="Times New Roman"/>
      <w:sz w:val="23"/>
      <w:szCs w:val="23"/>
    </w:rPr>
  </w:style>
  <w:style w:type="paragraph" w:customStyle="1" w:styleId="409">
    <w:name w:val="Char Char1 Char Char Char Char Char Char"/>
    <w:basedOn w:val="1"/>
    <w:qFormat/>
    <w:uiPriority w:val="0"/>
    <w:pPr>
      <w:spacing w:line="360" w:lineRule="auto"/>
    </w:pPr>
    <w:rPr>
      <w:rFonts w:ascii="Tahoma" w:hAnsi="Tahoma" w:eastAsia="宋体" w:cs="Times New Roman"/>
      <w:sz w:val="24"/>
      <w:szCs w:val="20"/>
    </w:rPr>
  </w:style>
  <w:style w:type="paragraph" w:customStyle="1" w:styleId="410">
    <w:name w:val="纯文本11"/>
    <w:basedOn w:val="1"/>
    <w:next w:val="92"/>
    <w:qFormat/>
    <w:uiPriority w:val="0"/>
    <w:rPr>
      <w:rFonts w:ascii="宋体" w:hAnsi="宋体" w:eastAsia="宋体" w:cs="Times New Roman"/>
      <w:szCs w:val="20"/>
      <w:lang w:eastAsia="ar-SA"/>
    </w:rPr>
  </w:style>
  <w:style w:type="paragraph" w:customStyle="1" w:styleId="411">
    <w:name w:val="批注文字1"/>
    <w:basedOn w:val="1"/>
    <w:link w:val="815"/>
    <w:qFormat/>
    <w:uiPriority w:val="0"/>
    <w:pPr>
      <w:jc w:val="left"/>
    </w:pPr>
    <w:rPr>
      <w:rFonts w:ascii="Times New Roman" w:hAnsi="Times New Roman" w:eastAsia="宋体" w:cs="Times New Roman"/>
      <w:szCs w:val="24"/>
      <w:lang w:eastAsia="ar-SA"/>
    </w:rPr>
  </w:style>
  <w:style w:type="paragraph" w:customStyle="1" w:styleId="412">
    <w:name w:val="正文s"/>
    <w:basedOn w:val="1"/>
    <w:next w:val="1"/>
    <w:qFormat/>
    <w:uiPriority w:val="0"/>
    <w:pPr>
      <w:spacing w:after="50" w:line="400" w:lineRule="exact"/>
      <w:ind w:firstLine="200"/>
    </w:pPr>
    <w:rPr>
      <w:rFonts w:ascii="Times New Roman" w:hAnsi="Times New Roman" w:eastAsia="宋体" w:cs="Times New Roman"/>
      <w:sz w:val="24"/>
      <w:szCs w:val="24"/>
      <w:lang w:eastAsia="ar-SA"/>
    </w:rPr>
  </w:style>
  <w:style w:type="paragraph" w:customStyle="1" w:styleId="413">
    <w:name w:val="Bullet List"/>
    <w:basedOn w:val="1"/>
    <w:qFormat/>
    <w:uiPriority w:val="0"/>
    <w:pPr>
      <w:widowControl/>
      <w:tabs>
        <w:tab w:val="left" w:pos="820"/>
      </w:tabs>
      <w:spacing w:before="120"/>
      <w:ind w:left="820" w:hanging="420"/>
    </w:pPr>
    <w:rPr>
      <w:rFonts w:ascii="Courier New" w:hAnsi="Courier New" w:eastAsia="宋体" w:cs="Times New Roman"/>
      <w:sz w:val="20"/>
      <w:szCs w:val="20"/>
    </w:rPr>
  </w:style>
  <w:style w:type="paragraph" w:customStyle="1" w:styleId="414">
    <w:name w:val="表格正文"/>
    <w:basedOn w:val="1"/>
    <w:qFormat/>
    <w:uiPriority w:val="0"/>
    <w:pPr>
      <w:spacing w:line="300" w:lineRule="auto"/>
    </w:pPr>
    <w:rPr>
      <w:rFonts w:ascii="Times New Roman" w:hAnsi="Times New Roman" w:eastAsia="宋体" w:cs="Times New Roman"/>
      <w:szCs w:val="24"/>
    </w:rPr>
  </w:style>
  <w:style w:type="paragraph" w:customStyle="1" w:styleId="415">
    <w:name w:val="Alt+X_首行空2"/>
    <w:basedOn w:val="1"/>
    <w:qFormat/>
    <w:uiPriority w:val="0"/>
    <w:pPr>
      <w:spacing w:line="360" w:lineRule="auto"/>
      <w:ind w:firstLine="480"/>
    </w:pPr>
    <w:rPr>
      <w:rFonts w:ascii="Times New Roman" w:hAnsi="Times New Roman" w:eastAsia="宋体" w:cs="宋体"/>
      <w:sz w:val="24"/>
      <w:szCs w:val="24"/>
    </w:rPr>
  </w:style>
  <w:style w:type="paragraph" w:customStyle="1" w:styleId="416">
    <w:name w:val="缺省文本"/>
    <w:basedOn w:val="1"/>
    <w:qFormat/>
    <w:uiPriority w:val="0"/>
    <w:pPr>
      <w:jc w:val="left"/>
    </w:pPr>
    <w:rPr>
      <w:rFonts w:ascii="Times New Roman" w:hAnsi="Times New Roman" w:eastAsia="宋体" w:cs="Times New Roman"/>
      <w:sz w:val="24"/>
      <w:szCs w:val="24"/>
    </w:rPr>
  </w:style>
  <w:style w:type="paragraph" w:customStyle="1" w:styleId="417">
    <w:name w:val="Char Char Char Char Char Char Char Char Char Char Char Char Char Char Char Char Char Char Char Char Char Char"/>
    <w:basedOn w:val="1"/>
    <w:qFormat/>
    <w:uiPriority w:val="0"/>
    <w:rPr>
      <w:rFonts w:ascii="Tahoma" w:hAnsi="Tahoma" w:eastAsia="宋体" w:cs="Times New Roman"/>
      <w:sz w:val="24"/>
      <w:szCs w:val="24"/>
    </w:rPr>
  </w:style>
  <w:style w:type="paragraph" w:customStyle="1" w:styleId="418">
    <w:name w:val="表格首行"/>
    <w:basedOn w:val="1"/>
    <w:qFormat/>
    <w:uiPriority w:val="0"/>
    <w:pPr>
      <w:jc w:val="center"/>
    </w:pPr>
    <w:rPr>
      <w:rFonts w:ascii="宋体" w:hAnsi="宋体" w:eastAsia="宋体" w:cs="Times New Roman"/>
      <w:szCs w:val="24"/>
    </w:rPr>
  </w:style>
  <w:style w:type="paragraph" w:customStyle="1" w:styleId="419">
    <w:name w:val="样式8"/>
    <w:basedOn w:val="106"/>
    <w:next w:val="106"/>
    <w:qFormat/>
    <w:uiPriority w:val="0"/>
    <w:pPr>
      <w:tabs>
        <w:tab w:val="left" w:pos="864"/>
      </w:tabs>
      <w:spacing w:before="120" w:line="415" w:lineRule="auto"/>
      <w:ind w:hanging="144"/>
    </w:pPr>
    <w:rPr>
      <w:rFonts w:ascii="Arial" w:hAnsi="Arial" w:eastAsia="黑体"/>
    </w:rPr>
  </w:style>
  <w:style w:type="paragraph" w:customStyle="1" w:styleId="420">
    <w:name w:val="样式 标题 3level_3PIM 3H3Level 3 HeadHeading 3 - oldsl3Headin..."/>
    <w:basedOn w:val="105"/>
    <w:qFormat/>
    <w:uiPriority w:val="0"/>
    <w:pPr>
      <w:widowControl/>
      <w:tabs>
        <w:tab w:val="left" w:pos="709"/>
      </w:tabs>
      <w:spacing w:after="0" w:line="415" w:lineRule="auto"/>
      <w:ind w:left="709" w:hanging="709"/>
    </w:pPr>
    <w:rPr>
      <w:rFonts w:ascii="Times New Roman" w:hAnsi="Times New Roman"/>
      <w:b w:val="0"/>
      <w:sz w:val="28"/>
      <w:szCs w:val="20"/>
    </w:rPr>
  </w:style>
  <w:style w:type="paragraph" w:customStyle="1" w:styleId="421">
    <w:name w:val="样式 宋体 首行缩进:  2 字符 段前: 0.5 行"/>
    <w:basedOn w:val="1"/>
    <w:qFormat/>
    <w:uiPriority w:val="0"/>
    <w:pPr>
      <w:spacing w:line="300" w:lineRule="auto"/>
      <w:ind w:left="200" w:firstLine="200"/>
    </w:pPr>
    <w:rPr>
      <w:rFonts w:ascii="Times New Roman" w:hAnsi="Times New Roman" w:eastAsia="仿宋_GB2312" w:cs="宋体"/>
      <w:sz w:val="24"/>
      <w:szCs w:val="20"/>
    </w:rPr>
  </w:style>
  <w:style w:type="paragraph" w:customStyle="1" w:styleId="422">
    <w:name w:val="样式 首行缩进:  0.85 厘米"/>
    <w:basedOn w:val="1"/>
    <w:qFormat/>
    <w:uiPriority w:val="0"/>
    <w:pPr>
      <w:spacing w:line="360" w:lineRule="auto"/>
      <w:ind w:firstLine="480"/>
    </w:pPr>
    <w:rPr>
      <w:rFonts w:ascii="Tahoma" w:hAnsi="Tahoma" w:eastAsia="新宋体" w:cs="宋体"/>
      <w:sz w:val="24"/>
      <w:szCs w:val="20"/>
    </w:rPr>
  </w:style>
  <w:style w:type="paragraph" w:customStyle="1" w:styleId="423">
    <w:name w:val="font9"/>
    <w:basedOn w:val="1"/>
    <w:qFormat/>
    <w:uiPriority w:val="0"/>
    <w:pPr>
      <w:widowControl/>
      <w:spacing w:before="100" w:beforeAutospacing="1" w:after="100" w:afterAutospacing="1"/>
      <w:jc w:val="left"/>
    </w:pPr>
    <w:rPr>
      <w:rFonts w:ascii="Times New Roman" w:hAnsi="Times New Roman" w:eastAsia="宋体" w:cs="Times New Roman"/>
      <w:b/>
      <w:bCs/>
      <w:sz w:val="24"/>
      <w:szCs w:val="24"/>
      <w:u w:val="single"/>
    </w:rPr>
  </w:style>
  <w:style w:type="paragraph" w:customStyle="1" w:styleId="424">
    <w:name w:val="TABLE"/>
    <w:basedOn w:val="1"/>
    <w:qFormat/>
    <w:uiPriority w:val="0"/>
    <w:pPr>
      <w:jc w:val="left"/>
    </w:pPr>
    <w:rPr>
      <w:rFonts w:ascii="Microsoft Sans Serif" w:hAnsi="Microsoft Sans Serif" w:eastAsia="宋体" w:cs="Microsoft Sans Serif"/>
      <w:b/>
      <w:szCs w:val="21"/>
    </w:rPr>
  </w:style>
  <w:style w:type="paragraph" w:customStyle="1" w:styleId="425">
    <w:name w:val="默认段落字体 Para Char Char Char Char"/>
    <w:basedOn w:val="1"/>
    <w:qFormat/>
    <w:uiPriority w:val="0"/>
    <w:pPr>
      <w:spacing w:line="240" w:lineRule="atLeast"/>
      <w:ind w:left="420" w:firstLine="420"/>
    </w:pPr>
    <w:rPr>
      <w:rFonts w:ascii="Times New Roman" w:hAnsi="Times New Roman" w:eastAsia="宋体" w:cs="Times New Roman"/>
      <w:szCs w:val="21"/>
    </w:rPr>
  </w:style>
  <w:style w:type="paragraph" w:customStyle="1" w:styleId="426">
    <w:name w:val="正文2"/>
    <w:link w:val="654"/>
    <w:qFormat/>
    <w:uiPriority w:val="0"/>
    <w:pPr>
      <w:widowControl w:val="0"/>
      <w:spacing w:line="312" w:lineRule="atLeast"/>
      <w:jc w:val="both"/>
    </w:pPr>
    <w:rPr>
      <w:rFonts w:ascii="宋体" w:hAnsi="Times New Roman" w:eastAsia="宋体" w:cs="Calibri"/>
      <w:sz w:val="34"/>
      <w:lang w:val="en-US" w:eastAsia="zh-CN" w:bidi="ar-SA"/>
    </w:rPr>
  </w:style>
  <w:style w:type="paragraph" w:customStyle="1" w:styleId="427">
    <w:name w:val="标题 4 + 两端对齐 段后: 0 磅 行距: 单倍行距1"/>
    <w:basedOn w:val="106"/>
    <w:link w:val="428"/>
    <w:qFormat/>
    <w:uiPriority w:val="0"/>
    <w:pPr>
      <w:tabs>
        <w:tab w:val="left" w:pos="864"/>
        <w:tab w:val="left" w:pos="1560"/>
      </w:tabs>
      <w:spacing w:before="60" w:after="0" w:line="240" w:lineRule="auto"/>
    </w:pPr>
    <w:rPr>
      <w:rFonts w:ascii="Times New Roman" w:hAnsi="Times New Roman" w:cs="宋体"/>
      <w:spacing w:val="5"/>
    </w:rPr>
  </w:style>
  <w:style w:type="character" w:customStyle="1" w:styleId="428">
    <w:name w:val="标题 4 + 两端对齐 段后: 0 磅 行距: 单倍行距1 Char Char"/>
    <w:link w:val="427"/>
    <w:qFormat/>
    <w:uiPriority w:val="0"/>
    <w:rPr>
      <w:rFonts w:ascii="Times New Roman" w:hAnsi="Times New Roman" w:eastAsia="宋体" w:cs="宋体"/>
      <w:b/>
      <w:bCs/>
      <w:spacing w:val="5"/>
      <w:sz w:val="28"/>
      <w:szCs w:val="28"/>
    </w:rPr>
  </w:style>
  <w:style w:type="paragraph" w:customStyle="1" w:styleId="429">
    <w:name w:val="Char Char Char Char1"/>
    <w:basedOn w:val="218"/>
    <w:qFormat/>
    <w:uiPriority w:val="0"/>
    <w:pPr>
      <w:shd w:val="clear" w:color="auto" w:fill="000080"/>
      <w:spacing w:line="360" w:lineRule="auto"/>
    </w:pPr>
    <w:rPr>
      <w:rFonts w:ascii="Tahoma" w:hAnsi="Tahoma"/>
      <w:sz w:val="24"/>
      <w:szCs w:val="24"/>
    </w:rPr>
  </w:style>
  <w:style w:type="paragraph" w:customStyle="1" w:styleId="430">
    <w:name w:val="缩紧正文 Char Char Char"/>
    <w:basedOn w:val="1"/>
    <w:link w:val="431"/>
    <w:qFormat/>
    <w:uiPriority w:val="0"/>
    <w:pPr>
      <w:widowControl/>
      <w:spacing w:before="120" w:after="120" w:line="400" w:lineRule="exact"/>
      <w:ind w:firstLine="480"/>
      <w:jc w:val="left"/>
    </w:pPr>
    <w:rPr>
      <w:rFonts w:ascii="宋体" w:hAnsi="宋体" w:eastAsia="宋体" w:cs="宋体"/>
      <w:sz w:val="24"/>
      <w:szCs w:val="24"/>
    </w:rPr>
  </w:style>
  <w:style w:type="character" w:customStyle="1" w:styleId="431">
    <w:name w:val="缩紧正文 Char Char Char Char Char"/>
    <w:link w:val="430"/>
    <w:qFormat/>
    <w:uiPriority w:val="0"/>
    <w:rPr>
      <w:rFonts w:ascii="宋体" w:hAnsi="宋体" w:eastAsia="宋体" w:cs="宋体"/>
      <w:sz w:val="24"/>
      <w:szCs w:val="24"/>
    </w:rPr>
  </w:style>
  <w:style w:type="paragraph" w:customStyle="1" w:styleId="432">
    <w:name w:val="样式 首行缩进:  0.74 厘米 行距: 1.5 倍行距"/>
    <w:basedOn w:val="1"/>
    <w:qFormat/>
    <w:uiPriority w:val="0"/>
    <w:pPr>
      <w:spacing w:line="360" w:lineRule="auto"/>
      <w:ind w:firstLine="420"/>
    </w:pPr>
    <w:rPr>
      <w:rFonts w:ascii="Times New Roman" w:hAnsi="Times New Roman" w:eastAsia="宋体" w:cs="宋体"/>
      <w:sz w:val="24"/>
      <w:szCs w:val="20"/>
    </w:rPr>
  </w:style>
  <w:style w:type="paragraph" w:customStyle="1" w:styleId="433">
    <w:name w:val="正文（首行缩进）"/>
    <w:basedOn w:val="1"/>
    <w:qFormat/>
    <w:uiPriority w:val="0"/>
    <w:pPr>
      <w:spacing w:line="360" w:lineRule="auto"/>
      <w:ind w:firstLine="200"/>
    </w:pPr>
    <w:rPr>
      <w:rFonts w:ascii="Times New Roman" w:hAnsi="Times New Roman" w:eastAsia="宋体" w:cs="Times New Roman"/>
      <w:sz w:val="24"/>
      <w:szCs w:val="24"/>
    </w:rPr>
  </w:style>
  <w:style w:type="paragraph" w:customStyle="1" w:styleId="434">
    <w:name w:val="列表 31"/>
    <w:basedOn w:val="1"/>
    <w:qFormat/>
    <w:uiPriority w:val="0"/>
    <w:pPr>
      <w:ind w:left="100" w:hanging="200"/>
      <w:contextualSpacing/>
    </w:pPr>
    <w:rPr>
      <w:rFonts w:ascii="Times New Roman" w:hAnsi="Times New Roman" w:eastAsia="宋体" w:cs="Times New Roman"/>
      <w:szCs w:val="24"/>
    </w:rPr>
  </w:style>
  <w:style w:type="paragraph" w:customStyle="1" w:styleId="435">
    <w:name w:val="table"/>
    <w:basedOn w:val="1"/>
    <w:qFormat/>
    <w:uiPriority w:val="0"/>
    <w:pPr>
      <w:widowControl/>
      <w:spacing w:after="144"/>
      <w:jc w:val="left"/>
    </w:pPr>
    <w:rPr>
      <w:rFonts w:ascii="Verdana" w:hAnsi="Verdana" w:eastAsia="Arial Unicode MS" w:cs="Arial Unicode MS"/>
      <w:color w:val="000000"/>
      <w:sz w:val="20"/>
      <w:szCs w:val="20"/>
      <w:lang w:eastAsia="en-US"/>
    </w:rPr>
  </w:style>
  <w:style w:type="paragraph" w:customStyle="1" w:styleId="436">
    <w:name w:val="Style Verdana Before:  0.76 cm"/>
    <w:basedOn w:val="1"/>
    <w:qFormat/>
    <w:uiPriority w:val="0"/>
    <w:pPr>
      <w:widowControl/>
      <w:spacing w:before="240" w:line="300" w:lineRule="auto"/>
      <w:ind w:left="2280" w:firstLine="480"/>
      <w:jc w:val="left"/>
    </w:pPr>
    <w:rPr>
      <w:rFonts w:ascii="Verdana" w:hAnsi="Verdana" w:eastAsia="宋体" w:cs="Times New Roman"/>
      <w:sz w:val="24"/>
      <w:szCs w:val="20"/>
    </w:rPr>
  </w:style>
  <w:style w:type="paragraph" w:customStyle="1" w:styleId="437">
    <w:name w:val="Style Verdana Centered"/>
    <w:basedOn w:val="1"/>
    <w:qFormat/>
    <w:uiPriority w:val="0"/>
    <w:pPr>
      <w:widowControl/>
      <w:spacing w:before="240" w:line="300" w:lineRule="auto"/>
      <w:ind w:left="2268"/>
      <w:jc w:val="center"/>
    </w:pPr>
    <w:rPr>
      <w:rFonts w:ascii="Verdana" w:hAnsi="Verdana" w:eastAsia="宋体" w:cs="Times New Roman"/>
      <w:sz w:val="24"/>
      <w:szCs w:val="20"/>
    </w:rPr>
  </w:style>
  <w:style w:type="paragraph" w:customStyle="1" w:styleId="438">
    <w:name w:val="样式 样式 样式 左侧:  2 字符 首行缩进:  2 字符 段前: 0.5 行2 + 左侧:  2 字符 + 首行缩进:  2...1"/>
    <w:basedOn w:val="1"/>
    <w:qFormat/>
    <w:uiPriority w:val="0"/>
    <w:pPr>
      <w:spacing w:line="300" w:lineRule="auto"/>
      <w:ind w:firstLine="480"/>
    </w:pPr>
    <w:rPr>
      <w:rFonts w:ascii="Times New Roman" w:hAnsi="Times New Roman" w:eastAsia="宋体" w:cs="宋体"/>
      <w:sz w:val="24"/>
      <w:szCs w:val="20"/>
    </w:rPr>
  </w:style>
  <w:style w:type="paragraph" w:customStyle="1" w:styleId="439">
    <w:name w:val="Char1"/>
    <w:basedOn w:val="1"/>
    <w:qFormat/>
    <w:uiPriority w:val="0"/>
    <w:pPr>
      <w:tabs>
        <w:tab w:val="left" w:pos="840"/>
      </w:tabs>
      <w:ind w:left="840" w:hanging="420"/>
    </w:pPr>
    <w:rPr>
      <w:rFonts w:ascii="Times New Roman" w:hAnsi="Times New Roman" w:eastAsia="宋体" w:cs="Times New Roman"/>
      <w:sz w:val="24"/>
      <w:szCs w:val="24"/>
    </w:rPr>
  </w:style>
  <w:style w:type="paragraph" w:customStyle="1" w:styleId="44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eastAsia="Arial Unicode MS" w:cs="Times New Roman"/>
      <w:sz w:val="22"/>
    </w:rPr>
  </w:style>
  <w:style w:type="paragraph" w:customStyle="1" w:styleId="441">
    <w:name w:val="Char Char2"/>
    <w:basedOn w:val="1"/>
    <w:qFormat/>
    <w:uiPriority w:val="0"/>
    <w:pPr>
      <w:widowControl/>
      <w:spacing w:after="160" w:line="240" w:lineRule="exact"/>
      <w:jc w:val="left"/>
    </w:pPr>
    <w:rPr>
      <w:rFonts w:ascii="Verdana" w:hAnsi="Verdana" w:eastAsia="宋体" w:cs="Times New Roman"/>
      <w:szCs w:val="20"/>
      <w:lang w:eastAsia="en-US"/>
    </w:rPr>
  </w:style>
  <w:style w:type="paragraph" w:customStyle="1" w:styleId="442">
    <w:name w:val="样式 样式 左 首行缩进:2 字符 + 首行缩进:  2 字符 + 首行缩进:  2 字符"/>
    <w:basedOn w:val="1"/>
    <w:qFormat/>
    <w:uiPriority w:val="0"/>
    <w:pPr>
      <w:spacing w:line="360" w:lineRule="auto"/>
      <w:ind w:firstLine="480"/>
    </w:pPr>
    <w:rPr>
      <w:rFonts w:ascii="宋体" w:hAnsi="宋体" w:eastAsia="宋体" w:cs="宋体"/>
      <w:sz w:val="24"/>
      <w:szCs w:val="24"/>
    </w:rPr>
  </w:style>
  <w:style w:type="paragraph" w:customStyle="1" w:styleId="443">
    <w:name w:val="正文 + 小四"/>
    <w:basedOn w:val="1"/>
    <w:qFormat/>
    <w:uiPriority w:val="0"/>
    <w:pPr>
      <w:spacing w:line="312" w:lineRule="auto"/>
      <w:ind w:firstLine="480"/>
    </w:pPr>
    <w:rPr>
      <w:rFonts w:ascii="宋体" w:hAnsi="宋体" w:eastAsia="宋体" w:cs="Times New Roman"/>
      <w:sz w:val="24"/>
      <w:szCs w:val="24"/>
    </w:rPr>
  </w:style>
  <w:style w:type="paragraph" w:customStyle="1" w:styleId="444">
    <w:name w:val="题注 + 居中"/>
    <w:basedOn w:val="1"/>
    <w:qFormat/>
    <w:uiPriority w:val="0"/>
    <w:rPr>
      <w:rFonts w:ascii="Times New Roman" w:hAnsi="Times New Roman" w:eastAsia="宋体" w:cs="Times New Roman"/>
      <w:szCs w:val="24"/>
    </w:rPr>
  </w:style>
  <w:style w:type="paragraph" w:customStyle="1" w:styleId="445">
    <w:name w:val="样式 正文缩进 + 小四 首行缩进:  2 字符"/>
    <w:basedOn w:val="92"/>
    <w:qFormat/>
    <w:uiPriority w:val="0"/>
    <w:pPr>
      <w:spacing w:line="360" w:lineRule="auto"/>
      <w:ind w:firstLine="200"/>
    </w:pPr>
    <w:rPr>
      <w:rFonts w:cs="宋体"/>
      <w:sz w:val="24"/>
      <w:szCs w:val="22"/>
    </w:rPr>
  </w:style>
  <w:style w:type="paragraph" w:customStyle="1" w:styleId="446">
    <w:name w:val="pic-info"/>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47">
    <w:name w:val="Char Char Char Char Char Char"/>
    <w:basedOn w:val="1"/>
    <w:qFormat/>
    <w:uiPriority w:val="0"/>
    <w:pPr>
      <w:widowControl/>
      <w:spacing w:after="160" w:line="240" w:lineRule="exact"/>
      <w:jc w:val="left"/>
    </w:pPr>
    <w:rPr>
      <w:rFonts w:ascii="宋体" w:hAnsi="宋体" w:eastAsia="宋体" w:cs="Times New Roman"/>
      <w:b/>
      <w:sz w:val="24"/>
      <w:szCs w:val="20"/>
      <w:lang w:eastAsia="en-US"/>
    </w:rPr>
  </w:style>
  <w:style w:type="paragraph" w:customStyle="1" w:styleId="448">
    <w:name w:val="样式 小四 行距: 1.5 倍行距"/>
    <w:basedOn w:val="1"/>
    <w:qFormat/>
    <w:uiPriority w:val="0"/>
    <w:pPr>
      <w:spacing w:line="360" w:lineRule="auto"/>
      <w:ind w:firstLine="200"/>
    </w:pPr>
    <w:rPr>
      <w:rFonts w:ascii="Times New Roman" w:hAnsi="Times New Roman" w:eastAsia="宋体" w:cs="宋体"/>
      <w:sz w:val="24"/>
      <w:szCs w:val="20"/>
    </w:rPr>
  </w:style>
  <w:style w:type="paragraph" w:customStyle="1" w:styleId="449">
    <w:name w:val="CSS1级正文 Char Char"/>
    <w:basedOn w:val="69"/>
    <w:link w:val="450"/>
    <w:qFormat/>
    <w:uiPriority w:val="0"/>
    <w:pPr>
      <w:spacing w:after="0" w:line="360" w:lineRule="auto"/>
      <w:ind w:firstLine="480"/>
    </w:pPr>
    <w:rPr>
      <w:rFonts w:cs="宋体"/>
      <w:sz w:val="24"/>
    </w:rPr>
  </w:style>
  <w:style w:type="character" w:customStyle="1" w:styleId="450">
    <w:name w:val="CSS1级正文 Char Char Char Char"/>
    <w:link w:val="449"/>
    <w:qFormat/>
    <w:uiPriority w:val="0"/>
    <w:rPr>
      <w:rFonts w:ascii="Times New Roman" w:hAnsi="Times New Roman" w:eastAsia="仿宋" w:cs="宋体"/>
      <w:sz w:val="24"/>
      <w:szCs w:val="24"/>
    </w:rPr>
  </w:style>
  <w:style w:type="paragraph" w:customStyle="1" w:styleId="451">
    <w:name w:val="CSS1级编号 Char"/>
    <w:basedOn w:val="452"/>
    <w:next w:val="452"/>
    <w:link w:val="454"/>
    <w:qFormat/>
    <w:uiPriority w:val="0"/>
  </w:style>
  <w:style w:type="paragraph" w:customStyle="1" w:styleId="452">
    <w:name w:val="CSS1级编号 Char1"/>
    <w:basedOn w:val="453"/>
    <w:next w:val="453"/>
    <w:link w:val="455"/>
    <w:qFormat/>
    <w:uiPriority w:val="0"/>
  </w:style>
  <w:style w:type="paragraph" w:customStyle="1" w:styleId="453">
    <w:name w:val="CSS1级编号"/>
    <w:basedOn w:val="1"/>
    <w:qFormat/>
    <w:uiPriority w:val="0"/>
    <w:pPr>
      <w:spacing w:line="360" w:lineRule="auto"/>
    </w:pPr>
    <w:rPr>
      <w:rFonts w:ascii="Times New Roman" w:hAnsi="Times New Roman" w:eastAsia="宋体" w:cs="Times New Roman"/>
      <w:sz w:val="24"/>
      <w:szCs w:val="24"/>
    </w:rPr>
  </w:style>
  <w:style w:type="character" w:customStyle="1" w:styleId="454">
    <w:name w:val="CSS1级编号 Char Char1"/>
    <w:link w:val="451"/>
    <w:qFormat/>
    <w:uiPriority w:val="0"/>
    <w:rPr>
      <w:rFonts w:ascii="Times New Roman" w:hAnsi="Times New Roman" w:eastAsia="宋体" w:cs="Times New Roman"/>
      <w:sz w:val="24"/>
      <w:szCs w:val="24"/>
    </w:rPr>
  </w:style>
  <w:style w:type="character" w:customStyle="1" w:styleId="455">
    <w:name w:val="CSS1级编号 Char1 Char Char"/>
    <w:link w:val="452"/>
    <w:qFormat/>
    <w:uiPriority w:val="0"/>
    <w:rPr>
      <w:rFonts w:ascii="Times New Roman" w:hAnsi="Times New Roman" w:eastAsia="宋体" w:cs="Times New Roman"/>
      <w:sz w:val="24"/>
      <w:szCs w:val="24"/>
    </w:rPr>
  </w:style>
  <w:style w:type="paragraph" w:customStyle="1" w:styleId="456">
    <w:name w:val="CSS2级正文"/>
    <w:basedOn w:val="225"/>
    <w:link w:val="457"/>
    <w:qFormat/>
    <w:uiPriority w:val="0"/>
    <w:pPr>
      <w:spacing w:after="0" w:line="360" w:lineRule="auto"/>
      <w:ind w:left="480" w:firstLine="480"/>
    </w:pPr>
    <w:rPr>
      <w:rFonts w:cs="宋体"/>
      <w:sz w:val="24"/>
    </w:rPr>
  </w:style>
  <w:style w:type="character" w:customStyle="1" w:styleId="457">
    <w:name w:val="CSS2级正文 Char Char"/>
    <w:link w:val="456"/>
    <w:qFormat/>
    <w:uiPriority w:val="0"/>
    <w:rPr>
      <w:rFonts w:ascii="Times New Roman" w:hAnsi="Times New Roman" w:cs="宋体"/>
      <w:sz w:val="24"/>
      <w:szCs w:val="24"/>
    </w:rPr>
  </w:style>
  <w:style w:type="paragraph" w:customStyle="1" w:styleId="458">
    <w:name w:val="CSS3级正文"/>
    <w:basedOn w:val="219"/>
    <w:link w:val="459"/>
    <w:qFormat/>
    <w:uiPriority w:val="0"/>
    <w:pPr>
      <w:spacing w:after="0" w:line="360" w:lineRule="auto"/>
      <w:ind w:left="960" w:firstLine="480"/>
    </w:pPr>
    <w:rPr>
      <w:rFonts w:cs="宋体"/>
      <w:sz w:val="24"/>
    </w:rPr>
  </w:style>
  <w:style w:type="character" w:customStyle="1" w:styleId="459">
    <w:name w:val="CSS3级正文 Char Char"/>
    <w:link w:val="458"/>
    <w:qFormat/>
    <w:uiPriority w:val="0"/>
    <w:rPr>
      <w:rFonts w:ascii="Times New Roman" w:hAnsi="Times New Roman" w:cs="宋体"/>
      <w:sz w:val="24"/>
      <w:szCs w:val="16"/>
    </w:rPr>
  </w:style>
  <w:style w:type="paragraph" w:customStyle="1" w:styleId="460">
    <w:name w:val="正文文本4"/>
    <w:basedOn w:val="219"/>
    <w:qFormat/>
    <w:uiPriority w:val="0"/>
    <w:pPr>
      <w:spacing w:after="0" w:line="360" w:lineRule="auto"/>
      <w:ind w:left="600" w:firstLine="200"/>
    </w:pPr>
    <w:rPr>
      <w:sz w:val="24"/>
    </w:rPr>
  </w:style>
  <w:style w:type="paragraph" w:customStyle="1" w:styleId="461">
    <w:name w:val="CSS4级正文"/>
    <w:basedOn w:val="1"/>
    <w:qFormat/>
    <w:uiPriority w:val="0"/>
    <w:pPr>
      <w:spacing w:line="360" w:lineRule="auto"/>
    </w:pPr>
    <w:rPr>
      <w:rFonts w:ascii="Times New Roman" w:hAnsi="Times New Roman" w:eastAsia="宋体" w:cs="宋体"/>
      <w:sz w:val="24"/>
      <w:szCs w:val="20"/>
    </w:rPr>
  </w:style>
  <w:style w:type="paragraph" w:customStyle="1" w:styleId="462">
    <w:name w:val="列表 21"/>
    <w:basedOn w:val="1"/>
    <w:qFormat/>
    <w:uiPriority w:val="0"/>
    <w:pPr>
      <w:spacing w:line="360" w:lineRule="auto"/>
    </w:pPr>
    <w:rPr>
      <w:rFonts w:ascii="Times New Roman" w:hAnsi="Times New Roman" w:eastAsia="宋体" w:cs="Times New Roman"/>
      <w:sz w:val="24"/>
      <w:szCs w:val="24"/>
    </w:rPr>
  </w:style>
  <w:style w:type="paragraph" w:customStyle="1" w:styleId="463">
    <w:name w:val="列表 41"/>
    <w:basedOn w:val="1"/>
    <w:qFormat/>
    <w:uiPriority w:val="0"/>
    <w:pPr>
      <w:spacing w:line="360" w:lineRule="auto"/>
      <w:ind w:left="1361" w:hanging="864"/>
    </w:pPr>
    <w:rPr>
      <w:rFonts w:ascii="Times New Roman" w:hAnsi="Times New Roman" w:eastAsia="宋体" w:cs="Times New Roman"/>
      <w:sz w:val="24"/>
      <w:szCs w:val="24"/>
    </w:rPr>
  </w:style>
  <w:style w:type="paragraph" w:customStyle="1" w:styleId="464">
    <w:name w:val="样式 CSS1级编号 Char + 宋体 黑色 Char"/>
    <w:basedOn w:val="452"/>
    <w:link w:val="465"/>
    <w:qFormat/>
    <w:uiPriority w:val="0"/>
    <w:rPr>
      <w:rFonts w:ascii="宋体" w:hAnsi="宋体"/>
      <w:color w:val="000000"/>
    </w:rPr>
  </w:style>
  <w:style w:type="character" w:customStyle="1" w:styleId="465">
    <w:name w:val="样式 CSS1级编号 Char + 宋体 黑色 Char Char Char"/>
    <w:link w:val="464"/>
    <w:qFormat/>
    <w:uiPriority w:val="0"/>
    <w:rPr>
      <w:rFonts w:ascii="宋体" w:hAnsi="宋体" w:eastAsia="宋体" w:cs="Times New Roman"/>
      <w:color w:val="000000"/>
      <w:sz w:val="24"/>
      <w:szCs w:val="24"/>
    </w:rPr>
  </w:style>
  <w:style w:type="paragraph" w:customStyle="1" w:styleId="466">
    <w:name w:val="CSS1级正文"/>
    <w:basedOn w:val="69"/>
    <w:qFormat/>
    <w:uiPriority w:val="0"/>
    <w:pPr>
      <w:spacing w:after="0" w:line="360" w:lineRule="auto"/>
      <w:ind w:firstLine="480"/>
    </w:pPr>
    <w:rPr>
      <w:rFonts w:cs="宋体"/>
      <w:sz w:val="24"/>
      <w:szCs w:val="20"/>
    </w:rPr>
  </w:style>
  <w:style w:type="paragraph" w:customStyle="1" w:styleId="467">
    <w:name w:val="CSS1级正文 Char Char Char Char Char Char Char Char Char Char Char Char Char Char Char Char"/>
    <w:basedOn w:val="69"/>
    <w:link w:val="468"/>
    <w:qFormat/>
    <w:uiPriority w:val="0"/>
    <w:pPr>
      <w:spacing w:after="0" w:line="360" w:lineRule="auto"/>
      <w:ind w:firstLine="480"/>
    </w:pPr>
    <w:rPr>
      <w:rFonts w:cs="宋体"/>
      <w:sz w:val="24"/>
    </w:rPr>
  </w:style>
  <w:style w:type="character" w:customStyle="1" w:styleId="468">
    <w:name w:val="CSS1级正文 Char Char Char Char Char Char Char Char Char Char Char Char Char Char Char Char Char Char"/>
    <w:link w:val="467"/>
    <w:qFormat/>
    <w:uiPriority w:val="0"/>
    <w:rPr>
      <w:rFonts w:ascii="Times New Roman" w:hAnsi="Times New Roman" w:eastAsia="仿宋" w:cs="宋体"/>
      <w:sz w:val="24"/>
      <w:szCs w:val="24"/>
    </w:rPr>
  </w:style>
  <w:style w:type="paragraph" w:customStyle="1" w:styleId="469">
    <w:name w:val="表格文字"/>
    <w:basedOn w:val="1"/>
    <w:link w:val="664"/>
    <w:qFormat/>
    <w:uiPriority w:val="0"/>
    <w:rPr>
      <w:rFonts w:ascii="Times New Roman" w:hAnsi="Times New Roman" w:eastAsia="宋体" w:cs="Times New Roman"/>
      <w:spacing w:val="10"/>
      <w:sz w:val="24"/>
      <w:szCs w:val="24"/>
    </w:rPr>
  </w:style>
  <w:style w:type="paragraph" w:customStyle="1" w:styleId="470">
    <w:name w:val="CSS一级中文编号"/>
    <w:basedOn w:val="1"/>
    <w:next w:val="466"/>
    <w:qFormat/>
    <w:uiPriority w:val="0"/>
    <w:pPr>
      <w:tabs>
        <w:tab w:val="left" w:pos="360"/>
      </w:tabs>
      <w:spacing w:line="360" w:lineRule="auto"/>
      <w:ind w:left="360" w:hanging="360"/>
    </w:pPr>
    <w:rPr>
      <w:rFonts w:ascii="Times New Roman" w:hAnsi="Times New Roman" w:eastAsia="宋体" w:cs="Times New Roman"/>
      <w:b/>
      <w:sz w:val="28"/>
      <w:szCs w:val="24"/>
    </w:rPr>
  </w:style>
  <w:style w:type="paragraph" w:customStyle="1" w:styleId="471">
    <w:name w:val="CSS二级中文编号"/>
    <w:basedOn w:val="1"/>
    <w:next w:val="456"/>
    <w:qFormat/>
    <w:uiPriority w:val="0"/>
    <w:pPr>
      <w:tabs>
        <w:tab w:val="left" w:pos="360"/>
      </w:tabs>
      <w:spacing w:line="360" w:lineRule="auto"/>
      <w:ind w:left="360" w:hanging="360"/>
    </w:pPr>
    <w:rPr>
      <w:rFonts w:ascii="Times New Roman" w:hAnsi="Times New Roman" w:eastAsia="宋体" w:cs="Times New Roman"/>
      <w:sz w:val="24"/>
      <w:szCs w:val="24"/>
    </w:rPr>
  </w:style>
  <w:style w:type="paragraph" w:customStyle="1" w:styleId="472">
    <w:name w:val="ICSS标书首行缩进正文"/>
    <w:basedOn w:val="1"/>
    <w:qFormat/>
    <w:uiPriority w:val="0"/>
    <w:pPr>
      <w:spacing w:line="360" w:lineRule="auto"/>
      <w:ind w:firstLine="200"/>
    </w:pPr>
    <w:rPr>
      <w:rFonts w:ascii="Times New Roman" w:hAnsi="Times New Roman" w:eastAsia="宋体" w:cs="Times New Roman"/>
      <w:sz w:val="24"/>
      <w:szCs w:val="24"/>
    </w:rPr>
  </w:style>
  <w:style w:type="paragraph" w:customStyle="1" w:styleId="473">
    <w:name w:val="AC-Table-表格标题行"/>
    <w:qFormat/>
    <w:uiPriority w:val="0"/>
    <w:pPr>
      <w:spacing w:line="320" w:lineRule="exact"/>
      <w:jc w:val="center"/>
    </w:pPr>
    <w:rPr>
      <w:rFonts w:ascii="Times New Roman" w:hAnsi="Times New Roman" w:eastAsia="黑体" w:cs="Calibri"/>
      <w:sz w:val="21"/>
      <w:szCs w:val="21"/>
      <w:lang w:val="en-US" w:eastAsia="zh-CN" w:bidi="ar-SA"/>
    </w:rPr>
  </w:style>
  <w:style w:type="paragraph" w:customStyle="1" w:styleId="474">
    <w:name w:val="AC-Table-表格正文行"/>
    <w:qFormat/>
    <w:uiPriority w:val="0"/>
    <w:pPr>
      <w:spacing w:line="320" w:lineRule="exact"/>
    </w:pPr>
    <w:rPr>
      <w:rFonts w:ascii="Times New Roman" w:hAnsi="Times New Roman" w:eastAsia="宋体" w:cs="Calibri"/>
      <w:sz w:val="21"/>
      <w:szCs w:val="21"/>
      <w:lang w:val="en-US" w:eastAsia="zh-CN" w:bidi="ar-SA"/>
    </w:rPr>
  </w:style>
  <w:style w:type="paragraph" w:customStyle="1" w:styleId="475">
    <w:name w:val="封面主标题"/>
    <w:next w:val="1"/>
    <w:qFormat/>
    <w:uiPriority w:val="0"/>
    <w:pPr>
      <w:spacing w:before="2400" w:after="400"/>
      <w:jc w:val="center"/>
    </w:pPr>
    <w:rPr>
      <w:rFonts w:ascii="Times New Roman" w:hAnsi="Times New Roman" w:eastAsia="黑体" w:cs="Calibri"/>
      <w:b/>
      <w:spacing w:val="20"/>
      <w:sz w:val="72"/>
      <w:szCs w:val="72"/>
      <w:lang w:val="en-US" w:eastAsia="zh-CN" w:bidi="ar-SA"/>
    </w:rPr>
  </w:style>
  <w:style w:type="paragraph" w:customStyle="1" w:styleId="476">
    <w:name w:val="招标单位"/>
    <w:basedOn w:val="1"/>
    <w:qFormat/>
    <w:uiPriority w:val="0"/>
    <w:pPr>
      <w:widowControl/>
      <w:spacing w:before="1800" w:after="360"/>
      <w:jc w:val="center"/>
    </w:pPr>
    <w:rPr>
      <w:rFonts w:ascii="Calibri" w:hAnsi="Calibri" w:eastAsia="黑体" w:cs="Times New Roman"/>
      <w:b/>
      <w:sz w:val="44"/>
      <w:szCs w:val="44"/>
      <w:lang w:eastAsia="en-US" w:bidi="en-US"/>
    </w:rPr>
  </w:style>
  <w:style w:type="paragraph" w:customStyle="1" w:styleId="477">
    <w:name w:val="样式 标题 4Heading 4 Charh4PIM 4H4 + 加宽量  1 磅"/>
    <w:basedOn w:val="106"/>
    <w:qFormat/>
    <w:uiPriority w:val="0"/>
    <w:pPr>
      <w:spacing w:line="360" w:lineRule="auto"/>
      <w:ind w:left="862" w:hanging="862"/>
    </w:pPr>
    <w:rPr>
      <w:rFonts w:ascii="Arial" w:hAnsi="Arial" w:eastAsia="黑体"/>
      <w:b w:val="0"/>
      <w:bCs w:val="0"/>
      <w:spacing w:val="20"/>
      <w:sz w:val="24"/>
      <w:szCs w:val="24"/>
    </w:rPr>
  </w:style>
  <w:style w:type="paragraph" w:customStyle="1" w:styleId="478">
    <w:name w:val="样式 标题 5 + 段前: 1 行 段后: 1 行"/>
    <w:basedOn w:val="108"/>
    <w:qFormat/>
    <w:uiPriority w:val="0"/>
    <w:pPr>
      <w:spacing w:line="360" w:lineRule="auto"/>
      <w:ind w:left="0" w:firstLine="0"/>
    </w:pPr>
    <w:rPr>
      <w:rFonts w:ascii="Arial" w:hAnsi="Arial" w:eastAsia="黑体" w:cs="宋体"/>
      <w:b w:val="0"/>
      <w:bCs w:val="0"/>
      <w:spacing w:val="10"/>
      <w:sz w:val="24"/>
      <w:szCs w:val="24"/>
    </w:rPr>
  </w:style>
  <w:style w:type="paragraph" w:customStyle="1" w:styleId="479">
    <w:name w:val="样式 首行缩进:  2 字符1"/>
    <w:basedOn w:val="1"/>
    <w:qFormat/>
    <w:uiPriority w:val="0"/>
    <w:pPr>
      <w:spacing w:line="360" w:lineRule="auto"/>
      <w:ind w:firstLine="480"/>
    </w:pPr>
    <w:rPr>
      <w:rFonts w:ascii="Times New Roman" w:hAnsi="Times New Roman" w:eastAsia="宋体" w:cs="宋体"/>
      <w:sz w:val="24"/>
      <w:szCs w:val="20"/>
    </w:rPr>
  </w:style>
  <w:style w:type="paragraph" w:customStyle="1" w:styleId="480">
    <w:name w:val="JHTitle1"/>
    <w:basedOn w:val="138"/>
    <w:qFormat/>
    <w:uiPriority w:val="0"/>
    <w:pPr>
      <w:tabs>
        <w:tab w:val="left" w:pos="1134"/>
      </w:tabs>
      <w:spacing w:line="360" w:lineRule="auto"/>
      <w:ind w:left="851" w:hanging="851"/>
      <w:jc w:val="left"/>
    </w:pPr>
    <w:rPr>
      <w:rFonts w:ascii="Times New Roman" w:hAnsi="Times New Roman"/>
      <w:szCs w:val="32"/>
    </w:rPr>
  </w:style>
  <w:style w:type="paragraph" w:customStyle="1" w:styleId="481">
    <w:name w:val="样式 标题 3H3h33rd level3Head 3section:3section:31section:32..."/>
    <w:basedOn w:val="105"/>
    <w:next w:val="479"/>
    <w:qFormat/>
    <w:uiPriority w:val="0"/>
    <w:pPr>
      <w:widowControl/>
      <w:spacing w:before="0" w:after="0" w:line="360" w:lineRule="auto"/>
      <w:ind w:left="0" w:firstLine="0"/>
      <w:contextualSpacing/>
      <w:jc w:val="left"/>
    </w:pPr>
    <w:rPr>
      <w:rFonts w:ascii="Times New Roman" w:hAnsi="Times New Roman" w:eastAsia="黑体" w:cs="宋体"/>
    </w:rPr>
  </w:style>
  <w:style w:type="paragraph" w:customStyle="1" w:styleId="482">
    <w:name w:val="样式 标题 2 + 宋体 小三 非倾斜 段后: 1 行"/>
    <w:basedOn w:val="104"/>
    <w:qFormat/>
    <w:uiPriority w:val="0"/>
    <w:pPr>
      <w:tabs>
        <w:tab w:val="left" w:pos="576"/>
        <w:tab w:val="left" w:pos="1440"/>
      </w:tabs>
      <w:spacing w:before="240" w:line="360" w:lineRule="auto"/>
      <w:ind w:left="1440" w:hanging="360"/>
    </w:pPr>
    <w:rPr>
      <w:rFonts w:ascii="Arial" w:hAnsi="Arial" w:cs="Arial"/>
      <w:szCs w:val="30"/>
    </w:rPr>
  </w:style>
  <w:style w:type="paragraph" w:customStyle="1" w:styleId="483">
    <w:name w:val="正文表格"/>
    <w:basedOn w:val="1"/>
    <w:qFormat/>
    <w:uiPriority w:val="0"/>
    <w:pPr>
      <w:spacing w:before="40" w:after="40"/>
    </w:pPr>
    <w:rPr>
      <w:rFonts w:ascii="Times New Roman" w:hAnsi="Times New Roman" w:eastAsia="宋体" w:cs="Times New Roman"/>
      <w:sz w:val="24"/>
      <w:szCs w:val="20"/>
    </w:rPr>
  </w:style>
  <w:style w:type="paragraph" w:customStyle="1" w:styleId="484">
    <w:name w:val="AC-目录标题"/>
    <w:qFormat/>
    <w:uiPriority w:val="0"/>
    <w:pPr>
      <w:jc w:val="center"/>
    </w:pPr>
    <w:rPr>
      <w:rFonts w:ascii="Times New Roman" w:hAnsi="Times New Roman" w:eastAsia="黑体" w:cs="Calibri"/>
      <w:b/>
      <w:sz w:val="36"/>
      <w:szCs w:val="21"/>
      <w:lang w:val="en-US" w:eastAsia="zh-CN" w:bidi="ar-SA"/>
    </w:rPr>
  </w:style>
  <w:style w:type="paragraph" w:customStyle="1" w:styleId="485">
    <w:name w:val="AC-文档标题"/>
    <w:qFormat/>
    <w:uiPriority w:val="0"/>
    <w:pPr>
      <w:jc w:val="center"/>
    </w:pPr>
    <w:rPr>
      <w:rFonts w:ascii="Times New Roman" w:hAnsi="Times New Roman" w:eastAsia="黑体" w:cs="Calibri"/>
      <w:b/>
      <w:sz w:val="44"/>
      <w:szCs w:val="21"/>
      <w:lang w:val="en-US" w:eastAsia="zh-CN" w:bidi="ar-SA"/>
    </w:rPr>
  </w:style>
  <w:style w:type="paragraph" w:customStyle="1" w:styleId="486">
    <w:name w:val="修订1"/>
    <w:qFormat/>
    <w:uiPriority w:val="99"/>
    <w:rPr>
      <w:rFonts w:ascii="Times New Roman" w:hAnsi="Times New Roman" w:eastAsia="宋体" w:cs="Calibri"/>
      <w:sz w:val="24"/>
      <w:szCs w:val="24"/>
      <w:lang w:val="en-US" w:eastAsia="zh-CN" w:bidi="ar-SA"/>
    </w:rPr>
  </w:style>
  <w:style w:type="paragraph" w:customStyle="1" w:styleId="487">
    <w:name w:val="font0"/>
    <w:basedOn w:val="1"/>
    <w:qFormat/>
    <w:uiPriority w:val="0"/>
    <w:pPr>
      <w:widowControl/>
      <w:spacing w:before="100" w:beforeAutospacing="1" w:after="100" w:afterAutospacing="1"/>
      <w:jc w:val="left"/>
    </w:pPr>
    <w:rPr>
      <w:rFonts w:ascii="宋体" w:hAnsi="宋体" w:eastAsia="宋体" w:cs="宋体"/>
      <w:color w:val="000000"/>
      <w:sz w:val="22"/>
    </w:rPr>
  </w:style>
  <w:style w:type="paragraph" w:customStyle="1" w:styleId="488">
    <w:name w:val="reader-word-layer"/>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89">
    <w:name w:val="Char Char Char Char Char Char Char Char Char Char"/>
    <w:basedOn w:val="1"/>
    <w:link w:val="490"/>
    <w:qFormat/>
    <w:uiPriority w:val="0"/>
    <w:rPr>
      <w:rFonts w:ascii="Tahoma" w:hAnsi="Tahoma" w:eastAsia="宋体" w:cs="Times New Roman"/>
      <w:sz w:val="24"/>
      <w:szCs w:val="20"/>
    </w:rPr>
  </w:style>
  <w:style w:type="character" w:customStyle="1" w:styleId="490">
    <w:name w:val="Char Char Char Char Char Char Char Char Char Char Char Char Char"/>
    <w:basedOn w:val="59"/>
    <w:link w:val="489"/>
    <w:qFormat/>
    <w:uiPriority w:val="0"/>
    <w:rPr>
      <w:rFonts w:ascii="Tahoma" w:hAnsi="Tahoma" w:eastAsia="宋体" w:cs="Times New Roman"/>
      <w:sz w:val="24"/>
    </w:rPr>
  </w:style>
  <w:style w:type="paragraph" w:customStyle="1" w:styleId="491">
    <w:name w:val="列出段落2"/>
    <w:basedOn w:val="1"/>
    <w:qFormat/>
    <w:uiPriority w:val="34"/>
    <w:pPr>
      <w:ind w:firstLine="420"/>
    </w:pPr>
    <w:rPr>
      <w:rFonts w:ascii="Calibri" w:hAnsi="Calibri" w:eastAsia="宋体" w:cs="Times New Roman"/>
    </w:rPr>
  </w:style>
  <w:style w:type="paragraph" w:customStyle="1" w:styleId="492">
    <w:name w:val="文档结构图2"/>
    <w:basedOn w:val="1"/>
    <w:qFormat/>
    <w:uiPriority w:val="0"/>
    <w:rPr>
      <w:rFonts w:ascii="宋体" w:hAnsi="Calibri" w:eastAsia="宋体" w:cs="Times New Roman"/>
      <w:sz w:val="18"/>
      <w:szCs w:val="18"/>
    </w:rPr>
  </w:style>
  <w:style w:type="paragraph" w:customStyle="1" w:styleId="493">
    <w:name w:val="列出段落21"/>
    <w:basedOn w:val="1"/>
    <w:qFormat/>
    <w:uiPriority w:val="0"/>
    <w:pPr>
      <w:ind w:firstLine="420"/>
    </w:pPr>
    <w:rPr>
      <w:rFonts w:ascii="Calibri" w:hAnsi="Calibri" w:eastAsia="宋体" w:cs="Times New Roman"/>
    </w:rPr>
  </w:style>
  <w:style w:type="character" w:customStyle="1" w:styleId="494">
    <w:name w:val="标题 2 Char2"/>
    <w:basedOn w:val="59"/>
    <w:qFormat/>
    <w:uiPriority w:val="0"/>
    <w:rPr>
      <w:rFonts w:ascii="Arial" w:hAnsi="Arial" w:eastAsia="黑体"/>
      <w:sz w:val="32"/>
    </w:rPr>
  </w:style>
  <w:style w:type="character" w:customStyle="1" w:styleId="495">
    <w:name w:val="标题 3 Char2"/>
    <w:basedOn w:val="59"/>
    <w:qFormat/>
    <w:uiPriority w:val="0"/>
    <w:rPr>
      <w:rFonts w:ascii="Arial" w:hAnsi="Arial" w:eastAsia="黑体"/>
      <w:sz w:val="24"/>
      <w:szCs w:val="30"/>
    </w:rPr>
  </w:style>
  <w:style w:type="character" w:customStyle="1" w:styleId="496">
    <w:name w:val="标题 5 Char2"/>
    <w:basedOn w:val="59"/>
    <w:qFormat/>
    <w:uiPriority w:val="0"/>
    <w:rPr>
      <w:bCs/>
      <w:sz w:val="24"/>
      <w:szCs w:val="28"/>
    </w:rPr>
  </w:style>
  <w:style w:type="character" w:customStyle="1" w:styleId="497">
    <w:name w:val="标题 6 Char1"/>
    <w:basedOn w:val="59"/>
    <w:qFormat/>
    <w:uiPriority w:val="0"/>
    <w:rPr>
      <w:rFonts w:ascii="Arial" w:hAnsi="Arial" w:eastAsia="黑体"/>
      <w:b/>
      <w:bCs/>
      <w:sz w:val="24"/>
      <w:szCs w:val="24"/>
    </w:rPr>
  </w:style>
  <w:style w:type="character" w:customStyle="1" w:styleId="498">
    <w:name w:val="标题 8 Char1"/>
    <w:basedOn w:val="59"/>
    <w:qFormat/>
    <w:uiPriority w:val="0"/>
    <w:rPr>
      <w:rFonts w:ascii="Arial" w:hAnsi="Arial" w:eastAsia="黑体"/>
      <w:sz w:val="24"/>
      <w:szCs w:val="24"/>
    </w:rPr>
  </w:style>
  <w:style w:type="character" w:customStyle="1" w:styleId="499">
    <w:name w:val="标题 9 Char1"/>
    <w:basedOn w:val="59"/>
    <w:qFormat/>
    <w:uiPriority w:val="0"/>
    <w:rPr>
      <w:rFonts w:ascii="Arial" w:hAnsi="Arial" w:eastAsia="黑体"/>
      <w:sz w:val="21"/>
      <w:szCs w:val="21"/>
    </w:rPr>
  </w:style>
  <w:style w:type="character" w:customStyle="1" w:styleId="500">
    <w:name w:val="页码1"/>
    <w:basedOn w:val="59"/>
    <w:qFormat/>
    <w:uiPriority w:val="0"/>
  </w:style>
  <w:style w:type="character" w:customStyle="1" w:styleId="501">
    <w:name w:val="Char Char15"/>
    <w:qFormat/>
    <w:uiPriority w:val="0"/>
    <w:rPr>
      <w:rFonts w:ascii="Cambria" w:hAnsi="Cambria"/>
      <w:b/>
      <w:bCs/>
      <w:sz w:val="32"/>
      <w:szCs w:val="32"/>
    </w:rPr>
  </w:style>
  <w:style w:type="character" w:customStyle="1" w:styleId="502">
    <w:name w:val="Char Char16"/>
    <w:qFormat/>
    <w:uiPriority w:val="0"/>
    <w:rPr>
      <w:b/>
      <w:bCs/>
      <w:sz w:val="36"/>
      <w:szCs w:val="44"/>
    </w:rPr>
  </w:style>
  <w:style w:type="character" w:customStyle="1" w:styleId="503">
    <w:name w:val="样式 (西文) 幼圆"/>
    <w:qFormat/>
    <w:uiPriority w:val="0"/>
    <w:rPr>
      <w:rFonts w:ascii="幼圆" w:hAnsi="幼圆" w:eastAsia="宋体"/>
      <w:sz w:val="24"/>
    </w:rPr>
  </w:style>
  <w:style w:type="character" w:customStyle="1" w:styleId="504">
    <w:name w:val="apple-style-span"/>
    <w:basedOn w:val="59"/>
    <w:qFormat/>
    <w:uiPriority w:val="0"/>
  </w:style>
  <w:style w:type="character" w:customStyle="1" w:styleId="505">
    <w:name w:val="已访问的超链接1"/>
    <w:qFormat/>
    <w:uiPriority w:val="0"/>
    <w:rPr>
      <w:color w:val="800080"/>
      <w:u w:val="single"/>
    </w:rPr>
  </w:style>
  <w:style w:type="character" w:customStyle="1" w:styleId="506">
    <w:name w:val="unnamed31"/>
    <w:qFormat/>
    <w:uiPriority w:val="0"/>
    <w:rPr>
      <w:color w:val="000000"/>
      <w:spacing w:val="440"/>
      <w:sz w:val="22"/>
      <w:szCs w:val="22"/>
      <w:u w:val="none"/>
    </w:rPr>
  </w:style>
  <w:style w:type="character" w:customStyle="1" w:styleId="507">
    <w:name w:val="line1"/>
    <w:qFormat/>
    <w:uiPriority w:val="0"/>
    <w:rPr>
      <w:spacing w:val="360"/>
    </w:rPr>
  </w:style>
  <w:style w:type="character" w:customStyle="1" w:styleId="508">
    <w:name w:val="样式 样式 样式 宋体 小四 首行缩进:  0.74 厘米 行距: 最小值 18 磅 + 段前: 0.5 行 段后: 0.5 行... Char Char"/>
    <w:qFormat/>
    <w:uiPriority w:val="0"/>
    <w:rPr>
      <w:rFonts w:ascii="宋体" w:eastAsia="宋体" w:cs="宋体"/>
      <w:sz w:val="24"/>
      <w:lang w:val="en-US" w:eastAsia="zh-CN" w:bidi="ar-SA"/>
    </w:rPr>
  </w:style>
  <w:style w:type="character" w:customStyle="1" w:styleId="509">
    <w:name w:val="样式 样式 样式 样式 宋体 小四 首行缩进:  0.74 厘米 行距: 最小值 18 磅 + 段前: 0.5 行 段后: 0.... Char Char"/>
    <w:qFormat/>
    <w:uiPriority w:val="0"/>
    <w:rPr>
      <w:rFonts w:ascii="宋体" w:hAnsi="宋体" w:eastAsia="宋体" w:cs="宋体"/>
      <w:sz w:val="24"/>
      <w:lang w:val="en-US" w:eastAsia="zh-CN" w:bidi="ar-SA"/>
    </w:rPr>
  </w:style>
  <w:style w:type="character" w:customStyle="1" w:styleId="510">
    <w:name w:val="样式 样式 样式 宋体 小四 首行缩进:  0.74 厘米 行距: 最小值 18 磅 + 段前: 0.5 行 段后: 0.5 行... Char1"/>
    <w:qFormat/>
    <w:uiPriority w:val="0"/>
    <w:rPr>
      <w:rFonts w:ascii="宋体" w:eastAsia="宋体" w:cs="宋体"/>
      <w:sz w:val="24"/>
      <w:lang w:val="en-US" w:eastAsia="zh-CN" w:bidi="ar-SA"/>
    </w:rPr>
  </w:style>
  <w:style w:type="character" w:customStyle="1" w:styleId="511">
    <w:name w:val="样式 样式 样式 样式 宋体 小四 首行缩进:  0.74 厘米 行距: 最小值 18 磅 + 段前: 0.5 行 段后: 0.... Char1"/>
    <w:qFormat/>
    <w:uiPriority w:val="0"/>
    <w:rPr>
      <w:rFonts w:ascii="宋体" w:hAnsi="宋体" w:eastAsia="宋体" w:cs="宋体"/>
      <w:sz w:val="24"/>
      <w:lang w:val="en-US" w:eastAsia="zh-CN" w:bidi="ar-SA"/>
    </w:rPr>
  </w:style>
  <w:style w:type="character" w:customStyle="1" w:styleId="512">
    <w:name w:val="样式 样式 样式 样式 样式 宋体 小四 首行缩进:  0.74 厘米 行距: 最小值 18 磅 + 段前: 0.5 行 段后:... Char Char"/>
    <w:qFormat/>
    <w:uiPriority w:val="0"/>
    <w:rPr>
      <w:rFonts w:eastAsia="宋体" w:cs="宋体"/>
      <w:sz w:val="24"/>
      <w:lang w:val="en-US" w:eastAsia="zh-CN" w:bidi="ar-SA"/>
    </w:rPr>
  </w:style>
  <w:style w:type="character" w:customStyle="1" w:styleId="513">
    <w:name w:val="样式 样式 样式 宋体 小四 首行缩进:  0.74 厘米 行距: 最小值 18 磅 + 段前: 0.5 行 段后: 0.5 行... Char2"/>
    <w:qFormat/>
    <w:uiPriority w:val="0"/>
    <w:rPr>
      <w:rFonts w:ascii="宋体" w:eastAsia="宋体" w:cs="宋体"/>
      <w:sz w:val="24"/>
      <w:lang w:val="en-US" w:eastAsia="zh-CN" w:bidi="ar-SA"/>
    </w:rPr>
  </w:style>
  <w:style w:type="character" w:customStyle="1" w:styleId="514">
    <w:name w:val="样式 样式 样式 样式 宋体 小四 首行缩进:  0.74 厘米 行距: 最小值 18 磅 + 段前: 0.5 行 段后: 0.... Char2"/>
    <w:qFormat/>
    <w:uiPriority w:val="0"/>
    <w:rPr>
      <w:rFonts w:ascii="宋体" w:hAnsi="宋体" w:eastAsia="宋体" w:cs="宋体"/>
      <w:sz w:val="24"/>
      <w:lang w:val="en-US" w:eastAsia="zh-CN" w:bidi="ar-SA"/>
    </w:rPr>
  </w:style>
  <w:style w:type="character" w:customStyle="1" w:styleId="515">
    <w:name w:val="样式 样式 样式 样式 样式 宋体 小四 首行缩进:  0.74 厘米 行距: 最小值 18 磅 + 段前: 0.5 行 段后:...1 Char Char"/>
    <w:basedOn w:val="514"/>
    <w:qFormat/>
    <w:uiPriority w:val="0"/>
    <w:rPr>
      <w:rFonts w:ascii="宋体" w:hAnsi="宋体" w:eastAsia="宋体" w:cs="宋体"/>
      <w:sz w:val="24"/>
      <w:lang w:val="en-US" w:eastAsia="zh-CN" w:bidi="ar-SA"/>
    </w:rPr>
  </w:style>
  <w:style w:type="character" w:customStyle="1" w:styleId="516">
    <w:name w:val="样式 样式 样式 样式 样式 样式 宋体 小四 首行缩进:  0.74 厘米 行距: 最小值 18 磅 + 段前: 0.5 行 ... Char Char"/>
    <w:basedOn w:val="515"/>
    <w:qFormat/>
    <w:uiPriority w:val="0"/>
    <w:rPr>
      <w:rFonts w:ascii="宋体" w:hAnsi="宋体" w:eastAsia="宋体" w:cs="宋体"/>
      <w:sz w:val="24"/>
      <w:lang w:val="en-US" w:eastAsia="zh-CN" w:bidi="ar-SA"/>
    </w:rPr>
  </w:style>
  <w:style w:type="character" w:customStyle="1" w:styleId="517">
    <w:name w:val="样式 样式 样式 样式 样式 样式 样式 宋体 小四 首行缩进:  0.74 厘米 行距: 最小值 18 磅 + 段前: 0.5... Char Char"/>
    <w:basedOn w:val="516"/>
    <w:qFormat/>
    <w:uiPriority w:val="0"/>
    <w:rPr>
      <w:rFonts w:ascii="宋体" w:hAnsi="宋体" w:eastAsia="宋体" w:cs="宋体"/>
      <w:sz w:val="24"/>
      <w:lang w:val="en-US" w:eastAsia="zh-CN" w:bidi="ar-SA"/>
    </w:rPr>
  </w:style>
  <w:style w:type="character" w:customStyle="1" w:styleId="518">
    <w:name w:val="样式 样式 样式 样式 样式 样式 样式 样式 宋体 小四 首行缩进:  0.74 厘米 行距: 最小值 18 磅 + 段前: ... Char Char Char"/>
    <w:basedOn w:val="517"/>
    <w:qFormat/>
    <w:uiPriority w:val="0"/>
    <w:rPr>
      <w:rFonts w:ascii="宋体" w:hAnsi="宋体" w:eastAsia="宋体" w:cs="宋体"/>
      <w:sz w:val="24"/>
      <w:lang w:val="en-US" w:eastAsia="zh-CN" w:bidi="ar-SA"/>
    </w:rPr>
  </w:style>
  <w:style w:type="character" w:customStyle="1" w:styleId="519">
    <w:name w:val="Char Char151"/>
    <w:qFormat/>
    <w:uiPriority w:val="0"/>
    <w:rPr>
      <w:rFonts w:ascii="Cambria" w:hAnsi="Cambria"/>
      <w:b/>
      <w:bCs/>
      <w:sz w:val="32"/>
      <w:szCs w:val="32"/>
    </w:rPr>
  </w:style>
  <w:style w:type="character" w:customStyle="1" w:styleId="520">
    <w:name w:val="Char Char161"/>
    <w:qFormat/>
    <w:uiPriority w:val="0"/>
    <w:rPr>
      <w:b/>
      <w:bCs/>
      <w:sz w:val="36"/>
      <w:szCs w:val="44"/>
    </w:rPr>
  </w:style>
  <w:style w:type="character" w:customStyle="1" w:styleId="521">
    <w:name w:val="h Char Char"/>
    <w:qFormat/>
    <w:uiPriority w:val="0"/>
    <w:rPr>
      <w:sz w:val="18"/>
      <w:szCs w:val="18"/>
    </w:rPr>
  </w:style>
  <w:style w:type="character" w:customStyle="1" w:styleId="522">
    <w:name w:val="Char Char18"/>
    <w:basedOn w:val="59"/>
    <w:qFormat/>
    <w:uiPriority w:val="0"/>
    <w:rPr>
      <w:sz w:val="18"/>
      <w:szCs w:val="18"/>
    </w:rPr>
  </w:style>
  <w:style w:type="character" w:customStyle="1" w:styleId="523">
    <w:name w:val="Char Char17"/>
    <w:basedOn w:val="59"/>
    <w:qFormat/>
    <w:uiPriority w:val="0"/>
    <w:rPr>
      <w:rFonts w:ascii="Times New Roman" w:hAnsi="Times New Roman" w:eastAsia="宋体" w:cs="Times New Roman"/>
      <w:szCs w:val="24"/>
      <w:shd w:val="clear" w:color="auto" w:fill="000080"/>
    </w:rPr>
  </w:style>
  <w:style w:type="character" w:customStyle="1" w:styleId="524">
    <w:name w:val="样式 宋体 小四 首行缩进:  0.74 厘米 行距: 最小值 18 磅 Char Char"/>
    <w:qFormat/>
    <w:uiPriority w:val="0"/>
    <w:rPr>
      <w:rFonts w:ascii="宋体" w:eastAsia="宋体" w:cs="宋体"/>
      <w:sz w:val="24"/>
      <w:szCs w:val="24"/>
      <w:lang w:val="en-US" w:eastAsia="zh-CN" w:bidi="ar-SA"/>
    </w:rPr>
  </w:style>
  <w:style w:type="character" w:customStyle="1" w:styleId="525">
    <w:name w:val="样式 样式 宋体 小四 首行缩进:  0.74 厘米 行距: 最小值 18 磅 + 段前: 0.5 行 段后: 0.5 行 Char Char Char"/>
    <w:basedOn w:val="524"/>
    <w:qFormat/>
    <w:uiPriority w:val="0"/>
    <w:rPr>
      <w:rFonts w:ascii="宋体" w:eastAsia="宋体" w:cs="宋体"/>
      <w:sz w:val="24"/>
      <w:szCs w:val="24"/>
      <w:lang w:val="en-US" w:eastAsia="zh-CN" w:bidi="ar-SA"/>
    </w:rPr>
  </w:style>
  <w:style w:type="character" w:customStyle="1" w:styleId="526">
    <w:name w:val="Char Char14"/>
    <w:basedOn w:val="59"/>
    <w:qFormat/>
    <w:uiPriority w:val="0"/>
    <w:rPr>
      <w:rFonts w:ascii="Times New Roman" w:hAnsi="Times New Roman" w:eastAsia="宋体" w:cs="Times New Roman"/>
      <w:szCs w:val="24"/>
    </w:rPr>
  </w:style>
  <w:style w:type="character" w:customStyle="1" w:styleId="527">
    <w:name w:val="Char Char11"/>
    <w:basedOn w:val="59"/>
    <w:qFormat/>
    <w:uiPriority w:val="0"/>
    <w:rPr>
      <w:rFonts w:ascii="Times New Roman" w:hAnsi="Times New Roman" w:eastAsia="宋体" w:cs="Times New Roman"/>
      <w:sz w:val="18"/>
      <w:szCs w:val="18"/>
    </w:rPr>
  </w:style>
  <w:style w:type="character" w:customStyle="1" w:styleId="528">
    <w:name w:val="141"/>
    <w:qFormat/>
    <w:uiPriority w:val="0"/>
    <w:rPr>
      <w:rFonts w:hint="default"/>
      <w:color w:val="000000"/>
      <w:spacing w:val="320"/>
      <w:u w:val="none"/>
    </w:rPr>
  </w:style>
  <w:style w:type="character" w:customStyle="1" w:styleId="529">
    <w:name w:val="bodycopy1"/>
    <w:qFormat/>
    <w:uiPriority w:val="0"/>
    <w:rPr>
      <w:rFonts w:hint="default" w:ascii="Arial" w:hAnsi="Arial" w:cs="Arial"/>
      <w:color w:val="000000"/>
      <w:sz w:val="18"/>
      <w:szCs w:val="18"/>
      <w:u w:val="none"/>
    </w:rPr>
  </w:style>
  <w:style w:type="character" w:customStyle="1" w:styleId="530">
    <w:name w:val="parahead21"/>
    <w:qFormat/>
    <w:uiPriority w:val="0"/>
    <w:rPr>
      <w:rFonts w:hint="default" w:ascii="Arial" w:hAnsi="Arial" w:cs="Arial"/>
      <w:b/>
      <w:bCs/>
      <w:color w:val="336699"/>
      <w:sz w:val="21"/>
      <w:szCs w:val="21"/>
      <w:u w:val="none"/>
    </w:rPr>
  </w:style>
  <w:style w:type="character" w:customStyle="1" w:styleId="531">
    <w:name w:val="Char Char8"/>
    <w:basedOn w:val="526"/>
    <w:qFormat/>
    <w:uiPriority w:val="0"/>
    <w:rPr>
      <w:rFonts w:ascii="Times New Roman" w:hAnsi="Times New Roman" w:eastAsia="宋体" w:cs="Times New Roman"/>
      <w:sz w:val="24"/>
      <w:szCs w:val="20"/>
    </w:rPr>
  </w:style>
  <w:style w:type="character" w:customStyle="1" w:styleId="532">
    <w:name w:val="cont1"/>
    <w:qFormat/>
    <w:uiPriority w:val="0"/>
    <w:rPr>
      <w:rFonts w:hint="default" w:ascii="DejaVu Math TeX Gyre" w:hAnsi="DejaVu Math TeX Gyre"/>
      <w:color w:val="000000"/>
      <w:sz w:val="21"/>
      <w:szCs w:val="21"/>
      <w:u w:val="none"/>
    </w:rPr>
  </w:style>
  <w:style w:type="character" w:customStyle="1" w:styleId="533">
    <w:name w:val="可研标题 3"/>
    <w:qFormat/>
    <w:uiPriority w:val="0"/>
    <w:rPr>
      <w:rFonts w:ascii="仿宋_GB2312" w:eastAsia="黑体"/>
      <w:b/>
      <w:bCs/>
      <w:sz w:val="28"/>
      <w:szCs w:val="32"/>
      <w:lang w:val="en-US" w:eastAsia="zh-CN" w:bidi="ar-SA"/>
    </w:rPr>
  </w:style>
  <w:style w:type="character" w:customStyle="1" w:styleId="534">
    <w:name w:val="可研标题 4"/>
    <w:qFormat/>
    <w:uiPriority w:val="0"/>
    <w:rPr>
      <w:rFonts w:ascii="仿宋_GB2312" w:eastAsia="仿宋_GB2312"/>
      <w:b/>
      <w:bCs/>
      <w:sz w:val="24"/>
      <w:szCs w:val="32"/>
      <w:lang w:val="en-US" w:eastAsia="zh-CN" w:bidi="ar-SA"/>
    </w:rPr>
  </w:style>
  <w:style w:type="character" w:customStyle="1" w:styleId="535">
    <w:name w:val="正文缩进 Char1"/>
    <w:qFormat/>
    <w:uiPriority w:val="0"/>
    <w:rPr>
      <w:rFonts w:eastAsia="宋体"/>
      <w:sz w:val="21"/>
      <w:szCs w:val="24"/>
      <w:lang w:val="en-US" w:eastAsia="zh-CN" w:bidi="ar-SA"/>
    </w:rPr>
  </w:style>
  <w:style w:type="character" w:customStyle="1" w:styleId="536">
    <w:name w:val="title_emph"/>
    <w:basedOn w:val="59"/>
    <w:qFormat/>
    <w:uiPriority w:val="0"/>
  </w:style>
  <w:style w:type="character" w:customStyle="1" w:styleId="537">
    <w:name w:val="style8"/>
    <w:basedOn w:val="59"/>
    <w:qFormat/>
    <w:uiPriority w:val="0"/>
  </w:style>
  <w:style w:type="character" w:customStyle="1" w:styleId="538">
    <w:name w:val="Body Text(ch) Char"/>
    <w:qFormat/>
    <w:uiPriority w:val="0"/>
    <w:rPr>
      <w:rFonts w:ascii="Times New Roman" w:hAnsi="Times New Roman" w:eastAsia="宋体" w:cs="Times New Roman"/>
      <w:szCs w:val="24"/>
    </w:rPr>
  </w:style>
  <w:style w:type="character" w:customStyle="1" w:styleId="539">
    <w:name w:val="H1 Char1"/>
    <w:qFormat/>
    <w:uiPriority w:val="0"/>
    <w:rPr>
      <w:rFonts w:ascii="Times New Roman" w:hAnsi="Times New Roman" w:eastAsia="宋体" w:cs="Times New Roman"/>
      <w:b/>
      <w:bCs/>
      <w:sz w:val="44"/>
      <w:szCs w:val="44"/>
    </w:rPr>
  </w:style>
  <w:style w:type="character" w:customStyle="1" w:styleId="540">
    <w:name w:val="批注引用1"/>
    <w:qFormat/>
    <w:uiPriority w:val="0"/>
    <w:rPr>
      <w:sz w:val="16"/>
      <w:szCs w:val="16"/>
    </w:rPr>
  </w:style>
  <w:style w:type="character" w:customStyle="1" w:styleId="541">
    <w:name w:val="样式 宋体"/>
    <w:qFormat/>
    <w:uiPriority w:val="0"/>
    <w:rPr>
      <w:rFonts w:ascii="宋体" w:hAnsi="宋体" w:eastAsia="宋体"/>
      <w:sz w:val="24"/>
    </w:rPr>
  </w:style>
  <w:style w:type="character" w:customStyle="1" w:styleId="542">
    <w:name w:val="headline-content"/>
    <w:qFormat/>
    <w:uiPriority w:val="0"/>
  </w:style>
  <w:style w:type="character" w:customStyle="1" w:styleId="543">
    <w:name w:val="CSS3级编号 Char"/>
    <w:qFormat/>
    <w:uiPriority w:val="0"/>
    <w:rPr>
      <w:rFonts w:eastAsia="宋体"/>
      <w:sz w:val="24"/>
      <w:szCs w:val="24"/>
      <w:lang w:val="en-US" w:eastAsia="zh-CN" w:bidi="ar-SA"/>
    </w:rPr>
  </w:style>
  <w:style w:type="character" w:customStyle="1" w:styleId="544">
    <w:name w:val="批注文字 Char1"/>
    <w:qFormat/>
    <w:uiPriority w:val="99"/>
    <w:rPr>
      <w:sz w:val="24"/>
      <w:szCs w:val="24"/>
    </w:rPr>
  </w:style>
  <w:style w:type="character" w:customStyle="1" w:styleId="545">
    <w:name w:val="批注主题 Char1"/>
    <w:qFormat/>
    <w:uiPriority w:val="99"/>
    <w:rPr>
      <w:b/>
      <w:bCs/>
      <w:sz w:val="24"/>
      <w:szCs w:val="24"/>
    </w:rPr>
  </w:style>
  <w:style w:type="character" w:customStyle="1" w:styleId="546">
    <w:name w:val="纯文本 Char1"/>
    <w:qFormat/>
    <w:uiPriority w:val="99"/>
    <w:rPr>
      <w:rFonts w:ascii="宋体" w:hAnsi="Courier New" w:cs="Courier New"/>
      <w:sz w:val="21"/>
      <w:szCs w:val="21"/>
    </w:rPr>
  </w:style>
  <w:style w:type="character" w:customStyle="1" w:styleId="547">
    <w:name w:val="apple-converted-space"/>
    <w:qFormat/>
    <w:uiPriority w:val="0"/>
  </w:style>
  <w:style w:type="character" w:customStyle="1" w:styleId="548">
    <w:name w:val="文档结构图 Char1"/>
    <w:basedOn w:val="59"/>
    <w:qFormat/>
    <w:uiPriority w:val="99"/>
    <w:rPr>
      <w:rFonts w:ascii="宋体" w:cs="Times New Roman"/>
      <w:sz w:val="18"/>
      <w:szCs w:val="18"/>
    </w:rPr>
  </w:style>
  <w:style w:type="paragraph" w:customStyle="1" w:styleId="549">
    <w:name w:val="l正文"/>
    <w:qFormat/>
    <w:uiPriority w:val="0"/>
    <w:pPr>
      <w:spacing w:line="360" w:lineRule="auto"/>
      <w:ind w:firstLine="200"/>
    </w:pPr>
    <w:rPr>
      <w:rFonts w:ascii="Times New Roman" w:hAnsi="Times New Roman" w:eastAsia="宋体" w:cs="Times New Roman"/>
      <w:sz w:val="22"/>
      <w:szCs w:val="22"/>
      <w:lang w:val="en-US" w:eastAsia="zh-CN" w:bidi="ar-SA"/>
    </w:rPr>
  </w:style>
  <w:style w:type="paragraph" w:customStyle="1" w:styleId="550">
    <w:name w:val="l列表1"/>
    <w:qFormat/>
    <w:uiPriority w:val="0"/>
    <w:pPr>
      <w:tabs>
        <w:tab w:val="left" w:pos="735"/>
      </w:tabs>
      <w:spacing w:line="360" w:lineRule="auto"/>
      <w:ind w:left="350" w:hanging="150"/>
    </w:pPr>
    <w:rPr>
      <w:rFonts w:ascii="Times New Roman" w:hAnsi="Times New Roman" w:eastAsia="宋体" w:cs="Times New Roman"/>
      <w:iCs/>
      <w:sz w:val="22"/>
      <w:szCs w:val="22"/>
      <w:lang w:val="en-US" w:eastAsia="zh-CN" w:bidi="ar-SA"/>
    </w:rPr>
  </w:style>
  <w:style w:type="paragraph" w:customStyle="1" w:styleId="551">
    <w:name w:val="样式7"/>
    <w:basedOn w:val="1"/>
    <w:qFormat/>
    <w:uiPriority w:val="0"/>
    <w:pPr>
      <w:spacing w:line="440" w:lineRule="atLeast"/>
      <w:ind w:firstLine="601"/>
    </w:pPr>
    <w:rPr>
      <w:rFonts w:ascii="宋体" w:hAnsi="Calibri" w:eastAsia="宋体" w:cs="Times New Roman"/>
      <w:sz w:val="24"/>
      <w:szCs w:val="20"/>
    </w:rPr>
  </w:style>
  <w:style w:type="paragraph" w:customStyle="1" w:styleId="552">
    <w:name w:val="FinBodyStyle"/>
    <w:basedOn w:val="1"/>
    <w:qFormat/>
    <w:uiPriority w:val="0"/>
    <w:pPr>
      <w:widowControl/>
      <w:spacing w:line="360" w:lineRule="auto"/>
      <w:ind w:firstLine="480"/>
      <w:jc w:val="left"/>
    </w:pPr>
    <w:rPr>
      <w:rFonts w:hint="eastAsia" w:ascii="宋体" w:hAnsi="宋体" w:eastAsia="宋体" w:cs="宋体"/>
      <w:sz w:val="24"/>
      <w:szCs w:val="20"/>
    </w:rPr>
  </w:style>
  <w:style w:type="paragraph" w:customStyle="1" w:styleId="553">
    <w:name w:val="FinListStyle"/>
    <w:basedOn w:val="1"/>
    <w:qFormat/>
    <w:uiPriority w:val="0"/>
    <w:pPr>
      <w:widowControl/>
      <w:spacing w:line="360" w:lineRule="auto"/>
      <w:jc w:val="left"/>
    </w:pPr>
    <w:rPr>
      <w:rFonts w:hint="eastAsia" w:ascii="宋体" w:hAnsi="宋体" w:eastAsia="宋体" w:cs="宋体"/>
      <w:sz w:val="24"/>
      <w:szCs w:val="20"/>
    </w:rPr>
  </w:style>
  <w:style w:type="paragraph" w:customStyle="1" w:styleId="554">
    <w:name w:val="FinShapeStyle"/>
    <w:basedOn w:val="1"/>
    <w:qFormat/>
    <w:uiPriority w:val="0"/>
    <w:pPr>
      <w:widowControl/>
      <w:jc w:val="center"/>
    </w:pPr>
    <w:rPr>
      <w:rFonts w:ascii="Times New Roman" w:hAnsi="Times New Roman" w:eastAsia="宋体" w:cs="Times New Roman"/>
      <w:sz w:val="20"/>
      <w:szCs w:val="20"/>
    </w:rPr>
  </w:style>
  <w:style w:type="paragraph" w:customStyle="1" w:styleId="555">
    <w:name w:val="WPSOffice手动目录 1"/>
    <w:qFormat/>
    <w:uiPriority w:val="0"/>
    <w:rPr>
      <w:rFonts w:ascii="Times New Roman" w:hAnsi="Times New Roman" w:eastAsia="宋体" w:cs="Times New Roman"/>
      <w:lang w:val="en-US" w:eastAsia="zh-CN" w:bidi="ar-SA"/>
    </w:rPr>
  </w:style>
  <w:style w:type="paragraph" w:customStyle="1" w:styleId="556">
    <w:name w:val="WPSOffice手动目录 2"/>
    <w:qFormat/>
    <w:uiPriority w:val="0"/>
    <w:pPr>
      <w:ind w:left="200"/>
    </w:pPr>
    <w:rPr>
      <w:rFonts w:ascii="Times New Roman" w:hAnsi="Times New Roman" w:eastAsia="宋体" w:cs="Times New Roman"/>
      <w:lang w:val="en-US" w:eastAsia="zh-CN" w:bidi="ar-SA"/>
    </w:rPr>
  </w:style>
  <w:style w:type="paragraph" w:customStyle="1" w:styleId="557">
    <w:name w:val="WPSOffice手动目录 3"/>
    <w:qFormat/>
    <w:uiPriority w:val="0"/>
    <w:pPr>
      <w:ind w:left="400"/>
    </w:pPr>
    <w:rPr>
      <w:rFonts w:ascii="Times New Roman" w:hAnsi="Times New Roman" w:eastAsia="宋体" w:cs="Times New Roman"/>
      <w:lang w:val="en-US" w:eastAsia="zh-CN" w:bidi="ar-SA"/>
    </w:rPr>
  </w:style>
  <w:style w:type="character" w:customStyle="1" w:styleId="558">
    <w:name w:val="answer-title"/>
    <w:basedOn w:val="59"/>
    <w:qFormat/>
    <w:uiPriority w:val="0"/>
  </w:style>
  <w:style w:type="character" w:customStyle="1" w:styleId="559">
    <w:name w:val="del-btn"/>
    <w:basedOn w:val="59"/>
    <w:qFormat/>
    <w:uiPriority w:val="0"/>
  </w:style>
  <w:style w:type="character" w:customStyle="1" w:styleId="560">
    <w:name w:val="bg"/>
    <w:basedOn w:val="59"/>
    <w:qFormat/>
    <w:uiPriority w:val="0"/>
    <w:rPr>
      <w:shd w:val="clear" w:color="auto" w:fill="000000"/>
    </w:rPr>
  </w:style>
  <w:style w:type="character" w:customStyle="1" w:styleId="561">
    <w:name w:val="bg1"/>
    <w:basedOn w:val="59"/>
    <w:qFormat/>
    <w:uiPriority w:val="0"/>
    <w:rPr>
      <w:shd w:val="clear" w:color="auto" w:fill="000000"/>
    </w:rPr>
  </w:style>
  <w:style w:type="character" w:customStyle="1" w:styleId="562">
    <w:name w:val="fontborder"/>
    <w:basedOn w:val="59"/>
    <w:qFormat/>
    <w:uiPriority w:val="0"/>
  </w:style>
  <w:style w:type="character" w:customStyle="1" w:styleId="563">
    <w:name w:val="fontstrikethrough"/>
    <w:basedOn w:val="59"/>
    <w:qFormat/>
    <w:uiPriority w:val="0"/>
    <w:rPr>
      <w:strike/>
    </w:rPr>
  </w:style>
  <w:style w:type="paragraph" w:customStyle="1" w:styleId="564">
    <w:name w:val="样式3"/>
    <w:basedOn w:val="1"/>
    <w:link w:val="565"/>
    <w:qFormat/>
    <w:uiPriority w:val="0"/>
    <w:pPr>
      <w:widowControl/>
      <w:spacing w:after="3" w:line="360" w:lineRule="auto"/>
      <w:ind w:firstLine="480"/>
      <w:jc w:val="left"/>
    </w:pPr>
    <w:rPr>
      <w:rFonts w:ascii="宋体" w:hAnsi="宋体" w:eastAsia="宋体" w:cs="仿宋"/>
      <w:color w:val="000000"/>
      <w:sz w:val="24"/>
      <w:szCs w:val="20"/>
    </w:rPr>
  </w:style>
  <w:style w:type="character" w:customStyle="1" w:styleId="565">
    <w:name w:val="样式3 字符"/>
    <w:basedOn w:val="59"/>
    <w:link w:val="564"/>
    <w:qFormat/>
    <w:uiPriority w:val="0"/>
    <w:rPr>
      <w:rFonts w:ascii="宋体" w:hAnsi="宋体" w:eastAsia="宋体" w:cs="仿宋"/>
      <w:color w:val="000000"/>
      <w:sz w:val="24"/>
    </w:rPr>
  </w:style>
  <w:style w:type="character" w:customStyle="1" w:styleId="566">
    <w:name w:val="标题 5 字符"/>
    <w:basedOn w:val="59"/>
    <w:link w:val="6"/>
    <w:qFormat/>
    <w:uiPriority w:val="0"/>
    <w:rPr>
      <w:rFonts w:eastAsia="宋体"/>
      <w:b/>
      <w:bCs/>
      <w:sz w:val="28"/>
      <w:szCs w:val="28"/>
    </w:rPr>
  </w:style>
  <w:style w:type="character" w:customStyle="1" w:styleId="567">
    <w:name w:val="标题 6 字符"/>
    <w:link w:val="7"/>
    <w:qFormat/>
    <w:uiPriority w:val="0"/>
    <w:rPr>
      <w:rFonts w:ascii="Calibri" w:hAnsi="Calibri" w:eastAsia="黑体" w:cs="Times New Roman"/>
      <w:b/>
      <w:bCs/>
      <w:sz w:val="28"/>
      <w:szCs w:val="24"/>
    </w:rPr>
  </w:style>
  <w:style w:type="character" w:customStyle="1" w:styleId="568">
    <w:name w:val="标题 7 字符1"/>
    <w:link w:val="8"/>
    <w:qFormat/>
    <w:uiPriority w:val="0"/>
    <w:rPr>
      <w:rFonts w:ascii="Calibri" w:hAnsi="Calibri" w:eastAsia="黑体" w:cs="Times New Roman"/>
      <w:b/>
      <w:bCs/>
    </w:rPr>
  </w:style>
  <w:style w:type="character" w:customStyle="1" w:styleId="569">
    <w:name w:val="标题 8 字符"/>
    <w:link w:val="9"/>
    <w:qFormat/>
    <w:uiPriority w:val="0"/>
    <w:rPr>
      <w:rFonts w:ascii="Calibri" w:hAnsi="Calibri" w:eastAsia="黑体" w:cs="Times New Roman"/>
    </w:rPr>
  </w:style>
  <w:style w:type="character" w:customStyle="1" w:styleId="570">
    <w:name w:val="标题 9 字符"/>
    <w:link w:val="10"/>
    <w:qFormat/>
    <w:uiPriority w:val="0"/>
    <w:rPr>
      <w:rFonts w:ascii="Calibri" w:hAnsi="Calibri" w:eastAsia="黑体" w:cs="Times New Roman"/>
      <w:b/>
    </w:rPr>
  </w:style>
  <w:style w:type="character" w:customStyle="1" w:styleId="571">
    <w:name w:val="脚注文本 字符"/>
    <w:basedOn w:val="59"/>
    <w:link w:val="43"/>
    <w:qFormat/>
    <w:uiPriority w:val="99"/>
    <w:rPr>
      <w:rFonts w:ascii="Times New Roman" w:hAnsi="Times New Roman" w:eastAsia="宋体" w:cs="Times New Roman"/>
      <w:sz w:val="18"/>
    </w:rPr>
  </w:style>
  <w:style w:type="character" w:customStyle="1" w:styleId="572">
    <w:name w:val="页眉 字符"/>
    <w:basedOn w:val="59"/>
    <w:link w:val="38"/>
    <w:qFormat/>
    <w:uiPriority w:val="99"/>
    <w:rPr>
      <w:sz w:val="18"/>
      <w:szCs w:val="18"/>
    </w:rPr>
  </w:style>
  <w:style w:type="character" w:customStyle="1" w:styleId="573">
    <w:name w:val="页脚 字符"/>
    <w:basedOn w:val="59"/>
    <w:link w:val="36"/>
    <w:qFormat/>
    <w:uiPriority w:val="99"/>
    <w:rPr>
      <w:sz w:val="18"/>
      <w:szCs w:val="18"/>
    </w:rPr>
  </w:style>
  <w:style w:type="character" w:customStyle="1" w:styleId="574">
    <w:name w:val="题注 字符"/>
    <w:link w:val="17"/>
    <w:qFormat/>
    <w:uiPriority w:val="0"/>
    <w:rPr>
      <w:rFonts w:ascii="Calibri" w:hAnsi="Calibri" w:eastAsia="仿宋" w:cstheme="majorBidi"/>
      <w:b/>
      <w:bCs/>
      <w:color w:val="4F81BD"/>
      <w:sz w:val="18"/>
      <w:szCs w:val="18"/>
      <w:lang w:eastAsia="en-US" w:bidi="en-US"/>
    </w:rPr>
  </w:style>
  <w:style w:type="character" w:customStyle="1" w:styleId="575">
    <w:name w:val="标题 字符1"/>
    <w:link w:val="53"/>
    <w:qFormat/>
    <w:uiPriority w:val="0"/>
    <w:rPr>
      <w:rFonts w:ascii="Cambria" w:hAnsi="Cambria" w:eastAsia="仿宋"/>
      <w:color w:val="17365D"/>
      <w:spacing w:val="5"/>
      <w:sz w:val="52"/>
      <w:szCs w:val="52"/>
      <w:lang w:eastAsia="en-US" w:bidi="en-US"/>
    </w:rPr>
  </w:style>
  <w:style w:type="character" w:customStyle="1" w:styleId="576">
    <w:name w:val="副标题 字符"/>
    <w:link w:val="41"/>
    <w:qFormat/>
    <w:uiPriority w:val="11"/>
    <w:rPr>
      <w:rFonts w:ascii="Cambria" w:hAnsi="Cambria" w:eastAsia="仿宋"/>
      <w:i/>
      <w:iCs/>
      <w:color w:val="4F81BD"/>
      <w:spacing w:val="15"/>
      <w:sz w:val="24"/>
      <w:szCs w:val="24"/>
      <w:lang w:eastAsia="en-US" w:bidi="en-US"/>
    </w:rPr>
  </w:style>
  <w:style w:type="character" w:customStyle="1" w:styleId="577">
    <w:name w:val="正文文本缩进 3 字符"/>
    <w:link w:val="45"/>
    <w:qFormat/>
    <w:uiPriority w:val="0"/>
    <w:rPr>
      <w:rFonts w:ascii="宋体" w:hAnsi="宋体" w:eastAsia="仿宋"/>
      <w:sz w:val="24"/>
      <w:szCs w:val="24"/>
    </w:rPr>
  </w:style>
  <w:style w:type="character" w:customStyle="1" w:styleId="578">
    <w:name w:val="文档结构图 字符"/>
    <w:link w:val="19"/>
    <w:qFormat/>
    <w:uiPriority w:val="0"/>
    <w:rPr>
      <w:rFonts w:eastAsia="仿宋"/>
      <w:sz w:val="24"/>
      <w:shd w:val="clear" w:color="auto" w:fill="000080"/>
      <w:lang w:eastAsia="en-US" w:bidi="en-US"/>
    </w:rPr>
  </w:style>
  <w:style w:type="character" w:customStyle="1" w:styleId="579">
    <w:name w:val="纯文本 字符"/>
    <w:link w:val="30"/>
    <w:qFormat/>
    <w:uiPriority w:val="0"/>
    <w:rPr>
      <w:rFonts w:ascii="宋体" w:hAnsi="Courier New" w:eastAsia="仿宋"/>
      <w:sz w:val="24"/>
      <w:lang w:eastAsia="en-US"/>
    </w:rPr>
  </w:style>
  <w:style w:type="character" w:customStyle="1" w:styleId="580">
    <w:name w:val="批注框文本 字符"/>
    <w:link w:val="35"/>
    <w:qFormat/>
    <w:uiPriority w:val="99"/>
    <w:rPr>
      <w:sz w:val="18"/>
      <w:szCs w:val="18"/>
    </w:rPr>
  </w:style>
  <w:style w:type="paragraph" w:styleId="581">
    <w:name w:val="No Spacing"/>
    <w:link w:val="615"/>
    <w:qFormat/>
    <w:uiPriority w:val="1"/>
    <w:rPr>
      <w:rFonts w:ascii="Calibri" w:hAnsi="Calibri" w:eastAsia="宋体" w:cs="Times New Roman"/>
      <w:sz w:val="22"/>
      <w:szCs w:val="22"/>
      <w:lang w:val="en-US" w:eastAsia="en-US" w:bidi="en-US"/>
    </w:rPr>
  </w:style>
  <w:style w:type="paragraph" w:styleId="582">
    <w:name w:val="List Paragraph"/>
    <w:basedOn w:val="1"/>
    <w:link w:val="583"/>
    <w:qFormat/>
    <w:uiPriority w:val="34"/>
    <w:pPr>
      <w:ind w:firstLine="420"/>
    </w:pPr>
    <w:rPr>
      <w:sz w:val="20"/>
      <w:szCs w:val="20"/>
    </w:rPr>
  </w:style>
  <w:style w:type="character" w:customStyle="1" w:styleId="583">
    <w:name w:val="列表段落 字符"/>
    <w:link w:val="582"/>
    <w:qFormat/>
    <w:uiPriority w:val="34"/>
  </w:style>
  <w:style w:type="paragraph" w:styleId="584">
    <w:name w:val="Quote"/>
    <w:basedOn w:val="1"/>
    <w:next w:val="1"/>
    <w:link w:val="585"/>
    <w:qFormat/>
    <w:uiPriority w:val="29"/>
    <w:pPr>
      <w:widowControl/>
      <w:spacing w:after="200" w:line="360" w:lineRule="auto"/>
      <w:ind w:firstLine="200"/>
      <w:jc w:val="left"/>
    </w:pPr>
    <w:rPr>
      <w:rFonts w:ascii="Times New Roman" w:hAnsi="Times New Roman" w:eastAsia="仿宋"/>
      <w:i/>
      <w:iCs/>
      <w:color w:val="000080"/>
      <w:sz w:val="28"/>
      <w:szCs w:val="24"/>
    </w:rPr>
  </w:style>
  <w:style w:type="character" w:customStyle="1" w:styleId="585">
    <w:name w:val="引用 字符"/>
    <w:link w:val="584"/>
    <w:qFormat/>
    <w:uiPriority w:val="29"/>
    <w:rPr>
      <w:rFonts w:ascii="Times New Roman" w:hAnsi="Times New Roman" w:eastAsia="仿宋"/>
      <w:i/>
      <w:iCs/>
      <w:color w:val="000080"/>
      <w:sz w:val="28"/>
      <w:szCs w:val="24"/>
    </w:rPr>
  </w:style>
  <w:style w:type="paragraph" w:styleId="586">
    <w:name w:val="Intense Quote"/>
    <w:basedOn w:val="1"/>
    <w:next w:val="1"/>
    <w:link w:val="587"/>
    <w:qFormat/>
    <w:uiPriority w:val="30"/>
    <w:pPr>
      <w:widowControl/>
      <w:pBdr>
        <w:bottom w:val="single" w:color="4F81BD" w:sz="4" w:space="4"/>
      </w:pBdr>
      <w:spacing w:before="200" w:after="280" w:line="360" w:lineRule="auto"/>
      <w:ind w:left="936" w:right="936" w:firstLine="200"/>
      <w:jc w:val="left"/>
    </w:pPr>
    <w:rPr>
      <w:rFonts w:ascii="Times New Roman" w:hAnsi="Times New Roman" w:eastAsia="仿宋"/>
      <w:b/>
      <w:bCs/>
      <w:i/>
      <w:iCs/>
      <w:color w:val="4F81BD"/>
      <w:sz w:val="28"/>
      <w:szCs w:val="24"/>
    </w:rPr>
  </w:style>
  <w:style w:type="character" w:customStyle="1" w:styleId="587">
    <w:name w:val="明显引用 字符"/>
    <w:link w:val="586"/>
    <w:qFormat/>
    <w:uiPriority w:val="30"/>
    <w:rPr>
      <w:rFonts w:ascii="Times New Roman" w:hAnsi="Times New Roman" w:eastAsia="仿宋"/>
      <w:b/>
      <w:bCs/>
      <w:i/>
      <w:iCs/>
      <w:color w:val="4F81BD"/>
      <w:sz w:val="28"/>
      <w:szCs w:val="24"/>
    </w:rPr>
  </w:style>
  <w:style w:type="paragraph" w:customStyle="1" w:styleId="588">
    <w:name w:val="my正文"/>
    <w:basedOn w:val="1"/>
    <w:link w:val="639"/>
    <w:qFormat/>
    <w:uiPriority w:val="0"/>
    <w:pPr>
      <w:spacing w:line="360" w:lineRule="auto"/>
      <w:ind w:firstLine="480"/>
    </w:pPr>
    <w:rPr>
      <w:rFonts w:ascii="Times New Roman" w:hAnsi="Times New Roman" w:eastAsia="宋体" w:cs="Times New Roman"/>
      <w:sz w:val="24"/>
      <w:szCs w:val="24"/>
    </w:rPr>
  </w:style>
  <w:style w:type="character" w:customStyle="1" w:styleId="589">
    <w:name w:val="正文文本 3 字符"/>
    <w:basedOn w:val="59"/>
    <w:link w:val="21"/>
    <w:qFormat/>
    <w:uiPriority w:val="0"/>
    <w:rPr>
      <w:rFonts w:ascii="仿宋_GB2312" w:hAnsi="Arial" w:eastAsia="仿宋_GB2312" w:cs="Times New Roman"/>
      <w:sz w:val="32"/>
      <w:szCs w:val="32"/>
    </w:rPr>
  </w:style>
  <w:style w:type="character" w:customStyle="1" w:styleId="590">
    <w:name w:val="正文文本缩进 字符"/>
    <w:basedOn w:val="59"/>
    <w:link w:val="23"/>
    <w:qFormat/>
    <w:uiPriority w:val="0"/>
    <w:rPr>
      <w:rFonts w:ascii="Arial" w:hAnsi="Arial" w:eastAsia="Arial" w:cs="Arial"/>
      <w:color w:val="000000"/>
      <w:sz w:val="21"/>
      <w:szCs w:val="21"/>
    </w:rPr>
  </w:style>
  <w:style w:type="character" w:customStyle="1" w:styleId="591">
    <w:name w:val="日期 字符"/>
    <w:basedOn w:val="59"/>
    <w:link w:val="32"/>
    <w:qFormat/>
    <w:uiPriority w:val="99"/>
    <w:rPr>
      <w:rFonts w:ascii="宋体" w:hAnsi="宋体" w:eastAsia="宋体" w:cs="Times New Roman"/>
      <w:color w:val="000000" w:themeColor="text1"/>
      <w:sz w:val="24"/>
      <w:szCs w:val="24"/>
      <w14:textFill>
        <w14:solidFill>
          <w14:schemeClr w14:val="tx1"/>
        </w14:solidFill>
      </w14:textFill>
    </w:rPr>
  </w:style>
  <w:style w:type="character" w:customStyle="1" w:styleId="592">
    <w:name w:val="正文文本缩进 2 字符"/>
    <w:basedOn w:val="59"/>
    <w:link w:val="33"/>
    <w:qFormat/>
    <w:uiPriority w:val="0"/>
    <w:rPr>
      <w:rFonts w:ascii="Arial" w:hAnsi="Arial" w:eastAsia="仿宋_GB2312" w:cs="Arial"/>
      <w:sz w:val="32"/>
      <w:szCs w:val="32"/>
    </w:rPr>
  </w:style>
  <w:style w:type="character" w:customStyle="1" w:styleId="593">
    <w:name w:val="尾注文本 字符"/>
    <w:basedOn w:val="59"/>
    <w:link w:val="34"/>
    <w:semiHidden/>
    <w:qFormat/>
    <w:uiPriority w:val="99"/>
    <w:rPr>
      <w:rFonts w:ascii="Times New Roman" w:hAnsi="Times New Roman" w:eastAsia="宋体" w:cs="Times New Roman"/>
      <w:szCs w:val="21"/>
    </w:rPr>
  </w:style>
  <w:style w:type="character" w:customStyle="1" w:styleId="594">
    <w:name w:val="正文文本 2 字符"/>
    <w:basedOn w:val="59"/>
    <w:link w:val="49"/>
    <w:qFormat/>
    <w:uiPriority w:val="0"/>
    <w:rPr>
      <w:rFonts w:ascii="楷体_GB2312" w:hAnsi="Times New Roman" w:eastAsia="楷体_GB2312" w:cs="Times New Roman"/>
      <w:sz w:val="28"/>
      <w:szCs w:val="28"/>
    </w:rPr>
  </w:style>
  <w:style w:type="character" w:customStyle="1" w:styleId="595">
    <w:name w:val="HTML 预设格式 字符"/>
    <w:basedOn w:val="59"/>
    <w:link w:val="50"/>
    <w:qFormat/>
    <w:uiPriority w:val="99"/>
    <w:rPr>
      <w:rFonts w:ascii="Courier New" w:hAnsi="Courier New"/>
      <w:szCs w:val="24"/>
    </w:rPr>
  </w:style>
  <w:style w:type="character" w:customStyle="1" w:styleId="596">
    <w:name w:val="批注主题 字符"/>
    <w:basedOn w:val="214"/>
    <w:link w:val="54"/>
    <w:qFormat/>
    <w:uiPriority w:val="0"/>
    <w:rPr>
      <w:rFonts w:ascii="宋体" w:hAnsi="宋体" w:eastAsia="宋体"/>
      <w:b/>
      <w:bCs/>
      <w:sz w:val="24"/>
      <w:szCs w:val="24"/>
    </w:rPr>
  </w:style>
  <w:style w:type="character" w:customStyle="1" w:styleId="597">
    <w:name w:val="正文文本首行缩进 字符"/>
    <w:basedOn w:val="236"/>
    <w:link w:val="55"/>
    <w:qFormat/>
    <w:uiPriority w:val="99"/>
    <w:rPr>
      <w:rFonts w:ascii="Calibri" w:hAnsi="Calibri" w:eastAsia="仿宋" w:cs="Times New Roman"/>
      <w:sz w:val="24"/>
      <w:szCs w:val="24"/>
    </w:rPr>
  </w:style>
  <w:style w:type="character" w:customStyle="1" w:styleId="598">
    <w:name w:val="正文文本首行缩进 2 字符"/>
    <w:basedOn w:val="590"/>
    <w:link w:val="56"/>
    <w:qFormat/>
    <w:uiPriority w:val="99"/>
    <w:rPr>
      <w:rFonts w:ascii="Arial" w:hAnsi="Arial" w:eastAsia="Arial" w:cs="Arial"/>
      <w:color w:val="000000"/>
      <w:sz w:val="21"/>
      <w:szCs w:val="22"/>
    </w:rPr>
  </w:style>
  <w:style w:type="paragraph" w:customStyle="1" w:styleId="599">
    <w:name w:val="题注格式"/>
    <w:basedOn w:val="17"/>
    <w:link w:val="601"/>
    <w:qFormat/>
    <w:uiPriority w:val="0"/>
    <w:pPr>
      <w:widowControl w:val="0"/>
      <w:spacing w:after="0" w:line="360" w:lineRule="auto"/>
      <w:ind w:firstLine="0"/>
      <w:jc w:val="center"/>
    </w:pPr>
    <w:rPr>
      <w:rFonts w:ascii="宋体" w:hAnsi="宋体" w:eastAsia="宋体"/>
      <w:bCs w:val="0"/>
      <w:sz w:val="21"/>
      <w:szCs w:val="21"/>
    </w:rPr>
  </w:style>
  <w:style w:type="paragraph" w:customStyle="1" w:styleId="600">
    <w:name w:val="图片格式"/>
    <w:basedOn w:val="1"/>
    <w:link w:val="603"/>
    <w:qFormat/>
    <w:uiPriority w:val="0"/>
    <w:pPr>
      <w:keepNext/>
      <w:spacing w:line="360" w:lineRule="auto"/>
      <w:jc w:val="center"/>
    </w:pPr>
    <w:rPr>
      <w:rFonts w:ascii="宋体" w:hAnsi="宋体" w:eastAsia="宋体"/>
      <w:sz w:val="24"/>
      <w:szCs w:val="24"/>
    </w:rPr>
  </w:style>
  <w:style w:type="character" w:customStyle="1" w:styleId="601">
    <w:name w:val="题注格式 字符"/>
    <w:basedOn w:val="574"/>
    <w:link w:val="599"/>
    <w:qFormat/>
    <w:uiPriority w:val="0"/>
    <w:rPr>
      <w:rFonts w:ascii="宋体" w:hAnsi="宋体" w:eastAsia="宋体" w:cstheme="majorBidi"/>
      <w:bCs w:val="0"/>
      <w:color w:val="4F81BD"/>
      <w:sz w:val="21"/>
      <w:szCs w:val="21"/>
      <w:lang w:eastAsia="en-US" w:bidi="en-US"/>
    </w:rPr>
  </w:style>
  <w:style w:type="paragraph" w:customStyle="1" w:styleId="602">
    <w:name w:val="表格格式"/>
    <w:basedOn w:val="414"/>
    <w:link w:val="604"/>
    <w:qFormat/>
    <w:uiPriority w:val="0"/>
    <w:pPr>
      <w:widowControl/>
      <w:spacing w:line="240" w:lineRule="auto"/>
      <w:jc w:val="center"/>
    </w:pPr>
    <w:rPr>
      <w:bCs/>
      <w:szCs w:val="32"/>
    </w:rPr>
  </w:style>
  <w:style w:type="character" w:customStyle="1" w:styleId="603">
    <w:name w:val="图片格式 字符"/>
    <w:basedOn w:val="59"/>
    <w:link w:val="600"/>
    <w:qFormat/>
    <w:uiPriority w:val="0"/>
    <w:rPr>
      <w:rFonts w:ascii="宋体" w:hAnsi="宋体" w:eastAsia="宋体"/>
      <w:sz w:val="24"/>
      <w:szCs w:val="24"/>
    </w:rPr>
  </w:style>
  <w:style w:type="character" w:customStyle="1" w:styleId="604">
    <w:name w:val="表格格式 字符"/>
    <w:basedOn w:val="59"/>
    <w:link w:val="602"/>
    <w:qFormat/>
    <w:uiPriority w:val="0"/>
    <w:rPr>
      <w:rFonts w:ascii="Times New Roman" w:hAnsi="Times New Roman" w:eastAsia="宋体" w:cs="Times New Roman"/>
      <w:bCs/>
      <w:sz w:val="21"/>
      <w:szCs w:val="32"/>
    </w:rPr>
  </w:style>
  <w:style w:type="paragraph" w:customStyle="1" w:styleId="605">
    <w:name w:val="TOC 标题11"/>
    <w:basedOn w:val="2"/>
    <w:next w:val="1"/>
    <w:unhideWhenUsed/>
    <w:qFormat/>
    <w:uiPriority w:val="39"/>
    <w:pPr>
      <w:widowControl/>
      <w:tabs>
        <w:tab w:val="clear" w:pos="879"/>
      </w:tabs>
      <w:spacing w:before="0" w:after="0" w:line="259" w:lineRule="auto"/>
      <w:jc w:val="left"/>
      <w:outlineLvl w:val="9"/>
    </w:pPr>
    <w:rPr>
      <w:rFonts w:asciiTheme="majorHAnsi" w:hAnsiTheme="majorHAnsi" w:eastAsiaTheme="majorEastAsia" w:cstheme="majorBidi"/>
      <w:b w:val="0"/>
      <w:bCs w:val="0"/>
      <w:color w:val="2E75B6" w:themeColor="accent1" w:themeShade="BF"/>
      <w:spacing w:val="0"/>
      <w:sz w:val="32"/>
      <w:szCs w:val="32"/>
    </w:rPr>
  </w:style>
  <w:style w:type="table" w:customStyle="1" w:styleId="606">
    <w:name w:val="Table Normal"/>
    <w:semiHidden/>
    <w:unhideWhenUsed/>
    <w:qFormat/>
    <w:uiPriority w:val="0"/>
    <w:tblPr>
      <w:tblCellMar>
        <w:top w:w="0" w:type="dxa"/>
        <w:left w:w="0" w:type="dxa"/>
        <w:bottom w:w="0" w:type="dxa"/>
        <w:right w:w="0" w:type="dxa"/>
      </w:tblCellMar>
    </w:tblPr>
  </w:style>
  <w:style w:type="paragraph" w:customStyle="1" w:styleId="607">
    <w:name w:val="列表段落1"/>
    <w:basedOn w:val="1"/>
    <w:qFormat/>
    <w:uiPriority w:val="34"/>
    <w:pPr>
      <w:widowControl/>
      <w:ind w:firstLine="420"/>
      <w:jc w:val="left"/>
    </w:pPr>
    <w:rPr>
      <w:rFonts w:ascii="Arial" w:hAnsi="Arial" w:eastAsia="Arial" w:cs="Arial"/>
      <w:color w:val="000000"/>
      <w:szCs w:val="21"/>
    </w:rPr>
  </w:style>
  <w:style w:type="table" w:customStyle="1" w:styleId="608">
    <w:name w:val="网格型1"/>
    <w:basedOn w:val="57"/>
    <w:qFormat/>
    <w:uiPriority w:val="5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609">
    <w:name w:val="网格型2"/>
    <w:basedOn w:val="57"/>
    <w:qFormat/>
    <w:uiPriority w:val="59"/>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610">
    <w:name w:val="标题 22"/>
    <w:basedOn w:val="1"/>
    <w:next w:val="1"/>
    <w:qFormat/>
    <w:uiPriority w:val="0"/>
    <w:pPr>
      <w:keepNext/>
      <w:keepLines/>
      <w:widowControl/>
      <w:numPr>
        <w:ilvl w:val="0"/>
        <w:numId w:val="3"/>
      </w:numPr>
      <w:spacing w:before="120" w:after="120"/>
      <w:ind w:firstLine="200"/>
      <w:jc w:val="left"/>
    </w:pPr>
    <w:rPr>
      <w:rFonts w:ascii="Cambria" w:hAnsi="Cambria" w:eastAsia="楷体" w:cs="Arial"/>
      <w:color w:val="000000"/>
      <w:szCs w:val="21"/>
    </w:rPr>
  </w:style>
  <w:style w:type="character" w:customStyle="1" w:styleId="611">
    <w:name w:val="font11"/>
    <w:basedOn w:val="59"/>
    <w:qFormat/>
    <w:uiPriority w:val="0"/>
    <w:rPr>
      <w:rFonts w:hint="eastAsia" w:ascii="宋体" w:hAnsi="宋体" w:eastAsia="宋体" w:cs="宋体"/>
      <w:b/>
      <w:bCs/>
      <w:color w:val="000000"/>
      <w:sz w:val="24"/>
      <w:szCs w:val="24"/>
      <w:u w:val="none"/>
    </w:rPr>
  </w:style>
  <w:style w:type="table" w:customStyle="1" w:styleId="612">
    <w:name w:val="网格型浅色1"/>
    <w:basedOn w:val="57"/>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613">
    <w:name w:val="Table Paragraph"/>
    <w:basedOn w:val="1"/>
    <w:qFormat/>
    <w:uiPriority w:val="1"/>
    <w:pPr>
      <w:widowControl/>
      <w:jc w:val="left"/>
    </w:pPr>
    <w:rPr>
      <w:rFonts w:ascii="方正仿宋_GBK" w:hAnsi="方正仿宋_GBK" w:eastAsia="方正仿宋_GBK" w:cs="方正仿宋_GBK"/>
      <w:sz w:val="22"/>
      <w:lang w:eastAsia="en-US"/>
    </w:rPr>
  </w:style>
  <w:style w:type="paragraph" w:customStyle="1" w:styleId="614">
    <w:name w:val="正文格式"/>
    <w:basedOn w:val="1"/>
    <w:link w:val="627"/>
    <w:qFormat/>
    <w:uiPriority w:val="0"/>
    <w:pPr>
      <w:spacing w:line="276" w:lineRule="auto"/>
      <w:ind w:firstLine="480"/>
    </w:pPr>
    <w:rPr>
      <w:rFonts w:ascii="方正仿宋_GBK" w:hAnsi="Times New Roman" w:eastAsia="方正仿宋_GBK" w:cs="Times New Roman"/>
      <w:sz w:val="24"/>
      <w:szCs w:val="24"/>
    </w:rPr>
  </w:style>
  <w:style w:type="character" w:customStyle="1" w:styleId="615">
    <w:name w:val="无间隔 字符"/>
    <w:basedOn w:val="59"/>
    <w:link w:val="581"/>
    <w:qFormat/>
    <w:uiPriority w:val="1"/>
    <w:rPr>
      <w:rFonts w:ascii="Calibri" w:hAnsi="Calibri" w:eastAsia="宋体" w:cs="Times New Roman"/>
      <w:sz w:val="22"/>
      <w:szCs w:val="22"/>
      <w:lang w:eastAsia="en-US" w:bidi="en-US"/>
    </w:rPr>
  </w:style>
  <w:style w:type="paragraph" w:customStyle="1" w:styleId="616">
    <w:name w:val="TOC 标题2"/>
    <w:basedOn w:val="2"/>
    <w:next w:val="1"/>
    <w:unhideWhenUsed/>
    <w:qFormat/>
    <w:uiPriority w:val="39"/>
    <w:pPr>
      <w:widowControl/>
      <w:tabs>
        <w:tab w:val="clear" w:pos="879"/>
      </w:tabs>
      <w:spacing w:before="0" w:after="0" w:line="259" w:lineRule="auto"/>
      <w:jc w:val="left"/>
      <w:outlineLvl w:val="9"/>
    </w:pPr>
    <w:rPr>
      <w:rFonts w:asciiTheme="majorHAnsi" w:hAnsiTheme="majorHAnsi" w:eastAsiaTheme="majorEastAsia" w:cstheme="majorBidi"/>
      <w:b w:val="0"/>
      <w:bCs w:val="0"/>
      <w:color w:val="2E75B6" w:themeColor="accent1" w:themeShade="BF"/>
      <w:spacing w:val="0"/>
      <w:sz w:val="32"/>
      <w:szCs w:val="32"/>
    </w:rPr>
  </w:style>
  <w:style w:type="paragraph" w:customStyle="1" w:styleId="617">
    <w:name w:val="正文（首行缩进2字符）"/>
    <w:basedOn w:val="1"/>
    <w:link w:val="618"/>
    <w:qFormat/>
    <w:uiPriority w:val="0"/>
    <w:pPr>
      <w:spacing w:line="360" w:lineRule="auto"/>
      <w:ind w:firstLine="480"/>
    </w:pPr>
    <w:rPr>
      <w:rFonts w:ascii="Times New Roman" w:hAnsi="Times New Roman" w:eastAsia="宋体" w:cs="Times New Roman"/>
      <w:color w:val="000000" w:themeColor="text1"/>
      <w:sz w:val="24"/>
      <w14:textFill>
        <w14:solidFill>
          <w14:schemeClr w14:val="tx1"/>
        </w14:solidFill>
      </w14:textFill>
      <w14:ligatures w14:val="standardContextual"/>
    </w:rPr>
  </w:style>
  <w:style w:type="character" w:customStyle="1" w:styleId="618">
    <w:name w:val="正文（首行缩进2字符） 字符"/>
    <w:basedOn w:val="59"/>
    <w:link w:val="617"/>
    <w:qFormat/>
    <w:uiPriority w:val="0"/>
    <w:rPr>
      <w:rFonts w:ascii="Times New Roman" w:hAnsi="Times New Roman" w:eastAsia="宋体" w:cs="Times New Roman"/>
      <w:color w:val="000000" w:themeColor="text1"/>
      <w:sz w:val="24"/>
      <w:szCs w:val="22"/>
      <w14:textFill>
        <w14:solidFill>
          <w14:schemeClr w14:val="tx1"/>
        </w14:solidFill>
      </w14:textFill>
      <w14:ligatures w14:val="standardContextual"/>
    </w:rPr>
  </w:style>
  <w:style w:type="paragraph" w:customStyle="1" w:styleId="619">
    <w:name w:val="H0正文标准样式"/>
    <w:basedOn w:val="1"/>
    <w:link w:val="620"/>
    <w:qFormat/>
    <w:uiPriority w:val="0"/>
    <w:pPr>
      <w:spacing w:line="360" w:lineRule="auto"/>
      <w:ind w:firstLine="480"/>
    </w:pPr>
    <w:rPr>
      <w:rFonts w:ascii="宋体" w:hAnsi="宋体" w:eastAsia="宋体" w:cs="Times New Roman"/>
      <w:color w:val="000000" w:themeColor="text1"/>
      <w:sz w:val="24"/>
      <w14:textFill>
        <w14:solidFill>
          <w14:schemeClr w14:val="tx1"/>
        </w14:solidFill>
      </w14:textFill>
    </w:rPr>
  </w:style>
  <w:style w:type="character" w:customStyle="1" w:styleId="620">
    <w:name w:val="H0正文标准样式 Char"/>
    <w:basedOn w:val="59"/>
    <w:link w:val="619"/>
    <w:qFormat/>
    <w:uiPriority w:val="0"/>
    <w:rPr>
      <w:rFonts w:ascii="宋体" w:hAnsi="宋体" w:eastAsia="宋体" w:cs="Times New Roman"/>
      <w:color w:val="000000" w:themeColor="text1"/>
      <w:sz w:val="24"/>
      <w:szCs w:val="22"/>
      <w14:textFill>
        <w14:solidFill>
          <w14:schemeClr w14:val="tx1"/>
        </w14:solidFill>
      </w14:textFill>
    </w:rPr>
  </w:style>
  <w:style w:type="paragraph" w:customStyle="1" w:styleId="621">
    <w:name w:val="生命线正文"/>
    <w:basedOn w:val="1"/>
    <w:link w:val="994"/>
    <w:qFormat/>
    <w:uiPriority w:val="0"/>
    <w:pPr>
      <w:spacing w:line="360" w:lineRule="auto"/>
      <w:ind w:firstLine="480"/>
    </w:pPr>
    <w:rPr>
      <w:rFonts w:ascii="宋体" w:hAnsi="宋体" w:eastAsia="宋体" w:cs="Times New Roman"/>
      <w:color w:val="000000" w:themeColor="text1"/>
      <w:sz w:val="24"/>
      <w:szCs w:val="24"/>
      <w14:textFill>
        <w14:solidFill>
          <w14:schemeClr w14:val="tx1"/>
        </w14:solidFill>
      </w14:textFill>
      <w14:ligatures w14:val="standardContextual"/>
    </w:rPr>
  </w:style>
  <w:style w:type="paragraph" w:customStyle="1" w:styleId="622">
    <w:name w:val="☆正文"/>
    <w:basedOn w:val="1"/>
    <w:qFormat/>
    <w:uiPriority w:val="0"/>
    <w:pPr>
      <w:spacing w:line="360" w:lineRule="auto"/>
      <w:ind w:firstLine="200"/>
    </w:pPr>
    <w:rPr>
      <w:rFonts w:ascii="宋体" w:hAnsi="等线" w:eastAsia="宋体" w:cs="Times New Roman"/>
      <w:sz w:val="24"/>
    </w:rPr>
  </w:style>
  <w:style w:type="character" w:customStyle="1" w:styleId="623">
    <w:name w:val="未处理的提及1"/>
    <w:basedOn w:val="59"/>
    <w:semiHidden/>
    <w:unhideWhenUsed/>
    <w:qFormat/>
    <w:uiPriority w:val="99"/>
    <w:rPr>
      <w:color w:val="605E5C"/>
      <w:shd w:val="clear" w:color="auto" w:fill="E1DFDD"/>
    </w:rPr>
  </w:style>
  <w:style w:type="character" w:customStyle="1" w:styleId="624">
    <w:name w:val="正文缩进 字符"/>
    <w:link w:val="16"/>
    <w:qFormat/>
    <w:uiPriority w:val="0"/>
    <w:rPr>
      <w:rFonts w:ascii="Times New Roman" w:hAnsi="Times New Roman" w:eastAsia="宋体"/>
      <w:sz w:val="28"/>
      <w:szCs w:val="24"/>
    </w:rPr>
  </w:style>
  <w:style w:type="paragraph" w:customStyle="1" w:styleId="625">
    <w:name w:val="A 正文"/>
    <w:qFormat/>
    <w:uiPriority w:val="0"/>
    <w:pPr>
      <w:spacing w:line="360" w:lineRule="auto"/>
      <w:ind w:firstLine="480"/>
      <w:jc w:val="both"/>
    </w:pPr>
    <w:rPr>
      <w:rFonts w:ascii="等线" w:hAnsi="等线" w:eastAsia="等线" w:cs="等线"/>
      <w:sz w:val="24"/>
      <w:szCs w:val="22"/>
      <w:lang w:val="en-US" w:eastAsia="zh-CN" w:bidi="ar-SA"/>
    </w:rPr>
  </w:style>
  <w:style w:type="paragraph" w:customStyle="1" w:styleId="626">
    <w:name w:val="!正文"/>
    <w:basedOn w:val="1"/>
    <w:link w:val="644"/>
    <w:qFormat/>
    <w:uiPriority w:val="0"/>
    <w:pPr>
      <w:spacing w:before="120" w:after="120" w:line="360" w:lineRule="auto"/>
      <w:ind w:firstLine="439"/>
      <w:jc w:val="left"/>
    </w:pPr>
    <w:rPr>
      <w:rFonts w:ascii="Arial" w:hAnsi="Arial" w:eastAsia="宋体" w:cs="Arial"/>
      <w:color w:val="000000"/>
      <w:sz w:val="24"/>
      <w:szCs w:val="24"/>
    </w:rPr>
  </w:style>
  <w:style w:type="character" w:customStyle="1" w:styleId="627">
    <w:name w:val="正文格式 字符"/>
    <w:link w:val="614"/>
    <w:qFormat/>
    <w:uiPriority w:val="0"/>
    <w:rPr>
      <w:rFonts w:ascii="方正仿宋_GBK" w:hAnsi="Times New Roman" w:eastAsia="方正仿宋_GBK" w:cs="Times New Roman"/>
      <w:sz w:val="24"/>
      <w:szCs w:val="24"/>
    </w:rPr>
  </w:style>
  <w:style w:type="paragraph" w:customStyle="1" w:styleId="628">
    <w:name w:val="CIM正文"/>
    <w:basedOn w:val="1"/>
    <w:qFormat/>
    <w:uiPriority w:val="0"/>
    <w:pPr>
      <w:spacing w:line="360" w:lineRule="auto"/>
    </w:pPr>
    <w:rPr>
      <w:rFonts w:ascii="Times New Roman" w:hAnsi="Times New Roman" w:eastAsia="宋体" w:cs="Times New Roman"/>
      <w:sz w:val="24"/>
      <w:szCs w:val="24"/>
    </w:rPr>
  </w:style>
  <w:style w:type="character" w:customStyle="1" w:styleId="629">
    <w:name w:val="未处理的提及2"/>
    <w:basedOn w:val="59"/>
    <w:semiHidden/>
    <w:unhideWhenUsed/>
    <w:qFormat/>
    <w:uiPriority w:val="99"/>
    <w:rPr>
      <w:color w:val="605E5C"/>
      <w:shd w:val="clear" w:color="auto" w:fill="E1DFDD"/>
    </w:rPr>
  </w:style>
  <w:style w:type="paragraph" w:customStyle="1" w:styleId="630">
    <w:name w:val="附表标题样式"/>
    <w:next w:val="1"/>
    <w:link w:val="631"/>
    <w:unhideWhenUsed/>
    <w:qFormat/>
    <w:uiPriority w:val="0"/>
    <w:pPr>
      <w:pageBreakBefore/>
      <w:widowControl w:val="0"/>
      <w:numPr>
        <w:ilvl w:val="0"/>
        <w:numId w:val="4"/>
      </w:numPr>
      <w:spacing w:before="240" w:after="120"/>
      <w:outlineLvl w:val="1"/>
    </w:pPr>
    <w:rPr>
      <w:rFonts w:ascii="Times New Roman" w:hAnsi="Times New Roman" w:eastAsia="宋体" w:cs="Times New Roman"/>
      <w:b/>
      <w:bCs/>
      <w:spacing w:val="20"/>
      <w:sz w:val="36"/>
      <w:szCs w:val="36"/>
      <w:lang w:val="en-US" w:eastAsia="zh-CN" w:bidi="ar-SA"/>
    </w:rPr>
  </w:style>
  <w:style w:type="character" w:customStyle="1" w:styleId="631">
    <w:name w:val="附表标题样式 字符"/>
    <w:basedOn w:val="151"/>
    <w:link w:val="630"/>
    <w:qFormat/>
    <w:uiPriority w:val="0"/>
    <w:rPr>
      <w:rFonts w:ascii="Times New Roman" w:hAnsi="Times New Roman" w:eastAsia="宋体" w:cs="Times New Roman"/>
      <w:spacing w:val="20"/>
      <w:sz w:val="36"/>
      <w:szCs w:val="36"/>
    </w:rPr>
  </w:style>
  <w:style w:type="paragraph" w:customStyle="1" w:styleId="632">
    <w:name w:val="附图标题样式"/>
    <w:next w:val="1"/>
    <w:link w:val="633"/>
    <w:unhideWhenUsed/>
    <w:qFormat/>
    <w:uiPriority w:val="0"/>
    <w:pPr>
      <w:pageBreakBefore/>
      <w:widowControl w:val="0"/>
      <w:numPr>
        <w:ilvl w:val="0"/>
        <w:numId w:val="5"/>
      </w:numPr>
      <w:spacing w:before="240" w:after="120"/>
      <w:outlineLvl w:val="1"/>
    </w:pPr>
    <w:rPr>
      <w:rFonts w:ascii="Times New Roman" w:hAnsi="Times New Roman" w:eastAsia="宋体" w:cs="Times New Roman"/>
      <w:b/>
      <w:bCs/>
      <w:spacing w:val="20"/>
      <w:sz w:val="36"/>
      <w:szCs w:val="36"/>
      <w:lang w:val="en-US" w:eastAsia="zh-CN" w:bidi="ar-SA"/>
    </w:rPr>
  </w:style>
  <w:style w:type="character" w:customStyle="1" w:styleId="633">
    <w:name w:val="附图标题样式 字符"/>
    <w:basedOn w:val="151"/>
    <w:link w:val="632"/>
    <w:qFormat/>
    <w:uiPriority w:val="0"/>
    <w:rPr>
      <w:rFonts w:ascii="Times New Roman" w:hAnsi="Times New Roman" w:eastAsia="宋体" w:cs="Times New Roman"/>
      <w:spacing w:val="20"/>
      <w:sz w:val="36"/>
      <w:szCs w:val="36"/>
    </w:rPr>
  </w:style>
  <w:style w:type="character" w:customStyle="1" w:styleId="634">
    <w:name w:val="bjh-strong"/>
    <w:basedOn w:val="59"/>
    <w:qFormat/>
    <w:uiPriority w:val="0"/>
  </w:style>
  <w:style w:type="paragraph" w:customStyle="1" w:styleId="635">
    <w:name w:val="正文编号2级"/>
    <w:basedOn w:val="56"/>
    <w:qFormat/>
    <w:uiPriority w:val="0"/>
    <w:pPr>
      <w:numPr>
        <w:ilvl w:val="3"/>
        <w:numId w:val="6"/>
      </w:numPr>
      <w:tabs>
        <w:tab w:val="left" w:pos="-5"/>
        <w:tab w:val="left" w:pos="360"/>
        <w:tab w:val="left" w:pos="1559"/>
      </w:tabs>
      <w:spacing w:line="360" w:lineRule="auto"/>
      <w:ind w:left="420" w:firstLine="0"/>
    </w:pPr>
    <w:rPr>
      <w:rFonts w:ascii="宋体" w:hAnsi="宋体" w:eastAsia="宋体" w:cs="Times New Roman"/>
      <w:color w:val="191B1F"/>
      <w:sz w:val="28"/>
      <w:szCs w:val="20"/>
      <w:shd w:val="clear" w:color="auto" w:fill="FFFFFF"/>
    </w:rPr>
  </w:style>
  <w:style w:type="character" w:customStyle="1" w:styleId="636">
    <w:name w:val="未处理的提及3"/>
    <w:basedOn w:val="59"/>
    <w:semiHidden/>
    <w:unhideWhenUsed/>
    <w:qFormat/>
    <w:uiPriority w:val="99"/>
    <w:rPr>
      <w:color w:val="605E5C"/>
      <w:shd w:val="clear" w:color="auto" w:fill="E1DFDD"/>
    </w:rPr>
  </w:style>
  <w:style w:type="paragraph" w:customStyle="1" w:styleId="637">
    <w:name w:val="正文 首行缩进"/>
    <w:basedOn w:val="1"/>
    <w:link w:val="638"/>
    <w:qFormat/>
    <w:uiPriority w:val="0"/>
    <w:pPr>
      <w:widowControl/>
      <w:spacing w:line="360" w:lineRule="auto"/>
      <w:ind w:firstLine="480"/>
      <w:jc w:val="left"/>
    </w:pPr>
    <w:rPr>
      <w:rFonts w:ascii="宋体" w:hAnsi="宋体" w:eastAsia="宋体" w:cs="Times New Roman"/>
      <w:sz w:val="24"/>
    </w:rPr>
  </w:style>
  <w:style w:type="character" w:customStyle="1" w:styleId="638">
    <w:name w:val="正文 首行缩进 Char"/>
    <w:link w:val="637"/>
    <w:qFormat/>
    <w:uiPriority w:val="0"/>
    <w:rPr>
      <w:rFonts w:ascii="宋体" w:hAnsi="宋体" w:eastAsia="宋体" w:cs="Times New Roman"/>
      <w:sz w:val="24"/>
      <w:szCs w:val="22"/>
    </w:rPr>
  </w:style>
  <w:style w:type="character" w:customStyle="1" w:styleId="639">
    <w:name w:val="my正文 Char"/>
    <w:basedOn w:val="59"/>
    <w:link w:val="588"/>
    <w:qFormat/>
    <w:uiPriority w:val="0"/>
    <w:rPr>
      <w:rFonts w:ascii="Times New Roman" w:hAnsi="Times New Roman" w:eastAsia="宋体" w:cs="Times New Roman"/>
      <w:sz w:val="24"/>
      <w:szCs w:val="24"/>
    </w:rPr>
  </w:style>
  <w:style w:type="paragraph" w:customStyle="1" w:styleId="640">
    <w:name w:val="左对齐的表内文字"/>
    <w:basedOn w:val="1"/>
    <w:qFormat/>
    <w:uiPriority w:val="0"/>
    <w:rPr>
      <w:rFonts w:ascii="Times New Roman" w:hAnsi="Times New Roman" w:eastAsia="仿宋_GB2312" w:cs="Times New Roman"/>
      <w:szCs w:val="20"/>
    </w:rPr>
  </w:style>
  <w:style w:type="paragraph" w:customStyle="1" w:styleId="641">
    <w:name w:val="*正文"/>
    <w:basedOn w:val="16"/>
    <w:link w:val="642"/>
    <w:qFormat/>
    <w:uiPriority w:val="0"/>
    <w:pPr>
      <w:ind w:firstLine="482"/>
      <w:jc w:val="both"/>
    </w:pPr>
    <w:rPr>
      <w:rFonts w:ascii="宋体" w:hAnsi="宋体" w:cs="Times New Roman"/>
      <w:sz w:val="21"/>
      <w:szCs w:val="20"/>
    </w:rPr>
  </w:style>
  <w:style w:type="character" w:customStyle="1" w:styleId="642">
    <w:name w:val="*正文 字符1"/>
    <w:link w:val="641"/>
    <w:qFormat/>
    <w:uiPriority w:val="0"/>
    <w:rPr>
      <w:rFonts w:ascii="宋体" w:hAnsi="宋体" w:eastAsia="宋体" w:cs="Times New Roman"/>
      <w:sz w:val="21"/>
    </w:rPr>
  </w:style>
  <w:style w:type="paragraph" w:customStyle="1" w:styleId="643">
    <w:name w:val="表格内文字"/>
    <w:qFormat/>
    <w:uiPriority w:val="0"/>
    <w:pPr>
      <w:jc w:val="center"/>
    </w:pPr>
    <w:rPr>
      <w:rFonts w:ascii="Times New Roman" w:hAnsi="Times New Roman" w:eastAsia="宋体" w:cs="Times New Roman"/>
      <w:sz w:val="21"/>
      <w:szCs w:val="21"/>
      <w:lang w:val="en-US" w:eastAsia="zh-CN" w:bidi="ar-SA"/>
    </w:rPr>
  </w:style>
  <w:style w:type="character" w:customStyle="1" w:styleId="644">
    <w:name w:val="!正文 Char"/>
    <w:link w:val="626"/>
    <w:qFormat/>
    <w:uiPriority w:val="0"/>
    <w:rPr>
      <w:rFonts w:ascii="Arial" w:hAnsi="Arial" w:eastAsia="宋体" w:cs="Arial"/>
      <w:color w:val="000000"/>
      <w:sz w:val="24"/>
      <w:szCs w:val="24"/>
    </w:rPr>
  </w:style>
  <w:style w:type="character" w:customStyle="1" w:styleId="645">
    <w:name w:val="普通(网站) 字符"/>
    <w:link w:val="51"/>
    <w:qFormat/>
    <w:uiPriority w:val="0"/>
    <w:rPr>
      <w:rFonts w:ascii="宋体" w:hAnsi="宋体" w:eastAsia="宋体" w:cs="宋体"/>
      <w:sz w:val="24"/>
      <w:szCs w:val="24"/>
    </w:rPr>
  </w:style>
  <w:style w:type="paragraph" w:customStyle="1" w:styleId="646">
    <w:name w:val="正文首行缩进11"/>
    <w:basedOn w:val="22"/>
    <w:next w:val="38"/>
    <w:semiHidden/>
    <w:qFormat/>
    <w:uiPriority w:val="0"/>
    <w:pPr>
      <w:spacing w:before="100" w:beforeAutospacing="1" w:line="360" w:lineRule="auto"/>
      <w:ind w:firstLine="420"/>
    </w:pPr>
    <w:rPr>
      <w:rFonts w:ascii="Times New Roman" w:hAnsi="Times New Roman" w:eastAsia="宋体" w:cs="宋体"/>
      <w:sz w:val="21"/>
      <w:szCs w:val="21"/>
    </w:rPr>
  </w:style>
  <w:style w:type="paragraph" w:customStyle="1" w:styleId="647">
    <w:name w:val="表格格式（生命线）"/>
    <w:basedOn w:val="1"/>
    <w:link w:val="648"/>
    <w:qFormat/>
    <w:uiPriority w:val="0"/>
    <w:pPr>
      <w:jc w:val="center"/>
    </w:pPr>
    <w:rPr>
      <w:rFonts w:ascii="宋体" w:hAnsi="宋体" w:eastAsia="宋体" w:cs="Times New Roman"/>
      <w:color w:val="000000" w:themeColor="text1"/>
      <w:szCs w:val="21"/>
      <w14:textFill>
        <w14:solidFill>
          <w14:schemeClr w14:val="tx1"/>
        </w14:solidFill>
      </w14:textFill>
    </w:rPr>
  </w:style>
  <w:style w:type="character" w:customStyle="1" w:styleId="648">
    <w:name w:val="表格格式（生命线） 字符"/>
    <w:basedOn w:val="59"/>
    <w:link w:val="647"/>
    <w:qFormat/>
    <w:uiPriority w:val="0"/>
    <w:rPr>
      <w:rFonts w:ascii="宋体" w:hAnsi="宋体" w:eastAsia="宋体" w:cs="Times New Roman"/>
      <w:color w:val="000000" w:themeColor="text1"/>
      <w:sz w:val="21"/>
      <w:szCs w:val="21"/>
      <w14:textFill>
        <w14:solidFill>
          <w14:schemeClr w14:val="tx1"/>
        </w14:solidFill>
      </w14:textFill>
    </w:rPr>
  </w:style>
  <w:style w:type="character" w:customStyle="1" w:styleId="649">
    <w:name w:val="未处理的提及311"/>
    <w:basedOn w:val="59"/>
    <w:semiHidden/>
    <w:unhideWhenUsed/>
    <w:qFormat/>
    <w:uiPriority w:val="99"/>
    <w:rPr>
      <w:color w:val="605E5C"/>
      <w:shd w:val="clear" w:color="auto" w:fill="E1DFDD"/>
    </w:rPr>
  </w:style>
  <w:style w:type="character" w:customStyle="1" w:styleId="650">
    <w:name w:val="font21"/>
    <w:basedOn w:val="59"/>
    <w:qFormat/>
    <w:uiPriority w:val="0"/>
    <w:rPr>
      <w:rFonts w:hint="eastAsia" w:ascii="宋体" w:hAnsi="宋体" w:eastAsia="宋体" w:cs="宋体"/>
      <w:b/>
      <w:bCs/>
      <w:color w:val="000000"/>
      <w:sz w:val="24"/>
      <w:szCs w:val="24"/>
      <w:u w:val="none"/>
    </w:rPr>
  </w:style>
  <w:style w:type="character" w:customStyle="1" w:styleId="651">
    <w:name w:val="font71"/>
    <w:basedOn w:val="59"/>
    <w:qFormat/>
    <w:uiPriority w:val="0"/>
    <w:rPr>
      <w:rFonts w:hint="eastAsia" w:ascii="宋体" w:hAnsi="宋体" w:eastAsia="宋体" w:cs="宋体"/>
      <w:b/>
      <w:bCs/>
      <w:color w:val="000000"/>
      <w:sz w:val="24"/>
      <w:szCs w:val="24"/>
      <w:u w:val="none"/>
    </w:rPr>
  </w:style>
  <w:style w:type="paragraph" w:customStyle="1" w:styleId="652">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653">
    <w:name w:val="5"/>
    <w:basedOn w:val="1"/>
    <w:qFormat/>
    <w:uiPriority w:val="0"/>
    <w:pPr>
      <w:keepNext/>
      <w:keepLines/>
      <w:numPr>
        <w:ilvl w:val="0"/>
        <w:numId w:val="7"/>
      </w:numPr>
      <w:spacing w:line="360" w:lineRule="auto"/>
      <w:ind w:left="0" w:firstLine="0"/>
      <w:jc w:val="left"/>
      <w:outlineLvl w:val="4"/>
    </w:pPr>
    <w:rPr>
      <w:rFonts w:hint="eastAsia" w:ascii="Times New Roman" w:hAnsi="Times New Roman" w:eastAsia="宋体"/>
      <w:color w:val="000000"/>
      <w:sz w:val="28"/>
      <w:szCs w:val="28"/>
    </w:rPr>
  </w:style>
  <w:style w:type="character" w:customStyle="1" w:styleId="654">
    <w:name w:val="正文2 字符1"/>
    <w:link w:val="426"/>
    <w:qFormat/>
    <w:uiPriority w:val="0"/>
    <w:rPr>
      <w:rFonts w:ascii="宋体" w:hAnsi="Times New Roman" w:eastAsia="宋体" w:cs="Calibri"/>
      <w:sz w:val="34"/>
    </w:rPr>
  </w:style>
  <w:style w:type="paragraph" w:customStyle="1" w:styleId="655">
    <w:name w:val="首行缩进 2"/>
    <w:link w:val="656"/>
    <w:qFormat/>
    <w:uiPriority w:val="0"/>
    <w:pPr>
      <w:spacing w:line="360" w:lineRule="auto"/>
      <w:ind w:firstLine="480"/>
      <w:jc w:val="both"/>
    </w:pPr>
    <w:rPr>
      <w:rFonts w:ascii="宋体" w:hAnsi="宋体" w:eastAsia="宋体" w:cs="Times New Roman"/>
      <w:sz w:val="24"/>
      <w:szCs w:val="24"/>
      <w:lang w:val="en-US" w:eastAsia="zh-CN" w:bidi="ar-SA"/>
    </w:rPr>
  </w:style>
  <w:style w:type="character" w:customStyle="1" w:styleId="656">
    <w:name w:val="首行缩进 2 Char"/>
    <w:basedOn w:val="59"/>
    <w:link w:val="655"/>
    <w:qFormat/>
    <w:uiPriority w:val="0"/>
    <w:rPr>
      <w:rFonts w:ascii="宋体" w:hAnsi="宋体" w:eastAsia="宋体" w:cs="Times New Roman"/>
      <w:sz w:val="24"/>
      <w:szCs w:val="24"/>
    </w:rPr>
  </w:style>
  <w:style w:type="paragraph" w:customStyle="1" w:styleId="657">
    <w:name w:val="表内文字"/>
    <w:basedOn w:val="1"/>
    <w:qFormat/>
    <w:uiPriority w:val="0"/>
    <w:pPr>
      <w:widowControl/>
      <w:jc w:val="left"/>
    </w:pPr>
    <w:rPr>
      <w:rFonts w:eastAsia="仿宋"/>
      <w:sz w:val="24"/>
      <w:szCs w:val="24"/>
    </w:rPr>
  </w:style>
  <w:style w:type="paragraph" w:customStyle="1" w:styleId="658">
    <w:name w:val="pf0"/>
    <w:basedOn w:val="1"/>
    <w:qFormat/>
    <w:uiPriority w:val="0"/>
    <w:pPr>
      <w:widowControl/>
      <w:spacing w:before="100" w:beforeAutospacing="1" w:after="100" w:afterAutospacing="1"/>
      <w:jc w:val="left"/>
    </w:pPr>
    <w:rPr>
      <w:rFonts w:ascii="宋体" w:hAnsi="宋体" w:eastAsia="宋体" w:cs="宋体"/>
      <w:sz w:val="24"/>
      <w:szCs w:val="24"/>
    </w:rPr>
  </w:style>
  <w:style w:type="character" w:customStyle="1" w:styleId="659">
    <w:name w:val="cf01"/>
    <w:basedOn w:val="59"/>
    <w:qFormat/>
    <w:uiPriority w:val="0"/>
    <w:rPr>
      <w:rFonts w:hint="eastAsia" w:ascii="Microsoft YaHei UI" w:hAnsi="Microsoft YaHei UI" w:eastAsia="Microsoft YaHei UI"/>
      <w:sz w:val="18"/>
      <w:szCs w:val="18"/>
      <w:shd w:val="clear" w:color="auto" w:fill="FFFF00"/>
    </w:rPr>
  </w:style>
  <w:style w:type="character" w:customStyle="1" w:styleId="660">
    <w:name w:val="font31"/>
    <w:basedOn w:val="59"/>
    <w:qFormat/>
    <w:uiPriority w:val="0"/>
    <w:rPr>
      <w:rFonts w:hint="default" w:ascii="Times New Roman" w:hAnsi="Times New Roman" w:cs="Times New Roman"/>
      <w:color w:val="000000"/>
      <w:sz w:val="21"/>
      <w:szCs w:val="21"/>
      <w:u w:val="none"/>
    </w:rPr>
  </w:style>
  <w:style w:type="character" w:customStyle="1" w:styleId="661">
    <w:name w:val="font41"/>
    <w:basedOn w:val="59"/>
    <w:qFormat/>
    <w:uiPriority w:val="0"/>
    <w:rPr>
      <w:rFonts w:hint="eastAsia" w:ascii="宋体" w:hAnsi="宋体" w:eastAsia="宋体" w:cs="宋体"/>
      <w:color w:val="000000"/>
      <w:sz w:val="21"/>
      <w:szCs w:val="21"/>
      <w:u w:val="none"/>
    </w:rPr>
  </w:style>
  <w:style w:type="character" w:customStyle="1" w:styleId="662">
    <w:name w:val="未处理的提及4"/>
    <w:basedOn w:val="59"/>
    <w:semiHidden/>
    <w:unhideWhenUsed/>
    <w:qFormat/>
    <w:uiPriority w:val="99"/>
    <w:rPr>
      <w:color w:val="605E5C"/>
      <w:shd w:val="clear" w:color="auto" w:fill="E1DFDD"/>
    </w:rPr>
  </w:style>
  <w:style w:type="paragraph" w:customStyle="1" w:styleId="663">
    <w:name w:val="表格头"/>
    <w:basedOn w:val="1"/>
    <w:next w:val="1"/>
    <w:qFormat/>
    <w:uiPriority w:val="0"/>
    <w:pPr>
      <w:keepNext/>
      <w:shd w:val="clear" w:color="FFFFFF" w:fill="FFFFFF"/>
      <w:spacing w:line="276" w:lineRule="auto"/>
      <w:jc w:val="center"/>
    </w:pPr>
    <w:rPr>
      <w:rFonts w:ascii="Times New Roman" w:hAnsi="Times New Roman" w:eastAsia="方正黑体_GBK" w:cs="Times New Roman"/>
      <w:szCs w:val="20"/>
    </w:rPr>
  </w:style>
  <w:style w:type="character" w:customStyle="1" w:styleId="664">
    <w:name w:val="表格文字 Char"/>
    <w:link w:val="469"/>
    <w:qFormat/>
    <w:uiPriority w:val="0"/>
    <w:rPr>
      <w:rFonts w:ascii="Times New Roman" w:hAnsi="Times New Roman" w:eastAsia="宋体" w:cs="Times New Roman"/>
      <w:spacing w:val="10"/>
      <w:sz w:val="24"/>
      <w:szCs w:val="24"/>
    </w:rPr>
  </w:style>
  <w:style w:type="table" w:customStyle="1" w:styleId="665">
    <w:name w:val="数据对接规范表格样式"/>
    <w:basedOn w:val="57"/>
    <w:qFormat/>
    <w:uiPriority w:val="99"/>
    <w:pPr>
      <w:jc w:val="center"/>
    </w:pPr>
    <w:rPr>
      <w:rFonts w:eastAsia="方正仿宋_GBK"/>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customStyle="1" w:styleId="666">
    <w:name w:val="xl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sz w:val="24"/>
      <w:szCs w:val="24"/>
    </w:rPr>
  </w:style>
  <w:style w:type="paragraph" w:customStyle="1" w:styleId="667">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sz w:val="24"/>
      <w:szCs w:val="24"/>
    </w:rPr>
  </w:style>
  <w:style w:type="paragraph" w:customStyle="1" w:styleId="668">
    <w:name w:val="修订2"/>
    <w:hidden/>
    <w:unhideWhenUsed/>
    <w:qFormat/>
    <w:uiPriority w:val="99"/>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customStyle="1" w:styleId="669">
    <w:name w:val="font5"/>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670">
    <w:name w:val="font6"/>
    <w:basedOn w:val="1"/>
    <w:qFormat/>
    <w:uiPriority w:val="0"/>
    <w:pPr>
      <w:widowControl/>
      <w:spacing w:before="100" w:beforeAutospacing="1" w:after="100" w:afterAutospacing="1"/>
      <w:jc w:val="left"/>
    </w:pPr>
    <w:rPr>
      <w:rFonts w:ascii="Arial" w:hAnsi="Arial" w:eastAsia="宋体" w:cs="Arial"/>
      <w:sz w:val="24"/>
      <w:szCs w:val="24"/>
    </w:rPr>
  </w:style>
  <w:style w:type="paragraph" w:customStyle="1" w:styleId="671">
    <w:name w:val="font7"/>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672">
    <w:name w:val="font8"/>
    <w:basedOn w:val="1"/>
    <w:qFormat/>
    <w:uiPriority w:val="0"/>
    <w:pPr>
      <w:widowControl/>
      <w:spacing w:before="100" w:beforeAutospacing="1" w:after="100" w:afterAutospacing="1"/>
      <w:jc w:val="left"/>
    </w:pPr>
    <w:rPr>
      <w:rFonts w:ascii="等线" w:hAnsi="等线" w:eastAsia="等线" w:cs="宋体"/>
      <w:color w:val="000000"/>
      <w:sz w:val="24"/>
      <w:szCs w:val="24"/>
    </w:rPr>
  </w:style>
  <w:style w:type="paragraph" w:customStyle="1" w:styleId="673">
    <w:name w:val="xl65"/>
    <w:basedOn w:val="1"/>
    <w:qFormat/>
    <w:uiPriority w:val="0"/>
    <w:pPr>
      <w:widowControl/>
      <w:spacing w:before="100" w:beforeAutospacing="1" w:after="100" w:afterAutospacing="1"/>
      <w:jc w:val="left"/>
    </w:pPr>
    <w:rPr>
      <w:rFonts w:ascii="宋体" w:hAnsi="宋体" w:eastAsia="宋体" w:cs="宋体"/>
      <w:sz w:val="28"/>
      <w:szCs w:val="28"/>
    </w:rPr>
  </w:style>
  <w:style w:type="paragraph" w:customStyle="1" w:styleId="674">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675">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DDEBF7"/>
      <w:spacing w:before="100" w:beforeAutospacing="1" w:after="100" w:afterAutospacing="1"/>
      <w:jc w:val="center"/>
    </w:pPr>
    <w:rPr>
      <w:rFonts w:ascii="宋体" w:hAnsi="宋体" w:eastAsia="宋体" w:cs="宋体"/>
      <w:b/>
      <w:bCs/>
      <w:color w:val="000000"/>
      <w:sz w:val="24"/>
      <w:szCs w:val="24"/>
    </w:rPr>
  </w:style>
  <w:style w:type="paragraph" w:customStyle="1" w:styleId="676">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67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67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679">
    <w:name w:val="xl71"/>
    <w:basedOn w:val="1"/>
    <w:qFormat/>
    <w:uiPriority w:val="0"/>
    <w:pPr>
      <w:widowControl/>
      <w:pBdr>
        <w:top w:val="single" w:color="auto" w:sz="4" w:space="0"/>
        <w:left w:val="single" w:color="auto" w:sz="4" w:space="0"/>
        <w:bottom w:val="single" w:color="auto" w:sz="4" w:space="0"/>
      </w:pBdr>
      <w:shd w:val="clear" w:color="000000" w:fill="DDEBF7"/>
      <w:spacing w:before="100" w:beforeAutospacing="1" w:after="100" w:afterAutospacing="1"/>
      <w:jc w:val="center"/>
    </w:pPr>
    <w:rPr>
      <w:rFonts w:ascii="宋体" w:hAnsi="宋体" w:eastAsia="宋体" w:cs="宋体"/>
      <w:b/>
      <w:bCs/>
      <w:color w:val="000000"/>
      <w:sz w:val="28"/>
      <w:szCs w:val="28"/>
    </w:rPr>
  </w:style>
  <w:style w:type="paragraph" w:customStyle="1" w:styleId="680">
    <w:name w:val="xl72"/>
    <w:basedOn w:val="1"/>
    <w:qFormat/>
    <w:uiPriority w:val="0"/>
    <w:pPr>
      <w:widowControl/>
      <w:pBdr>
        <w:top w:val="single" w:color="auto" w:sz="4" w:space="0"/>
        <w:bottom w:val="single" w:color="auto" w:sz="4" w:space="0"/>
      </w:pBdr>
      <w:shd w:val="clear" w:color="000000" w:fill="DDEBF7"/>
      <w:spacing w:before="100" w:beforeAutospacing="1" w:after="100" w:afterAutospacing="1"/>
      <w:jc w:val="center"/>
    </w:pPr>
    <w:rPr>
      <w:rFonts w:ascii="宋体" w:hAnsi="宋体" w:eastAsia="宋体" w:cs="宋体"/>
      <w:b/>
      <w:bCs/>
      <w:color w:val="000000"/>
      <w:sz w:val="28"/>
      <w:szCs w:val="28"/>
    </w:rPr>
  </w:style>
  <w:style w:type="paragraph" w:customStyle="1" w:styleId="681">
    <w:name w:val="xl73"/>
    <w:basedOn w:val="1"/>
    <w:qFormat/>
    <w:uiPriority w:val="0"/>
    <w:pPr>
      <w:widowControl/>
      <w:pBdr>
        <w:top w:val="single" w:color="auto" w:sz="4" w:space="0"/>
        <w:left w:val="single" w:color="auto" w:sz="4" w:space="0"/>
        <w:right w:val="single" w:color="auto" w:sz="4" w:space="0"/>
      </w:pBdr>
      <w:shd w:val="clear" w:color="000000" w:fill="DCE6F1"/>
      <w:spacing w:before="100" w:beforeAutospacing="1" w:after="100" w:afterAutospacing="1"/>
      <w:jc w:val="center"/>
    </w:pPr>
    <w:rPr>
      <w:rFonts w:ascii="宋体" w:hAnsi="宋体" w:eastAsia="宋体" w:cs="宋体"/>
      <w:b/>
      <w:bCs/>
      <w:color w:val="000000"/>
      <w:sz w:val="24"/>
      <w:szCs w:val="24"/>
    </w:rPr>
  </w:style>
  <w:style w:type="paragraph" w:customStyle="1" w:styleId="682">
    <w:name w:val="xl74"/>
    <w:basedOn w:val="1"/>
    <w:qFormat/>
    <w:uiPriority w:val="0"/>
    <w:pPr>
      <w:widowControl/>
      <w:pBdr>
        <w:left w:val="single" w:color="auto" w:sz="4" w:space="0"/>
        <w:bottom w:val="single" w:color="auto" w:sz="4" w:space="0"/>
        <w:right w:val="single" w:color="auto" w:sz="4" w:space="0"/>
      </w:pBdr>
      <w:shd w:val="clear" w:color="000000" w:fill="DCE6F1"/>
      <w:spacing w:before="100" w:beforeAutospacing="1" w:after="100" w:afterAutospacing="1"/>
      <w:jc w:val="center"/>
    </w:pPr>
    <w:rPr>
      <w:rFonts w:ascii="宋体" w:hAnsi="宋体" w:eastAsia="宋体" w:cs="宋体"/>
      <w:b/>
      <w:bCs/>
      <w:color w:val="000000"/>
      <w:sz w:val="24"/>
      <w:szCs w:val="24"/>
    </w:rPr>
  </w:style>
  <w:style w:type="paragraph" w:customStyle="1" w:styleId="683">
    <w:name w:val="71e7dc79-1ff7-45e8-997d-0ebda3762b91"/>
    <w:basedOn w:val="3"/>
    <w:next w:val="684"/>
    <w:link w:val="685"/>
    <w:qFormat/>
    <w:uiPriority w:val="0"/>
    <w:pPr>
      <w:keepNext w:val="0"/>
      <w:keepLines w:val="0"/>
      <w:spacing w:before="0" w:after="0" w:line="288" w:lineRule="auto"/>
      <w:jc w:val="left"/>
    </w:pPr>
    <w:rPr>
      <w:rFonts w:ascii="微软雅黑" w:hAnsi="微软雅黑" w:eastAsia="微软雅黑" w:cs="Times New Roman"/>
      <w:bCs w:val="0"/>
      <w:color w:val="000000"/>
      <w:sz w:val="28"/>
      <w:szCs w:val="36"/>
    </w:rPr>
  </w:style>
  <w:style w:type="paragraph" w:customStyle="1" w:styleId="684">
    <w:name w:val="acbfdd8b-e11b-4d36-88ff-6049b138f862"/>
    <w:basedOn w:val="22"/>
    <w:link w:val="686"/>
    <w:qFormat/>
    <w:uiPriority w:val="0"/>
    <w:pPr>
      <w:spacing w:after="0" w:line="288" w:lineRule="auto"/>
      <w:jc w:val="left"/>
    </w:pPr>
    <w:rPr>
      <w:rFonts w:ascii="微软雅黑" w:hAnsi="微软雅黑" w:eastAsia="微软雅黑" w:cs="Times New Roman"/>
      <w:color w:val="000000"/>
      <w:sz w:val="22"/>
      <w:szCs w:val="22"/>
    </w:rPr>
  </w:style>
  <w:style w:type="character" w:customStyle="1" w:styleId="685">
    <w:name w:val="71e7dc79-1ff7-45e8-997d-0ebda3762b91 字符"/>
    <w:basedOn w:val="155"/>
    <w:link w:val="683"/>
    <w:qFormat/>
    <w:uiPriority w:val="0"/>
    <w:rPr>
      <w:rFonts w:ascii="微软雅黑" w:hAnsi="微软雅黑" w:eastAsia="微软雅黑" w:cs="Times New Roman"/>
      <w:bCs w:val="0"/>
      <w:color w:val="000000"/>
      <w:sz w:val="28"/>
      <w:szCs w:val="36"/>
    </w:rPr>
  </w:style>
  <w:style w:type="character" w:customStyle="1" w:styleId="686">
    <w:name w:val="acbfdd8b-e11b-4d36-88ff-6049b138f862 字符"/>
    <w:basedOn w:val="155"/>
    <w:link w:val="684"/>
    <w:qFormat/>
    <w:uiPriority w:val="0"/>
    <w:rPr>
      <w:rFonts w:ascii="微软雅黑" w:hAnsi="微软雅黑" w:eastAsia="微软雅黑" w:cs="Times New Roman"/>
      <w:b w:val="0"/>
      <w:bCs w:val="0"/>
      <w:color w:val="000000"/>
      <w:sz w:val="22"/>
      <w:szCs w:val="22"/>
    </w:rPr>
  </w:style>
  <w:style w:type="paragraph" w:customStyle="1" w:styleId="687">
    <w:name w:val="b63ee27f-4cf3-414c-9275-d88e3f90795e"/>
    <w:basedOn w:val="4"/>
    <w:next w:val="684"/>
    <w:link w:val="688"/>
    <w:qFormat/>
    <w:uiPriority w:val="0"/>
    <w:pPr>
      <w:keepNext w:val="0"/>
      <w:keepLines w:val="0"/>
      <w:spacing w:before="0" w:after="0" w:line="288" w:lineRule="auto"/>
      <w:jc w:val="left"/>
    </w:pPr>
    <w:rPr>
      <w:rFonts w:ascii="微软雅黑" w:hAnsi="微软雅黑" w:eastAsia="微软雅黑" w:cs="Times New Roman"/>
      <w:bCs w:val="0"/>
      <w:color w:val="000000"/>
      <w:sz w:val="26"/>
      <w:szCs w:val="36"/>
      <w:lang w:val="zh-CN"/>
    </w:rPr>
  </w:style>
  <w:style w:type="character" w:customStyle="1" w:styleId="688">
    <w:name w:val="b63ee27f-4cf3-414c-9275-d88e3f90795e 字符"/>
    <w:basedOn w:val="685"/>
    <w:link w:val="687"/>
    <w:qFormat/>
    <w:uiPriority w:val="0"/>
    <w:rPr>
      <w:rFonts w:ascii="微软雅黑" w:hAnsi="微软雅黑" w:eastAsia="微软雅黑" w:cs="Times New Roman"/>
      <w:color w:val="000000"/>
      <w:sz w:val="26"/>
      <w:szCs w:val="36"/>
      <w:lang w:val="zh-CN"/>
    </w:rPr>
  </w:style>
  <w:style w:type="paragraph" w:customStyle="1" w:styleId="689">
    <w:name w:val="17babae4-54f0-44fa-a444-1068224df0ac"/>
    <w:basedOn w:val="53"/>
    <w:next w:val="684"/>
    <w:link w:val="690"/>
    <w:qFormat/>
    <w:uiPriority w:val="0"/>
    <w:pPr>
      <w:widowControl w:val="0"/>
      <w:pBdr>
        <w:bottom w:val="none" w:color="auto" w:sz="0" w:space="0"/>
      </w:pBdr>
      <w:spacing w:after="0" w:line="288" w:lineRule="auto"/>
      <w:ind w:firstLine="0"/>
      <w:contextualSpacing w:val="0"/>
      <w:jc w:val="center"/>
      <w:outlineLvl w:val="0"/>
    </w:pPr>
    <w:rPr>
      <w:rFonts w:ascii="微软雅黑" w:hAnsi="微软雅黑" w:eastAsia="微软雅黑" w:cstheme="majorBidi"/>
      <w:b/>
      <w:bCs/>
      <w:color w:val="000000"/>
      <w:spacing w:val="0"/>
      <w:sz w:val="40"/>
      <w:szCs w:val="32"/>
      <w:lang w:eastAsia="zh-CN" w:bidi="ar-SA"/>
    </w:rPr>
  </w:style>
  <w:style w:type="character" w:customStyle="1" w:styleId="690">
    <w:name w:val="17babae4-54f0-44fa-a444-1068224df0ac 字符"/>
    <w:basedOn w:val="685"/>
    <w:link w:val="689"/>
    <w:qFormat/>
    <w:uiPriority w:val="0"/>
    <w:rPr>
      <w:rFonts w:ascii="微软雅黑" w:hAnsi="微软雅黑" w:eastAsia="微软雅黑" w:cstheme="majorBidi"/>
      <w:bCs/>
      <w:color w:val="000000"/>
      <w:sz w:val="40"/>
      <w:szCs w:val="32"/>
    </w:rPr>
  </w:style>
  <w:style w:type="character" w:customStyle="1" w:styleId="691">
    <w:name w:val="未处理的提及41"/>
    <w:basedOn w:val="59"/>
    <w:semiHidden/>
    <w:unhideWhenUsed/>
    <w:qFormat/>
    <w:uiPriority w:val="99"/>
    <w:rPr>
      <w:color w:val="605E5C"/>
      <w:shd w:val="clear" w:color="auto" w:fill="E1DFDD"/>
    </w:rPr>
  </w:style>
  <w:style w:type="paragraph" w:customStyle="1" w:styleId="692">
    <w:name w:val="修订3"/>
    <w:hidden/>
    <w:unhideWhenUsed/>
    <w:qFormat/>
    <w:uiPriority w:val="99"/>
    <w:rPr>
      <w:rFonts w:ascii="宋体" w:hAnsi="宋体" w:eastAsia="宋体" w:cs="Times New Roman"/>
      <w:color w:val="000000" w:themeColor="text1"/>
      <w:sz w:val="24"/>
      <w:szCs w:val="24"/>
      <w:lang w:val="en-US" w:eastAsia="zh-CN" w:bidi="ar-SA"/>
      <w14:textFill>
        <w14:solidFill>
          <w14:schemeClr w14:val="tx1"/>
        </w14:solidFill>
      </w14:textFill>
    </w:rPr>
  </w:style>
  <w:style w:type="character" w:customStyle="1" w:styleId="693">
    <w:name w:val="未处理的提及5"/>
    <w:basedOn w:val="59"/>
    <w:semiHidden/>
    <w:unhideWhenUsed/>
    <w:qFormat/>
    <w:uiPriority w:val="99"/>
    <w:rPr>
      <w:color w:val="605E5C"/>
      <w:shd w:val="clear" w:color="auto" w:fill="E1DFDD"/>
    </w:rPr>
  </w:style>
  <w:style w:type="paragraph" w:customStyle="1" w:styleId="694">
    <w:name w:val="修订311"/>
    <w:hidden/>
    <w:unhideWhenUsed/>
    <w:qFormat/>
    <w:uiPriority w:val="99"/>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customStyle="1" w:styleId="695">
    <w:name w:val="TOC 标题3"/>
    <w:unhideWhenUsed/>
    <w:qFormat/>
    <w:uiPriority w:val="39"/>
    <w:rPr>
      <w:rFonts w:ascii="Times New Roman" w:hAnsi="Times New Roman" w:eastAsia="宋体" w:cs="Times New Roman"/>
      <w:lang w:val="en-US" w:eastAsia="zh-CN" w:bidi="ar-SA"/>
    </w:rPr>
  </w:style>
  <w:style w:type="character" w:customStyle="1" w:styleId="696">
    <w:name w:val="Footer Char"/>
    <w:qFormat/>
    <w:uiPriority w:val="99"/>
  </w:style>
  <w:style w:type="table" w:customStyle="1" w:styleId="69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8">
    <w:name w:val="Grid Table 1 Light - Accent 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0" w:type="dxa"/>
        <w:bottom w:w="0" w:type="dxa"/>
        <w:right w:w="0"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9">
    <w:name w:val="Grid Table 1 Light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0">
    <w:name w:val="Grid Table 1 Light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01">
    <w:name w:val="Grid Table 1 Light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02">
    <w:name w:val="Grid Table 1 Light - Accent 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0" w:type="dxa"/>
        <w:bottom w:w="0" w:type="dxa"/>
        <w:right w:w="0"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03">
    <w:name w:val="Grid Table 1 Light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04">
    <w:name w:val="Grid Table 2 - Accent 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05">
    <w:name w:val="Grid Table 2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06">
    <w:name w:val="Grid Table 2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07">
    <w:name w:val="Grid Table 2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08">
    <w:name w:val="Grid Table 2 - Accent 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09">
    <w:name w:val="Grid Table 2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10">
    <w:name w:val="Grid Table 3 - Accent 1"/>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11">
    <w:name w:val="Grid Table 3 - Accent 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12">
    <w:name w:val="Grid Table 3 - Accent 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13">
    <w:name w:val="Grid Table 3 - Accent 4"/>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14">
    <w:name w:val="Grid Table 3 - Accent 5"/>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15">
    <w:name w:val="Grid Table 3 - Accent 6"/>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16">
    <w:name w:val="Grid Table 4 - Accent 1"/>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717">
    <w:name w:val="Grid Table 4 - Accent 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18">
    <w:name w:val="Grid Table 4 - Accent 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19">
    <w:name w:val="Grid Table 4 - Accent 4"/>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20">
    <w:name w:val="Grid Table 4 - Accent 5"/>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721">
    <w:name w:val="Grid Table 4 - Accent 6"/>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72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72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2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2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2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72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728">
    <w:name w:val="Grid Table 6 Colorful - Accent 1"/>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0" w:type="dxa"/>
        <w:bottom w:w="0" w:type="dxa"/>
        <w:right w:w="0"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29">
    <w:name w:val="Grid Table 6 Colorful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30">
    <w:name w:val="Grid Table 6 Colorful - Accent 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31">
    <w:name w:val="Grid Table 6 Colorful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32">
    <w:name w:val="Grid Table 6 Colorful - Accent 5"/>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0" w:type="dxa"/>
        <w:bottom w:w="0" w:type="dxa"/>
        <w:right w:w="0"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33">
    <w:name w:val="Grid Table 6 Colorful - Accent 6"/>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0" w:type="dxa"/>
        <w:bottom w:w="0" w:type="dxa"/>
        <w:right w:w="0"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734">
    <w:name w:val="Grid Table 7 Colorful - Accent 1"/>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0" w:type="dxa"/>
        <w:bottom w:w="0" w:type="dxa"/>
        <w:right w:w="0"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735">
    <w:name w:val="Grid Table 7 Colorful - Accent 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0" w:type="dxa"/>
        <w:bottom w:w="0" w:type="dxa"/>
        <w:right w:w="0"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36">
    <w:name w:val="Grid Table 7 Colorful - Accent 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0" w:type="dxa"/>
        <w:bottom w:w="0" w:type="dxa"/>
        <w:right w:w="0"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37">
    <w:name w:val="Grid Table 7 Colorful - Accent 4"/>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0" w:type="dxa"/>
        <w:bottom w:w="0" w:type="dxa"/>
        <w:right w:w="0"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38">
    <w:name w:val="Grid Table 7 Colorful - Accent 5"/>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0" w:type="dxa"/>
        <w:bottom w:w="0" w:type="dxa"/>
        <w:right w:w="0"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739">
    <w:name w:val="Grid Table 7 Colorful - Accent 6"/>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0" w:type="dxa"/>
        <w:bottom w:w="0" w:type="dxa"/>
        <w:right w:w="0"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740">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741">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742">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743">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744">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745">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746">
    <w:name w:val="List Table 2 - Accent 1"/>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747">
    <w:name w:val="List Table 2 - Accent 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748">
    <w:name w:val="List Table 2 - Accent 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749">
    <w:name w:val="List Table 2 - Accent 4"/>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750">
    <w:name w:val="List Table 2 - Accent 5"/>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751">
    <w:name w:val="List Table 2 - Accent 6"/>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752">
    <w:name w:val="List Table 3 - Accent 1"/>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753">
    <w:name w:val="List Table 3 - Accent 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754">
    <w:name w:val="List Table 3 - Accent 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755">
    <w:name w:val="List Table 3 - Accent 4"/>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756">
    <w:name w:val="List Table 3 - Accent 5"/>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757">
    <w:name w:val="List Table 3 - Accent 6"/>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758">
    <w:name w:val="List Table 4 - Accent 1"/>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759">
    <w:name w:val="List Table 4 - Accent 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760">
    <w:name w:val="List Table 4 - Accent 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761">
    <w:name w:val="List Table 4 - Accent 4"/>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762">
    <w:name w:val="List Table 4 - Accent 5"/>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763">
    <w:name w:val="List Table 4 - Accent 6"/>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764">
    <w:name w:val="List Table 5 Dark - Accent 1"/>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765">
    <w:name w:val="List Table 5 Dark - Accent 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766">
    <w:name w:val="List Table 5 Dark - Accent 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767">
    <w:name w:val="List Table 5 Dark - Accent 4"/>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768">
    <w:name w:val="List Table 5 Dark - Accent 5"/>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769">
    <w:name w:val="List Table 5 Dark - Accent 6"/>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770">
    <w:name w:val="List Table 6 Colorful - Accent 1"/>
    <w:qFormat/>
    <w:uiPriority w:val="99"/>
    <w:tblPr>
      <w:tblBorders>
        <w:top w:val="single" w:color="5B9BD5" w:themeColor="accent1" w:sz="4" w:space="0"/>
        <w:bottom w:val="single" w:color="5B9BD5" w:themeColor="accent1" w:sz="4" w:space="0"/>
      </w:tblBorders>
      <w:tblCellMar>
        <w:top w:w="0" w:type="dxa"/>
        <w:left w:w="0" w:type="dxa"/>
        <w:bottom w:w="0" w:type="dxa"/>
        <w:right w:w="0"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771">
    <w:name w:val="List Table 6 Colorful - Accent 2"/>
    <w:qFormat/>
    <w:uiPriority w:val="99"/>
    <w:tblPr>
      <w:tblBorders>
        <w:top w:val="single" w:color="F4B285" w:themeColor="accent2" w:themeTint="97" w:sz="4" w:space="0"/>
        <w:bottom w:val="single" w:color="F4B285" w:themeColor="accent2" w:themeTint="97" w:sz="4" w:space="0"/>
      </w:tblBorders>
      <w:tblCellMar>
        <w:top w:w="0" w:type="dxa"/>
        <w:left w:w="0" w:type="dxa"/>
        <w:bottom w:w="0" w:type="dxa"/>
        <w:right w:w="0"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72">
    <w:name w:val="List Table 6 Colorful - Accent 3"/>
    <w:qFormat/>
    <w:uiPriority w:val="99"/>
    <w:tblPr>
      <w:tblBorders>
        <w:top w:val="single" w:color="C9C9C9" w:themeColor="accent3" w:themeTint="98" w:sz="4" w:space="0"/>
        <w:bottom w:val="single" w:color="C9C9C9" w:themeColor="accent3" w:themeTint="98" w:sz="4" w:space="0"/>
      </w:tblBorders>
      <w:tblCellMar>
        <w:top w:w="0" w:type="dxa"/>
        <w:left w:w="0" w:type="dxa"/>
        <w:bottom w:w="0" w:type="dxa"/>
        <w:right w:w="0"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773">
    <w:name w:val="List Table 6 Colorful - Accent 4"/>
    <w:qFormat/>
    <w:uiPriority w:val="99"/>
    <w:tblPr>
      <w:tblBorders>
        <w:top w:val="single" w:color="FFD864" w:themeColor="accent4" w:themeTint="9A" w:sz="4" w:space="0"/>
        <w:bottom w:val="single" w:color="FFD864" w:themeColor="accent4" w:themeTint="9A" w:sz="4" w:space="0"/>
      </w:tblBorders>
      <w:tblCellMar>
        <w:top w:w="0" w:type="dxa"/>
        <w:left w:w="0" w:type="dxa"/>
        <w:bottom w:w="0" w:type="dxa"/>
        <w:right w:w="0"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74">
    <w:name w:val="List Table 6 Colorful - Accent 5"/>
    <w:qFormat/>
    <w:uiPriority w:val="99"/>
    <w:tblPr>
      <w:tblBorders>
        <w:top w:val="single" w:color="8EA9DB" w:themeColor="accent5" w:themeTint="9A" w:sz="4" w:space="0"/>
        <w:bottom w:val="single" w:color="8EA9DB" w:themeColor="accent5" w:themeTint="9A" w:sz="4" w:space="0"/>
      </w:tblBorders>
      <w:tblCellMar>
        <w:top w:w="0" w:type="dxa"/>
        <w:left w:w="0" w:type="dxa"/>
        <w:bottom w:w="0" w:type="dxa"/>
        <w:right w:w="0"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775">
    <w:name w:val="List Table 6 Colorful - Accent 6"/>
    <w:qFormat/>
    <w:uiPriority w:val="99"/>
    <w:tblPr>
      <w:tblBorders>
        <w:top w:val="single" w:color="A9D08E" w:themeColor="accent6" w:themeTint="98" w:sz="4" w:space="0"/>
        <w:bottom w:val="single" w:color="A9D08E" w:themeColor="accent6" w:themeTint="98" w:sz="4" w:space="0"/>
      </w:tblBorders>
      <w:tblCellMar>
        <w:top w:w="0" w:type="dxa"/>
        <w:left w:w="0" w:type="dxa"/>
        <w:bottom w:w="0" w:type="dxa"/>
        <w:right w:w="0"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776">
    <w:name w:val="List Table 7 Colorful - Accent 1"/>
    <w:qFormat/>
    <w:uiPriority w:val="99"/>
    <w:tblPr>
      <w:tblBorders>
        <w:right w:val="single" w:color="5B9BD5" w:themeColor="accent1" w:sz="4" w:space="0"/>
      </w:tblBorders>
      <w:tblCellMar>
        <w:top w:w="0" w:type="dxa"/>
        <w:left w:w="0" w:type="dxa"/>
        <w:bottom w:w="0" w:type="dxa"/>
        <w:right w:w="0"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777">
    <w:name w:val="List Table 7 Colorful - Accent 2"/>
    <w:qFormat/>
    <w:uiPriority w:val="99"/>
    <w:tblPr>
      <w:tblBorders>
        <w:right w:val="single" w:color="F4B285" w:themeColor="accent2" w:themeTint="97" w:sz="4" w:space="0"/>
      </w:tblBorders>
      <w:tblCellMar>
        <w:top w:w="0" w:type="dxa"/>
        <w:left w:w="0" w:type="dxa"/>
        <w:bottom w:w="0" w:type="dxa"/>
        <w:right w:w="0"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78">
    <w:name w:val="List Table 7 Colorful - Accent 3"/>
    <w:qFormat/>
    <w:uiPriority w:val="99"/>
    <w:tblPr>
      <w:tblBorders>
        <w:right w:val="single" w:color="C9C9C9" w:themeColor="accent3" w:themeTint="98" w:sz="4" w:space="0"/>
      </w:tblBorders>
      <w:tblCellMar>
        <w:top w:w="0" w:type="dxa"/>
        <w:left w:w="0" w:type="dxa"/>
        <w:bottom w:w="0" w:type="dxa"/>
        <w:right w:w="0"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779">
    <w:name w:val="List Table 7 Colorful - Accent 4"/>
    <w:qFormat/>
    <w:uiPriority w:val="99"/>
    <w:tblPr>
      <w:tblBorders>
        <w:right w:val="single" w:color="FFD864" w:themeColor="accent4" w:themeTint="9A" w:sz="4" w:space="0"/>
      </w:tblBorders>
      <w:tblCellMar>
        <w:top w:w="0" w:type="dxa"/>
        <w:left w:w="0" w:type="dxa"/>
        <w:bottom w:w="0" w:type="dxa"/>
        <w:right w:w="0"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80">
    <w:name w:val="List Table 7 Colorful - Accent 5"/>
    <w:qFormat/>
    <w:uiPriority w:val="99"/>
    <w:tblPr>
      <w:tblBorders>
        <w:right w:val="single" w:color="8EA9DB" w:themeColor="accent5" w:themeTint="9A" w:sz="4" w:space="0"/>
      </w:tblBorders>
      <w:tblCellMar>
        <w:top w:w="0" w:type="dxa"/>
        <w:left w:w="0" w:type="dxa"/>
        <w:bottom w:w="0" w:type="dxa"/>
        <w:right w:w="0"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781">
    <w:name w:val="List Table 7 Colorful - Accent 6"/>
    <w:qFormat/>
    <w:uiPriority w:val="99"/>
    <w:tblPr>
      <w:tblBorders>
        <w:right w:val="single" w:color="A9D08E" w:themeColor="accent6" w:themeTint="98" w:sz="4" w:space="0"/>
      </w:tblBorders>
      <w:tblCellMar>
        <w:top w:w="0" w:type="dxa"/>
        <w:left w:w="0" w:type="dxa"/>
        <w:bottom w:w="0" w:type="dxa"/>
        <w:right w:w="0"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78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78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78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78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78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78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78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78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790">
    <w:name w:val="Bordered &amp; Lined - Accent 1"/>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791">
    <w:name w:val="Bordered &amp; Lined - Accent 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792">
    <w:name w:val="Bordered &amp; Lined - Accent 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793">
    <w:name w:val="Bordered &amp; Lined - Accent 4"/>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794">
    <w:name w:val="Bordered &amp; Lined - Accent 5"/>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795">
    <w:name w:val="Bordered &amp; Lined - Accent 6"/>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79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797">
    <w:name w:val="Bordered - Accent 1"/>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98">
    <w:name w:val="Bordered - Accent 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99">
    <w:name w:val="Bordered - Accent 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00">
    <w:name w:val="Bordered - Accent 4"/>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1">
    <w:name w:val="Bordered - Accent 5"/>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02">
    <w:name w:val="Bordered - Accent 6"/>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803">
    <w:name w:val="默认段落字体1"/>
    <w:unhideWhenUsed/>
    <w:qFormat/>
    <w:uiPriority w:val="1"/>
  </w:style>
  <w:style w:type="table" w:customStyle="1" w:styleId="804">
    <w:name w:val="普通表格1"/>
    <w:unhideWhenUsed/>
    <w:qFormat/>
    <w:uiPriority w:val="99"/>
    <w:tblPr>
      <w:tblCellMar>
        <w:top w:w="0" w:type="dxa"/>
        <w:left w:w="0" w:type="dxa"/>
        <w:bottom w:w="0" w:type="dxa"/>
        <w:right w:w="0" w:type="dxa"/>
      </w:tblCellMar>
    </w:tblPr>
  </w:style>
  <w:style w:type="character" w:customStyle="1" w:styleId="805">
    <w:name w:val="纯文本 Char"/>
    <w:link w:val="250"/>
    <w:qFormat/>
    <w:uiPriority w:val="0"/>
    <w:rPr>
      <w:rFonts w:ascii="Arial Black" w:hAnsi="Courier New" w:eastAsia="宋体" w:cs="Times New Roman"/>
      <w:sz w:val="21"/>
    </w:rPr>
  </w:style>
  <w:style w:type="character" w:customStyle="1" w:styleId="806">
    <w:name w:val="文档结构图 Char"/>
    <w:link w:val="218"/>
    <w:qFormat/>
    <w:uiPriority w:val="0"/>
    <w:rPr>
      <w:rFonts w:ascii="宋体" w:hAnsi="Calibri" w:eastAsia="宋体" w:cs="Times New Roman"/>
      <w:sz w:val="18"/>
      <w:szCs w:val="18"/>
    </w:rPr>
  </w:style>
  <w:style w:type="character" w:customStyle="1" w:styleId="807">
    <w:name w:val="要点1"/>
    <w:qFormat/>
    <w:uiPriority w:val="0"/>
    <w:rPr>
      <w:rFonts w:hint="default" w:asciiTheme="minorHAnsi" w:hAnsiTheme="minorHAnsi" w:eastAsiaTheme="minorEastAsia" w:cstheme="minorBidi"/>
      <w:sz w:val="21"/>
      <w:szCs w:val="22"/>
    </w:rPr>
  </w:style>
  <w:style w:type="character" w:customStyle="1" w:styleId="808">
    <w:name w:val="标题 6 Char"/>
    <w:link w:val="109"/>
    <w:qFormat/>
    <w:uiPriority w:val="0"/>
    <w:rPr>
      <w:rFonts w:ascii="Cambria" w:hAnsi="Cambria" w:eastAsia="宋体" w:cs="Times New Roman"/>
      <w:b/>
      <w:bCs/>
      <w:sz w:val="24"/>
      <w:szCs w:val="24"/>
    </w:rPr>
  </w:style>
  <w:style w:type="character" w:customStyle="1" w:styleId="809">
    <w:name w:val="批注主题 Char"/>
    <w:link w:val="213"/>
    <w:qFormat/>
    <w:uiPriority w:val="0"/>
    <w:rPr>
      <w:rFonts w:ascii="Times New Roman" w:hAnsi="Times New Roman" w:eastAsia="宋体" w:cs="Times New Roman"/>
      <w:b/>
      <w:bCs/>
      <w:sz w:val="21"/>
      <w:szCs w:val="24"/>
    </w:rPr>
  </w:style>
  <w:style w:type="character" w:customStyle="1" w:styleId="810">
    <w:name w:val="二级目录 Char"/>
    <w:link w:val="811"/>
    <w:qFormat/>
    <w:uiPriority w:val="0"/>
    <w:rPr>
      <w:b/>
      <w:sz w:val="30"/>
      <w:szCs w:val="28"/>
    </w:rPr>
  </w:style>
  <w:style w:type="paragraph" w:customStyle="1" w:styleId="811">
    <w:name w:val="二级目录"/>
    <w:next w:val="1"/>
    <w:link w:val="810"/>
    <w:qFormat/>
    <w:uiPriority w:val="0"/>
    <w:pPr>
      <w:tabs>
        <w:tab w:val="left" w:pos="907"/>
        <w:tab w:val="left" w:pos="1145"/>
      </w:tabs>
      <w:ind w:left="907" w:hanging="907"/>
      <w:outlineLvl w:val="1"/>
    </w:pPr>
    <w:rPr>
      <w:rFonts w:asciiTheme="minorHAnsi" w:hAnsiTheme="minorHAnsi" w:eastAsiaTheme="minorEastAsia" w:cstheme="minorBidi"/>
      <w:b/>
      <w:sz w:val="30"/>
      <w:szCs w:val="28"/>
      <w:lang w:val="en-US" w:eastAsia="zh-CN" w:bidi="ar-SA"/>
    </w:rPr>
  </w:style>
  <w:style w:type="character" w:customStyle="1" w:styleId="812">
    <w:name w:val="标题 7 Char"/>
    <w:qFormat/>
    <w:uiPriority w:val="0"/>
    <w:rPr>
      <w:rFonts w:ascii="Times New Roman" w:hAnsi="Times New Roman" w:eastAsia="宋体" w:cs="Times New Roman"/>
      <w:b/>
      <w:bCs/>
      <w:sz w:val="24"/>
      <w:szCs w:val="24"/>
    </w:rPr>
  </w:style>
  <w:style w:type="character" w:customStyle="1" w:styleId="813">
    <w:name w:val="正文文本缩进 Char"/>
    <w:qFormat/>
    <w:uiPriority w:val="0"/>
    <w:rPr>
      <w:rFonts w:ascii="楷体_GB2312" w:hAnsi="Times New Roman" w:eastAsia="楷体_GB2312" w:cs="Times New Roman"/>
      <w:sz w:val="32"/>
      <w:szCs w:val="32"/>
    </w:rPr>
  </w:style>
  <w:style w:type="character" w:customStyle="1" w:styleId="814">
    <w:name w:val="标题 9 Char"/>
    <w:link w:val="113"/>
    <w:qFormat/>
    <w:uiPriority w:val="0"/>
    <w:rPr>
      <w:rFonts w:ascii="Cambria" w:hAnsi="Cambria" w:eastAsia="宋体" w:cs="Times New Roman"/>
      <w:sz w:val="21"/>
      <w:szCs w:val="21"/>
    </w:rPr>
  </w:style>
  <w:style w:type="character" w:customStyle="1" w:styleId="815">
    <w:name w:val="批注文字 Char"/>
    <w:link w:val="411"/>
    <w:qFormat/>
    <w:uiPriority w:val="0"/>
    <w:rPr>
      <w:rFonts w:ascii="Times New Roman" w:hAnsi="Times New Roman" w:eastAsia="宋体" w:cs="Times New Roman"/>
      <w:sz w:val="21"/>
      <w:szCs w:val="24"/>
      <w:lang w:eastAsia="ar-SA"/>
    </w:rPr>
  </w:style>
  <w:style w:type="character" w:customStyle="1" w:styleId="816">
    <w:name w:val="正文文本缩进 2 Char"/>
    <w:link w:val="222"/>
    <w:qFormat/>
    <w:uiPriority w:val="0"/>
    <w:rPr>
      <w:rFonts w:ascii="楷体" w:hAnsi="楷体" w:eastAsia="楷体" w:cs="Times New Roman"/>
      <w:color w:val="000000"/>
      <w:sz w:val="24"/>
      <w:lang w:eastAsia="ar-SA"/>
    </w:rPr>
  </w:style>
  <w:style w:type="character" w:customStyle="1" w:styleId="817">
    <w:name w:val="日期 Char"/>
    <w:link w:val="221"/>
    <w:qFormat/>
    <w:uiPriority w:val="0"/>
    <w:rPr>
      <w:rFonts w:ascii="Times New Roman" w:hAnsi="Times New Roman" w:eastAsia="宋体" w:cs="Times New Roman"/>
      <w:sz w:val="24"/>
      <w:szCs w:val="22"/>
    </w:rPr>
  </w:style>
  <w:style w:type="character" w:customStyle="1" w:styleId="818">
    <w:name w:val="超链接1"/>
    <w:qFormat/>
    <w:uiPriority w:val="0"/>
    <w:rPr>
      <w:color w:val="0000FF"/>
      <w:u w:val="single"/>
    </w:rPr>
  </w:style>
  <w:style w:type="character" w:customStyle="1" w:styleId="819">
    <w:name w:val="批注框文本 Char"/>
    <w:link w:val="820"/>
    <w:semiHidden/>
    <w:qFormat/>
    <w:uiPriority w:val="0"/>
    <w:rPr>
      <w:rFonts w:ascii="Times New Roman" w:hAnsi="Times New Roman" w:eastAsia="宋体" w:cs="Times New Roman"/>
      <w:sz w:val="18"/>
      <w:szCs w:val="18"/>
    </w:rPr>
  </w:style>
  <w:style w:type="paragraph" w:customStyle="1" w:styleId="820">
    <w:name w:val="批注框文本1"/>
    <w:basedOn w:val="1"/>
    <w:link w:val="819"/>
    <w:semiHidden/>
    <w:qFormat/>
    <w:uiPriority w:val="0"/>
    <w:rPr>
      <w:rFonts w:ascii="Times New Roman" w:hAnsi="Times New Roman" w:eastAsia="宋体" w:cs="Times New Roman"/>
      <w:sz w:val="18"/>
      <w:szCs w:val="18"/>
    </w:rPr>
  </w:style>
  <w:style w:type="character" w:customStyle="1" w:styleId="821">
    <w:name w:val="font5 Char"/>
    <w:qFormat/>
    <w:uiPriority w:val="0"/>
    <w:rPr>
      <w:rFonts w:ascii="宋体" w:hAnsi="宋体" w:eastAsia="宋体"/>
      <w:sz w:val="28"/>
      <w:szCs w:val="28"/>
      <w:lang w:val="en-US" w:eastAsia="zh-CN" w:bidi="ar-SA"/>
    </w:rPr>
  </w:style>
  <w:style w:type="character" w:customStyle="1" w:styleId="822">
    <w:name w:val="正文文本缩进 3 Char"/>
    <w:link w:val="224"/>
    <w:qFormat/>
    <w:uiPriority w:val="0"/>
    <w:rPr>
      <w:rFonts w:ascii="宋体" w:hAnsi="宋体" w:eastAsia="宋体" w:cs="宋体"/>
      <w:sz w:val="24"/>
      <w:szCs w:val="24"/>
    </w:rPr>
  </w:style>
  <w:style w:type="character" w:customStyle="1" w:styleId="823">
    <w:name w:val="标题 8 Char"/>
    <w:link w:val="112"/>
    <w:qFormat/>
    <w:uiPriority w:val="0"/>
    <w:rPr>
      <w:rFonts w:ascii="Cambria" w:hAnsi="Cambria" w:eastAsia="宋体" w:cs="Times New Roman"/>
      <w:sz w:val="24"/>
      <w:szCs w:val="24"/>
    </w:rPr>
  </w:style>
  <w:style w:type="paragraph" w:customStyle="1" w:styleId="824">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82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826">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827">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828">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829">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830">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83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832">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833">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834">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835">
    <w:name w:val="Char Char Char Char Char Char Char Char11"/>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836">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837">
    <w:name w:val="zhengwen"/>
    <w:basedOn w:val="1"/>
    <w:qFormat/>
    <w:uiPriority w:val="99"/>
    <w:pPr>
      <w:spacing w:line="360" w:lineRule="auto"/>
      <w:ind w:firstLine="480"/>
    </w:pPr>
    <w:rPr>
      <w:rFonts w:ascii="Times New Roman" w:hAnsi="Times New Roman" w:eastAsia="宋体" w:cs="Times New Roman"/>
      <w:color w:val="333333"/>
      <w:sz w:val="24"/>
      <w:szCs w:val="24"/>
    </w:rPr>
  </w:style>
  <w:style w:type="paragraph" w:customStyle="1" w:styleId="838">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839">
    <w:name w:val="Body Text(ch)"/>
    <w:basedOn w:val="1"/>
    <w:next w:val="69"/>
    <w:qFormat/>
    <w:uiPriority w:val="0"/>
    <w:pPr>
      <w:spacing w:after="120"/>
    </w:pPr>
    <w:rPr>
      <w:rFonts w:ascii="宋体" w:hAnsi="Arial" w:eastAsia="宋体" w:cs="Times New Roman"/>
      <w:bCs/>
      <w:iCs/>
      <w:szCs w:val="24"/>
    </w:rPr>
  </w:style>
  <w:style w:type="paragraph" w:customStyle="1" w:styleId="840">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841">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84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843">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844">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845">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846">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847">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84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84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850">
    <w:name w:val="Char11"/>
    <w:basedOn w:val="1"/>
    <w:qFormat/>
    <w:uiPriority w:val="0"/>
    <w:pPr>
      <w:tabs>
        <w:tab w:val="left" w:pos="360"/>
      </w:tabs>
    </w:pPr>
    <w:rPr>
      <w:rFonts w:ascii="Times New Roman" w:hAnsi="Times New Roman" w:eastAsia="宋体" w:cs="Times New Roman"/>
      <w:sz w:val="28"/>
      <w:szCs w:val="30"/>
    </w:rPr>
  </w:style>
  <w:style w:type="paragraph" w:customStyle="1" w:styleId="851">
    <w:name w:val="4"/>
    <w:basedOn w:val="1"/>
    <w:next w:val="224"/>
    <w:qFormat/>
    <w:uiPriority w:val="0"/>
    <w:pPr>
      <w:spacing w:line="360" w:lineRule="auto"/>
      <w:ind w:firstLine="420"/>
    </w:pPr>
    <w:rPr>
      <w:rFonts w:ascii="Times New Roman" w:hAnsi="Times New Roman" w:eastAsia="宋体" w:cs="Times New Roman"/>
      <w:color w:val="FF0000"/>
      <w:sz w:val="24"/>
      <w:szCs w:val="24"/>
    </w:rPr>
  </w:style>
  <w:style w:type="paragraph" w:customStyle="1" w:styleId="852">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853">
    <w:name w:val="Char Char Char Char11"/>
    <w:basedOn w:val="218"/>
    <w:qFormat/>
    <w:uiPriority w:val="0"/>
    <w:pPr>
      <w:shd w:val="clear" w:color="auto" w:fill="000080"/>
      <w:spacing w:line="360" w:lineRule="auto"/>
    </w:pPr>
    <w:rPr>
      <w:rFonts w:ascii="Tahoma" w:hAnsi="Tahoma"/>
      <w:sz w:val="24"/>
      <w:szCs w:val="24"/>
    </w:rPr>
  </w:style>
  <w:style w:type="paragraph" w:customStyle="1" w:styleId="854">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character" w:customStyle="1" w:styleId="855">
    <w:name w:val="正文文本 Char1"/>
    <w:basedOn w:val="59"/>
    <w:semiHidden/>
    <w:qFormat/>
    <w:uiPriority w:val="99"/>
    <w:rPr>
      <w:sz w:val="21"/>
      <w:szCs w:val="21"/>
    </w:rPr>
  </w:style>
  <w:style w:type="character" w:customStyle="1" w:styleId="856">
    <w:name w:val="正文文本 3 Char1"/>
    <w:basedOn w:val="59"/>
    <w:semiHidden/>
    <w:qFormat/>
    <w:uiPriority w:val="99"/>
    <w:rPr>
      <w:sz w:val="16"/>
      <w:szCs w:val="16"/>
    </w:rPr>
  </w:style>
  <w:style w:type="character" w:customStyle="1" w:styleId="857">
    <w:name w:val="日期 Char1"/>
    <w:basedOn w:val="59"/>
    <w:semiHidden/>
    <w:qFormat/>
    <w:uiPriority w:val="99"/>
    <w:rPr>
      <w:sz w:val="21"/>
      <w:szCs w:val="21"/>
    </w:rPr>
  </w:style>
  <w:style w:type="character" w:customStyle="1" w:styleId="858">
    <w:name w:val="正文文本缩进 2 Char1"/>
    <w:basedOn w:val="59"/>
    <w:semiHidden/>
    <w:qFormat/>
    <w:uiPriority w:val="99"/>
    <w:rPr>
      <w:sz w:val="21"/>
      <w:szCs w:val="21"/>
    </w:rPr>
  </w:style>
  <w:style w:type="character" w:customStyle="1" w:styleId="859">
    <w:name w:val="批注框文本 Char1"/>
    <w:basedOn w:val="59"/>
    <w:semiHidden/>
    <w:qFormat/>
    <w:uiPriority w:val="99"/>
    <w:rPr>
      <w:sz w:val="18"/>
      <w:szCs w:val="18"/>
    </w:rPr>
  </w:style>
  <w:style w:type="character" w:customStyle="1" w:styleId="860">
    <w:name w:val="正文文本缩进 3 Char1"/>
    <w:basedOn w:val="59"/>
    <w:semiHidden/>
    <w:qFormat/>
    <w:uiPriority w:val="99"/>
    <w:rPr>
      <w:sz w:val="16"/>
      <w:szCs w:val="16"/>
    </w:rPr>
  </w:style>
  <w:style w:type="character" w:customStyle="1" w:styleId="861">
    <w:name w:val="正文文本 2 Char1"/>
    <w:basedOn w:val="59"/>
    <w:semiHidden/>
    <w:qFormat/>
    <w:uiPriority w:val="99"/>
    <w:rPr>
      <w:sz w:val="21"/>
      <w:szCs w:val="21"/>
    </w:rPr>
  </w:style>
  <w:style w:type="character" w:customStyle="1" w:styleId="862">
    <w:name w:val="正文首行缩进 Char1"/>
    <w:basedOn w:val="855"/>
    <w:semiHidden/>
    <w:qFormat/>
    <w:uiPriority w:val="99"/>
    <w:rPr>
      <w:sz w:val="21"/>
      <w:szCs w:val="21"/>
    </w:rPr>
  </w:style>
  <w:style w:type="character" w:customStyle="1" w:styleId="863">
    <w:name w:val="正文首行缩进 2 Char1"/>
    <w:basedOn w:val="210"/>
    <w:semiHidden/>
    <w:qFormat/>
    <w:uiPriority w:val="99"/>
    <w:rPr>
      <w:rFonts w:ascii="Times New Roman" w:hAnsi="Times New Roman" w:eastAsia="楷体_GB2312" w:cs="Times New Roman"/>
      <w:sz w:val="21"/>
      <w:szCs w:val="21"/>
    </w:rPr>
  </w:style>
  <w:style w:type="paragraph" w:customStyle="1" w:styleId="864">
    <w:name w:val="xl62"/>
    <w:basedOn w:val="2"/>
    <w:next w:val="33"/>
    <w:qFormat/>
    <w:uiPriority w:val="0"/>
    <w:pPr>
      <w:keepLines w:val="0"/>
      <w:tabs>
        <w:tab w:val="clear" w:pos="879"/>
      </w:tabs>
      <w:spacing w:before="280" w:after="280" w:line="240" w:lineRule="auto"/>
      <w:ind w:firstLine="1024"/>
    </w:pPr>
    <w:rPr>
      <w:rFonts w:asciiTheme="minorHAnsi" w:hAnsiTheme="minorHAnsi"/>
      <w:b w:val="0"/>
      <w:bCs w:val="0"/>
      <w:spacing w:val="0"/>
      <w:sz w:val="32"/>
      <w:szCs w:val="28"/>
    </w:rPr>
  </w:style>
  <w:style w:type="character" w:customStyle="1" w:styleId="865">
    <w:name w:val="Title Char"/>
    <w:basedOn w:val="59"/>
    <w:qFormat/>
    <w:uiPriority w:val="10"/>
    <w:rPr>
      <w:sz w:val="48"/>
      <w:szCs w:val="48"/>
    </w:rPr>
  </w:style>
  <w:style w:type="character" w:customStyle="1" w:styleId="866">
    <w:name w:val="Subtitle Char"/>
    <w:basedOn w:val="59"/>
    <w:qFormat/>
    <w:uiPriority w:val="11"/>
    <w:rPr>
      <w:sz w:val="24"/>
      <w:szCs w:val="24"/>
    </w:rPr>
  </w:style>
  <w:style w:type="character" w:customStyle="1" w:styleId="867">
    <w:name w:val="Quote Char"/>
    <w:qFormat/>
    <w:uiPriority w:val="29"/>
    <w:rPr>
      <w:i/>
    </w:rPr>
  </w:style>
  <w:style w:type="character" w:customStyle="1" w:styleId="868">
    <w:name w:val="Intense Quote Char"/>
    <w:qFormat/>
    <w:uiPriority w:val="30"/>
    <w:rPr>
      <w:i/>
    </w:rPr>
  </w:style>
  <w:style w:type="character" w:customStyle="1" w:styleId="869">
    <w:name w:val="Footnote Text Char"/>
    <w:qFormat/>
    <w:uiPriority w:val="99"/>
    <w:rPr>
      <w:sz w:val="18"/>
    </w:rPr>
  </w:style>
  <w:style w:type="character" w:customStyle="1" w:styleId="870">
    <w:name w:val="Endnote Text Char"/>
    <w:qFormat/>
    <w:uiPriority w:val="99"/>
    <w:rPr>
      <w:sz w:val="20"/>
    </w:rPr>
  </w:style>
  <w:style w:type="character" w:customStyle="1" w:styleId="871">
    <w:name w:val="Heading 1 Char"/>
    <w:qFormat/>
    <w:uiPriority w:val="9"/>
    <w:rPr>
      <w:rFonts w:ascii="Arial" w:hAnsi="Arial" w:eastAsia="Arial" w:cs="Arial"/>
      <w:sz w:val="40"/>
      <w:szCs w:val="40"/>
    </w:rPr>
  </w:style>
  <w:style w:type="character" w:customStyle="1" w:styleId="872">
    <w:name w:val="Heading 2 Char"/>
    <w:qFormat/>
    <w:uiPriority w:val="9"/>
    <w:rPr>
      <w:rFonts w:ascii="Arial" w:hAnsi="Arial" w:eastAsia="Arial" w:cs="Arial"/>
      <w:sz w:val="34"/>
    </w:rPr>
  </w:style>
  <w:style w:type="character" w:customStyle="1" w:styleId="873">
    <w:name w:val="Heading 3 Char"/>
    <w:qFormat/>
    <w:uiPriority w:val="9"/>
    <w:rPr>
      <w:rFonts w:ascii="Arial" w:hAnsi="Arial" w:eastAsia="Arial" w:cs="Arial"/>
      <w:sz w:val="30"/>
      <w:szCs w:val="30"/>
    </w:rPr>
  </w:style>
  <w:style w:type="character" w:customStyle="1" w:styleId="874">
    <w:name w:val="Heading 4 Char"/>
    <w:qFormat/>
    <w:uiPriority w:val="9"/>
    <w:rPr>
      <w:rFonts w:ascii="Arial" w:hAnsi="Arial" w:eastAsia="Arial" w:cs="Arial"/>
      <w:b/>
      <w:bCs/>
      <w:sz w:val="26"/>
      <w:szCs w:val="26"/>
    </w:rPr>
  </w:style>
  <w:style w:type="character" w:customStyle="1" w:styleId="875">
    <w:name w:val="Heading 5 Char"/>
    <w:qFormat/>
    <w:uiPriority w:val="9"/>
    <w:rPr>
      <w:rFonts w:ascii="Arial" w:hAnsi="Arial" w:eastAsia="Arial" w:cs="Arial"/>
      <w:b/>
      <w:bCs/>
      <w:sz w:val="24"/>
      <w:szCs w:val="24"/>
    </w:rPr>
  </w:style>
  <w:style w:type="character" w:customStyle="1" w:styleId="876">
    <w:name w:val="Heading 6 Char"/>
    <w:qFormat/>
    <w:uiPriority w:val="9"/>
    <w:rPr>
      <w:rFonts w:ascii="Arial" w:hAnsi="Arial" w:eastAsia="Arial" w:cs="Arial"/>
      <w:b/>
      <w:bCs/>
      <w:sz w:val="22"/>
      <w:szCs w:val="22"/>
    </w:rPr>
  </w:style>
  <w:style w:type="character" w:customStyle="1" w:styleId="877">
    <w:name w:val="Heading 7 Char"/>
    <w:qFormat/>
    <w:uiPriority w:val="9"/>
    <w:rPr>
      <w:rFonts w:ascii="Arial" w:hAnsi="Arial" w:eastAsia="Arial" w:cs="Arial"/>
      <w:b/>
      <w:bCs/>
      <w:i/>
      <w:iCs/>
      <w:sz w:val="22"/>
      <w:szCs w:val="22"/>
    </w:rPr>
  </w:style>
  <w:style w:type="character" w:customStyle="1" w:styleId="878">
    <w:name w:val="Heading 8 Char"/>
    <w:qFormat/>
    <w:uiPriority w:val="9"/>
    <w:rPr>
      <w:rFonts w:ascii="Arial" w:hAnsi="Arial" w:eastAsia="Arial" w:cs="Arial"/>
      <w:i/>
      <w:iCs/>
      <w:sz w:val="22"/>
      <w:szCs w:val="22"/>
    </w:rPr>
  </w:style>
  <w:style w:type="character" w:customStyle="1" w:styleId="879">
    <w:name w:val="Heading 9 Char"/>
    <w:qFormat/>
    <w:uiPriority w:val="9"/>
    <w:rPr>
      <w:rFonts w:ascii="Arial" w:hAnsi="Arial" w:eastAsia="Arial" w:cs="Arial"/>
      <w:i/>
      <w:iCs/>
      <w:sz w:val="21"/>
      <w:szCs w:val="21"/>
    </w:rPr>
  </w:style>
  <w:style w:type="character" w:customStyle="1" w:styleId="880">
    <w:name w:val="Header Char"/>
    <w:qFormat/>
    <w:uiPriority w:val="99"/>
  </w:style>
  <w:style w:type="character" w:customStyle="1" w:styleId="881">
    <w:name w:val="Caption Char"/>
    <w:qFormat/>
    <w:uiPriority w:val="99"/>
  </w:style>
  <w:style w:type="paragraph" w:customStyle="1" w:styleId="882">
    <w:name w:val="Char Char Char Char Char Char Char Char1"/>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883">
    <w:name w:val="List Paragraph1"/>
    <w:basedOn w:val="1"/>
    <w:qFormat/>
    <w:uiPriority w:val="0"/>
    <w:pPr>
      <w:widowControl/>
      <w:spacing w:before="100" w:beforeAutospacing="1" w:after="94" w:line="264" w:lineRule="auto"/>
      <w:ind w:left="309" w:right="155" w:firstLine="420"/>
      <w:jc w:val="left"/>
    </w:pPr>
    <w:rPr>
      <w:rFonts w:ascii="宋体" w:hAnsi="宋体" w:eastAsia="宋体" w:cs="宋体"/>
      <w:color w:val="000000"/>
      <w:sz w:val="18"/>
      <w:szCs w:val="18"/>
    </w:rPr>
  </w:style>
  <w:style w:type="paragraph" w:customStyle="1" w:styleId="884">
    <w:name w:val="列出段落3"/>
    <w:basedOn w:val="1"/>
    <w:qFormat/>
    <w:uiPriority w:val="0"/>
    <w:pPr>
      <w:ind w:firstLine="420"/>
    </w:pPr>
    <w:rPr>
      <w:rFonts w:ascii="Times New Roman" w:hAnsi="Times New Roman" w:eastAsia="宋体" w:cs="Times New Roman"/>
      <w:szCs w:val="21"/>
    </w:rPr>
  </w:style>
  <w:style w:type="paragraph" w:customStyle="1" w:styleId="885">
    <w:name w:val="标题6"/>
    <w:basedOn w:val="7"/>
    <w:next w:val="1"/>
    <w:qFormat/>
    <w:uiPriority w:val="0"/>
    <w:pPr>
      <w:keepNext w:val="0"/>
      <w:keepLines w:val="0"/>
      <w:tabs>
        <w:tab w:val="clear" w:pos="3714"/>
      </w:tabs>
      <w:spacing w:before="120" w:after="120" w:line="276" w:lineRule="auto"/>
      <w:ind w:left="992" w:hanging="992"/>
      <w:jc w:val="both"/>
    </w:pPr>
    <w:rPr>
      <w:rFonts w:ascii="方正仿宋_GBK" w:hAnsi="宋体" w:eastAsia="方正仿宋_GBK" w:cstheme="minorBidi"/>
      <w:bCs w:val="0"/>
      <w:szCs w:val="28"/>
      <w:lang w:val="zh-CN"/>
    </w:rPr>
  </w:style>
  <w:style w:type="paragraph" w:customStyle="1" w:styleId="886">
    <w:name w:val="修订4"/>
    <w:hidden/>
    <w:unhideWhenUsed/>
    <w:qFormat/>
    <w:uiPriority w:val="99"/>
    <w:rPr>
      <w:rFonts w:ascii="宋体" w:hAnsi="宋体" w:eastAsia="宋体" w:cstheme="minorBidi"/>
      <w:sz w:val="24"/>
      <w:szCs w:val="24"/>
      <w:lang w:val="en-US" w:eastAsia="zh-CN" w:bidi="ar-SA"/>
    </w:rPr>
  </w:style>
  <w:style w:type="table" w:customStyle="1" w:styleId="887">
    <w:name w:val="Table Normal1"/>
    <w:semiHidden/>
    <w:unhideWhenUsed/>
    <w:qFormat/>
    <w:uiPriority w:val="2"/>
    <w:tblPr>
      <w:tblCellMar>
        <w:top w:w="0" w:type="dxa"/>
        <w:left w:w="0" w:type="dxa"/>
        <w:bottom w:w="0" w:type="dxa"/>
        <w:right w:w="0" w:type="dxa"/>
      </w:tblCellMar>
    </w:tblPr>
  </w:style>
  <w:style w:type="paragraph" w:customStyle="1" w:styleId="888">
    <w:name w:val="7内置样式"/>
    <w:basedOn w:val="8"/>
    <w:qFormat/>
    <w:uiPriority w:val="0"/>
    <w:pPr>
      <w:keepNext w:val="0"/>
      <w:keepLines w:val="0"/>
      <w:tabs>
        <w:tab w:val="clear" w:pos="425"/>
      </w:tabs>
      <w:spacing w:before="120" w:after="120" w:line="276" w:lineRule="auto"/>
      <w:ind w:left="1134" w:hanging="1134"/>
      <w:jc w:val="both"/>
    </w:pPr>
    <w:rPr>
      <w:rFonts w:ascii="Times New Roman" w:hAnsi="Times New Roman" w:eastAsia="方正仿宋_GBK"/>
      <w:bCs w:val="0"/>
      <w:sz w:val="28"/>
      <w:szCs w:val="28"/>
      <w:lang w:val="zh-CN"/>
    </w:rPr>
  </w:style>
  <w:style w:type="paragraph" w:customStyle="1" w:styleId="889">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89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89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892">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eastAsia="宋体" w:cs="宋体"/>
      <w:sz w:val="24"/>
      <w:szCs w:val="24"/>
    </w:rPr>
  </w:style>
  <w:style w:type="paragraph" w:customStyle="1" w:styleId="89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89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895">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896">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89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898">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89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00">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01">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902">
    <w:name w:val="xl88"/>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903">
    <w:name w:val="xl89"/>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eastAsia="宋体" w:cs="宋体"/>
      <w:sz w:val="24"/>
      <w:szCs w:val="24"/>
    </w:rPr>
  </w:style>
  <w:style w:type="paragraph" w:customStyle="1" w:styleId="904">
    <w:name w:val="xl90"/>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05">
    <w:name w:val="xl91"/>
    <w:basedOn w:val="1"/>
    <w:qFormat/>
    <w:uiPriority w:val="0"/>
    <w:pPr>
      <w:widowControl/>
      <w:pBdr>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06">
    <w:name w:val="xl92"/>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07">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08">
    <w:name w:val="xl94"/>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09">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910">
    <w:name w:val="xl96"/>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91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912">
    <w:name w:val="xl98"/>
    <w:basedOn w:val="1"/>
    <w:qFormat/>
    <w:uiPriority w:val="0"/>
    <w:pPr>
      <w:widowControl/>
      <w:spacing w:before="100" w:beforeAutospacing="1" w:after="100" w:afterAutospacing="1"/>
      <w:jc w:val="center"/>
    </w:pPr>
    <w:rPr>
      <w:rFonts w:ascii="宋体" w:hAnsi="宋体" w:eastAsia="宋体" w:cs="宋体"/>
      <w:sz w:val="20"/>
      <w:szCs w:val="20"/>
    </w:rPr>
  </w:style>
  <w:style w:type="paragraph" w:customStyle="1" w:styleId="913">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14">
    <w:name w:val="xl10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915">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916">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17">
    <w:name w:val="xl103"/>
    <w:basedOn w:val="1"/>
    <w:qFormat/>
    <w:uiPriority w:val="0"/>
    <w:pPr>
      <w:widowControl/>
      <w:spacing w:before="100" w:beforeAutospacing="1" w:after="100" w:afterAutospacing="1"/>
      <w:jc w:val="left"/>
    </w:pPr>
    <w:rPr>
      <w:rFonts w:ascii="宋体" w:hAnsi="宋体" w:eastAsia="宋体" w:cs="宋体"/>
      <w:sz w:val="20"/>
      <w:szCs w:val="20"/>
    </w:rPr>
  </w:style>
  <w:style w:type="paragraph" w:customStyle="1" w:styleId="918">
    <w:name w:val="xl10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19">
    <w:name w:val="xl10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20">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21">
    <w:name w:val="xl10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22">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23">
    <w:name w:val="xl109"/>
    <w:basedOn w:val="1"/>
    <w:qFormat/>
    <w:uiPriority w:val="0"/>
    <w:pPr>
      <w:widowControl/>
      <w:pBdr>
        <w:left w:val="single" w:color="auto" w:sz="4" w:space="0"/>
      </w:pBdr>
      <w:spacing w:before="100" w:beforeAutospacing="1" w:after="100" w:afterAutospacing="1"/>
      <w:jc w:val="left"/>
    </w:pPr>
    <w:rPr>
      <w:rFonts w:ascii="宋体" w:hAnsi="宋体" w:eastAsia="宋体" w:cs="宋体"/>
      <w:sz w:val="20"/>
      <w:szCs w:val="20"/>
    </w:rPr>
  </w:style>
  <w:style w:type="paragraph" w:customStyle="1" w:styleId="924">
    <w:name w:val="xl110"/>
    <w:basedOn w:val="1"/>
    <w:qFormat/>
    <w:uiPriority w:val="0"/>
    <w:pPr>
      <w:widowControl/>
      <w:spacing w:before="100" w:beforeAutospacing="1" w:after="100" w:afterAutospacing="1"/>
      <w:jc w:val="left"/>
    </w:pPr>
    <w:rPr>
      <w:rFonts w:ascii="宋体" w:hAnsi="宋体" w:eastAsia="宋体" w:cs="宋体"/>
      <w:sz w:val="20"/>
      <w:szCs w:val="20"/>
    </w:rPr>
  </w:style>
  <w:style w:type="paragraph" w:customStyle="1" w:styleId="925">
    <w:name w:val="xl111"/>
    <w:basedOn w:val="1"/>
    <w:qFormat/>
    <w:uiPriority w:val="0"/>
    <w:pPr>
      <w:widowControl/>
      <w:pBdr>
        <w:left w:val="single" w:color="auto" w:sz="8"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926">
    <w:name w:val="xl112"/>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27">
    <w:name w:val="xl11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28">
    <w:name w:val="xl114"/>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29">
    <w:name w:val="xl11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30">
    <w:name w:val="xl11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sz w:val="20"/>
      <w:szCs w:val="20"/>
    </w:rPr>
  </w:style>
  <w:style w:type="paragraph" w:customStyle="1" w:styleId="931">
    <w:name w:val="xl11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932">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sz w:val="24"/>
      <w:szCs w:val="24"/>
    </w:rPr>
  </w:style>
  <w:style w:type="paragraph" w:customStyle="1" w:styleId="933">
    <w:name w:val="xl119"/>
    <w:basedOn w:val="1"/>
    <w:qFormat/>
    <w:uiPriority w:val="0"/>
    <w:pPr>
      <w:widowControl/>
      <w:pBdr>
        <w:left w:val="single" w:color="auto" w:sz="4" w:space="0"/>
      </w:pBdr>
      <w:spacing w:before="100" w:beforeAutospacing="1" w:after="100" w:afterAutospacing="1"/>
      <w:jc w:val="left"/>
    </w:pPr>
    <w:rPr>
      <w:rFonts w:ascii="宋体" w:hAnsi="宋体" w:eastAsia="宋体" w:cs="宋体"/>
      <w:b/>
      <w:bCs/>
      <w:sz w:val="24"/>
      <w:szCs w:val="24"/>
    </w:rPr>
  </w:style>
  <w:style w:type="paragraph" w:customStyle="1" w:styleId="934">
    <w:name w:val="xl120"/>
    <w:basedOn w:val="1"/>
    <w:qFormat/>
    <w:uiPriority w:val="0"/>
    <w:pPr>
      <w:widowControl/>
      <w:spacing w:before="100" w:beforeAutospacing="1" w:after="100" w:afterAutospacing="1"/>
      <w:jc w:val="left"/>
    </w:pPr>
    <w:rPr>
      <w:rFonts w:ascii="宋体" w:hAnsi="宋体" w:eastAsia="宋体" w:cs="宋体"/>
      <w:b/>
      <w:bCs/>
      <w:sz w:val="24"/>
      <w:szCs w:val="24"/>
    </w:rPr>
  </w:style>
  <w:style w:type="paragraph" w:customStyle="1" w:styleId="935">
    <w:name w:val="xl12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eastAsia="宋体" w:cs="宋体"/>
      <w:sz w:val="20"/>
      <w:szCs w:val="20"/>
    </w:rPr>
  </w:style>
  <w:style w:type="paragraph" w:customStyle="1" w:styleId="936">
    <w:name w:val="xl122"/>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37">
    <w:name w:val="xl12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sz w:val="20"/>
      <w:szCs w:val="20"/>
    </w:rPr>
  </w:style>
  <w:style w:type="paragraph" w:customStyle="1" w:styleId="938">
    <w:name w:val="xl124"/>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b/>
      <w:bCs/>
      <w:sz w:val="24"/>
      <w:szCs w:val="24"/>
    </w:rPr>
  </w:style>
  <w:style w:type="paragraph" w:customStyle="1" w:styleId="939">
    <w:name w:val="xl1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sz w:val="20"/>
      <w:szCs w:val="20"/>
    </w:rPr>
  </w:style>
  <w:style w:type="paragraph" w:customStyle="1" w:styleId="940">
    <w:name w:val="xl126"/>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0"/>
      <w:szCs w:val="20"/>
    </w:rPr>
  </w:style>
  <w:style w:type="paragraph" w:customStyle="1" w:styleId="941">
    <w:name w:val="xl12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42">
    <w:name w:val="xl128"/>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43">
    <w:name w:val="xl12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44">
    <w:name w:val="xl130"/>
    <w:basedOn w:val="1"/>
    <w:qFormat/>
    <w:uiPriority w:val="0"/>
    <w:pPr>
      <w:widowControl/>
      <w:pBdr>
        <w:left w:val="single" w:color="auto" w:sz="4" w:space="0"/>
      </w:pBdr>
      <w:spacing w:before="100" w:beforeAutospacing="1" w:after="100" w:afterAutospacing="1"/>
      <w:jc w:val="center"/>
    </w:pPr>
    <w:rPr>
      <w:rFonts w:ascii="宋体" w:hAnsi="宋体" w:eastAsia="宋体" w:cs="宋体"/>
      <w:b/>
      <w:bCs/>
      <w:sz w:val="24"/>
      <w:szCs w:val="24"/>
    </w:rPr>
  </w:style>
  <w:style w:type="paragraph" w:customStyle="1" w:styleId="945">
    <w:name w:val="xl131"/>
    <w:basedOn w:val="1"/>
    <w:qFormat/>
    <w:uiPriority w:val="0"/>
    <w:pPr>
      <w:widowControl/>
      <w:spacing w:before="100" w:beforeAutospacing="1" w:after="100" w:afterAutospacing="1"/>
      <w:jc w:val="center"/>
    </w:pPr>
    <w:rPr>
      <w:rFonts w:ascii="宋体" w:hAnsi="宋体" w:eastAsia="宋体" w:cs="宋体"/>
      <w:b/>
      <w:bCs/>
      <w:sz w:val="24"/>
      <w:szCs w:val="24"/>
    </w:rPr>
  </w:style>
  <w:style w:type="paragraph" w:customStyle="1" w:styleId="946">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sz w:val="24"/>
      <w:szCs w:val="24"/>
    </w:rPr>
  </w:style>
  <w:style w:type="paragraph" w:customStyle="1" w:styleId="947">
    <w:name w:val="xl133"/>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eastAsia="宋体" w:cs="宋体"/>
      <w:sz w:val="20"/>
      <w:szCs w:val="20"/>
    </w:rPr>
  </w:style>
  <w:style w:type="paragraph" w:customStyle="1" w:styleId="948">
    <w:name w:val="王-正文"/>
    <w:basedOn w:val="1"/>
    <w:link w:val="949"/>
    <w:qFormat/>
    <w:uiPriority w:val="0"/>
    <w:pPr>
      <w:spacing w:before="50" w:after="50" w:line="360" w:lineRule="auto"/>
      <w:ind w:firstLine="200"/>
    </w:pPr>
    <w:rPr>
      <w:rFonts w:ascii="Times New Roman" w:hAnsi="Times New Roman" w:eastAsia="宋体"/>
      <w:color w:val="000000"/>
      <w:sz w:val="24"/>
      <w:szCs w:val="24"/>
      <w:lang w:val="en-GB"/>
    </w:rPr>
  </w:style>
  <w:style w:type="character" w:customStyle="1" w:styleId="949">
    <w:name w:val="王-正文 Char"/>
    <w:link w:val="948"/>
    <w:qFormat/>
    <w:uiPriority w:val="0"/>
    <w:rPr>
      <w:rFonts w:ascii="Times New Roman" w:hAnsi="Times New Roman" w:eastAsia="宋体"/>
      <w:color w:val="000000"/>
      <w:sz w:val="24"/>
      <w:szCs w:val="24"/>
      <w:lang w:val="en-GB"/>
    </w:rPr>
  </w:style>
  <w:style w:type="paragraph" w:customStyle="1" w:styleId="950">
    <w:name w:val="一级项目符号"/>
    <w:basedOn w:val="951"/>
    <w:next w:val="433"/>
    <w:qFormat/>
    <w:uiPriority w:val="0"/>
    <w:pPr>
      <w:numPr>
        <w:numId w:val="8"/>
      </w:numPr>
      <w:spacing w:line="360" w:lineRule="auto"/>
      <w:ind w:left="720" w:right="180" w:hanging="240"/>
    </w:pPr>
    <w:rPr>
      <w:rFonts w:ascii="宋体" w:hAnsi="宋体" w:eastAsia="宋体"/>
      <w:sz w:val="24"/>
      <w:szCs w:val="22"/>
      <w:lang w:val="en-GB"/>
    </w:rPr>
  </w:style>
  <w:style w:type="paragraph" w:customStyle="1" w:styleId="951">
    <w:name w:val="一级列表编号"/>
    <w:basedOn w:val="1"/>
    <w:next w:val="433"/>
    <w:qFormat/>
    <w:uiPriority w:val="0"/>
    <w:pPr>
      <w:numPr>
        <w:ilvl w:val="0"/>
        <w:numId w:val="9"/>
      </w:numPr>
      <w:ind w:left="300" w:hanging="100"/>
    </w:pPr>
    <w:rPr>
      <w:szCs w:val="20"/>
    </w:rPr>
  </w:style>
  <w:style w:type="paragraph" w:customStyle="1" w:styleId="952">
    <w:name w:val="中标题_标题3基准样式"/>
    <w:basedOn w:val="1"/>
    <w:qFormat/>
    <w:uiPriority w:val="0"/>
    <w:pPr>
      <w:spacing w:before="50" w:after="50"/>
      <w:ind w:left="3" w:hanging="360"/>
    </w:pPr>
    <w:rPr>
      <w:b/>
      <w:sz w:val="24"/>
    </w:rPr>
  </w:style>
  <w:style w:type="character" w:customStyle="1" w:styleId="953">
    <w:name w:val="正文2 Char"/>
    <w:qFormat/>
    <w:uiPriority w:val="0"/>
    <w:rPr>
      <w:rFonts w:ascii="Times New Roman" w:hAnsi="Times New Roman" w:eastAsia="宋体"/>
      <w:sz w:val="24"/>
      <w:szCs w:val="24"/>
    </w:rPr>
  </w:style>
  <w:style w:type="paragraph" w:customStyle="1" w:styleId="954">
    <w:name w:val="样式 楷体_GB2312 三号 黑色 首行缩进:  0.35 厘米 字距调整四号 行距: 固定值 28 磅"/>
    <w:basedOn w:val="1"/>
    <w:qFormat/>
    <w:uiPriority w:val="99"/>
    <w:pPr>
      <w:spacing w:line="560" w:lineRule="exact"/>
    </w:pPr>
    <w:rPr>
      <w:rFonts w:ascii="Windsor Std Light" w:hAnsi="Windsor Std Light" w:eastAsia="Windsor Std Light"/>
      <w:color w:val="000000"/>
      <w:sz w:val="24"/>
      <w:szCs w:val="20"/>
    </w:rPr>
  </w:style>
  <w:style w:type="character" w:customStyle="1" w:styleId="955">
    <w:name w:val="*正文 Char"/>
    <w:qFormat/>
    <w:uiPriority w:val="0"/>
    <w:rPr>
      <w:rFonts w:ascii="Times New Roman" w:hAnsi="Times New Roman" w:eastAsia="宋体" w:cs="Times New Roman"/>
      <w:sz w:val="24"/>
      <w:szCs w:val="24"/>
      <w:lang w:val="zh-CN"/>
    </w:rPr>
  </w:style>
  <w:style w:type="paragraph" w:customStyle="1" w:styleId="956">
    <w:name w:val="编号，小四"/>
    <w:basedOn w:val="1"/>
    <w:qFormat/>
    <w:uiPriority w:val="0"/>
    <w:pPr>
      <w:numPr>
        <w:ilvl w:val="0"/>
        <w:numId w:val="10"/>
      </w:numPr>
      <w:spacing w:line="360" w:lineRule="auto"/>
    </w:pPr>
    <w:rPr>
      <w:rFonts w:ascii="Arial" w:hAnsi="Arial" w:eastAsia="宋体" w:cs="宋体"/>
      <w:sz w:val="24"/>
      <w:szCs w:val="20"/>
    </w:rPr>
  </w:style>
  <w:style w:type="paragraph" w:customStyle="1" w:styleId="957">
    <w:name w:val="样式 标题 5 + 段前: 0.5 行"/>
    <w:basedOn w:val="1"/>
    <w:qFormat/>
    <w:uiPriority w:val="0"/>
    <w:pPr>
      <w:keepNext/>
      <w:keepLines/>
      <w:numPr>
        <w:ilvl w:val="4"/>
        <w:numId w:val="11"/>
      </w:numPr>
      <w:spacing w:before="163" w:line="360" w:lineRule="auto"/>
      <w:ind w:left="0" w:firstLine="0"/>
      <w:jc w:val="left"/>
      <w:outlineLvl w:val="4"/>
    </w:pPr>
    <w:rPr>
      <w:rFonts w:ascii="Arial" w:hAnsi="Arial" w:eastAsia="黑体" w:cs="宋体"/>
      <w:sz w:val="28"/>
      <w:szCs w:val="20"/>
    </w:rPr>
  </w:style>
  <w:style w:type="paragraph" w:customStyle="1" w:styleId="958">
    <w:name w:val="样式 首行缩进:  0 字符"/>
    <w:basedOn w:val="1"/>
    <w:qFormat/>
    <w:uiPriority w:val="0"/>
    <w:pPr>
      <w:spacing w:line="360" w:lineRule="auto"/>
      <w:ind w:firstLine="200"/>
    </w:pPr>
    <w:rPr>
      <w:rFonts w:ascii="Arial" w:hAnsi="Arial" w:eastAsia="宋体" w:cs="宋体"/>
      <w:sz w:val="24"/>
      <w:szCs w:val="20"/>
    </w:rPr>
  </w:style>
  <w:style w:type="paragraph" w:customStyle="1" w:styleId="959">
    <w:name w:val="表格表头"/>
    <w:basedOn w:val="1"/>
    <w:qFormat/>
    <w:uiPriority w:val="0"/>
    <w:pPr>
      <w:spacing w:line="360" w:lineRule="auto"/>
      <w:jc w:val="center"/>
      <w:outlineLvl w:val="0"/>
    </w:pPr>
    <w:rPr>
      <w:rFonts w:ascii="宋体" w:hAnsi="宋体" w:eastAsia="黑体" w:cs="宋体"/>
      <w:sz w:val="24"/>
      <w:szCs w:val="21"/>
    </w:rPr>
  </w:style>
  <w:style w:type="paragraph" w:customStyle="1" w:styleId="960">
    <w:name w:val="表1"/>
    <w:basedOn w:val="1"/>
    <w:qFormat/>
    <w:uiPriority w:val="0"/>
    <w:pPr>
      <w:numPr>
        <w:ilvl w:val="0"/>
        <w:numId w:val="12"/>
      </w:numPr>
      <w:spacing w:line="360" w:lineRule="auto"/>
      <w:ind w:left="0" w:firstLine="0"/>
      <w:jc w:val="center"/>
    </w:pPr>
    <w:rPr>
      <w:rFonts w:ascii="Arial" w:hAnsi="Arial" w:eastAsia="宋体" w:cs="宋体"/>
      <w:szCs w:val="20"/>
    </w:rPr>
  </w:style>
  <w:style w:type="character" w:customStyle="1" w:styleId="961">
    <w:name w:val="Default Char"/>
    <w:link w:val="96"/>
    <w:qFormat/>
    <w:uiPriority w:val="0"/>
    <w:rPr>
      <w:rFonts w:ascii="黑体" w:hAnsi="Times New Roman" w:eastAsia="黑体" w:cs="黑体"/>
      <w:color w:val="000000"/>
      <w:sz w:val="24"/>
      <w:szCs w:val="24"/>
    </w:rPr>
  </w:style>
  <w:style w:type="paragraph" w:customStyle="1" w:styleId="962">
    <w:name w:val="CM51"/>
    <w:basedOn w:val="1"/>
    <w:next w:val="96"/>
    <w:qFormat/>
    <w:uiPriority w:val="0"/>
    <w:pPr>
      <w:spacing w:after="103"/>
      <w:jc w:val="left"/>
    </w:pPr>
    <w:rPr>
      <w:rFonts w:ascii="黑体" w:hAnsi="Calibri" w:eastAsia="黑体" w:cs="Times New Roman"/>
      <w:sz w:val="24"/>
      <w:szCs w:val="24"/>
    </w:rPr>
  </w:style>
  <w:style w:type="paragraph" w:customStyle="1" w:styleId="963">
    <w:name w:val="标题7"/>
    <w:basedOn w:val="1"/>
    <w:next w:val="1"/>
    <w:qFormat/>
    <w:uiPriority w:val="0"/>
    <w:pPr>
      <w:keepNext/>
      <w:keepLines/>
      <w:spacing w:before="240" w:after="64" w:line="320" w:lineRule="auto"/>
      <w:ind w:left="1276" w:hanging="1276"/>
      <w:outlineLvl w:val="6"/>
    </w:pPr>
    <w:rPr>
      <w:rFonts w:ascii="Arial" w:hAnsi="Arial" w:eastAsia="黑体" w:cs="宋体"/>
      <w:bCs/>
      <w:sz w:val="24"/>
      <w:szCs w:val="24"/>
      <w:lang w:eastAsia="en-US"/>
    </w:rPr>
  </w:style>
  <w:style w:type="paragraph" w:customStyle="1" w:styleId="964">
    <w:name w:val="标题8"/>
    <w:basedOn w:val="1"/>
    <w:next w:val="1"/>
    <w:qFormat/>
    <w:uiPriority w:val="0"/>
    <w:pPr>
      <w:keepNext/>
      <w:keepLines/>
      <w:spacing w:before="240" w:after="64" w:line="320" w:lineRule="auto"/>
      <w:ind w:left="1418" w:hanging="1418"/>
      <w:outlineLvl w:val="7"/>
    </w:pPr>
    <w:rPr>
      <w:rFonts w:ascii="Cambria" w:hAnsi="Cambria" w:eastAsia="黑体" w:cs="Times New Roman"/>
      <w:sz w:val="24"/>
      <w:szCs w:val="24"/>
      <w:lang w:eastAsia="en-US"/>
    </w:rPr>
  </w:style>
  <w:style w:type="paragraph" w:customStyle="1" w:styleId="965">
    <w:name w:val="标题9"/>
    <w:basedOn w:val="1"/>
    <w:next w:val="1"/>
    <w:qFormat/>
    <w:uiPriority w:val="0"/>
    <w:pPr>
      <w:keepNext/>
      <w:keepLines/>
      <w:spacing w:before="240" w:after="64" w:line="320" w:lineRule="auto"/>
      <w:ind w:left="1559" w:hanging="1559"/>
      <w:outlineLvl w:val="8"/>
    </w:pPr>
    <w:rPr>
      <w:rFonts w:ascii="Cambria" w:hAnsi="Cambria" w:eastAsia="宋体" w:cs="Times New Roman"/>
      <w:szCs w:val="21"/>
      <w:lang w:eastAsia="en-US"/>
    </w:rPr>
  </w:style>
  <w:style w:type="paragraph" w:customStyle="1" w:styleId="966">
    <w:name w:val="正文黑体"/>
    <w:basedOn w:val="958"/>
    <w:qFormat/>
    <w:uiPriority w:val="0"/>
    <w:pPr>
      <w:ind w:firstLine="480"/>
    </w:pPr>
    <w:rPr>
      <w:rFonts w:ascii="黑体" w:hAnsi="黑体" w:eastAsia="黑体"/>
    </w:rPr>
  </w:style>
  <w:style w:type="paragraph" w:customStyle="1" w:styleId="967">
    <w:name w:val="样式 标题9 +"/>
    <w:basedOn w:val="965"/>
    <w:qFormat/>
    <w:uiPriority w:val="0"/>
    <w:rPr>
      <w:rFonts w:eastAsia="黑体"/>
    </w:rPr>
  </w:style>
  <w:style w:type="paragraph" w:customStyle="1" w:styleId="968">
    <w:name w:val="标准正文"/>
    <w:basedOn w:val="1"/>
    <w:link w:val="969"/>
    <w:qFormat/>
    <w:uiPriority w:val="0"/>
    <w:pPr>
      <w:spacing w:before="156" w:after="156" w:line="360" w:lineRule="auto"/>
      <w:ind w:firstLine="480"/>
    </w:pPr>
    <w:rPr>
      <w:rFonts w:ascii="Times New Roman" w:hAnsi="Times New Roman" w:eastAsia="宋体" w:cs="宋体"/>
      <w:sz w:val="24"/>
      <w:szCs w:val="20"/>
    </w:rPr>
  </w:style>
  <w:style w:type="character" w:customStyle="1" w:styleId="969">
    <w:name w:val="标准正文 Char"/>
    <w:link w:val="968"/>
    <w:qFormat/>
    <w:uiPriority w:val="0"/>
    <w:rPr>
      <w:rFonts w:ascii="Times New Roman" w:hAnsi="Times New Roman" w:eastAsia="宋体" w:cs="宋体"/>
      <w:sz w:val="24"/>
    </w:rPr>
  </w:style>
  <w:style w:type="character" w:customStyle="1" w:styleId="970">
    <w:name w:val="bjh-p"/>
    <w:basedOn w:val="59"/>
    <w:qFormat/>
    <w:uiPriority w:val="0"/>
  </w:style>
  <w:style w:type="character" w:customStyle="1" w:styleId="971">
    <w:name w:val="Table Text Char"/>
    <w:link w:val="205"/>
    <w:qFormat/>
    <w:uiPriority w:val="0"/>
    <w:rPr>
      <w:rFonts w:ascii="DejaVu Math TeX Gyre" w:hAnsi="DejaVu Math TeX Gyre" w:eastAsia="仿宋" w:cs="Times New Roman"/>
      <w:sz w:val="24"/>
      <w:szCs w:val="22"/>
      <w:lang w:val="en-GB" w:eastAsia="en-US" w:bidi="en-US"/>
    </w:rPr>
  </w:style>
  <w:style w:type="character" w:customStyle="1" w:styleId="972">
    <w:name w:val="Table Heading Char"/>
    <w:link w:val="262"/>
    <w:qFormat/>
    <w:uiPriority w:val="0"/>
    <w:rPr>
      <w:rFonts w:ascii="Times New Roman" w:hAnsi="Times New Roman" w:eastAsia="宋体" w:cs="Calibri"/>
      <w:b/>
      <w:sz w:val="21"/>
      <w:szCs w:val="24"/>
    </w:rPr>
  </w:style>
  <w:style w:type="paragraph" w:customStyle="1" w:styleId="973">
    <w:name w:val="表格文本"/>
    <w:basedOn w:val="1"/>
    <w:link w:val="974"/>
    <w:qFormat/>
    <w:uiPriority w:val="0"/>
    <w:pPr>
      <w:spacing w:line="240" w:lineRule="atLeast"/>
    </w:pPr>
    <w:rPr>
      <w:rFonts w:ascii="微软雅黑" w:hAnsi="微软雅黑" w:eastAsia="宋体" w:cs="Times New Roman"/>
      <w:szCs w:val="24"/>
    </w:rPr>
  </w:style>
  <w:style w:type="character" w:customStyle="1" w:styleId="974">
    <w:name w:val="表格文本 Char"/>
    <w:basedOn w:val="59"/>
    <w:link w:val="973"/>
    <w:qFormat/>
    <w:uiPriority w:val="0"/>
    <w:rPr>
      <w:rFonts w:ascii="微软雅黑" w:hAnsi="微软雅黑" w:eastAsia="宋体" w:cs="Times New Roman"/>
      <w:sz w:val="21"/>
      <w:szCs w:val="24"/>
    </w:rPr>
  </w:style>
  <w:style w:type="paragraph" w:customStyle="1" w:styleId="975">
    <w:name w:val="白皮书正文"/>
    <w:basedOn w:val="1"/>
    <w:link w:val="976"/>
    <w:qFormat/>
    <w:uiPriority w:val="0"/>
    <w:pPr>
      <w:spacing w:line="360" w:lineRule="auto"/>
      <w:ind w:firstLine="200"/>
    </w:pPr>
    <w:rPr>
      <w:rFonts w:ascii="宋体" w:hAnsi="宋体" w:eastAsia="宋体" w:cs="Times New Roman"/>
      <w:sz w:val="24"/>
      <w:szCs w:val="24"/>
    </w:rPr>
  </w:style>
  <w:style w:type="character" w:customStyle="1" w:styleId="976">
    <w:name w:val="白皮书正文 字符"/>
    <w:basedOn w:val="59"/>
    <w:link w:val="975"/>
    <w:qFormat/>
    <w:uiPriority w:val="0"/>
    <w:rPr>
      <w:rFonts w:ascii="宋体" w:hAnsi="宋体" w:eastAsia="宋体" w:cs="Times New Roman"/>
      <w:sz w:val="24"/>
      <w:szCs w:val="24"/>
    </w:rPr>
  </w:style>
  <w:style w:type="character" w:customStyle="1" w:styleId="977">
    <w:name w:val="fontstyle01"/>
    <w:basedOn w:val="59"/>
    <w:qFormat/>
    <w:uiPriority w:val="0"/>
    <w:rPr>
      <w:color w:val="242021"/>
      <w:sz w:val="20"/>
      <w:szCs w:val="20"/>
    </w:rPr>
  </w:style>
  <w:style w:type="character" w:customStyle="1" w:styleId="978">
    <w:name w:val="link"/>
    <w:basedOn w:val="59"/>
    <w:qFormat/>
    <w:uiPriority w:val="0"/>
  </w:style>
  <w:style w:type="character" w:customStyle="1" w:styleId="979">
    <w:name w:val="identification-tag"/>
    <w:basedOn w:val="59"/>
    <w:qFormat/>
    <w:uiPriority w:val="0"/>
  </w:style>
  <w:style w:type="character" w:customStyle="1" w:styleId="980">
    <w:name w:val="fontstyle21"/>
    <w:basedOn w:val="59"/>
    <w:qFormat/>
    <w:uiPriority w:val="0"/>
    <w:rPr>
      <w:rFonts w:hint="default" w:ascii="Verdana" w:hAnsi="Verdana"/>
      <w:color w:val="000000"/>
      <w:sz w:val="18"/>
      <w:szCs w:val="18"/>
    </w:rPr>
  </w:style>
  <w:style w:type="paragraph" w:customStyle="1" w:styleId="981">
    <w:name w:val="line"/>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982">
    <w:name w:val="标题4"/>
    <w:basedOn w:val="1"/>
    <w:next w:val="968"/>
    <w:qFormat/>
    <w:uiPriority w:val="0"/>
    <w:pPr>
      <w:spacing w:before="156" w:after="156" w:line="360" w:lineRule="auto"/>
      <w:ind w:left="851" w:hanging="851"/>
      <w:outlineLvl w:val="3"/>
    </w:pPr>
    <w:rPr>
      <w:rFonts w:ascii="Times New Roman" w:hAnsi="Times New Roman" w:eastAsia="宋体" w:cs="Times New Roman"/>
      <w:sz w:val="24"/>
      <w:szCs w:val="24"/>
      <w:lang w:val="zh-CN"/>
    </w:rPr>
  </w:style>
  <w:style w:type="paragraph" w:customStyle="1" w:styleId="983">
    <w:name w:val="5级样式"/>
    <w:basedOn w:val="968"/>
    <w:qFormat/>
    <w:uiPriority w:val="0"/>
    <w:pPr>
      <w:spacing w:before="120" w:after="120" w:line="240" w:lineRule="auto"/>
      <w:ind w:left="992" w:firstLine="0"/>
    </w:pPr>
  </w:style>
  <w:style w:type="paragraph" w:customStyle="1" w:styleId="984">
    <w:name w:val="itemlist in table"/>
    <w:basedOn w:val="1"/>
    <w:next w:val="641"/>
    <w:qFormat/>
    <w:uiPriority w:val="0"/>
    <w:pPr>
      <w:numPr>
        <w:ilvl w:val="0"/>
        <w:numId w:val="13"/>
      </w:numPr>
      <w:spacing w:line="360" w:lineRule="auto"/>
      <w:ind w:firstLine="0"/>
    </w:pPr>
    <w:rPr>
      <w:rFonts w:eastAsia="宋体"/>
      <w:b/>
      <w:sz w:val="24"/>
      <w:szCs w:val="24"/>
    </w:rPr>
  </w:style>
  <w:style w:type="paragraph" w:customStyle="1" w:styleId="985">
    <w:name w:val="标题4."/>
    <w:basedOn w:val="5"/>
    <w:next w:val="5"/>
    <w:link w:val="988"/>
    <w:qFormat/>
    <w:uiPriority w:val="0"/>
    <w:pPr>
      <w:keepNext w:val="0"/>
      <w:keepLines w:val="0"/>
      <w:spacing w:before="120" w:after="120" w:line="276" w:lineRule="auto"/>
      <w:ind w:left="709" w:hanging="708"/>
    </w:pPr>
    <w:rPr>
      <w:rFonts w:ascii="Times New Roman" w:hAnsi="Times New Roman" w:eastAsia="方正仿宋_GBK" w:cs="Times New Roman"/>
      <w:bCs w:val="0"/>
      <w:lang w:val="zh-CN"/>
    </w:rPr>
  </w:style>
  <w:style w:type="paragraph" w:customStyle="1" w:styleId="986">
    <w:name w:val="标题5"/>
    <w:basedOn w:val="6"/>
    <w:next w:val="6"/>
    <w:link w:val="987"/>
    <w:qFormat/>
    <w:uiPriority w:val="0"/>
    <w:pPr>
      <w:keepNext w:val="0"/>
      <w:keepLines w:val="0"/>
      <w:spacing w:before="120" w:after="120" w:line="276" w:lineRule="auto"/>
      <w:ind w:left="987" w:hanging="567"/>
    </w:pPr>
    <w:rPr>
      <w:rFonts w:ascii="Times New Roman" w:hAnsi="Times New Roman" w:eastAsia="方正仿宋_GBK" w:cs="Times New Roman"/>
      <w:bCs w:val="0"/>
      <w:lang w:val="zh-CN"/>
    </w:rPr>
  </w:style>
  <w:style w:type="character" w:customStyle="1" w:styleId="987">
    <w:name w:val="标题5 字符"/>
    <w:basedOn w:val="59"/>
    <w:link w:val="986"/>
    <w:qFormat/>
    <w:uiPriority w:val="0"/>
    <w:rPr>
      <w:rFonts w:ascii="Times New Roman" w:hAnsi="Times New Roman" w:eastAsia="方正仿宋_GBK" w:cs="Times New Roman"/>
      <w:b/>
      <w:sz w:val="28"/>
      <w:szCs w:val="28"/>
      <w:lang w:val="zh-CN"/>
    </w:rPr>
  </w:style>
  <w:style w:type="character" w:customStyle="1" w:styleId="988">
    <w:name w:val="标题4. 字符"/>
    <w:link w:val="985"/>
    <w:qFormat/>
    <w:uiPriority w:val="0"/>
    <w:rPr>
      <w:rFonts w:ascii="Times New Roman" w:hAnsi="Times New Roman" w:eastAsia="方正仿宋_GBK" w:cs="Times New Roman"/>
      <w:b/>
      <w:sz w:val="28"/>
      <w:szCs w:val="28"/>
      <w:lang w:val="zh-CN"/>
    </w:rPr>
  </w:style>
  <w:style w:type="character" w:customStyle="1" w:styleId="989">
    <w:name w:val="wpcom_tag_link"/>
    <w:basedOn w:val="59"/>
    <w:qFormat/>
    <w:uiPriority w:val="0"/>
  </w:style>
  <w:style w:type="paragraph" w:customStyle="1" w:styleId="990">
    <w:name w:val="**正文"/>
    <w:basedOn w:val="1"/>
    <w:qFormat/>
    <w:uiPriority w:val="0"/>
    <w:pPr>
      <w:ind w:firstLine="482"/>
    </w:pPr>
    <w:rPr>
      <w:rFonts w:ascii="宋体" w:hAnsi="宋体" w:eastAsia="微软雅黑"/>
    </w:rPr>
  </w:style>
  <w:style w:type="character" w:customStyle="1" w:styleId="991">
    <w:name w:val="3.0正文样式 Char"/>
    <w:link w:val="992"/>
    <w:qFormat/>
    <w:uiPriority w:val="0"/>
    <w:rPr>
      <w:rFonts w:ascii="Calibri" w:hAnsi="Calibri" w:eastAsia="宋体" w:cs="Times New Roman"/>
      <w:sz w:val="24"/>
      <w:szCs w:val="21"/>
      <w:lang w:val="zh-CN"/>
    </w:rPr>
  </w:style>
  <w:style w:type="paragraph" w:customStyle="1" w:styleId="992">
    <w:name w:val="3.0正文样式"/>
    <w:basedOn w:val="1"/>
    <w:link w:val="991"/>
    <w:qFormat/>
    <w:uiPriority w:val="0"/>
    <w:pPr>
      <w:spacing w:before="120" w:after="120" w:line="360" w:lineRule="auto"/>
      <w:ind w:firstLine="420"/>
    </w:pPr>
    <w:rPr>
      <w:rFonts w:ascii="Calibri" w:hAnsi="Calibri" w:eastAsia="宋体" w:cs="Times New Roman"/>
      <w:sz w:val="24"/>
      <w:szCs w:val="21"/>
      <w:lang w:val="zh-CN"/>
    </w:rPr>
  </w:style>
  <w:style w:type="paragraph" w:customStyle="1" w:styleId="993">
    <w:name w:val="清单1"/>
    <w:basedOn w:val="621"/>
    <w:link w:val="995"/>
    <w:qFormat/>
    <w:uiPriority w:val="0"/>
    <w:pPr>
      <w:ind w:firstLine="420"/>
      <w:jc w:val="left"/>
    </w:pPr>
    <w:rPr>
      <w:sz w:val="21"/>
      <w:szCs w:val="21"/>
    </w:rPr>
  </w:style>
  <w:style w:type="character" w:customStyle="1" w:styleId="994">
    <w:name w:val="生命线正文 字符"/>
    <w:basedOn w:val="59"/>
    <w:link w:val="621"/>
    <w:qFormat/>
    <w:uiPriority w:val="0"/>
    <w:rPr>
      <w:rFonts w:ascii="宋体" w:hAnsi="宋体" w:eastAsia="宋体" w:cs="Times New Roman"/>
      <w:color w:val="000000" w:themeColor="text1"/>
      <w:sz w:val="24"/>
      <w:szCs w:val="24"/>
      <w14:textFill>
        <w14:solidFill>
          <w14:schemeClr w14:val="tx1"/>
        </w14:solidFill>
      </w14:textFill>
      <w14:ligatures w14:val="standardContextual"/>
    </w:rPr>
  </w:style>
  <w:style w:type="character" w:customStyle="1" w:styleId="995">
    <w:name w:val="清单1 字符"/>
    <w:basedOn w:val="994"/>
    <w:link w:val="993"/>
    <w:qFormat/>
    <w:uiPriority w:val="0"/>
    <w:rPr>
      <w:rFonts w:ascii="宋体" w:hAnsi="宋体" w:eastAsia="宋体" w:cs="Times New Roman"/>
      <w:color w:val="000000" w:themeColor="text1"/>
      <w:sz w:val="21"/>
      <w:szCs w:val="21"/>
      <w14:textFill>
        <w14:solidFill>
          <w14:schemeClr w14:val="tx1"/>
        </w14:solidFill>
      </w14:textFill>
      <w14:ligatures w14:val="standardContextual"/>
    </w:rPr>
  </w:style>
  <w:style w:type="paragraph" w:customStyle="1" w:styleId="996">
    <w:name w:val="清单"/>
    <w:basedOn w:val="2"/>
    <w:qFormat/>
    <w:uiPriority w:val="0"/>
    <w:pPr>
      <w:keepNext w:val="0"/>
      <w:keepLines w:val="0"/>
      <w:tabs>
        <w:tab w:val="clear" w:pos="879"/>
      </w:tabs>
      <w:spacing w:before="0" w:after="0" w:line="276" w:lineRule="auto"/>
      <w:ind w:left="680" w:hanging="680"/>
      <w:jc w:val="both"/>
    </w:pPr>
    <w:rPr>
      <w:rFonts w:eastAsia="方正仿宋_GBK" w:cs="Times New Roman"/>
      <w:bCs w:val="0"/>
      <w:spacing w:val="0"/>
      <w:sz w:val="32"/>
      <w:szCs w:val="32"/>
    </w:rPr>
  </w:style>
  <w:style w:type="paragraph" w:customStyle="1" w:styleId="997">
    <w:name w:val="xl13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0"/>
      <w:szCs w:val="20"/>
    </w:rPr>
  </w:style>
  <w:style w:type="paragraph" w:customStyle="1" w:styleId="998">
    <w:name w:val="xl13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eastAsia="宋体" w:cs="宋体"/>
      <w:b/>
      <w:bCs/>
      <w:color w:val="000000"/>
      <w:sz w:val="24"/>
      <w:szCs w:val="24"/>
    </w:rPr>
  </w:style>
  <w:style w:type="paragraph" w:customStyle="1" w:styleId="999">
    <w:name w:val="xl13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eastAsia="宋体" w:cs="宋体"/>
      <w:b/>
      <w:bCs/>
      <w:color w:val="000000"/>
      <w:sz w:val="24"/>
      <w:szCs w:val="24"/>
    </w:rPr>
  </w:style>
  <w:style w:type="paragraph" w:customStyle="1" w:styleId="1000">
    <w:name w:val="xl1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4"/>
      <w:szCs w:val="24"/>
    </w:rPr>
  </w:style>
  <w:style w:type="paragraph" w:customStyle="1" w:styleId="1001">
    <w:name w:val="H表标题"/>
    <w:basedOn w:val="17"/>
    <w:qFormat/>
    <w:uiPriority w:val="0"/>
    <w:pPr>
      <w:widowControl w:val="0"/>
      <w:spacing w:after="0" w:line="360" w:lineRule="auto"/>
      <w:ind w:firstLine="400"/>
      <w:jc w:val="center"/>
    </w:pPr>
    <w:rPr>
      <w:rFonts w:ascii="宋体" w:hAnsi="宋体" w:eastAsia="宋体" w:cs="Times New Roman"/>
      <w:bCs w:val="0"/>
      <w:color w:val="auto"/>
      <w:sz w:val="21"/>
      <w:szCs w:val="21"/>
      <w:lang w:eastAsia="zh-CN" w:bidi="ar-SA"/>
    </w:rPr>
  </w:style>
  <w:style w:type="character" w:customStyle="1" w:styleId="1002">
    <w:name w:val="未处理的提及6"/>
    <w:basedOn w:val="59"/>
    <w:semiHidden/>
    <w:unhideWhenUsed/>
    <w:qFormat/>
    <w:uiPriority w:val="99"/>
    <w:rPr>
      <w:color w:val="605E5C"/>
      <w:shd w:val="clear" w:color="auto" w:fill="E1DFDD"/>
    </w:rPr>
  </w:style>
  <w:style w:type="character" w:customStyle="1" w:styleId="1003">
    <w:name w:val="书籍标题2"/>
    <w:qFormat/>
    <w:uiPriority w:val="33"/>
    <w:rPr>
      <w:b/>
      <w:sz w:val="21"/>
      <w:szCs w:val="18"/>
    </w:rPr>
  </w:style>
  <w:style w:type="paragraph" w:customStyle="1" w:styleId="1004">
    <w:name w:val="正文首行缩进2"/>
    <w:basedOn w:val="22"/>
    <w:next w:val="38"/>
    <w:semiHidden/>
    <w:qFormat/>
    <w:uiPriority w:val="0"/>
    <w:pPr>
      <w:spacing w:before="100" w:beforeAutospacing="1" w:line="360" w:lineRule="auto"/>
      <w:ind w:firstLine="420"/>
    </w:pPr>
    <w:rPr>
      <w:rFonts w:ascii="Times New Roman" w:hAnsi="Times New Roman" w:eastAsia="宋体" w:cs="宋体"/>
      <w:sz w:val="21"/>
      <w:szCs w:val="21"/>
    </w:rPr>
  </w:style>
  <w:style w:type="paragraph" w:customStyle="1" w:styleId="1005">
    <w:name w:val="TOC 标题4"/>
    <w:basedOn w:val="2"/>
    <w:next w:val="1"/>
    <w:unhideWhenUsed/>
    <w:qFormat/>
    <w:uiPriority w:val="39"/>
    <w:pPr>
      <w:widowControl/>
      <w:tabs>
        <w:tab w:val="clear" w:pos="879"/>
      </w:tabs>
      <w:spacing w:before="0" w:after="0" w:line="259" w:lineRule="auto"/>
      <w:jc w:val="left"/>
      <w:outlineLvl w:val="9"/>
    </w:pPr>
    <w:rPr>
      <w:rFonts w:asciiTheme="majorHAnsi" w:hAnsiTheme="majorHAnsi" w:eastAsiaTheme="majorEastAsia" w:cstheme="majorBidi"/>
      <w:b w:val="0"/>
      <w:bCs w:val="0"/>
      <w:color w:val="2E75B6" w:themeColor="accent1" w:themeShade="BF"/>
      <w:spacing w:val="0"/>
      <w:sz w:val="32"/>
      <w:szCs w:val="32"/>
    </w:rPr>
  </w:style>
  <w:style w:type="character" w:customStyle="1" w:styleId="1006">
    <w:name w:val="未处理的提及31"/>
    <w:basedOn w:val="59"/>
    <w:semiHidden/>
    <w:unhideWhenUsed/>
    <w:qFormat/>
    <w:uiPriority w:val="99"/>
    <w:rPr>
      <w:color w:val="605E5C"/>
      <w:shd w:val="clear" w:color="auto" w:fill="E1DFDD"/>
    </w:rPr>
  </w:style>
  <w:style w:type="paragraph" w:customStyle="1" w:styleId="1007">
    <w:name w:val="修订31"/>
    <w:hidden/>
    <w:unhideWhenUsed/>
    <w:qFormat/>
    <w:uiPriority w:val="99"/>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customStyle="1" w:styleId="1008">
    <w:name w:val="修订41"/>
    <w:hidden/>
    <w:unhideWhenUsed/>
    <w:qFormat/>
    <w:uiPriority w:val="99"/>
    <w:rPr>
      <w:rFonts w:ascii="宋体" w:hAnsi="宋体" w:eastAsia="宋体" w:cstheme="minorBidi"/>
      <w:sz w:val="24"/>
      <w:szCs w:val="24"/>
      <w:lang w:val="en-US" w:eastAsia="zh-CN" w:bidi="ar-SA"/>
    </w:rPr>
  </w:style>
  <w:style w:type="character" w:customStyle="1" w:styleId="1009">
    <w:name w:val="未处理的提及61"/>
    <w:basedOn w:val="59"/>
    <w:semiHidden/>
    <w:unhideWhenUsed/>
    <w:qFormat/>
    <w:uiPriority w:val="99"/>
    <w:rPr>
      <w:color w:val="605E5C"/>
      <w:shd w:val="clear" w:color="auto" w:fill="E1DFDD"/>
    </w:rPr>
  </w:style>
  <w:style w:type="paragraph" w:customStyle="1" w:styleId="1010">
    <w:name w:val="表格正文1"/>
    <w:basedOn w:val="1"/>
    <w:qFormat/>
    <w:uiPriority w:val="0"/>
    <w:pPr>
      <w:jc w:val="center"/>
    </w:pPr>
    <w:rPr>
      <w:rFonts w:ascii="Times New Roman" w:hAnsi="Times New Roman" w:eastAsia="宋体" w:cs="Times New Roman"/>
      <w:szCs w:val="20"/>
    </w:rPr>
  </w:style>
  <w:style w:type="paragraph" w:customStyle="1" w:styleId="1011">
    <w:name w:val="GZ"/>
    <w:basedOn w:val="1"/>
    <w:qFormat/>
    <w:uiPriority w:val="0"/>
    <w:pPr>
      <w:spacing w:line="360" w:lineRule="auto"/>
      <w:ind w:firstLine="482"/>
    </w:pPr>
    <w:rPr>
      <w:rFonts w:ascii="Times New Roman" w:hAnsi="Times New Roman" w:eastAsia="宋体" w:cs="Times New Roman"/>
      <w:sz w:val="24"/>
      <w:szCs w:val="20"/>
    </w:rPr>
  </w:style>
  <w:style w:type="paragraph" w:customStyle="1" w:styleId="1012">
    <w:name w:val="QB正文"/>
    <w:basedOn w:val="1"/>
    <w:qFormat/>
    <w:uiPriority w:val="0"/>
    <w:pPr>
      <w:widowControl/>
      <w:spacing w:line="360" w:lineRule="auto"/>
      <w:ind w:firstLine="200"/>
    </w:pPr>
    <w:rPr>
      <w:rFonts w:ascii="宋体" w:hAnsi="Times New Roman" w:eastAsia="宋体" w:cs="Times New Roman"/>
      <w:szCs w:val="20"/>
    </w:rPr>
  </w:style>
  <w:style w:type="paragraph" w:customStyle="1" w:styleId="1013">
    <w:name w:val="1正文"/>
    <w:basedOn w:val="41"/>
    <w:qFormat/>
    <w:uiPriority w:val="0"/>
    <w:pPr>
      <w:widowControl w:val="0"/>
      <w:spacing w:after="0"/>
      <w:jc w:val="center"/>
    </w:pPr>
    <w:rPr>
      <w:rFonts w:asciiTheme="minorHAnsi" w:hAnsiTheme="minorHAnsi" w:eastAsiaTheme="minorEastAsia"/>
      <w:b/>
      <w:bCs/>
      <w:i w:val="0"/>
      <w:iCs w:val="0"/>
      <w:color w:val="auto"/>
      <w:spacing w:val="0"/>
      <w:szCs w:val="32"/>
      <w:lang w:eastAsia="zh-CN" w:bidi="ar-SA"/>
    </w:rPr>
  </w:style>
  <w:style w:type="paragraph" w:customStyle="1" w:styleId="1014">
    <w:name w:val="一级标题"/>
    <w:basedOn w:val="3"/>
    <w:qFormat/>
    <w:uiPriority w:val="0"/>
    <w:pPr>
      <w:spacing w:before="50" w:after="50" w:line="240" w:lineRule="auto"/>
      <w:ind w:firstLine="420"/>
      <w:outlineLvl w:val="0"/>
    </w:pPr>
    <w:rPr>
      <w:rFonts w:ascii="Arial" w:hAnsi="Arial" w:eastAsia="黑体" w:cstheme="minorBidi"/>
      <w:szCs w:val="24"/>
    </w:rPr>
  </w:style>
  <w:style w:type="paragraph" w:customStyle="1" w:styleId="1015">
    <w:name w:val="标准标题"/>
    <w:basedOn w:val="1"/>
    <w:qFormat/>
    <w:uiPriority w:val="0"/>
    <w:pPr>
      <w:spacing w:before="100" w:after="100"/>
    </w:pPr>
    <w:rPr>
      <w:rFonts w:ascii="黑体" w:hAnsi="黑体" w:eastAsia="黑体" w:cs="Times New Roman"/>
      <w:szCs w:val="21"/>
    </w:rPr>
  </w:style>
  <w:style w:type="paragraph" w:customStyle="1" w:styleId="1016">
    <w:name w:val="正文单倍行距"/>
    <w:basedOn w:val="1"/>
    <w:qFormat/>
    <w:uiPriority w:val="0"/>
    <w:rPr>
      <w:rFonts w:ascii="Calibri" w:hAnsi="Calibri" w:eastAsia="宋体" w:cs="Times New Roman"/>
      <w:szCs w:val="21"/>
    </w:rPr>
  </w:style>
  <w:style w:type="table" w:customStyle="1" w:styleId="1017">
    <w:name w:val="网格型3"/>
    <w:basedOn w:val="5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18">
    <w:name w:val="网格型21"/>
    <w:basedOn w:val="5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customStyle="1" w:styleId="1019">
    <w:name w:val="网格型4"/>
    <w:basedOn w:val="5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0">
    <w:name w:val="网格型6"/>
    <w:basedOn w:val="5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21">
    <w:name w:val="标准文件_段"/>
    <w:qFormat/>
    <w:uiPriority w:val="0"/>
    <w:pPr>
      <w:ind w:firstLine="200"/>
      <w:jc w:val="both"/>
    </w:pPr>
    <w:rPr>
      <w:rFonts w:ascii="宋体" w:hAnsi="Times New Roman" w:eastAsia="宋体" w:cs="Times New Roman"/>
      <w:sz w:val="21"/>
      <w:lang w:val="en-US" w:eastAsia="zh-CN" w:bidi="ar-SA"/>
    </w:rPr>
  </w:style>
  <w:style w:type="table" w:customStyle="1" w:styleId="1022">
    <w:name w:val="网格型7"/>
    <w:basedOn w:val="5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023">
    <w:name w:val="一级条标题"/>
    <w:basedOn w:val="1"/>
    <w:next w:val="1"/>
    <w:qFormat/>
    <w:uiPriority w:val="0"/>
    <w:pPr>
      <w:widowControl/>
      <w:tabs>
        <w:tab w:val="left" w:pos="810"/>
        <w:tab w:val="left" w:pos="907"/>
        <w:tab w:val="left" w:pos="1265"/>
      </w:tabs>
      <w:ind w:left="907" w:hanging="907"/>
      <w:outlineLvl w:val="2"/>
    </w:pPr>
    <w:rPr>
      <w:rFonts w:ascii="黑体" w:hAnsi="宋体" w:eastAsia="黑体" w:cs="Times New Roman"/>
      <w:sz w:val="20"/>
      <w:szCs w:val="20"/>
    </w:rPr>
  </w:style>
  <w:style w:type="table" w:customStyle="1" w:styleId="1024">
    <w:name w:val="网格表 1 浅色 - 着色 31"/>
    <w:basedOn w:val="57"/>
    <w:qFormat/>
    <w:uiPriority w:val="46"/>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Row">
      <w:rPr>
        <w:b/>
        <w:bCs/>
      </w:rPr>
      <w:tcPr>
        <w:tcBorders>
          <w:bottom w:val="single" w:color="C8C8C8" w:themeColor="accent3" w:themeTint="99" w:sz="12" w:space="0"/>
        </w:tcBorders>
      </w:tcPr>
    </w:tblStylePr>
    <w:tblStylePr w:type="lastRow">
      <w:rPr>
        <w:b/>
        <w:bCs/>
      </w:rPr>
      <w:tcPr>
        <w:tcBorders>
          <w:top w:val="single" w:color="C8C8C8" w:themeColor="accent3" w:themeTint="99" w:sz="2" w:space="0"/>
        </w:tcBorders>
      </w:tcPr>
    </w:tblStylePr>
    <w:tblStylePr w:type="firstCol">
      <w:rPr>
        <w:b/>
        <w:bCs/>
      </w:rPr>
    </w:tblStylePr>
    <w:tblStylePr w:type="lastCol">
      <w:rPr>
        <w:b/>
        <w:bCs/>
      </w:rPr>
    </w:tblStylePr>
  </w:style>
  <w:style w:type="paragraph" w:customStyle="1" w:styleId="1025">
    <w:name w:val="TOC 标题5"/>
    <w:basedOn w:val="2"/>
    <w:next w:val="1"/>
    <w:unhideWhenUsed/>
    <w:qFormat/>
    <w:uiPriority w:val="39"/>
    <w:pPr>
      <w:widowControl/>
      <w:tabs>
        <w:tab w:val="clear" w:pos="879"/>
      </w:tabs>
      <w:spacing w:before="0" w:after="0" w:line="259" w:lineRule="auto"/>
      <w:jc w:val="left"/>
      <w:outlineLvl w:val="9"/>
    </w:pPr>
    <w:rPr>
      <w:rFonts w:asciiTheme="majorHAnsi" w:hAnsiTheme="majorHAnsi" w:eastAsiaTheme="majorEastAsia" w:cstheme="majorBidi"/>
      <w:b w:val="0"/>
      <w:bCs w:val="0"/>
      <w:color w:val="2E75B6" w:themeColor="accent1" w:themeShade="BF"/>
      <w:spacing w:val="0"/>
      <w:sz w:val="32"/>
      <w:szCs w:val="32"/>
    </w:rPr>
  </w:style>
  <w:style w:type="character" w:customStyle="1" w:styleId="1026">
    <w:name w:val="font51"/>
    <w:basedOn w:val="59"/>
    <w:qFormat/>
    <w:uiPriority w:val="0"/>
    <w:rPr>
      <w:rFonts w:hint="eastAsia" w:ascii="宋体" w:hAnsi="宋体" w:eastAsia="宋体" w:cs="宋体"/>
      <w:color w:val="000000"/>
      <w:sz w:val="20"/>
      <w:szCs w:val="20"/>
      <w:u w:val="none"/>
    </w:rPr>
  </w:style>
  <w:style w:type="character" w:customStyle="1" w:styleId="1027">
    <w:name w:val="font81"/>
    <w:basedOn w:val="59"/>
    <w:qFormat/>
    <w:uiPriority w:val="0"/>
    <w:rPr>
      <w:rFonts w:hint="eastAsia" w:ascii="宋体" w:hAnsi="宋体" w:eastAsia="宋体" w:cs="宋体"/>
      <w:color w:val="000000"/>
      <w:sz w:val="20"/>
      <w:szCs w:val="20"/>
      <w:u w:val="none"/>
      <w:vertAlign w:val="superscript"/>
    </w:rPr>
  </w:style>
  <w:style w:type="paragraph" w:customStyle="1" w:styleId="1028">
    <w:name w:val="修订5"/>
    <w:hidden/>
    <w:unhideWhenUsed/>
    <w:qFormat/>
    <w:uiPriority w:val="99"/>
    <w:rPr>
      <w:rFonts w:ascii="宋体" w:hAnsi="宋体" w:eastAsia="宋体" w:cstheme="minorBidi"/>
      <w:sz w:val="24"/>
      <w:szCs w:val="24"/>
      <w:lang w:val="en-US" w:eastAsia="zh-CN" w:bidi="ar-SA"/>
    </w:rPr>
  </w:style>
  <w:style w:type="paragraph" w:customStyle="1" w:styleId="1029">
    <w:name w:val="TOC 标题51"/>
    <w:basedOn w:val="2"/>
    <w:next w:val="1"/>
    <w:unhideWhenUsed/>
    <w:qFormat/>
    <w:uiPriority w:val="39"/>
    <w:pPr>
      <w:widowControl/>
      <w:tabs>
        <w:tab w:val="clear" w:pos="879"/>
      </w:tabs>
      <w:spacing w:before="0" w:after="0" w:line="259" w:lineRule="auto"/>
      <w:jc w:val="left"/>
      <w:outlineLvl w:val="9"/>
    </w:pPr>
    <w:rPr>
      <w:rFonts w:asciiTheme="majorHAnsi" w:hAnsiTheme="majorHAnsi" w:eastAsiaTheme="majorEastAsia" w:cstheme="majorBidi"/>
      <w:b w:val="0"/>
      <w:bCs w:val="0"/>
      <w:color w:val="2E75B6" w:themeColor="accent1" w:themeShade="BF"/>
      <w:spacing w:val="0"/>
      <w:sz w:val="32"/>
      <w:szCs w:val="32"/>
    </w:rPr>
  </w:style>
  <w:style w:type="paragraph" w:customStyle="1" w:styleId="1030">
    <w:name w:val="修订51"/>
    <w:hidden/>
    <w:unhideWhenUsed/>
    <w:qFormat/>
    <w:uiPriority w:val="99"/>
    <w:rPr>
      <w:rFonts w:ascii="宋体" w:hAnsi="宋体" w:eastAsia="宋体" w:cstheme="minorBidi"/>
      <w:sz w:val="24"/>
      <w:szCs w:val="24"/>
      <w:lang w:val="en-US" w:eastAsia="zh-CN" w:bidi="ar-SA"/>
    </w:rPr>
  </w:style>
  <w:style w:type="character" w:customStyle="1" w:styleId="1031">
    <w:name w:val="font01"/>
    <w:basedOn w:val="59"/>
    <w:qFormat/>
    <w:uiPriority w:val="0"/>
    <w:rPr>
      <w:rFonts w:hint="eastAsia" w:ascii="宋体" w:hAnsi="宋体" w:eastAsia="宋体" w:cs="宋体"/>
      <w:color w:val="000000"/>
      <w:sz w:val="22"/>
      <w:szCs w:val="22"/>
      <w:u w:val="none"/>
    </w:rPr>
  </w:style>
  <w:style w:type="paragraph" w:customStyle="1" w:styleId="1032">
    <w:name w:val="TOC 标题6"/>
    <w:basedOn w:val="2"/>
    <w:next w:val="1"/>
    <w:unhideWhenUsed/>
    <w:qFormat/>
    <w:uiPriority w:val="39"/>
    <w:pPr>
      <w:widowControl/>
      <w:tabs>
        <w:tab w:val="clear" w:pos="879"/>
      </w:tabs>
      <w:spacing w:before="240" w:after="0" w:line="259" w:lineRule="auto"/>
      <w:jc w:val="left"/>
      <w:outlineLvl w:val="9"/>
    </w:pPr>
    <w:rPr>
      <w:rFonts w:asciiTheme="majorHAnsi" w:hAnsiTheme="majorHAnsi" w:eastAsiaTheme="majorEastAsia" w:cstheme="majorBidi"/>
      <w:b w:val="0"/>
      <w:bCs w:val="0"/>
      <w:color w:val="2E75B6" w:themeColor="accent1" w:themeShade="BF"/>
      <w:spacing w:val="0"/>
      <w:sz w:val="32"/>
      <w:szCs w:val="32"/>
    </w:rPr>
  </w:style>
  <w:style w:type="character" w:customStyle="1" w:styleId="1033">
    <w:name w:val="font61"/>
    <w:basedOn w:val="59"/>
    <w:qFormat/>
    <w:uiPriority w:val="0"/>
    <w:rPr>
      <w:rFonts w:hint="eastAsia" w:ascii="宋体" w:hAnsi="宋体" w:eastAsia="宋体" w:cs="宋体"/>
      <w:color w:val="000000"/>
      <w:sz w:val="20"/>
      <w:szCs w:val="20"/>
      <w:u w:val="none"/>
    </w:rPr>
  </w:style>
  <w:style w:type="paragraph" w:customStyle="1" w:styleId="1034">
    <w:name w:val="zw"/>
    <w:basedOn w:val="1"/>
    <w:qFormat/>
    <w:uiPriority w:val="0"/>
    <w:pPr>
      <w:spacing w:before="120" w:after="120" w:line="360" w:lineRule="auto"/>
      <w:ind w:firstLine="480"/>
    </w:pPr>
    <w:rPr>
      <w:rFonts w:ascii="Times New Roman" w:hAnsi="Times New Roman"/>
      <w:sz w:val="24"/>
      <w:szCs w:val="24"/>
    </w:rPr>
  </w:style>
  <w:style w:type="paragraph" w:customStyle="1" w:styleId="1035">
    <w:name w:val="修订6"/>
    <w:hidden/>
    <w:unhideWhenUsed/>
    <w:qFormat/>
    <w:uiPriority w:val="99"/>
    <w:rPr>
      <w:rFonts w:asciiTheme="minorHAnsi" w:hAnsiTheme="minorHAnsi" w:eastAsiaTheme="minorEastAsia" w:cstheme="minorBidi"/>
      <w:sz w:val="21"/>
      <w:szCs w:val="22"/>
      <w:lang w:val="en-US" w:eastAsia="zh-CN" w:bidi="ar-SA"/>
    </w:rPr>
  </w:style>
  <w:style w:type="character" w:customStyle="1" w:styleId="1036">
    <w:name w:val="active15"/>
    <w:basedOn w:val="59"/>
    <w:qFormat/>
    <w:uiPriority w:val="0"/>
    <w:rPr>
      <w:color w:val="FFFFFF"/>
      <w:shd w:val="clear" w:color="auto" w:fill="0F5BB9"/>
    </w:rPr>
  </w:style>
  <w:style w:type="paragraph" w:customStyle="1" w:styleId="1037">
    <w:name w:val="正文3"/>
    <w:basedOn w:val="1"/>
    <w:qFormat/>
    <w:uiPriority w:val="0"/>
    <w:pPr>
      <w:widowControl/>
      <w:spacing w:after="200" w:line="300" w:lineRule="atLeast"/>
      <w:jc w:val="left"/>
    </w:pPr>
    <w:rPr>
      <w:rFonts w:ascii="Calibri" w:hAnsi="Calibri"/>
      <w:sz w:val="22"/>
      <w:szCs w:val="24"/>
    </w:rPr>
  </w:style>
  <w:style w:type="character" w:customStyle="1" w:styleId="1038">
    <w:name w:val="强调1"/>
    <w:qFormat/>
    <w:uiPriority w:val="0"/>
    <w:rPr>
      <w:rFonts w:asciiTheme="minorHAnsi" w:hAnsiTheme="minorHAnsi" w:eastAsiaTheme="minorEastAsia" w:cstheme="minorBidi"/>
      <w:sz w:val="21"/>
      <w:szCs w:val="22"/>
      <w:lang w:val="en-US" w:eastAsia="zh-CN" w:bidi="ar-SA"/>
    </w:rPr>
  </w:style>
  <w:style w:type="paragraph" w:customStyle="1" w:styleId="1039">
    <w:name w:val="Normal_20"/>
    <w:qFormat/>
    <w:uiPriority w:val="0"/>
    <w:rPr>
      <w:rFonts w:ascii="黑体" w:hAnsi="Times New Roman" w:eastAsia="黑体" w:cs="黑体"/>
      <w:b/>
      <w:sz w:val="32"/>
      <w:szCs w:val="24"/>
      <w:lang w:val="en-US" w:eastAsia="zh-CN" w:bidi="ar-SA"/>
    </w:rPr>
  </w:style>
  <w:style w:type="character" w:customStyle="1" w:styleId="1040">
    <w:name w:val="NormalCharacter1"/>
    <w:semiHidden/>
    <w:qFormat/>
    <w:uiPriority w:val="0"/>
    <w:rPr>
      <w:sz w:val="21"/>
      <w:szCs w:val="24"/>
      <w:lang w:val="en-US" w:eastAsia="zh-CN" w:bidi="ar-SA"/>
    </w:rPr>
  </w:style>
  <w:style w:type="paragraph" w:customStyle="1" w:styleId="1041">
    <w:name w:val="_Style 3"/>
    <w:next w:val="45"/>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1042">
    <w:name w:val="普通(网站)11"/>
    <w:basedOn w:val="1"/>
    <w:qFormat/>
    <w:uiPriority w:val="0"/>
    <w:pPr>
      <w:spacing w:beforeAutospacing="1" w:afterAutospacing="1"/>
    </w:pPr>
  </w:style>
  <w:style w:type="character" w:customStyle="1" w:styleId="1043">
    <w:name w:val="span-475-c"/>
    <w:qFormat/>
    <w:uiPriority w:val="0"/>
    <w:rPr>
      <w:rFonts w:ascii="宋体" w:hAnsi="宋体" w:eastAsia="宋体" w:cs="宋体"/>
      <w:color w:val="000000"/>
      <w:sz w:val="24"/>
      <w:szCs w:val="24"/>
    </w:rPr>
  </w:style>
  <w:style w:type="character" w:customStyle="1" w:styleId="1044">
    <w:name w:val="span-495-c"/>
    <w:qFormat/>
    <w:uiPriority w:val="0"/>
    <w:rPr>
      <w:rFonts w:ascii="黑体" w:hAnsi="黑体" w:eastAsia="黑体" w:cs="黑体"/>
      <w:color w:val="000000"/>
      <w:sz w:val="32"/>
      <w:szCs w:val="32"/>
    </w:rPr>
  </w:style>
  <w:style w:type="paragraph" w:customStyle="1" w:styleId="1045">
    <w:name w:val="span-506"/>
    <w:basedOn w:val="1"/>
    <w:qFormat/>
    <w:uiPriority w:val="0"/>
    <w:pPr>
      <w:widowControl/>
      <w:spacing w:line="276" w:lineRule="auto"/>
      <w:ind w:firstLine="150"/>
      <w:contextualSpacing/>
      <w:jc w:val="left"/>
    </w:pPr>
    <w:rPr>
      <w:rFonts w:ascii="Arial" w:hAnsi="Arial" w:eastAsia="Arial" w:cs="Arial"/>
      <w:sz w:val="22"/>
      <w:lang w:eastAsia="en-US"/>
    </w:rPr>
  </w:style>
  <w:style w:type="character" w:customStyle="1" w:styleId="1046">
    <w:name w:val="span-552-c"/>
    <w:qFormat/>
    <w:uiPriority w:val="0"/>
    <w:rPr>
      <w:rFonts w:ascii="宋体" w:hAnsi="宋体" w:eastAsia="宋体" w:cs="宋体"/>
      <w:color w:val="000000"/>
      <w:sz w:val="24"/>
      <w:szCs w:val="24"/>
    </w:rPr>
  </w:style>
  <w:style w:type="character" w:customStyle="1" w:styleId="1047">
    <w:name w:val="NormalCharacter"/>
    <w:qFormat/>
    <w:uiPriority w:val="0"/>
  </w:style>
  <w:style w:type="character" w:customStyle="1" w:styleId="1048">
    <w:name w:val="未处理的提及7"/>
    <w:basedOn w:val="59"/>
    <w:semiHidden/>
    <w:unhideWhenUsed/>
    <w:qFormat/>
    <w:uiPriority w:val="99"/>
    <w:rPr>
      <w:color w:val="605E5C"/>
      <w:shd w:val="clear" w:color="auto" w:fill="E1DFDD"/>
    </w:rPr>
  </w:style>
  <w:style w:type="paragraph" w:customStyle="1" w:styleId="1049">
    <w:name w:val="正文缩进11"/>
    <w:basedOn w:val="1"/>
    <w:next w:val="1"/>
    <w:qFormat/>
    <w:uiPriority w:val="0"/>
    <w:pPr>
      <w:ind w:firstLine="420"/>
      <w:jc w:val="left"/>
    </w:pPr>
    <w:rPr>
      <w:rFonts w:ascii="Calibri" w:hAnsi="Calibri" w:eastAsia="楷体_GB2312" w:cs="Times New Roman"/>
      <w:sz w:val="24"/>
      <w:szCs w:val="24"/>
      <w:lang w:eastAsia="en-US"/>
    </w:rPr>
  </w:style>
  <w:style w:type="paragraph" w:customStyle="1" w:styleId="1050">
    <w:name w:val="正文文本首行缩进1"/>
    <w:next w:val="1049"/>
    <w:qFormat/>
    <w:uiPriority w:val="0"/>
    <w:pPr>
      <w:widowControl w:val="0"/>
      <w:spacing w:after="120"/>
      <w:ind w:firstLine="420"/>
      <w:jc w:val="both"/>
    </w:pPr>
    <w:rPr>
      <w:rFonts w:ascii="Times New Roman" w:hAnsi="Times New Roman" w:eastAsia="宋体" w:cs="Times New Roman"/>
      <w:sz w:val="21"/>
      <w:szCs w:val="24"/>
      <w:lang w:val="en-US" w:eastAsia="zh-CN" w:bidi="ar-SA"/>
    </w:rPr>
  </w:style>
  <w:style w:type="paragraph" w:customStyle="1" w:styleId="1051">
    <w:name w:val="修订7"/>
    <w:hidden/>
    <w:unhideWhenUsed/>
    <w:qFormat/>
    <w:uiPriority w:val="99"/>
    <w:rPr>
      <w:rFonts w:asciiTheme="minorHAnsi" w:hAnsiTheme="minorHAnsi" w:eastAsiaTheme="minorEastAsia" w:cstheme="minorBidi"/>
      <w:sz w:val="21"/>
      <w:szCs w:val="22"/>
      <w:lang w:val="en-US" w:eastAsia="zh-CN" w:bidi="ar-SA"/>
    </w:rPr>
  </w:style>
  <w:style w:type="paragraph" w:customStyle="1" w:styleId="1052">
    <w:name w:val="首行缩进"/>
    <w:basedOn w:val="1"/>
    <w:next w:val="1"/>
    <w:qFormat/>
    <w:uiPriority w:val="0"/>
    <w:pPr>
      <w:spacing w:line="360" w:lineRule="auto"/>
      <w:ind w:firstLine="480"/>
    </w:pPr>
    <w:rPr>
      <w:rFonts w:hAnsi="宋体" w:eastAsia="宋体" w:cs="宋体"/>
      <w:sz w:val="24"/>
      <w:szCs w:val="24"/>
    </w:rPr>
  </w:style>
  <w:style w:type="paragraph" w:customStyle="1" w:styleId="1053">
    <w:name w:val="页眉11"/>
    <w:basedOn w:val="1"/>
    <w:unhideWhenUsed/>
    <w:qFormat/>
    <w:uiPriority w:val="0"/>
    <w:pPr>
      <w:pBdr>
        <w:bottom w:val="single" w:color="000000" w:sz="6" w:space="1"/>
      </w:pBdr>
      <w:tabs>
        <w:tab w:val="center" w:pos="4153"/>
        <w:tab w:val="right" w:pos="8306"/>
      </w:tabs>
      <w:jc w:val="center"/>
    </w:pPr>
    <w:rPr>
      <w:sz w:val="18"/>
    </w:rPr>
  </w:style>
  <w:style w:type="paragraph" w:customStyle="1" w:styleId="1054">
    <w:name w:val="Footer1"/>
    <w:basedOn w:val="1"/>
    <w:unhideWhenUsed/>
    <w:qFormat/>
    <w:uiPriority w:val="99"/>
    <w:pPr>
      <w:tabs>
        <w:tab w:val="center" w:pos="4153"/>
        <w:tab w:val="right" w:pos="8306"/>
      </w:tabs>
      <w:jc w:val="left"/>
    </w:pPr>
    <w:rPr>
      <w:sz w:val="18"/>
      <w:szCs w:val="18"/>
    </w:rPr>
  </w:style>
  <w:style w:type="paragraph" w:customStyle="1" w:styleId="1055">
    <w:name w:val="页脚11"/>
    <w:basedOn w:val="1"/>
    <w:unhideWhenUsed/>
    <w:qFormat/>
    <w:uiPriority w:val="0"/>
    <w:pPr>
      <w:tabs>
        <w:tab w:val="center" w:pos="4153"/>
        <w:tab w:val="right" w:pos="8306"/>
      </w:tabs>
      <w:jc w:val="left"/>
    </w:pPr>
    <w:rPr>
      <w:sz w:val="18"/>
    </w:rPr>
  </w:style>
  <w:style w:type="paragraph" w:customStyle="1" w:styleId="1056">
    <w:name w:val="Normal_0_6"/>
    <w:qFormat/>
    <w:uiPriority w:val="0"/>
    <w:rPr>
      <w:rFonts w:ascii="Times New Roman" w:hAnsi="Times New Roman" w:eastAsia="Times New Roman" w:cs="Times New Roman"/>
      <w:sz w:val="24"/>
      <w:szCs w:val="24"/>
      <w:lang w:val="en-US" w:eastAsia="zh-CN" w:bidi="ar-SA"/>
    </w:rPr>
  </w:style>
  <w:style w:type="paragraph" w:customStyle="1" w:styleId="1057">
    <w:name w:val="Normal_2_4"/>
    <w:qFormat/>
    <w:uiPriority w:val="0"/>
    <w:rPr>
      <w:rFonts w:ascii="Times New Roman" w:hAnsi="Times New Roman" w:eastAsia="Times New Roman" w:cs="Times New Roman"/>
      <w:sz w:val="24"/>
      <w:szCs w:val="24"/>
      <w:lang w:val="en-US" w:eastAsia="zh-CN" w:bidi="ar-SA"/>
    </w:rPr>
  </w:style>
  <w:style w:type="paragraph" w:customStyle="1" w:styleId="1058">
    <w:name w:val="Normal_3_2"/>
    <w:qFormat/>
    <w:uiPriority w:val="0"/>
    <w:rPr>
      <w:rFonts w:ascii="Times New Roman" w:hAnsi="Times New Roman" w:eastAsia="Times New Roman" w:cs="Times New Roman"/>
      <w:sz w:val="24"/>
      <w:szCs w:val="24"/>
      <w:lang w:val="en-US" w:eastAsia="zh-CN" w:bidi="ar-SA"/>
    </w:rPr>
  </w:style>
  <w:style w:type="paragraph" w:customStyle="1" w:styleId="1059">
    <w:name w:val="Normal_4_1"/>
    <w:qFormat/>
    <w:uiPriority w:val="99"/>
    <w:rPr>
      <w:rFonts w:ascii="Times New Roman" w:hAnsi="Times New Roman" w:eastAsia="宋体" w:cs="Times New Roman"/>
      <w:sz w:val="24"/>
      <w:szCs w:val="24"/>
      <w:lang w:val="en-US" w:eastAsia="zh-CN" w:bidi="ar-SA"/>
    </w:rPr>
  </w:style>
  <w:style w:type="paragraph" w:customStyle="1" w:styleId="1060">
    <w:name w:val="Normal_6_1"/>
    <w:qFormat/>
    <w:uiPriority w:val="99"/>
    <w:rPr>
      <w:rFonts w:ascii="Times New Roman" w:hAnsi="Times New Roman" w:eastAsia="宋体" w:cs="Times New Roman"/>
      <w:sz w:val="24"/>
      <w:szCs w:val="24"/>
      <w:lang w:val="en-US" w:eastAsia="zh-CN" w:bidi="ar-SA"/>
    </w:rPr>
  </w:style>
  <w:style w:type="character" w:customStyle="1" w:styleId="1061">
    <w:name w:val="默认段落字体12"/>
    <w:unhideWhenUsed/>
    <w:qFormat/>
    <w:uiPriority w:val="1"/>
  </w:style>
  <w:style w:type="paragraph" w:customStyle="1" w:styleId="1062">
    <w:name w:val="Normal_7_0"/>
    <w:qFormat/>
    <w:uiPriority w:val="0"/>
    <w:rPr>
      <w:rFonts w:ascii="Times New Roman" w:hAnsi="Times New Roman" w:eastAsia="Times New Roman" w:cs="Times New Roman"/>
      <w:sz w:val="24"/>
      <w:szCs w:val="24"/>
      <w:lang w:val="en-US" w:eastAsia="zh-CN" w:bidi="ar-SA"/>
    </w:rPr>
  </w:style>
  <w:style w:type="paragraph" w:customStyle="1" w:styleId="1063">
    <w:name w:val="Normal_9_0"/>
    <w:qFormat/>
    <w:uiPriority w:val="99"/>
    <w:rPr>
      <w:rFonts w:ascii="Times New Roman" w:hAnsi="Times New Roman" w:eastAsia="宋体" w:cs="Times New Roman"/>
      <w:sz w:val="24"/>
      <w:szCs w:val="24"/>
      <w:lang w:val="en-US" w:eastAsia="zh-CN" w:bidi="ar-SA"/>
    </w:rPr>
  </w:style>
  <w:style w:type="paragraph" w:customStyle="1" w:styleId="1064">
    <w:name w:val="Normal_10_0"/>
    <w:qFormat/>
    <w:uiPriority w:val="99"/>
    <w:rPr>
      <w:rFonts w:ascii="Times New Roman" w:hAnsi="Times New Roman" w:eastAsia="宋体" w:cs="Times New Roman"/>
      <w:sz w:val="24"/>
      <w:szCs w:val="24"/>
      <w:lang w:val="en-US" w:eastAsia="zh-CN" w:bidi="ar-SA"/>
    </w:rPr>
  </w:style>
  <w:style w:type="paragraph" w:customStyle="1" w:styleId="1065">
    <w:name w:val="Normal_11_0"/>
    <w:qFormat/>
    <w:uiPriority w:val="99"/>
    <w:rPr>
      <w:rFonts w:ascii="Times New Roman" w:hAnsi="Times New Roman" w:eastAsia="宋体" w:cs="Times New Roman"/>
      <w:sz w:val="24"/>
      <w:szCs w:val="24"/>
      <w:lang w:val="en-US" w:eastAsia="zh-CN" w:bidi="ar-SA"/>
    </w:rPr>
  </w:style>
  <w:style w:type="paragraph" w:customStyle="1" w:styleId="1066">
    <w:name w:val="正文_1"/>
    <w:next w:val="1067"/>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1067">
    <w:name w:val="正文文本_0_0"/>
    <w:basedOn w:val="1066"/>
    <w:qFormat/>
    <w:uiPriority w:val="99"/>
    <w:pPr>
      <w:spacing w:line="400" w:lineRule="exact"/>
    </w:pPr>
    <w:rPr>
      <w:sz w:val="24"/>
      <w:szCs w:val="24"/>
    </w:rPr>
  </w:style>
  <w:style w:type="paragraph" w:customStyle="1" w:styleId="1068">
    <w:name w:val="Normal_14_0"/>
    <w:qFormat/>
    <w:uiPriority w:val="99"/>
    <w:rPr>
      <w:rFonts w:ascii="Times New Roman" w:hAnsi="Times New Roman" w:eastAsia="宋体" w:cs="Times New Roman"/>
      <w:sz w:val="24"/>
      <w:szCs w:val="24"/>
      <w:lang w:val="en-US" w:eastAsia="zh-CN" w:bidi="ar-SA"/>
    </w:rPr>
  </w:style>
  <w:style w:type="paragraph" w:customStyle="1" w:styleId="1069">
    <w:name w:val="Normal_16_0"/>
    <w:qFormat/>
    <w:uiPriority w:val="99"/>
    <w:rPr>
      <w:rFonts w:ascii="Times New Roman" w:hAnsi="Times New Roman" w:eastAsia="宋体" w:cs="Times New Roman"/>
      <w:sz w:val="24"/>
      <w:szCs w:val="24"/>
      <w:lang w:val="en-US" w:eastAsia="zh-CN" w:bidi="ar-SA"/>
    </w:rPr>
  </w:style>
  <w:style w:type="paragraph" w:customStyle="1" w:styleId="1070">
    <w:name w:val="Normal_18"/>
    <w:qFormat/>
    <w:uiPriority w:val="99"/>
    <w:rPr>
      <w:rFonts w:ascii="Times New Roman" w:hAnsi="Times New Roman" w:eastAsia="宋体" w:cs="Times New Roman"/>
      <w:sz w:val="24"/>
      <w:szCs w:val="24"/>
      <w:lang w:val="en-US" w:eastAsia="zh-CN" w:bidi="ar-SA"/>
    </w:rPr>
  </w:style>
  <w:style w:type="paragraph" w:customStyle="1" w:styleId="1071">
    <w:name w:val="Normal_18_0"/>
    <w:qFormat/>
    <w:uiPriority w:val="0"/>
    <w:rPr>
      <w:rFonts w:ascii="Times New Roman" w:hAnsi="Times New Roman" w:eastAsia="Times New Roman" w:cs="Times New Roman"/>
      <w:sz w:val="24"/>
      <w:szCs w:val="24"/>
      <w:lang w:val="en-US" w:eastAsia="zh-CN" w:bidi="ar-SA"/>
    </w:rPr>
  </w:style>
  <w:style w:type="paragraph" w:customStyle="1" w:styleId="1072">
    <w:name w:val="Normal_19"/>
    <w:qFormat/>
    <w:uiPriority w:val="99"/>
    <w:rPr>
      <w:rFonts w:ascii="Times New Roman" w:hAnsi="Times New Roman" w:eastAsia="宋体" w:cs="Times New Roman"/>
      <w:sz w:val="24"/>
      <w:szCs w:val="24"/>
      <w:lang w:val="en-US" w:eastAsia="zh-CN" w:bidi="ar-SA"/>
    </w:rPr>
  </w:style>
  <w:style w:type="paragraph" w:customStyle="1" w:styleId="1073">
    <w:name w:val="Normal_22"/>
    <w:qFormat/>
    <w:uiPriority w:val="99"/>
    <w:rPr>
      <w:rFonts w:ascii="Times New Roman" w:hAnsi="Times New Roman" w:eastAsia="宋体" w:cs="Times New Roman"/>
      <w:sz w:val="24"/>
      <w:szCs w:val="24"/>
      <w:lang w:val="en-US" w:eastAsia="zh-CN" w:bidi="ar-SA"/>
    </w:rPr>
  </w:style>
  <w:style w:type="paragraph" w:customStyle="1" w:styleId="1074">
    <w:name w:val="Normal_6_0"/>
    <w:qFormat/>
    <w:uiPriority w:val="99"/>
    <w:rPr>
      <w:rFonts w:ascii="Times New Roman" w:hAnsi="Times New Roman" w:eastAsia="宋体" w:cs="Times New Roman"/>
      <w:sz w:val="24"/>
      <w:szCs w:val="24"/>
      <w:lang w:val="en-US" w:eastAsia="zh-CN" w:bidi="ar-SA"/>
    </w:rPr>
  </w:style>
  <w:style w:type="paragraph" w:customStyle="1" w:styleId="1075">
    <w:name w:val="Normal_23"/>
    <w:qFormat/>
    <w:uiPriority w:val="99"/>
    <w:rPr>
      <w:rFonts w:ascii="Times New Roman" w:hAnsi="Times New Roman" w:eastAsia="宋体" w:cs="Times New Roman"/>
      <w:sz w:val="24"/>
      <w:szCs w:val="24"/>
      <w:lang w:val="en-US" w:eastAsia="zh-CN" w:bidi="ar-SA"/>
    </w:rPr>
  </w:style>
  <w:style w:type="paragraph" w:customStyle="1" w:styleId="1076">
    <w:name w:val="Normal_30"/>
    <w:qFormat/>
    <w:uiPriority w:val="99"/>
    <w:rPr>
      <w:rFonts w:ascii="Times New Roman" w:hAnsi="Times New Roman" w:eastAsia="宋体" w:cs="Times New Roman"/>
      <w:sz w:val="24"/>
      <w:szCs w:val="24"/>
      <w:lang w:val="en-US" w:eastAsia="zh-CN" w:bidi="ar-SA"/>
    </w:rPr>
  </w:style>
  <w:style w:type="paragraph" w:customStyle="1" w:styleId="1077">
    <w:name w:val="Normal_31"/>
    <w:qFormat/>
    <w:uiPriority w:val="99"/>
    <w:rPr>
      <w:rFonts w:ascii="Times New Roman" w:hAnsi="Times New Roman" w:eastAsia="宋体" w:cs="Times New Roman"/>
      <w:sz w:val="24"/>
      <w:szCs w:val="24"/>
      <w:lang w:val="en-US" w:eastAsia="zh-CN" w:bidi="ar-SA"/>
    </w:rPr>
  </w:style>
  <w:style w:type="paragraph" w:customStyle="1" w:styleId="1078">
    <w:name w:val="Normal_28"/>
    <w:qFormat/>
    <w:uiPriority w:val="0"/>
    <w:rPr>
      <w:rFonts w:ascii="Times New Roman" w:hAnsi="Times New Roman" w:eastAsia="Times New Roman" w:cs="Times New Roman"/>
      <w:sz w:val="24"/>
      <w:szCs w:val="24"/>
      <w:lang w:val="en-US" w:eastAsia="zh-CN" w:bidi="ar-SA"/>
    </w:rPr>
  </w:style>
  <w:style w:type="paragraph" w:customStyle="1" w:styleId="1079">
    <w:name w:val="Normal_0_3"/>
    <w:qFormat/>
    <w:uiPriority w:val="0"/>
    <w:rPr>
      <w:rFonts w:ascii="Times New Roman" w:hAnsi="Times New Roman" w:eastAsia="宋体" w:cs="Times New Roman"/>
      <w:sz w:val="24"/>
      <w:szCs w:val="24"/>
      <w:lang w:val="en-US" w:eastAsia="zh-CN" w:bidi="ar-SA"/>
    </w:rPr>
  </w:style>
  <w:style w:type="paragraph" w:customStyle="1" w:styleId="1080">
    <w:name w:val="Normal_47"/>
    <w:qFormat/>
    <w:uiPriority w:val="0"/>
    <w:rPr>
      <w:rFonts w:ascii="Times New Roman" w:hAnsi="Times New Roman" w:eastAsia="Times New Roman" w:cs="Times New Roman"/>
      <w:sz w:val="24"/>
      <w:szCs w:val="24"/>
      <w:lang w:val="en-US" w:eastAsia="zh-CN" w:bidi="ar-SA"/>
    </w:rPr>
  </w:style>
  <w:style w:type="paragraph" w:customStyle="1" w:styleId="1081">
    <w:name w:val="Normal_49"/>
    <w:qFormat/>
    <w:uiPriority w:val="0"/>
    <w:rPr>
      <w:rFonts w:ascii="Times New Roman" w:hAnsi="Times New Roman" w:eastAsia="Times New Roman" w:cs="Times New Roman"/>
      <w:sz w:val="24"/>
      <w:szCs w:val="24"/>
      <w:lang w:val="en-US" w:eastAsia="zh-CN" w:bidi="ar-SA"/>
    </w:rPr>
  </w:style>
  <w:style w:type="paragraph" w:customStyle="1" w:styleId="1082">
    <w:name w:val="Normal_43"/>
    <w:qFormat/>
    <w:uiPriority w:val="99"/>
    <w:rPr>
      <w:rFonts w:ascii="Times New Roman" w:hAnsi="Times New Roman" w:eastAsia="宋体" w:cs="Times New Roman"/>
      <w:sz w:val="24"/>
      <w:szCs w:val="24"/>
      <w:lang w:val="en-US" w:eastAsia="zh-CN" w:bidi="ar-SA"/>
    </w:rPr>
  </w:style>
  <w:style w:type="paragraph" w:customStyle="1" w:styleId="1083">
    <w:name w:val="Normal_41"/>
    <w:qFormat/>
    <w:uiPriority w:val="0"/>
    <w:rPr>
      <w:rFonts w:ascii="Times New Roman" w:hAnsi="Times New Roman" w:eastAsia="Times New Roman" w:cs="Times New Roman"/>
      <w:sz w:val="24"/>
      <w:szCs w:val="24"/>
      <w:lang w:val="en-US" w:eastAsia="zh-CN" w:bidi="ar-SA"/>
    </w:rPr>
  </w:style>
  <w:style w:type="paragraph" w:customStyle="1" w:styleId="1084">
    <w:name w:val="Normal_51"/>
    <w:qFormat/>
    <w:uiPriority w:val="0"/>
    <w:rPr>
      <w:rFonts w:ascii="Times New Roman" w:hAnsi="Times New Roman" w:eastAsia="Times New Roman" w:cs="Times New Roman"/>
      <w:sz w:val="24"/>
      <w:szCs w:val="24"/>
      <w:lang w:val="en-US" w:eastAsia="zh-CN" w:bidi="ar-SA"/>
    </w:rPr>
  </w:style>
  <w:style w:type="paragraph" w:customStyle="1" w:styleId="1085">
    <w:name w:val="正文_0_0"/>
    <w:next w:val="1086"/>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1086">
    <w:name w:val="正文文本_0"/>
    <w:basedOn w:val="1085"/>
    <w:qFormat/>
    <w:uiPriority w:val="99"/>
    <w:pPr>
      <w:spacing w:line="400" w:lineRule="exact"/>
    </w:pPr>
    <w:rPr>
      <w:sz w:val="24"/>
      <w:szCs w:val="24"/>
    </w:rPr>
  </w:style>
  <w:style w:type="paragraph" w:customStyle="1" w:styleId="1087">
    <w:name w:val="Normal_33"/>
    <w:qFormat/>
    <w:uiPriority w:val="99"/>
    <w:rPr>
      <w:rFonts w:ascii="Times New Roman" w:hAnsi="Times New Roman" w:eastAsia="宋体" w:cs="Times New Roman"/>
      <w:sz w:val="24"/>
      <w:szCs w:val="24"/>
      <w:lang w:val="en-US" w:eastAsia="zh-CN" w:bidi="ar-SA"/>
    </w:rPr>
  </w:style>
  <w:style w:type="paragraph" w:customStyle="1" w:styleId="1088">
    <w:name w:val="Normal_34"/>
    <w:qFormat/>
    <w:uiPriority w:val="0"/>
    <w:rPr>
      <w:rFonts w:ascii="Times New Roman" w:hAnsi="Times New Roman" w:eastAsia="Times New Roman" w:cs="Times New Roman"/>
      <w:sz w:val="24"/>
      <w:szCs w:val="24"/>
      <w:lang w:val="en-US" w:eastAsia="zh-CN" w:bidi="ar-SA"/>
    </w:rPr>
  </w:style>
  <w:style w:type="paragraph" w:customStyle="1" w:styleId="1089">
    <w:name w:val="Normal_36"/>
    <w:qFormat/>
    <w:uiPriority w:val="99"/>
    <w:rPr>
      <w:rFonts w:ascii="Times New Roman" w:hAnsi="Times New Roman" w:eastAsia="宋体" w:cs="Times New Roman"/>
      <w:sz w:val="24"/>
      <w:szCs w:val="24"/>
      <w:lang w:val="en-US" w:eastAsia="zh-CN" w:bidi="ar-SA"/>
    </w:rPr>
  </w:style>
  <w:style w:type="paragraph" w:customStyle="1" w:styleId="1090">
    <w:name w:val="Normal_37"/>
    <w:qFormat/>
    <w:uiPriority w:val="99"/>
    <w:rPr>
      <w:rFonts w:ascii="Times New Roman" w:hAnsi="Times New Roman" w:eastAsia="宋体" w:cs="Times New Roman"/>
      <w:sz w:val="24"/>
      <w:szCs w:val="24"/>
      <w:lang w:val="en-US" w:eastAsia="zh-CN" w:bidi="ar-SA"/>
    </w:rPr>
  </w:style>
  <w:style w:type="paragraph" w:customStyle="1" w:styleId="1091">
    <w:name w:val="Normal_38"/>
    <w:qFormat/>
    <w:uiPriority w:val="99"/>
    <w:rPr>
      <w:rFonts w:ascii="Times New Roman" w:hAnsi="Times New Roman" w:eastAsia="宋体" w:cs="Times New Roman"/>
      <w:sz w:val="24"/>
      <w:szCs w:val="24"/>
      <w:lang w:val="en-US" w:eastAsia="zh-CN" w:bidi="ar-SA"/>
    </w:rPr>
  </w:style>
  <w:style w:type="paragraph" w:customStyle="1" w:styleId="1092">
    <w:name w:val="Normal_39"/>
    <w:qFormat/>
    <w:uiPriority w:val="99"/>
    <w:rPr>
      <w:rFonts w:ascii="Times New Roman" w:hAnsi="Times New Roman" w:eastAsia="宋体" w:cs="Times New Roman"/>
      <w:sz w:val="24"/>
      <w:szCs w:val="24"/>
      <w:lang w:val="en-US" w:eastAsia="zh-CN" w:bidi="ar-SA"/>
    </w:rPr>
  </w:style>
  <w:style w:type="paragraph" w:customStyle="1" w:styleId="1093">
    <w:name w:val="Normal_40"/>
    <w:qFormat/>
    <w:uiPriority w:val="99"/>
    <w:rPr>
      <w:rFonts w:ascii="Times New Roman" w:hAnsi="Times New Roman" w:eastAsia="宋体" w:cs="Times New Roman"/>
      <w:sz w:val="24"/>
      <w:szCs w:val="24"/>
      <w:lang w:val="en-US" w:eastAsia="zh-CN" w:bidi="ar-SA"/>
    </w:rPr>
  </w:style>
  <w:style w:type="paragraph" w:customStyle="1" w:styleId="1094">
    <w:name w:val="正文_2"/>
    <w:next w:val="1095"/>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1095">
    <w:name w:val="正文文本_1"/>
    <w:basedOn w:val="1094"/>
    <w:qFormat/>
    <w:uiPriority w:val="99"/>
    <w:pPr>
      <w:spacing w:line="400" w:lineRule="exact"/>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7f1cba6e-b0ac-4493-9387-f9ca2ca78b6c</errorID>
      <errorWord>(</errorWord>
      <group>L1_Format</group>
      <groupName>格式问题</groupName>
      <ability>L2_HalfPunc_CN</ability>
      <abilityName>全半角问题</abilityName>
      <candidateList>
        <item>（</item>
      </candidateList>
      <explain>文本全半角错误。</explain>
      <paraID>3CFE87B6</paraID>
      <start>13</start>
      <end>14</end>
      <status>modified</status>
      <modifiedWord>（</modifiedWord>
      <trackRevisions>false</trackRevisions>
    </reviewItem>
    <reviewItem>
      <errorID>f9047823-bcbb-4b75-b5a8-108a11422082</errorID>
      <errorWord>)</errorWord>
      <group>L1_Format</group>
      <groupName>格式问题</groupName>
      <ability>L2_HalfPunc_CN</ability>
      <abilityName>全半角问题</abilityName>
      <candidateList>
        <item>）</item>
      </candidateList>
      <explain>文本全半角错误。</explain>
      <paraID>3CFE87B6</paraID>
      <start>36</start>
      <end>37</end>
      <status>modified</status>
      <modifiedWord>）</modifiedWord>
      <trackRevisions>false</trackRevisions>
    </reviewItem>
    <reviewItem>
      <errorID>617e0633-bbd0-4837-908c-2f440366c41b</errorID>
      <errorWord>（</errorWord>
      <group>L1_Punc</group>
      <groupName>标点问题</groupName>
      <ability>L2_Punc_CN</ability>
      <abilityName>标点符号问题</abilityName>
      <candidateList/>
      <explain>同一形式括号套用。</explain>
      <paraID>556CF715</paraID>
      <start>28</start>
      <end>29</end>
      <status>unmodified</status>
      <modifiedWord/>
      <trackRevisions>false</trackRevisions>
    </reviewItem>
    <reviewItem>
      <errorID>13757974-ab09-4679-9fef-f4b1f2539360</errorID>
      <errorWord>）</errorWord>
      <group>L1_Punc</group>
      <groupName>标点问题</groupName>
      <ability>L2_Punc_CN</ability>
      <abilityName>标点符号问题</abilityName>
      <candidateList/>
      <explain>同一形式括号套用。</explain>
      <paraID>556CF715</paraID>
      <start>47</start>
      <end>48</end>
      <status>unmodified</status>
      <modifiedWord/>
      <trackRevisions>false</trackRevisions>
    </reviewItem>
    <reviewItem>
      <errorID>e65bb1a6-e8f7-4413-94dd-b6f934fb7c4b</errorID>
      <errorWord>保持通讯畅通</errorWord>
      <group>L1_Word</group>
      <groupName>字词问题</groupName>
      <ability>L2_Typo</ability>
      <abilityName>字词错误</abilityName>
      <candidateList>
        <item>保持通信畅通</item>
      </candidateList>
      <explain/>
      <paraID>4A4F8705</paraID>
      <start>17</start>
      <end>23</end>
      <status>unmodified</status>
      <modifiedWord/>
      <trackRevisions>false</trackRevisions>
    </reviewItem>
    <reviewItem>
      <errorID>75e6303e-e8c1-4653-b495-aa2c53c13b66</errorID>
      <errorWord>，</errorWord>
      <group>L1_Word</group>
      <groupName>字词问题</groupName>
      <ability>L2_Typo</ability>
      <abilityName>字词错误</abilityName>
      <candidateList>
        <item>，并</item>
      </candidateList>
      <explain/>
      <paraID>5CB7383D</paraID>
      <start>73</start>
      <end>74</end>
      <status>unmodified</status>
      <modifiedWord/>
      <trackRevisions>false</trackRevisions>
    </reviewItem>
    <reviewItem>
      <errorID>fded981f-9898-452e-839f-c5e6a6eee21a</errorID>
      <errorWord>》</errorWord>
      <group>L1_Word</group>
      <groupName>字词问题</groupName>
      <ability>L2_Typo</ability>
      <abilityName>字词错误</abilityName>
      <candidateList>
        <item>》和</item>
      </candidateList>
      <explain/>
      <paraID>25BC5E9A</paraID>
      <start>25</start>
      <end>26</end>
      <status>unmodified</status>
      <modifiedWord/>
      <trackRevisions>false</trackRevisions>
    </reviewItem>
    <reviewItem>
      <errorID>1ddb0890-5358-4af0-887f-40a9150547de</errorID>
      <errorWord>)</errorWord>
      <group>L1_Format</group>
      <groupName>格式问题</groupName>
      <ability>L2_HalfPunc_CN</ability>
      <abilityName>全半角问题</abilityName>
      <candidateList>
        <item>）</item>
      </candidateList>
      <explain>文本全半角错误。</explain>
      <paraID>26EEE451</paraID>
      <start>176</start>
      <end>177</end>
      <status>modified</status>
      <modifiedWord>）</modifiedWord>
      <trackRevisions>false</trackRevisions>
    </reviewItem>
    <reviewItem>
      <errorID>99c07cba-48d7-489b-8bed-917990fc5fab</errorID>
      <errorWord>》</errorWord>
      <group>L1_Word</group>
      <groupName>字词问题</groupName>
      <ability>L2_Typo</ability>
      <abilityName>字词错误</abilityName>
      <candidateList>
        <item>》等</item>
      </candidateList>
      <explain/>
      <paraID>1C3EE991</paraID>
      <start>38</start>
      <end>39</end>
      <status>unmodified</status>
      <modifiedWord/>
      <trackRevisions>false</trackRevisions>
    </reviewItem>
    <reviewItem>
      <errorID>c166b10d-ca06-4472-bc52-ad10f891b80d</errorID>
      <errorWord>&lt;</errorWord>
      <group>L1_Format</group>
      <groupName>格式问题</groupName>
      <ability>L2_HalfPunc_CN</ability>
      <abilityName>全半角问题</abilityName>
      <candidateList>
        <item>〈</item>
      </candidateList>
      <explain>文本全半角错误。</explain>
      <paraID>7E8A8D70</paraID>
      <start>50</start>
      <end>51</end>
      <status>unmodified</status>
      <modifiedWord/>
      <trackRevisions>false</trackRevisions>
    </reviewItem>
    <reviewItem>
      <errorID>1511fb35-82ad-4868-9ad4-a5b5093dbdb1</errorID>
      <errorWord>&lt;</errorWord>
      <group>L1_Format</group>
      <groupName>格式问题</groupName>
      <ability>L2_HalfPunc_CN</ability>
      <abilityName>全半角问题</abilityName>
      <candidateList>
        <item>〈</item>
      </candidateList>
      <explain>文本全半角错误。</explain>
      <paraID>340A5E9F</paraID>
      <start>50</start>
      <end>51</end>
      <status>unmodified</status>
      <modifiedWord/>
      <trackRevisions>false</trackRevisions>
    </reviewItem>
    <reviewItem>
      <errorID>6694e823-f358-4e3b-becd-03d7a9c69011</errorID>
      <errorWord>&lt;</errorWord>
      <group>L1_Format</group>
      <groupName>格式问题</groupName>
      <ability>L2_HalfPunc_CN</ability>
      <abilityName>全半角问题</abilityName>
      <candidateList>
        <item>〈</item>
      </candidateList>
      <explain>文本全半角错误。</explain>
      <paraID> F269124</paraID>
      <start>35</start>
      <end>36</end>
      <status>unmodified</status>
      <modifiedWord/>
      <trackRevisions>false</trackRevisions>
    </reviewItem>
    <reviewItem>
      <errorID>6fcb05ca-a3c0-457a-b3ca-bb1d6af46186</errorID>
      <errorWord>法律、法规</errorWord>
      <group>L1_Word</group>
      <groupName>字词问题</groupName>
      <ability>L2_Typo</ability>
      <abilityName>字词错误</abilityName>
      <candidateList>
        <item>法律法规</item>
      </candidateList>
      <explain/>
      <paraID>455AFDC2</paraID>
      <start>110</start>
      <end>115</end>
      <status>unmodified</status>
      <modifiedWord/>
      <trackRevisions>false</trackRevisions>
    </reviewItem>
    <reviewItem>
      <errorID>3f22947e-0d00-4d5f-bc2e-73c9724bdd92</errorID>
      <errorWord>其它用</errorWord>
      <group>L1_Word</group>
      <groupName>字词问题</groupName>
      <ability>L2_Alias</ability>
      <abilityName>也作/曾用词</abilityName>
      <candidateList>
        <item>其他用</item>
      </candidateList>
      <explain>词汇[其它用]为不规范表述或旧称，其规范书面表述为[其他用]。</explain>
      <paraID>1ADD6CCF</paraID>
      <start>28</start>
      <end>31</end>
      <status>modified</status>
      <modifiedWord>其他用</modifiedWord>
      <trackRevisions>false</trackRevisions>
    </reviewItem>
    <reviewItem>
      <errorID>925411e5-0185-40fe-9b81-d86adee70c85</errorID>
      <errorWord>4）、</errorWord>
      <group>L1_Punc</group>
      <groupName>标点问题</groupName>
      <ability>L2_Punc_CN</ability>
      <abilityName>标点符号问题</abilityName>
      <candidateList>
        <item>4）</item>
      </candidateList>
      <explain>根据国标GB/T 15834-2011《标点符号用法》中的4.5.3.3节，带括号的汉字数字或阿拉伯数字表次序时，后面通常不加顿号。如“（一）指导思想”“（二）行动指南”。</explain>
      <paraID>250FD346</paraID>
      <start>35</start>
      <end>38</end>
      <status>unmodified</status>
      <modifiedWord/>
      <trackRevisions>false</trackRevisions>
    </reviewItem>
    <reviewItem>
      <errorID>81c0a561-8d14-46b0-a5a4-3f1d94103a08</errorID>
      <errorWord>,</errorWord>
      <group>L1_Format</group>
      <groupName>格式问题</groupName>
      <ability>L2_HalfPunc_CN</ability>
      <abilityName>全半角问题</abilityName>
      <candidateList>
        <item>，</item>
      </candidateList>
      <explain>文本全半角错误。</explain>
      <paraID>31535D22</paraID>
      <start>79</start>
      <end>80</end>
      <status>modified</status>
      <modifiedWord>，</modifiedWord>
      <trackRevisions>false</trackRevisions>
    </reviewItem>
    <reviewItem>
      <errorID>8506dc8d-728e-4b18-9cd7-e92f9a6b91fd</errorID>
      <errorWord>(</errorWord>
      <group>L1_Format</group>
      <groupName>格式问题</groupName>
      <ability>L2_HalfPunc_CN</ability>
      <abilityName>全半角问题</abilityName>
      <candidateList>
        <item>（</item>
      </candidateList>
      <explain>文本全半角错误。</explain>
      <paraID>634E2BD3</paraID>
      <start>75</start>
      <end>76</end>
      <status>modified</status>
      <modifiedWord>（</modifiedWord>
      <trackRevisions>false</trackRevisions>
    </reviewItem>
    <reviewItem>
      <errorID>53cac486-734c-4bb9-97b3-48cbb0714b6e</errorID>
      <errorWord>是</errorWord>
      <group>L1_Word</group>
      <groupName>字词问题</groupName>
      <ability>L2_Typo</ability>
      <abilityName>字词错误</abilityName>
      <candidateList>
        <item>是在</item>
      </candidateList>
      <explain/>
      <paraID>6DC75A87</paraID>
      <start>87</start>
      <end>89</end>
      <status>modified</status>
      <modifiedWord>是在</modifiedWord>
      <trackRevisions>false</trackRevisions>
    </reviewItem>
    <reviewItem>
      <errorID>1ebc829f-d88a-4d1f-a689-702bddf4ab8e</errorID>
      <errorWord>满</errorWord>
      <group>L1_Word</group>
      <groupName>字词问题</groupName>
      <ability>L2_Typo</ability>
      <abilityName>字词错误</abilityName>
      <candidateList>
        <item>满后</item>
      </candidateList>
      <explain/>
      <paraID> 6982B2E</paraID>
      <start>9</start>
      <end>11</end>
      <status>modified</status>
      <modifiedWord>满后</modifiedWord>
      <trackRevisions>false</trackRevisions>
    </reviewItem>
    <reviewItem>
      <errorID>2e2af34e-3232-417e-bdb3-ff179097ef05</errorID>
      <errorWord>满</errorWord>
      <group>L1_Word</group>
      <groupName>字词问题</groupName>
      <ability>L2_Typo</ability>
      <abilityName>字词错误</abilityName>
      <candidateList>
        <item>满后</item>
      </candidateList>
      <explain/>
      <paraID>7FD439F9</paraID>
      <start>10</start>
      <end>12</end>
      <status>modified</status>
      <modifiedWord>满后</modifiedWord>
      <trackRevisions>false</trackRevisions>
    </reviewItem>
    <reviewItem>
      <errorID>92f01bac-fd27-488f-9682-e4061299af46</errorID>
      <errorWord>费由乙方承担</errorWord>
      <group>L1_Word</group>
      <groupName>字词问题</groupName>
      <ability>L2_Typo</ability>
      <abilityName>字词错误</abilityName>
      <candidateList>
        <item>费用由乙方承担</item>
      </candidateList>
      <explain/>
      <paraID>4FA1E884</paraID>
      <start>53</start>
      <end>60</end>
      <status>modified</status>
      <modifiedWord>费用由乙方承担</modifiedWord>
      <trackRevisions>false</trackRevisions>
    </reviewItem>
    <reviewItem>
      <errorID>6ce4e04a-6c22-4d42-988f-df08b5a5c6b6</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69DF5C95</paraID>
      <start>10</start>
      <end>14</end>
      <status>unmodified</status>
      <modifiedWord/>
      <trackRevisions>false</trackRevisions>
    </reviewItem>
    <reviewItem>
      <errorID>f942c97f-64fd-4c34-be1f-a8253850542c</errorID>
      <errorWord>由乙方负责承担</errorWord>
      <group>L1_Word</group>
      <groupName>字词问题</groupName>
      <ability>L2_Typo</ability>
      <abilityName>字词错误</abilityName>
      <candidateList>
        <item>由乙方承担</item>
      </candidateList>
      <explain/>
      <paraID>6C86FACD</paraID>
      <start>42</start>
      <end>49</end>
      <status>unmodified</status>
      <modifiedWord/>
      <trackRevisions>false</trackRevisions>
    </reviewItem>
    <reviewItem>
      <errorID>6ec8a2fb-202f-4c78-8665-e66ae9fc50a1</errorID>
      <errorWord>必须要</errorWord>
      <group>L1_Word</group>
      <groupName>字词问题</groupName>
      <ability>L2_Typo</ability>
      <abilityName>字词错误</abilityName>
      <candidateList>
        <item>必须</item>
      </candidateList>
      <explain/>
      <paraID>508E5AF9</paraID>
      <start>58</start>
      <end>61</end>
      <status>unmodified</status>
      <modifiedWord/>
      <trackRevisions>false</trackRevisions>
    </reviewItem>
    <reviewItem>
      <errorID>af78eba3-23bc-4ac9-9d88-228433423e07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1DEC3FC2</paraID>
      <start>32</start>
      <end>35</end>
      <status>unmodified</status>
      <modifiedWord/>
      <trackRevisions>false</trackRevisions>
    </reviewItem>
    <reviewItem>
      <errorID>dfe6ad5f-9e32-46d9-b991-0e9b1aeb0edc</errorID>
      <errorWord>方</errorWord>
      <group>L1_Word</group>
      <groupName>字词问题</groupName>
      <ability>L2_Typo</ability>
      <abilityName>字词错误</abilityName>
      <candidateList>
        <item>方在</item>
      </candidateList>
      <explain/>
      <paraID> 35C0708</paraID>
      <start>78</start>
      <end>79</end>
      <status>unmodified</status>
      <modifiedWord/>
      <trackRevisions>false</trackRevisions>
    </reviewItem>
    <reviewItem>
      <errorID>f76b0512-c6fa-4587-afeb-56d85d9335a2</errorID>
      <errorWord>限制</errorWord>
      <group>L1_Word</group>
      <groupName>字词问题</groupName>
      <ability>L2_Typo</ability>
      <abilityName>字词错误</abilityName>
      <candidateList>
        <item>限</item>
      </candidateList>
      <explain/>
      <paraID> 49CD7DC</paraID>
      <start>173</start>
      <end>175</end>
      <status>unmodified</status>
      <modifiedWord/>
      <trackRevisions>false</trackRevisions>
    </reviewItem>
    <reviewItem>
      <errorID>9cec6830-686f-47cf-bedd-bdd98d02ca30</errorID>
      <errorWord>-</errorWord>
      <group>L1_Format</group>
      <groupName>格式问题</groupName>
      <ability>L2_HalfPunc_CN</ability>
      <abilityName>全半角问题</abilityName>
      <candidateList>
        <item>－</item>
      </candidateList>
      <explain>文本全半角错误。</explain>
      <paraID>4AF4178A</paraID>
      <start>188</start>
      <end>189</end>
      <status>unmodified</status>
      <modifiedWord/>
      <trackRevisions>false</trackRevisions>
    </reviewItem>
    <reviewItem>
      <errorID>cdc85ed6-e4ed-4ce6-be77-2027349d60b1</errorID>
      <errorWord>-</errorWord>
      <group>L1_Format</group>
      <groupName>格式问题</groupName>
      <ability>L2_HalfPunc_CN</ability>
      <abilityName>全半角问题</abilityName>
      <candidateList>
        <item>－</item>
      </candidateList>
      <explain>文本全半角错误。</explain>
      <paraID>4AF4178A</paraID>
      <start>292</start>
      <end>293</end>
      <status>unmodified</status>
      <modifiedWord/>
      <trackRevisions>false</trackRevisions>
    </reviewItem>
    <reviewItem>
      <errorID>d0104a89-2a56-4fdc-8cad-bf4d732a0c8c</errorID>
      <errorWord>-</errorWord>
      <group>L1_Format</group>
      <groupName>格式问题</groupName>
      <ability>L2_HalfPunc_CN</ability>
      <abilityName>全半角问题</abilityName>
      <candidateList>
        <item>－</item>
      </candidateList>
      <explain>文本全半角错误。</explain>
      <paraID>5A0F96A2</paraID>
      <start>236</start>
      <end>237</end>
      <status>unmodified</status>
      <modifiedWord/>
      <trackRevisions>false</trackRevisions>
    </reviewItem>
    <reviewItem>
      <errorID>8a47d598-c046-4e74-b90d-adef6c7fbe05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5A0F96A2</paraID>
      <start>264</start>
      <end>265</end>
      <status>unmodified</status>
      <modifiedWord/>
      <trackRevisions>false</trackRevisions>
    </reviewItem>
    <reviewItem>
      <errorID>6c911418-e606-4a60-aa45-7497573eb3d7</errorID>
      <errorWord>-</errorWord>
      <group>L1_Format</group>
      <groupName>格式问题</groupName>
      <ability>L2_HalfPunc_CN</ability>
      <abilityName>全半角问题</abilityName>
      <candidateList>
        <item>－</item>
      </candidateList>
      <explain>文本全半角错误。</explain>
      <paraID>5A0F96A2</paraID>
      <start>278</start>
      <end>279</end>
      <status>unmodified</status>
      <modifiedWord/>
      <trackRevisions>false</trackRevisions>
    </reviewItem>
    <reviewItem>
      <errorID>287c9993-9a17-4d18-8006-0273282b7041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6A98E297</paraID>
      <start>0</start>
      <end>2</end>
      <status>unmodified</status>
      <modifiedWord/>
      <trackRevisions>false</trackRevisions>
    </reviewItem>
    <reviewItem>
      <errorID>fad2f248-9271-413c-ad6f-e45d35a5132f</errorID>
      <errorWord>的</errorWord>
      <group>L1_Word</group>
      <groupName>字词问题</groupName>
      <ability>L2_DDD</ability>
      <abilityName>的地得用法</abilityName>
      <candidateList>
        <item>地</item>
      </candidateList>
      <explain/>
      <paraID>36CDE798</paraID>
      <start>30</start>
      <end>31</end>
      <status>unmodified</status>
      <modifiedWord/>
      <trackRevisions>false</trackRevisions>
    </reviewItem>
    <reviewItem>
      <errorID>fedcab04-a33e-4541-84e7-0da9d0e60398</errorID>
      <errorWord>双碳目标</errorWord>
      <group>L1_Political</group>
      <groupName>政治性问题</groupName>
      <ability>L2_Keyword</ability>
      <abilityName>固定表述</abilityName>
      <candidateList>
        <item>“双碳”目标</item>
      </candidateList>
      <explain>注意检查当前固定表述标点是否使用规范。</explain>
      <paraID> E7FC2C4</paraID>
      <start>43</start>
      <end>47</end>
      <status>unmodified</status>
      <modifiedWord/>
      <trackRevisions>false</trackRevisions>
    </reviewItem>
    <reviewItem>
      <errorID>acd04702-146b-4dda-af92-fb6c995aca55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117EE0FB</paraID>
      <start>0</start>
      <end>3</end>
      <status>modified</status>
      <modifiedWord>（1）</modifiedWord>
      <trackRevisions>false</trackRevisions>
    </reviewItem>
    <reviewItem>
      <errorID>7fe6d168-3879-4b15-a4ab-757333c1bd81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DF539F0</paraID>
      <start>0</start>
      <end>3</end>
      <status>modified</status>
      <modifiedWord>（2）</modifiedWord>
      <trackRevisions>false</trackRevisions>
    </reviewItem>
    <reviewItem>
      <errorID>13864cd2-b773-4f98-a0ba-05e6077e730c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2B86238F</paraID>
      <start>0</start>
      <end>3</end>
      <status>modified</status>
      <modifiedWord>（3）</modifiedWord>
      <trackRevisions>false</trackRevisions>
    </reviewItem>
    <reviewItem>
      <errorID>6c7d197f-31db-4a0b-99a8-375f73dea697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39EC9243</paraID>
      <start>0</start>
      <end>3</end>
      <status>modified</status>
      <modifiedWord>（4）</modifiedWord>
      <trackRevisions>false</trackRevisions>
    </reviewItem>
    <reviewItem>
      <errorID>0e896ba3-8b78-4d1e-86ba-64af6b41876f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76C62526</paraID>
      <start>0</start>
      <end>3</end>
      <status>modified</status>
      <modifiedWord>（5）</modifiedWord>
      <trackRevisions>false</trackRevisions>
    </reviewItem>
    <reviewItem>
      <errorID>8673660f-ca7d-4e1e-b120-bc86b5152dbe</errorID>
      <errorWord>排</errorWord>
      <group>L1_Word</group>
      <groupName>字词问题</groupName>
      <ability>L2_Typo</ability>
      <abilityName>字词错误</abilityName>
      <candidateList>
        <item>排放</item>
      </candidateList>
      <explain/>
      <paraID>76C62526</paraID>
      <start>4</start>
      <end>5</end>
      <status>unmodified</status>
      <modifiedWord/>
      <trackRevisions>false</trackRevisions>
    </reviewItem>
    <reviewItem>
      <errorID>b5fde670-2b0a-4b4a-a35f-150b2c9227ed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41FFF6E7</paraID>
      <start>0</start>
      <end>3</end>
      <status>modified</status>
      <modifiedWord>（1）</modifiedWord>
      <trackRevisions>false</trackRevisions>
    </reviewItem>
    <reviewItem>
      <errorID>ea95050d-efa9-4695-9c94-19696cee9be6</errorID>
      <errorWord>实时</errorWord>
      <group>L1_Word</group>
      <groupName>字词问题</groupName>
      <ability>L2_Typo</ability>
      <abilityName>字词错误</abilityName>
      <candidateList>
        <item>实施</item>
      </candidateList>
      <explain/>
      <paraID>74B9C68D</paraID>
      <start>12</start>
      <end>14</end>
      <status>unmodified</status>
      <modifiedWord/>
      <trackRevisions>false</trackRevisions>
    </reviewItem>
    <reviewItem>
      <errorID>2f013a72-4b89-4493-a559-b5ceeadaa808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79FCA6B0</paraID>
      <start>0</start>
      <end>3</end>
      <status>modified</status>
      <modifiedWord>（2）</modifiedWord>
      <trackRevisions>false</trackRevisions>
    </reviewItem>
    <reviewItem>
      <errorID>d1883f36-93ad-498b-b4f1-e21ae5f1ca8d</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 677D60B</paraID>
      <start>38</start>
      <end>42</end>
      <status>unmodified</status>
      <modifiedWord/>
      <trackRevisions>false</trackRevisions>
    </reviewItem>
    <reviewItem>
      <errorID>1e500956-4a0b-4634-98a6-5902abbd1b19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7F1756BC</paraID>
      <start>0</start>
      <end>3</end>
      <status>modified</status>
      <modifiedWord>（3）</modifiedWord>
      <trackRevisions>false</trackRevisions>
    </reviewItem>
    <reviewItem>
      <errorID>e0ef2d7c-b15b-4897-b7ae-61b9755a6fc6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6F55C754</paraID>
      <start>0</start>
      <end>3</end>
      <status>modified</status>
      <modifiedWord>（4）</modifiedWord>
      <trackRevisions>false</trackRevisions>
    </reviewItem>
    <reviewItem>
      <errorID>9163e2de-000a-4675-9a27-21592df485ff</errorID>
      <errorWord>包括不限于</errorWord>
      <group>L1_Word</group>
      <groupName>字词问题</groupName>
      <ability>L2_Typo</ability>
      <abilityName>字词错误</abilityName>
      <candidateList>
        <item>包括但不限于</item>
      </candidateList>
      <explain/>
      <paraID>2A34BC32</paraID>
      <start>4</start>
      <end>10</end>
      <status>modified</status>
      <modifiedWord>包括但不限于</modifiedWord>
      <trackRevisions>false</trackRevisions>
    </reviewItem>
    <reviewItem>
      <errorID>7491fd41-4820-4ed2-93f0-44c2bb14f021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7E9427F3</paraID>
      <start>0</start>
      <end>3</end>
      <status>modified</status>
      <modifiedWord>（5）</modifiedWord>
      <trackRevisions>false</trackRevisions>
    </reviewItem>
    <reviewItem>
      <errorID>4d33a76f-b8c7-4d08-84ad-ac029ab2831c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71F1CA38</paraID>
      <start>0</start>
      <end>3</end>
      <status>modified</status>
      <modifiedWord>（6）</modifiedWord>
      <trackRevisions>false</trackRevisions>
    </reviewItem>
    <reviewItem>
      <errorID>45359e68-b0ed-4672-8584-cff37e309be6</errorID>
      <errorWord>包括不限于</errorWord>
      <group>L1_Word</group>
      <groupName>字词问题</groupName>
      <ability>L2_Typo</ability>
      <abilityName>字词错误</abilityName>
      <candidateList>
        <item>包括但不限于</item>
      </candidateList>
      <explain/>
      <paraID>1D7BD6F9</paraID>
      <start>4</start>
      <end>10</end>
      <status>modified</status>
      <modifiedWord>包括但不限于</modifiedWord>
      <trackRevisions>false</trackRevisions>
    </reviewItem>
    <reviewItem>
      <errorID>068c0d47-2fad-49e7-aa20-79bfe790b3b1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365CC750</paraID>
      <start>0</start>
      <end>3</end>
      <status>modified</status>
      <modifiedWord>（7）</modifiedWord>
      <trackRevisions>false</trackRevisions>
    </reviewItem>
    <reviewItem>
      <errorID>d943a5bf-6fe5-421d-a959-9f99149f5ef8</errorID>
      <errorWord>包括不限于</errorWord>
      <group>L1_Word</group>
      <groupName>字词问题</groupName>
      <ability>L2_Typo</ability>
      <abilityName>字词错误</abilityName>
      <candidateList>
        <item>包括但不限于</item>
      </candidateList>
      <explain/>
      <paraID>2EB5ABE3</paraID>
      <start>4</start>
      <end>10</end>
      <status>modified</status>
      <modifiedWord>包括但不限于</modifiedWord>
      <trackRevisions>false</trackRevisions>
    </reviewItem>
    <reviewItem>
      <errorID>ccf49855-cf69-465e-aace-7020ee9cacd2</errorID>
      <errorWord>据</errorWord>
      <group>L1_Word</group>
      <groupName>字词问题</groupName>
      <ability>L2_Typo</ability>
      <abilityName>字词错误</abilityName>
      <candidateList>
        <item>据之</item>
      </candidateList>
      <explain/>
      <paraID> 3B1D470</paraID>
      <start>52</start>
      <end>53</end>
      <status>unmodified</status>
      <modifiedWord/>
      <trackRevisions>false</trackRevisions>
    </reviewItem>
    <reviewItem>
      <errorID>b59ad51a-e026-4c3f-982f-cb300d788440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EF4B176</paraID>
      <start>0</start>
      <end>2</end>
      <status>modified</status>
      <modifiedWord>2.</modifiedWord>
      <trackRevisions>false</trackRevisions>
    </reviewItem>
    <reviewItem>
      <errorID>bc2480f9-3d75-45c8-916b-ca1f41858957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5FEF6A3B</paraID>
      <start>0</start>
      <end>2</end>
      <status>modified</status>
      <modifiedWord>3.</modifiedWord>
      <trackRevisions>false</trackRevisions>
    </reviewItem>
    <reviewItem>
      <errorID>24245d89-f66b-499a-8eb9-766555cb2dba</errorID>
      <errorWord>(</errorWord>
      <group>L1_Format</group>
      <groupName>格式问题</groupName>
      <ability>L2_HalfPunc_CN</ability>
      <abilityName>全半角问题</abilityName>
      <candidateList>
        <item>（</item>
      </candidateList>
      <explain>文本全半角错误。</explain>
      <paraID>76E0DA3E</paraID>
      <start>8</start>
      <end>9</end>
      <status>modified</status>
      <modifiedWord>（</modifiedWord>
      <trackRevisions>false</trackRevisions>
    </reviewItem>
    <reviewItem>
      <errorID>f3dec2a4-504c-4ec4-897e-22a1ffe67295</errorID>
      <errorWord>)</errorWord>
      <group>L1_Format</group>
      <groupName>格式问题</groupName>
      <ability>L2_HalfPunc_CN</ability>
      <abilityName>全半角问题</abilityName>
      <candidateList>
        <item>）</item>
      </candidateList>
      <explain>文本全半角错误。</explain>
      <paraID>76E0DA3E</paraID>
      <start>13</start>
      <end>14</end>
      <status>modified</status>
      <modifiedWord>）</modifiedWord>
      <trackRevisions>false</trackRevisions>
    </reviewItem>
    <reviewItem>
      <errorID>78f9f829-c1be-4742-b455-65633084c692</errorID>
      <errorWord>(</errorWord>
      <group>L1_Format</group>
      <groupName>格式问题</groupName>
      <ability>L2_HalfPunc_CN</ability>
      <abilityName>全半角问题</abilityName>
      <candidateList>
        <item>（</item>
      </candidateList>
      <explain>文本全半角错误。</explain>
      <paraID>76E0DA3E</paraID>
      <start>19</start>
      <end>20</end>
      <status>modified</status>
      <modifiedWord>（</modifiedWord>
      <trackRevisions>false</trackRevisions>
    </reviewItem>
    <reviewItem>
      <errorID>2bb39c56-0ee5-4584-bf84-b68a9a18cade</errorID>
      <errorWord>)</errorWord>
      <group>L1_Format</group>
      <groupName>格式问题</groupName>
      <ability>L2_HalfPunc_CN</ability>
      <abilityName>全半角问题</abilityName>
      <candidateList>
        <item>）</item>
      </candidateList>
      <explain>文本全半角错误。</explain>
      <paraID>76E0DA3E</paraID>
      <start>24</start>
      <end>25</end>
      <status>modified</status>
      <modifiedWord>）</modifiedWord>
      <trackRevisions>false</trackRevisions>
    </reviewItem>
    <reviewItem>
      <errorID>68513a46-4526-4eaa-985c-5c45fca48ef3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7899F36B</paraID>
      <start>0</start>
      <end>2</end>
      <status>modified</status>
      <modifiedWord>4.</modifiedWord>
      <trackRevisions>false</trackRevisions>
    </reviewItem>
    <reviewItem>
      <errorID>c1215d20-fd81-4ec4-8706-195d6e29c293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1EF83336</paraID>
      <start>0</start>
      <end>2</end>
      <status>modified</status>
      <modifiedWord>5.</modifiedWord>
      <trackRevisions>false</trackRevisions>
    </reviewItem>
    <reviewItem>
      <errorID>2db3624e-d910-40e9-94be-a6466a65c0c4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2C685E74</paraID>
      <start>0</start>
      <end>2</end>
      <status>modified</status>
      <modifiedWord>6.</modifiedWord>
      <trackRevisions>false</trackRevisions>
    </reviewItem>
    <reviewItem>
      <errorID>23d20e13-102f-4c2e-b14d-6537fc117f10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735CD5AF</paraID>
      <start>0</start>
      <end>2</end>
      <status>modified</status>
      <modifiedWord>7.</modifiedWord>
      <trackRevisions>false</trackRevisions>
    </reviewItem>
    <reviewItem>
      <errorID>8694cb39-78c0-44a0-b31b-5d28b33aaf2f</errorID>
      <errorWord>"</errorWord>
      <group>L1_Format</group>
      <groupName>格式问题</groupName>
      <ability>L2_HalfPunc_CN</ability>
      <abilityName>全半角问题</abilityName>
      <candidateList>
        <item>“</item>
      </candidateList>
      <explain>文本全半角错误。</explain>
      <paraID>4F0A175D</paraID>
      <start>56</start>
      <end>57</end>
      <status>modified</status>
      <modifiedWord>“</modifiedWord>
      <trackRevisions>false</trackRevisions>
    </reviewItem>
    <reviewItem>
      <errorID>0915c467-867d-4398-95d3-89e52d947476</errorID>
      <errorWord>"</errorWord>
      <group>L1_Format</group>
      <groupName>格式问题</groupName>
      <ability>L2_HalfPunc_CN</ability>
      <abilityName>全半角问题</abilityName>
      <candidateList>
        <item>”</item>
      </candidateList>
      <explain>文本全半角错误。</explain>
      <paraID>4F0A175D</paraID>
      <start>76</start>
      <end>77</end>
      <status>modified</status>
      <modifiedWord>”</modifiedWord>
      <trackRevisions>false</trackRevisions>
    </reviewItem>
    <reviewItem>
      <errorID>a82b6533-e81b-4a61-bf9e-fb16f72e800a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3F5045E1</paraID>
      <start>0</start>
      <end>2</end>
      <status>modified</status>
      <modifiedWord>8.</modifiedWord>
      <trackRevisions>false</trackRevisions>
    </reviewItem>
    <reviewItem>
      <errorID>768f551d-1375-4702-82d3-5bd1b44e171b</errorID>
      <errorWord>"</errorWord>
      <group>L1_Format</group>
      <groupName>格式问题</groupName>
      <ability>L2_HalfPunc_CN</ability>
      <abilityName>全半角问题</abilityName>
      <candidateList>
        <item>“</item>
      </candidateList>
      <explain>文本全半角错误。</explain>
      <paraID>586F428C</paraID>
      <start>80</start>
      <end>81</end>
      <status>modified</status>
      <modifiedWord>“</modifiedWord>
      <trackRevisions>false</trackRevisions>
    </reviewItem>
    <reviewItem>
      <errorID>07dae4fe-70da-4be5-b63f-a04eced92076</errorID>
      <errorWord>"</errorWord>
      <group>L1_Format</group>
      <groupName>格式问题</groupName>
      <ability>L2_HalfPunc_CN</ability>
      <abilityName>全半角问题</abilityName>
      <candidateList>
        <item>”</item>
      </candidateList>
      <explain>文本全半角错误。</explain>
      <paraID>586F428C</paraID>
      <start>91</start>
      <end>92</end>
      <status>modified</status>
      <modifiedWord>”</modifiedWord>
      <trackRevisions>false</trackRevisions>
    </reviewItem>
    <reviewItem>
      <errorID>a257bcb1-6292-42ac-b264-cca1aa93566d</errorID>
      <errorWord>"</errorWord>
      <group>L1_Format</group>
      <groupName>格式问题</groupName>
      <ability>L2_HalfPunc_CN</ability>
      <abilityName>全半角问题</abilityName>
      <candidateList>
        <item>“</item>
      </candidateList>
      <explain>文本全半角错误。</explain>
      <paraID>586F428C</paraID>
      <start>117</start>
      <end>118</end>
      <status>modified</status>
      <modifiedWord>“</modifiedWord>
      <trackRevisions>false</trackRevisions>
    </reviewItem>
    <reviewItem>
      <errorID>3ef85ef9-9e36-4ff1-9c56-cd5feecb65d4</errorID>
      <errorWord>"</errorWord>
      <group>L1_Format</group>
      <groupName>格式问题</groupName>
      <ability>L2_HalfPunc_CN</ability>
      <abilityName>全半角问题</abilityName>
      <candidateList>
        <item>”</item>
      </candidateList>
      <explain>文本全半角错误。</explain>
      <paraID>586F428C</paraID>
      <start>127</start>
      <end>128</end>
      <status>modified</status>
      <modifiedWord>”</modifiedWord>
      <trackRevisions>false</trackRevisions>
    </reviewItem>
    <reviewItem>
      <errorID>33c2e87d-aa8b-4182-9abf-e05a79266888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39907311</paraID>
      <start>0</start>
      <end>2</end>
      <status>modified</status>
      <modifiedWord>9.</modifiedWord>
      <trackRevisions>false</trackRevisions>
    </reviewItem>
    <reviewItem>
      <errorID>38beea36-fe3f-4986-ae44-3eb1d2e8babf</errorID>
      <errorWord>-</errorWord>
      <group>L1_Format</group>
      <groupName>格式问题</groupName>
      <ability>L2_HalfPunc_CN</ability>
      <abilityName>全半角问题</abilityName>
      <candidateList>
        <item>－</item>
      </candidateList>
      <explain>文本全半角错误。</explain>
      <paraID>28FB20AA</paraID>
      <start>20</start>
      <end>21</end>
      <status>modified</status>
      <modifiedWord>－</modifiedWord>
      <trackRevisions>false</trackRevisions>
    </reviewItem>
    <reviewItem>
      <errorID>e6caa7f8-4f3a-4eaf-b016-5d51e3144393</errorID>
      <errorWord>-</errorWord>
      <group>L1_Format</group>
      <groupName>格式问题</groupName>
      <ability>L2_HalfPunc_CN</ability>
      <abilityName>全半角问题</abilityName>
      <candidateList>
        <item>－</item>
      </candidateList>
      <explain>文本全半角错误。</explain>
      <paraID>28FB20AA</paraID>
      <start>23</start>
      <end>24</end>
      <status>modified</status>
      <modifiedWord>－</modifiedWord>
      <trackRevisions>false</trackRevisions>
    </reviewItem>
    <reviewItem>
      <errorID>983fa5eb-9384-4b4b-92da-c144c1a67653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12CC04C9</paraID>
      <start>0</start>
      <end>3</end>
      <status>modified</status>
      <modifiedWord>10.</modifiedWord>
      <trackRevisions>false</trackRevisions>
    </reviewItem>
    <reviewItem>
      <errorID>239dfb11-42b4-41fe-a4f2-a99a6e39453b</errorID>
      <errorWord>对于</errorWord>
      <group>L1_Word</group>
      <groupName>字词问题</groupName>
      <ability>L2_Typo</ability>
      <abilityName>字词错误</abilityName>
      <candidateList>
        <item>对</item>
      </candidateList>
      <explain/>
      <paraID>1CE5EB0B</paraID>
      <start>43</start>
      <end>44</end>
      <status>modified</status>
      <modifiedWord>对</modifiedWord>
      <trackRevisions>false</trackRevisions>
    </reviewItem>
    <reviewItem>
      <errorID>5ab553cf-2c90-463f-9587-8d4a911b470c</errorID>
      <errorWord>~</errorWord>
      <group>L1_Format</group>
      <groupName>格式问题</groupName>
      <ability>L2_HalfPunc_CN</ability>
      <abilityName>全半角问题</abilityName>
      <candidateList>
        <item>～</item>
      </candidateList>
      <explain>文本全半角错误。</explain>
      <paraID> E51E3D4</paraID>
      <start>10</start>
      <end>11</end>
      <status>modified</status>
      <modifiedWord>～</modifiedWord>
      <trackRevisions>false</trackRevisions>
    </reviewItem>
    <reviewItem>
      <errorID>e75d0951-bf7d-4c89-9eeb-f13e3cd6d5d9</errorID>
      <errorWord>：</errorWord>
      <group>L1_Format</group>
      <groupName>格式问题</groupName>
      <ability>L2_HalfPunc_CN</ability>
      <abilityName>全半角问题</abilityName>
      <candidateList>
        <item>: </item>
      </candidateList>
      <explain>文本全半角错误。</explain>
      <paraID>22F3E0CA</paraID>
      <start>3</start>
      <end>5</end>
      <status>modified</status>
      <modifiedWord>: </modifiedWord>
      <trackRevisions>false</trackRevisions>
    </reviewItem>
    <reviewItem>
      <errorID>ba538473-1455-4d9c-994e-f5b6a65652ce</errorID>
      <errorWord>，</errorWord>
      <group>L1_Format</group>
      <groupName>格式问题</groupName>
      <ability>L2_HalfPunc_CN</ability>
      <abilityName>全半角问题</abilityName>
      <candidateList>
        <item>, </item>
      </candidateList>
      <explain>文本全半角错误。</explain>
      <paraID>22F3E0CA</paraID>
      <start>17</start>
      <end>19</end>
      <status>modified</status>
      <modifiedWord>, </modifiedWord>
      <trackRevisions>false</trackRevisions>
    </reviewItem>
    <reviewItem>
      <errorID>7a96231a-3078-4dee-9c94-7259f309a167</errorID>
      <errorWord>；</errorWord>
      <group>L1_Format</group>
      <groupName>格式问题</groupName>
      <ability>L2_HalfPunc_CN</ability>
      <abilityName>全半角问题</abilityName>
      <candidateList>
        <item>;</item>
      </candidateList>
      <explain>文本全半角错误。</explain>
      <paraID>22F3E0CA</paraID>
      <start>26</start>
      <end>27</end>
      <status>modified</status>
      <modifiedWord>;</modifiedWord>
      <trackRevisions>false</trackRevisions>
    </reviewItem>
    <reviewItem>
      <errorID>78efcd4d-e0f6-47c4-8a73-3296594b00c4</errorID>
      <errorWord>~</errorWord>
      <group>L1_Format</group>
      <groupName>格式问题</groupName>
      <ability>L2_HalfPunc_CN</ability>
      <abilityName>全半角问题</abilityName>
      <candidateList>
        <item>～</item>
      </candidateList>
      <explain>文本全半角错误。</explain>
      <paraID> 38E15EA</paraID>
      <start>20</start>
      <end>21</end>
      <status>modified</status>
      <modifiedWord>～</modifiedWord>
      <trackRevisions>false</trackRevisions>
    </reviewItem>
    <reviewItem>
      <errorID>74ea5c9a-d28c-4503-82c6-d3ead6da3bab</errorID>
      <errorWord>：</errorWord>
      <group>L1_Format</group>
      <groupName>格式问题</groupName>
      <ability>L2_HalfPunc_CN</ability>
      <abilityName>全半角问题</abilityName>
      <candidateList>
        <item>: </item>
      </candidateList>
      <explain>文本全半角错误。</explain>
      <paraID> F086D83</paraID>
      <start>3</start>
      <end>5</end>
      <status>modified</status>
      <modifiedWord>: </modifiedWord>
      <trackRevisions>false</trackRevisions>
    </reviewItem>
    <reviewItem>
      <errorID>9129ed86-3c15-4e27-b178-880b7944d725</errorID>
      <errorWord>，</errorWord>
      <group>L1_Format</group>
      <groupName>格式问题</groupName>
      <ability>L2_HalfPunc_CN</ability>
      <abilityName>全半角问题</abilityName>
      <candidateList>
        <item>, </item>
      </candidateList>
      <explain>文本全半角错误。</explain>
      <paraID> F086D83</paraID>
      <start>17</start>
      <end>19</end>
      <status>modified</status>
      <modifiedWord>, </modifiedWord>
      <trackRevisions>false</trackRevisions>
    </reviewItem>
    <reviewItem>
      <errorID>d93ac5a0-908c-4feb-8ff2-8eb5cc518a05</errorID>
      <errorWord>；</errorWord>
      <group>L1_Format</group>
      <groupName>格式问题</groupName>
      <ability>L2_HalfPunc_CN</ability>
      <abilityName>全半角问题</abilityName>
      <candidateList>
        <item>;</item>
      </candidateList>
      <explain>文本全半角错误。</explain>
      <paraID> F086D83</paraID>
      <start>26</start>
      <end>27</end>
      <status>modified</status>
      <modifiedWord>;</modifiedWord>
      <trackRevisions>false</trackRevisions>
    </reviewItem>
    <reviewItem>
      <errorID>da2bef7c-1d02-4785-8ee9-c98e1267a691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57699B2C</paraID>
      <start>6</start>
      <end>7</end>
      <status>modified</status>
      <modifiedWord>—</modifiedWord>
      <trackRevisions>false</trackRevisions>
    </reviewItem>
    <reviewItem>
      <errorID>9c9f31ad-8f11-435d-8ae7-f18eef6a76fa</errorID>
      <errorWord>(</errorWord>
      <group>L1_Format</group>
      <groupName>格式问题</groupName>
      <ability>L2_HalfPunc_CN</ability>
      <abilityName>全半角问题</abilityName>
      <candidateList>
        <item>（</item>
      </candidateList>
      <explain>文本全半角错误。</explain>
      <paraID>436D917F</paraID>
      <start>13</start>
      <end>14</end>
      <status>modified</status>
      <modifiedWord>（</modifiedWord>
      <trackRevisions>false</trackRevisions>
    </reviewItem>
    <reviewItem>
      <errorID>722c88f3-bb7b-48f0-b28f-7edb255e637b</errorID>
      <errorWord>)</errorWord>
      <group>L1_Format</group>
      <groupName>格式问题</groupName>
      <ability>L2_HalfPunc_CN</ability>
      <abilityName>全半角问题</abilityName>
      <candidateList>
        <item>）</item>
      </candidateList>
      <explain>文本全半角错误。</explain>
      <paraID>436D917F</paraID>
      <start>19</start>
      <end>20</end>
      <status>modified</status>
      <modifiedWord>）</modifiedWord>
      <trackRevisions>false</trackRevisions>
    </reviewItem>
    <reviewItem>
      <errorID>240062b5-b25f-4dc5-aa5d-f6ce1f023410</errorID>
      <errorWord>(</errorWord>
      <group>L1_Format</group>
      <groupName>格式问题</groupName>
      <ability>L2_HalfPunc_CN</ability>
      <abilityName>全半角问题</abilityName>
      <candidateList>
        <item>（</item>
      </candidateList>
      <explain>文本全半角错误。</explain>
      <paraID>3913401D</paraID>
      <start>13</start>
      <end>14</end>
      <status>modified</status>
      <modifiedWord>（</modifiedWord>
      <trackRevisions>false</trackRevisions>
    </reviewItem>
    <reviewItem>
      <errorID>6f7fd9cd-bc7e-4c33-bda5-927b856dc6be</errorID>
      <errorWord>)</errorWord>
      <group>L1_Format</group>
      <groupName>格式问题</groupName>
      <ability>L2_HalfPunc_CN</ability>
      <abilityName>全半角问题</abilityName>
      <candidateList>
        <item>）</item>
      </candidateList>
      <explain>文本全半角错误。</explain>
      <paraID>3913401D</paraID>
      <start>18</start>
      <end>19</end>
      <status>modified</status>
      <modifiedWord>）</modifiedWord>
      <trackRevisions>false</trackRevisions>
    </reviewItem>
    <reviewItem>
      <errorID>2dcd8694-7693-4cad-8869-ca7293ae727b</errorID>
      <errorWord>,</errorWord>
      <group>L1_Format</group>
      <groupName>格式问题</groupName>
      <ability>L2_HalfPunc_CN</ability>
      <abilityName>全半角问题</abilityName>
      <candidateList>
        <item>，</item>
      </candidateList>
      <explain>文本全半角错误。</explain>
      <paraID>2412B7EB</paraID>
      <start>23</start>
      <end>24</end>
      <status>modified</status>
      <modifiedWord>，</modifiedWord>
      <trackRevisions>false</trackRevisions>
    </reviewItem>
    <reviewItem>
      <errorID>9d77da61-d8ab-4cb8-bd74-32ae6fa58690</errorID>
      <errorWord>,</errorWord>
      <group>L1_Format</group>
      <groupName>格式问题</groupName>
      <ability>L2_HalfPunc_CN</ability>
      <abilityName>全半角问题</abilityName>
      <candidateList>
        <item>，</item>
      </candidateList>
      <explain>文本全半角错误。</explain>
      <paraID> 7CCED4B</paraID>
      <start>23</start>
      <end>24</end>
      <status>modified</status>
      <modifiedWord>，</modifiedWord>
      <trackRevisions>false</trackRevisions>
    </reviewItem>
    <reviewItem>
      <errorID>1c7dbf0b-7150-43ec-9e0d-657bb9099ee8</errorID>
      <errorWord>：</errorWord>
      <group>L1_Format</group>
      <groupName>格式问题</groupName>
      <ability>L2_HalfPunc_CN</ability>
      <abilityName>全半角问题</abilityName>
      <candidateList>
        <item>:</item>
      </candidateList>
      <explain>文本全半角错误。</explain>
      <paraID>2BB16624</paraID>
      <start>4</start>
      <end>5</end>
      <status>modified</status>
      <modifiedWord>:</modifiedWord>
      <trackRevisions>false</trackRevisions>
    </reviewItem>
    <reviewItem>
      <errorID>c6d75e3a-30ae-4399-9a45-989356071fd5</errorID>
      <errorWord>（</errorWord>
      <group>L1_Format</group>
      <groupName>格式问题</groupName>
      <ability>L2_HalfPunc_CN</ability>
      <abilityName>全半角问题</abilityName>
      <candidateList>
        <item>(</item>
      </candidateList>
      <explain>文本全半角错误。</explain>
      <paraID>2BB16624</paraID>
      <start>10</start>
      <end>11</end>
      <status>modified</status>
      <modifiedWord>(</modifiedWord>
      <trackRevisions>false</trackRevisions>
    </reviewItem>
    <reviewItem>
      <errorID>66a84c0b-ba4a-4774-a296-3e7e7cd541ea</errorID>
      <errorWord>，</errorWord>
      <group>L1_Format</group>
      <groupName>格式问题</groupName>
      <ability>L2_HalfPunc_CN</ability>
      <abilityName>全半角问题</abilityName>
      <candidateList>
        <item>,</item>
      </candidateList>
      <explain>文本全半角错误。</explain>
      <paraID>2BB16624</paraID>
      <start>20</start>
      <end>21</end>
      <status>modified</status>
      <modifiedWord>,</modifiedWord>
      <trackRevisions>false</trackRevisions>
    </reviewItem>
    <reviewItem>
      <errorID>696b6bbe-0a90-4c27-a590-371b72fccbca</errorID>
      <errorWord>，</errorWord>
      <group>L1_Format</group>
      <groupName>格式问题</groupName>
      <ability>L2_HalfPunc_CN</ability>
      <abilityName>全半角问题</abilityName>
      <candidateList>
        <item>,</item>
      </candidateList>
      <explain>文本全半角错误。</explain>
      <paraID>2BB16624</paraID>
      <start>30</start>
      <end>31</end>
      <status>modified</status>
      <modifiedWord>,</modifiedWord>
      <trackRevisions>false</trackRevisions>
    </reviewItem>
    <reviewItem>
      <errorID>3d146584-f4d4-4f2e-8329-08f4d4cf1dad</errorID>
      <errorWord>，</errorWord>
      <group>L1_Format</group>
      <groupName>格式问题</groupName>
      <ability>L2_HalfPunc_CN</ability>
      <abilityName>全半角问题</abilityName>
      <candidateList>
        <item>,</item>
      </candidateList>
      <explain>文本全半角错误。</explain>
      <paraID>2BB16624</paraID>
      <start>40</start>
      <end>41</end>
      <status>modified</status>
      <modifiedWord>,</modifiedWord>
      <trackRevisions>false</trackRevisions>
    </reviewItem>
    <reviewItem>
      <errorID>b2f399a8-2fb9-4b68-9c59-46a918889b74</errorID>
      <errorWord>，</errorWord>
      <group>L1_Format</group>
      <groupName>格式问题</groupName>
      <ability>L2_HalfPunc_CN</ability>
      <abilityName>全半角问题</abilityName>
      <candidateList>
        <item>,</item>
      </candidateList>
      <explain>文本全半角错误。</explain>
      <paraID>2BB16624</paraID>
      <start>49</start>
      <end>50</end>
      <status>modified</status>
      <modifiedWord>,</modifiedWord>
      <trackRevisions>false</trackRevisions>
    </reviewItem>
    <reviewItem>
      <errorID>68333ac1-8aaa-4f02-8b19-b5ab7dc94ae5</errorID>
      <errorWord>）；</errorWord>
      <group>L1_Format</group>
      <groupName>格式问题</groupName>
      <ability>L2_HalfPunc_CN</ability>
      <abilityName>全半角问题</abilityName>
      <candidateList>
        <item>);</item>
      </candidateList>
      <explain>文本全半角错误。</explain>
      <paraID>2BB16624</paraID>
      <start>58</start>
      <end>60</end>
      <status>modified</status>
      <modifiedWord>);</modifiedWord>
      <trackRevisions>false</trackRevisions>
    </reviewItem>
    <reviewItem>
      <errorID>4fb180b9-f9e1-4aa5-a9c4-dcb9315b0789</errorID>
      <errorWord>;</errorWord>
      <group>L1_Format</group>
      <groupName>格式问题</groupName>
      <ability>L2_HalfPunc_CN</ability>
      <abilityName>全半角问题</abilityName>
      <candidateList>
        <item>；</item>
      </candidateList>
      <explain>文本全半角错误。</explain>
      <paraID>5D2D752D</paraID>
      <start>11</start>
      <end>12</end>
      <status>modified</status>
      <modifiedWord>；</modifiedWord>
      <trackRevisions>false</trackRevisions>
    </reviewItem>
    <reviewItem>
      <errorID>c44c2c6e-d666-43cd-989c-7f1d484f7a81</errorID>
      <errorWord>更新</errorWord>
      <group>L1_Word</group>
      <groupName>字词问题</groupName>
      <ability>L2_Typo</ability>
      <abilityName>字词错误</abilityName>
      <candidateList>
        <item>更</item>
      </candidateList>
      <explain/>
      <paraID>43170C73</paraID>
      <start>45</start>
      <end>46</end>
      <status>modified</status>
      <modifiedWord>更</modifiedWord>
      <trackRevisions>false</trackRevisions>
    </reviewItem>
    <reviewItem>
      <errorID>faaffac3-76a2-4370-a058-c39d1291ffa6</errorID>
      <errorWord>(</errorWord>
      <group>L1_Format</group>
      <groupName>格式问题</groupName>
      <ability>L2_HalfPunc_CN</ability>
      <abilityName>全半角问题</abilityName>
      <candidateList>
        <item>（</item>
      </candidateList>
      <explain>文本全半角错误。</explain>
      <paraID>757D395B</paraID>
      <start>19</start>
      <end>20</end>
      <status>modified</status>
      <modifiedWord>（</modifiedWord>
      <trackRevisions>false</trackRevisions>
    </reviewItem>
    <reviewItem>
      <errorID>7c29f5d7-e8cc-4fec-83bb-4e98d2fbac36</errorID>
      <errorWord>)</errorWord>
      <group>L1_Format</group>
      <groupName>格式问题</groupName>
      <ability>L2_HalfPunc_CN</ability>
      <abilityName>全半角问题</abilityName>
      <candidateList>
        <item>）</item>
      </candidateList>
      <explain>文本全半角错误。</explain>
      <paraID>757D395B</paraID>
      <start>25</start>
      <end>26</end>
      <status>modified</status>
      <modifiedWord>）</modifiedWord>
      <trackRevisions>false</trackRevisions>
    </reviewItem>
    <reviewItem>
      <errorID>01f8c73e-db0d-4f01-9742-b1047729eb97</errorID>
      <errorWord>(</errorWord>
      <group>L1_Format</group>
      <groupName>格式问题</groupName>
      <ability>L2_HalfPunc_CN</ability>
      <abilityName>全半角问题</abilityName>
      <candidateList>
        <item>（</item>
      </candidateList>
      <explain>文本全半角错误。</explain>
      <paraID> C04F1B4</paraID>
      <start>15</start>
      <end>16</end>
      <status>modified</status>
      <modifiedWord>（</modifiedWord>
      <trackRevisions>false</trackRevisions>
    </reviewItem>
    <reviewItem>
      <errorID>d7cccc7e-c05e-4d32-8c47-6fe5269236ad</errorID>
      <errorWord>)</errorWord>
      <group>L1_Format</group>
      <groupName>格式问题</groupName>
      <ability>L2_HalfPunc_CN</ability>
      <abilityName>全半角问题</abilityName>
      <candidateList>
        <item>）</item>
      </candidateList>
      <explain>文本全半角错误。</explain>
      <paraID> C04F1B4</paraID>
      <start>21</start>
      <end>22</end>
      <status>modified</status>
      <modifiedWord>）</modifiedWord>
      <trackRevisions>false</trackRevisions>
    </reviewItem>
    <reviewItem>
      <errorID>ff9c4716-92fd-462c-894a-26c67071309d</errorID>
      <errorWord>(</errorWord>
      <group>L1_Format</group>
      <groupName>格式问题</groupName>
      <ability>L2_HalfPunc_CN</ability>
      <abilityName>全半角问题</abilityName>
      <candidateList>
        <item>（</item>
      </candidateList>
      <explain>文本全半角错误。</explain>
      <paraID>14B02EB2</paraID>
      <start>16</start>
      <end>17</end>
      <status>modified</status>
      <modifiedWord>（</modifiedWord>
      <trackRevisions>false</trackRevisions>
    </reviewItem>
    <reviewItem>
      <errorID>40f94a5d-0589-4fc1-b806-2aac230690bd</errorID>
      <errorWord>)</errorWord>
      <group>L1_Format</group>
      <groupName>格式问题</groupName>
      <ability>L2_HalfPunc_CN</ability>
      <abilityName>全半角问题</abilityName>
      <candidateList>
        <item>）</item>
      </candidateList>
      <explain>文本全半角错误。</explain>
      <paraID>14B02EB2</paraID>
      <start>22</start>
      <end>23</end>
      <status>modified</status>
      <modifiedWord>）</modifiedWord>
      <trackRevisions>false</trackRevisions>
    </reviewItem>
    <reviewItem>
      <errorID>8dc8b786-3c72-415e-be32-1bf8a96c4f4a</errorID>
      <errorWord>(</errorWord>
      <group>L1_Format</group>
      <groupName>格式问题</groupName>
      <ability>L2_HalfPunc_CN</ability>
      <abilityName>全半角问题</abilityName>
      <candidateList>
        <item>（</item>
      </candidateList>
      <explain>文本全半角错误。</explain>
      <paraID>53F2E9FF</paraID>
      <start>13</start>
      <end>14</end>
      <status>modified</status>
      <modifiedWord>（</modifiedWord>
      <trackRevisions>false</trackRevisions>
    </reviewItem>
    <reviewItem>
      <errorID>c5e0bd3e-5015-411e-aef2-b4f205ee551d</errorID>
      <errorWord>)</errorWord>
      <group>L1_Format</group>
      <groupName>格式问题</groupName>
      <ability>L2_HalfPunc_CN</ability>
      <abilityName>全半角问题</abilityName>
      <candidateList>
        <item>）</item>
      </candidateList>
      <explain>文本全半角错误。</explain>
      <paraID>53F2E9FF</paraID>
      <start>18</start>
      <end>19</end>
      <status>modified</status>
      <modifiedWord>）</modifiedWord>
      <trackRevisions>false</trackRevisions>
    </reviewItem>
    <reviewItem>
      <errorID>71c3afdb-692c-4803-afc8-e31f3cb0b770</errorID>
      <errorWord>,</errorWord>
      <group>L1_Format</group>
      <groupName>格式问题</groupName>
      <ability>L2_HalfPunc_CN</ability>
      <abilityName>全半角问题</abilityName>
      <candidateList>
        <item>，</item>
      </candidateList>
      <explain>文本全半角错误。</explain>
      <paraID>47E19C5B</paraID>
      <start>23</start>
      <end>24</end>
      <status>modified</status>
      <modifiedWord>，</modifiedWord>
      <trackRevisions>false</trackRevisions>
    </reviewItem>
    <reviewItem>
      <errorID>8e6dbf82-fadd-47ea-a763-b51ac75633f3</errorID>
      <errorWord>;</errorWord>
      <group>L1_Format</group>
      <groupName>格式问题</groupName>
      <ability>L2_HalfPunc_CN</ability>
      <abilityName>全半角问题</abilityName>
      <candidateList>
        <item>；</item>
      </candidateList>
      <explain>文本全半角错误。</explain>
      <paraID>47E19C5B</paraID>
      <start>28</start>
      <end>29</end>
      <status>modified</status>
      <modifiedWord>；</modifiedWord>
      <trackRevisions>false</trackRevisions>
    </reviewItem>
    <reviewItem>
      <errorID>0c623fae-2ee7-49cf-a061-5a89b6da5426</errorID>
      <errorWord>,</errorWord>
      <group>L1_Format</group>
      <groupName>格式问题</groupName>
      <ability>L2_HalfPunc_CN</ability>
      <abilityName>全半角问题</abilityName>
      <candidateList>
        <item>，</item>
      </candidateList>
      <explain>文本全半角错误。</explain>
      <paraID>18E44EE1</paraID>
      <start>23</start>
      <end>24</end>
      <status>modified</status>
      <modifiedWord>，</modifiedWord>
      <trackRevisions>false</trackRevisions>
    </reviewItem>
    <reviewItem>
      <errorID>0bac4cf6-cf13-40d7-8bd5-aa590ecc06f9</errorID>
      <errorWord>;</errorWord>
      <group>L1_Format</group>
      <groupName>格式问题</groupName>
      <ability>L2_HalfPunc_CN</ability>
      <abilityName>全半角问题</abilityName>
      <candidateList>
        <item>；</item>
      </candidateList>
      <explain>文本全半角错误。</explain>
      <paraID>18E44EE1</paraID>
      <start>28</start>
      <end>29</end>
      <status>modified</status>
      <modifiedWord>；</modifiedWord>
      <trackRevisions>false</trackRevisions>
    </reviewItem>
    <reviewItem>
      <errorID>874c1026-3c7f-4620-8a55-c6784ce3d0cf</errorID>
      <errorWord>)</errorWord>
      <group>L1_Format</group>
      <groupName>格式问题</groupName>
      <ability>L2_HalfPunc_CN</ability>
      <abilityName>全半角问题</abilityName>
      <candidateList>
        <item>）</item>
      </candidateList>
      <explain>文本全半角错误。</explain>
      <paraID>7C19A74A</paraID>
      <start>143</start>
      <end>144</end>
      <status>modified</status>
      <modifiedWord>）</modifiedWord>
      <trackRevisions>false</trackRevisions>
    </reviewItem>
    <reviewItem>
      <errorID>9f8ecffe-28bc-4ee3-aef9-8dba3806b460</errorID>
      <errorWord>（</errorWord>
      <group>L1_Format</group>
      <groupName>格式问题</groupName>
      <ability>L2_HalfPunc_CN</ability>
      <abilityName>全半角问题</abilityName>
      <candidateList>
        <item>(</item>
      </candidateList>
      <explain>文本全半角错误。</explain>
      <paraID>32DA9439</paraID>
      <start>75</start>
      <end>76</end>
      <status>modified</status>
      <modifiedWord>(</modifiedWord>
      <trackRevisions>false</trackRevisions>
    </reviewItem>
    <reviewItem>
      <errorID>b5ae9a88-2581-4a03-ac1a-b43db0083629</errorID>
      <errorWord>)</errorWord>
      <group>L1_Format</group>
      <groupName>格式问题</groupName>
      <ability>L2_HalfPunc_CN</ability>
      <abilityName>全半角问题</abilityName>
      <candidateList>
        <item>）</item>
      </candidateList>
      <explain>文本全半角错误。</explain>
      <paraID>32DA9439</paraID>
      <start>123</start>
      <end>124</end>
      <status>modified</status>
      <modifiedWord>）</modifiedWord>
      <trackRevisions>false</trackRevisions>
    </reviewItem>
    <reviewItem>
      <errorID>c71e74c2-7cde-4e80-b3d5-a259ad69e59e</errorID>
      <errorWord>;</errorWord>
      <group>L1_Format</group>
      <groupName>格式问题</groupName>
      <ability>L2_HalfPunc_CN</ability>
      <abilityName>全半角问题</abilityName>
      <candidateList>
        <item>；</item>
      </candidateList>
      <explain>文本全半角错误。</explain>
      <paraID> 7F9B294</paraID>
      <start>11</start>
      <end>12</end>
      <status>modified</status>
      <modifiedWord>；</modifiedWord>
      <trackRevisions>false</trackRevisions>
    </reviewItem>
    <reviewItem>
      <errorID>7d71996b-31dc-4071-a52c-f96ae9d31f1f</errorID>
      <errorWord>;</errorWord>
      <group>L1_Format</group>
      <groupName>格式问题</groupName>
      <ability>L2_HalfPunc_CN</ability>
      <abilityName>全半角问题</abilityName>
      <candidateList>
        <item>；</item>
      </candidateList>
      <explain>文本全半角错误。</explain>
      <paraID>3F19ED1A</paraID>
      <start>9</start>
      <end>10</end>
      <status>modified</status>
      <modifiedWord>；</modifiedWord>
      <trackRevisions>false</trackRevisions>
    </reviewItem>
    <reviewItem>
      <errorID>b7ad229b-a99f-405f-9ed9-e526b76a84b4</errorID>
      <errorWord>;</errorWord>
      <group>L1_Format</group>
      <groupName>格式问题</groupName>
      <ability>L2_HalfPunc_CN</ability>
      <abilityName>全半角问题</abilityName>
      <candidateList>
        <item>；</item>
      </candidateList>
      <explain>文本全半角错误。</explain>
      <paraID>3F19ED1A</paraID>
      <start>16</start>
      <end>17</end>
      <status>modified</status>
      <modifiedWord>；</modifiedWord>
      <trackRevisions>false</trackRevisions>
    </reviewItem>
    <reviewItem>
      <errorID>4d19cf27-cbbb-45e0-a18d-95e8502a8460</errorID>
      <errorWord>;</errorWord>
      <group>L1_Format</group>
      <groupName>格式问题</groupName>
      <ability>L2_HalfPunc_CN</ability>
      <abilityName>全半角问题</abilityName>
      <candidateList>
        <item>；</item>
      </candidateList>
      <explain>文本全半角错误。</explain>
      <paraID>3F19ED1A</paraID>
      <start>43</start>
      <end>44</end>
      <status>modified</status>
      <modifiedWord>；</modifiedWord>
      <trackRevisions>false</trackRevisions>
    </reviewItem>
    <reviewItem>
      <errorID>dcda9788-478b-4006-a6d2-88dd95e43b37</errorID>
      <errorWord>;</errorWord>
      <group>L1_Format</group>
      <groupName>格式问题</groupName>
      <ability>L2_HalfPunc_CN</ability>
      <abilityName>全半角问题</abilityName>
      <candidateList>
        <item>；</item>
      </candidateList>
      <explain>文本全半角错误。</explain>
      <paraID>3F19ED1A</paraID>
      <start>48</start>
      <end>49</end>
      <status>modified</status>
      <modifiedWord>；</modifiedWord>
      <trackRevisions>false</trackRevisions>
    </reviewItem>
    <reviewItem>
      <errorID>cba4acf5-4a6f-4c17-ad82-e499bcbdb232</errorID>
      <errorWord>(</errorWord>
      <group>L1_Format</group>
      <groupName>格式问题</groupName>
      <ability>L2_HalfPunc_CN</ability>
      <abilityName>全半角问题</abilityName>
      <candidateList>
        <item>（</item>
      </candidateList>
      <explain>文本全半角错误。</explain>
      <paraID>27EF81D7</paraID>
      <start>19</start>
      <end>20</end>
      <status>modified</status>
      <modifiedWord>（</modifiedWord>
      <trackRevisions>false</trackRevisions>
    </reviewItem>
    <reviewItem>
      <errorID>4c64ff0a-619e-44ed-a7c7-19fbef271b03</errorID>
      <errorWord>)</errorWord>
      <group>L1_Format</group>
      <groupName>格式问题</groupName>
      <ability>L2_HalfPunc_CN</ability>
      <abilityName>全半角问题</abilityName>
      <candidateList>
        <item>）</item>
      </candidateList>
      <explain>文本全半角错误。</explain>
      <paraID>27EF81D7</paraID>
      <start>22</start>
      <end>23</end>
      <status>modified</status>
      <modifiedWord>）</modifiedWord>
      <trackRevisions>false</trackRevisions>
    </reviewItem>
    <reviewItem>
      <errorID>b703d662-9ae4-4298-93ac-57bf59ac3db7</errorID>
      <errorWord>开起</errorWord>
      <group>L1_Word</group>
      <groupName>字词问题</groupName>
      <ability>L2_Typo</ability>
      <abilityName>字词错误</abilityName>
      <candidateList>
        <item>开启</item>
      </candidateList>
      <explain/>
      <paraID>61234C67</paraID>
      <start>17</start>
      <end>19</end>
      <status>modified</status>
      <modifiedWord>开启</modifiedWord>
      <trackRevisions>false</trackRevisions>
    </reviewItem>
    <reviewItem>
      <errorID>7cd78cb8-b5c7-4bb1-af31-0ccbc38f0291</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3E322752</paraID>
      <start>5</start>
      <end>10</end>
      <status>modified</status>
      <modifiedWord>0～90%</modifiedWord>
      <trackRevisions>false</trackRevisions>
    </reviewItem>
    <reviewItem>
      <errorID>b6aa3040-347e-4b8c-944d-1071587a01a4</errorID>
      <errorWord>：</errorWord>
      <group>L1_Format</group>
      <groupName>格式问题</groupName>
      <ability>L2_HalfPunc_CN</ability>
      <abilityName>全半角问题</abilityName>
      <candidateList>
        <item>:</item>
      </candidateList>
      <explain>文本全半角错误。</explain>
      <paraID>679F07C7</paraID>
      <start>8</start>
      <end>9</end>
      <status>modified</status>
      <modifiedWord>:</modifiedWord>
      <trackRevisions>false</trackRevisions>
    </reviewItem>
    <reviewItem>
      <errorID>408bcb00-a6a0-4220-a0b4-035416f88d48</errorID>
      <errorWord>,</errorWord>
      <group>L1_Format</group>
      <groupName>格式问题</groupName>
      <ability>L2_HalfPunc_CN</ability>
      <abilityName>全半角问题</abilityName>
      <candidateList>
        <item>，</item>
      </candidateList>
      <explain>文本全半角错误。</explain>
      <paraID>58315A15</paraID>
      <start>31</start>
      <end>32</end>
      <status>modified</status>
      <modifiedWord>，</modifiedWord>
      <trackRevisions>false</trackRevisions>
    </reviewItem>
    <reviewItem>
      <errorID>2551c304-eb8e-4db7-ab5d-b982dfdf9cba</errorID>
      <errorWord>(</errorWord>
      <group>L1_Format</group>
      <groupName>格式问题</groupName>
      <ability>L2_HalfPunc_CN</ability>
      <abilityName>全半角问题</abilityName>
      <candidateList>
        <item>（</item>
      </candidateList>
      <explain>文本全半角错误。</explain>
      <paraID>458E0A89</paraID>
      <start>3</start>
      <end>4</end>
      <status>modified</status>
      <modifiedWord>（</modifiedWord>
      <trackRevisions>false</trackRevisions>
    </reviewItem>
    <reviewItem>
      <errorID>b82cb427-3b79-423a-a2e9-4c6992e3ac96</errorID>
      <errorWord>)</errorWord>
      <group>L1_Format</group>
      <groupName>格式问题</groupName>
      <ability>L2_HalfPunc_CN</ability>
      <abilityName>全半角问题</abilityName>
      <candidateList>
        <item>）</item>
      </candidateList>
      <explain>文本全半角错误。</explain>
      <paraID>458E0A89</paraID>
      <start>49</start>
      <end>50</end>
      <status>modified</status>
      <modifiedWord>）</modifiedWord>
      <trackRevisions>false</trackRevisions>
    </reviewItem>
    <reviewItem>
      <errorID>88f8061c-eb10-4986-887c-baa4997dc579</errorID>
      <errorWord>:</errorWord>
      <group>L1_Format</group>
      <groupName>格式问题</groupName>
      <ability>L2_HalfPunc_CN</ability>
      <abilityName>全半角问题</abilityName>
      <candidateList>
        <item>：</item>
      </candidateList>
      <explain>文本全半角错误。</explain>
      <paraID> 2393A13</paraID>
      <start>7</start>
      <end>8</end>
      <status>modified</status>
      <modifiedWord>：</modifiedWord>
      <trackRevisions>false</trackRevisions>
    </reviewItem>
    <reviewItem>
      <errorID>7f0d50c6-d20b-43e3-942f-b6a65ecbb2cf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87932F1</paraID>
      <start>7</start>
      <end>8</end>
      <status>modified</status>
      <modifiedWord>—</modifiedWord>
      <trackRevisions>false</trackRevisions>
    </reviewItem>
    <reviewItem>
      <errorID>e5cacdd5-4533-4897-a71b-7df508154857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7F8B2627</paraID>
      <start>0</start>
      <end>2</end>
      <status>modified</status>
      <modifiedWord>1.</modifiedWord>
      <trackRevisions>false</trackRevisions>
    </reviewItem>
    <reviewItem>
      <errorID>677e28a0-07a1-4e92-9cb1-fade60e17118</errorID>
      <errorWord>配备</errorWord>
      <group>L1_Grammar</group>
      <groupName>语法问题</groupName>
      <ability>L2_Grammar</ability>
      <abilityName>语法错误</abilityName>
      <candidateList>
        <item>搭载</item>
      </candidateList>
      <explain>“配备～项目”搭配不当，建议修改为“搭载～项目”。</explain>
      <paraID>   D1822</paraID>
      <start>8</start>
      <end>10</end>
      <status>unmodified</status>
      <modifiedWord/>
      <trackRevisions>false</trackRevisions>
    </reviewItem>
    <reviewItem>
      <errorID>f3eaa127-97b0-4da3-a0a2-123752f8a4d3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78FE953F</paraID>
      <start>0</start>
      <end>2</end>
      <status>modified</status>
      <modifiedWord>2.</modifiedWord>
      <trackRevisions>false</trackRevisions>
    </reviewItem>
    <reviewItem>
      <errorID>7939c826-b6e4-4ed5-a632-296b9bcd4c9c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453B769D</paraID>
      <start>0</start>
      <end>2</end>
      <status>modified</status>
      <modifiedWord>3.</modifiedWord>
      <trackRevisions>false</trackRevisions>
    </reviewItem>
    <reviewItem>
      <errorID>d65db224-3536-414e-a373-58eb643e926e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7F7C8CE</paraID>
      <start>0</start>
      <end>2</end>
      <status>modified</status>
      <modifiedWord>4.</modifiedWord>
      <trackRevisions>false</trackRevisions>
    </reviewItem>
    <reviewItem>
      <errorID>0a4263d4-0cc0-48bc-a8fa-47d77bf47611</errorID>
      <errorWord>准</errorWord>
      <group>L1_Word</group>
      <groupName>字词问题</groupName>
      <ability>L2_Typo</ability>
      <abilityName>字词错误</abilityName>
      <candidateList>
        <item>准和</item>
      </candidateList>
      <explain/>
      <paraID>69C7EB69</paraID>
      <start>95</start>
      <end>96</end>
      <status>unmodified</status>
      <modifiedWord/>
      <trackRevisions>false</trackRevisions>
    </reviewItem>
    <reviewItem>
      <errorID>a1a78a59-c499-4f61-a82d-40b60f4c821f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63AD5853</paraID>
      <start>0</start>
      <end>2</end>
      <status>modified</status>
      <modifiedWord>5.</modifiedWord>
      <trackRevisions>false</trackRevisions>
    </reviewItem>
    <reviewItem>
      <errorID>8a79d9cb-977f-4fd9-b9a0-71b5f08e22a1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3D8D2AF</paraID>
      <start>0</start>
      <end>2</end>
      <status>modified</status>
      <modifiedWord>6.</modifiedWord>
      <trackRevisions>false</trackRevisions>
    </reviewItem>
    <reviewItem>
      <errorID>c9b35f30-5d3c-4a9a-9369-f2c9eafb380a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47B7124A</paraID>
      <start>0</start>
      <end>2</end>
      <status>modified</status>
      <modifiedWord>7.</modifiedWord>
      <trackRevisions>false</trackRevisions>
    </reviewItem>
    <reviewItem>
      <errorID>a0d99848-99bd-423a-906f-1bd0126ded4e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512B9528</paraID>
      <start>0</start>
      <end>2</end>
      <status>modified</status>
      <modifiedWord>8.</modifiedWord>
      <trackRevisions>false</trackRevisions>
    </reviewItem>
    <reviewItem>
      <errorID>863a9e28-6a5c-4dcc-b552-a77028523d44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6F3AAEA7</paraID>
      <start>0</start>
      <end>2</end>
      <status>modified</status>
      <modifiedWord>1.</modifiedWord>
      <trackRevisions>false</trackRevisions>
    </reviewItem>
    <reviewItem>
      <errorID>9a02c8dd-0c49-4b88-8800-937e37330141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6C985D7C</paraID>
      <start>0</start>
      <end>2</end>
      <status>modified</status>
      <modifiedWord>2.</modifiedWord>
      <trackRevisions>false</trackRevisions>
    </reviewItem>
    <reviewItem>
      <errorID>a6001d3b-43c8-4926-badb-6a8f7c13fffe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51421B7D</paraID>
      <start>0</start>
      <end>2</end>
      <status>modified</status>
      <modifiedWord>3.</modifiedWord>
      <trackRevisions>false</trackRevisions>
    </reviewItem>
    <reviewItem>
      <errorID>826fedda-9e74-476f-be62-9934effb8231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221E022B</paraID>
      <start>0</start>
      <end>2</end>
      <status>modified</status>
      <modifiedWord>4.</modifiedWord>
      <trackRevisions>false</trackRevisions>
    </reviewItem>
    <reviewItem>
      <errorID>292ce9a0-bf12-417e-a77d-44192aaad20c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26BDD2E2</paraID>
      <start>0</start>
      <end>2</end>
      <status>modified</status>
      <modifiedWord>5.</modifiedWord>
      <trackRevisions>false</trackRevisions>
    </reviewItem>
    <reviewItem>
      <errorID>cac2b6cf-76aa-4c05-86ee-5d2c2e305e7f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21FAAAB9</paraID>
      <start>0</start>
      <end>2</end>
      <status>modified</status>
      <modifiedWord>6.</modifiedWord>
      <trackRevisions>false</trackRevisions>
    </reviewItem>
    <reviewItem>
      <errorID>eb3e5c15-8957-4d87-8892-3f4678601775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6B9F9F38</paraID>
      <start>0</start>
      <end>2</end>
      <status>modified</status>
      <modifiedWord>7.</modifiedWord>
      <trackRevisions>false</trackRevisions>
    </reviewItem>
    <reviewItem>
      <errorID>bc418c28-0497-4be0-83ff-ea1bdca6777d</errorID>
      <errorWord>的</errorWord>
      <group>L1_Word</group>
      <groupName>字词问题</groupName>
      <ability>L2_DDD</ability>
      <abilityName>的地得用法</abilityName>
      <candidateList>
        <item>地</item>
      </candidateList>
      <explain/>
      <paraID>6B9F9F38</paraID>
      <start>127</start>
      <end>128</end>
      <status>modified</status>
      <modifiedWord>地</modifiedWord>
      <trackRevisions>false</trackRevisions>
    </reviewItem>
    <reviewItem>
      <errorID>1dfd67bb-8494-4fff-9ef6-b4940f5e2a86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7EAA5EDF</paraID>
      <start>0</start>
      <end>2</end>
      <status>modified</status>
      <modifiedWord>8.</modifiedWord>
      <trackRevisions>false</trackRevisions>
    </reviewItem>
    <reviewItem>
      <errorID>e539ede8-2746-43ba-b364-43b96be1b1db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DA1A6A</paraID>
      <start>0</start>
      <end>2</end>
      <status>modified</status>
      <modifiedWord>9.</modifiedWord>
      <trackRevisions>false</trackRevisions>
    </reviewItem>
    <reviewItem>
      <errorID>35929b02-6b9e-4049-b0e2-b4ad45229b24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DA1A6A</paraID>
      <start>117</start>
      <end>120</end>
      <status>unmodified</status>
      <modifiedWord/>
      <trackRevisions>false</trackRevisions>
    </reviewItem>
    <reviewItem>
      <errorID>2fd51432-407d-4ab9-b3d9-8f0d738901d3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4193282C</paraID>
      <start>0</start>
      <end>3</end>
      <status>modified</status>
      <modifiedWord>10.</modifiedWord>
      <trackRevisions>false</trackRevisions>
    </reviewItem>
    <reviewItem>
      <errorID>219c4a54-136a-4897-a42c-0de73c1eb862</errorID>
      <errorWord>(</errorWord>
      <group>L1_Format</group>
      <groupName>格式问题</groupName>
      <ability>L2_HalfPunc_CN</ability>
      <abilityName>全半角问题</abilityName>
      <candidateList>
        <item>（</item>
      </candidateList>
      <explain>文本全半角错误。</explain>
      <paraID>1CA918AE</paraID>
      <start>74</start>
      <end>75</end>
      <status>modified</status>
      <modifiedWord>（</modifiedWord>
      <trackRevisions>false</trackRevisions>
    </reviewItem>
    <reviewItem>
      <errorID>7ffb0da5-1c1c-444e-b110-370f3c076ba8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21DF096B</paraID>
      <start>0</start>
      <end>3</end>
      <status>modified</status>
      <modifiedWord>11.</modifiedWord>
      <trackRevisions>false</trackRevisions>
    </reviewItem>
    <reviewItem>
      <errorID>f9b989bd-68d6-4b70-93dc-0216e10dfefb</errorID>
      <errorWord>使用的法律</errorWord>
      <group>L1_Word</group>
      <groupName>字词问题</groupName>
      <ability>L2_Typo</ability>
      <abilityName>字词错误</abilityName>
      <candidateList>
        <item>适用的法律</item>
      </candidateList>
      <explain/>
      <paraID>28DED204</paraID>
      <start>25</start>
      <end>30</end>
      <status>modified</status>
      <modifiedWord>适用的法律</modifiedWord>
      <trackRevisions>false</trackRevisions>
    </reviewItem>
    <reviewItem>
      <errorID>905d3b20-3be9-4b98-b073-6120ef1d90c9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638D65E1</paraID>
      <start>32</start>
      <end>35</end>
      <status>unmodified</status>
      <modifiedWord/>
      <trackRevisions>false</trackRevisions>
    </reviewItem>
    <reviewItem>
      <errorID>765313cd-d81f-48eb-a49b-35f20a09c62a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380A2ED9</paraID>
      <start>23</start>
      <end>25</end>
      <status>modified</status>
      <modifiedWord>》《</modifiedWord>
      <trackRevisions>false</trackRevisions>
    </reviewItem>
    <reviewItem>
      <errorID>6bcd33df-3a2c-4537-9e53-6b704fd21e65</errorID>
      <errorWord>基准里</errorWord>
      <group>L1_Word</group>
      <groupName>字词问题</groupName>
      <ability>L2_Typo</ability>
      <abilityName>字词错误</abilityName>
      <candidateList>
        <item>基准值</item>
      </candidateList>
      <explain/>
      <paraID>143010B0</paraID>
      <start>73</start>
      <end>76</end>
      <status>modified</status>
      <modifiedWord>基准值</modifiedWord>
      <trackRevisions>false</trackRevisions>
    </reviewItem>
    <reviewItem>
      <errorID>a07170a2-df1c-4b43-9d69-b7a614d2b435</errorID>
      <errorWord>因为</errorWord>
      <group>L1_Word</group>
      <groupName>字词问题</groupName>
      <ability>L2_Typo</ability>
      <abilityName>字词错误</abilityName>
      <candidateList>
        <item>因</item>
      </candidateList>
      <explain/>
      <paraID>34B692E6</paraID>
      <start>32</start>
      <end>33</end>
      <status>modified</status>
      <modifiedWord>因</modifiedWord>
      <trackRevisions>false</trackRevisions>
    </reviewItem>
    <reviewItem>
      <errorID>5d4352f5-86d9-49fc-98e4-076d7b6e230c</errorID>
      <errorWord>单位的</errorWord>
      <group>L1_Word</group>
      <groupName>字词问题</groupName>
      <ability>L2_Typo</ability>
      <abilityName>字词错误</abilityName>
      <candidateList>
        <item>单位</item>
      </candidateList>
      <explain/>
      <paraID>5F0DCF5C</paraID>
      <start>5</start>
      <end>7</end>
      <status>modified</status>
      <modifiedWord>单位</modifiedWord>
      <trackRevisions>false</trackRevisions>
    </reviewItem>
    <reviewItem>
      <errorID>32282549-6f8d-491b-a4e0-2c5e81216798</errorID>
      <errorWord>本次本次</errorWord>
      <group>L1_Word</group>
      <groupName>字词问题</groupName>
      <ability>L2_Typo</ability>
      <abilityName>字词错误</abilityName>
      <candidateList>
        <item>本次</item>
      </candidateList>
      <explain/>
      <paraID>5F0DCF5C</paraID>
      <start>156</start>
      <end>158</end>
      <status>modified</status>
      <modifiedWord>本次</modifiedWord>
      <trackRevisions>false</trackRevisions>
    </reviewItem>
    <reviewItem>
      <errorID>add969af-1910-4456-93d3-6c8e0427cd10</errorID>
      <errorWord>泰州泰州</errorWord>
      <group>L1_Word</group>
      <groupName>字词问题</groupName>
      <ability>L2_Typo</ability>
      <abilityName>字词错误</abilityName>
      <candidateList>
        <item>泰州</item>
      </candidateList>
      <explain/>
      <paraID>69856FBF</paraID>
      <start>0</start>
      <end>2</end>
      <status>modified</status>
      <modifiedWord>泰州</modifiedWord>
      <trackRevisions>false</trackRevisions>
    </reviewItem>
    <reviewItem>
      <errorID>18a1899b-611d-4626-a766-67a652eda47d</errorID>
      <errorWord>,</errorWord>
      <group>L1_Format</group>
      <groupName>格式问题</groupName>
      <ability>L2_HalfPunc_CN</ability>
      <abilityName>全半角问题</abilityName>
      <candidateList>
        <item>，</item>
      </candidateList>
      <explain>文本全半角错误。</explain>
      <paraID>36E44D17</paraID>
      <start>48</start>
      <end>49</end>
      <status>modified</status>
      <modifiedWord>，</modifiedWord>
      <trackRevisions>false</trackRevisions>
    </reviewItem>
    <reviewItem>
      <errorID>0c5e6671-b062-4c40-81fc-d4cd19ef29f3</errorID>
      <errorWord>1号</errorWord>
      <group>L1_Knowledge</group>
      <groupName>知识性问题</groupName>
      <ability>L2_Time</ability>
      <abilityName>日期时间</abilityName>
      <candidateList>
        <item>1日</item>
      </candidateList>
      <explain>日期表达规范为x月x日。</explain>
      <paraID> E589A5D</paraID>
      <start>83</start>
      <end>85</end>
      <status>modified</status>
      <modifiedWord>1日</modifiedWord>
      <trackRevisions>false</trackRevisions>
    </reviewItem>
    <reviewItem>
      <errorID>ff0c5b3d-98d4-4f7b-a9bb-0a56d0e39b7a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7FC2881A</paraID>
      <start>0</start>
      <end>2</end>
      <status>modified</status>
      <modifiedWord>1.</modifiedWord>
      <trackRevisions>false</trackRevisions>
    </reviewItem>
    <reviewItem>
      <errorID>6d06c8d9-0e1f-45b7-bd80-a05564493a02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2609A9C8</paraID>
      <start>0</start>
      <end>2</end>
      <status>modified</status>
      <modifiedWord>2.</modifiedWord>
      <trackRevisions>false</trackRevisions>
    </reviewItem>
    <reviewItem>
      <errorID>72676f25-797f-4686-9146-a80900786459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342C20F</paraID>
      <start>0</start>
      <end>2</end>
      <status>modified</status>
      <modifiedWord>3.</modifiedWord>
      <trackRevisions>false</trackRevisions>
    </reviewItem>
    <reviewItem>
      <errorID>b2ad2d05-8b2a-47d6-bd05-9981a28d9ca8</errorID>
      <errorWord>应为</errorWord>
      <group>L1_Word</group>
      <groupName>字词问题</groupName>
      <ability>L2_Typo</ability>
      <abilityName>字词错误</abilityName>
      <candidateList>
        <item>为</item>
      </candidateList>
      <explain/>
      <paraID>18D0F4AA</paraID>
      <start>62</start>
      <end>63</end>
      <status>modified</status>
      <modifiedWord>为</modifiedWord>
      <trackRevisions>false</trackRevisions>
    </reviewItem>
    <reviewItem>
      <errorID>471833ad-2c42-45b7-bc60-70690440cd0c</errorID>
      <errorWord>况</errorWord>
      <group>L1_Word</group>
      <groupName>字词问题</groupName>
      <ability>L2_Typo</ability>
      <abilityName>字词错误</abilityName>
      <candidateList>
        <item>况下</item>
      </candidateList>
      <explain/>
      <paraID>5D215E2B</paraID>
      <start>21</start>
      <end>23</end>
      <status>modified</status>
      <modifiedWord>况下</modifiedWord>
      <trackRevisions>false</trackRevisions>
    </reviewItem>
    <reviewItem>
      <errorID>5ed83490-ef4b-4805-9182-840f4607a7b2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DE21A6</paraID>
      <start>0</start>
      <end>2</end>
      <status>modified</status>
      <modifiedWord>1.</modifiedWord>
      <trackRevisions>false</trackRevisions>
    </reviewItem>
    <reviewItem>
      <errorID>87f0387c-8fc8-44f6-a6f3-5faa8fc73b2f</errorID>
      <errorWord>采用宜</errorWord>
      <group>L1_Word</group>
      <groupName>字词问题</groupName>
      <ability>L2_Typo</ability>
      <abilityName>字词错误</abilityName>
      <candidateList>
        <item>采用</item>
      </candidateList>
      <explain/>
      <paraID>4055129B</paraID>
      <start>7</start>
      <end>9</end>
      <status>modified</status>
      <modifiedWord>采用</modifiedWord>
      <trackRevisions>false</trackRevisions>
    </reviewItem>
    <reviewItem>
      <errorID>1bb062cf-b281-4dec-87af-934f58b40ecc</errorID>
      <errorWord>的</errorWord>
      <group>L1_Word</group>
      <groupName>字词问题</groupName>
      <ability>L2_DDD</ability>
      <abilityName>的地得用法</abilityName>
      <candidateList>
        <item>地</item>
      </candidateList>
      <explain/>
      <paraID>67E4F7DB</paraID>
      <start>30</start>
      <end>31</end>
      <status>modified</status>
      <modifiedWord>地</modifiedWord>
      <trackRevisions>false</trackRevisions>
    </reviewItem>
    <reviewItem>
      <errorID>f1446968-4f19-4b84-b9d3-e3aaeceec4e0</errorID>
      <errorWord>双碳目标</errorWord>
      <group>L1_Political</group>
      <groupName>政治性问题</groupName>
      <ability>L2_Keyword</ability>
      <abilityName>固定表述</abilityName>
      <candidateList>
        <item>“双碳”目标</item>
      </candidateList>
      <explain>注意检查当前固定表述标点是否使用规范。</explain>
      <paraID>229365DC</paraID>
      <start>43</start>
      <end>47</end>
      <status>unmodified</status>
      <modifiedWord/>
      <trackRevisions>false</trackRevisions>
    </reviewItem>
    <reviewItem>
      <errorID>525f7a18-09f5-447c-a1b9-14af1f354fbf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67F065E3</paraID>
      <start>0</start>
      <end>3</end>
      <status>modified</status>
      <modifiedWord>（1）</modifiedWord>
      <trackRevisions>false</trackRevisions>
    </reviewItem>
    <reviewItem>
      <errorID>96607950-87c9-424f-9f25-2124157618ff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17578040</paraID>
      <start>0</start>
      <end>3</end>
      <status>modified</status>
      <modifiedWord>（2）</modifiedWord>
      <trackRevisions>false</trackRevisions>
    </reviewItem>
    <reviewItem>
      <errorID>ccf22f13-c7cb-469a-aec9-130721ff04a7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400F82ED</paraID>
      <start>0</start>
      <end>3</end>
      <status>modified</status>
      <modifiedWord>（3）</modifiedWord>
      <trackRevisions>false</trackRevisions>
    </reviewItem>
    <reviewItem>
      <errorID>0b427c7c-23aa-4f2c-8916-cc47108278ac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74BF92FD</paraID>
      <start>0</start>
      <end>3</end>
      <status>modified</status>
      <modifiedWord>（4）</modifiedWord>
      <trackRevisions>false</trackRevisions>
    </reviewItem>
    <reviewItem>
      <errorID>b1a8e36a-6373-4d00-a9b1-c723d7b33a55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AE147C2</paraID>
      <start>0</start>
      <end>3</end>
      <status>modified</status>
      <modifiedWord>（5）</modifiedWord>
      <trackRevisions>false</trackRevisions>
    </reviewItem>
    <reviewItem>
      <errorID>4701c7f1-10f2-484b-806a-36b87a84eaf1</errorID>
      <errorWord>排</errorWord>
      <group>L1_Word</group>
      <groupName>字词问题</groupName>
      <ability>L2_Typo</ability>
      <abilityName>字词错误</abilityName>
      <candidateList>
        <item>排放</item>
      </candidateList>
      <explain/>
      <paraID> AE147C2</paraID>
      <start>4</start>
      <end>5</end>
      <status>unmodified</status>
      <modifiedWord/>
      <trackRevisions>false</trackRevisions>
    </reviewItem>
    <reviewItem>
      <errorID>c7b61522-fb45-420a-8aba-c4a6e6956acb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25B09474</paraID>
      <start>0</start>
      <end>3</end>
      <status>modified</status>
      <modifiedWord>（1）</modifiedWord>
      <trackRevisions>false</trackRevisions>
    </reviewItem>
    <reviewItem>
      <errorID>8b853c13-2fc5-4068-a9b1-0e9b341b006f</errorID>
      <errorWord>实时</errorWord>
      <group>L1_Word</group>
      <groupName>字词问题</groupName>
      <ability>L2_Typo</ability>
      <abilityName>字词错误</abilityName>
      <candidateList>
        <item>实施</item>
      </candidateList>
      <explain/>
      <paraID>70414F72</paraID>
      <start>12</start>
      <end>14</end>
      <status>unmodified</status>
      <modifiedWord/>
      <trackRevisions>false</trackRevisions>
    </reviewItem>
    <reviewItem>
      <errorID>e7f4b29b-4d51-40c4-9c14-14ec4a7537af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1918D929</paraID>
      <start>0</start>
      <end>3</end>
      <status>modified</status>
      <modifiedWord>（2）</modifiedWord>
      <trackRevisions>false</trackRevisions>
    </reviewItem>
    <reviewItem>
      <errorID>0782eb2b-6dcb-45f8-b1b7-a67a1705dff0</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22286102</paraID>
      <start>38</start>
      <end>42</end>
      <status>modified</status>
      <modifiedWord>无须设置</modifiedWord>
      <trackRevisions>false</trackRevisions>
    </reviewItem>
    <reviewItem>
      <errorID>faa3b686-958f-4792-a649-67592d2aadbf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27F175D4</paraID>
      <start>0</start>
      <end>3</end>
      <status>modified</status>
      <modifiedWord>（3）</modifiedWord>
      <trackRevisions>false</trackRevisions>
    </reviewItem>
    <reviewItem>
      <errorID>6f727f40-96fe-4140-bb31-79ab3cca3a2b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567F3604</paraID>
      <start>0</start>
      <end>3</end>
      <status>modified</status>
      <modifiedWord>（4）</modifiedWord>
      <trackRevisions>false</trackRevisions>
    </reviewItem>
    <reviewItem>
      <errorID>2b804967-fedf-4601-b6d8-e77d82c52de5</errorID>
      <errorWord>包括不限于</errorWord>
      <group>L1_Word</group>
      <groupName>字词问题</groupName>
      <ability>L2_Typo</ability>
      <abilityName>字词错误</abilityName>
      <candidateList>
        <item>包括但不限于</item>
      </candidateList>
      <explain/>
      <paraID>55B41507</paraID>
      <start>4</start>
      <end>10</end>
      <status>modified</status>
      <modifiedWord>包括但不限于</modifiedWord>
      <trackRevisions>false</trackRevisions>
    </reviewItem>
    <reviewItem>
      <errorID>ff66a976-1626-4753-88c9-b968748d88d7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88CBAD3</paraID>
      <start>0</start>
      <end>3</end>
      <status>modified</status>
      <modifiedWord>（5）</modifiedWord>
      <trackRevisions>false</trackRevisions>
    </reviewItem>
    <reviewItem>
      <errorID>475a5b3a-2d58-4e2b-8c1d-bae06d8619f7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493549A</paraID>
      <start>0</start>
      <end>3</end>
      <status>modified</status>
      <modifiedWord>（6）</modifiedWord>
      <trackRevisions>false</trackRevisions>
    </reviewItem>
    <reviewItem>
      <errorID>07a13c5e-ac99-4251-bd69-13fc5256f8d7</errorID>
      <errorWord>包括不限于</errorWord>
      <group>L1_Word</group>
      <groupName>字词问题</groupName>
      <ability>L2_Typo</ability>
      <abilityName>字词错误</abilityName>
      <candidateList>
        <item>包括但不限于</item>
      </candidateList>
      <explain/>
      <paraID>1A80DB8B</paraID>
      <start>4</start>
      <end>10</end>
      <status>modified</status>
      <modifiedWord>包括但不限于</modifiedWord>
      <trackRevisions>false</trackRevisions>
    </reviewItem>
    <reviewItem>
      <errorID>cdec3497-0cfc-4a24-abac-ee3e79b6822a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35B5D3A3</paraID>
      <start>0</start>
      <end>3</end>
      <status>modified</status>
      <modifiedWord>（7）</modifiedWord>
      <trackRevisions>false</trackRevisions>
    </reviewItem>
    <reviewItem>
      <errorID>0eab914d-67af-4bff-a449-587e0f84cd7d</errorID>
      <errorWord>包括不限于</errorWord>
      <group>L1_Word</group>
      <groupName>字词问题</groupName>
      <ability>L2_Typo</ability>
      <abilityName>字词错误</abilityName>
      <candidateList>
        <item>包括但不限于</item>
      </candidateList>
      <explain/>
      <paraID>5780FF30</paraID>
      <start>4</start>
      <end>10</end>
      <status>modified</status>
      <modifiedWord>包括但不限于</modifiedWord>
      <trackRevisions>false</trackRevisions>
    </reviewItem>
    <reviewItem>
      <errorID>a4cb563d-527b-4689-8926-7f8d59022108</errorID>
      <errorWord>据</errorWord>
      <group>L1_Word</group>
      <groupName>字词问题</groupName>
      <ability>L2_Typo</ability>
      <abilityName>字词错误</abilityName>
      <candidateList>
        <item>据之</item>
      </candidateList>
      <explain/>
      <paraID>6F1FB812</paraID>
      <start>52</start>
      <end>53</end>
      <status>unmodified</status>
      <modifiedWord/>
      <trackRevisions>false</trackRevisions>
    </reviewItem>
    <reviewItem>
      <errorID>5b787e6c-dfbf-4b93-9b2c-02a3757bb7c9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EF6BC3D</paraID>
      <start>0</start>
      <end>2</end>
      <status>modified</status>
      <modifiedWord>2.</modifiedWord>
      <trackRevisions>false</trackRevisions>
    </reviewItem>
    <reviewItem>
      <errorID>ffd2d8f6-cd3f-4c83-b1b8-fc167388db33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12E1B1D9</paraID>
      <start>0</start>
      <end>2</end>
      <status>modified</status>
      <modifiedWord>3.</modifiedWord>
      <trackRevisions>false</trackRevisions>
    </reviewItem>
    <reviewItem>
      <errorID>ba752a2c-530f-482c-94bc-b573d7526b91</errorID>
      <errorWord>(</errorWord>
      <group>L1_Format</group>
      <groupName>格式问题</groupName>
      <ability>L2_HalfPunc_CN</ability>
      <abilityName>全半角问题</abilityName>
      <candidateList>
        <item>（</item>
      </candidateList>
      <explain>文本全半角错误。</explain>
      <paraID>593F9425</paraID>
      <start>8</start>
      <end>9</end>
      <status>modified</status>
      <modifiedWord>（</modifiedWord>
      <trackRevisions>false</trackRevisions>
    </reviewItem>
    <reviewItem>
      <errorID>4878c846-9a84-4b32-96eb-f3fda980399a</errorID>
      <errorWord>)</errorWord>
      <group>L1_Format</group>
      <groupName>格式问题</groupName>
      <ability>L2_HalfPunc_CN</ability>
      <abilityName>全半角问题</abilityName>
      <candidateList>
        <item>）</item>
      </candidateList>
      <explain>文本全半角错误。</explain>
      <paraID>593F9425</paraID>
      <start>13</start>
      <end>14</end>
      <status>modified</status>
      <modifiedWord>）</modifiedWord>
      <trackRevisions>false</trackRevisions>
    </reviewItem>
    <reviewItem>
      <errorID>1ec8baf7-b08d-49be-8e8d-a22c97698702</errorID>
      <errorWord>(</errorWord>
      <group>L1_Format</group>
      <groupName>格式问题</groupName>
      <ability>L2_HalfPunc_CN</ability>
      <abilityName>全半角问题</abilityName>
      <candidateList>
        <item>（</item>
      </candidateList>
      <explain>文本全半角错误。</explain>
      <paraID>593F9425</paraID>
      <start>19</start>
      <end>20</end>
      <status>modified</status>
      <modifiedWord>（</modifiedWord>
      <trackRevisions>false</trackRevisions>
    </reviewItem>
    <reviewItem>
      <errorID>65b8bf35-d502-412c-94b6-9ca7a03995d9</errorID>
      <errorWord>)</errorWord>
      <group>L1_Format</group>
      <groupName>格式问题</groupName>
      <ability>L2_HalfPunc_CN</ability>
      <abilityName>全半角问题</abilityName>
      <candidateList>
        <item>）</item>
      </candidateList>
      <explain>文本全半角错误。</explain>
      <paraID>593F9425</paraID>
      <start>24</start>
      <end>25</end>
      <status>modified</status>
      <modifiedWord>）</modifiedWord>
      <trackRevisions>false</trackRevisions>
    </reviewItem>
    <reviewItem>
      <errorID>378b1bf3-f0ab-4772-bb65-a73922fda98f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4C9DFDC</paraID>
      <start>0</start>
      <end>2</end>
      <status>modified</status>
      <modifiedWord>4.</modifiedWord>
      <trackRevisions>false</trackRevisions>
    </reviewItem>
    <reviewItem>
      <errorID>0b835766-753b-4d15-ac18-1a9dec9d9780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2506AFD0</paraID>
      <start>0</start>
      <end>2</end>
      <status>modified</status>
      <modifiedWord>5.</modifiedWord>
      <trackRevisions>false</trackRevisions>
    </reviewItem>
    <reviewItem>
      <errorID>527b59e9-ebfc-4300-9b3f-4ae438bf6ca3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5D830C38</paraID>
      <start>0</start>
      <end>2</end>
      <status>modified</status>
      <modifiedWord>6.</modifiedWord>
      <trackRevisions>false</trackRevisions>
    </reviewItem>
    <reviewItem>
      <errorID>17c7dda9-8ea1-49e1-8489-b9fd613565b8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69A04DB4</paraID>
      <start>0</start>
      <end>2</end>
      <status>modified</status>
      <modifiedWord>7.</modifiedWord>
      <trackRevisions>false</trackRevisions>
    </reviewItem>
    <reviewItem>
      <errorID>54629b28-4a00-422e-b3cb-d623389a0782</errorID>
      <errorWord>"</errorWord>
      <group>L1_Format</group>
      <groupName>格式问题</groupName>
      <ability>L2_HalfPunc_CN</ability>
      <abilityName>全半角问题</abilityName>
      <candidateList>
        <item>“</item>
      </candidateList>
      <explain>文本全半角错误。</explain>
      <paraID>323A60BD</paraID>
      <start>56</start>
      <end>57</end>
      <status>modified</status>
      <modifiedWord>“</modifiedWord>
      <trackRevisions>false</trackRevisions>
    </reviewItem>
    <reviewItem>
      <errorID>d1083c75-194c-49b0-bebe-60c97ec668c2</errorID>
      <errorWord>"</errorWord>
      <group>L1_Format</group>
      <groupName>格式问题</groupName>
      <ability>L2_HalfPunc_CN</ability>
      <abilityName>全半角问题</abilityName>
      <candidateList>
        <item>”</item>
      </candidateList>
      <explain>文本全半角错误。</explain>
      <paraID>323A60BD</paraID>
      <start>76</start>
      <end>77</end>
      <status>modified</status>
      <modifiedWord>”</modifiedWord>
      <trackRevisions>false</trackRevisions>
    </reviewItem>
    <reviewItem>
      <errorID>ef572eca-7bdd-4e1e-83a6-3233a2b170ed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889558C</paraID>
      <start>0</start>
      <end>2</end>
      <status>modified</status>
      <modifiedWord>8.</modifiedWord>
      <trackRevisions>false</trackRevisions>
    </reviewItem>
    <reviewItem>
      <errorID>151b3501-d6ab-4e44-8e07-076c7bdb136a</errorID>
      <errorWord>"</errorWord>
      <group>L1_Format</group>
      <groupName>格式问题</groupName>
      <ability>L2_HalfPunc_CN</ability>
      <abilityName>全半角问题</abilityName>
      <candidateList>
        <item>“</item>
      </candidateList>
      <explain>文本全半角错误。</explain>
      <paraID> FB7C73D</paraID>
      <start>80</start>
      <end>81</end>
      <status>modified</status>
      <modifiedWord>“</modifiedWord>
      <trackRevisions>false</trackRevisions>
    </reviewItem>
    <reviewItem>
      <errorID>311a61e6-fa2d-40c3-9297-4fe8d777c367</errorID>
      <errorWord>"</errorWord>
      <group>L1_Format</group>
      <groupName>格式问题</groupName>
      <ability>L2_HalfPunc_CN</ability>
      <abilityName>全半角问题</abilityName>
      <candidateList>
        <item>”</item>
      </candidateList>
      <explain>文本全半角错误。</explain>
      <paraID> FB7C73D</paraID>
      <start>91</start>
      <end>92</end>
      <status>modified</status>
      <modifiedWord>”</modifiedWord>
      <trackRevisions>false</trackRevisions>
    </reviewItem>
    <reviewItem>
      <errorID>0423627d-dff2-414d-a3c5-7cc27e2dae3e</errorID>
      <errorWord>"</errorWord>
      <group>L1_Format</group>
      <groupName>格式问题</groupName>
      <ability>L2_HalfPunc_CN</ability>
      <abilityName>全半角问题</abilityName>
      <candidateList>
        <item>“</item>
      </candidateList>
      <explain>文本全半角错误。</explain>
      <paraID> FB7C73D</paraID>
      <start>117</start>
      <end>118</end>
      <status>modified</status>
      <modifiedWord>“</modifiedWord>
      <trackRevisions>false</trackRevisions>
    </reviewItem>
    <reviewItem>
      <errorID>14fe42a6-7c30-4875-8063-0d472d19ec6e</errorID>
      <errorWord>"</errorWord>
      <group>L1_Format</group>
      <groupName>格式问题</groupName>
      <ability>L2_HalfPunc_CN</ability>
      <abilityName>全半角问题</abilityName>
      <candidateList>
        <item>”</item>
      </candidateList>
      <explain>文本全半角错误。</explain>
      <paraID> FB7C73D</paraID>
      <start>127</start>
      <end>128</end>
      <status>modified</status>
      <modifiedWord>”</modifiedWord>
      <trackRevisions>false</trackRevisions>
    </reviewItem>
    <reviewItem>
      <errorID>e2240510-fce5-4984-b5a8-e530deb85c18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62C28253</paraID>
      <start>0</start>
      <end>2</end>
      <status>modified</status>
      <modifiedWord>9.</modifiedWord>
      <trackRevisions>false</trackRevisions>
    </reviewItem>
    <reviewItem>
      <errorID>8051c231-fe1b-490a-a16c-76586a9dc4a4</errorID>
      <errorWord>-</errorWord>
      <group>L1_Format</group>
      <groupName>格式问题</groupName>
      <ability>L2_HalfPunc_CN</ability>
      <abilityName>全半角问题</abilityName>
      <candidateList>
        <item>－</item>
      </candidateList>
      <explain>文本全半角错误。</explain>
      <paraID> F2B44AD</paraID>
      <start>20</start>
      <end>21</end>
      <status>modified</status>
      <modifiedWord>－</modifiedWord>
      <trackRevisions>false</trackRevisions>
    </reviewItem>
    <reviewItem>
      <errorID>b5d23ece-5516-49bc-8729-139ae1d295ca</errorID>
      <errorWord>-</errorWord>
      <group>L1_Format</group>
      <groupName>格式问题</groupName>
      <ability>L2_HalfPunc_CN</ability>
      <abilityName>全半角问题</abilityName>
      <candidateList>
        <item>－</item>
      </candidateList>
      <explain>文本全半角错误。</explain>
      <paraID> F2B44AD</paraID>
      <start>23</start>
      <end>24</end>
      <status>modified</status>
      <modifiedWord>－</modifiedWord>
      <trackRevisions>false</trackRevisions>
    </reviewItem>
    <reviewItem>
      <errorID>03eec227-b337-49ab-ae74-43d224ec16fd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491E0FAD</paraID>
      <start>0</start>
      <end>3</end>
      <status>modified</status>
      <modifiedWord>10.</modifiedWord>
      <trackRevisions>false</trackRevisions>
    </reviewItem>
    <reviewItem>
      <errorID>957b0a5e-55ea-4e85-ab23-60822f02f397</errorID>
      <errorWord>对于</errorWord>
      <group>L1_Word</group>
      <groupName>字词问题</groupName>
      <ability>L2_Typo</ability>
      <abilityName>字词错误</abilityName>
      <candidateList>
        <item>对</item>
      </candidateList>
      <explain/>
      <paraID>2CCD1C48</paraID>
      <start>43</start>
      <end>44</end>
      <status>modified</status>
      <modifiedWord>对</modifiedWord>
      <trackRevisions>false</trackRevisions>
    </reviewItem>
    <reviewItem>
      <errorID>03e7f875-223f-4e60-8770-62b3a27fa3f5</errorID>
      <errorWord>~</errorWord>
      <group>L1_Format</group>
      <groupName>格式问题</groupName>
      <ability>L2_HalfPunc_CN</ability>
      <abilityName>全半角问题</abilityName>
      <candidateList>
        <item>～</item>
      </candidateList>
      <explain>文本全半角错误。</explain>
      <paraID>6C9F8244</paraID>
      <start>10</start>
      <end>11</end>
      <status>modified</status>
      <modifiedWord>～</modifiedWord>
      <trackRevisions>false</trackRevisions>
    </reviewItem>
    <reviewItem>
      <errorID>16f2fa93-b876-4b8a-850c-830d1c4cc991</errorID>
      <errorWord>：</errorWord>
      <group>L1_Format</group>
      <groupName>格式问题</groupName>
      <ability>L2_HalfPunc_CN</ability>
      <abilityName>全半角问题</abilityName>
      <candidateList>
        <item>: </item>
      </candidateList>
      <explain>文本全半角错误。</explain>
      <paraID>186B97D0</paraID>
      <start>3</start>
      <end>5</end>
      <status>modified</status>
      <modifiedWord>: </modifiedWord>
      <trackRevisions>false</trackRevisions>
    </reviewItem>
    <reviewItem>
      <errorID>4c66d8ce-7900-4c0a-8a1c-51567856f9a8</errorID>
      <errorWord>，</errorWord>
      <group>L1_Format</group>
      <groupName>格式问题</groupName>
      <ability>L2_HalfPunc_CN</ability>
      <abilityName>全半角问题</abilityName>
      <candidateList>
        <item>, </item>
      </candidateList>
      <explain>文本全半角错误。</explain>
      <paraID>186B97D0</paraID>
      <start>17</start>
      <end>19</end>
      <status>modified</status>
      <modifiedWord>, </modifiedWord>
      <trackRevisions>false</trackRevisions>
    </reviewItem>
    <reviewItem>
      <errorID>43d5c11b-083f-42fd-85b6-3c3f287d1cc6</errorID>
      <errorWord>；</errorWord>
      <group>L1_Format</group>
      <groupName>格式问题</groupName>
      <ability>L2_HalfPunc_CN</ability>
      <abilityName>全半角问题</abilityName>
      <candidateList>
        <item>;</item>
      </candidateList>
      <explain>文本全半角错误。</explain>
      <paraID>186B97D0</paraID>
      <start>26</start>
      <end>27</end>
      <status>modified</status>
      <modifiedWord>;</modifiedWord>
      <trackRevisions>false</trackRevisions>
    </reviewItem>
    <reviewItem>
      <errorID>5e04c2bb-a85f-4936-82cc-aa75bff37949</errorID>
      <errorWord>~</errorWord>
      <group>L1_Format</group>
      <groupName>格式问题</groupName>
      <ability>L2_HalfPunc_CN</ability>
      <abilityName>全半角问题</abilityName>
      <candidateList>
        <item>～</item>
      </candidateList>
      <explain>文本全半角错误。</explain>
      <paraID> 726EF74</paraID>
      <start>20</start>
      <end>21</end>
      <status>modified</status>
      <modifiedWord>～</modifiedWord>
      <trackRevisions>false</trackRevisions>
    </reviewItem>
    <reviewItem>
      <errorID>1decc5dc-8c01-4847-a994-d49af9e98d52</errorID>
      <errorWord>：</errorWord>
      <group>L1_Format</group>
      <groupName>格式问题</groupName>
      <ability>L2_HalfPunc_CN</ability>
      <abilityName>全半角问题</abilityName>
      <candidateList>
        <item>: </item>
      </candidateList>
      <explain>文本全半角错误。</explain>
      <paraID>63183492</paraID>
      <start>3</start>
      <end>5</end>
      <status>modified</status>
      <modifiedWord>: </modifiedWord>
      <trackRevisions>false</trackRevisions>
    </reviewItem>
    <reviewItem>
      <errorID>df7f2a3b-a282-4d6a-a0b0-0fc9faa59811</errorID>
      <errorWord>，</errorWord>
      <group>L1_Format</group>
      <groupName>格式问题</groupName>
      <ability>L2_HalfPunc_CN</ability>
      <abilityName>全半角问题</abilityName>
      <candidateList>
        <item>, </item>
      </candidateList>
      <explain>文本全半角错误。</explain>
      <paraID>63183492</paraID>
      <start>17</start>
      <end>19</end>
      <status>modified</status>
      <modifiedWord>, </modifiedWord>
      <trackRevisions>false</trackRevisions>
    </reviewItem>
    <reviewItem>
      <errorID>cc7dd2ce-24b9-4710-ac42-d191b6edf88b</errorID>
      <errorWord>；</errorWord>
      <group>L1_Format</group>
      <groupName>格式问题</groupName>
      <ability>L2_HalfPunc_CN</ability>
      <abilityName>全半角问题</abilityName>
      <candidateList>
        <item>;</item>
      </candidateList>
      <explain>文本全半角错误。</explain>
      <paraID>63183492</paraID>
      <start>26</start>
      <end>27</end>
      <status>modified</status>
      <modifiedWord>;</modifiedWord>
      <trackRevisions>false</trackRevisions>
    </reviewItem>
    <reviewItem>
      <errorID>e813f72e-9831-4a68-83ac-b4d48a49f104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3315B7D7</paraID>
      <start>6</start>
      <end>7</end>
      <status>modified</status>
      <modifiedWord>—</modifiedWord>
      <trackRevisions>false</trackRevisions>
    </reviewItem>
    <reviewItem>
      <errorID>98e7b08a-ace4-41a0-9280-faef01709fe0</errorID>
      <errorWord>(</errorWord>
      <group>L1_Format</group>
      <groupName>格式问题</groupName>
      <ability>L2_HalfPunc_CN</ability>
      <abilityName>全半角问题</abilityName>
      <candidateList>
        <item>（</item>
      </candidateList>
      <explain>文本全半角错误。</explain>
      <paraID>773208AA</paraID>
      <start>13</start>
      <end>14</end>
      <status>modified</status>
      <modifiedWord>（</modifiedWord>
      <trackRevisions>false</trackRevisions>
    </reviewItem>
    <reviewItem>
      <errorID>0fafe7da-ce49-4095-bb08-abc8c7731055</errorID>
      <errorWord>)</errorWord>
      <group>L1_Format</group>
      <groupName>格式问题</groupName>
      <ability>L2_HalfPunc_CN</ability>
      <abilityName>全半角问题</abilityName>
      <candidateList>
        <item>）</item>
      </candidateList>
      <explain>文本全半角错误。</explain>
      <paraID>773208AA</paraID>
      <start>19</start>
      <end>20</end>
      <status>modified</status>
      <modifiedWord>）</modifiedWord>
      <trackRevisions>false</trackRevisions>
    </reviewItem>
    <reviewItem>
      <errorID>20afb005-c869-4a63-9a2b-f26423f72c1d</errorID>
      <errorWord>(</errorWord>
      <group>L1_Format</group>
      <groupName>格式问题</groupName>
      <ability>L2_HalfPunc_CN</ability>
      <abilityName>全半角问题</abilityName>
      <candidateList>
        <item>（</item>
      </candidateList>
      <explain>文本全半角错误。</explain>
      <paraID>1CCA3957</paraID>
      <start>13</start>
      <end>14</end>
      <status>modified</status>
      <modifiedWord>（</modifiedWord>
      <trackRevisions>false</trackRevisions>
    </reviewItem>
    <reviewItem>
      <errorID>0997aa90-00eb-4417-bb38-09937141a876</errorID>
      <errorWord>)</errorWord>
      <group>L1_Format</group>
      <groupName>格式问题</groupName>
      <ability>L2_HalfPunc_CN</ability>
      <abilityName>全半角问题</abilityName>
      <candidateList>
        <item>）</item>
      </candidateList>
      <explain>文本全半角错误。</explain>
      <paraID>1CCA3957</paraID>
      <start>18</start>
      <end>19</end>
      <status>modified</status>
      <modifiedWord>）</modifiedWord>
      <trackRevisions>false</trackRevisions>
    </reviewItem>
    <reviewItem>
      <errorID>02dd5c42-5799-4e9f-b3c2-4c4a466a3253</errorID>
      <errorWord>,</errorWord>
      <group>L1_Format</group>
      <groupName>格式问题</groupName>
      <ability>L2_HalfPunc_CN</ability>
      <abilityName>全半角问题</abilityName>
      <candidateList>
        <item>，</item>
      </candidateList>
      <explain>文本全半角错误。</explain>
      <paraID>6B43E51A</paraID>
      <start>23</start>
      <end>24</end>
      <status>modified</status>
      <modifiedWord>，</modifiedWord>
      <trackRevisions>false</trackRevisions>
    </reviewItem>
    <reviewItem>
      <errorID>3009e6a9-41f1-4a55-87e3-f3a2d7db63d1</errorID>
      <errorWord>,</errorWord>
      <group>L1_Format</group>
      <groupName>格式问题</groupName>
      <ability>L2_HalfPunc_CN</ability>
      <abilityName>全半角问题</abilityName>
      <candidateList>
        <item>，</item>
      </candidateList>
      <explain>文本全半角错误。</explain>
      <paraID>4D6DE66F</paraID>
      <start>23</start>
      <end>24</end>
      <status>modified</status>
      <modifiedWord>，</modifiedWord>
      <trackRevisions>false</trackRevisions>
    </reviewItem>
    <reviewItem>
      <errorID>8fe007f6-202e-4f89-bb62-3da6c0843bc9</errorID>
      <errorWord>：</errorWord>
      <group>L1_Format</group>
      <groupName>格式问题</groupName>
      <ability>L2_HalfPunc_CN</ability>
      <abilityName>全半角问题</abilityName>
      <candidateList>
        <item>:</item>
      </candidateList>
      <explain>文本全半角错误。</explain>
      <paraID>5EFC32AB</paraID>
      <start>4</start>
      <end>5</end>
      <status>modified</status>
      <modifiedWord>:</modifiedWord>
      <trackRevisions>false</trackRevisions>
    </reviewItem>
    <reviewItem>
      <errorID>31881b36-1f4f-40f5-b465-8973a6d4b2ec</errorID>
      <errorWord>（</errorWord>
      <group>L1_Format</group>
      <groupName>格式问题</groupName>
      <ability>L2_HalfPunc_CN</ability>
      <abilityName>全半角问题</abilityName>
      <candidateList>
        <item>(</item>
      </candidateList>
      <explain>文本全半角错误。</explain>
      <paraID>5EFC32AB</paraID>
      <start>10</start>
      <end>11</end>
      <status>modified</status>
      <modifiedWord>(</modifiedWord>
      <trackRevisions>false</trackRevisions>
    </reviewItem>
    <reviewItem>
      <errorID>8ada691a-820e-45d9-8cea-af6a19c83dc1</errorID>
      <errorWord>，</errorWord>
      <group>L1_Format</group>
      <groupName>格式问题</groupName>
      <ability>L2_HalfPunc_CN</ability>
      <abilityName>全半角问题</abilityName>
      <candidateList>
        <item>,</item>
      </candidateList>
      <explain>文本全半角错误。</explain>
      <paraID>5EFC32AB</paraID>
      <start>20</start>
      <end>21</end>
      <status>modified</status>
      <modifiedWord>,</modifiedWord>
      <trackRevisions>false</trackRevisions>
    </reviewItem>
    <reviewItem>
      <errorID>c9e65309-f3d4-4047-806f-2cea29ba8b18</errorID>
      <errorWord>，</errorWord>
      <group>L1_Format</group>
      <groupName>格式问题</groupName>
      <ability>L2_HalfPunc_CN</ability>
      <abilityName>全半角问题</abilityName>
      <candidateList>
        <item>,</item>
      </candidateList>
      <explain>文本全半角错误。</explain>
      <paraID>5EFC32AB</paraID>
      <start>30</start>
      <end>31</end>
      <status>modified</status>
      <modifiedWord>,</modifiedWord>
      <trackRevisions>false</trackRevisions>
    </reviewItem>
    <reviewItem>
      <errorID>f260202e-9387-458b-8896-0c9a5905fba4</errorID>
      <errorWord>，</errorWord>
      <group>L1_Format</group>
      <groupName>格式问题</groupName>
      <ability>L2_HalfPunc_CN</ability>
      <abilityName>全半角问题</abilityName>
      <candidateList>
        <item>,</item>
      </candidateList>
      <explain>文本全半角错误。</explain>
      <paraID>5EFC32AB</paraID>
      <start>40</start>
      <end>41</end>
      <status>modified</status>
      <modifiedWord>,</modifiedWord>
      <trackRevisions>false</trackRevisions>
    </reviewItem>
    <reviewItem>
      <errorID>e5f1072d-8a86-49f9-bf26-a846e80d56be</errorID>
      <errorWord>，</errorWord>
      <group>L1_Format</group>
      <groupName>格式问题</groupName>
      <ability>L2_HalfPunc_CN</ability>
      <abilityName>全半角问题</abilityName>
      <candidateList>
        <item>,</item>
      </candidateList>
      <explain>文本全半角错误。</explain>
      <paraID>5EFC32AB</paraID>
      <start>49</start>
      <end>50</end>
      <status>modified</status>
      <modifiedWord>,</modifiedWord>
      <trackRevisions>false</trackRevisions>
    </reviewItem>
    <reviewItem>
      <errorID>604bb206-f4ca-45bc-afda-c1449972deaf</errorID>
      <errorWord>）；</errorWord>
      <group>L1_Format</group>
      <groupName>格式问题</groupName>
      <ability>L2_HalfPunc_CN</ability>
      <abilityName>全半角问题</abilityName>
      <candidateList>
        <item>);</item>
      </candidateList>
      <explain>文本全半角错误。</explain>
      <paraID>5EFC32AB</paraID>
      <start>58</start>
      <end>60</end>
      <status>modified</status>
      <modifiedWord>);</modifiedWord>
      <trackRevisions>false</trackRevisions>
    </reviewItem>
    <reviewItem>
      <errorID>fb94378f-db99-4abd-a90d-ac2a0634fea0</errorID>
      <errorWord>;</errorWord>
      <group>L1_Format</group>
      <groupName>格式问题</groupName>
      <ability>L2_HalfPunc_CN</ability>
      <abilityName>全半角问题</abilityName>
      <candidateList>
        <item>；</item>
      </candidateList>
      <explain>文本全半角错误。</explain>
      <paraID>75928568</paraID>
      <start>11</start>
      <end>12</end>
      <status>modified</status>
      <modifiedWord>；</modifiedWord>
      <trackRevisions>false</trackRevisions>
    </reviewItem>
    <reviewItem>
      <errorID>4a0a0b91-b2da-4dea-98f8-256ee613fa40</errorID>
      <errorWord>更新</errorWord>
      <group>L1_Word</group>
      <groupName>字词问题</groupName>
      <ability>L2_Typo</ability>
      <abilityName>字词错误</abilityName>
      <candidateList>
        <item>更</item>
      </candidateList>
      <explain/>
      <paraID>37C2284A</paraID>
      <start>45</start>
      <end>46</end>
      <status>modified</status>
      <modifiedWord>更</modifiedWord>
      <trackRevisions>false</trackRevisions>
    </reviewItem>
    <reviewItem>
      <errorID>bf1a81c6-d1cd-4d3c-9ce4-ae22d8a1a079</errorID>
      <errorWord>(</errorWord>
      <group>L1_Format</group>
      <groupName>格式问题</groupName>
      <ability>L2_HalfPunc_CN</ability>
      <abilityName>全半角问题</abilityName>
      <candidateList>
        <item>（</item>
      </candidateList>
      <explain>文本全半角错误。</explain>
      <paraID>22C013F3</paraID>
      <start>19</start>
      <end>20</end>
      <status>modified</status>
      <modifiedWord>（</modifiedWord>
      <trackRevisions>false</trackRevisions>
    </reviewItem>
    <reviewItem>
      <errorID>8f06b2d6-fd78-4ef4-9f54-be5f0d1da653</errorID>
      <errorWord>)</errorWord>
      <group>L1_Format</group>
      <groupName>格式问题</groupName>
      <ability>L2_HalfPunc_CN</ability>
      <abilityName>全半角问题</abilityName>
      <candidateList>
        <item>）</item>
      </candidateList>
      <explain>文本全半角错误。</explain>
      <paraID>22C013F3</paraID>
      <start>25</start>
      <end>26</end>
      <status>modified</status>
      <modifiedWord>）</modifiedWord>
      <trackRevisions>false</trackRevisions>
    </reviewItem>
    <reviewItem>
      <errorID>4d725858-4279-4f29-9de4-6fa092ff535d</errorID>
      <errorWord>(</errorWord>
      <group>L1_Format</group>
      <groupName>格式问题</groupName>
      <ability>L2_HalfPunc_CN</ability>
      <abilityName>全半角问题</abilityName>
      <candidateList>
        <item>（</item>
      </candidateList>
      <explain>文本全半角错误。</explain>
      <paraID>51757891</paraID>
      <start>15</start>
      <end>16</end>
      <status>modified</status>
      <modifiedWord>（</modifiedWord>
      <trackRevisions>false</trackRevisions>
    </reviewItem>
    <reviewItem>
      <errorID>dfdee20b-e182-475b-8f91-478931a42278</errorID>
      <errorWord>)</errorWord>
      <group>L1_Format</group>
      <groupName>格式问题</groupName>
      <ability>L2_HalfPunc_CN</ability>
      <abilityName>全半角问题</abilityName>
      <candidateList>
        <item>）</item>
      </candidateList>
      <explain>文本全半角错误。</explain>
      <paraID>51757891</paraID>
      <start>21</start>
      <end>22</end>
      <status>modified</status>
      <modifiedWord>）</modifiedWord>
      <trackRevisions>false</trackRevisions>
    </reviewItem>
    <reviewItem>
      <errorID>c746b729-e977-497c-82fb-76d8e6963208</errorID>
      <errorWord>(</errorWord>
      <group>L1_Format</group>
      <groupName>格式问题</groupName>
      <ability>L2_HalfPunc_CN</ability>
      <abilityName>全半角问题</abilityName>
      <candidateList>
        <item>（</item>
      </candidateList>
      <explain>文本全半角错误。</explain>
      <paraID>4E4821BF</paraID>
      <start>16</start>
      <end>17</end>
      <status>modified</status>
      <modifiedWord>（</modifiedWord>
      <trackRevisions>false</trackRevisions>
    </reviewItem>
    <reviewItem>
      <errorID>418954eb-1309-4b66-9d09-90344213cb02</errorID>
      <errorWord>)</errorWord>
      <group>L1_Format</group>
      <groupName>格式问题</groupName>
      <ability>L2_HalfPunc_CN</ability>
      <abilityName>全半角问题</abilityName>
      <candidateList>
        <item>）</item>
      </candidateList>
      <explain>文本全半角错误。</explain>
      <paraID>4E4821BF</paraID>
      <start>22</start>
      <end>23</end>
      <status>modified</status>
      <modifiedWord>）</modifiedWord>
      <trackRevisions>false</trackRevisions>
    </reviewItem>
    <reviewItem>
      <errorID>2958f60b-ea27-4247-85b4-f2205f773e22</errorID>
      <errorWord>(</errorWord>
      <group>L1_Format</group>
      <groupName>格式问题</groupName>
      <ability>L2_HalfPunc_CN</ability>
      <abilityName>全半角问题</abilityName>
      <candidateList>
        <item>（</item>
      </candidateList>
      <explain>文本全半角错误。</explain>
      <paraID>63EC060A</paraID>
      <start>13</start>
      <end>14</end>
      <status>modified</status>
      <modifiedWord>（</modifiedWord>
      <trackRevisions>false</trackRevisions>
    </reviewItem>
    <reviewItem>
      <errorID>9e825394-485d-4fc0-9bf8-daa18eede7cd</errorID>
      <errorWord>)</errorWord>
      <group>L1_Format</group>
      <groupName>格式问题</groupName>
      <ability>L2_HalfPunc_CN</ability>
      <abilityName>全半角问题</abilityName>
      <candidateList>
        <item>）</item>
      </candidateList>
      <explain>文本全半角错误。</explain>
      <paraID>63EC060A</paraID>
      <start>18</start>
      <end>19</end>
      <status>modified</status>
      <modifiedWord>）</modifiedWord>
      <trackRevisions>false</trackRevisions>
    </reviewItem>
    <reviewItem>
      <errorID>a59c2dbf-37fa-46c6-b8f8-3a2473e80d06</errorID>
      <errorWord>,</errorWord>
      <group>L1_Format</group>
      <groupName>格式问题</groupName>
      <ability>L2_HalfPunc_CN</ability>
      <abilityName>全半角问题</abilityName>
      <candidateList>
        <item>，</item>
      </candidateList>
      <explain>文本全半角错误。</explain>
      <paraID> D6F6423</paraID>
      <start>23</start>
      <end>24</end>
      <status>modified</status>
      <modifiedWord>，</modifiedWord>
      <trackRevisions>false</trackRevisions>
    </reviewItem>
    <reviewItem>
      <errorID>b49ea779-a983-44e8-9f7f-44ed44033083</errorID>
      <errorWord>;</errorWord>
      <group>L1_Format</group>
      <groupName>格式问题</groupName>
      <ability>L2_HalfPunc_CN</ability>
      <abilityName>全半角问题</abilityName>
      <candidateList>
        <item>；</item>
      </candidateList>
      <explain>文本全半角错误。</explain>
      <paraID> D6F6423</paraID>
      <start>28</start>
      <end>29</end>
      <status>modified</status>
      <modifiedWord>；</modifiedWord>
      <trackRevisions>false</trackRevisions>
    </reviewItem>
    <reviewItem>
      <errorID>491458d3-c41c-42d7-960b-f783cb7cf724</errorID>
      <errorWord>,</errorWord>
      <group>L1_Format</group>
      <groupName>格式问题</groupName>
      <ability>L2_HalfPunc_CN</ability>
      <abilityName>全半角问题</abilityName>
      <candidateList>
        <item>，</item>
      </candidateList>
      <explain>文本全半角错误。</explain>
      <paraID>20E9511F</paraID>
      <start>23</start>
      <end>24</end>
      <status>modified</status>
      <modifiedWord>，</modifiedWord>
      <trackRevisions>false</trackRevisions>
    </reviewItem>
    <reviewItem>
      <errorID>05b18838-7c41-4949-a5f3-bce0b908e073</errorID>
      <errorWord>;</errorWord>
      <group>L1_Format</group>
      <groupName>格式问题</groupName>
      <ability>L2_HalfPunc_CN</ability>
      <abilityName>全半角问题</abilityName>
      <candidateList>
        <item>；</item>
      </candidateList>
      <explain>文本全半角错误。</explain>
      <paraID>20E9511F</paraID>
      <start>28</start>
      <end>29</end>
      <status>modified</status>
      <modifiedWord>；</modifiedWord>
      <trackRevisions>false</trackRevisions>
    </reviewItem>
    <reviewItem>
      <errorID>513914b2-2406-4d60-abca-f28ce6b2d575</errorID>
      <errorWord>)</errorWord>
      <group>L1_Format</group>
      <groupName>格式问题</groupName>
      <ability>L2_HalfPunc_CN</ability>
      <abilityName>全半角问题</abilityName>
      <candidateList>
        <item>）</item>
      </candidateList>
      <explain>文本全半角错误。</explain>
      <paraID>23D33B5E</paraID>
      <start>143</start>
      <end>144</end>
      <status>modified</status>
      <modifiedWord>）</modifiedWord>
      <trackRevisions>false</trackRevisions>
    </reviewItem>
    <reviewItem>
      <errorID>234a2686-d87d-4616-81cd-1189305a22bf</errorID>
      <errorWord>（</errorWord>
      <group>L1_Format</group>
      <groupName>格式问题</groupName>
      <ability>L2_HalfPunc_CN</ability>
      <abilityName>全半角问题</abilityName>
      <candidateList>
        <item>(</item>
      </candidateList>
      <explain>文本全半角错误。</explain>
      <paraID>41AF352E</paraID>
      <start>75</start>
      <end>76</end>
      <status>modified</status>
      <modifiedWord>(</modifiedWord>
      <trackRevisions>false</trackRevisions>
    </reviewItem>
    <reviewItem>
      <errorID>4bc22bd4-6923-4536-9994-3759943734df</errorID>
      <errorWord>)</errorWord>
      <group>L1_Format</group>
      <groupName>格式问题</groupName>
      <ability>L2_HalfPunc_CN</ability>
      <abilityName>全半角问题</abilityName>
      <candidateList>
        <item>）</item>
      </candidateList>
      <explain>文本全半角错误。</explain>
      <paraID>41AF352E</paraID>
      <start>123</start>
      <end>124</end>
      <status>modified</status>
      <modifiedWord>）</modifiedWord>
      <trackRevisions>false</trackRevisions>
    </reviewItem>
    <reviewItem>
      <errorID>763e293e-0132-4d2f-8d32-b135c69ead93</errorID>
      <errorWord>;</errorWord>
      <group>L1_Format</group>
      <groupName>格式问题</groupName>
      <ability>L2_HalfPunc_CN</ability>
      <abilityName>全半角问题</abilityName>
      <candidateList>
        <item>；</item>
      </candidateList>
      <explain>文本全半角错误。</explain>
      <paraID>52DB4F5A</paraID>
      <start>11</start>
      <end>12</end>
      <status>modified</status>
      <modifiedWord>；</modifiedWord>
      <trackRevisions>false</trackRevisions>
    </reviewItem>
    <reviewItem>
      <errorID>32872e59-4ca0-442d-8590-054129bf4f81</errorID>
      <errorWord>;</errorWord>
      <group>L1_Format</group>
      <groupName>格式问题</groupName>
      <ability>L2_HalfPunc_CN</ability>
      <abilityName>全半角问题</abilityName>
      <candidateList>
        <item>；</item>
      </candidateList>
      <explain>文本全半角错误。</explain>
      <paraID>287482F5</paraID>
      <start>9</start>
      <end>10</end>
      <status>modified</status>
      <modifiedWord>；</modifiedWord>
      <trackRevisions>false</trackRevisions>
    </reviewItem>
    <reviewItem>
      <errorID>4b1557d2-4638-49a0-908f-04761a61624b</errorID>
      <errorWord>;</errorWord>
      <group>L1_Format</group>
      <groupName>格式问题</groupName>
      <ability>L2_HalfPunc_CN</ability>
      <abilityName>全半角问题</abilityName>
      <candidateList>
        <item>；</item>
      </candidateList>
      <explain>文本全半角错误。</explain>
      <paraID>287482F5</paraID>
      <start>16</start>
      <end>17</end>
      <status>modified</status>
      <modifiedWord>；</modifiedWord>
      <trackRevisions>false</trackRevisions>
    </reviewItem>
    <reviewItem>
      <errorID>e2fd0b3f-9495-4043-8312-439c674c71f2</errorID>
      <errorWord>;</errorWord>
      <group>L1_Format</group>
      <groupName>格式问题</groupName>
      <ability>L2_HalfPunc_CN</ability>
      <abilityName>全半角问题</abilityName>
      <candidateList>
        <item>；</item>
      </candidateList>
      <explain>文本全半角错误。</explain>
      <paraID>287482F5</paraID>
      <start>43</start>
      <end>44</end>
      <status>modified</status>
      <modifiedWord>；</modifiedWord>
      <trackRevisions>false</trackRevisions>
    </reviewItem>
    <reviewItem>
      <errorID>26d51168-0970-408e-9282-48cbaf56f80c</errorID>
      <errorWord>;</errorWord>
      <group>L1_Format</group>
      <groupName>格式问题</groupName>
      <ability>L2_HalfPunc_CN</ability>
      <abilityName>全半角问题</abilityName>
      <candidateList>
        <item>；</item>
      </candidateList>
      <explain>文本全半角错误。</explain>
      <paraID>287482F5</paraID>
      <start>48</start>
      <end>49</end>
      <status>modified</status>
      <modifiedWord>；</modifiedWord>
      <trackRevisions>false</trackRevisions>
    </reviewItem>
    <reviewItem>
      <errorID>d855fb15-59f4-49fc-93cc-d7cbd9970bc3</errorID>
      <errorWord>(</errorWord>
      <group>L1_Format</group>
      <groupName>格式问题</groupName>
      <ability>L2_HalfPunc_CN</ability>
      <abilityName>全半角问题</abilityName>
      <candidateList>
        <item>（</item>
      </candidateList>
      <explain>文本全半角错误。</explain>
      <paraID>17EF47F7</paraID>
      <start>19</start>
      <end>20</end>
      <status>modified</status>
      <modifiedWord>（</modifiedWord>
      <trackRevisions>false</trackRevisions>
    </reviewItem>
    <reviewItem>
      <errorID>ec641fb4-eeae-416c-b268-3dfd69eab7ad</errorID>
      <errorWord>)</errorWord>
      <group>L1_Format</group>
      <groupName>格式问题</groupName>
      <ability>L2_HalfPunc_CN</ability>
      <abilityName>全半角问题</abilityName>
      <candidateList>
        <item>）</item>
      </candidateList>
      <explain>文本全半角错误。</explain>
      <paraID>17EF47F7</paraID>
      <start>22</start>
      <end>23</end>
      <status>modified</status>
      <modifiedWord>）</modifiedWord>
      <trackRevisions>false</trackRevisions>
    </reviewItem>
    <reviewItem>
      <errorID>d5c68f7a-f021-413d-aed4-ae30d3fa7129</errorID>
      <errorWord>开起</errorWord>
      <group>L1_Word</group>
      <groupName>字词问题</groupName>
      <ability>L2_Typo</ability>
      <abilityName>字词错误</abilityName>
      <candidateList>
        <item>开启</item>
      </candidateList>
      <explain/>
      <paraID>28022D91</paraID>
      <start>17</start>
      <end>19</end>
      <status>modified</status>
      <modifiedWord>开启</modifiedWord>
      <trackRevisions>false</trackRevisions>
    </reviewItem>
    <reviewItem>
      <errorID>c7887903-a559-43c3-b3f5-70a145fc7fde</errorID>
      <errorWord>0~90%</errorWord>
      <group>L1_Knowledge</group>
      <groupName>知识性问题</groupName>
      <ability>L2_Knowledge</ability>
      <abilityName>其他知识</abilityName>
      <candidateList>
        <item>0～90%</item>
      </candidateList>
      <explain>1. “0~90%”中的单位“%”仅出现在后一个数字上，容易引起歧义；根据《现代汉语标点符号数字用法规范手册》，数字表示范围两边需要使用统一的格式。2. 根据标点国标 4.13 中的规则，数字、时间或地域连接符应使用（视觉上更长的）“—”或“～”。</explain>
      <paraID>62AA8865</paraID>
      <start>5</start>
      <end>10</end>
      <status>modified</status>
      <modifiedWord>0～90%</modifiedWord>
      <trackRevisions>false</trackRevisions>
    </reviewItem>
    <reviewItem>
      <errorID>25def962-e64a-42ff-9cfa-67cab362f404</errorID>
      <errorWord>：</errorWord>
      <group>L1_Format</group>
      <groupName>格式问题</groupName>
      <ability>L2_HalfPunc_CN</ability>
      <abilityName>全半角问题</abilityName>
      <candidateList>
        <item>:</item>
      </candidateList>
      <explain>文本全半角错误。</explain>
      <paraID>5E52104C</paraID>
      <start>8</start>
      <end>9</end>
      <status>modified</status>
      <modifiedWord>:</modifiedWord>
      <trackRevisions>false</trackRevisions>
    </reviewItem>
    <reviewItem>
      <errorID>8447ffa1-794d-4891-b60c-eb354a04d23a</errorID>
      <errorWord>,</errorWord>
      <group>L1_Format</group>
      <groupName>格式问题</groupName>
      <ability>L2_HalfPunc_CN</ability>
      <abilityName>全半角问题</abilityName>
      <candidateList>
        <item>，</item>
      </candidateList>
      <explain>文本全半角错误。</explain>
      <paraID>530C62BC</paraID>
      <start>31</start>
      <end>32</end>
      <status>modified</status>
      <modifiedWord>，</modifiedWord>
      <trackRevisions>false</trackRevisions>
    </reviewItem>
    <reviewItem>
      <errorID>48eebdbb-7635-495c-a9dd-80d8ae3ba63d</errorID>
      <errorWord>(</errorWord>
      <group>L1_Format</group>
      <groupName>格式问题</groupName>
      <ability>L2_HalfPunc_CN</ability>
      <abilityName>全半角问题</abilityName>
      <candidateList>
        <item>（</item>
      </candidateList>
      <explain>文本全半角错误。</explain>
      <paraID>3A5EACC6</paraID>
      <start>3</start>
      <end>4</end>
      <status>modified</status>
      <modifiedWord>（</modifiedWord>
      <trackRevisions>false</trackRevisions>
    </reviewItem>
    <reviewItem>
      <errorID>ee95cd1c-b63b-4da7-a4d8-0c419a4eeb6f</errorID>
      <errorWord>)</errorWord>
      <group>L1_Format</group>
      <groupName>格式问题</groupName>
      <ability>L2_HalfPunc_CN</ability>
      <abilityName>全半角问题</abilityName>
      <candidateList>
        <item>）</item>
      </candidateList>
      <explain>文本全半角错误。</explain>
      <paraID>3A5EACC6</paraID>
      <start>49</start>
      <end>50</end>
      <status>modified</status>
      <modifiedWord>）</modifiedWord>
      <trackRevisions>false</trackRevisions>
    </reviewItem>
    <reviewItem>
      <errorID>a86698d4-de1a-47a1-81e3-848463729a59</errorID>
      <errorWord>:</errorWord>
      <group>L1_Format</group>
      <groupName>格式问题</groupName>
      <ability>L2_HalfPunc_CN</ability>
      <abilityName>全半角问题</abilityName>
      <candidateList>
        <item>：</item>
      </candidateList>
      <explain>文本全半角错误。</explain>
      <paraID>632313AC</paraID>
      <start>7</start>
      <end>8</end>
      <status>modified</status>
      <modifiedWord>：</modifiedWord>
      <trackRevisions>false</trackRevisions>
    </reviewItem>
    <reviewItem>
      <errorID>0724b836-cc4e-4e7b-a2cc-97a980f90161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2CCB1D5F</paraID>
      <start>7</start>
      <end>8</end>
      <status>modified</status>
      <modifiedWord>—</modifiedWord>
      <trackRevisions>false</trackRevisions>
    </reviewItem>
    <reviewItem>
      <errorID>e1fd4c24-6dcb-4ea0-8e92-8e7b41f79902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1008A0DE</paraID>
      <start>0</start>
      <end>2</end>
      <status>modified</status>
      <modifiedWord>1.</modifiedWord>
      <trackRevisions>false</trackRevisions>
    </reviewItem>
    <reviewItem>
      <errorID>fdbdf5b2-495f-4ebf-9288-a0a23b127126</errorID>
      <errorWord>配备</errorWord>
      <group>L1_Grammar</group>
      <groupName>语法问题</groupName>
      <ability>L2_Grammar</ability>
      <abilityName>语法错误</abilityName>
      <candidateList>
        <item>搭载</item>
      </candidateList>
      <explain>“配备～项目”搭配不当，建议修改为“搭载～项目”。</explain>
      <paraID>49E90015</paraID>
      <start>8</start>
      <end>10</end>
      <status>unmodified</status>
      <modifiedWord/>
      <trackRevisions>false</trackRevisions>
    </reviewItem>
    <reviewItem>
      <errorID>dd44c75c-9cfa-46cf-bbab-b699a56c0ed3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5A81B743</paraID>
      <start>0</start>
      <end>2</end>
      <status>modified</status>
      <modifiedWord>2.</modifiedWord>
      <trackRevisions>false</trackRevisions>
    </reviewItem>
    <reviewItem>
      <errorID>b54097a1-b3fd-4b5c-9eee-821e1e68c4b6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285BDFCD</paraID>
      <start>0</start>
      <end>2</end>
      <status>modified</status>
      <modifiedWord>3.</modifiedWord>
      <trackRevisions>false</trackRevisions>
    </reviewItem>
    <reviewItem>
      <errorID>58da188e-b4a7-4eee-a29a-f0e4f131b228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56452286</paraID>
      <start>0</start>
      <end>2</end>
      <status>modified</status>
      <modifiedWord>4.</modifiedWord>
      <trackRevisions>false</trackRevisions>
    </reviewItem>
    <reviewItem>
      <errorID>1575fd1a-957a-4da1-9ba3-fe11d05e6026</errorID>
      <errorWord>准</errorWord>
      <group>L1_Word</group>
      <groupName>字词问题</groupName>
      <ability>L2_Typo</ability>
      <abilityName>字词错误</abilityName>
      <candidateList>
        <item>准和</item>
      </candidateList>
      <explain/>
      <paraID>24FE806B</paraID>
      <start>95</start>
      <end>96</end>
      <status>unmodified</status>
      <modifiedWord/>
      <trackRevisions>false</trackRevisions>
    </reviewItem>
    <reviewItem>
      <errorID>32e15cd8-a356-4167-8edb-e343c9d698c2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1B615BA9</paraID>
      <start>0</start>
      <end>2</end>
      <status>modified</status>
      <modifiedWord>5.</modifiedWord>
      <trackRevisions>false</trackRevisions>
    </reviewItem>
    <reviewItem>
      <errorID>9c6c5dc6-da60-4159-9a5b-2292dddfadaf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6A942207</paraID>
      <start>0</start>
      <end>2</end>
      <status>modified</status>
      <modifiedWord>6.</modifiedWord>
      <trackRevisions>false</trackRevisions>
    </reviewItem>
    <reviewItem>
      <errorID>f1f5cc98-aa39-4664-af30-2546e5af5837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63DBF6B</paraID>
      <start>0</start>
      <end>2</end>
      <status>modified</status>
      <modifiedWord>7.</modifiedWord>
      <trackRevisions>false</trackRevisions>
    </reviewItem>
    <reviewItem>
      <errorID>885111dd-0381-40bf-8060-b5cfcb814752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6E989E0D</paraID>
      <start>0</start>
      <end>2</end>
      <status>modified</status>
      <modifiedWord>8.</modifiedWord>
      <trackRevisions>false</trackRevisions>
    </reviewItem>
    <reviewItem>
      <errorID>1b072d69-834e-4da5-8aab-d432311e81c5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3CDC3F92</paraID>
      <start>0</start>
      <end>2</end>
      <status>modified</status>
      <modifiedWord>1.</modifiedWord>
      <trackRevisions>false</trackRevisions>
    </reviewItem>
    <reviewItem>
      <errorID>2aa8824e-e1dc-4da9-808e-077b948e48ea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4D30AEBD</paraID>
      <start>0</start>
      <end>2</end>
      <status>modified</status>
      <modifiedWord>2.</modifiedWord>
      <trackRevisions>false</trackRevisions>
    </reviewItem>
    <reviewItem>
      <errorID>fec8c95b-b1fa-407c-a293-3a940eae36ab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724FE682</paraID>
      <start>0</start>
      <end>2</end>
      <status>modified</status>
      <modifiedWord>3.</modifiedWord>
      <trackRevisions>false</trackRevisions>
    </reviewItem>
    <reviewItem>
      <errorID>363e9367-f86e-4dcb-a926-cced834a39f7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3489991</paraID>
      <start>0</start>
      <end>2</end>
      <status>modified</status>
      <modifiedWord>4.</modifiedWord>
      <trackRevisions>false</trackRevisions>
    </reviewItem>
    <reviewItem>
      <errorID>07883ccc-bdee-4036-bd2d-b9a8974d5bcf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528F63B</paraID>
      <start>0</start>
      <end>2</end>
      <status>modified</status>
      <modifiedWord>5.</modifiedWord>
      <trackRevisions>false</trackRevisions>
    </reviewItem>
    <reviewItem>
      <errorID>89462342-dadd-4de9-871e-1ebb9be518b5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6EF89E88</paraID>
      <start>0</start>
      <end>2</end>
      <status>modified</status>
      <modifiedWord>6.</modifiedWord>
      <trackRevisions>false</trackRevisions>
    </reviewItem>
    <reviewItem>
      <errorID>9c18916a-fafc-4680-9fb8-0e8a6c4d1cda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56D69329</paraID>
      <start>0</start>
      <end>2</end>
      <status>modified</status>
      <modifiedWord>7.</modifiedWord>
      <trackRevisions>false</trackRevisions>
    </reviewItem>
    <reviewItem>
      <errorID>0dbc8019-682d-4612-a591-5ffd87bafb9a</errorID>
      <errorWord>的</errorWord>
      <group>L1_Word</group>
      <groupName>字词问题</groupName>
      <ability>L2_DDD</ability>
      <abilityName>的地得用法</abilityName>
      <candidateList>
        <item>地</item>
      </candidateList>
      <explain/>
      <paraID>56D69329</paraID>
      <start>127</start>
      <end>128</end>
      <status>modified</status>
      <modifiedWord>地</modifiedWord>
      <trackRevisions>false</trackRevisions>
    </reviewItem>
    <reviewItem>
      <errorID>4a01f5c4-ad90-4fdc-98a2-16f7b6c435da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590D3237</paraID>
      <start>0</start>
      <end>2</end>
      <status>modified</status>
      <modifiedWord>8.</modifiedWord>
      <trackRevisions>false</trackRevisions>
    </reviewItem>
    <reviewItem>
      <errorID>7a80a1a7-be03-4819-86b6-4eaaa0f32e89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2269869F</paraID>
      <start>0</start>
      <end>2</end>
      <status>modified</status>
      <modifiedWord>9.</modifiedWord>
      <trackRevisions>false</trackRevisions>
    </reviewItem>
    <reviewItem>
      <errorID>52c60d55-8a18-41c0-b266-fec5cbc7f3d4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2269869F</paraID>
      <start>117</start>
      <end>120</end>
      <status>unmodified</status>
      <modifiedWord/>
      <trackRevisions>false</trackRevisions>
    </reviewItem>
    <reviewItem>
      <errorID>91348785-dd9e-4f38-8dd0-1f5a9ccd78c8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4D41CFAE</paraID>
      <start>0</start>
      <end>3</end>
      <status>modified</status>
      <modifiedWord>10.</modifiedWord>
      <trackRevisions>false</trackRevisions>
    </reviewItem>
    <reviewItem>
      <errorID>b3949391-d155-4503-8208-e53f2c7c3f0a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59846FCA</paraID>
      <start>0</start>
      <end>3</end>
      <status>modified</status>
      <modifiedWord>11.</modifiedWord>
      <trackRevisions>false</trackRevisions>
    </reviewItem>
    <reviewItem>
      <errorID>eb0aa9de-ea57-4758-bc08-60c972878986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21E70235</paraID>
      <start>0</start>
      <end>2</end>
      <status>modified</status>
      <modifiedWord>1.</modifiedWord>
      <trackRevisions>false</trackRevisions>
    </reviewItem>
    <reviewItem>
      <errorID>655d7554-6533-4732-ac19-d046ba411edf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5C99AF8D</paraID>
      <start>0</start>
      <end>2</end>
      <status>modified</status>
      <modifiedWord>2.</modifiedWord>
      <trackRevisions>false</trackRevisions>
    </reviewItem>
    <reviewItem>
      <errorID>403e725d-51b0-443d-9366-e1125376d86e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48C97B5A</paraID>
      <start>0</start>
      <end>2</end>
      <status>modified</status>
      <modifiedWord>3.</modifiedWord>
      <trackRevisions>false</trackRevisions>
    </reviewItem>
    <reviewItem>
      <errorID>d12feb0a-5398-4865-a338-e836d408783a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1749BCDF</paraID>
      <start>0</start>
      <end>2</end>
      <status>modified</status>
      <modifiedWord>4.</modifiedWord>
      <trackRevisions>false</trackRevisions>
    </reviewItem>
    <reviewItem>
      <errorID>849fe362-2d5a-49ff-8857-e5a8dbd640a8</errorID>
      <errorWord>限制</errorWord>
      <group>L1_Word</group>
      <groupName>字词问题</groupName>
      <ability>L2_Typo</ability>
      <abilityName>字词错误</abilityName>
      <candidateList>
        <item>限</item>
      </candidateList>
      <explain/>
      <paraID>640CBCD2</paraID>
      <start>173</start>
      <end>175</end>
      <status>unmodified</status>
      <modifiedWord/>
      <trackRevisions>false</trackRevisions>
    </reviewItem>
    <reviewItem>
      <errorID>048d993d-23c8-4fa1-baaa-efb7f387d347</errorID>
      <errorWord>证书证书</errorWord>
      <group>L1_Word</group>
      <groupName>字词问题</groupName>
      <ability>L2_Typo</ability>
      <abilityName>字词错误</abilityName>
      <candidateList>
        <item>证书</item>
      </candidateList>
      <explain/>
      <paraID>1A84016D</paraID>
      <start>58</start>
      <end>60</end>
      <status>modified</status>
      <modifiedWord>证书</modifiedWord>
      <trackRevisions>false</trackRevisions>
    </reviewItem>
    <reviewItem>
      <errorID>99a452d5-46eb-49bf-9f52-28db0c60b000</errorID>
      <errorWord>,</errorWord>
      <group>L1_Format</group>
      <groupName>格式问题</groupName>
      <ability>L2_HalfPunc_CN</ability>
      <abilityName>全半角问题</abilityName>
      <candidateList>
        <item>，</item>
      </candidateList>
      <explain>文本全半角错误。</explain>
      <paraID>5CFA4318</paraID>
      <start>138</start>
      <end>139</end>
      <status>modified</status>
      <modifiedWord>，</modifiedWord>
      <trackRevisions>false</trackRevisions>
    </reviewItem>
    <reviewItem>
      <errorID>2496e2b2-43fc-4da2-bdef-8309466e62fd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5C25F2F1</paraID>
      <start>54</start>
      <end>56</end>
      <status>modified</status>
      <modifiedWord>”“</modifiedWord>
      <trackRevisions>false</trackRevisions>
    </reviewItem>
    <reviewItem>
      <errorID>4941c85d-b072-4c93-9f82-b5bf16e262d0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5C25F2F1</paraID>
      <start>72</start>
      <end>74</end>
      <status>modified</status>
      <modifiedWord>”“</modifiedWord>
      <trackRevisions>false</trackRevisions>
    </reviewItem>
    <reviewItem>
      <errorID>cd150dac-9a54-4d60-a8ac-4aefaa47aadb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5C25F2F1</paraID>
      <start>78</start>
      <end>80</end>
      <status>modified</status>
      <modifiedWord>”“</modifiedWord>
      <trackRevisions>false</trackRevisions>
    </reviewItem>
    <reviewItem>
      <errorID>0dcc1da5-6c92-4b90-8516-462c2e7e5c2c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5C25F2F1</paraID>
      <start>84</start>
      <end>86</end>
      <status>modified</status>
      <modifiedWord>”“</modifiedWord>
      <trackRevisions>false</trackRevisions>
    </reviewItem>
    <reviewItem>
      <errorID>2eb44239-6899-4ae5-8504-4c4c5fdc04c3</errorID>
      <errorWord>(</errorWord>
      <group>L1_Format</group>
      <groupName>格式问题</groupName>
      <ability>L2_HalfPunc_CN</ability>
      <abilityName>全半角问题</abilityName>
      <candidateList>
        <item>（</item>
      </candidateList>
      <explain>文本全半角错误。</explain>
      <paraID>2C071AAB</paraID>
      <start>44</start>
      <end>45</end>
      <status>modified</status>
      <modifiedWord>（</modifiedWord>
      <trackRevisions>false</trackRevisions>
    </reviewItem>
    <reviewItem>
      <errorID>b5e318cc-ed49-4a35-b6ef-af4cee0c9285</errorID>
      <errorWord>)</errorWord>
      <group>L1_Format</group>
      <groupName>格式问题</groupName>
      <ability>L2_HalfPunc_CN</ability>
      <abilityName>全半角问题</abilityName>
      <candidateList>
        <item>）</item>
      </candidateList>
      <explain>文本全半角错误。</explain>
      <paraID>2C071AAB</paraID>
      <start>51</start>
      <end>52</end>
      <status>modified</status>
      <modifiedWord>）</modifiedWord>
      <trackRevisions>false</trackRevisions>
    </reviewItem>
    <reviewItem>
      <errorID>57ef0b50-a773-499c-9ec5-5c3562830edc</errorID>
      <errorWord>,</errorWord>
      <group>L1_Format</group>
      <groupName>格式问题</groupName>
      <ability>L2_HalfPunc_CN</ability>
      <abilityName>全半角问题</abilityName>
      <candidateList>
        <item>，</item>
      </candidateList>
      <explain>文本全半角错误。</explain>
      <paraID>32F0F69C</paraID>
      <start>20</start>
      <end>21</end>
      <status>modified</status>
      <modifiedWord>，</modifiedWord>
      <trackRevisions>false</trackRevisions>
    </reviewItem>
    <reviewItem>
      <errorID>899e5d70-e34a-4df8-8a2b-7bc14e4d10a0</errorID>
      <errorWord>详实</errorWord>
      <group>L1_Word</group>
      <groupName>字词问题</groupName>
      <ability>L2_Typo</ability>
      <abilityName>字词错误</abilityName>
      <candidateList>
        <item>翔实</item>
      </candidateList>
      <explain/>
      <paraID>1CA5320C</paraID>
      <start>50</start>
      <end>52</end>
      <status>unmodified</status>
      <modifiedWord/>
      <trackRevisions>false</trackRevisions>
    </reviewItem>
    <reviewItem>
      <errorID>0f52a750-d832-40e2-ada8-d5241a0b155b</errorID>
      <errorWord>详实</errorWord>
      <group>L1_Word</group>
      <groupName>字词问题</groupName>
      <ability>L2_Typo</ability>
      <abilityName>字词错误</abilityName>
      <candidateList>
        <item>翔实</item>
      </candidateList>
      <explain>存在发音相同字词的误用。</explain>
      <paraID>701E37DA</paraID>
      <start>8</start>
      <end>10</end>
      <status>unmodified</status>
      <modifiedWord/>
      <trackRevisions>false</trackRevisions>
    </reviewItem>
    <reviewItem>
      <errorID>1e110d1b-fa12-46c1-b136-ceb7ffc468c7</errorID>
      <errorWord>为</errorWord>
      <group>L1_Word</group>
      <groupName>字词问题</groupName>
      <ability>L2_Typo</ability>
      <abilityName>字词错误</abilityName>
      <candidateList>
        <item>为准</item>
      </candidateList>
      <explain/>
      <paraID> 96F3468</paraID>
      <start>15</start>
      <end>17</end>
      <status>modified</status>
      <modifiedWord>为准</modifiedWord>
      <trackRevisions>false</trackRevisions>
    </reviewItem>
    <reviewItem>
      <errorID>93d0d1d0-deb5-4a38-86c4-7024ff7f5d79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43DE02D6</paraID>
      <start>12</start>
      <end>13</end>
      <status>unmodified</status>
      <modifiedWord/>
      <trackRevisions>false</trackRevisions>
    </reviewItem>
    <reviewItem>
      <errorID>9142daa2-0211-4f4e-90ea-1c863b5fdcb0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B604A14</paraID>
      <start>6</start>
      <end>7</end>
      <status>unmodified</status>
      <modifiedWord/>
      <trackRevisions>false</trackRevisions>
    </reviewItem>
    <reviewItem>
      <errorID>454bb221-0379-4358-9527-261a63924997</errorID>
      <errorWord>陈述件</errorWord>
      <group>L1_Word</group>
      <groupName>字词问题</groupName>
      <ability>L2_Typo</ability>
      <abilityName>字词错误</abilityName>
      <candidateList>
        <item>陈述</item>
      </candidateList>
      <explain/>
      <paraID>1C745AEE</paraID>
      <start>38</start>
      <end>40</end>
      <status>modified</status>
      <modifiedWord>陈述</modifiedWord>
      <trackRevisions>false</trackRevisions>
    </reviewItem>
    <reviewItem>
      <errorID>ba5c5143-c3da-411c-b8dd-1eca8bedb800</errorID>
      <errorWord>（</errorWord>
      <group>L1_Punc</group>
      <groupName>标点问题</groupName>
      <ability>L2_Punc_CN</ability>
      <abilityName>标点符号问题</abilityName>
      <candidateList/>
      <explain>同一形式括号套用。</explain>
      <paraID>40909CDF</paraID>
      <start>19</start>
      <end>20</end>
      <status>unmodified</status>
      <modifiedWord/>
      <trackRevisions>false</trackRevisions>
    </reviewItem>
    <reviewItem>
      <errorID>2e29c935-bd77-46ad-b41f-6a60752e782d</errorID>
      <errorWord>）</errorWord>
      <group>L1_Punc</group>
      <groupName>标点问题</groupName>
      <ability>L2_Punc_CN</ability>
      <abilityName>标点符号问题</abilityName>
      <candidateList/>
      <explain>同一形式括号套用。</explain>
      <paraID>40909CDF</paraID>
      <start>29</start>
      <end>30</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6F164C6-2319-4FB4-B27E-86C17AD35F6F}">
  <ds:schemaRefs/>
</ds:datastoreItem>
</file>

<file path=customXml/itemProps3.xml><?xml version="1.0" encoding="utf-8"?>
<ds:datastoreItem xmlns:ds="http://schemas.openxmlformats.org/officeDocument/2006/customXml" ds:itemID="{39DE0169-F9AC-41E4-B7B8-34F513EEAD04}">
  <ds:schemaRefs/>
</ds:datastoreItem>
</file>

<file path=docProps/app.xml><?xml version="1.0" encoding="utf-8"?>
<Properties xmlns="http://schemas.openxmlformats.org/officeDocument/2006/extended-properties" xmlns:vt="http://schemas.openxmlformats.org/officeDocument/2006/docPropsVTypes">
  <Template>Normal</Template>
  <Pages>113</Pages>
  <Words>104</Words>
  <Characters>134</Characters>
  <Lines>661</Lines>
  <Paragraphs>186</Paragraphs>
  <TotalTime>39</TotalTime>
  <ScaleCrop>false</ScaleCrop>
  <LinksUpToDate>false</LinksUpToDate>
  <CharactersWithSpaces>137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2026-08-10T09:27:00Z</dcterms:created>
  <dc:creator>王一飞</dc:creator>
  <cp:lastModifiedBy>杨了个杨</cp:lastModifiedBy>
  <dcterms:modified xsi:type="dcterms:W3CDTF">2026-11-04T08:46:46Z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1AAC55F784DD471695C6C8DDC520DBD1_13</vt:lpwstr>
  </property>
  <property fmtid="{D5CDD505-2E9C-101B-9397-08002B2CF9AE}" pid="4" name="KSOTemplateDocerSaveRecord">
    <vt:lpwstr>eyJoZGlkIjoiMTJjNDEwOWRiYmIzNWFkNTkwNWIyMGM3YTJiNTg5OWUiLCJ1c2VySWQiOiI1MDk2NzQ1NjMifQ==</vt:lpwstr>
  </property>
</Properties>
</file>