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竞争性谈判文件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53"/>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53"/>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0"/>
        <w:spacing w:line="360" w:lineRule="auto"/>
        <w:rPr>
          <w:rFonts w:hint="default" w:asciiTheme="minorEastAsia" w:hAnsiTheme="minorEastAsia" w:eastAsiaTheme="minorEastAsia" w:cstheme="minorEastAsia"/>
          <w:b/>
          <w:bCs w:val="0"/>
          <w:sz w:val="30"/>
          <w:szCs w:val="30"/>
          <w:highlight w:val="none"/>
          <w:lang w:val="en-US" w:eastAsia="zh-CN"/>
        </w:rPr>
      </w:pPr>
      <w:r>
        <w:rPr>
          <w:rFonts w:hint="eastAsia" w:asciiTheme="minorEastAsia" w:hAnsiTheme="minorEastAsia" w:eastAsiaTheme="minorEastAsia" w:cstheme="minorEastAsia"/>
          <w:b/>
          <w:bCs w:val="0"/>
          <w:sz w:val="30"/>
          <w:szCs w:val="30"/>
          <w:highlight w:val="none"/>
        </w:rPr>
        <w:t xml:space="preserve">项目编号：</w:t>
      </w:r>
      <w:r>
        <w:rPr>
          <w:rFonts w:hint="eastAsia" w:asciiTheme="minorEastAsia" w:hAnsiTheme="minorEastAsia" w:eastAsiaTheme="minorEastAsia" w:cstheme="minorEastAsia"/>
          <w:b/>
          <w:bCs w:val="0"/>
          <w:sz w:val="30"/>
          <w:szCs w:val="30"/>
          <w:highlight w:val="none"/>
          <w:lang w:val="en-US" w:eastAsia="zh-CN"/>
        </w:rPr>
        <w:t xml:space="preserve"> JSZC-321204-HCSS-T2026-0005 </w:t>
      </w:r>
      <w:r/>
    </w:p>
    <w:p>
      <w:pPr>
        <w:pStyle w:val="74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600" w:hanging="600"/>
        <w:jc w:val="center"/>
        <w:spacing w:line="360" w:lineRule="auto"/>
        <w:rPr>
          <w:rFonts w:hint="eastAsia" w:asciiTheme="minorEastAsia" w:hAnsiTheme="minorEastAsia" w:eastAsiaTheme="minorEastAsia" w:cstheme="minorEastAsia"/>
          <w:b/>
          <w:bCs w:val="0"/>
          <w:sz w:val="30"/>
          <w:szCs w:val="30"/>
          <w:highlight w:val="none"/>
          <w:lang w:val="en-US" w:eastAsia="zh-CN"/>
        </w:rPr>
      </w:pPr>
      <w:r>
        <w:rPr>
          <w:rFonts w:hint="eastAsia" w:asciiTheme="minorEastAsia" w:hAnsiTheme="minorEastAsia" w:eastAsiaTheme="minorEastAsia" w:cstheme="minorEastAsia"/>
          <w:b/>
          <w:bCs w:val="0"/>
          <w:sz w:val="30"/>
          <w:szCs w:val="30"/>
          <w:highlight w:val="none"/>
        </w:rPr>
        <w:t xml:space="preserve">项目名称：</w:t>
      </w:r>
      <w:r>
        <w:rPr>
          <w:rFonts w:hint="eastAsia" w:asciiTheme="minorEastAsia" w:hAnsiTheme="minorEastAsia" w:eastAsiaTheme="minorEastAsia" w:cstheme="minorEastAsia"/>
          <w:b/>
          <w:bCs w:val="0"/>
          <w:sz w:val="30"/>
          <w:szCs w:val="30"/>
          <w:highlight w:val="none"/>
          <w:lang w:val="en-US" w:eastAsia="zh-CN"/>
        </w:rPr>
        <w:t xml:space="preserve"> 姜堰区大伦镇桥东村2026年度省级宜居宜业和美乡村</w:t>
      </w:r>
      <w:r/>
    </w:p>
    <w:p>
      <w:pPr>
        <w:ind w:firstLine="2101"/>
        <w:jc w:val="both"/>
        <w:spacing w:line="360" w:lineRule="auto"/>
        <w:rPr>
          <w:rFonts w:hint="eastAsia" w:asciiTheme="minorEastAsia" w:hAnsiTheme="minorEastAsia" w:eastAsiaTheme="minorEastAsia" w:cstheme="minorEastAsia"/>
          <w:b/>
          <w:bCs w:val="0"/>
          <w:sz w:val="30"/>
          <w:szCs w:val="30"/>
          <w:highlight w:val="none"/>
          <w:lang w:val="en-US" w:eastAsia="zh-CN"/>
        </w:rPr>
      </w:pPr>
      <w:r>
        <w:rPr>
          <w:rFonts w:hint="eastAsia" w:asciiTheme="minorEastAsia" w:hAnsiTheme="minorEastAsia" w:eastAsiaTheme="minorEastAsia" w:cstheme="minorEastAsia"/>
          <w:b/>
          <w:bCs w:val="0"/>
          <w:sz w:val="30"/>
          <w:szCs w:val="30"/>
          <w:highlight w:val="none"/>
          <w:lang w:val="en-US" w:eastAsia="zh-CN"/>
        </w:rPr>
        <w:t xml:space="preserve">建设项目</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jc w:val="both"/>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泰州市姜堰区大伦镇人民政府</w:t>
      </w:r>
      <w:r/>
    </w:p>
    <w:p>
      <w:pPr>
        <w:jc w:val="cente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jc w:val="both"/>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749"/>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cstheme="minorEastAsia"/>
          <w:b/>
          <w:bCs w:val="0"/>
          <w:color w:val="000000"/>
          <w:sz w:val="32"/>
          <w:szCs w:val="32"/>
          <w:highlight w:val="none"/>
          <w:lang w:eastAsia="zh-CN"/>
        </w:rPr>
        <w:t xml:space="preserve">二</w:t>
      </w:r>
      <w:r>
        <w:rPr>
          <w:rFonts w:hint="eastAsia" w:asciiTheme="minorEastAsia" w:hAnsiTheme="minorEastAsia" w:cstheme="minorEastAsia"/>
          <w:b/>
          <w:bCs w:val="0"/>
          <w:color w:val="000000"/>
          <w:sz w:val="32"/>
          <w:szCs w:val="32"/>
          <w:highlight w:val="none"/>
          <w:lang w:val="en-US" w:eastAsia="zh-CN"/>
        </w:rPr>
        <w:t xml:space="preserve">〇二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cstheme="minorEastAsia"/>
          <w:b/>
          <w:bCs w:val="0"/>
          <w:color w:val="000000"/>
          <w:sz w:val="32"/>
          <w:szCs w:val="32"/>
          <w:highlight w:val="none"/>
          <w:lang w:eastAsia="zh-CN"/>
        </w:rPr>
        <w:t xml:space="preserve">十</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55"/>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5"/>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55"/>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5"/>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55"/>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71"/>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71"/>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1"/>
      <w:r/>
      <w:bookmarkStart w:id="1" w:name="OLE_LINK2"/>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竞争性谈判公告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谈判响应要求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谈判</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34</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78"/>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End w:id="2"/>
      <w:r/>
      <w:bookmarkStart w:id="3" w:name="_Toc27062"/>
      <w:r/>
      <w:bookmarkEnd w:id="3"/>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rPr>
          <w:rStyle w:val="956"/>
          <w:rFonts w:hint="eastAsia" w:asciiTheme="minorEastAsia" w:hAnsiTheme="minorEastAsia" w:eastAsiaTheme="minorEastAsia" w:cstheme="minorEastAsia"/>
          <w:highlight w:val="none"/>
        </w:rPr>
        <w:t xml:space="preserve">竞争性谈判公告</w:t>
      </w:r>
      <w:r/>
    </w:p>
    <w:p>
      <w:pPr>
        <w:pStyle w:val="767"/>
        <w:numPr>
          <w:ilvl w:val="0"/>
          <w:numId w:val="0"/>
        </w:num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lang w:eastAsia="zh-CN"/>
        </w:rPr>
        <w:t xml:space="preserve">姜堰区大伦镇桥东村2026年度省级宜居宜业和美乡村建设项目</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w:t>
      </w:r>
      <w:r>
        <w:rPr>
          <w:rFonts w:hint="eastAsia" w:asciiTheme="minorEastAsia" w:hAnsiTheme="minorEastAsia" w:eastAsiaTheme="minorEastAsia" w:cstheme="minorEastAsia"/>
          <w:sz w:val="24"/>
          <w:szCs w:val="24"/>
          <w:highlight w:val="none"/>
          <w:u w:val="none"/>
        </w:rPr>
        <w:t xml:space="preserve">”系统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803"/>
          <w:rFonts w:hint="eastAsia" w:asciiTheme="minorEastAsia" w:hAnsiTheme="minorEastAsia" w:eastAsiaTheme="minorEastAsia" w:cstheme="minorEastAsia"/>
          <w:color w:val="auto"/>
          <w:sz w:val="24"/>
          <w:szCs w:val="24"/>
          <w:highlight w:val="none"/>
          <w:u w:val="none"/>
        </w:rPr>
        <w:t xml:space="preserve">，并于202</w:t>
      </w:r>
      <w:r>
        <w:rPr>
          <w:rStyle w:val="803"/>
          <w:rFonts w:hint="eastAsia" w:asciiTheme="minorEastAsia" w:hAnsiTheme="minorEastAsia" w:eastAsiaTheme="minorEastAsia" w:cstheme="minorEastAsia"/>
          <w:color w:val="auto"/>
          <w:sz w:val="24"/>
          <w:szCs w:val="24"/>
          <w:highlight w:val="none"/>
          <w:u w:val="none"/>
          <w:lang w:val="en-US" w:eastAsia="zh-CN"/>
        </w:rPr>
        <w:t xml:space="preserve">6</w:t>
      </w:r>
      <w:r>
        <w:rPr>
          <w:rStyle w:val="803"/>
          <w:rFonts w:hint="eastAsia" w:asciiTheme="minorEastAsia" w:hAnsiTheme="minorEastAsia" w:eastAsiaTheme="minorEastAsia" w:cstheme="minorEastAsia"/>
          <w:color w:val="auto"/>
          <w:sz w:val="24"/>
          <w:szCs w:val="24"/>
          <w:highlight w:val="none"/>
          <w:u w:val="none"/>
        </w:rPr>
        <w:t xml:space="preserve">年</w:t>
      </w:r>
      <w:r>
        <w:rPr>
          <w:rStyle w:val="803"/>
          <w:rFonts w:hint="eastAsia" w:asciiTheme="minorEastAsia" w:hAnsiTheme="minorEastAsia" w:eastAsiaTheme="minorEastAsia" w:cstheme="minorEastAsia"/>
          <w:color w:val="auto"/>
          <w:sz w:val="24"/>
          <w:szCs w:val="24"/>
          <w:highlight w:val="none"/>
          <w:u w:val="none"/>
          <w:lang w:val="en-US" w:eastAsia="zh-CN"/>
        </w:rPr>
        <w:t xml:space="preserve">11</w:t>
      </w:r>
      <w:r>
        <w:rPr>
          <w:rStyle w:val="803"/>
          <w:rFonts w:hint="eastAsia" w:asciiTheme="minorEastAsia" w:hAnsiTheme="minorEastAsia" w:eastAsiaTheme="minorEastAsia" w:cstheme="minorEastAsia"/>
          <w:color w:val="auto"/>
          <w:sz w:val="24"/>
          <w:szCs w:val="24"/>
          <w:highlight w:val="none"/>
          <w:u w:val="none"/>
        </w:rPr>
        <w:t xml:space="preserve">月</w:t>
      </w:r>
      <w:r>
        <w:rPr>
          <w:rStyle w:val="803"/>
          <w:rFonts w:hint="eastAsia" w:asciiTheme="minorEastAsia" w:hAnsiTheme="minorEastAsia" w:eastAsiaTheme="minorEastAsia" w:cstheme="minorEastAsia"/>
          <w:color w:val="auto"/>
          <w:sz w:val="24"/>
          <w:szCs w:val="24"/>
          <w:highlight w:val="none"/>
          <w:u w:val="none"/>
        </w:rPr>
        <w:fldChar w:fldCharType="end"/>
      </w:r>
      <w:r>
        <w:rPr>
          <w:rStyle w:val="803"/>
          <w:rFonts w:hint="eastAsia" w:asciiTheme="minorEastAsia" w:hAnsiTheme="minorEastAsia" w:eastAsiaTheme="minorEastAsia" w:cstheme="minorEastAsia"/>
          <w:color w:val="auto"/>
          <w:sz w:val="24"/>
          <w:szCs w:val="24"/>
          <w:highlight w:val="none"/>
          <w:u w:val="none"/>
          <w:lang w:val="en-US" w:eastAsia="zh-CN"/>
        </w:rPr>
        <w:t xml:space="preserve">02</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09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0"/>
        <w:ind w:left="0" w:firstLine="0"/>
        <w:keepLines w:val="0"/>
        <w:keepNext w:val="0"/>
        <w:pageBreakBefore w:val="0"/>
        <w:spacing w:after="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0"/>
        <w:ind w:left="0" w:firstLine="480"/>
        <w:keepLines w:val="0"/>
        <w:keepNext w:val="0"/>
        <w:pageBreakBefore w:val="0"/>
        <w:spacing w:after="0" w:line="360" w:lineRule="auto"/>
        <w:rPr>
          <w:rFonts w:hint="eastAsia" w:eastAsia="宋体" w:asciiTheme="minorEastAsia" w:hAnsi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项目编号：JSZC-321204-HCSS-T2026-0005</w:t>
      </w:r>
      <w:r>
        <w:rPr>
          <w:rFonts w:hint="eastAsia" w:asciiTheme="minorEastAsia" w:hAnsiTheme="minorEastAsia" w:cstheme="minorEastAsia"/>
          <w:color w:val="000000"/>
          <w:sz w:val="24"/>
          <w:szCs w:val="24"/>
          <w:highlight w:val="none"/>
          <w:lang w:val="en-US" w:eastAsia="zh-CN"/>
        </w:rPr>
        <w:t xml:space="preserve"> </w:t>
      </w:r>
      <w:r/>
    </w:p>
    <w:p>
      <w:pPr>
        <w:pStyle w:val="990"/>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eastAsiaTheme="minorEastAsia" w:cstheme="minorEastAsia"/>
          <w:color w:val="000000"/>
          <w:sz w:val="24"/>
          <w:szCs w:val="24"/>
          <w:highlight w:val="none"/>
          <w:lang w:eastAsia="zh-CN"/>
        </w:rPr>
        <w:t xml:space="preserve">姜堰区大伦镇桥东村2026年度省级宜居宜业和美乡村建设项目</w:t>
      </w:r>
      <w:r/>
    </w:p>
    <w:p>
      <w:pPr>
        <w:pStyle w:val="990"/>
        <w:ind w:left="0" w:firstLine="480"/>
        <w:keepLines w:val="0"/>
        <w:keepNext w:val="0"/>
        <w:pageBreakBefore w:val="0"/>
        <w:spacing w:after="0"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w:t>
      </w:r>
      <w:r>
        <w:rPr>
          <w:rFonts w:hint="eastAsia" w:asciiTheme="minorEastAsia" w:hAnsiTheme="minorEastAsia" w:eastAsiaTheme="minorEastAsia" w:cstheme="minorEastAsia"/>
          <w:color w:val="000000"/>
          <w:sz w:val="24"/>
          <w:szCs w:val="24"/>
          <w:highlight w:val="none"/>
          <w:lang w:val="en-US" w:eastAsia="zh-CN"/>
        </w:rPr>
        <w:t xml:space="preserve">谈判</w:t>
      </w:r>
      <w:r/>
    </w:p>
    <w:p>
      <w:pPr>
        <w:pStyle w:val="1051"/>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sz w:val="24"/>
          <w:szCs w:val="24"/>
          <w:highlight w:val="none"/>
          <w:lang w:val="en-US" w:eastAsia="zh-CN"/>
        </w:rPr>
        <w:t xml:space="preserve">141.179670</w:t>
      </w:r>
      <w:r>
        <w:rPr>
          <w:rFonts w:hint="eastAsia" w:asciiTheme="minorEastAsia" w:hAnsiTheme="minorEastAsia" w:eastAsiaTheme="minorEastAsia" w:cstheme="minorEastAsia"/>
          <w:sz w:val="24"/>
          <w:szCs w:val="24"/>
          <w:highlight w:val="none"/>
        </w:rPr>
        <w:t xml:space="preserve">万元</w:t>
      </w:r>
      <w:r/>
    </w:p>
    <w:p>
      <w:pPr>
        <w:pStyle w:val="990"/>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sz w:val="24"/>
          <w:szCs w:val="24"/>
          <w:highlight w:val="none"/>
          <w:lang w:val="en-US" w:eastAsia="zh-CN"/>
        </w:rPr>
        <w:t xml:space="preserve">122.826313</w:t>
      </w:r>
      <w:r>
        <w:rPr>
          <w:rFonts w:hint="eastAsia" w:asciiTheme="minorEastAsia" w:hAnsiTheme="minorEastAsia" w:eastAsiaTheme="minorEastAsia" w:cstheme="minorEastAsia"/>
          <w:sz w:val="24"/>
          <w:szCs w:val="24"/>
          <w:highlight w:val="none"/>
        </w:rPr>
        <w:t xml:space="preserve">万元（超过最高限价为无效报价，按照无效响应处理。）</w:t>
      </w:r>
      <w:r/>
    </w:p>
    <w:p>
      <w:pPr>
        <w:pStyle w:val="990"/>
        <w:ind w:left="0" w:firstLine="480"/>
        <w:keepLines w:val="0"/>
        <w:keepNext w:val="0"/>
        <w:pageBreakBefore w:val="0"/>
        <w:spacing w:after="0"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eastAsia="zh-CN"/>
        </w:rPr>
        <w:t xml:space="preserve">姜堰区大伦镇桥东村2026年度省级宜居宜业和美乡村建设项目，</w:t>
      </w:r>
      <w:r>
        <w:rPr>
          <w:rFonts w:hint="eastAsia" w:asciiTheme="minorEastAsia" w:hAnsiTheme="minorEastAsia" w:eastAsiaTheme="minorEastAsia" w:cstheme="minorEastAsia"/>
          <w:bCs/>
          <w:color w:val="000000"/>
          <w:sz w:val="24"/>
          <w:szCs w:val="24"/>
          <w:highlight w:val="none"/>
        </w:rPr>
        <w:t xml:space="preserve">详见采购需求</w:t>
      </w:r>
      <w:r/>
    </w:p>
    <w:p>
      <w:pPr>
        <w:pStyle w:val="990"/>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eastAsiaTheme="minorEastAsia" w:cstheme="minorEastAsia"/>
          <w:color w:val="000000"/>
          <w:sz w:val="24"/>
          <w:szCs w:val="24"/>
          <w:highlight w:val="none"/>
          <w:lang w:val="en-US" w:eastAsia="zh-CN"/>
        </w:rPr>
        <w:t xml:space="preserve">30日历天</w:t>
      </w:r>
      <w:r>
        <w:rPr>
          <w:rFonts w:hint="eastAsia" w:asciiTheme="minorEastAsia" w:hAnsiTheme="minorEastAsia" w:eastAsiaTheme="minorEastAsia" w:cstheme="minorEastAsia"/>
          <w:sz w:val="24"/>
          <w:szCs w:val="24"/>
          <w:highlight w:val="none"/>
          <w:lang w:val="en-US" w:eastAsia="zh-CN"/>
        </w:rPr>
        <w:t xml:space="preserve"> </w:t>
      </w:r>
      <w:r/>
    </w:p>
    <w:p>
      <w:pPr>
        <w:pStyle w:val="990"/>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990"/>
        <w:ind w:left="0" w:firstLine="0"/>
        <w:keepLines w:val="0"/>
        <w:keepNext w:val="0"/>
        <w:pageBreakBefore w:val="0"/>
        <w:spacing w:after="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bookmarkStart w:id="4" w:name="bookmark44"/>
      <w:r/>
      <w:bookmarkEnd w:id="4"/>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bookmarkStart w:id="5" w:name="bookmark45"/>
      <w:r/>
      <w:bookmarkEnd w:id="5"/>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6" w:name="bookmark46"/>
      <w:r/>
      <w:bookmarkEnd w:id="6"/>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7" w:name="bookmark47"/>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3.1</w:t>
      </w:r>
      <w:r>
        <w:rPr>
          <w:rFonts w:hint="eastAsia" w:asciiTheme="minorEastAsia" w:hAnsiTheme="minorEastAsia" w:eastAsiaTheme="minorEastAsia" w:cstheme="minorEastAsia"/>
          <w:sz w:val="24"/>
          <w:szCs w:val="24"/>
          <w:highlight w:val="none"/>
        </w:rPr>
        <w:t xml:space="preserve">供应商须具备建设行政主管部门颁发的有效的市政公用工程施工总承包三级（及）以上资质并具备有效的建筑施工企业安全生产许可证。</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92"/>
        <w:ind w:firstLine="480"/>
        <w:keepLines w:val="0"/>
        <w:keepNext w:val="0"/>
        <w:pageBreakBefore w:val="0"/>
        <w:spacing w:after="0"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90"/>
        <w:ind w:left="0" w:firstLine="0"/>
        <w:keepLines w:val="0"/>
        <w:keepNext w:val="0"/>
        <w:pageBreakBefore w:val="0"/>
        <w:spacing w:after="0"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7"/>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bookmarkStart w:id="8" w:name="bookmark48"/>
      <w:r>
        <w:rPr>
          <w:rFonts w:hint="eastAsia" w:asciiTheme="minorEastAsia" w:hAnsiTheme="minorEastAsia" w:eastAsiaTheme="minorEastAsia" w:cstheme="minorEastAsia"/>
          <w:sz w:val="24"/>
          <w:szCs w:val="24"/>
          <w:highlight w:val="none"/>
          <w:lang w:val="en-US" w:eastAsia="zh-CN"/>
        </w:rPr>
        <w:t xml:space="preserve">（一）时间：自本公告发布之日起3个工作日。</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8"/>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间：2026年11月02日09时30分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间：2026年11月02日09时30分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个工作日。</w:t>
      </w:r>
      <w:r/>
    </w:p>
    <w:p>
      <w:pPr>
        <w:pStyle w:val="990"/>
        <w:ind w:left="0" w:firstLine="0"/>
        <w:keepLines w:val="0"/>
        <w:keepNext w:val="0"/>
        <w:pageBreakBefore w:val="0"/>
        <w:spacing w:after="0" w:line="360" w:lineRule="auto"/>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360" w:lineRule="auto"/>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360" w:lineRule="auto"/>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360" w:lineRule="auto"/>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bookmarkStart w:id="9" w:name="bookmark49"/>
      <w:r/>
      <w:bookmarkEnd w:id="9"/>
      <w:r>
        <w:rPr>
          <w:rFonts w:hint="eastAsia" w:asciiTheme="minorEastAsia" w:hAnsiTheme="minorEastAsia" w:eastAsiaTheme="minorEastAsia" w:cstheme="minorEastAsia"/>
          <w:sz w:val="24"/>
          <w:szCs w:val="24"/>
          <w:highlight w:val="none"/>
          <w:lang w:val="en-US" w:eastAsia="zh-CN"/>
        </w:rPr>
        <w:t xml:space="preserve">1.采购人信息</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名 称：泰州市姜堰区大伦镇人民政府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地 址：泰州市姜堰区大伦镇</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联系方式：曹先生 15061042809</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2.采购代理机构信息</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名 称：江苏汇成工程项目管理有限公司</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地 址：泰州市姜堰区陈庄东路启拓大厦4楼</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联系方式：申先生 13401222181</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3.项目联系方式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项目联系人：申先生 13401222181</w:t>
      </w:r>
      <w:r/>
    </w:p>
    <w:p>
      <w:pPr>
        <w:jc w:val="right"/>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bookmarkEnd w:id="0"/>
      <w:r/>
      <w:bookmarkEnd w:id="1"/>
      <w:r>
        <w:rPr>
          <w:rFonts w:hint="eastAsia" w:asciiTheme="minorEastAsia" w:hAnsiTheme="minorEastAsia" w:eastAsiaTheme="minorEastAsia" w:cstheme="minorEastAsia"/>
          <w:sz w:val="24"/>
          <w:szCs w:val="24"/>
          <w:highlight w:val="none"/>
          <w:lang w:val="en-US" w:eastAsia="zh-CN"/>
        </w:rPr>
        <w:t xml:space="preserve">2026年10月27日</w:t>
      </w:r>
      <w:r/>
    </w:p>
    <w:p>
      <w:pPr>
        <w:jc w:val="center"/>
        <w:rPr>
          <w:rStyle w:val="956"/>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0" w:name="_Toc3410"/>
      <w:r/>
      <w:bookmarkStart w:id="11" w:name="_Toc24543"/>
      <w:r>
        <w:rPr>
          <w:rStyle w:val="956"/>
          <w:rFonts w:hint="eastAsia" w:asciiTheme="minorEastAsia" w:hAnsiTheme="minorEastAsia" w:eastAsiaTheme="minorEastAsia" w:cstheme="minorEastAsia"/>
          <w:highlight w:val="none"/>
        </w:rPr>
        <w:t xml:space="preserve">第二章 供应商须知</w:t>
      </w:r>
      <w:bookmarkEnd w:id="10"/>
      <w:r/>
      <w:bookmarkEnd w:id="11"/>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w:t>
      </w:r>
      <w:r>
        <w:rPr>
          <w:rFonts w:hint="eastAsia" w:asciiTheme="minorEastAsia" w:hAnsiTheme="minorEastAsia" w:eastAsiaTheme="minorEastAsia" w:cstheme="minorEastAsia"/>
          <w:bCs/>
          <w:color w:val="auto"/>
          <w:szCs w:val="21"/>
          <w:highlight w:val="none"/>
          <w:lang w:val="en-US" w:eastAsia="zh-CN"/>
        </w:rPr>
        <w:t xml:space="preserve">谈判</w:t>
      </w:r>
      <w:r>
        <w:rPr>
          <w:rFonts w:hint="eastAsia" w:asciiTheme="minorEastAsia" w:hAnsiTheme="minorEastAsia" w:eastAsiaTheme="minorEastAsia" w:cstheme="minorEastAsia"/>
          <w:bCs/>
          <w:color w:val="auto"/>
          <w:szCs w:val="21"/>
          <w:highlight w:val="none"/>
        </w:rPr>
        <w:t xml:space="preserve">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2" w:name="_Hlk121232993"/>
      <w:r>
        <w:rPr>
          <w:rFonts w:hint="eastAsia" w:asciiTheme="minorEastAsia" w:hAnsiTheme="minorEastAsia" w:eastAsiaTheme="minorEastAsia" w:cstheme="minorEastAsia"/>
          <w:b/>
          <w:color w:val="auto"/>
          <w:szCs w:val="22"/>
          <w:highlight w:val="none"/>
        </w:rPr>
        <w:t xml:space="preserve">     供应商须知</w:t>
      </w:r>
      <w:bookmarkEnd w:id="12"/>
      <w:r>
        <w:rPr>
          <w:rFonts w:hint="eastAsia" w:asciiTheme="minorEastAsia" w:hAnsiTheme="minorEastAsia" w:eastAsiaTheme="minorEastAsia" w:cstheme="minorEastAsia"/>
          <w:b/>
          <w:color w:val="auto"/>
          <w:szCs w:val="22"/>
          <w:highlight w:val="none"/>
        </w:rPr>
        <w:t xml:space="preserve">前附表</w:t>
      </w:r>
      <w:r/>
    </w:p>
    <w:tbl>
      <w:tblPr>
        <w:tblStyle w:val="748"/>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姜堰区大伦镇桥东村2026年度省级宜居宜业和美乡村建设项目</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姜堰区大伦镇桥东村2026年度省级宜居宜业和美乡村建设项目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工期：  日历天 </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spacing w:line="400" w:lineRule="exac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预算金额：141.179670万元</w:t>
            </w:r>
            <w:r/>
          </w:p>
          <w:p>
            <w:pPr>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最高限价：122.826313万元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w:t>
            </w: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w:t>
            </w: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时间：响应文件递交截止时间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天前</w:t>
            </w:r>
            <w:r/>
          </w:p>
          <w:p>
            <w:pPr>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申先生</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13401222181</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响应文件递交截止时间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w:t>
            </w: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6</w:t>
            </w:r>
            <w:r>
              <w:rPr>
                <w:rFonts w:hint="eastAsia" w:asciiTheme="minorEastAsia" w:hAnsiTheme="minorEastAsia" w:eastAsiaTheme="minorEastAsia" w:cstheme="minorEastAsia"/>
                <w:color w:val="auto"/>
                <w:sz w:val="21"/>
                <w:szCs w:val="21"/>
                <w:highlight w:val="none"/>
                <w:u w:val="single"/>
                <w:lang w:eastAsia="zh-CN"/>
              </w:rPr>
              <w:t xml:space="preserve">0日历天</w:t>
            </w:r>
            <w:r>
              <w:rPr>
                <w:rFonts w:hint="eastAsia" w:asciiTheme="minorEastAsia" w:hAnsiTheme="minorEastAsia" w:eastAsiaTheme="minorEastAsia" w:cstheme="minorEastAsia"/>
                <w:color w:val="auto"/>
                <w:sz w:val="21"/>
                <w:szCs w:val="21"/>
                <w:highlight w:val="none"/>
              </w:rPr>
              <w:t xml:space="preserve">（从</w:t>
            </w:r>
            <w:r>
              <w:rPr>
                <w:rFonts w:hint="eastAsia" w:asciiTheme="minorEastAsia" w:hAnsiTheme="minorEastAsia" w:eastAsiaTheme="minorEastAsia" w:cstheme="minorEastAsia"/>
                <w:color w:val="auto"/>
                <w:sz w:val="21"/>
                <w:szCs w:val="21"/>
                <w:highlight w:val="none"/>
                <w:lang w:eastAsia="zh-CN"/>
              </w:rPr>
              <w:t xml:space="preserve">谈判</w:t>
            </w:r>
            <w:r>
              <w:rPr>
                <w:rFonts w:hint="eastAsia" w:asciiTheme="minorEastAsia" w:hAnsiTheme="minorEastAsia" w:eastAsiaTheme="minorEastAsia" w:cstheme="minorEastAsia"/>
                <w:color w:val="auto"/>
                <w:sz w:val="21"/>
                <w:szCs w:val="21"/>
                <w:highlight w:val="none"/>
              </w:rPr>
              <w:t xml:space="preserve">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详见竞争性谈判公告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0分钟内提交最后报价(二次报价)。未能在规定时间内完成报价的供应商视为放弃投标。</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ascii="宋体" w:hAnsi="宋体" w:eastAsia="宋体" w:cs="宋体"/>
                <w:color w:val="000000"/>
                <w:sz w:val="21"/>
              </w:rPr>
              <w:t xml:space="preserve">详见本文件第</w:t>
            </w:r>
            <w:r>
              <w:rPr>
                <w:rFonts w:hint="eastAsia" w:ascii="宋体" w:hAnsi="宋体" w:eastAsia="宋体" w:cs="宋体"/>
                <w:color w:val="000000"/>
                <w:sz w:val="21"/>
                <w:lang w:val="en-US" w:eastAsia="zh-CN"/>
              </w:rPr>
              <w:t xml:space="preserve">五</w:t>
            </w:r>
            <w:r>
              <w:rPr>
                <w:rFonts w:ascii="宋体" w:hAnsi="宋体" w:eastAsia="宋体" w:cs="宋体"/>
                <w:color w:val="000000"/>
                <w:sz w:val="21"/>
              </w:rPr>
              <w:t xml:space="preserve">章</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委员会构成： 由采购人代表和政府采购专家组成</w:t>
            </w:r>
            <w:r/>
          </w:p>
          <w:p>
            <w:pPr>
              <w:pStyle w:val="76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w:t>
            </w:r>
            <w:r>
              <w:rPr>
                <w:rFonts w:hint="eastAsia" w:asciiTheme="minorEastAsia" w:hAnsiTheme="minorEastAsia" w:eastAsiaTheme="minorEastAsia" w:cstheme="minorEastAsia"/>
                <w:color w:val="auto"/>
                <w:sz w:val="21"/>
                <w:szCs w:val="21"/>
                <w:highlight w:val="none"/>
                <w:lang w:eastAsia="zh-CN"/>
              </w:rPr>
              <w:t xml:space="preserve">谈判</w:t>
            </w:r>
            <w:r>
              <w:rPr>
                <w:rFonts w:hint="eastAsia" w:asciiTheme="minorEastAsia" w:hAnsiTheme="minorEastAsia" w:eastAsiaTheme="minorEastAsia" w:cstheme="minorEastAsia"/>
                <w:color w:val="auto"/>
                <w:sz w:val="21"/>
                <w:szCs w:val="21"/>
                <w:highlight w:val="none"/>
              </w:rPr>
              <w:t xml:space="preserve">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w:t>
            </w:r>
            <w:r>
              <w:rPr>
                <w:rFonts w:hint="eastAsia" w:asciiTheme="minorEastAsia" w:hAnsiTheme="minorEastAsia" w:eastAsiaTheme="minorEastAsia" w:cstheme="minorEastAsia"/>
                <w:color w:val="auto"/>
                <w:sz w:val="21"/>
                <w:szCs w:val="21"/>
                <w:highlight w:val="none"/>
                <w:lang w:eastAsia="zh-CN"/>
              </w:rPr>
              <w:t xml:space="preserve">谈判</w:t>
            </w:r>
            <w:r>
              <w:rPr>
                <w:rFonts w:hint="eastAsia" w:asciiTheme="minorEastAsia" w:hAnsiTheme="minorEastAsia" w:eastAsiaTheme="minorEastAsia" w:cstheme="minorEastAsia"/>
                <w:color w:val="auto"/>
                <w:sz w:val="21"/>
                <w:szCs w:val="21"/>
                <w:highlight w:val="none"/>
              </w:rPr>
              <w:t xml:space="preserve">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76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58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74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15</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泰州市姜堰区大伦镇人民政府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ind w:firstLine="420"/>
              <w:rPr>
                <w:rFonts w:hint="eastAsia" w:eastAsia="宋体" w:asciiTheme="minorEastAsia" w:hAnsiTheme="minorEastAsia" w:cstheme="minorEastAsia"/>
                <w:color w:val="auto"/>
                <w:sz w:val="21"/>
                <w:szCs w:val="21"/>
                <w:highlight w:val="none"/>
                <w:lang w:eastAsia="zh-CN"/>
              </w:rPr>
            </w:pPr>
            <w:r>
              <w:rPr>
                <w:rFonts w:hint="eastAsia" w:eastAsia="宋体" w:asciiTheme="minorEastAsia" w:hAnsiTheme="minorEastAsia" w:cstheme="minorEastAsia"/>
                <w:color w:val="auto"/>
                <w:sz w:val="21"/>
                <w:szCs w:val="21"/>
                <w:highlight w:val="none"/>
                <w:lang w:eastAsia="zh-CN"/>
              </w:rPr>
              <w:t xml:space="preserve">合同签订且施工单位进场后支付合同价的30%，工程完成70%后支付至合同价的50%，工程竣工验收合格后支付至合同价的70%；工程结算后支付至双方确认价的97%；余款为质保金，待缺陷责任期满后一次性付清（缺陷责任期1年，不计利息）。</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1.本项目每次支付的进度工程款都包含招标人已支付的农民工工资（农民工工资由发包人代付，支付工程款时扣除）。 </w:t>
            </w:r>
            <w:r/>
          </w:p>
          <w:p>
            <w:pPr>
              <w:ind w:firstLine="420"/>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2.暂列金额（若有）不作为中间支付与工程结算支付的基础。</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结算方式：</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59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本项目招标代理服务费参照</w:t>
            </w:r>
            <w:r>
              <w:rPr>
                <w:rFonts w:hint="eastAsia" w:asciiTheme="minorEastAsia" w:hAnsiTheme="minorEastAsia" w:eastAsiaTheme="minorEastAsia" w:cstheme="minorEastAsia"/>
                <w:color w:val="auto"/>
                <w:sz w:val="21"/>
                <w:szCs w:val="21"/>
                <w:highlight w:val="none"/>
                <w:lang w:val="en-US" w:eastAsia="zh-CN"/>
              </w:rPr>
              <w:t xml:space="preserve">大伦镇收费标准由采购人支付。</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bl>
    <w:p>
      <w:pPr>
        <w:pStyle w:val="76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76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本竞争性谈判文件适用于本采购项目的谈判、评审、确定供应商、验收、合同履约、付款等（法律、法规另有规定的，从其规定）。</w:t>
      </w:r>
      <w:r/>
    </w:p>
    <w:p>
      <w:pPr>
        <w:pStyle w:val="76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76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本项目采用竞争性谈判方式进行。</w:t>
      </w:r>
      <w:r/>
    </w:p>
    <w:p>
      <w:pPr>
        <w:pStyle w:val="76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费用</w:t>
      </w:r>
      <w:r/>
    </w:p>
    <w:p>
      <w:pPr>
        <w:pStyle w:val="1051"/>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不论谈判结果如何，供应商均应自行承担所有与谈判有关的全部费用。</w:t>
      </w:r>
      <w:r/>
    </w:p>
    <w:p>
      <w:pPr>
        <w:pStyle w:val="76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pStyle w:val="1051"/>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供应商应仔细阅读本谈判文件的所有内容，按照谈判文件的要求提交谈判响应文件。谈判响应文件应对谈判文件的要求作出实质性响应，并对所提供的全部资料的真实性承担法律责任。</w:t>
      </w:r>
      <w:r/>
    </w:p>
    <w:p>
      <w:pPr>
        <w:pStyle w:val="1051"/>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51"/>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51"/>
        <w:ind w:firstLine="482"/>
        <w:jc w:val="left"/>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3"/>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供应商须具备建设行政主管部门颁发的有效的市政公用工程施工总承包三级（及）以上资质并具备有效的建筑施工企业安全生产许可证。</w:t>
      </w:r>
      <w:r/>
    </w:p>
    <w:p>
      <w:pPr>
        <w:numPr>
          <w:ilvl w:val="0"/>
          <w:numId w:val="3"/>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51"/>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92"/>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项目负责人无在建工程</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51"/>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738"/>
        <w:rPr>
          <w:rFonts w:hint="eastAsia" w:asciiTheme="minorEastAsia" w:hAnsiTheme="minorEastAsia" w:eastAsiaTheme="minorEastAsia" w:cstheme="minorEastAsia"/>
          <w:highlight w:val="none"/>
        </w:rPr>
      </w:pPr>
      <w:r/>
      <w:bookmarkStart w:id="13" w:name="_Toc8067"/>
      <w:r/>
      <w:bookmarkStart w:id="14" w:name="_Toc4989"/>
      <w:r/>
      <w:bookmarkStart w:id="15" w:name="_Toc14422"/>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谈判</w:t>
      </w:r>
      <w:r>
        <w:rPr>
          <w:rFonts w:hint="eastAsia" w:asciiTheme="minorEastAsia" w:hAnsiTheme="minorEastAsia" w:eastAsiaTheme="minorEastAsia" w:cstheme="minorEastAsia"/>
          <w:highlight w:val="none"/>
        </w:rPr>
        <w:t xml:space="preserve">响应要求</w:t>
      </w:r>
      <w:bookmarkEnd w:id="13"/>
      <w:r/>
      <w:bookmarkEnd w:id="14"/>
      <w:r/>
      <w:bookmarkEnd w:id="15"/>
      <w:r/>
      <w:r/>
    </w:p>
    <w:p>
      <w:pPr>
        <w:pStyle w:val="1051"/>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1、谈判文件</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（1）谈判文件的组成，为采购公告、本文件及所有按规定发出的补充变更通知。</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（2）谈判文件的澄清及修改：</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①供应商在下载谈判文件后，如有疑问需要澄清，应按谈判须知第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②在谈判截止日前，本公司可根据采购人的要求或在解答供应商提出的澄清问题时对谈判文件进行修改。</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③谈判文件的修改将在“江苏政府采购网”上发布，作为谈判文件的组成部分。</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④为使供应商编写谈判响应文件有充分的时间对谈判文件的修改部分进行分析、研究，本公司将根据有关规定在“江苏政府采购网”上发布延期采购公告，请供应商主动登陆查询。</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⑤供应商对谈判文件所做出的推论、解释和结论，本公司概不负责。</w:t>
      </w:r>
      <w:r/>
    </w:p>
    <w:p>
      <w:pPr>
        <w:pStyle w:val="1051"/>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w:t>
      </w:r>
      <w:r>
        <w:rPr>
          <w:rFonts w:hint="eastAsia" w:asciiTheme="minorEastAsia" w:hAnsiTheme="minorEastAsia" w:eastAsiaTheme="minorEastAsia" w:cstheme="minorEastAsia"/>
          <w:b/>
          <w:bCs/>
          <w:sz w:val="24"/>
          <w:highlight w:val="none"/>
          <w:lang w:eastAsia="zh-CN"/>
        </w:rPr>
        <w:t xml:space="preserve">谈判</w:t>
      </w:r>
      <w:r>
        <w:rPr>
          <w:rFonts w:hint="eastAsia" w:asciiTheme="minorEastAsia" w:hAnsiTheme="minorEastAsia" w:eastAsiaTheme="minorEastAsia" w:cstheme="minorEastAsia"/>
          <w:b/>
          <w:bCs/>
          <w:sz w:val="24"/>
          <w:highlight w:val="none"/>
        </w:rPr>
        <w:t xml:space="preserve">响应费用</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响应文件以及递交</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响应文件所涉及的一切费用。</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文件：免费。</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w:t>
      </w:r>
      <w:r>
        <w:rPr>
          <w:rFonts w:hint="eastAsia" w:asciiTheme="minorEastAsia" w:hAnsiTheme="minorEastAsia" w:eastAsiaTheme="minorEastAsia" w:cstheme="minorEastAsia"/>
          <w:sz w:val="24"/>
          <w:highlight w:val="none"/>
          <w:lang w:val="en-US" w:eastAsia="zh-CN"/>
        </w:rPr>
        <w:t xml:space="preserve">采购人</w:t>
      </w:r>
      <w:r>
        <w:rPr>
          <w:rFonts w:hint="eastAsia" w:asciiTheme="minorEastAsia" w:hAnsiTheme="minorEastAsia" w:eastAsiaTheme="minorEastAsia" w:cstheme="minorEastAsia"/>
          <w:sz w:val="24"/>
          <w:highlight w:val="none"/>
          <w:lang w:val="zh-CN"/>
        </w:rPr>
        <w:t xml:space="preserve">承担。</w:t>
      </w:r>
      <w:r/>
    </w:p>
    <w:p>
      <w:pPr>
        <w:pStyle w:val="10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10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32"/>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环节。</w:t>
      </w:r>
      <w:r/>
    </w:p>
    <w:p>
      <w:pPr>
        <w:pStyle w:val="1032"/>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32"/>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详见竞争性谈判公告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详见竞争性谈判公告</w:t>
      </w:r>
      <w:r>
        <w:rPr>
          <w:rFonts w:hint="eastAsia" w:asciiTheme="minorEastAsia" w:hAnsiTheme="minorEastAsia" w:eastAsiaTheme="minorEastAsia" w:cstheme="minorEastAsia"/>
          <w:b/>
          <w:bCs/>
          <w:sz w:val="24"/>
          <w:szCs w:val="24"/>
          <w:highlight w:val="none"/>
        </w:rPr>
        <w:t xml:space="preserve">。</w:t>
      </w:r>
      <w:r/>
    </w:p>
    <w:p>
      <w:pPr>
        <w:pStyle w:val="10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详见竞争性谈判公告</w:t>
      </w:r>
      <w:r>
        <w:rPr>
          <w:rFonts w:hint="eastAsia" w:asciiTheme="minorEastAsia" w:hAnsiTheme="minorEastAsia" w:eastAsiaTheme="minorEastAsia" w:cstheme="minorEastAsia"/>
          <w:b/>
          <w:bCs/>
          <w:sz w:val="24"/>
          <w:szCs w:val="24"/>
          <w:highlight w:val="none"/>
        </w:rPr>
        <w:t xml:space="preserve">。</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32"/>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报价表》（加盖电子签章，</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文件》附件）</w:t>
      </w:r>
      <w:r>
        <w:rPr>
          <w:rFonts w:hint="eastAsia" w:asciiTheme="minorEastAsia" w:hAnsiTheme="minorEastAsia" w:eastAsiaTheme="minorEastAsia" w:cstheme="minorEastAsia"/>
          <w:b/>
          <w:sz w:val="24"/>
          <w:szCs w:val="24"/>
          <w:highlight w:val="none"/>
        </w:rPr>
        <w:t xml:space="preserve">（法定代表人参与</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的可不提供）</w:t>
      </w:r>
      <w:r>
        <w:rPr>
          <w:rFonts w:hint="eastAsia" w:asciiTheme="minorEastAsia" w:hAnsiTheme="minorEastAsia" w:eastAsiaTheme="minorEastAsia" w:cstheme="minorEastAsia"/>
          <w:sz w:val="24"/>
          <w:szCs w:val="24"/>
          <w:highlight w:val="none"/>
        </w:rPr>
        <w:t xml:space="preserve">；</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32"/>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当月）银行出具的资信证明扫描件；或财政部门认可的政府采购专业担保机构出具的投标担保函扫描件。</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文件中规定的资格特定条件证明材料：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rPr>
        <w:t xml:space="preserve">（1）有效的市政公用工程施工总承包三级（及）以上资质并具备有效的建筑施工企业安全生产许可证；</w:t>
      </w:r>
      <w:r/>
    </w:p>
    <w:p>
      <w:pPr>
        <w:pStyle w:val="1051"/>
        <w:ind w:firstLine="480"/>
        <w:jc w:val="left"/>
        <w:keepLines w:val="0"/>
        <w:keepNext w:val="0"/>
        <w:pageBreakBefore w:val="0"/>
        <w:spacing w:line="360" w:lineRule="auto"/>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rPr>
          <w:rFonts w:hint="eastAsia" w:asciiTheme="minorEastAsia" w:hAnsiTheme="minorEastAsia" w:eastAsiaTheme="minorEastAsia" w:cstheme="minorEastAsia"/>
          <w:sz w:val="24"/>
          <w:highlight w:val="none"/>
          <w:lang w:eastAsia="zh-CN"/>
        </w:rPr>
        <w:t xml:space="preserve">。</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Cs w:val="28"/>
          <w:highlight w:val="none"/>
        </w:rPr>
        <w:t xml:space="preserve"> </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rPr>
        <w:t xml:space="preserve">（四）</w:t>
      </w:r>
      <w:r>
        <w:rPr>
          <w:rFonts w:hint="eastAsia" w:asciiTheme="minorEastAsia" w:hAnsiTheme="minorEastAsia" w:eastAsiaTheme="minorEastAsia" w:cstheme="minorEastAsia"/>
          <w:b/>
          <w:sz w:val="24"/>
          <w:szCs w:val="24"/>
          <w:highlight w:val="none"/>
          <w:lang w:val="en-US" w:eastAsia="zh-CN"/>
        </w:rPr>
        <w:t xml:space="preserve">其他</w:t>
      </w:r>
      <w:r/>
    </w:p>
    <w:p>
      <w:pPr>
        <w:pStyle w:val="1032"/>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32"/>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本项目供应商须通过“苏采云”系统提供的政府采购客户端工具（使用“CA数字证书”）对其数据电文形式的响应文件加密。</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文件》附件中相关格式要求。</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文件》附件中相关格式要求。供应商须通过“苏采云”系统提供的政府采购客户端工具（使用“CA数字证书”）加盖电子签章。</w:t>
      </w:r>
      <w:r/>
    </w:p>
    <w:p>
      <w:pPr>
        <w:pStyle w:val="10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w:t>
      </w:r>
      <w:r>
        <w:rPr>
          <w:rFonts w:hint="eastAsia" w:asciiTheme="minorEastAsia" w:hAnsiTheme="minorEastAsia" w:eastAsiaTheme="minorEastAsia" w:cstheme="minorEastAsia"/>
          <w:b/>
          <w:bCs/>
          <w:sz w:val="24"/>
          <w:szCs w:val="24"/>
          <w:highlight w:val="none"/>
          <w:lang w:eastAsia="zh-CN"/>
        </w:rPr>
        <w:t xml:space="preserve">谈判</w:t>
      </w:r>
      <w:r>
        <w:rPr>
          <w:rFonts w:hint="eastAsia" w:asciiTheme="minorEastAsia" w:hAnsiTheme="minorEastAsia" w:eastAsiaTheme="minorEastAsia" w:cstheme="minorEastAsia"/>
          <w:b/>
          <w:bCs/>
          <w:sz w:val="24"/>
          <w:szCs w:val="24"/>
          <w:highlight w:val="none"/>
        </w:rPr>
        <w:t xml:space="preserve">文件中如需“被授权代表签字或盖章”，供应商可打印成文档，签字或盖章后再扫描上传，最后再电子签章。</w:t>
      </w:r>
      <w:r/>
    </w:p>
    <w:p>
      <w:pPr>
        <w:pStyle w:val="1032"/>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32"/>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32"/>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文件》的要求编制响应文件，并对其提交的响应文件的真实性、合法性承担法律责任。</w:t>
      </w:r>
      <w:r/>
    </w:p>
    <w:p>
      <w:pPr>
        <w:pStyle w:val="1059"/>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w:t>
      </w:r>
      <w:r>
        <w:rPr>
          <w:rFonts w:hint="eastAsia" w:asciiTheme="minorEastAsia" w:hAnsiTheme="minorEastAsia" w:eastAsiaTheme="minorEastAsia" w:cstheme="minorEastAsia"/>
          <w:b/>
          <w:bCs/>
          <w:sz w:val="24"/>
          <w:highlight w:val="none"/>
          <w:lang w:eastAsia="zh-CN"/>
        </w:rPr>
        <w:t xml:space="preserve">谈判</w:t>
      </w:r>
      <w:r>
        <w:rPr>
          <w:rFonts w:hint="eastAsia" w:asciiTheme="minorEastAsia" w:hAnsiTheme="minorEastAsia" w:eastAsiaTheme="minorEastAsia" w:cstheme="minorEastAsia"/>
          <w:b/>
          <w:bCs/>
          <w:sz w:val="24"/>
          <w:highlight w:val="none"/>
        </w:rPr>
        <w:t xml:space="preserve">响应文件</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响应文件出现下列情形之一的，将作为无效</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响应文件处理：</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响应文件正本中授权委托书无供应商法定代表人的印鉴(或签字)或非原件的；</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（2）法定代表人或</w:t>
      </w:r>
      <w:r>
        <w:rPr>
          <w:rFonts w:hint="eastAsia" w:asciiTheme="minorEastAsia" w:hAnsiTheme="minorEastAsia" w:eastAsiaTheme="minorEastAsia" w:cstheme="minorEastAsia"/>
          <w:bCs/>
          <w:sz w:val="24"/>
          <w:highlight w:val="none"/>
        </w:rPr>
        <w:t xml:space="preserve">法定代表人授权代表未参加</w:t>
      </w:r>
      <w:r>
        <w:rPr>
          <w:rFonts w:hint="eastAsia" w:asciiTheme="minorEastAsia" w:hAnsiTheme="minorEastAsia" w:eastAsiaTheme="minorEastAsia" w:cstheme="minorEastAsia"/>
          <w:bCs/>
          <w:sz w:val="24"/>
          <w:highlight w:val="none"/>
          <w:lang w:eastAsia="zh-CN"/>
        </w:rPr>
        <w:t xml:space="preserve">谈判</w:t>
      </w:r>
      <w:r>
        <w:rPr>
          <w:rFonts w:hint="eastAsia" w:asciiTheme="minorEastAsia" w:hAnsiTheme="minorEastAsia" w:eastAsiaTheme="minorEastAsia" w:cstheme="minorEastAsia"/>
          <w:bCs/>
          <w:sz w:val="24"/>
          <w:highlight w:val="none"/>
        </w:rPr>
        <w:t xml:space="preserve">会议的或身份不符的；</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（3）资格条件文件不全或无效导致</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小组无法评判的，或者不符合</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文件标明的资格要求的；</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响应文件未按规定的数量、格式、内容和要求编制或</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响应文件字迹潦草、模糊、无法辩认的；</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响应最后报价高于采购预算或者最高限价的；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文件未能作出全部实质性响应或对</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文件进行实质性修改的；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（7）不同供应商</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响应文件相互混装的；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（8）单位负责人为同一人或存在管理、控股关系的不同供应商参加同一合同下采购活动的；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（9）为采购项目提供整体设计、规范编制或者项目管理、监理、检测等服务的供应商参加该采购项目活动的；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（10）不同供应商</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响应文件中的相关人员出现同一人的；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（11）不同</w:t>
      </w:r>
      <w:r>
        <w:rPr>
          <w:rFonts w:hint="eastAsia" w:asciiTheme="minorEastAsia" w:hAnsiTheme="minorEastAsia" w:eastAsiaTheme="minorEastAsia" w:cstheme="minorEastAsia"/>
          <w:sz w:val="24"/>
          <w:highlight w:val="none"/>
        </w:rPr>
        <w:t xml:space="preserve">供应商</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响应文件中</w:t>
      </w:r>
      <w:r>
        <w:rPr>
          <w:rFonts w:hint="eastAsia" w:asciiTheme="minorEastAsia" w:hAnsiTheme="minorEastAsia" w:eastAsiaTheme="minorEastAsia" w:cstheme="minorEastAsia"/>
          <w:bCs/>
          <w:sz w:val="24"/>
          <w:highlight w:val="none"/>
        </w:rPr>
        <w:t xml:space="preserve">内容出现非正常一致的；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（12）不同供应商报价表呈明显规律性变化，故意哄抬价格或压价等其它恶意串通行为的；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响应文件中提供虚假资料的；</w:t>
      </w:r>
      <w:r/>
    </w:p>
    <w:p>
      <w:pPr>
        <w:pStyle w:val="10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（14）有欺诈行为或隐瞒自身违规问题的；</w:t>
      </w:r>
      <w:r/>
    </w:p>
    <w:p>
      <w:pPr>
        <w:pStyle w:val="1051"/>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（15）违反法律、法规或损害国家及采购人利益的。</w:t>
      </w:r>
      <w:r/>
    </w:p>
    <w:p>
      <w:pPr>
        <w:pStyle w:val="10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（1）供应商直接或间接从采购人或采购代理机构处获得其他供应商的响应情况，并修改其响应文件；</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（2）评审活动开始前供应商直接或间接从采购人、采购代理机构或监管部门处获得</w:t>
      </w:r>
      <w:r>
        <w:rPr>
          <w:rFonts w:hint="eastAsia" w:asciiTheme="minorEastAsia" w:hAnsiTheme="minorEastAsia" w:eastAsiaTheme="minorEastAsia" w:cstheme="minorEastAsia"/>
          <w:highlight w:val="none"/>
          <w:lang w:eastAsia="zh-CN"/>
        </w:rPr>
        <w:t xml:space="preserve">谈判</w:t>
      </w:r>
      <w:r>
        <w:rPr>
          <w:rFonts w:hint="eastAsia" w:asciiTheme="minorEastAsia" w:hAnsiTheme="minorEastAsia" w:eastAsiaTheme="minorEastAsia" w:cstheme="minorEastAsia"/>
          <w:highlight w:val="none"/>
        </w:rPr>
        <w:t xml:space="preserve">小组组成人员情况；</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（3）供应商接受采购人或采购代理机构授意撤换、修改响应文件；</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（4）供应商之间协商报价、技术方案等实质性内容；</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（5）属于同一集团、协会、商会等组织成员的供应商按照该组织要求协同参与；</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（6）供应商之间事先约定由某一特定供应商成交；</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（7）供应商之间商定部分供应商放弃参与或者放弃成交；</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（8）供应商与采购人或采购代理机构之间、供应商相互之间为谋求特定供应商成交或者排斥其他供应商的其他串通行为；</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（9）不同供应商的响应文件由同一单位或者个人编制；</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（10）不同供应商委托同一单位或者个人办理参与事宜；</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（11）不同供应商响应文件相互混装的；</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（12）不同供应商响应文件中的相关人员出现同一人的；</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（13）不同</w:t>
      </w:r>
      <w:r>
        <w:rPr>
          <w:rFonts w:hint="eastAsia" w:asciiTheme="minorEastAsia" w:hAnsiTheme="minorEastAsia" w:eastAsiaTheme="minorEastAsia" w:cstheme="minorEastAsia"/>
          <w:highlight w:val="none"/>
        </w:rPr>
        <w:t xml:space="preserve">供应商响应文件中</w:t>
      </w:r>
      <w:r>
        <w:rPr>
          <w:rFonts w:hint="eastAsia" w:asciiTheme="minorEastAsia" w:hAnsiTheme="minorEastAsia" w:eastAsiaTheme="minorEastAsia" w:cstheme="minorEastAsia"/>
          <w:bCs/>
          <w:highlight w:val="none"/>
        </w:rPr>
        <w:t xml:space="preserve">内容出现非正常一致的；</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（14）不同供应商报价表呈明显规律性变化，故意哄抬价格或压价等其它恶意串通行为的；</w:t>
      </w:r>
      <w:r/>
    </w:p>
    <w:p>
      <w:pPr>
        <w:pStyle w:val="10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7、</w:t>
      </w:r>
      <w:r>
        <w:rPr>
          <w:rFonts w:hint="eastAsia" w:asciiTheme="minorEastAsia" w:hAnsiTheme="minorEastAsia" w:eastAsiaTheme="minorEastAsia" w:cstheme="minorEastAsia"/>
          <w:b/>
          <w:highlight w:val="none"/>
          <w:lang w:val="en-US" w:eastAsia="zh-CN"/>
        </w:rPr>
        <w:t xml:space="preserve">谈判</w:t>
      </w:r>
      <w:r>
        <w:rPr>
          <w:rFonts w:hint="eastAsia" w:asciiTheme="minorEastAsia" w:hAnsiTheme="minorEastAsia" w:eastAsiaTheme="minorEastAsia" w:cstheme="minorEastAsia"/>
          <w:b/>
          <w:highlight w:val="none"/>
        </w:rPr>
        <w:t xml:space="preserve">活动终止</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谈判</w:t>
      </w:r>
      <w:r>
        <w:rPr>
          <w:rFonts w:hint="eastAsia" w:asciiTheme="minorEastAsia" w:hAnsiTheme="minorEastAsia" w:eastAsiaTheme="minorEastAsia" w:cstheme="minorEastAsia"/>
          <w:highlight w:val="none"/>
        </w:rPr>
        <w:t xml:space="preserve">活动中出现下列情形之一的，</w:t>
      </w:r>
      <w:r>
        <w:rPr>
          <w:rFonts w:hint="eastAsia" w:asciiTheme="minorEastAsia" w:hAnsiTheme="minorEastAsia" w:eastAsiaTheme="minorEastAsia" w:cstheme="minorEastAsia"/>
          <w:highlight w:val="none"/>
          <w:lang w:eastAsia="zh-CN"/>
        </w:rPr>
        <w:t xml:space="preserve">谈判</w:t>
      </w:r>
      <w:r>
        <w:rPr>
          <w:rFonts w:hint="eastAsia" w:asciiTheme="minorEastAsia" w:hAnsiTheme="minorEastAsia" w:eastAsiaTheme="minorEastAsia" w:cstheme="minorEastAsia"/>
          <w:highlight w:val="none"/>
        </w:rPr>
        <w:t xml:space="preserve">活动终止：</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bookmarkStart w:id="16" w:name="_Toc9899"/>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1</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因情况变化，不再符合规定的竞争性</w:t>
      </w:r>
      <w:r>
        <w:rPr>
          <w:rFonts w:hint="eastAsia" w:asciiTheme="minorEastAsia" w:hAnsiTheme="minorEastAsia" w:eastAsiaTheme="minorEastAsia" w:cstheme="minorEastAsia"/>
          <w:bCs/>
          <w:highlight w:val="none"/>
          <w:lang w:eastAsia="zh-CN"/>
        </w:rPr>
        <w:t xml:space="preserve">谈判</w:t>
      </w:r>
      <w:r>
        <w:rPr>
          <w:rFonts w:hint="eastAsia" w:asciiTheme="minorEastAsia" w:hAnsiTheme="minorEastAsia" w:eastAsiaTheme="minorEastAsia" w:cstheme="minorEastAsia"/>
          <w:bCs/>
          <w:highlight w:val="none"/>
        </w:rPr>
        <w:t xml:space="preserve">采购方式适用情形的；</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出现影响采购公正的违法、违规行为的；</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因重大变故，采购任务取消的。</w:t>
      </w:r>
      <w:r/>
    </w:p>
    <w:p>
      <w:pPr>
        <w:pStyle w:val="10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符合要求的供应商或者报价未超过采购预算的供应商不足3家的，法律法规另有规定的除外。</w:t>
      </w:r>
      <w:r/>
    </w:p>
    <w:p>
      <w:pPr>
        <w:pStyle w:val="1060"/>
        <w:ind w:firstLine="686"/>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b/>
          <w:color w:val="000000"/>
          <w:sz w:val="36"/>
          <w:szCs w:val="20"/>
          <w:highlight w:val="none"/>
          <w:lang w:val="en-US" w:eastAsia="zh-CN" w:bidi="ar-SA"/>
        </w:rPr>
      </w:pPr>
      <w:r>
        <w:rPr>
          <w:rFonts w:hint="eastAsia" w:asciiTheme="minorEastAsia" w:hAnsiTheme="minorEastAsia" w:eastAsiaTheme="minorEastAsia" w:cstheme="minorEastAsia"/>
          <w:highlight w:val="none"/>
          <w:lang w:val="en-US" w:eastAsia="zh-CN"/>
        </w:rPr>
        <w:br w:type="page" w:clear="all"/>
      </w:r>
      <w:bookmarkStart w:id="17" w:name="_Toc23926"/>
      <w:r/>
      <w:bookmarkStart w:id="18" w:name="_Toc29720"/>
      <w:r>
        <w:rPr>
          <w:rFonts w:hint="eastAsia" w:asciiTheme="minorEastAsia" w:hAnsiTheme="minorEastAsia" w:eastAsiaTheme="minorEastAsia" w:cstheme="minorEastAsia"/>
          <w:b/>
          <w:color w:val="000000"/>
          <w:sz w:val="36"/>
          <w:szCs w:val="20"/>
          <w:highlight w:val="none"/>
          <w:lang w:val="en-US" w:eastAsia="zh-CN" w:bidi="ar-SA"/>
        </w:rPr>
        <w:t xml:space="preserve">第四章 采购需求</w:t>
      </w:r>
      <w:bookmarkEnd w:id="16"/>
      <w:r/>
      <w:bookmarkEnd w:id="17"/>
      <w:r/>
      <w:bookmarkEnd w:id="18"/>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1）项目名称：</w:t>
      </w:r>
      <w:r>
        <w:rPr>
          <w:rFonts w:hint="eastAsia" w:asciiTheme="minorEastAsia" w:hAnsiTheme="minorEastAsia" w:eastAsiaTheme="minorEastAsia" w:cstheme="minorEastAsia"/>
          <w:color w:val="000000"/>
          <w:sz w:val="24"/>
          <w:highlight w:val="none"/>
          <w:lang w:eastAsia="zh-CN"/>
        </w:rPr>
        <w:t xml:space="preserve">姜堰区大伦镇桥东村2026年度省级宜居宜业和美乡村建设项目</w:t>
      </w:r>
      <w:r/>
    </w:p>
    <w:p>
      <w:pPr>
        <w:numPr>
          <w:ilvl w:val="0"/>
          <w:numId w:val="5"/>
        </w:num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采购内容：</w:t>
      </w:r>
      <w:r>
        <w:rPr>
          <w:rFonts w:hint="eastAsia" w:asciiTheme="minorEastAsia" w:hAnsiTheme="minorEastAsia" w:eastAsiaTheme="minorEastAsia" w:cstheme="minorEastAsia"/>
          <w:color w:val="000000"/>
          <w:sz w:val="24"/>
          <w:highlight w:val="none"/>
          <w:lang w:eastAsia="zh-CN"/>
        </w:rPr>
        <w:t xml:space="preserve">工程主要内容包括庄台道路硬质化道路9000平方，垃圾分类亭100座，太阳能路灯250盏，路灯安装、沟槽开挖、路灯基础、接地极、接地母线等</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color w:val="000000"/>
          <w:sz w:val="24"/>
          <w:highlight w:val="none"/>
        </w:rPr>
        <w:t xml:space="preserve">具体施工内容详见工程量清单</w:t>
      </w:r>
      <w:r>
        <w:rPr>
          <w:rFonts w:hint="eastAsia" w:asciiTheme="minorEastAsia" w:hAnsiTheme="minorEastAsia" w:eastAsiaTheme="minorEastAsia" w:cstheme="minorEastAsia"/>
          <w:color w:val="000000"/>
          <w:sz w:val="24"/>
          <w:highlight w:val="none"/>
          <w:lang w:val="en-US" w:eastAsia="zh-CN"/>
        </w:rPr>
        <w:t xml:space="preserve">和图纸</w:t>
      </w:r>
      <w:r>
        <w:rPr>
          <w:rFonts w:hint="eastAsia" w:asciiTheme="minorEastAsia" w:hAnsiTheme="minorEastAsia" w:eastAsiaTheme="minorEastAsia" w:cstheme="minorEastAsia"/>
          <w:color w:val="000000"/>
          <w:sz w:val="24"/>
          <w:highlight w:val="none"/>
        </w:rPr>
        <w:t xml:space="preserve">。</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各投标人登录百度网盘自行下载招标控制价和图纸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下载链接：  https://pan.baidu.com/s/1U6V4hWAydZ_KK8NenJ9bOQ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 1234 </w:t>
      </w:r>
      <w:bookmarkStart w:id="602" w:name="_GoBack"/>
      <w:r/>
      <w:bookmarkEnd w:id="602"/>
      <w:r>
        <w:rPr>
          <w:rFonts w:hint="eastAsia" w:asciiTheme="minorEastAsia" w:hAnsiTheme="minorEastAsia" w:eastAsiaTheme="minorEastAsia" w:cstheme="minorEastAsia"/>
          <w:b/>
          <w:bCs/>
          <w:color w:val="ff0000"/>
          <w:sz w:val="24"/>
          <w:highlight w:val="none"/>
          <w:lang w:val="en-US" w:eastAsia="zh-CN"/>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4）本项目承包范围为采购文件、附件范围相关的内容。供应商应根据附件内容以现场踏勘为准仔细核对工程量清单，核对内容包括清单数量、清单特征、计量单位等。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5）施工工期要求：</w:t>
      </w:r>
      <w:r>
        <w:rPr>
          <w:rFonts w:hint="eastAsia" w:asciiTheme="minorEastAsia" w:hAnsiTheme="minorEastAsia" w:eastAsiaTheme="minorEastAsia" w:cstheme="minorEastAsia"/>
          <w:color w:val="000000"/>
          <w:sz w:val="24"/>
          <w:highlight w:val="none"/>
          <w:lang w:val="en-US" w:eastAsia="zh-CN"/>
        </w:rPr>
        <w:t xml:space="preserve">30</w:t>
      </w:r>
      <w:r>
        <w:rPr>
          <w:rFonts w:hint="eastAsia" w:asciiTheme="minorEastAsia" w:hAnsiTheme="minorEastAsia" w:eastAsiaTheme="minorEastAsia" w:cstheme="minorEastAsia"/>
          <w:color w:val="000000"/>
          <w:sz w:val="24"/>
          <w:highlight w:val="none"/>
        </w:rPr>
        <w:t xml:space="preserve">日历天；施工质量要求：合格；本工程缺陷责任期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7）成交单位应做到文明施工，不得扰民，做到施工现场整洁，施工垃圾及时清运，清运手续、费用由施工方自行解决。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11）本工程需满足姜堰区供电公司居配要求，施工过程中及时与姜堰区供电公司有关部门联系包含但不限于材料进场前检测、隐蔽工程验收、中间及竣工验收，确保按时供电，由此造成的后果由供应商负责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lang w:eastAsia="zh-CN"/>
        </w:rPr>
        <w:t xml:space="preserve">合同签订且施工单位进场后支付合同价的30%，工程完成70%后支付至合同价的50%，工程竣工验收合格后支付至合同价的70%；工程结算后支付至双方确认价的97%；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1.本项目每次支付的进度工程款都包含招标人已支付的农民工工资（农民工工资由发包人代付，支付工程款时扣除）。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2.暂列金额（若有）不作为中间支付与工程结算支付的基础。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p>
      <w:pPr>
        <w:pStyle w:val="738"/>
        <w:rPr>
          <w:rFonts w:hint="eastAsia" w:asciiTheme="minorEastAsia" w:hAnsiTheme="minorEastAsia" w:eastAsiaTheme="minorEastAsia" w:cstheme="minorEastAsia"/>
          <w:highlight w:val="none"/>
          <w:lang w:eastAsia="zh-CN"/>
        </w:rPr>
      </w:pPr>
      <w:r/>
      <w:bookmarkStart w:id="19" w:name="_Toc1148"/>
      <w:r/>
      <w:bookmarkStart w:id="20" w:name="_Toc26328"/>
      <w:r/>
      <w:bookmarkStart w:id="21" w:name="_Toc25169"/>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第五章 </w:t>
      </w:r>
      <w:bookmarkEnd w:id="19"/>
      <w:r/>
      <w:bookmarkEnd w:id="20"/>
      <w:r/>
      <w:bookmarkEnd w:id="21"/>
      <w:r>
        <w:rPr>
          <w:rFonts w:hint="eastAsia" w:asciiTheme="minorEastAsia" w:hAnsiTheme="minorEastAsia" w:eastAsiaTheme="minorEastAsia" w:cstheme="minorEastAsia"/>
          <w:highlight w:val="none"/>
          <w:lang w:val="en-US" w:eastAsia="zh-CN"/>
        </w:rPr>
        <w:t xml:space="preserve">谈 判</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相关说明</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要求</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的供应商需按本竞争性</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文件要求的截止时间、方式（地点）提交首次响应文件，同时派人通过“苏采云”系统在“开标大厅”等待</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顺序按照电子标书解密先后时间进行，解密时间相同的，不分先后顺序。</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的供应商如未按上述</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要求执行，视同放弃</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的权利。</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到达开启时间，“苏采云”系统自动提取所有响应文件，供应商通过“苏采云”系统（使用“CA数字证书”）解密响应文件，解密时间为30分钟（以系统规定时间为准）。供应商未在规定时间内解密的视为撤销响应文件。</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2.资格审查。谈判小组依照谈判文件的资格证明文件要求对供应商进行资格审核，以确定供应商是否具备谈判资格,确定合格谈判人。如谈判响应文件资格性审查未通过，谈判小组将不再跟该供应商进行谈判。</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谈判小组将对资格审查通过的供应商的响应文件其他内容进行核对，审查其是否实质性满足竞争性谈判文件的要求，如有疑问，将对供应商进行质询，供应商应向谈判小组澄清有关问题，并最终以书面形式进行答复。未通过资格审查或符合性审查的供应商，谈判小组将不再跟该供应商进行谈判并在苏采云系统中告知未通过资格审查或符合性审查的原因，评审结束后，谈判小组将不再告知未通过资格审查或符合性审查的原因。</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4.供应商代表拒绝澄清或者澄清的内容改变了谈判响应文件的实质性内容的，谈判小组有权对该谈判响应文件作出不利于供应商的评判。</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5.谈判顺序。对通过资格审查的合格供应商按谈判响应文件递交时间的先后确定谈判顺序。</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6.谈判内容。谈判小组成员分别与每个资格审查通过的供应商就价格、服务等认为需要谈判的内容进行谈判。</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在谈判过程中，谈判小组可以根据谈判文件和谈判情况实质性变动采购需求中的技术、服务要求以及合同草案条款，但不得变动谈判文件中的其他内容。对谈判文件作出的实质性变动是谈判文件的有效组成部分。如有实质性变动，供应商应当按照谈判文件的变动情况和谈判小组的要求在规定的时间内在苏彩云系统中重新按要求提交响应文件。</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谈判结束后，谈判小组将在苏采云系统向所有实质性响应的供应商发布“最后报价要求函”及最后报价格式表，要求所有实质性响应的供应商在系统规定时间内提交最后报价。（若未提供明细报价的，则合同单价按最终报价与第一次报价总价的下浮比例同比例下浮。）</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最终响应报价出现下列情形之一的，谈判小组将启动异常低价响应审查程序：</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①</w:t>
      </w:r>
      <w:r>
        <w:rPr>
          <w:rFonts w:hint="eastAsia" w:asciiTheme="minorEastAsia" w:hAnsiTheme="minorEastAsia" w:eastAsiaTheme="minorEastAsia" w:cstheme="minorEastAsia"/>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②</w:t>
      </w:r>
      <w:r>
        <w:rPr>
          <w:rFonts w:hint="eastAsia" w:asciiTheme="minorEastAsia" w:hAnsiTheme="minorEastAsia" w:eastAsiaTheme="minorEastAsia" w:cstheme="minorEastAsia"/>
          <w:b/>
          <w:bCs/>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③投标(响应)报价低于采购项目最高限价45%的，即投标(响应)报价&lt;采购项目最高限价×45%;</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④评审委员会基于专业判断，认为供应商报价过低，有可能影响产品质量或者不能诚信履约的其他情形。</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启动异常低价响应审查后，谈判小组将要求相关供应商在</w:t>
      </w:r>
      <w:r>
        <w:rPr>
          <w:rFonts w:hint="eastAsia" w:asciiTheme="minorEastAsia" w:hAnsiTheme="minorEastAsia" w:eastAsiaTheme="minorEastAsia" w:cstheme="minorEastAsia"/>
          <w:b/>
          <w:bCs/>
          <w:color w:val="auto"/>
          <w:sz w:val="24"/>
          <w:szCs w:val="24"/>
          <w:highlight w:val="none"/>
          <w:lang w:val="en-US" w:eastAsia="zh-CN"/>
        </w:rPr>
        <w:t xml:space="preserve">30分钟</w:t>
      </w:r>
      <w:r>
        <w:rPr>
          <w:rFonts w:hint="eastAsia" w:asciiTheme="minorEastAsia" w:hAnsiTheme="minorEastAsia" w:eastAsiaTheme="minorEastAsia" w:cstheme="minorEastAsia"/>
          <w:b/>
          <w:bCs/>
          <w:color w:val="auto"/>
          <w:sz w:val="24"/>
          <w:szCs w:val="24"/>
          <w:highlight w:val="none"/>
        </w:rPr>
        <w:t xml:space="preserve">内，提供项目具体成本测算等与报价合理性相关的书面说明及必要的证明材料，包括但不限于原材料成本、人工成本、制造费用等，评谈判小组依据专业经验，参考同类项目中标(成交)价格、类似产品市场价格水平、行业人工费用标准、国家有关部门指导行业协会发布的行业平均成本等情况，对报价合理性进行判断。响应供应商不提供书面说明、证明材料，或者提供的书面说明、证明材料不能证明其报价合理性的，谈判小组应当将其作为无效响应处理。</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9.谈判小组在整个谈判过程中须形成书面谈判报告。</w:t>
      </w:r>
      <w:r/>
    </w:p>
    <w:p>
      <w:pPr>
        <w:pStyle w:val="10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10.采购人从谈判小组提出的成交候选人中根据质量和服务均能满足谈判文件实质性响应要求且最后报价最低的原则确定成交供应商。</w:t>
      </w:r>
      <w:r/>
    </w:p>
    <w:p>
      <w:pPr>
        <w:ind w:left="0" w:right="0" w:firstLine="0"/>
        <w:jc w:val="both"/>
        <w:keepLines w:val="0"/>
        <w:keepNext w:val="0"/>
        <w:pageBreakBefore w:val="0"/>
        <w:spacing w:before="210" w:after="160" w:line="360" w:lineRule="auto"/>
        <w:widowControl w:val="off"/>
        <w:rPr>
          <w:rFonts w:hint="eastAsia" w:asciiTheme="minorEastAsia" w:hAnsiTheme="minorEastAsia" w:eastAsiaTheme="minorEastAsia" w:cstheme="minorEastAsia"/>
          <w:b/>
          <w:bCs/>
          <w:color w:val="auto"/>
          <w:sz w:val="28"/>
          <w:szCs w:val="28"/>
          <w:highlight w:val="none"/>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lang w:val="zh-CN"/>
        </w:rPr>
        <w:br w:type="page" w:clear="all"/>
      </w:r>
      <w:bookmarkStart w:id="22" w:name="_Toc31764"/>
      <w:r/>
      <w:bookmarkStart w:id="23" w:name="_Toc4874"/>
      <w:r/>
      <w:bookmarkStart w:id="24" w:name="_Toc29028"/>
      <w:r/>
      <w:r/>
    </w:p>
    <w:p>
      <w:pPr>
        <w:ind w:left="0" w:right="0" w:firstLine="0"/>
        <w:jc w:val="center"/>
        <w:keepLines w:val="0"/>
        <w:keepNext w:val="0"/>
        <w:pageBreakBefore w:val="0"/>
        <w:spacing w:before="210" w:after="160" w:line="360" w:lineRule="auto"/>
        <w:widowControl w:val="off"/>
        <w:rPr>
          <w:rFonts w:hint="eastAsia" w:asciiTheme="minorEastAsia" w:hAnsiTheme="minorEastAsia" w:eastAsiaTheme="minorEastAsia" w:cstheme="minorEastAsia"/>
          <w:b/>
          <w:bCs/>
          <w:color w:val="auto"/>
          <w:sz w:val="28"/>
          <w:szCs w:val="28"/>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评审办法及成交标准</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1．评标办法</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谈判小组将根据“符合采购需求、质量和服务相等且最终报价最低”的成交原则，按各供应商最终谈判报价由低到高顺序推荐成交候选人。本次采购只要供应商通过资格性和符合性审查即视为符合采购需求、质量和服务相等。采购人根据质量和服务均能满足采购文件实质性响应要求且最后报价最低的原则确定成交供应商，最终谈判报价相同的，则采用抽签形式确定成交供应商。</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本项目落实政府采购政策需满足的资格要求：专门面向中小企业,供应商应为中小微企业、监狱企业、残疾人福利性单位。</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1.1参加报价的中小企业，应当按照《政府采购促进中小企业发展管理办法》（财库﹝2020﹞46 号）的规定提供《中小企业声明函》（中小企业划型标准详见《工业和信息化部、国家统计局、国家发展和改革委员会、财政部关于印发中小企业划型标准规定的通知》工信部联企业〔2011〕300号）。</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1.3参加报价的残疾人福利性单位，应根据《关于促进残疾人就业政府采购政策的通知》（财库〔2017〕141号）要求，提供《残疾人福利性单位声明函》，格式见附件。</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价格扣除（在最终报价基础上）：</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对小型和微型企业产品的价格给予5%的扣除。参加谈判的中小企业，应当按照《政府采购促进中小企业发展管理办法》（财库﹝2020﹞46 号）的规定提供《中小企业声明函》（中小企业划型标准详见《关于印发中小企业划型标准规定的通知》工信部联企业〔2011〕300号）。（专门面向中小企业采购的项目该条款不执行）</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2．详细评审</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谈判小组按照谈判文件规定的评审标准，对各响应文件进行进一步评审和比较。</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3.评标结果</w:t>
      </w:r>
      <w:r/>
    </w:p>
    <w:p>
      <w:pPr>
        <w:pStyle w:val="10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谈判小组按照本办法规定推荐成交候选人，并形成评标报告。</w:t>
      </w:r>
      <w:r/>
    </w:p>
    <w:p>
      <w:pPr>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r>
      <w:r/>
    </w:p>
    <w:p>
      <w:pP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38"/>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2"/>
      <w:r/>
      <w:bookmarkEnd w:id="23"/>
      <w:r/>
      <w:bookmarkEnd w:id="24"/>
      <w:r/>
      <w:r/>
    </w:p>
    <w:p>
      <w:pPr>
        <w:pStyle w:val="10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1051"/>
        <w:jc w:val="center"/>
        <w:spacing w:line="4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jc w:val="center"/>
        <w:spacing w:line="4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738"/>
        <w:rPr>
          <w:rFonts w:hint="eastAsia" w:asciiTheme="minorEastAsia" w:hAnsiTheme="minorEastAsia" w:eastAsiaTheme="minorEastAsia" w:cstheme="minorEastAsia"/>
          <w:highlight w:val="none"/>
          <w:lang w:val="en-US" w:eastAsia="zh-CN"/>
        </w:rPr>
      </w:pPr>
      <w:r/>
      <w:bookmarkStart w:id="25" w:name="_Toc2131"/>
      <w:r/>
      <w:bookmarkStart w:id="26" w:name="_Toc21810"/>
      <w:r/>
      <w:bookmarkStart w:id="27" w:name="_Toc12888"/>
      <w:r>
        <w:rPr>
          <w:rFonts w:hint="eastAsia" w:asciiTheme="minorEastAsia" w:hAnsiTheme="minorEastAsia" w:eastAsiaTheme="minorEastAsia" w:cstheme="minorEastAsia"/>
          <w:highlight w:val="none"/>
          <w:lang w:val="en-US" w:eastAsia="zh-CN"/>
        </w:rPr>
        <w:t xml:space="preserve">第七章 合同签订</w:t>
      </w:r>
      <w:bookmarkEnd w:id="25"/>
      <w:r/>
      <w:bookmarkEnd w:id="26"/>
      <w:r/>
      <w:bookmarkEnd w:id="27"/>
      <w:r/>
      <w:r/>
    </w:p>
    <w:p>
      <w:pPr>
        <w:pStyle w:val="10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38"/>
        <w:rPr>
          <w:rFonts w:hint="eastAsia" w:asciiTheme="minorEastAsia" w:hAnsiTheme="minorEastAsia" w:eastAsiaTheme="minorEastAsia" w:cstheme="minorEastAsia"/>
          <w:highlight w:val="none"/>
          <w:lang w:val="en-US" w:eastAsia="zh-CN"/>
        </w:rPr>
      </w:pPr>
      <w:r/>
      <w:bookmarkStart w:id="28" w:name="_Toc12880"/>
      <w:r/>
      <w:bookmarkStart w:id="29" w:name="_Toc15057"/>
      <w:r/>
      <w:bookmarkStart w:id="30" w:name="_Toc30954"/>
      <w:r>
        <w:rPr>
          <w:rFonts w:hint="eastAsia" w:asciiTheme="minorEastAsia" w:hAnsiTheme="minorEastAsia" w:eastAsiaTheme="minorEastAsia" w:cstheme="minorEastAsia"/>
          <w:highlight w:val="none"/>
          <w:lang w:val="en-US" w:eastAsia="zh-CN"/>
        </w:rPr>
        <w:t xml:space="preserve">第八章 质疑投诉</w:t>
      </w:r>
      <w:bookmarkEnd w:id="28"/>
      <w:r/>
      <w:bookmarkEnd w:id="29"/>
      <w:r/>
      <w:bookmarkEnd w:id="30"/>
      <w:r/>
      <w:r/>
    </w:p>
    <w:p>
      <w:pPr>
        <w:pStyle w:val="1051"/>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活动的供应商或在</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活动中自身权益未受到损害的供应商所提出的质疑投诉不予受理。</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的供应商认为</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文件提出质疑的，为收到</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文件之日或者</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文件公告期限届满之日；对采购过程提出质疑的，为各采购程序环节结束之日；对成交结果提出质疑的，为成交结果公告期限届满之日。</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供应商法定代表人或授权委托人（被授权人）（响应文件中所确定的）原件送达的方式，向采购人或者采购代理机构提交质疑函，质疑函应当包括下列内容：</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51"/>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738"/>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1" w:name="_Toc31758"/>
      <w:r/>
      <w:bookmarkStart w:id="32" w:name="_Toc29765"/>
      <w:r>
        <w:rPr>
          <w:rFonts w:hint="eastAsia" w:asciiTheme="minorEastAsia" w:hAnsiTheme="minorEastAsia" w:eastAsiaTheme="minorEastAsia" w:cstheme="minorEastAsia"/>
          <w:highlight w:val="none"/>
          <w:lang w:val="en-US" w:eastAsia="zh-CN"/>
        </w:rPr>
        <w:t xml:space="preserve">第九章 工程量清单</w:t>
      </w:r>
      <w:bookmarkEnd w:id="31"/>
      <w:r/>
      <w:bookmarkEnd w:id="32"/>
      <w:r/>
      <w:r/>
    </w:p>
    <w:p>
      <w:pPr>
        <w:jc w:val="center"/>
        <w:shd w:val="clear" w:color="auto" w:fil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工程量清单及投标报价说明</w:t>
      </w:r>
      <w:r/>
    </w:p>
    <w:p>
      <w:pPr>
        <w:jc w:val="both"/>
        <w:shd w:val="clear" w:color="auto" w:fil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u w:val="non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jc w:val="left"/>
        <w:keepLines w:val="0"/>
        <w:keepNext w:val="0"/>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p>
      <w:pPr>
        <w:pStyle w:val="763"/>
        <w:shd w:val="clear" w:color="auto" w:fil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r>
      <w:r/>
    </w:p>
    <w:p>
      <w:pPr>
        <w:jc w:val="center"/>
        <w:shd w:val="clear" w:color="auto" w:fil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r>
      <w:r/>
    </w:p>
    <w:p>
      <w:pPr>
        <w:ind w:firstLine="480"/>
        <w:jc w:val="center"/>
        <w:spacing w:line="360" w:lineRule="auto"/>
        <w:tabs>
          <w:tab w:val="left" w:pos="1512" w:leader="none"/>
        </w:tabs>
        <w:rPr>
          <w:rFonts w:hint="eastAsia"/>
          <w:sz w:val="24"/>
        </w:rPr>
      </w:pPr>
      <w:r>
        <w:rPr>
          <w:rFonts w:hint="eastAsia" w:ascii="宋体" w:hAnsi="宋体" w:eastAsia="宋体" w:cs="宋体"/>
          <w:b w:val="0"/>
          <w:bCs/>
          <w:color w:val="auto"/>
          <w:sz w:val="24"/>
          <w:szCs w:val="24"/>
          <w:highlight w:val="none"/>
        </w:rPr>
        <w:t xml:space="preserve">随本</w:t>
      </w:r>
      <w:r>
        <w:rPr>
          <w:rFonts w:hint="eastAsia" w:ascii="宋体" w:hAnsi="宋体" w:cs="宋体"/>
          <w:b w:val="0"/>
          <w:bCs/>
          <w:color w:val="auto"/>
          <w:sz w:val="24"/>
          <w:szCs w:val="24"/>
          <w:highlight w:val="none"/>
          <w:lang w:val="en-US" w:eastAsia="zh-CN"/>
        </w:rPr>
        <w:t xml:space="preserve">谈判</w:t>
      </w:r>
      <w:r>
        <w:rPr>
          <w:rFonts w:hint="eastAsia" w:ascii="宋体" w:hAnsi="宋体" w:eastAsia="宋体" w:cs="宋体"/>
          <w:b w:val="0"/>
          <w:bCs/>
          <w:color w:val="auto"/>
          <w:sz w:val="24"/>
          <w:szCs w:val="24"/>
          <w:highlight w:val="none"/>
        </w:rPr>
        <w:t xml:space="preserve">文件同时发布电子工程量清单文件</w:t>
      </w:r>
      <w:r>
        <w:rPr>
          <w:rFonts w:hint="eastAsia" w:ascii="宋体" w:hAnsi="宋体" w:eastAsia="宋体" w:cs="宋体"/>
          <w:b w:val="0"/>
          <w:bCs/>
          <w:color w:val="auto"/>
          <w:sz w:val="24"/>
          <w:szCs w:val="24"/>
          <w:highlight w:val="none"/>
          <w:lang w:eastAsia="zh-CN"/>
        </w:rPr>
        <w:t xml:space="preserve">。</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pStyle w:val="761"/>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1"/>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738"/>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33" w:name="_Toc27670"/>
      <w:r/>
      <w:bookmarkStart w:id="34" w:name="_Toc4828"/>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33"/>
      <w:r/>
      <w:bookmarkEnd w:id="34"/>
      <w:r/>
      <w:r/>
    </w:p>
    <w:p>
      <w:pPr>
        <w:pStyle w:val="1044"/>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4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44"/>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4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740"/>
        <w:ind w:left="0" w:firstLine="0"/>
        <w:jc w:val="center"/>
        <w:rPr>
          <w:rFonts w:hint="eastAsia" w:asciiTheme="minorEastAsia" w:hAnsiTheme="minorEastAsia" w:eastAsiaTheme="minorEastAsia" w:cstheme="minorEastAsia"/>
          <w:b w:val="0"/>
          <w:sz w:val="28"/>
          <w:szCs w:val="28"/>
          <w:highlight w:val="none"/>
        </w:rPr>
      </w:pPr>
      <w:r/>
      <w:bookmarkStart w:id="35" w:name="_Toc13260"/>
      <w:r/>
      <w:bookmarkStart w:id="36" w:name="_Toc498006744"/>
      <w:r>
        <w:rPr>
          <w:rFonts w:hint="eastAsia" w:asciiTheme="minorEastAsia" w:hAnsiTheme="minorEastAsia" w:eastAsiaTheme="minorEastAsia" w:cstheme="minorEastAsia"/>
          <w:sz w:val="28"/>
          <w:szCs w:val="28"/>
          <w:highlight w:val="none"/>
        </w:rPr>
        <w:t xml:space="preserve">第一部分 合同协议书</w:t>
      </w:r>
      <w:bookmarkEnd w:id="35"/>
      <w:r/>
      <w:bookmarkEnd w:id="3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泰州市姜堰区大伦镇人民政府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37" w:name="_Toc351203481"/>
      <w:r>
        <w:rPr>
          <w:rFonts w:hint="eastAsia" w:asciiTheme="minorEastAsia" w:hAnsiTheme="minorEastAsia" w:eastAsiaTheme="minorEastAsia" w:cstheme="minorEastAsia"/>
          <w:bCs w:val="0"/>
          <w:szCs w:val="32"/>
          <w:highlight w:val="none"/>
        </w:rPr>
        <w:t xml:space="preserve">一、工程概况</w:t>
      </w:r>
      <w:bookmarkEnd w:id="3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38" w:name="_Toc351203482"/>
      <w:r>
        <w:rPr>
          <w:rFonts w:hint="eastAsia" w:asciiTheme="minorEastAsia" w:hAnsiTheme="minorEastAsia" w:eastAsiaTheme="minorEastAsia" w:cstheme="minorEastAsia"/>
          <w:bCs w:val="0"/>
          <w:szCs w:val="32"/>
          <w:highlight w:val="none"/>
        </w:rPr>
        <w:t xml:space="preserve">二、合同工期</w:t>
      </w:r>
      <w:bookmarkEnd w:id="3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39" w:name="_Toc351203483"/>
      <w:r>
        <w:rPr>
          <w:rFonts w:hint="eastAsia" w:asciiTheme="minorEastAsia" w:hAnsiTheme="minorEastAsia" w:eastAsiaTheme="minorEastAsia" w:cstheme="minorEastAsia"/>
          <w:bCs w:val="0"/>
          <w:szCs w:val="32"/>
          <w:highlight w:val="none"/>
        </w:rPr>
        <w:t xml:space="preserve">三、质量标准</w:t>
      </w:r>
      <w:bookmarkEnd w:id="3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4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1" w:name="_Toc351203485"/>
      <w:r>
        <w:rPr>
          <w:rFonts w:hint="eastAsia" w:asciiTheme="minorEastAsia" w:hAnsiTheme="minorEastAsia" w:eastAsiaTheme="minorEastAsia" w:cstheme="minorEastAsia"/>
          <w:bCs w:val="0"/>
          <w:szCs w:val="32"/>
          <w:highlight w:val="none"/>
        </w:rPr>
        <w:t xml:space="preserve">五、</w:t>
      </w:r>
      <w:bookmarkEnd w:id="4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2" w:name="_Toc351203486"/>
      <w:r>
        <w:rPr>
          <w:rFonts w:hint="eastAsia" w:asciiTheme="minorEastAsia" w:hAnsiTheme="minorEastAsia" w:eastAsiaTheme="minorEastAsia" w:cstheme="minorEastAsia"/>
          <w:bCs w:val="0"/>
          <w:szCs w:val="32"/>
          <w:highlight w:val="none"/>
        </w:rPr>
        <w:t xml:space="preserve">六、合同文件构成</w:t>
      </w:r>
      <w:bookmarkEnd w:id="4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3" w:name="_Toc351203487"/>
      <w:r>
        <w:rPr>
          <w:rFonts w:hint="eastAsia" w:asciiTheme="minorEastAsia" w:hAnsiTheme="minorEastAsia" w:eastAsiaTheme="minorEastAsia" w:cstheme="minorEastAsia"/>
          <w:bCs w:val="0"/>
          <w:szCs w:val="32"/>
          <w:highlight w:val="none"/>
        </w:rPr>
        <w:t xml:space="preserve">七、承诺</w:t>
      </w:r>
      <w:bookmarkEnd w:id="4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741"/>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44" w:name="_Toc351203488"/>
      <w:r>
        <w:rPr>
          <w:rFonts w:hint="eastAsia" w:asciiTheme="minorEastAsia" w:hAnsiTheme="minorEastAsia" w:eastAsiaTheme="minorEastAsia" w:cstheme="minorEastAsia"/>
          <w:szCs w:val="32"/>
          <w:highlight w:val="none"/>
        </w:rPr>
        <w:t xml:space="preserve">八、词语含义</w:t>
      </w:r>
      <w:bookmarkEnd w:id="4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741"/>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45" w:name="_Toc351203489"/>
      <w:r>
        <w:rPr>
          <w:rFonts w:hint="eastAsia" w:asciiTheme="minorEastAsia" w:hAnsiTheme="minorEastAsia" w:eastAsiaTheme="minorEastAsia" w:cstheme="minorEastAsia"/>
          <w:szCs w:val="32"/>
          <w:highlight w:val="none"/>
        </w:rPr>
        <w:t xml:space="preserve">九、签订时间</w:t>
      </w:r>
      <w:bookmarkEnd w:id="4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6" w:name="_Toc351203490"/>
      <w:r>
        <w:rPr>
          <w:rFonts w:hint="eastAsia" w:asciiTheme="minorEastAsia" w:hAnsiTheme="minorEastAsia" w:eastAsiaTheme="minorEastAsia" w:cstheme="minorEastAsia"/>
          <w:bCs w:val="0"/>
          <w:szCs w:val="32"/>
          <w:highlight w:val="none"/>
        </w:rPr>
        <w:t xml:space="preserve">十、签订地点</w:t>
      </w:r>
      <w:bookmarkEnd w:id="4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91"/>
      <w:r>
        <w:rPr>
          <w:rFonts w:hint="eastAsia" w:asciiTheme="minorEastAsia" w:hAnsiTheme="minorEastAsia" w:eastAsiaTheme="minorEastAsia" w:cstheme="minorEastAsia"/>
          <w:bCs w:val="0"/>
          <w:szCs w:val="32"/>
          <w:highlight w:val="none"/>
        </w:rPr>
        <w:t xml:space="preserve">十一、补充协议</w:t>
      </w:r>
      <w:bookmarkEnd w:id="4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92"/>
      <w:r>
        <w:rPr>
          <w:rFonts w:hint="eastAsia" w:asciiTheme="minorEastAsia" w:hAnsiTheme="minorEastAsia" w:eastAsiaTheme="minorEastAsia" w:cstheme="minorEastAsia"/>
          <w:bCs w:val="0"/>
          <w:szCs w:val="32"/>
          <w:highlight w:val="none"/>
        </w:rPr>
        <w:t xml:space="preserve">十二、合同生效</w:t>
      </w:r>
      <w:bookmarkEnd w:id="4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741"/>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93"/>
      <w:r>
        <w:rPr>
          <w:rFonts w:hint="eastAsia" w:asciiTheme="minorEastAsia" w:hAnsiTheme="minorEastAsia" w:eastAsiaTheme="minorEastAsia" w:cstheme="minorEastAsia"/>
          <w:bCs w:val="0"/>
          <w:szCs w:val="32"/>
          <w:highlight w:val="none"/>
        </w:rPr>
        <w:t xml:space="preserve">十三、合同份数</w:t>
      </w:r>
      <w:bookmarkEnd w:id="4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749"/>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法定代表人或其委托代理人：      （签字）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法定代表人或其委托代理人：      （签字）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40"/>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50" w:name="_Toc7799"/>
      <w:r/>
      <w:bookmarkStart w:id="51" w:name="_Toc498006745"/>
      <w:r/>
      <w:r/>
    </w:p>
    <w:p>
      <w:pPr>
        <w:pStyle w:val="740"/>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50"/>
      <w:r/>
      <w:bookmarkEnd w:id="5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740"/>
        <w:ind w:left="0" w:firstLine="0"/>
        <w:jc w:val="both"/>
        <w:spacing w:line="320" w:lineRule="exact"/>
        <w:rPr>
          <w:rFonts w:hint="eastAsia" w:asciiTheme="minorEastAsia" w:hAnsiTheme="minorEastAsia" w:eastAsiaTheme="minorEastAsia" w:cstheme="minorEastAsia"/>
          <w:highlight w:val="none"/>
        </w:rPr>
      </w:pPr>
      <w:r/>
      <w:bookmarkStart w:id="52" w:name="_Toc498006746"/>
      <w:r/>
      <w:bookmarkStart w:id="53" w:name="_Toc24191"/>
      <w:r/>
      <w:r/>
    </w:p>
    <w:p>
      <w:pPr>
        <w:pStyle w:val="740"/>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bookmarkEnd w:id="52"/>
      <w:r/>
      <w:bookmarkEnd w:id="53"/>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 w:name="_Toc351203633"/>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55" w:name="_Toc296890984"/>
      <w:r/>
      <w:bookmarkStart w:id="56" w:name="_Toc296503156"/>
      <w:r/>
      <w:bookmarkStart w:id="57" w:name="_Toc292559361"/>
      <w:r/>
      <w:bookmarkStart w:id="58" w:name="_Toc292559866"/>
      <w:r/>
      <w:bookmarkStart w:id="59" w:name="_Toc297120456"/>
      <w:r/>
      <w:bookmarkStart w:id="60" w:name="_Toc297048342"/>
      <w:r/>
      <w:bookmarkStart w:id="61" w:name="_Toc296944495"/>
      <w:r/>
      <w:bookmarkStart w:id="62" w:name="_Toc296891196"/>
      <w:r/>
      <w:bookmarkStart w:id="63" w:name="_Toc296346657"/>
      <w:r/>
      <w:bookmarkStart w:id="64" w:name="_Toc296347155"/>
      <w:r>
        <w:rPr>
          <w:rFonts w:hint="eastAsia" w:asciiTheme="minorEastAsia" w:hAnsiTheme="minorEastAsia" w:eastAsiaTheme="minorEastAsia" w:cstheme="minorEastAsia"/>
          <w:bCs w:val="0"/>
          <w:szCs w:val="32"/>
          <w:highlight w:val="none"/>
        </w:rPr>
        <w:t xml:space="preserve">. 一般约定</w:t>
      </w:r>
      <w:bookmarkEnd w:id="54"/>
      <w:r/>
      <w:bookmarkEnd w:id="55"/>
      <w:r/>
      <w:bookmarkEnd w:id="56"/>
      <w:r/>
      <w:bookmarkEnd w:id="57"/>
      <w:r/>
      <w:bookmarkEnd w:id="58"/>
      <w:r/>
      <w:bookmarkEnd w:id="59"/>
      <w:r/>
      <w:bookmarkEnd w:id="60"/>
      <w:r/>
      <w:bookmarkEnd w:id="61"/>
      <w:r/>
      <w:bookmarkEnd w:id="62"/>
      <w:r/>
      <w:bookmarkEnd w:id="63"/>
      <w:r/>
      <w:bookmarkEnd w:id="6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1.1.1.10其他合同文件包括：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lang w:val="en-US" w:eastAsia="zh-CN"/>
        </w:rPr>
        <w:t xml:space="preserve">按现行有关规定文件执行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65" w:name="_Toc304295521"/>
      <w:r/>
      <w:bookmarkStart w:id="66" w:name="_Toc303539100"/>
      <w:r/>
      <w:bookmarkStart w:id="67" w:name="_Toc312677986"/>
      <w:r/>
      <w:bookmarkStart w:id="68" w:name="_Toc318581155"/>
      <w:r/>
      <w:bookmarkStart w:id="69" w:name="_Toc300934943"/>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65"/>
      <w:r/>
      <w:bookmarkEnd w:id="66"/>
      <w:r/>
      <w:bookmarkEnd w:id="67"/>
      <w:r/>
      <w:bookmarkEnd w:id="68"/>
      <w:r/>
      <w:bookmarkEnd w:id="6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0" w:name="_Toc300934944"/>
      <w:r/>
      <w:bookmarkStart w:id="71" w:name="_Toc304295522"/>
      <w:r/>
      <w:bookmarkStart w:id="72" w:name="_Toc303539101"/>
      <w:r/>
      <w:bookmarkStart w:id="73" w:name="_Toc318581156"/>
      <w:r/>
      <w:bookmarkStart w:id="74" w:name="_Toc312677987"/>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70"/>
      <w:r/>
      <w:bookmarkEnd w:id="71"/>
      <w:r/>
      <w:bookmarkEnd w:id="72"/>
      <w:r/>
      <w:bookmarkEnd w:id="73"/>
      <w:r/>
      <w:bookmarkEnd w:id="74"/>
      <w:r>
        <w:rPr>
          <w:rFonts w:hint="eastAsia" w:asciiTheme="minorEastAsia" w:hAnsiTheme="minorEastAsia" w:eastAsiaTheme="minorEastAsia" w:cstheme="minorEastAsia"/>
          <w:szCs w:val="32"/>
          <w:highlight w:val="none"/>
        </w:rPr>
        <w:t xml:space="preserve">  </w:t>
      </w:r>
      <w:bookmarkStart w:id="7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76" w:name="_Toc351203634"/>
      <w:r>
        <w:rPr>
          <w:rFonts w:hint="eastAsia" w:asciiTheme="minorEastAsia" w:hAnsiTheme="minorEastAsia" w:eastAsiaTheme="minorEastAsia" w:cstheme="minorEastAsia"/>
          <w:bCs w:val="0"/>
          <w:szCs w:val="32"/>
          <w:highlight w:val="none"/>
        </w:rPr>
        <w:t xml:space="preserve">2</w:t>
      </w:r>
      <w:bookmarkStart w:id="77" w:name="_Toc292559867"/>
      <w:r/>
      <w:bookmarkStart w:id="78" w:name="_Toc296346658"/>
      <w:r/>
      <w:bookmarkStart w:id="79" w:name="_Toc292559362"/>
      <w:r/>
      <w:bookmarkStart w:id="80" w:name="_Toc297048343"/>
      <w:r/>
      <w:bookmarkStart w:id="81" w:name="_Toc296944496"/>
      <w:r/>
      <w:bookmarkStart w:id="82" w:name="_Toc296890985"/>
      <w:r/>
      <w:bookmarkStart w:id="83" w:name="_Toc296891197"/>
      <w:r/>
      <w:bookmarkStart w:id="84" w:name="_Toc296347156"/>
      <w:r/>
      <w:bookmarkStart w:id="85" w:name="_Toc296503157"/>
      <w:r/>
      <w:bookmarkStart w:id="86" w:name="_Toc297120457"/>
      <w:r>
        <w:rPr>
          <w:rFonts w:hint="eastAsia" w:asciiTheme="minorEastAsia" w:hAnsiTheme="minorEastAsia" w:eastAsiaTheme="minorEastAsia" w:cstheme="minorEastAsia"/>
          <w:bCs w:val="0"/>
          <w:szCs w:val="32"/>
          <w:highlight w:val="none"/>
        </w:rPr>
        <w:t xml:space="preserve">. 发包人</w:t>
      </w:r>
      <w:bookmarkEnd w:id="76"/>
      <w:r/>
      <w:bookmarkEnd w:id="77"/>
      <w:r/>
      <w:bookmarkEnd w:id="78"/>
      <w:r/>
      <w:bookmarkEnd w:id="79"/>
      <w:r/>
      <w:bookmarkEnd w:id="80"/>
      <w:r/>
      <w:bookmarkEnd w:id="81"/>
      <w:r/>
      <w:bookmarkEnd w:id="82"/>
      <w:r/>
      <w:bookmarkEnd w:id="83"/>
      <w:r/>
      <w:bookmarkEnd w:id="84"/>
      <w:r/>
      <w:bookmarkEnd w:id="85"/>
      <w:r/>
      <w:bookmarkEnd w:id="8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7" w:name="_Toc351203635"/>
      <w:r>
        <w:rPr>
          <w:rFonts w:hint="eastAsia" w:asciiTheme="minorEastAsia" w:hAnsiTheme="minorEastAsia" w:eastAsiaTheme="minorEastAsia" w:cstheme="minorEastAsia"/>
          <w:bCs w:val="0"/>
          <w:szCs w:val="32"/>
          <w:highlight w:val="none"/>
        </w:rPr>
        <w:t xml:space="preserve">3</w:t>
      </w:r>
      <w:bookmarkStart w:id="88" w:name="_Toc297048344"/>
      <w:r/>
      <w:bookmarkStart w:id="89" w:name="_Toc296346659"/>
      <w:r/>
      <w:bookmarkStart w:id="90" w:name="_Toc296503158"/>
      <w:r/>
      <w:bookmarkStart w:id="91" w:name="_Toc292559868"/>
      <w:r/>
      <w:bookmarkStart w:id="92" w:name="_Toc296891198"/>
      <w:r/>
      <w:bookmarkStart w:id="93" w:name="_Toc296944497"/>
      <w:r/>
      <w:bookmarkStart w:id="94" w:name="_Toc296890986"/>
      <w:r/>
      <w:bookmarkStart w:id="95" w:name="_Toc297120458"/>
      <w:r/>
      <w:bookmarkStart w:id="96" w:name="_Toc296347157"/>
      <w:r/>
      <w:bookmarkStart w:id="97" w:name="_Toc292559363"/>
      <w:r>
        <w:rPr>
          <w:rFonts w:hint="eastAsia" w:asciiTheme="minorEastAsia" w:hAnsiTheme="minorEastAsia" w:eastAsiaTheme="minorEastAsia" w:cstheme="minorEastAsia"/>
          <w:bCs w:val="0"/>
          <w:szCs w:val="32"/>
          <w:highlight w:val="none"/>
        </w:rPr>
        <w:t xml:space="preserve">. 承包人</w:t>
      </w:r>
      <w:bookmarkEnd w:id="87"/>
      <w:r/>
      <w:bookmarkEnd w:id="88"/>
      <w:r/>
      <w:bookmarkEnd w:id="89"/>
      <w:r/>
      <w:bookmarkEnd w:id="90"/>
      <w:r/>
      <w:bookmarkEnd w:id="91"/>
      <w:r/>
      <w:bookmarkEnd w:id="92"/>
      <w:r/>
      <w:bookmarkEnd w:id="93"/>
      <w:r/>
      <w:bookmarkEnd w:id="94"/>
      <w:r/>
      <w:bookmarkEnd w:id="95"/>
      <w:r/>
      <w:bookmarkEnd w:id="96"/>
      <w:r/>
      <w:bookmarkEnd w:id="9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98" w:name="_Toc297123492"/>
      <w:r/>
      <w:bookmarkStart w:id="99" w:name="_Toc297048345"/>
      <w:r/>
      <w:bookmarkStart w:id="100" w:name="_Toc304295523"/>
      <w:r/>
      <w:bookmarkStart w:id="101" w:name="_Toc292559364"/>
      <w:r/>
      <w:bookmarkStart w:id="102" w:name="_Toc296503159"/>
      <w:r/>
      <w:bookmarkStart w:id="103" w:name="_Toc292559869"/>
      <w:r/>
      <w:bookmarkStart w:id="104" w:name="_Toc297216151"/>
      <w:r/>
      <w:bookmarkStart w:id="105" w:name="_Toc296891199"/>
      <w:r/>
      <w:bookmarkStart w:id="106" w:name="_Toc296346660"/>
      <w:r/>
      <w:bookmarkStart w:id="107" w:name="_Toc297120459"/>
      <w:r/>
      <w:bookmarkStart w:id="108" w:name="_Toc300934945"/>
      <w:r/>
      <w:bookmarkStart w:id="109" w:name="_Toc312677988"/>
      <w:r/>
      <w:bookmarkStart w:id="110" w:name="_Toc296890987"/>
      <w:r/>
      <w:bookmarkStart w:id="111" w:name="_Toc296347158"/>
      <w:r/>
      <w:bookmarkStart w:id="112" w:name="_Toc303539102"/>
      <w:r/>
      <w:bookmarkStart w:id="113" w:name="_Toc296944498"/>
      <w:r>
        <w:rPr>
          <w:rFonts w:hint="eastAsia" w:asciiTheme="minorEastAsia" w:hAnsiTheme="minorEastAsia" w:eastAsiaTheme="minorEastAsia" w:cstheme="minorEastAsia"/>
          <w:szCs w:val="32"/>
          <w:highlight w:val="none"/>
        </w:rPr>
        <w:t xml:space="preserve">.5 分包</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14" w:name="_Toc296347159"/>
      <w:r/>
      <w:bookmarkStart w:id="115" w:name="_Toc292559870"/>
      <w:r/>
      <w:bookmarkStart w:id="116" w:name="_Toc297120460"/>
      <w:r/>
      <w:bookmarkStart w:id="117" w:name="_Toc292559365"/>
      <w:r/>
      <w:bookmarkStart w:id="118" w:name="_Toc296346661"/>
      <w:r/>
      <w:bookmarkStart w:id="119" w:name="_Toc297048346"/>
      <w:r/>
      <w:bookmarkStart w:id="120" w:name="_Toc296890988"/>
      <w:r/>
      <w:bookmarkStart w:id="121" w:name="_Toc297123493"/>
      <w:r/>
      <w:bookmarkStart w:id="122" w:name="_Toc312677989"/>
      <w:r/>
      <w:bookmarkStart w:id="123" w:name="_Toc296944499"/>
      <w:r/>
      <w:bookmarkStart w:id="124" w:name="_Toc297216152"/>
      <w:r/>
      <w:bookmarkStart w:id="125" w:name="_Toc304295524"/>
      <w:r/>
      <w:bookmarkStart w:id="126" w:name="_Toc300934946"/>
      <w:r/>
      <w:bookmarkStart w:id="127" w:name="_Toc296503160"/>
      <w:r/>
      <w:bookmarkStart w:id="128" w:name="_Toc303539103"/>
      <w:r/>
      <w:bookmarkStart w:id="129" w:name="_Toc318581158"/>
      <w:r/>
      <w:bookmarkStart w:id="130" w:name="_Toc296891200"/>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31" w:name="_Toc318581159"/>
      <w:r/>
      <w:bookmarkStart w:id="132" w:name="_Toc312677990"/>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31"/>
      <w:r/>
      <w:bookmarkEnd w:id="13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33" w:name="_Toc351203636"/>
      <w:r>
        <w:rPr>
          <w:rFonts w:hint="eastAsia" w:asciiTheme="minorEastAsia" w:hAnsiTheme="minorEastAsia" w:eastAsiaTheme="minorEastAsia" w:cstheme="minorEastAsia"/>
          <w:bCs w:val="0"/>
          <w:szCs w:val="32"/>
          <w:highlight w:val="none"/>
        </w:rPr>
        <w:t xml:space="preserve">4</w:t>
      </w:r>
      <w:bookmarkStart w:id="134" w:name="_Toc297120462"/>
      <w:r/>
      <w:bookmarkStart w:id="135" w:name="_Toc297048348"/>
      <w:r/>
      <w:bookmarkStart w:id="136" w:name="_Toc296944501"/>
      <w:r/>
      <w:bookmarkStart w:id="137" w:name="_Toc292559871"/>
      <w:r/>
      <w:bookmarkStart w:id="138" w:name="_Toc296890990"/>
      <w:r/>
      <w:bookmarkStart w:id="139" w:name="_Toc296346663"/>
      <w:r/>
      <w:bookmarkStart w:id="140" w:name="_Toc292559366"/>
      <w:r/>
      <w:bookmarkStart w:id="141" w:name="_Toc296503162"/>
      <w:r/>
      <w:bookmarkStart w:id="142" w:name="_Toc296891202"/>
      <w:r/>
      <w:bookmarkStart w:id="143" w:name="_Toc267251413"/>
      <w:r/>
      <w:bookmarkStart w:id="144" w:name="_Toc296347161"/>
      <w:r>
        <w:rPr>
          <w:rFonts w:hint="eastAsia" w:asciiTheme="minorEastAsia" w:hAnsiTheme="minorEastAsia" w:eastAsiaTheme="minorEastAsia" w:cstheme="minorEastAsia"/>
          <w:bCs w:val="0"/>
          <w:szCs w:val="32"/>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Theme="minorEastAsia" w:hAnsiTheme="minorEastAsia" w:eastAsiaTheme="minorEastAsia" w:cstheme="minorEastAsia"/>
          <w:bCs w:val="0"/>
          <w:szCs w:val="32"/>
          <w:highlight w:val="none"/>
        </w:rPr>
        <w:t xml:space="preserve">理人</w:t>
      </w:r>
      <w:bookmarkEnd w:id="13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4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6" w:name="_Toc351203637"/>
      <w:r>
        <w:rPr>
          <w:rFonts w:hint="eastAsia" w:asciiTheme="minorEastAsia" w:hAnsiTheme="minorEastAsia" w:eastAsiaTheme="minorEastAsia" w:cstheme="minorEastAsia"/>
          <w:bCs w:val="0"/>
          <w:szCs w:val="32"/>
          <w:highlight w:val="none"/>
        </w:rPr>
        <w:t xml:space="preserve">5</w:t>
      </w:r>
      <w:bookmarkEnd w:id="145"/>
      <w:r/>
      <w:bookmarkStart w:id="147" w:name="_Toc296890991"/>
      <w:r/>
      <w:bookmarkStart w:id="148" w:name="_Toc292559872"/>
      <w:r/>
      <w:bookmarkStart w:id="149" w:name="_Toc297120463"/>
      <w:r/>
      <w:bookmarkStart w:id="150" w:name="_Toc296503163"/>
      <w:r/>
      <w:bookmarkStart w:id="151" w:name="_Toc297048349"/>
      <w:r/>
      <w:bookmarkStart w:id="152" w:name="_Toc296944502"/>
      <w:r/>
      <w:bookmarkStart w:id="153" w:name="_Toc296347162"/>
      <w:r/>
      <w:bookmarkStart w:id="154" w:name="_Toc296346664"/>
      <w:r/>
      <w:bookmarkStart w:id="155" w:name="_Toc296891203"/>
      <w:r/>
      <w:bookmarkStart w:id="156" w:name="_Toc292559367"/>
      <w:r>
        <w:rPr>
          <w:rFonts w:hint="eastAsia" w:asciiTheme="minorEastAsia" w:hAnsiTheme="minorEastAsia" w:eastAsiaTheme="minorEastAsia" w:cstheme="minorEastAsia"/>
          <w:bCs w:val="0"/>
          <w:szCs w:val="32"/>
          <w:highlight w:val="none"/>
        </w:rPr>
        <w:t xml:space="preserve">. 工程质量</w:t>
      </w:r>
      <w:bookmarkEnd w:id="14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57" w:name="_Toc304295527"/>
      <w:r/>
      <w:bookmarkStart w:id="158" w:name="_Toc300934949"/>
      <w:r/>
      <w:bookmarkStart w:id="159" w:name="_Toc312677997"/>
      <w:r/>
      <w:bookmarkStart w:id="160" w:name="_Toc303539106"/>
      <w:r/>
      <w:bookmarkStart w:id="161" w:name="_Toc297216155"/>
      <w:r/>
      <w:bookmarkStart w:id="162" w:name="_Toc297123496"/>
      <w:r/>
      <w:bookmarkStart w:id="163" w:name="_Toc318581164"/>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64" w:name="_Toc351203638"/>
      <w:r>
        <w:rPr>
          <w:rFonts w:hint="eastAsia" w:asciiTheme="minorEastAsia" w:hAnsiTheme="minorEastAsia" w:eastAsiaTheme="minorEastAsia" w:cstheme="minorEastAsia"/>
          <w:bCs w:val="0"/>
          <w:szCs w:val="32"/>
          <w:highlight w:val="none"/>
        </w:rPr>
        <w:t xml:space="preserve">6. 安全文明施工与环境保护</w:t>
      </w:r>
      <w:bookmarkEnd w:id="16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57"/>
      <w:r/>
      <w:bookmarkEnd w:id="158"/>
      <w:r/>
      <w:bookmarkEnd w:id="159"/>
      <w:r/>
      <w:bookmarkEnd w:id="160"/>
      <w:r/>
      <w:bookmarkEnd w:id="161"/>
      <w:r/>
      <w:bookmarkEnd w:id="162"/>
      <w:r/>
      <w:bookmarkEnd w:id="163"/>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65" w:name="_Toc351203639"/>
      <w:r>
        <w:rPr>
          <w:rFonts w:hint="eastAsia" w:asciiTheme="minorEastAsia" w:hAnsiTheme="minorEastAsia" w:eastAsiaTheme="minorEastAsia" w:cstheme="minorEastAsia"/>
          <w:bCs w:val="0"/>
          <w:szCs w:val="32"/>
          <w:highlight w:val="none"/>
        </w:rPr>
        <w:t xml:space="preserve">7. 工期和进度</w:t>
      </w:r>
      <w:bookmarkEnd w:id="16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66" w:name="_Toc297216173"/>
      <w:r/>
      <w:bookmarkStart w:id="167" w:name="_Toc312677479"/>
      <w:r/>
      <w:bookmarkStart w:id="168" w:name="_Toc312678005"/>
      <w:r/>
      <w:bookmarkStart w:id="169" w:name="_Toc297123514"/>
      <w:r/>
      <w:bookmarkStart w:id="170" w:name="_Toc304295541"/>
      <w:r/>
      <w:bookmarkStart w:id="171" w:name="_Toc303539123"/>
      <w:r/>
      <w:bookmarkStart w:id="172" w:name="_Toc300934966"/>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645"/>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3" w:name="_Toc297216175"/>
      <w:r/>
      <w:bookmarkStart w:id="174" w:name="_Toc300934968"/>
      <w:r/>
      <w:bookmarkStart w:id="175" w:name="_Toc312678010"/>
      <w:r/>
      <w:bookmarkStart w:id="176" w:name="_Toc297123516"/>
      <w:r/>
      <w:bookmarkStart w:id="177" w:name="_Toc303539125"/>
      <w:r/>
      <w:bookmarkStart w:id="178" w:name="_Toc304295546"/>
      <w:r/>
      <w:bookmarkStart w:id="179" w:name="_Toc312677484"/>
      <w:r>
        <w:rPr>
          <w:rFonts w:hint="eastAsia" w:asciiTheme="minorEastAsia" w:hAnsiTheme="minorEastAsia" w:eastAsiaTheme="minorEastAsia" w:cstheme="minorEastAsia"/>
          <w:szCs w:val="32"/>
          <w:highlight w:val="none"/>
        </w:rPr>
        <w:t xml:space="preserve">.5 工期延误</w:t>
      </w:r>
      <w:bookmarkEnd w:id="173"/>
      <w:r/>
      <w:bookmarkEnd w:id="174"/>
      <w:r/>
      <w:bookmarkEnd w:id="175"/>
      <w:r/>
      <w:bookmarkEnd w:id="176"/>
      <w:r/>
      <w:bookmarkEnd w:id="177"/>
      <w:r/>
      <w:bookmarkEnd w:id="178"/>
      <w:r/>
      <w:bookmarkEnd w:id="1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0" w:name="_Toc312678012"/>
      <w:r/>
      <w:bookmarkStart w:id="181" w:name="_Toc312677486"/>
      <w:r/>
      <w:bookmarkStart w:id="182" w:name="_Toc318581169"/>
      <w:r/>
      <w:bookmarkStart w:id="183" w:name="_Toc297123518"/>
      <w:r/>
      <w:bookmarkStart w:id="184" w:name="_Toc300934970"/>
      <w:r/>
      <w:bookmarkStart w:id="185" w:name="_Toc303539127"/>
      <w:r/>
      <w:bookmarkStart w:id="186" w:name="_Toc304295548"/>
      <w:r/>
      <w:bookmarkStart w:id="187" w:name="_Toc297216177"/>
      <w:r>
        <w:rPr>
          <w:rFonts w:hint="eastAsia" w:asciiTheme="minorEastAsia" w:hAnsiTheme="minorEastAsia" w:eastAsiaTheme="minorEastAsia" w:cstheme="minorEastAsia"/>
          <w:szCs w:val="32"/>
          <w:highlight w:val="none"/>
        </w:rPr>
        <w:t xml:space="preserve">.5.2 因承包人原因导致工期延误</w:t>
      </w:r>
      <w:bookmarkEnd w:id="180"/>
      <w:r/>
      <w:bookmarkEnd w:id="181"/>
      <w:r/>
      <w:bookmarkEnd w:id="18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88" w:name="_Toc318581170"/>
      <w:r/>
      <w:bookmarkStart w:id="189" w:name="_Toc312678013"/>
      <w:r/>
      <w:bookmarkStart w:id="190" w:name="_Toc312677487"/>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83"/>
      <w:r/>
      <w:bookmarkEnd w:id="184"/>
      <w:r/>
      <w:bookmarkEnd w:id="185"/>
      <w:r/>
      <w:bookmarkEnd w:id="186"/>
      <w:r/>
      <w:bookmarkEnd w:id="187"/>
      <w:r/>
      <w:bookmarkEnd w:id="188"/>
      <w:r/>
      <w:bookmarkEnd w:id="189"/>
      <w:r/>
      <w:bookmarkEnd w:id="19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191" w:name="_Toc312678014"/>
      <w:r/>
      <w:bookmarkStart w:id="192" w:name="_Toc318581171"/>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191"/>
      <w:r/>
      <w:bookmarkEnd w:id="19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3" w:name="_Toc303539128"/>
      <w:r/>
      <w:bookmarkStart w:id="194" w:name="_Toc304295549"/>
      <w:r/>
      <w:bookmarkStart w:id="195" w:name="_Toc300934971"/>
      <w:r/>
      <w:bookmarkStart w:id="196" w:name="_Toc297216178"/>
      <w:r/>
      <w:bookmarkStart w:id="197" w:name="_Toc297123519"/>
      <w:r/>
      <w:bookmarkStart w:id="198" w:name="_Toc312678015"/>
      <w:r>
        <w:rPr>
          <w:rFonts w:hint="eastAsia" w:asciiTheme="minorEastAsia" w:hAnsiTheme="minorEastAsia" w:eastAsiaTheme="minorEastAsia" w:cstheme="minorEastAsia"/>
          <w:szCs w:val="32"/>
          <w:highlight w:val="none"/>
        </w:rPr>
        <w:t xml:space="preserve">.6 不</w:t>
      </w:r>
      <w:bookmarkEnd w:id="193"/>
      <w:r/>
      <w:bookmarkEnd w:id="194"/>
      <w:r/>
      <w:bookmarkEnd w:id="195"/>
      <w:r/>
      <w:bookmarkEnd w:id="196"/>
      <w:r/>
      <w:bookmarkEnd w:id="197"/>
      <w:r/>
      <w:bookmarkEnd w:id="19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199" w:name="_Toc297216179"/>
      <w:r/>
      <w:bookmarkStart w:id="200" w:name="_Toc318581172"/>
      <w:r/>
      <w:bookmarkStart w:id="201" w:name="_Toc312678016"/>
      <w:r/>
      <w:bookmarkStart w:id="202" w:name="_Toc297123520"/>
      <w:r/>
      <w:bookmarkStart w:id="203" w:name="_Toc304295550"/>
      <w:r/>
      <w:bookmarkStart w:id="204" w:name="_Toc303539129"/>
      <w:r/>
      <w:bookmarkStart w:id="205" w:name="_Toc300934972"/>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199"/>
      <w:r/>
      <w:bookmarkEnd w:id="200"/>
      <w:r/>
      <w:bookmarkEnd w:id="201"/>
      <w:r/>
      <w:bookmarkEnd w:id="202"/>
      <w:r/>
      <w:bookmarkEnd w:id="203"/>
      <w:r/>
      <w:bookmarkEnd w:id="204"/>
      <w:r/>
      <w:bookmarkEnd w:id="20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6" w:name="_Toc312678017"/>
      <w:r/>
      <w:bookmarkStart w:id="207" w:name="_Toc303539130"/>
      <w:r/>
      <w:bookmarkStart w:id="208" w:name="_Toc297216180"/>
      <w:r/>
      <w:bookmarkStart w:id="209" w:name="_Toc300934973"/>
      <w:r/>
      <w:bookmarkStart w:id="210" w:name="_Toc304295551"/>
      <w:r/>
      <w:bookmarkStart w:id="211" w:name="_Toc297123521"/>
      <w:r>
        <w:rPr>
          <w:rFonts w:hint="eastAsia" w:asciiTheme="minorEastAsia" w:hAnsiTheme="minorEastAsia" w:eastAsiaTheme="minorEastAsia" w:cstheme="minorEastAsia"/>
          <w:szCs w:val="32"/>
          <w:highlight w:val="none"/>
        </w:rPr>
        <w:t xml:space="preserve">.7异常恶劣的气候条件</w:t>
      </w:r>
      <w:bookmarkEnd w:id="206"/>
      <w:r/>
      <w:bookmarkEnd w:id="207"/>
      <w:r/>
      <w:bookmarkEnd w:id="208"/>
      <w:r/>
      <w:bookmarkEnd w:id="209"/>
      <w:r/>
      <w:bookmarkEnd w:id="210"/>
      <w:r/>
      <w:bookmarkEnd w:id="2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12" w:name="_Toc351203640"/>
      <w:r>
        <w:rPr>
          <w:rFonts w:hint="eastAsia" w:asciiTheme="minorEastAsia" w:hAnsiTheme="minorEastAsia" w:eastAsiaTheme="minorEastAsia" w:cstheme="minorEastAsia"/>
          <w:bCs w:val="0"/>
          <w:szCs w:val="32"/>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13" w:name="_Toc280868654"/>
      <w:r/>
      <w:bookmarkStart w:id="214" w:name="_Toc296503167"/>
      <w:r/>
      <w:bookmarkStart w:id="215" w:name="_Toc296346668"/>
      <w:r/>
      <w:bookmarkStart w:id="216" w:name="_Toc312678019"/>
      <w:r/>
      <w:bookmarkStart w:id="217" w:name="_Toc300934979"/>
      <w:r/>
      <w:bookmarkStart w:id="218" w:name="_Toc292559372"/>
      <w:r/>
      <w:bookmarkStart w:id="219" w:name="_Toc297216186"/>
      <w:r/>
      <w:bookmarkStart w:id="220" w:name="_Toc296890995"/>
      <w:r/>
      <w:bookmarkStart w:id="221" w:name="_Toc312677493"/>
      <w:r/>
      <w:bookmarkStart w:id="222" w:name="_Toc296891207"/>
      <w:r/>
      <w:bookmarkStart w:id="223" w:name="_Toc297120467"/>
      <w:r/>
      <w:bookmarkStart w:id="224" w:name="_Toc296944506"/>
      <w:r/>
      <w:bookmarkStart w:id="225" w:name="_Toc292559877"/>
      <w:r/>
      <w:bookmarkStart w:id="226" w:name="_Toc304295556"/>
      <w:r/>
      <w:bookmarkStart w:id="227" w:name="_Toc297123527"/>
      <w:r/>
      <w:bookmarkStart w:id="228" w:name="_Toc297048353"/>
      <w:r/>
      <w:bookmarkStart w:id="229" w:name="_Toc303539136"/>
      <w:r/>
      <w:bookmarkStart w:id="230" w:name="_Toc296347166"/>
      <w:r/>
      <w:bookmarkStart w:id="231" w:name="_Toc267251424"/>
      <w:r/>
      <w:bookmarkStart w:id="232" w:name="_Toc280868655"/>
      <w:r/>
      <w:bookmarkStart w:id="233" w:name="_Toc280868656"/>
      <w:r>
        <w:rPr>
          <w:rFonts w:hint="eastAsia" w:asciiTheme="minorEastAsia" w:hAnsiTheme="minorEastAsia" w:eastAsiaTheme="minorEastAsia" w:cstheme="minorEastAsia"/>
          <w:szCs w:val="32"/>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34" w:name="_Toc292559373"/>
      <w:r/>
      <w:bookmarkStart w:id="235" w:name="_Toc292559878"/>
      <w:r/>
      <w:bookmarkStart w:id="236" w:name="_Toc297048354"/>
      <w:r/>
      <w:bookmarkStart w:id="237" w:name="_Toc297216187"/>
      <w:r/>
      <w:bookmarkStart w:id="238" w:name="_Toc296944507"/>
      <w:r/>
      <w:bookmarkStart w:id="239" w:name="_Toc296503168"/>
      <w:r/>
      <w:bookmarkStart w:id="240" w:name="_Toc303539137"/>
      <w:r/>
      <w:bookmarkStart w:id="241" w:name="_Toc300934980"/>
      <w:r/>
      <w:bookmarkStart w:id="242" w:name="_Toc297123528"/>
      <w:r/>
      <w:bookmarkStart w:id="243" w:name="_Toc312677494"/>
      <w:r/>
      <w:bookmarkStart w:id="244" w:name="_Toc296890996"/>
      <w:r/>
      <w:bookmarkStart w:id="245" w:name="_Toc297120468"/>
      <w:r/>
      <w:bookmarkStart w:id="246" w:name="_Toc312678020"/>
      <w:r/>
      <w:bookmarkStart w:id="247" w:name="_Toc296891208"/>
      <w:r/>
      <w:bookmarkStart w:id="248" w:name="_Toc296347167"/>
      <w:r/>
      <w:bookmarkStart w:id="249" w:name="_Toc296346669"/>
      <w:r/>
      <w:bookmarkStart w:id="250" w:name="_Toc304295557"/>
      <w:r/>
      <w:bookmarkStart w:id="251" w:name="_Toc318581173"/>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34"/>
      <w:r/>
      <w:bookmarkEnd w:id="23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52" w:name="_Toc351203641"/>
      <w:r>
        <w:rPr>
          <w:rFonts w:hint="eastAsia" w:asciiTheme="minorEastAsia" w:hAnsiTheme="minorEastAsia" w:eastAsiaTheme="minorEastAsia" w:cstheme="minorEastAsia"/>
          <w:bCs w:val="0"/>
          <w:szCs w:val="32"/>
          <w:highlight w:val="none"/>
        </w:rPr>
        <w:t xml:space="preserve">9</w:t>
      </w:r>
      <w:bookmarkEnd w:id="231"/>
      <w:r/>
      <w:bookmarkEnd w:id="232"/>
      <w:r/>
      <w:bookmarkEnd w:id="233"/>
      <w:r/>
      <w:bookmarkStart w:id="253" w:name="_Toc297216192"/>
      <w:r/>
      <w:bookmarkStart w:id="254" w:name="_Toc312678021"/>
      <w:r/>
      <w:bookmarkStart w:id="255" w:name="_Toc303539139"/>
      <w:r/>
      <w:bookmarkStart w:id="256" w:name="_Toc300934982"/>
      <w:r/>
      <w:bookmarkStart w:id="257" w:name="_Toc312677495"/>
      <w:r/>
      <w:bookmarkStart w:id="258" w:name="_Toc297123533"/>
      <w:r/>
      <w:bookmarkStart w:id="259" w:name="_Toc304295559"/>
      <w:r/>
      <w:bookmarkStart w:id="260" w:name="_Toc296347172"/>
      <w:r/>
      <w:bookmarkStart w:id="261" w:name="_Toc296891001"/>
      <w:r/>
      <w:bookmarkStart w:id="262" w:name="_Toc296346674"/>
      <w:r/>
      <w:bookmarkStart w:id="263" w:name="_Toc297048359"/>
      <w:r/>
      <w:bookmarkStart w:id="264" w:name="_Toc297120473"/>
      <w:r/>
      <w:bookmarkStart w:id="265" w:name="_Toc292559378"/>
      <w:r/>
      <w:bookmarkStart w:id="266" w:name="_Toc292559883"/>
      <w:r/>
      <w:bookmarkStart w:id="267" w:name="_Toc296891213"/>
      <w:r/>
      <w:bookmarkStart w:id="268" w:name="_Toc267251428"/>
      <w:r/>
      <w:bookmarkStart w:id="269" w:name="_Toc296503173"/>
      <w:r/>
      <w:bookmarkStart w:id="270" w:name="_Toc267251427"/>
      <w:r/>
      <w:bookmarkStart w:id="271" w:name="_Toc296944512"/>
      <w:r>
        <w:rPr>
          <w:rFonts w:hint="eastAsia" w:asciiTheme="minorEastAsia" w:hAnsiTheme="minorEastAsia" w:eastAsiaTheme="minorEastAsia" w:cstheme="minorEastAsia"/>
          <w:bCs w:val="0"/>
          <w:szCs w:val="32"/>
          <w:highlight w:val="none"/>
        </w:rPr>
        <w:t xml:space="preserve">. 试验与检验</w:t>
      </w:r>
      <w:bookmarkEnd w:id="252"/>
      <w:r/>
      <w:bookmarkEnd w:id="253"/>
      <w:r/>
      <w:bookmarkEnd w:id="254"/>
      <w:r/>
      <w:bookmarkEnd w:id="255"/>
      <w:r/>
      <w:bookmarkEnd w:id="256"/>
      <w:r/>
      <w:bookmarkEnd w:id="257"/>
      <w:r/>
      <w:bookmarkEnd w:id="258"/>
      <w:r/>
      <w:bookmarkEnd w:id="25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72" w:name="_Toc303539140"/>
      <w:r/>
      <w:bookmarkStart w:id="273" w:name="_Toc297216193"/>
      <w:r/>
      <w:bookmarkStart w:id="274" w:name="_Toc297123534"/>
      <w:r/>
      <w:bookmarkStart w:id="275" w:name="_Toc300934983"/>
      <w:r/>
      <w:bookmarkStart w:id="276" w:name="_Toc312678022"/>
      <w:r/>
      <w:bookmarkStart w:id="277" w:name="_Toc304295560"/>
      <w:r/>
      <w:bookmarkStart w:id="278" w:name="_Toc312677496"/>
      <w:r>
        <w:rPr>
          <w:rFonts w:hint="eastAsia" w:asciiTheme="minorEastAsia" w:hAnsiTheme="minorEastAsia" w:eastAsiaTheme="minorEastAsia" w:cstheme="minorEastAsia"/>
          <w:szCs w:val="32"/>
          <w:highlight w:val="none"/>
        </w:rPr>
        <w:t xml:space="preserve">.1试验设备与试验人员</w:t>
      </w:r>
      <w:bookmarkEnd w:id="272"/>
      <w:r/>
      <w:bookmarkEnd w:id="273"/>
      <w:r/>
      <w:bookmarkEnd w:id="274"/>
      <w:r/>
      <w:bookmarkEnd w:id="275"/>
      <w:r/>
      <w:bookmarkEnd w:id="276"/>
      <w:r/>
      <w:bookmarkEnd w:id="277"/>
      <w:r/>
      <w:bookmarkEnd w:id="27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79" w:name="_Toc304295561"/>
      <w:r/>
      <w:bookmarkStart w:id="280" w:name="_Toc312678023"/>
      <w:r/>
      <w:bookmarkStart w:id="281" w:name="_Toc297123535"/>
      <w:r/>
      <w:bookmarkStart w:id="282" w:name="_Toc312677497"/>
      <w:r/>
      <w:bookmarkStart w:id="283" w:name="_Toc303539141"/>
      <w:r/>
      <w:bookmarkStart w:id="284" w:name="_Toc297216194"/>
      <w:r/>
      <w:bookmarkStart w:id="285" w:name="_Toc300934984"/>
      <w:r/>
      <w:bookmarkStart w:id="28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12677498"/>
      <w:r/>
      <w:bookmarkStart w:id="288" w:name="_Toc303539142"/>
      <w:r/>
      <w:bookmarkStart w:id="289" w:name="_Toc304295562"/>
      <w:r/>
      <w:bookmarkStart w:id="290" w:name="_Toc312678024"/>
      <w:r/>
      <w:bookmarkStart w:id="291" w:name="_Toc297123536"/>
      <w:r/>
      <w:bookmarkStart w:id="292" w:name="_Toc300934985"/>
      <w:r/>
      <w:bookmarkStart w:id="293" w:name="_Toc297216195"/>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86"/>
      <w:r/>
      <w:bookmarkEnd w:id="287"/>
      <w:r/>
      <w:bookmarkEnd w:id="288"/>
      <w:r/>
      <w:bookmarkEnd w:id="289"/>
      <w:r/>
      <w:bookmarkEnd w:id="290"/>
      <w:r/>
      <w:bookmarkEnd w:id="291"/>
      <w:r/>
      <w:bookmarkEnd w:id="292"/>
      <w:r/>
      <w:bookmarkEnd w:id="293"/>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94" w:name="_Toc351203642"/>
      <w:r>
        <w:rPr>
          <w:rFonts w:hint="eastAsia" w:asciiTheme="minorEastAsia" w:hAnsiTheme="minorEastAsia" w:eastAsiaTheme="minorEastAsia" w:cstheme="minorEastAsia"/>
          <w:bCs w:val="0"/>
          <w:szCs w:val="32"/>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7216199"/>
      <w:r/>
      <w:bookmarkStart w:id="296" w:name="_Toc296944532"/>
      <w:r/>
      <w:bookmarkStart w:id="297" w:name="_Toc296503193"/>
      <w:r/>
      <w:bookmarkStart w:id="298" w:name="_Toc300934989"/>
      <w:r/>
      <w:bookmarkStart w:id="299" w:name="_Toc296347192"/>
      <w:r/>
      <w:bookmarkStart w:id="300" w:name="_Toc297120493"/>
      <w:r/>
      <w:bookmarkStart w:id="301" w:name="_Toc312677499"/>
      <w:r/>
      <w:bookmarkStart w:id="302" w:name="_Toc297123540"/>
      <w:r/>
      <w:bookmarkStart w:id="303" w:name="_Toc296346694"/>
      <w:r/>
      <w:bookmarkStart w:id="304" w:name="_Toc312678025"/>
      <w:r/>
      <w:bookmarkStart w:id="305" w:name="_Toc304295566"/>
      <w:r/>
      <w:bookmarkStart w:id="306" w:name="_Toc296891233"/>
      <w:r/>
      <w:bookmarkStart w:id="307" w:name="_Toc297048379"/>
      <w:r/>
      <w:bookmarkStart w:id="308" w:name="_Toc292559398"/>
      <w:r/>
      <w:bookmarkStart w:id="309" w:name="_Toc303539146"/>
      <w:r/>
      <w:bookmarkStart w:id="310" w:name="_Toc292559903"/>
      <w:r/>
      <w:bookmarkStart w:id="311" w:name="_Toc296891021"/>
      <w:r/>
      <w:bookmarkStart w:id="312" w:name="_Toc267251435"/>
      <w:r/>
      <w:bookmarkStart w:id="313" w:name="_Toc267251441"/>
      <w:r/>
      <w:bookmarkStart w:id="314" w:name="_Toc267251433"/>
      <w:r/>
      <w:bookmarkStart w:id="315" w:name="_Toc267251440"/>
      <w:r/>
      <w:bookmarkStart w:id="316" w:name="_Toc267251437"/>
      <w:r/>
      <w:bookmarkStart w:id="317" w:name="_Toc267251439"/>
      <w:r/>
      <w:bookmarkStart w:id="318" w:name="_Toc267251442"/>
      <w:r>
        <w:rPr>
          <w:rFonts w:hint="eastAsia" w:asciiTheme="minorEastAsia" w:hAnsiTheme="minorEastAsia" w:eastAsiaTheme="minorEastAsia" w:cstheme="minorEastAsia"/>
          <w:bCs w:val="0"/>
          <w:szCs w:val="32"/>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19" w:name="_Toc300934990"/>
      <w:r/>
      <w:bookmarkStart w:id="320" w:name="_Toc297048380"/>
      <w:r/>
      <w:bookmarkStart w:id="321" w:name="_Toc296347193"/>
      <w:r/>
      <w:bookmarkStart w:id="322" w:name="_Toc297216200"/>
      <w:r/>
      <w:bookmarkStart w:id="323" w:name="_Toc304295567"/>
      <w:r/>
      <w:bookmarkStart w:id="324" w:name="_Toc296503194"/>
      <w:r/>
      <w:bookmarkStart w:id="325" w:name="_Toc297123541"/>
      <w:r/>
      <w:bookmarkStart w:id="326" w:name="_Toc312678026"/>
      <w:r/>
      <w:bookmarkStart w:id="327" w:name="_Toc312677500"/>
      <w:r/>
      <w:bookmarkStart w:id="328" w:name="_Toc296891022"/>
      <w:r/>
      <w:bookmarkStart w:id="329" w:name="_Toc292559399"/>
      <w:r/>
      <w:bookmarkStart w:id="330" w:name="_Toc303539147"/>
      <w:r/>
      <w:bookmarkStart w:id="331" w:name="_Toc297120494"/>
      <w:r/>
      <w:bookmarkStart w:id="332" w:name="_Toc292559904"/>
      <w:r/>
      <w:bookmarkStart w:id="333" w:name="_Toc296944533"/>
      <w:r/>
      <w:bookmarkStart w:id="334" w:name="_Toc296891234"/>
      <w:r/>
      <w:bookmarkStart w:id="335" w:name="_Toc296346695"/>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6503197"/>
      <w:r/>
      <w:bookmarkStart w:id="337" w:name="_Toc300934993"/>
      <w:r/>
      <w:bookmarkStart w:id="338" w:name="_Toc292559402"/>
      <w:r/>
      <w:bookmarkStart w:id="339" w:name="_Toc296944536"/>
      <w:r/>
      <w:bookmarkStart w:id="340" w:name="_Toc297216203"/>
      <w:r/>
      <w:bookmarkStart w:id="341" w:name="_Toc296891237"/>
      <w:r/>
      <w:bookmarkStart w:id="342" w:name="_Toc297048383"/>
      <w:r/>
      <w:bookmarkStart w:id="343" w:name="_Toc297123544"/>
      <w:r/>
      <w:bookmarkStart w:id="344" w:name="_Toc296347196"/>
      <w:r/>
      <w:bookmarkStart w:id="345" w:name="_Toc296346698"/>
      <w:r/>
      <w:bookmarkStart w:id="346" w:name="_Toc303539150"/>
      <w:r/>
      <w:bookmarkStart w:id="347" w:name="_Toc296891025"/>
      <w:r/>
      <w:bookmarkStart w:id="348" w:name="_Toc292559907"/>
      <w:r/>
      <w:bookmarkStart w:id="349" w:name="_Toc297120497"/>
      <w:r/>
      <w:bookmarkStart w:id="350" w:name="_Toc312677503"/>
      <w:r/>
      <w:bookmarkStart w:id="351" w:name="_Toc304295570"/>
      <w:r/>
      <w:bookmarkStart w:id="352" w:name="_Toc312678029"/>
      <w:r>
        <w:rPr>
          <w:rFonts w:hint="eastAsia" w:asciiTheme="minorEastAsia" w:hAnsiTheme="minorEastAsia" w:eastAsiaTheme="minorEastAsia" w:cstheme="minorEastAsia"/>
          <w:szCs w:val="32"/>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2559408"/>
      <w:r/>
      <w:bookmarkStart w:id="354" w:name="_Toc296944542"/>
      <w:r/>
      <w:bookmarkStart w:id="355" w:name="_Toc297048389"/>
      <w:r/>
      <w:bookmarkStart w:id="356" w:name="_Toc296347202"/>
      <w:r/>
      <w:bookmarkStart w:id="357" w:name="_Toc303539151"/>
      <w:r/>
      <w:bookmarkStart w:id="358" w:name="_Toc296891031"/>
      <w:r/>
      <w:bookmarkStart w:id="359" w:name="_Toc296346704"/>
      <w:r/>
      <w:bookmarkStart w:id="360" w:name="_Toc296891243"/>
      <w:r/>
      <w:bookmarkStart w:id="361" w:name="_Toc300934994"/>
      <w:r/>
      <w:bookmarkStart w:id="362" w:name="_Toc297123545"/>
      <w:r/>
      <w:bookmarkStart w:id="363" w:name="_Toc297216204"/>
      <w:r/>
      <w:bookmarkStart w:id="364" w:name="_Toc297120503"/>
      <w:r/>
      <w:bookmarkStart w:id="365" w:name="_Toc292559913"/>
      <w:r/>
      <w:bookmarkStart w:id="366" w:name="_Toc296503203"/>
      <w:r>
        <w:rPr>
          <w:rFonts w:hint="eastAsia" w:asciiTheme="minorEastAsia" w:hAnsiTheme="minorEastAsia" w:eastAsiaTheme="minorEastAsia" w:cstheme="minorEastAsia"/>
          <w:szCs w:val="32"/>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67" w:name="_Toc297048390"/>
      <w:r/>
      <w:bookmarkStart w:id="368" w:name="_Toc297123546"/>
      <w:r/>
      <w:bookmarkStart w:id="369" w:name="_Toc304295571"/>
      <w:r/>
      <w:bookmarkStart w:id="370" w:name="_Toc296891032"/>
      <w:r/>
      <w:bookmarkStart w:id="371" w:name="_Toc292559914"/>
      <w:r/>
      <w:bookmarkStart w:id="372" w:name="_Toc318581175"/>
      <w:r/>
      <w:bookmarkStart w:id="373" w:name="_Toc312677504"/>
      <w:r/>
      <w:bookmarkStart w:id="374" w:name="_Toc297216205"/>
      <w:r/>
      <w:bookmarkStart w:id="375" w:name="_Toc296891244"/>
      <w:r/>
      <w:bookmarkStart w:id="376" w:name="_Toc296503204"/>
      <w:r/>
      <w:bookmarkStart w:id="377" w:name="_Toc303539152"/>
      <w:r/>
      <w:bookmarkStart w:id="378" w:name="_Toc296347203"/>
      <w:r/>
      <w:bookmarkStart w:id="379" w:name="_Toc297120504"/>
      <w:r/>
      <w:bookmarkStart w:id="380" w:name="_Toc300934995"/>
      <w:r/>
      <w:bookmarkStart w:id="381" w:name="_Toc296346705"/>
      <w:r/>
      <w:bookmarkStart w:id="382" w:name="_Toc312678030"/>
      <w:r/>
      <w:bookmarkStart w:id="383" w:name="_Toc292559409"/>
      <w:r/>
      <w:bookmarkStart w:id="384" w:name="_Toc296944543"/>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85" w:name="_Toc297123548"/>
      <w:r/>
      <w:bookmarkStart w:id="386" w:name="_Toc297120499"/>
      <w:r/>
      <w:bookmarkStart w:id="387" w:name="_Toc304295574"/>
      <w:r/>
      <w:bookmarkStart w:id="388" w:name="_Toc297216207"/>
      <w:r/>
      <w:bookmarkStart w:id="389" w:name="_Toc296891239"/>
      <w:r/>
      <w:bookmarkStart w:id="390" w:name="_Toc296347198"/>
      <w:r/>
      <w:bookmarkStart w:id="391" w:name="_Toc296891027"/>
      <w:r/>
      <w:bookmarkStart w:id="392" w:name="_Toc296503199"/>
      <w:r/>
      <w:bookmarkStart w:id="393" w:name="_Toc312677507"/>
      <w:r/>
      <w:bookmarkStart w:id="394" w:name="_Toc297048385"/>
      <w:r/>
      <w:bookmarkStart w:id="395" w:name="_Toc296346700"/>
      <w:r/>
      <w:bookmarkStart w:id="396" w:name="_Toc292559404"/>
      <w:r/>
      <w:bookmarkStart w:id="397" w:name="_Toc312678033"/>
      <w:r/>
      <w:bookmarkStart w:id="398" w:name="_Toc296944538"/>
      <w:r/>
      <w:bookmarkStart w:id="399" w:name="_Toc292559909"/>
      <w:r/>
      <w:bookmarkStart w:id="400" w:name="_Toc303539154"/>
      <w:r/>
      <w:bookmarkStart w:id="401" w:name="_Toc300934997"/>
      <w:r>
        <w:rPr>
          <w:rFonts w:hint="eastAsia" w:asciiTheme="minorEastAsia" w:hAnsiTheme="minorEastAsia" w:eastAsiaTheme="minorEastAsia" w:cstheme="minorEastAsia"/>
          <w:szCs w:val="32"/>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02" w:name="_Toc318581176"/>
      <w:r/>
      <w:bookmarkStart w:id="403" w:name="_Toc312678034"/>
      <w:r/>
      <w:bookmarkStart w:id="404" w:name="_Toc312677508"/>
      <w:r>
        <w:rPr>
          <w:rFonts w:hint="eastAsia" w:asciiTheme="minorEastAsia" w:hAnsiTheme="minorEastAsia" w:eastAsiaTheme="minorEastAsia" w:cstheme="minorEastAsia"/>
          <w:szCs w:val="32"/>
          <w:highlight w:val="none"/>
        </w:rPr>
        <w:t xml:space="preserve">估价材料和工程设备的明细详见附件11：《暂估价一览表》。</w:t>
      </w:r>
      <w:bookmarkEnd w:id="402"/>
      <w:r/>
      <w:bookmarkEnd w:id="403"/>
      <w:r/>
      <w:bookmarkEnd w:id="40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05" w:name="_Toc312677509"/>
      <w:r/>
      <w:bookmarkStart w:id="406" w:name="_Toc318581177"/>
      <w:r/>
      <w:bookmarkStart w:id="407" w:name="_Toc312678035"/>
      <w:r>
        <w:rPr>
          <w:rFonts w:hint="eastAsia" w:asciiTheme="minorEastAsia" w:hAnsiTheme="minorEastAsia" w:eastAsiaTheme="minorEastAsia" w:cstheme="minorEastAsia"/>
          <w:szCs w:val="32"/>
          <w:highlight w:val="none"/>
        </w:rPr>
        <w:t xml:space="preserve">0.7.1 依法必须招标的暂估价项目</w:t>
      </w:r>
      <w:bookmarkEnd w:id="405"/>
      <w:r/>
      <w:bookmarkEnd w:id="406"/>
      <w:r/>
      <w:bookmarkEnd w:id="40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08" w:name="_Toc351203643"/>
      <w:r>
        <w:rPr>
          <w:rFonts w:hint="eastAsia" w:asciiTheme="minorEastAsia" w:hAnsiTheme="minorEastAsia" w:eastAsiaTheme="minorEastAsia" w:cstheme="minorEastAsia"/>
          <w:bCs w:val="0"/>
          <w:szCs w:val="32"/>
          <w:highlight w:val="none"/>
        </w:rPr>
        <w:t xml:space="preserve">11. 价格调整</w:t>
      </w:r>
      <w:bookmarkEnd w:id="408"/>
      <w:r/>
      <w:r/>
    </w:p>
    <w:p>
      <w:pPr>
        <w:ind w:firstLine="420"/>
        <w:spacing w:line="332" w:lineRule="auto"/>
        <w:rPr>
          <w:rFonts w:hint="eastAsia" w:asciiTheme="minorEastAsia" w:hAnsiTheme="minorEastAsia" w:eastAsiaTheme="minorEastAsia" w:cstheme="minorEastAsia"/>
          <w:szCs w:val="32"/>
          <w:highlight w:val="none"/>
        </w:rPr>
      </w:pPr>
      <w:r/>
      <w:bookmarkStart w:id="409" w:name="_Toc296891241"/>
      <w:r/>
      <w:bookmarkStart w:id="410" w:name="_Toc304295577"/>
      <w:r/>
      <w:bookmarkStart w:id="411" w:name="_Toc297123550"/>
      <w:r/>
      <w:bookmarkStart w:id="412" w:name="_Toc296346702"/>
      <w:r/>
      <w:bookmarkStart w:id="413" w:name="_Toc297216209"/>
      <w:r/>
      <w:bookmarkStart w:id="414" w:name="_Toc300935000"/>
      <w:r/>
      <w:bookmarkStart w:id="415" w:name="_Toc297120501"/>
      <w:r/>
      <w:bookmarkStart w:id="416" w:name="_Toc296944540"/>
      <w:r/>
      <w:bookmarkStart w:id="417" w:name="_Toc292559911"/>
      <w:r/>
      <w:bookmarkStart w:id="418" w:name="_Toc303539157"/>
      <w:r/>
      <w:bookmarkStart w:id="419" w:name="_Toc292559406"/>
      <w:r/>
      <w:bookmarkStart w:id="420" w:name="_Toc297048387"/>
      <w:r/>
      <w:bookmarkStart w:id="421" w:name="_Toc296347200"/>
      <w:r/>
      <w:bookmarkStart w:id="422" w:name="_Toc312678039"/>
      <w:r/>
      <w:bookmarkStart w:id="423" w:name="_Toc296891029"/>
      <w:r/>
      <w:bookmarkStart w:id="424" w:name="_Toc296503201"/>
      <w:r>
        <w:rPr>
          <w:rFonts w:hint="eastAsia" w:asciiTheme="minorEastAsia" w:hAnsiTheme="minorEastAsia" w:eastAsiaTheme="minorEastAsia" w:cstheme="minorEastAsia"/>
          <w:szCs w:val="32"/>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12"/>
      <w:r/>
      <w:bookmarkEnd w:id="313"/>
      <w:r/>
      <w:bookmarkEnd w:id="314"/>
      <w:r/>
      <w:bookmarkEnd w:id="315"/>
      <w:r/>
      <w:bookmarkEnd w:id="316"/>
      <w:r/>
      <w:bookmarkEnd w:id="317"/>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25" w:name="_Toc292559410"/>
      <w:r/>
      <w:bookmarkStart w:id="426" w:name="_Toc296891033"/>
      <w:r/>
      <w:bookmarkStart w:id="427" w:name="_Toc296503205"/>
      <w:r/>
      <w:bookmarkStart w:id="428" w:name="_Toc296944544"/>
      <w:r/>
      <w:bookmarkStart w:id="429" w:name="_Toc292559915"/>
      <w:r/>
      <w:bookmarkStart w:id="430" w:name="_Toc296891245"/>
      <w:r/>
      <w:bookmarkStart w:id="431" w:name="_Toc296347204"/>
      <w:r/>
      <w:bookmarkStart w:id="432" w:name="_Toc297120505"/>
      <w:r/>
      <w:bookmarkStart w:id="433" w:name="_Toc296346706"/>
      <w:r/>
      <w:bookmarkStart w:id="434" w:name="_Toc297048391"/>
      <w:r/>
      <w:bookmarkStart w:id="435" w:name="_Toc300935002"/>
      <w:r/>
      <w:bookmarkStart w:id="436" w:name="_Toc297123552"/>
      <w:r/>
      <w:bookmarkStart w:id="437" w:name="_Toc304295579"/>
      <w:r/>
      <w:bookmarkStart w:id="438" w:name="_Toc351203644"/>
      <w:r/>
      <w:bookmarkStart w:id="439" w:name="_Toc297216211"/>
      <w:r/>
      <w:bookmarkStart w:id="440" w:name="_Toc312678040"/>
      <w:r/>
      <w:bookmarkStart w:id="441" w:name="_Toc303539159"/>
      <w:r>
        <w:rPr>
          <w:rFonts w:hint="eastAsia" w:asciiTheme="minorEastAsia" w:hAnsiTheme="minorEastAsia" w:eastAsiaTheme="minorEastAsia" w:cstheme="minorEastAsia"/>
          <w:bCs w:val="0"/>
          <w:szCs w:val="32"/>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Theme="minorEastAsia" w:hAnsiTheme="minorEastAsia" w:eastAsiaTheme="minorEastAsia" w:cstheme="minorEastAsia"/>
          <w:bCs w:val="0"/>
          <w:szCs w:val="32"/>
          <w:highlight w:val="none"/>
        </w:rPr>
        <w:t xml:space="preserve">合同价格、计量与支付</w:t>
      </w:r>
      <w:bookmarkEnd w:id="435"/>
      <w:r/>
      <w:bookmarkEnd w:id="436"/>
      <w:r/>
      <w:bookmarkEnd w:id="437"/>
      <w:r/>
      <w:bookmarkEnd w:id="438"/>
      <w:r/>
      <w:bookmarkEnd w:id="439"/>
      <w:r/>
      <w:bookmarkEnd w:id="440"/>
      <w:r/>
      <w:bookmarkEnd w:id="441"/>
      <w:r/>
      <w:r/>
    </w:p>
    <w:p>
      <w:pPr>
        <w:ind w:firstLine="420"/>
        <w:spacing w:line="332" w:lineRule="auto"/>
        <w:rPr>
          <w:rFonts w:hint="eastAsia" w:asciiTheme="minorEastAsia" w:hAnsiTheme="minorEastAsia" w:eastAsiaTheme="minorEastAsia" w:cstheme="minorEastAsia"/>
          <w:szCs w:val="32"/>
          <w:highlight w:val="none"/>
        </w:rPr>
      </w:pPr>
      <w:r/>
      <w:bookmarkStart w:id="442" w:name="_Toc292559411"/>
      <w:r/>
      <w:bookmarkStart w:id="443" w:name="_Toc292559916"/>
      <w:r/>
      <w:bookmarkStart w:id="444" w:name="_Toc267251461"/>
      <w:r/>
      <w:bookmarkStart w:id="445" w:name="_Toc296346707"/>
      <w:r/>
      <w:bookmarkStart w:id="446" w:name="_Toc296347205"/>
      <w:r/>
      <w:bookmarkStart w:id="447" w:name="_Toc296891246"/>
      <w:r/>
      <w:bookmarkStart w:id="448" w:name="_Toc297048392"/>
      <w:r/>
      <w:bookmarkStart w:id="449" w:name="_Toc296944545"/>
      <w:r/>
      <w:bookmarkStart w:id="450" w:name="_Toc296503206"/>
      <w:r/>
      <w:bookmarkStart w:id="451" w:name="_Toc296891034"/>
      <w:r/>
      <w:bookmarkStart w:id="452" w:name="_Toc297120506"/>
      <w:r/>
      <w:bookmarkStart w:id="453" w:name="_Toc297216212"/>
      <w:r/>
      <w:bookmarkStart w:id="454" w:name="_Toc297123553"/>
      <w:r/>
      <w:bookmarkStart w:id="455" w:name="_Toc304295580"/>
      <w:r/>
      <w:bookmarkStart w:id="456" w:name="_Toc300935003"/>
      <w:r/>
      <w:bookmarkStart w:id="457" w:name="_Toc312678041"/>
      <w:r/>
      <w:bookmarkStart w:id="458" w:name="_Toc303539160"/>
      <w:r>
        <w:rPr>
          <w:rFonts w:hint="eastAsia" w:asciiTheme="minorEastAsia" w:hAnsiTheme="minorEastAsia" w:eastAsiaTheme="minorEastAsia" w:cstheme="minorEastAsia"/>
          <w:szCs w:val="32"/>
          <w:highlight w:val="none"/>
        </w:rPr>
        <w:t xml:space="preserve">12.1 合</w:t>
      </w:r>
      <w:bookmarkEnd w:id="442"/>
      <w:r/>
      <w:bookmarkEnd w:id="443"/>
      <w:r/>
      <w:bookmarkEnd w:id="444"/>
      <w:r>
        <w:rPr>
          <w:rFonts w:hint="eastAsia" w:asciiTheme="minorEastAsia" w:hAnsiTheme="minorEastAsia" w:eastAsiaTheme="minorEastAsia" w:cstheme="minorEastAsia"/>
          <w:szCs w:val="32"/>
          <w:highlight w:val="none"/>
        </w:rPr>
        <w:t xml:space="preserve">同价</w:t>
      </w:r>
      <w:bookmarkEnd w:id="445"/>
      <w:r/>
      <w:bookmarkEnd w:id="446"/>
      <w:r/>
      <w:bookmarkEnd w:id="447"/>
      <w:r/>
      <w:bookmarkEnd w:id="448"/>
      <w:r/>
      <w:bookmarkEnd w:id="449"/>
      <w:r/>
      <w:bookmarkEnd w:id="450"/>
      <w:r/>
      <w:bookmarkEnd w:id="451"/>
      <w:r/>
      <w:bookmarkEnd w:id="452"/>
      <w:r>
        <w:rPr>
          <w:rFonts w:hint="eastAsia" w:asciiTheme="minorEastAsia" w:hAnsiTheme="minorEastAsia" w:eastAsiaTheme="minorEastAsia" w:cstheme="minorEastAsia"/>
          <w:szCs w:val="32"/>
          <w:highlight w:val="none"/>
        </w:rPr>
        <w:t xml:space="preserve">格形式</w:t>
      </w:r>
      <w:bookmarkEnd w:id="453"/>
      <w:r/>
      <w:bookmarkEnd w:id="454"/>
      <w:r/>
      <w:bookmarkEnd w:id="455"/>
      <w:r/>
      <w:bookmarkEnd w:id="456"/>
      <w:r/>
      <w:bookmarkEnd w:id="457"/>
      <w:r/>
      <w:bookmarkEnd w:id="45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59" w:name="_Toc312678042"/>
      <w:r/>
      <w:bookmarkStart w:id="460" w:name="_Toc297123554"/>
      <w:r/>
      <w:bookmarkStart w:id="461" w:name="_Toc300935004"/>
      <w:r/>
      <w:bookmarkStart w:id="462" w:name="_Toc303539161"/>
      <w:r/>
      <w:bookmarkStart w:id="463" w:name="_Toc304295581"/>
      <w:r/>
      <w:bookmarkStart w:id="464" w:name="_Toc297216213"/>
      <w:r/>
      <w:bookmarkStart w:id="465" w:name="_Toc292559917"/>
      <w:r/>
      <w:bookmarkStart w:id="466" w:name="_Toc296944546"/>
      <w:r/>
      <w:bookmarkStart w:id="467" w:name="_Toc296347206"/>
      <w:r/>
      <w:bookmarkStart w:id="468" w:name="_Toc297048393"/>
      <w:r/>
      <w:bookmarkStart w:id="469" w:name="_Toc292559412"/>
      <w:r/>
      <w:bookmarkStart w:id="470" w:name="_Toc296503207"/>
      <w:r/>
      <w:bookmarkStart w:id="471" w:name="_Toc297120507"/>
      <w:r/>
      <w:bookmarkStart w:id="472" w:name="_Toc296891247"/>
      <w:r/>
      <w:bookmarkStart w:id="473" w:name="_Toc296346708"/>
      <w:r/>
      <w:bookmarkStart w:id="474" w:name="_Toc296891035"/>
      <w:r>
        <w:rPr>
          <w:rFonts w:hint="eastAsia" w:asciiTheme="minorEastAsia" w:hAnsiTheme="minorEastAsia" w:eastAsiaTheme="minorEastAsia" w:cstheme="minorEastAsia"/>
          <w:szCs w:val="32"/>
          <w:highlight w:val="none"/>
        </w:rPr>
        <w:t xml:space="preserve">12.2 预付款</w:t>
      </w:r>
      <w:bookmarkEnd w:id="459"/>
      <w:r/>
      <w:bookmarkEnd w:id="460"/>
      <w:r/>
      <w:bookmarkEnd w:id="461"/>
      <w:r/>
      <w:bookmarkEnd w:id="462"/>
      <w:r/>
      <w:bookmarkEnd w:id="463"/>
      <w:r/>
      <w:bookmarkEnd w:id="46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65"/>
      <w:r/>
      <w:bookmarkEnd w:id="466"/>
      <w:r/>
      <w:bookmarkEnd w:id="467"/>
      <w:r/>
      <w:bookmarkEnd w:id="468"/>
      <w:r/>
      <w:bookmarkEnd w:id="469"/>
      <w:r/>
      <w:bookmarkEnd w:id="470"/>
      <w:r/>
      <w:bookmarkEnd w:id="471"/>
      <w:r/>
      <w:bookmarkEnd w:id="472"/>
      <w:r/>
      <w:bookmarkEnd w:id="473"/>
      <w:r/>
      <w:bookmarkEnd w:id="4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lang w:val="en-US" w:eastAsia="zh-CN"/>
        </w:rPr>
        <w:t xml:space="preserve">按现行计价等文件、</w:t>
      </w:r>
      <w:r>
        <w:rPr>
          <w:rFonts w:hint="eastAsia" w:asciiTheme="minorEastAsia" w:hAnsiTheme="minorEastAsia" w:eastAsiaTheme="minorEastAsia" w:cstheme="minorEastAsia"/>
          <w:szCs w:val="32"/>
          <w:highlight w:val="none"/>
          <w:u w:val="single"/>
        </w:rPr>
        <w:t xml:space="preserve">规范</w:t>
      </w:r>
      <w:r>
        <w:rPr>
          <w:rFonts w:hint="eastAsia" w:asciiTheme="minorEastAsia" w:hAnsiTheme="minorEastAsia" w:eastAsiaTheme="minorEastAsia" w:cstheme="minorEastAsia"/>
          <w:szCs w:val="32"/>
          <w:highlight w:val="none"/>
          <w:u w:val="single"/>
          <w:lang w:val="en-US" w:eastAsia="zh-CN"/>
        </w:rPr>
        <w:t xml:space="preserve">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12.3.5总价合同采用支付分解表计量支付的，是否适用第12.3.4 项〔总价合同的计量〕约定进行计量：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75" w:name="_Toc296503211"/>
      <w:r/>
      <w:bookmarkStart w:id="476" w:name="_Toc297216215"/>
      <w:r/>
      <w:bookmarkStart w:id="477" w:name="_Toc303539163"/>
      <w:r/>
      <w:bookmarkStart w:id="478" w:name="_Toc296891251"/>
      <w:r/>
      <w:bookmarkStart w:id="479" w:name="_Toc292559416"/>
      <w:r/>
      <w:bookmarkStart w:id="480" w:name="_Toc297048397"/>
      <w:r/>
      <w:bookmarkStart w:id="481" w:name="_Toc296346712"/>
      <w:r/>
      <w:bookmarkStart w:id="482" w:name="_Toc300935006"/>
      <w:r/>
      <w:bookmarkStart w:id="483" w:name="_Toc297123556"/>
      <w:r/>
      <w:bookmarkStart w:id="484" w:name="_Toc296891039"/>
      <w:r/>
      <w:bookmarkStart w:id="485" w:name="_Toc296347210"/>
      <w:r/>
      <w:bookmarkStart w:id="486" w:name="_Toc297120511"/>
      <w:r/>
      <w:bookmarkStart w:id="487" w:name="_Toc296944550"/>
      <w:r/>
      <w:bookmarkStart w:id="488" w:name="_Toc292559921"/>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18"/>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89" w:name="_Toc296891259"/>
      <w:r/>
      <w:bookmarkStart w:id="490" w:name="_Toc351203645"/>
      <w:r/>
      <w:bookmarkStart w:id="491" w:name="_Toc297216223"/>
      <w:r/>
      <w:bookmarkStart w:id="492" w:name="_Toc297120519"/>
      <w:r/>
      <w:bookmarkStart w:id="493" w:name="_Toc297123564"/>
      <w:r/>
      <w:bookmarkStart w:id="494" w:name="_Toc297048405"/>
      <w:r/>
      <w:bookmarkStart w:id="495" w:name="_Toc304295593"/>
      <w:r/>
      <w:bookmarkStart w:id="496" w:name="_Toc296891047"/>
      <w:r/>
      <w:bookmarkStart w:id="497" w:name="_Toc303539172"/>
      <w:r/>
      <w:bookmarkStart w:id="498" w:name="_Toc296346720"/>
      <w:r/>
      <w:bookmarkStart w:id="499" w:name="_Toc296944558"/>
      <w:r/>
      <w:bookmarkStart w:id="500" w:name="_Toc292559424"/>
      <w:r/>
      <w:bookmarkStart w:id="501" w:name="_Toc296503219"/>
      <w:r/>
      <w:bookmarkStart w:id="502" w:name="_Toc296347218"/>
      <w:r/>
      <w:bookmarkStart w:id="503" w:name="_Toc292559929"/>
      <w:r/>
      <w:bookmarkStart w:id="504" w:name="_Toc312678053"/>
      <w:r/>
      <w:bookmarkStart w:id="505" w:name="_Toc300935015"/>
      <w:r>
        <w:rPr>
          <w:rFonts w:hint="eastAsia" w:asciiTheme="minorEastAsia" w:hAnsiTheme="minorEastAsia" w:eastAsiaTheme="minorEastAsia" w:cstheme="minorEastAsia"/>
          <w:bCs w:val="0"/>
          <w:szCs w:val="32"/>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06" w:name="_Toc292559428"/>
      <w:r/>
      <w:bookmarkStart w:id="507" w:name="_Toc297123565"/>
      <w:r/>
      <w:bookmarkStart w:id="508" w:name="_Toc303539173"/>
      <w:r/>
      <w:bookmarkStart w:id="509" w:name="_Toc300935016"/>
      <w:r/>
      <w:bookmarkStart w:id="510" w:name="_Toc297216224"/>
      <w:r/>
      <w:bookmarkStart w:id="511" w:name="_Toc296503223"/>
      <w:r/>
      <w:bookmarkStart w:id="512" w:name="_Toc297120523"/>
      <w:r/>
      <w:bookmarkStart w:id="513" w:name="_Toc296346724"/>
      <w:r/>
      <w:bookmarkStart w:id="514" w:name="_Toc304295596"/>
      <w:r/>
      <w:bookmarkStart w:id="515" w:name="_Toc296891051"/>
      <w:r/>
      <w:bookmarkStart w:id="516" w:name="_Toc312678056"/>
      <w:r/>
      <w:bookmarkStart w:id="517" w:name="_Toc297048409"/>
      <w:r/>
      <w:bookmarkStart w:id="518" w:name="_Toc296347222"/>
      <w:r/>
      <w:bookmarkStart w:id="519" w:name="_Toc292559933"/>
      <w:r/>
      <w:bookmarkStart w:id="520" w:name="_Toc296891263"/>
      <w:r/>
      <w:bookmarkStart w:id="521" w:name="_Toc296944562"/>
      <w:r/>
      <w:bookmarkStart w:id="522" w:name="_Toc267251473"/>
      <w:r/>
      <w:bookmarkStart w:id="523" w:name="_Toc267251476"/>
      <w:r/>
      <w:bookmarkStart w:id="524" w:name="_Toc267251474"/>
      <w:r/>
      <w:bookmarkStart w:id="525" w:name="_Toc267251472"/>
      <w:r/>
      <w:bookmarkStart w:id="526" w:name="_Toc267251475"/>
      <w:r/>
      <w:bookmarkStart w:id="527" w:name="_Toc267251470"/>
      <w:r/>
      <w:bookmarkStart w:id="528" w:name="_Toc267251471"/>
      <w:r>
        <w:rPr>
          <w:rFonts w:hint="eastAsia" w:asciiTheme="minorEastAsia" w:hAnsiTheme="minorEastAsia" w:eastAsiaTheme="minorEastAsia" w:cstheme="minorEastAsia"/>
          <w:szCs w:val="32"/>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20"/>
        <w:jc w:val="left"/>
        <w:spacing w:line="332" w:lineRule="auto"/>
        <w:rPr>
          <w:rFonts w:hint="eastAsia" w:asciiTheme="minorEastAsia" w:hAnsiTheme="minorEastAsia" w:eastAsiaTheme="minorEastAsia" w:cstheme="minorEastAsia"/>
          <w:szCs w:val="32"/>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Theme="minorEastAsia" w:hAnsiTheme="minorEastAsia" w:eastAsiaTheme="minorEastAsia" w:cstheme="minorEastAsia"/>
          <w:szCs w:val="32"/>
          <w:highlight w:val="none"/>
        </w:rPr>
        <w:t xml:space="preserve">13.2.2竣工验收程序</w:t>
      </w:r>
      <w:bookmarkEnd w:id="52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 </w:t>
      </w:r>
      <w:r>
        <w:rPr>
          <w:rFonts w:hint="eastAsia" w:asciiTheme="minorEastAsia" w:hAnsiTheme="minorEastAsia" w:eastAsiaTheme="minorEastAsia" w:cstheme="minorEastAsia"/>
          <w:szCs w:val="32"/>
          <w:highlight w:val="none"/>
        </w:rPr>
        <w:t xml:space="preserve">。</w:t>
      </w:r>
      <w:bookmarkEnd w:id="53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3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3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3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35" w:name="_Toc351203646"/>
      <w:r>
        <w:rPr>
          <w:rFonts w:hint="eastAsia" w:asciiTheme="minorEastAsia" w:hAnsiTheme="minorEastAsia" w:eastAsiaTheme="minorEastAsia" w:cstheme="minorEastAsia"/>
          <w:bCs w:val="0"/>
          <w:szCs w:val="32"/>
          <w:highlight w:val="none"/>
        </w:rPr>
        <w:t xml:space="preserve">14. 竣工结算</w:t>
      </w:r>
      <w:bookmarkEnd w:id="53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22"/>
      <w:r/>
      <w:bookmarkEnd w:id="523"/>
      <w:r/>
      <w:bookmarkEnd w:id="524"/>
      <w:r/>
      <w:bookmarkEnd w:id="525"/>
      <w:r/>
      <w:bookmarkEnd w:id="526"/>
      <w:r/>
      <w:bookmarkEnd w:id="527"/>
      <w:r/>
      <w:bookmarkEnd w:id="528"/>
      <w:r/>
      <w:bookmarkEnd w:id="534"/>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36" w:name="_Toc351203647"/>
      <w:r/>
      <w:bookmarkStart w:id="537" w:name="_Toc267251483"/>
      <w:r/>
      <w:bookmarkStart w:id="538" w:name="_Toc267251482"/>
      <w:r/>
      <w:bookmarkStart w:id="539" w:name="_Toc267251484"/>
      <w:r/>
      <w:bookmarkStart w:id="540" w:name="_Toc267251485"/>
      <w:r/>
      <w:bookmarkStart w:id="541" w:name="_Toc267251486"/>
      <w:r/>
      <w:bookmarkStart w:id="542" w:name="_Toc267251489"/>
      <w:r/>
      <w:bookmarkStart w:id="543" w:name="_Toc267251490"/>
      <w:r/>
      <w:bookmarkStart w:id="544" w:name="_Toc267251488"/>
      <w:r/>
      <w:bookmarkStart w:id="545" w:name="_Toc267251492"/>
      <w:r/>
      <w:bookmarkStart w:id="546" w:name="_Toc267251496"/>
      <w:r/>
      <w:bookmarkStart w:id="547" w:name="_Toc267251503"/>
      <w:r/>
      <w:bookmarkStart w:id="548" w:name="_Toc267251499"/>
      <w:r/>
      <w:bookmarkStart w:id="549" w:name="_Toc267251491"/>
      <w:r/>
      <w:bookmarkStart w:id="550" w:name="_Toc267251502"/>
      <w:r/>
      <w:bookmarkStart w:id="551" w:name="_Toc267251497"/>
      <w:r/>
      <w:bookmarkStart w:id="552" w:name="_Toc267251493"/>
      <w:r/>
      <w:bookmarkStart w:id="553" w:name="_Toc267251495"/>
      <w:r/>
      <w:bookmarkStart w:id="554" w:name="_Toc267251498"/>
      <w:r/>
      <w:bookmarkStart w:id="555" w:name="_Toc267251494"/>
      <w:r/>
      <w:bookmarkStart w:id="556" w:name="_Toc267251501"/>
      <w:r/>
      <w:bookmarkStart w:id="557" w:name="_Toc267251504"/>
      <w:r/>
      <w:bookmarkStart w:id="558" w:name="_Toc267251506"/>
      <w:r/>
      <w:bookmarkStart w:id="559" w:name="_Toc267251507"/>
      <w:r/>
      <w:bookmarkStart w:id="560" w:name="_Toc267251508"/>
      <w:r/>
      <w:bookmarkStart w:id="561" w:name="_Toc267251513"/>
      <w:r/>
      <w:bookmarkStart w:id="562" w:name="_Toc267251514"/>
      <w:r/>
      <w:bookmarkStart w:id="563" w:name="_Toc267251515"/>
      <w:r/>
      <w:bookmarkStart w:id="564" w:name="_Toc267251511"/>
      <w:r/>
      <w:bookmarkStart w:id="565" w:name="_Toc267251510"/>
      <w:r/>
      <w:bookmarkStart w:id="566" w:name="_Toc267251509"/>
      <w:r>
        <w:rPr>
          <w:rFonts w:hint="eastAsia" w:asciiTheme="minorEastAsia" w:hAnsiTheme="minorEastAsia" w:eastAsiaTheme="minorEastAsia" w:cstheme="minorEastAsia"/>
          <w:bCs w:val="0"/>
          <w:szCs w:val="32"/>
          <w:highlight w:val="none"/>
        </w:rPr>
        <w:t xml:space="preserve">15. 缺陷责任期与保修</w:t>
      </w:r>
      <w:bookmarkEnd w:id="53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3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38"/>
      <w:r/>
      <w:bookmarkEnd w:id="53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4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（1）本合同工程保修期为</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41"/>
      <w:r/>
      <w:bookmarkEnd w:id="542"/>
      <w:r/>
      <w:bookmarkEnd w:id="543"/>
      <w:r/>
      <w:bookmarkEnd w:id="544"/>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67" w:name="_Toc351203648"/>
      <w:r/>
      <w:bookmarkStart w:id="568" w:name="_Toc280868717"/>
      <w:r/>
      <w:bookmarkStart w:id="569" w:name="_Toc280868718"/>
      <w:r>
        <w:rPr>
          <w:rFonts w:hint="eastAsia" w:asciiTheme="minorEastAsia" w:hAnsiTheme="minorEastAsia" w:eastAsiaTheme="minorEastAsia" w:cstheme="minorEastAsia"/>
          <w:bCs w:val="0"/>
          <w:szCs w:val="32"/>
          <w:highlight w:val="none"/>
        </w:rPr>
        <w:t xml:space="preserve">16. 违约</w:t>
      </w:r>
      <w:bookmarkEnd w:id="56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0" w:name="_Toc351203649"/>
      <w:r>
        <w:rPr>
          <w:rFonts w:hint="eastAsia" w:asciiTheme="minorEastAsia" w:hAnsiTheme="minorEastAsia" w:eastAsiaTheme="minorEastAsia" w:cstheme="minorEastAsia"/>
          <w:bCs w:val="0"/>
          <w:szCs w:val="32"/>
          <w:highlight w:val="none"/>
        </w:rPr>
        <w:t xml:space="preserve">17. 不可抗力</w:t>
      </w:r>
      <w:bookmarkEnd w:id="570"/>
      <w:r>
        <w:rPr>
          <w:rFonts w:hint="eastAsia" w:asciiTheme="minorEastAsia" w:hAnsiTheme="minorEastAsia" w:eastAsiaTheme="minorEastAsia" w:cstheme="minorEastAsia"/>
          <w:bCs w:val="0"/>
          <w:szCs w:val="32"/>
          <w:highlight w:val="none"/>
        </w:rPr>
        <w:t xml:space="preserve"> </w:t>
      </w:r>
      <w:bookmarkEnd w:id="56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1" w:name="_Toc351203650"/>
      <w:r>
        <w:rPr>
          <w:rFonts w:hint="eastAsia" w:asciiTheme="minorEastAsia" w:hAnsiTheme="minorEastAsia" w:eastAsiaTheme="minorEastAsia" w:cstheme="minorEastAsia"/>
          <w:bCs w:val="0"/>
          <w:szCs w:val="32"/>
          <w:highlight w:val="none"/>
        </w:rPr>
        <w:t xml:space="preserve">18. 保险</w:t>
      </w:r>
      <w:bookmarkEnd w:id="569"/>
      <w:r/>
      <w:bookmarkEnd w:id="57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18.3 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18.7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2" w:name="_Toc351203651"/>
      <w:r>
        <w:rPr>
          <w:rFonts w:hint="eastAsia" w:asciiTheme="minorEastAsia" w:hAnsiTheme="minorEastAsia" w:eastAsiaTheme="minorEastAsia" w:cstheme="minorEastAsia"/>
          <w:bCs w:val="0"/>
          <w:szCs w:val="32"/>
          <w:highlight w:val="none"/>
        </w:rPr>
        <w:t xml:space="preserve">20. 争议解决</w:t>
      </w:r>
      <w:bookmarkEnd w:id="557"/>
      <w:r/>
      <w:bookmarkEnd w:id="558"/>
      <w:r/>
      <w:bookmarkEnd w:id="57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20.3 争</w:t>
      </w:r>
      <w:bookmarkEnd w:id="55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20.3.1 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20.3.2 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20.4仲裁或诉讼</w:t>
      </w:r>
      <w:bookmarkEnd w:id="56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61"/>
      <w:r/>
      <w:bookmarkEnd w:id="562"/>
      <w:r/>
      <w:bookmarkEnd w:id="563"/>
      <w:r/>
      <w:bookmarkEnd w:id="564"/>
      <w:r/>
      <w:bookmarkEnd w:id="565"/>
      <w:r/>
      <w:bookmarkEnd w:id="566"/>
      <w:r/>
      <w:r/>
    </w:p>
    <w:p>
      <w:pPr>
        <w:pStyle w:val="741"/>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rPr>
        <w:t xml:space="preserve">2</w:t>
      </w:r>
      <w:r>
        <w:rPr>
          <w:rFonts w:hint="eastAsia" w:asciiTheme="minorEastAsia" w:hAnsiTheme="minorEastAsia" w:eastAsiaTheme="minorEastAsia" w:cstheme="minorEastAsia"/>
          <w:bCs w:val="0"/>
          <w:szCs w:val="32"/>
          <w:highlight w:val="none"/>
          <w:lang w:val="en-US" w:eastAsia="zh-CN"/>
        </w:rPr>
        <w:t xml:space="preserve">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 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7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73" w:name="_Toc179632787"/>
      <w:r/>
      <w:bookmarkStart w:id="574" w:name="_Toc152042551"/>
      <w:r/>
      <w:bookmarkStart w:id="575" w:name="_Toc152045769"/>
      <w:r>
        <w:rPr>
          <w:rStyle w:val="959"/>
          <w:rFonts w:hint="eastAsia" w:asciiTheme="minorEastAsia" w:hAnsiTheme="minorEastAsia" w:eastAsiaTheme="minorEastAsia" w:cstheme="minorEastAsia"/>
          <w:highlight w:val="none"/>
        </w:rPr>
        <w:t xml:space="preserve">附件：履约担保格式</w:t>
      </w:r>
      <w:bookmarkEnd w:id="573"/>
      <w:r/>
      <w:bookmarkEnd w:id="574"/>
      <w:r/>
      <w:bookmarkEnd w:id="57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756"/>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38"/>
        <w:rPr>
          <w:rFonts w:hint="eastAsia" w:asciiTheme="minorEastAsia" w:hAnsiTheme="minorEastAsia" w:eastAsiaTheme="minorEastAsia" w:cstheme="minorEastAsia"/>
          <w:highlight w:val="none"/>
        </w:rPr>
      </w:pPr>
      <w:r/>
      <w:bookmarkStart w:id="576" w:name="_Toc30120"/>
      <w:r/>
      <w:bookmarkStart w:id="577" w:name="_Toc30868"/>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76"/>
      <w:r/>
      <w:bookmarkEnd w:id="57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竞争性谈判响应文件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51"/>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jc w:val="center"/>
        <w:rPr>
          <w:rFonts w:hint="eastAsia" w:ascii="宋体" w:hAnsi="宋体"/>
          <w:b/>
          <w:color w:val="000000"/>
          <w:spacing w:val="20"/>
          <w:sz w:val="21"/>
          <w:szCs w:val="21"/>
          <w:highlight w:val="none"/>
        </w:rPr>
      </w:pPr>
      <w:r/>
      <w:bookmarkStart w:id="578" w:name="_Toc17349"/>
      <w:r/>
      <w:bookmarkStart w:id="579" w:name="_Toc21151"/>
      <w:r>
        <w:rPr>
          <w:rFonts w:hint="eastAsia" w:asciiTheme="minorEastAsia" w:hAnsiTheme="minorEastAsia" w:eastAsiaTheme="minorEastAsia" w:cstheme="minorEastAsia"/>
          <w:b/>
          <w:color w:val="000000"/>
          <w:sz w:val="36"/>
          <w:szCs w:val="20"/>
          <w:highlight w:val="none"/>
          <w:lang w:val="en-US" w:eastAsia="zh-CN" w:bidi="ar-SA"/>
        </w:rPr>
        <w:t xml:space="preserve">首次响应报价表</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项目编号</w:t>
      </w:r>
      <w:r>
        <w:rPr>
          <w:rFonts w:hint="eastAsia" w:asciiTheme="minorEastAsia" w:hAnsiTheme="minorEastAsia" w:eastAsiaTheme="minorEastAsia" w:cstheme="minorEastAsia"/>
          <w:sz w:val="24"/>
          <w:szCs w:val="24"/>
          <w:highlight w:val="none"/>
        </w:rPr>
        <w:t xml:space="preserve">：</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本次为首次报价</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货币单位：人民币元</w:t>
      </w:r>
      <w:r>
        <w:rPr>
          <w:rFonts w:hint="eastAsia" w:asciiTheme="minorEastAsia" w:hAnsiTheme="minorEastAsia" w:eastAsiaTheme="minorEastAsia" w:cstheme="minorEastAsia"/>
          <w:sz w:val="24"/>
          <w:szCs w:val="24"/>
          <w:highlight w:val="none"/>
        </w:rPr>
        <w:t xml:space="preserve">     </w:t>
      </w:r>
      <w:r/>
    </w:p>
    <w:tbl>
      <w:tblPr>
        <w:tblStyle w:val="748"/>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2005"/>
        <w:gridCol w:w="3412"/>
        <w:gridCol w:w="1634"/>
      </w:tblGrid>
      <w:tr>
        <w:trPr>
          <w:cantSplit/>
          <w:jc w:val="center"/>
          <w:trHeight w:val="1019"/>
        </w:trPr>
        <w:tc>
          <w:tcPr>
            <w:tcW w:w="1468" w:type="dxa"/>
            <w:vAlign w:val="center"/>
            <w:textDirection w:val="lrTb"/>
            <w:noWrap w:val="false"/>
          </w:tcPr>
          <w:p>
            <w:pPr>
              <w:jc w:val="center"/>
              <w:rPr>
                <w:rFonts w:hint="eastAsia"/>
                <w:sz w:val="21"/>
                <w:szCs w:val="21"/>
              </w:rPr>
            </w:pPr>
            <w:r>
              <w:rPr>
                <w:rFonts w:hint="eastAsia"/>
                <w:sz w:val="21"/>
                <w:szCs w:val="21"/>
              </w:rPr>
              <w:t xml:space="preserve">项目名称</w:t>
            </w:r>
            <w:r/>
          </w:p>
        </w:tc>
        <w:tc>
          <w:tcPr>
            <w:tcW w:w="2005" w:type="dxa"/>
            <w:vAlign w:val="center"/>
            <w:textDirection w:val="lrTb"/>
            <w:noWrap w:val="false"/>
          </w:tcPr>
          <w:p>
            <w:pPr>
              <w:jc w:val="center"/>
              <w:rPr>
                <w:rFonts w:hint="eastAsia"/>
                <w:sz w:val="21"/>
                <w:szCs w:val="21"/>
              </w:rPr>
            </w:pPr>
            <w:r>
              <w:rPr>
                <w:rFonts w:hint="eastAsia"/>
                <w:sz w:val="21"/>
                <w:szCs w:val="21"/>
              </w:rPr>
              <w:t xml:space="preserve">项目内容</w:t>
            </w:r>
            <w:r/>
          </w:p>
        </w:tc>
        <w:tc>
          <w:tcPr>
            <w:tcW w:w="3412" w:type="dxa"/>
            <w:vAlign w:val="center"/>
            <w:textDirection w:val="lrTb"/>
            <w:noWrap w:val="false"/>
          </w:tcPr>
          <w:p>
            <w:pPr>
              <w:jc w:val="center"/>
              <w:rPr>
                <w:rFonts w:hint="eastAsia"/>
                <w:sz w:val="21"/>
                <w:szCs w:val="21"/>
              </w:rPr>
            </w:pPr>
            <w:r>
              <w:rPr>
                <w:rFonts w:hint="eastAsia"/>
                <w:sz w:val="21"/>
                <w:szCs w:val="21"/>
                <w:lang w:val="en-US" w:eastAsia="zh-CN"/>
              </w:rPr>
              <w:t xml:space="preserve">报价</w:t>
            </w:r>
            <w:r>
              <w:rPr>
                <w:rFonts w:hint="eastAsia"/>
                <w:sz w:val="21"/>
                <w:szCs w:val="21"/>
              </w:rPr>
              <w:t xml:space="preserve">（小写）</w:t>
            </w:r>
            <w:r/>
          </w:p>
        </w:tc>
        <w:tc>
          <w:tcPr>
            <w:tcW w:w="1634" w:type="dxa"/>
            <w:vAlign w:val="center"/>
            <w:textDirection w:val="lrTb"/>
            <w:noWrap w:val="false"/>
          </w:tcPr>
          <w:p>
            <w:pPr>
              <w:jc w:val="center"/>
              <w:rPr>
                <w:rFonts w:hint="eastAsia"/>
                <w:sz w:val="21"/>
                <w:szCs w:val="21"/>
                <w:lang w:val="en-US" w:eastAsia="zh-CN"/>
              </w:rPr>
            </w:pPr>
            <w:r>
              <w:rPr>
                <w:rFonts w:hint="eastAsia"/>
                <w:sz w:val="21"/>
                <w:szCs w:val="21"/>
                <w:lang w:val="en-US" w:eastAsia="zh-CN"/>
              </w:rPr>
              <w:t xml:space="preserve">备注</w:t>
            </w:r>
            <w:r/>
          </w:p>
        </w:tc>
      </w:tr>
      <w:tr>
        <w:trPr>
          <w:cantSplit/>
          <w:jc w:val="center"/>
          <w:trHeight w:val="1035"/>
        </w:trPr>
        <w:tc>
          <w:tcPr>
            <w:tcW w:w="1468" w:type="dxa"/>
            <w:vAlign w:val="center"/>
            <w:textDirection w:val="lrTb"/>
            <w:noWrap w:val="false"/>
          </w:tcPr>
          <w:p>
            <w:pPr>
              <w:jc w:val="center"/>
              <w:rPr>
                <w:rFonts w:hint="eastAsia" w:eastAsia="宋体"/>
                <w:sz w:val="21"/>
                <w:szCs w:val="21"/>
                <w:lang w:val="en-US" w:eastAsia="zh-CN"/>
              </w:rPr>
            </w:pPr>
            <w:r>
              <w:rPr>
                <w:rFonts w:hint="eastAsia" w:eastAsia="宋体"/>
                <w:sz w:val="21"/>
                <w:szCs w:val="21"/>
                <w:lang w:val="en-US" w:eastAsia="zh-CN"/>
              </w:rPr>
            </w:r>
            <w:r/>
          </w:p>
        </w:tc>
        <w:tc>
          <w:tcPr>
            <w:tcW w:w="2005" w:type="dxa"/>
            <w:vAlign w:val="center"/>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详见《谈判文件》</w:t>
            </w:r>
            <w:r/>
          </w:p>
        </w:tc>
        <w:tc>
          <w:tcPr>
            <w:tcW w:w="3412" w:type="dxa"/>
            <w:vAlign w:val="center"/>
            <w:textDirection w:val="lrTb"/>
            <w:noWrap w:val="false"/>
          </w:tcPr>
          <w:p>
            <w:pPr>
              <w:jc w:val="center"/>
              <w:rPr>
                <w:rFonts w:hint="eastAsia"/>
                <w:sz w:val="21"/>
                <w:szCs w:val="21"/>
                <w:lang w:val="en-US"/>
              </w:rPr>
            </w:pPr>
            <w:r>
              <w:rPr>
                <w:rFonts w:hint="eastAsia"/>
                <w:sz w:val="21"/>
                <w:szCs w:val="21"/>
                <w:lang w:val="en-US"/>
              </w:rPr>
              <w:t xml:space="preserve">  元</w:t>
            </w:r>
            <w:r/>
          </w:p>
        </w:tc>
        <w:tc>
          <w:tcPr>
            <w:tcW w:w="1634" w:type="dxa"/>
            <w:vAlign w:val="center"/>
            <w:textDirection w:val="lrTb"/>
            <w:noWrap w:val="false"/>
          </w:tcPr>
          <w:p>
            <w:pPr>
              <w:jc w:val="center"/>
              <w:rPr>
                <w:rFonts w:hint="eastAsia"/>
                <w:sz w:val="21"/>
                <w:szCs w:val="21"/>
                <w:lang w:val="en-US"/>
              </w:rPr>
            </w:pPr>
            <w:r>
              <w:rPr>
                <w:rFonts w:hint="eastAsia"/>
                <w:sz w:val="21"/>
                <w:szCs w:val="21"/>
                <w:lang w:val="en-US"/>
              </w:rPr>
            </w:r>
            <w:r/>
          </w:p>
        </w:tc>
      </w:tr>
      <w:tr>
        <w:trPr>
          <w:cantSplit/>
          <w:jc w:val="center"/>
          <w:trHeight w:val="1714"/>
        </w:trPr>
        <w:tc>
          <w:tcPr>
            <w:tcW w:w="1468" w:type="dxa"/>
            <w:vAlign w:val="center"/>
            <w:textDirection w:val="lrTb"/>
            <w:noWrap w:val="false"/>
          </w:tcPr>
          <w:p>
            <w:pPr>
              <w:jc w:val="center"/>
              <w:rPr>
                <w:rFonts w:hint="eastAsia"/>
                <w:sz w:val="21"/>
                <w:szCs w:val="21"/>
              </w:rPr>
            </w:pPr>
            <w:r>
              <w:rPr>
                <w:rFonts w:hint="eastAsia"/>
                <w:sz w:val="21"/>
                <w:szCs w:val="21"/>
                <w:lang w:val="en-US" w:eastAsia="zh-CN"/>
              </w:rPr>
              <w:t xml:space="preserve">报价</w:t>
            </w:r>
            <w:r>
              <w:rPr>
                <w:rFonts w:hint="eastAsia"/>
                <w:sz w:val="21"/>
                <w:szCs w:val="21"/>
              </w:rPr>
              <w:t xml:space="preserve">（大写）</w:t>
            </w:r>
            <w:r>
              <w:rPr>
                <w:rFonts w:hint="eastAsia"/>
                <w:sz w:val="21"/>
                <w:szCs w:val="21"/>
                <w:lang w:eastAsia="zh-CN"/>
              </w:rPr>
              <w:t xml:space="preserve">：</w:t>
            </w:r>
            <w:r/>
          </w:p>
        </w:tc>
        <w:tc>
          <w:tcPr>
            <w:gridSpan w:val="3"/>
            <w:tcW w:w="7051" w:type="dxa"/>
            <w:vAlign w:val="center"/>
            <w:textDirection w:val="lrTb"/>
            <w:noWrap w:val="false"/>
          </w:tcPr>
          <w:p>
            <w:pPr>
              <w:rPr>
                <w:rFonts w:hint="eastAsia"/>
                <w:sz w:val="21"/>
                <w:szCs w:val="21"/>
                <w:lang w:val="en-US" w:eastAsia="zh-CN"/>
              </w:rPr>
            </w:pPr>
            <w:r>
              <w:rPr>
                <w:rFonts w:hint="eastAsia"/>
                <w:sz w:val="21"/>
                <w:szCs w:val="21"/>
                <w:lang w:val="en-US" w:eastAsia="zh-CN"/>
              </w:rPr>
              <w:t xml:space="preserve">金额大写</w:t>
            </w:r>
            <w:r/>
          </w:p>
        </w:tc>
      </w:tr>
    </w:tbl>
    <w:p>
      <w:pPr>
        <w:keepLines w:val="0"/>
        <w:keepNext w:val="0"/>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             </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供应商报价说明：</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采购人不需再支付报价以外的任何费用。</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偏离说明：详见《采购需求响应表》。</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报价大小写不一致以大写为准。</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投标人公章：          （电子签章）</w:t>
      </w:r>
      <w:r/>
    </w:p>
    <w:p>
      <w:pPr>
        <w:pStyle w:val="738"/>
        <w:jc w:val="left"/>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78"/>
      <w:r/>
      <w:bookmarkEnd w:id="579"/>
      <w:r>
        <w:rPr>
          <w:rFonts w:hint="eastAsia" w:asciiTheme="minorEastAsia" w:hAnsiTheme="minorEastAsia" w:eastAsiaTheme="minorEastAsia" w:cstheme="minorEastAsia"/>
          <w:bCs/>
          <w:sz w:val="24"/>
          <w:szCs w:val="24"/>
          <w:highlight w:val="none"/>
        </w:rPr>
        <w:t xml:space="preserve"> </w:t>
      </w:r>
      <w:r/>
    </w:p>
    <w:p>
      <w:pPr>
        <w:pStyle w:val="73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3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1"/>
        <w:spacing w:before="360" w:after="100" w:afterAutospacing="1"/>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738"/>
        <w:rPr>
          <w:rFonts w:hint="eastAsia" w:asciiTheme="minorEastAsia" w:hAnsiTheme="minorEastAsia" w:eastAsiaTheme="minorEastAsia" w:cstheme="minorEastAsia"/>
          <w:bCs/>
          <w:szCs w:val="24"/>
          <w:highlight w:val="none"/>
        </w:rPr>
      </w:pPr>
      <w:r/>
      <w:bookmarkStart w:id="580" w:name="_Toc6273"/>
      <w:r/>
      <w:bookmarkStart w:id="581" w:name="_Toc5756"/>
      <w:r/>
      <w:bookmarkStart w:id="582" w:name="_Toc18211"/>
      <w:r>
        <w:rPr>
          <w:rFonts w:hint="eastAsia" w:asciiTheme="minorEastAsia" w:hAnsiTheme="minorEastAsia" w:eastAsiaTheme="minorEastAsia" w:cstheme="minorEastAsia"/>
          <w:highlight w:val="none"/>
        </w:rPr>
        <w:t xml:space="preserve">承  诺  书</w:t>
      </w:r>
      <w:bookmarkEnd w:id="580"/>
      <w:r/>
      <w:bookmarkEnd w:id="581"/>
      <w:r/>
      <w:bookmarkEnd w:id="582"/>
      <w:r/>
      <w:r/>
    </w:p>
    <w:p>
      <w:pPr>
        <w:ind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               （采购单位名称）：</w:t>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本单位</w:t>
      </w:r>
      <w:r>
        <w:rPr>
          <w:rFonts w:hint="eastAsia" w:ascii="宋体" w:hAnsi="宋体"/>
          <w:color w:val="000000"/>
          <w:sz w:val="24"/>
          <w:szCs w:val="24"/>
          <w:highlight w:val="none"/>
          <w:u w:val="single"/>
        </w:rPr>
        <w:t xml:space="preserve">           （名称）</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（项目名称和项目编号）</w:t>
      </w:r>
      <w:r>
        <w:rPr>
          <w:rFonts w:hint="eastAsia" w:ascii="宋体" w:hAnsi="宋体"/>
          <w:color w:val="000000"/>
          <w:sz w:val="24"/>
          <w:szCs w:val="24"/>
          <w:highlight w:val="none"/>
        </w:rPr>
        <w:t xml:space="preserve">的政府采购活动，郑重承诺具备以下条件：</w:t>
      </w:r>
      <w:r/>
    </w:p>
    <w:p>
      <w:pPr>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1、参加本次政府采购活动前三年内，在经营活动中没有重大违法记录；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、企业不存在因发生重大工程质量、安全生产事故被有关部门暂停投标资格并在暂停期内；</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3、未被“信用中国”网站（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）、中国政府采购网（www.ccgp.gov.cn）列入失信执行人、重大税收违法案件当事人名单、政府采购严重违法失信行为记录名单。</w:t>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本单位对上述承诺的真实性负责。如有虚假，将依法承担相应责任。同时我们同意如贵方要求，可以出示相关证明文件。</w:t>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jc w:val="both"/>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（盖单位章）</w:t>
      </w:r>
      <w:r/>
    </w:p>
    <w:p>
      <w:pPr>
        <w:jc w:val="both"/>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法定代表人或授权委托人：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（签字或盖章）</w:t>
      </w:r>
      <w:r/>
    </w:p>
    <w:p>
      <w:pPr>
        <w:jc w:val="both"/>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日期：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562"/>
        <w:jc w:val="left"/>
        <w:keepLines w:val="0"/>
        <w:keepNext w:val="0"/>
        <w:pageBreakBefore w:val="0"/>
        <w:spacing w:line="360" w:lineRule="auto"/>
        <w:widowControl w:val="off"/>
        <w:rPr>
          <w:rFonts w:hint="eastAsia" w:ascii="宋体" w:hAnsi="宋体"/>
          <w:b/>
          <w:color w:val="000000"/>
          <w:spacing w:val="20"/>
          <w:sz w:val="24"/>
          <w:szCs w:val="24"/>
        </w:rPr>
      </w:pPr>
      <w:r>
        <w:rPr>
          <w:rFonts w:hint="eastAsia" w:ascii="宋体" w:hAnsi="宋体"/>
          <w:b/>
          <w:color w:val="000000"/>
          <w:spacing w:val="20"/>
          <w:sz w:val="24"/>
          <w:szCs w:val="24"/>
        </w:rPr>
      </w:r>
      <w:r/>
    </w:p>
    <w:p>
      <w:pPr>
        <w:pStyle w:val="1051"/>
        <w:ind w:right="28" w:firstLine="480"/>
        <w:keepLines w:val="0"/>
        <w:keepNext w:val="0"/>
        <w:pageBreakBefore w:val="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51"/>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附件四</w:t>
      </w:r>
      <w:r/>
    </w:p>
    <w:p>
      <w:pPr>
        <w:pStyle w:val="738"/>
        <w:rPr>
          <w:rFonts w:hint="eastAsia" w:asciiTheme="minorEastAsia" w:hAnsiTheme="minorEastAsia" w:eastAsiaTheme="minorEastAsia" w:cstheme="minorEastAsia"/>
          <w:szCs w:val="24"/>
          <w:highlight w:val="none"/>
        </w:rPr>
      </w:pPr>
      <w:r/>
      <w:bookmarkStart w:id="583" w:name="_Toc23499"/>
      <w:r/>
      <w:bookmarkStart w:id="584" w:name="_Toc30554"/>
      <w:r/>
      <w:bookmarkStart w:id="585" w:name="_Toc2129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83"/>
      <w:r/>
      <w:bookmarkEnd w:id="584"/>
      <w:r/>
      <w:bookmarkEnd w:id="585"/>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2"/>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32"/>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748"/>
        <w:tblW w:w="9658" w:type="dxa"/>
        <w:tblInd w:w="0" w:type="dxa"/>
        <w:tblLayout w:type="fixed"/>
        <w:tblCellMar>
          <w:left w:w="0" w:type="dxa"/>
          <w:top w:w="0" w:type="dxa"/>
          <w:right w:w="0" w:type="dxa"/>
          <w:bottom w:w="0" w:type="dxa"/>
        </w:tblCellMar>
        <w:tblLook w:val="04A0" w:firstRow="1" w:lastRow="0" w:firstColumn="1" w:lastColumn="0" w:noHBand="0" w:noVBand="1"/>
      </w:tblPr>
      <w:tblGrid>
        <w:gridCol w:w="2414"/>
        <w:gridCol w:w="2415"/>
        <w:gridCol w:w="2414"/>
        <w:gridCol w:w="2415"/>
      </w:tblGrid>
      <w:tr>
        <w:trPr>
          <w:cantSplit/>
          <w:trHeight w:val="53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项目名称</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采购要求</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实际响应情况</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偏离说明</w:t>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bl>
    <w:p>
      <w:pPr>
        <w:pStyle w:val="1032"/>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注：（1）本表不得删除；</w:t>
      </w:r>
      <w:r/>
    </w:p>
    <w:p>
      <w:pPr>
        <w:pStyle w:val="10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   （2）如无任何偏离，请于本表 “偏离说明”中注明“无偏离”；</w:t>
      </w:r>
      <w:r/>
    </w:p>
    <w:p>
      <w:pPr>
        <w:pStyle w:val="10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   （3）如有偏离项，请于本表中列明偏离内容，如需要可自行延长，其余无偏离内容不须赘述。</w:t>
      </w:r>
      <w:r/>
    </w:p>
    <w:p>
      <w:pPr>
        <w:pStyle w:val="10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r>
      <w:r/>
    </w:p>
    <w:p>
      <w:pPr>
        <w:pStyle w:val="10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供应商（电子签章）：</w:t>
      </w:r>
      <w:r/>
    </w:p>
    <w:p>
      <w:pPr>
        <w:pStyle w:val="1032"/>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法定代表人（签名或印鉴）：</w:t>
      </w:r>
      <w:r/>
    </w:p>
    <w:p>
      <w:pPr>
        <w:pStyle w:val="10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日期：</w:t>
      </w:r>
      <w:r/>
    </w:p>
    <w:p>
      <w:pPr>
        <w:pStyle w:val="1051"/>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p>
    <w:p>
      <w:pPr>
        <w:pStyle w:val="10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附件五</w:t>
      </w:r>
      <w:r/>
    </w:p>
    <w:p>
      <w:pPr>
        <w:pStyle w:val="10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738"/>
        <w:rPr>
          <w:rFonts w:hint="eastAsia" w:asciiTheme="minorEastAsia" w:hAnsiTheme="minorEastAsia" w:eastAsiaTheme="minorEastAsia" w:cstheme="minorEastAsia"/>
          <w:highlight w:val="none"/>
        </w:rPr>
      </w:pPr>
      <w:r/>
      <w:bookmarkStart w:id="586" w:name="_Toc14231"/>
      <w:r/>
      <w:bookmarkStart w:id="587" w:name="_Toc6957"/>
      <w:r/>
      <w:bookmarkStart w:id="588" w:name="_Toc735"/>
      <w:r>
        <w:rPr>
          <w:rFonts w:hint="eastAsia" w:asciiTheme="minorEastAsia" w:hAnsiTheme="minorEastAsia" w:eastAsiaTheme="minorEastAsia" w:cstheme="minorEastAsia"/>
          <w:highlight w:val="none"/>
        </w:rPr>
        <w:t xml:space="preserve">授  权  委  托  书</w:t>
      </w:r>
      <w:bookmarkEnd w:id="586"/>
      <w:r/>
      <w:bookmarkEnd w:id="587"/>
      <w:r/>
      <w:bookmarkEnd w:id="588"/>
      <w:r/>
      <w:r/>
    </w:p>
    <w:p>
      <w:pPr>
        <w:pStyle w:val="1051"/>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51"/>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51"/>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响应文件时起至合同执行结束时止，全权代表我单位对上述项目的进行</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、签约等，所签署的一切文件，我公司均承认有效。</w:t>
      </w:r>
      <w:r/>
    </w:p>
    <w:p>
      <w:pPr>
        <w:pStyle w:val="1051"/>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1"/>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pStyle w:val="1051"/>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2"/>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r>
      <w:r/>
    </w:p>
    <w:p>
      <w:pPr>
        <w:pStyle w:val="1051"/>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38"/>
        <w:rPr>
          <w:rFonts w:hint="eastAsia" w:asciiTheme="minorEastAsia" w:hAnsiTheme="minorEastAsia" w:eastAsiaTheme="minorEastAsia" w:cstheme="minorEastAsia"/>
          <w:szCs w:val="24"/>
          <w:highlight w:val="none"/>
        </w:rPr>
      </w:pPr>
      <w:r/>
      <w:bookmarkStart w:id="589" w:name="_Toc8273"/>
      <w:r/>
      <w:bookmarkStart w:id="590" w:name="_Toc17059"/>
      <w:r/>
      <w:bookmarkStart w:id="591" w:name="_Toc19729"/>
      <w:r>
        <w:rPr>
          <w:rFonts w:hint="eastAsia" w:asciiTheme="minorEastAsia" w:hAnsiTheme="minorEastAsia" w:eastAsiaTheme="minorEastAsia" w:cstheme="minorEastAsia"/>
          <w:highlight w:val="none"/>
        </w:rPr>
        <w:t xml:space="preserve">具备履行合同所必需的设备和专业技术能力的声明</w:t>
      </w:r>
      <w:bookmarkEnd w:id="589"/>
      <w:r/>
      <w:bookmarkEnd w:id="590"/>
      <w:r/>
      <w:bookmarkEnd w:id="591"/>
      <w:r/>
      <w:r/>
    </w:p>
    <w:p>
      <w:pPr>
        <w:pStyle w:val="1051"/>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51"/>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51"/>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51"/>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51"/>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51"/>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1"/>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2"/>
        <w:ind w:firstLine="0"/>
        <w:spacing w:line="240" w:lineRule="auto"/>
        <w:rPr>
          <w:rFonts w:hint="eastAsia" w:asciiTheme="minorEastAsia" w:hAnsiTheme="minorEastAsia" w:eastAsiaTheme="minorEastAsia" w:cstheme="minorEastAsia"/>
          <w:bCs w:val="0"/>
          <w:sz w:val="24"/>
          <w:szCs w:val="24"/>
          <w:highlight w:val="none"/>
        </w:rPr>
      </w:pPr>
      <w:r/>
      <w:bookmarkStart w:id="592" w:name="_Toc16987"/>
      <w:r/>
      <w:r/>
    </w:p>
    <w:p>
      <w:pPr>
        <w:pStyle w:val="1062"/>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592"/>
      <w:r/>
      <w:r/>
    </w:p>
    <w:p>
      <w:pPr>
        <w:pStyle w:val="10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38"/>
        <w:rPr>
          <w:rFonts w:hint="eastAsia" w:asciiTheme="minorEastAsia" w:hAnsiTheme="minorEastAsia" w:eastAsiaTheme="minorEastAsia" w:cstheme="minorEastAsia"/>
          <w:b w:val="0"/>
          <w:szCs w:val="24"/>
          <w:highlight w:val="none"/>
        </w:rPr>
      </w:pPr>
      <w:r/>
      <w:bookmarkStart w:id="593" w:name="_Toc19960"/>
      <w:r/>
      <w:bookmarkStart w:id="594" w:name="_Toc8045"/>
      <w:r/>
      <w:bookmarkStart w:id="595" w:name="_Toc11288"/>
      <w:r>
        <w:rPr>
          <w:rFonts w:hint="eastAsia" w:asciiTheme="minorEastAsia" w:hAnsiTheme="minorEastAsia" w:eastAsiaTheme="minorEastAsia" w:cstheme="minorEastAsia"/>
          <w:highlight w:val="none"/>
        </w:rPr>
        <w:t xml:space="preserve">无重大违法记录声明</w:t>
      </w:r>
      <w:bookmarkEnd w:id="593"/>
      <w:r/>
      <w:bookmarkEnd w:id="594"/>
      <w:r/>
      <w:bookmarkEnd w:id="595"/>
      <w:r/>
      <w:r/>
    </w:p>
    <w:p>
      <w:pPr>
        <w:pStyle w:val="1051"/>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51"/>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51"/>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51"/>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51"/>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51"/>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1"/>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1"/>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51"/>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10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10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1"/>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jc w:val="center"/>
        <w:spacing w:after="320"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807"/>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51"/>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1"/>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738"/>
        <w:rPr>
          <w:rFonts w:hint="eastAsia" w:asciiTheme="minorEastAsia" w:hAnsiTheme="minorEastAsia" w:eastAsiaTheme="minorEastAsia" w:cstheme="minorEastAsia"/>
          <w:szCs w:val="24"/>
          <w:highlight w:val="none"/>
        </w:rPr>
      </w:pPr>
      <w:r/>
      <w:bookmarkStart w:id="596" w:name="_Toc10995"/>
      <w:r/>
      <w:bookmarkStart w:id="597" w:name="_Toc5488"/>
      <w:r/>
      <w:bookmarkStart w:id="598" w:name="_Toc6257"/>
      <w:r>
        <w:rPr>
          <w:rFonts w:hint="eastAsia" w:asciiTheme="minorEastAsia" w:hAnsiTheme="minorEastAsia" w:eastAsiaTheme="minorEastAsia" w:cstheme="minorEastAsia"/>
          <w:highlight w:val="none"/>
        </w:rPr>
        <w:t xml:space="preserve">残疾人福利性单位声明函</w:t>
      </w:r>
      <w:bookmarkEnd w:id="596"/>
      <w:r/>
      <w:bookmarkEnd w:id="597"/>
      <w:r/>
      <w:bookmarkEnd w:id="598"/>
      <w:r/>
      <w:r/>
    </w:p>
    <w:p>
      <w:pPr>
        <w:pStyle w:val="1051"/>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63"/>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63"/>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63"/>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63"/>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63"/>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738"/>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738"/>
        <w:rPr>
          <w:rFonts w:hint="eastAsia" w:asciiTheme="minorEastAsia" w:hAnsiTheme="minorEastAsia" w:eastAsiaTheme="minorEastAsia" w:cstheme="minorEastAsia"/>
          <w:highlight w:val="none"/>
        </w:rPr>
      </w:pPr>
      <w:r/>
      <w:bookmarkStart w:id="599" w:name="_Toc11345"/>
      <w:r/>
      <w:bookmarkStart w:id="600" w:name="_Toc18910"/>
      <w:r/>
      <w:bookmarkStart w:id="601" w:name="_Toc11441"/>
      <w:r>
        <w:rPr>
          <w:rFonts w:hint="eastAsia" w:asciiTheme="minorEastAsia" w:hAnsiTheme="minorEastAsia" w:eastAsiaTheme="minorEastAsia" w:cstheme="minorEastAsia"/>
          <w:highlight w:val="none"/>
        </w:rPr>
        <w:t xml:space="preserve">监狱企业证明文件</w:t>
      </w:r>
      <w:bookmarkEnd w:id="599"/>
      <w:r/>
      <w:bookmarkEnd w:id="600"/>
      <w:r/>
      <w:bookmarkEnd w:id="601"/>
      <w:r/>
      <w:r/>
    </w:p>
    <w:p>
      <w:pPr>
        <w:pStyle w:val="1063"/>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3"/>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789"/>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rPr>
          <w:rFonts w:hint="eastAsia" w:asciiTheme="minorEastAsia" w:hAnsiTheme="minorEastAsia" w:eastAsiaTheme="minorEastAsia" w:cstheme="minorEastAsia"/>
          <w:b/>
          <w:color w:val="000000"/>
          <w:sz w:val="36"/>
          <w:szCs w:val="20"/>
          <w:highlight w:val="none"/>
          <w:lang w:val="en-US" w:eastAsia="zh-CN" w:bidi="ar-SA"/>
        </w:rPr>
      </w:pPr>
      <w:r>
        <w:rPr>
          <w:rFonts w:hint="eastAsia" w:asciiTheme="minorEastAsia" w:hAnsiTheme="minorEastAsia" w:eastAsiaTheme="minorEastAsia" w:cstheme="minorEastAsia"/>
          <w:b/>
          <w:color w:val="000000"/>
          <w:sz w:val="36"/>
          <w:szCs w:val="20"/>
          <w:highlight w:val="none"/>
          <w:lang w:val="en-US" w:eastAsia="zh-CN" w:bidi="ar-SA"/>
        </w:rPr>
        <w:br w:type="page" w:clear="all"/>
      </w:r>
      <w:r/>
    </w:p>
    <w:p>
      <w:pPr>
        <w:pStyle w:val="789"/>
        <w:jc w:val="both"/>
        <w:keepLines w:val="0"/>
        <w:keepNext w:val="0"/>
        <w:spacing w:before="0" w:beforeAutospacing="0" w:after="0" w:afterAutospacing="0"/>
        <w:widowControl w:val="off"/>
        <w:rPr>
          <w:rFonts w:hint="default"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auto"/>
          <w:sz w:val="24"/>
          <w:szCs w:val="24"/>
          <w:highlight w:val="none"/>
          <w:lang w:val="en-US" w:eastAsia="zh-CN"/>
        </w:rPr>
        <w:t xml:space="preserve">附件十一</w:t>
      </w:r>
      <w:r/>
    </w:p>
    <w:p>
      <w:pPr>
        <w:pStyle w:val="789"/>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789"/>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jc w:val="both"/>
        <w:spacing w:line="520" w:lineRule="exact"/>
        <w:tabs>
          <w:tab w:val="left" w:pos="2340" w:leader="none"/>
          <w:tab w:val="left" w:pos="2520" w:leader="none"/>
          <w:tab w:val="left" w:pos="2700" w:leader="none"/>
          <w:tab w:val="left" w:pos="3060" w:leader="none"/>
        </w:tabs>
        <w:rPr>
          <w:rFonts w:hint="default" w:ascii="宋体" w:hAnsi="宋体"/>
          <w:b/>
          <w:color w:val="000000"/>
          <w:sz w:val="21"/>
          <w:szCs w:val="21"/>
          <w:lang w:val="en-US"/>
        </w:rPr>
      </w:pPr>
      <w:r>
        <w:rPr>
          <w:rFonts w:hint="eastAsia" w:asciiTheme="minorEastAsia" w:hAnsiTheme="minorEastAsia" w:eastAsiaTheme="minorEastAsia" w:cstheme="minorEastAsia"/>
          <w:b/>
          <w:color w:val="auto"/>
          <w:sz w:val="24"/>
          <w:szCs w:val="24"/>
          <w:highlight w:val="none"/>
          <w:lang w:val="en-US" w:eastAsia="zh-CN"/>
        </w:rPr>
        <w:t xml:space="preserve">附件十二</w:t>
      </w:r>
      <w:r/>
    </w:p>
    <w:p>
      <w:pPr>
        <w:jc w:val="center"/>
        <w:keepLines w:val="0"/>
        <w:keepNext w:val="0"/>
        <w:pageBreakBefore w:val="0"/>
        <w:spacing w:line="400" w:lineRule="exact"/>
        <w:widowControl w:val="off"/>
        <w:tabs>
          <w:tab w:val="left" w:pos="2340" w:leader="none"/>
          <w:tab w:val="left" w:pos="2520" w:leader="none"/>
          <w:tab w:val="left" w:pos="2700" w:leader="none"/>
          <w:tab w:val="left" w:pos="3060" w:leader="none"/>
        </w:tabs>
        <w:rPr>
          <w:rFonts w:hint="eastAsia" w:ascii="宋体" w:hAnsi="宋体"/>
          <w:b/>
          <w:color w:val="000000"/>
          <w:sz w:val="24"/>
          <w:szCs w:val="24"/>
        </w:rPr>
      </w:pPr>
      <w:r>
        <w:rPr>
          <w:rFonts w:hint="eastAsia" w:ascii="宋体" w:hAnsi="宋体"/>
          <w:b/>
          <w:color w:val="000000"/>
          <w:sz w:val="24"/>
          <w:szCs w:val="24"/>
        </w:rPr>
        <w:t xml:space="preserve">诚信投标承诺书</w:t>
      </w:r>
      <w:r/>
    </w:p>
    <w:p>
      <w:pPr>
        <w:keepLines w:val="0"/>
        <w:keepNext w:val="0"/>
        <w:pageBreakBefore w:val="0"/>
        <w:spacing w:line="400" w:lineRule="exact"/>
        <w:widowControl w:val="off"/>
        <w:rPr>
          <w:rFonts w:hint="eastAsia" w:ascii="宋体" w:hAnsi="宋体" w:cs="Verdana"/>
          <w:color w:val="000000"/>
          <w:sz w:val="24"/>
          <w:szCs w:val="24"/>
        </w:rPr>
      </w:pP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（采购人名称）：</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我单位自愿参加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（项目名称）的投标活动，并做如下承诺：</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1.在本项目的投标活动中，自觉遵守相关法律法规的规定，遵循诚实信用的原则。</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2.响应文件中所有内容均为我单位真实意思表达，且均已核实并保证真实有效。</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3.无法律、法规及采购文件中规定的限制参加投标的行为。 </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4.不以他人名义投标或者以其他方式弄虚作假，骗取成交。</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5.不与采购人（采购代理）或其他响应人相互串通投标，损害国家利益、社会公共利益或者他人的合法权益。</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6.公平竞争，不背后搞小动作，无恶意投诉、诋毁、排挤其他响应人的行为。</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7.不向采购人（采购代理）或者评标委员会成员行贿、打招呼，以谋取成交。</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8.成交后在采购文件规定的时间内依法与采购人签订合同。</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9.不进行缺乏事实根据或法律依据的投诉。</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10.本公司拟派往本工程的项目负责人现阶段没有担任其他在建工程项目的项目经理。</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11.本公司拟派往本工程的项目负责人未同时在两个或者两个以上单位受聘或者执业。</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12.无建筑市场不良行为在江苏省建设工程招标网、泰州市住房和城乡建设局官网上被曝光（曝光仅限以下行为：串通投标、弄虚作假、以他人名义投标、骗取中标、转包、违法分包）。</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13.无本项目的特定资格条件中供应商禁止投标的情形。</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keepLines w:val="0"/>
        <w:keepNext w:val="0"/>
        <w:pageBreakBefore w:val="0"/>
        <w:spacing w:after="0" w:line="400" w:lineRule="exact"/>
        <w:widowControl w:val="off"/>
        <w:rPr>
          <w:rFonts w:hint="eastAsia" w:ascii="宋体" w:hAnsi="宋体" w:cs="Verdana"/>
          <w:color w:val="000000"/>
          <w:sz w:val="24"/>
          <w:szCs w:val="24"/>
        </w:rPr>
      </w:pPr>
      <w:r>
        <w:rPr>
          <w:rFonts w:hint="eastAsia" w:ascii="宋体" w:hAnsi="宋体" w:eastAsia="宋体" w:cs="宋体"/>
          <w:color w:val="000000"/>
          <w:sz w:val="24"/>
          <w:szCs w:val="24"/>
        </w:rPr>
        <w:t xml:space="preserve"> 如我单位违反上述承诺内容，自愿接受采购人、主管部门调查处理，并承担由此引发的一切后果。</w:t>
      </w:r>
      <w:r/>
    </w:p>
    <w:p>
      <w:pPr>
        <w:keepLines w:val="0"/>
        <w:keepNext w:val="0"/>
        <w:pageBreakBefore w:val="0"/>
        <w:spacing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t xml:space="preserve">         特此承诺</w:t>
      </w:r>
      <w:r/>
    </w:p>
    <w:p>
      <w:pPr>
        <w:pStyle w:val="1066"/>
        <w:jc w:val="right"/>
        <w:keepLines w:val="0"/>
        <w:keepNext w:val="0"/>
        <w:pageBreakBefore w:val="0"/>
        <w:spacing w:before="120"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r>
      <w:r/>
    </w:p>
    <w:p>
      <w:pPr>
        <w:pStyle w:val="1066"/>
        <w:jc w:val="right"/>
        <w:keepLines w:val="0"/>
        <w:keepNext w:val="0"/>
        <w:pageBreakBefore w:val="0"/>
        <w:spacing w:before="120"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r>
      <w:r/>
    </w:p>
    <w:p>
      <w:pPr>
        <w:pStyle w:val="1066"/>
        <w:jc w:val="right"/>
        <w:keepLines w:val="0"/>
        <w:keepNext w:val="0"/>
        <w:pageBreakBefore w:val="0"/>
        <w:spacing w:before="120"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t xml:space="preserve">供应商：</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w:t>
      </w:r>
      <w:r>
        <w:rPr>
          <w:rFonts w:hint="eastAsia" w:ascii="宋体" w:hAnsi="宋体" w:cs="宋体"/>
          <w:sz w:val="24"/>
          <w:szCs w:val="24"/>
        </w:rPr>
        <w:t xml:space="preserve">加盖CA电子公章</w:t>
      </w:r>
      <w:r>
        <w:rPr>
          <w:rFonts w:hint="eastAsia" w:ascii="宋体" w:hAnsi="宋体" w:cs="Verdana"/>
          <w:color w:val="000000"/>
          <w:sz w:val="24"/>
          <w:szCs w:val="24"/>
        </w:rPr>
        <w:t xml:space="preserve">）</w:t>
      </w:r>
      <w:r/>
    </w:p>
    <w:p>
      <w:pPr>
        <w:jc w:val="right"/>
        <w:keepLines w:val="0"/>
        <w:keepNext w:val="0"/>
        <w:pageBreakBefore w:val="0"/>
        <w:spacing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t xml:space="preserve">法定代表人或委托代理人：</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（签字或盖章）</w:t>
      </w:r>
      <w:r/>
    </w:p>
    <w:p>
      <w:pPr>
        <w:jc w:val="right"/>
        <w:keepLines w:val="0"/>
        <w:keepNext w:val="0"/>
        <w:pageBreakBefore w:val="0"/>
        <w:spacing w:after="0" w:line="400" w:lineRule="exact"/>
        <w:widowControl w:val="off"/>
        <w:rPr>
          <w:rFonts w:hint="eastAsia" w:asciiTheme="minorEastAsia" w:hAnsiTheme="minorEastAsia" w:eastAsiaTheme="minorEastAsia" w:cstheme="minorEastAsia"/>
          <w:color w:val="auto"/>
          <w:sz w:val="24"/>
          <w:szCs w:val="24"/>
          <w:highlight w:val="none"/>
        </w:rPr>
      </w:pPr>
      <w:r>
        <w:rPr>
          <w:rFonts w:hint="eastAsia" w:ascii="宋体" w:hAnsi="宋体" w:cs="Verdana"/>
          <w:color w:val="000000"/>
          <w:sz w:val="24"/>
          <w:szCs w:val="24"/>
        </w:rPr>
        <w:t xml:space="preserve"> 日期：</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年</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月</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日</w:t>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1"/>
      </w:pPr>
      <w:r>
        <w:rPr>
          <w:rStyle w:val="807"/>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956"/>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739">
    <w:name w:val="Heading 2"/>
    <w:basedOn w:val="737"/>
    <w:next w:val="737"/>
    <w:link w:val="957"/>
    <w:uiPriority w:val="0"/>
    <w:qFormat/>
    <w:pPr>
      <w:keepLines/>
      <w:keepNext/>
      <w:spacing w:before="260" w:after="260" w:line="412" w:lineRule="auto"/>
      <w:widowControl w:val="off"/>
      <w:outlineLvl w:val="1"/>
    </w:pPr>
    <w:rPr>
      <w:rFonts w:ascii="Arial" w:hAnsi="Arial" w:eastAsia="黑体"/>
      <w:b/>
      <w:bCs/>
      <w:sz w:val="32"/>
      <w:szCs w:val="32"/>
    </w:rPr>
  </w:style>
  <w:style w:type="paragraph" w:styleId="740">
    <w:name w:val="Heading 3"/>
    <w:basedOn w:val="737"/>
    <w:next w:val="737"/>
    <w:link w:val="958"/>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41">
    <w:name w:val="Heading 4"/>
    <w:basedOn w:val="737"/>
    <w:next w:val="737"/>
    <w:link w:val="959"/>
    <w:uiPriority w:val="0"/>
    <w:qFormat/>
    <w:pPr>
      <w:keepLines/>
      <w:keepNext/>
      <w:spacing w:before="280" w:after="290" w:line="372" w:lineRule="auto"/>
      <w:widowControl w:val="off"/>
      <w:outlineLvl w:val="3"/>
    </w:pPr>
    <w:rPr>
      <w:rFonts w:ascii="Arial" w:hAnsi="Arial" w:eastAsia="黑体"/>
      <w:b/>
      <w:bCs/>
      <w:sz w:val="28"/>
      <w:szCs w:val="28"/>
    </w:rPr>
  </w:style>
  <w:style w:type="paragraph" w:styleId="742">
    <w:name w:val="Heading 5"/>
    <w:basedOn w:val="737"/>
    <w:next w:val="751"/>
    <w:link w:val="960"/>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43">
    <w:name w:val="Heading 6"/>
    <w:basedOn w:val="737"/>
    <w:next w:val="751"/>
    <w:link w:val="961"/>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44">
    <w:name w:val="Heading 7"/>
    <w:basedOn w:val="737"/>
    <w:next w:val="737"/>
    <w:link w:val="962"/>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45">
    <w:name w:val="Heading 8"/>
    <w:basedOn w:val="737"/>
    <w:next w:val="737"/>
    <w:link w:val="81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963"/>
    <w:uiPriority w:val="0"/>
    <w:qFormat/>
    <w:pPr>
      <w:ind w:left="3780" w:hanging="420"/>
      <w:keepLines/>
      <w:keepNext/>
      <w:spacing w:before="240" w:after="64" w:line="320" w:lineRule="auto"/>
      <w:tabs>
        <w:tab w:val="left" w:pos="3780" w:leader="none"/>
      </w:tabs>
      <w:outlineLvl w:val="8"/>
    </w:pPr>
    <w:rPr>
      <w:sz w:val="24"/>
      <w:szCs w:val="21"/>
    </w:rPr>
  </w:style>
  <w:style w:type="character" w:styleId="747" w:default="1">
    <w:name w:val="Default Paragraph Font"/>
    <w:uiPriority w:val="0"/>
    <w:qFormat/>
  </w:style>
  <w:style w:type="table" w:styleId="748" w:default="1">
    <w:name w:val="Normal Table"/>
    <w:uiPriority w:val="0"/>
    <w:semiHidden/>
    <w:qFormat/>
    <w:tblPr>
      <w:tblCellMar>
        <w:left w:w="108" w:type="dxa"/>
        <w:top w:w="0" w:type="dxa"/>
        <w:right w:w="108" w:type="dxa"/>
        <w:bottom w:w="0" w:type="dxa"/>
      </w:tblCellMar>
    </w:tblPr>
  </w:style>
  <w:style w:type="paragraph" w:styleId="749">
    <w:name w:val="Body Text First Indent 2"/>
    <w:basedOn w:val="750"/>
    <w:uiPriority w:val="0"/>
    <w:semiHidden/>
    <w:qFormat/>
    <w:pPr>
      <w:ind w:firstLine="420"/>
    </w:pPr>
  </w:style>
  <w:style w:type="paragraph" w:styleId="750">
    <w:name w:val="Body Text Indent"/>
    <w:basedOn w:val="737"/>
    <w:uiPriority w:val="0"/>
    <w:qFormat/>
    <w:pPr>
      <w:ind w:left="200"/>
      <w:spacing w:after="120"/>
    </w:pPr>
  </w:style>
  <w:style w:type="paragraph" w:styleId="751" w:customStyle="1">
    <w:name w:val="文章正文"/>
    <w:basedOn w:val="737"/>
    <w:uiPriority w:val="0"/>
    <w:qFormat/>
    <w:pPr>
      <w:ind w:firstLine="560"/>
      <w:spacing w:line="360" w:lineRule="auto"/>
    </w:pPr>
    <w:rPr>
      <w:rFonts w:eastAsia="仿宋_GB2312"/>
      <w:sz w:val="28"/>
    </w:rPr>
  </w:style>
  <w:style w:type="paragraph" w:styleId="752">
    <w:name w:val="List 3"/>
    <w:basedOn w:val="737"/>
    <w:uiPriority w:val="0"/>
    <w:qFormat/>
    <w:pPr>
      <w:contextualSpacing/>
      <w:ind w:left="100" w:hanging="200"/>
    </w:pPr>
  </w:style>
  <w:style w:type="paragraph" w:styleId="753">
    <w:name w:val="toc 7"/>
    <w:basedOn w:val="737"/>
    <w:next w:val="737"/>
    <w:uiPriority w:val="0"/>
    <w:qFormat/>
    <w:pPr>
      <w:ind w:left="1260"/>
      <w:jc w:val="left"/>
    </w:pPr>
    <w:rPr>
      <w:sz w:val="18"/>
      <w:szCs w:val="18"/>
    </w:rPr>
  </w:style>
  <w:style w:type="paragraph" w:styleId="754">
    <w:name w:val="Note Heading"/>
    <w:basedOn w:val="737"/>
    <w:next w:val="737"/>
    <w:uiPriority w:val="0"/>
    <w:qFormat/>
    <w:rPr>
      <w:rFonts w:ascii="Verdana" w:hAnsi="Verdana" w:cs="Times New Roman"/>
      <w:szCs w:val="20"/>
    </w:rPr>
  </w:style>
  <w:style w:type="paragraph" w:styleId="755">
    <w:name w:val="List Number"/>
    <w:basedOn w:val="737"/>
    <w:uiPriority w:val="0"/>
    <w:qFormat/>
    <w:pPr>
      <w:ind w:left="454" w:hanging="284"/>
      <w:jc w:val="left"/>
      <w:spacing w:after="50"/>
      <w:widowControl/>
      <w:tabs>
        <w:tab w:val="left" w:pos="454" w:leader="none"/>
        <w:tab w:val="left" w:pos="720" w:leader="none"/>
      </w:tabs>
    </w:pPr>
    <w:rPr>
      <w:sz w:val="24"/>
      <w:szCs w:val="20"/>
    </w:rPr>
  </w:style>
  <w:style w:type="paragraph" w:styleId="756">
    <w:name w:val="Normal Indent"/>
    <w:basedOn w:val="737"/>
    <w:next w:val="737"/>
    <w:link w:val="964"/>
    <w:uiPriority w:val="0"/>
    <w:qFormat/>
    <w:pPr>
      <w:ind w:firstLine="200"/>
    </w:pPr>
  </w:style>
  <w:style w:type="paragraph" w:styleId="757">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index 5"/>
    <w:basedOn w:val="737"/>
    <w:next w:val="737"/>
    <w:uiPriority w:val="0"/>
    <w:qFormat/>
    <w:pPr>
      <w:ind w:left="1680"/>
    </w:pPr>
  </w:style>
  <w:style w:type="paragraph" w:styleId="759">
    <w:name w:val="annotation text"/>
    <w:basedOn w:val="737"/>
    <w:uiPriority w:val="0"/>
    <w:semiHidden/>
    <w:qFormat/>
    <w:pPr>
      <w:jc w:val="left"/>
    </w:pPr>
  </w:style>
  <w:style w:type="paragraph" w:styleId="760">
    <w:name w:val="Body Text 3"/>
    <w:basedOn w:val="737"/>
    <w:uiPriority w:val="0"/>
    <w:qFormat/>
    <w:pPr>
      <w:spacing w:after="120"/>
    </w:pPr>
    <w:rPr>
      <w:sz w:val="16"/>
      <w:szCs w:val="16"/>
    </w:rPr>
  </w:style>
  <w:style w:type="paragraph" w:styleId="761">
    <w:name w:val="Body Text"/>
    <w:basedOn w:val="737"/>
    <w:next w:val="737"/>
    <w:link w:val="965"/>
    <w:uiPriority w:val="0"/>
    <w:qFormat/>
    <w:pPr>
      <w:spacing w:after="120"/>
    </w:pPr>
  </w:style>
  <w:style w:type="paragraph" w:styleId="762">
    <w:name w:val="List 2"/>
    <w:basedOn w:val="737"/>
    <w:uiPriority w:val="0"/>
    <w:qFormat/>
    <w:pPr>
      <w:ind w:left="400" w:hanging="200"/>
    </w:pPr>
  </w:style>
  <w:style w:type="paragraph" w:styleId="763">
    <w:name w:val="Block Text"/>
    <w:basedOn w:val="737"/>
    <w:uiPriority w:val="0"/>
    <w:qFormat/>
    <w:pPr>
      <w:ind w:left="-716" w:right="-874" w:hanging="2"/>
    </w:pPr>
    <w:rPr>
      <w:sz w:val="28"/>
    </w:rPr>
  </w:style>
  <w:style w:type="paragraph" w:styleId="764">
    <w:name w:val="index 4"/>
    <w:basedOn w:val="737"/>
    <w:next w:val="737"/>
    <w:uiPriority w:val="0"/>
    <w:qFormat/>
    <w:pPr>
      <w:ind w:left="600"/>
    </w:pPr>
    <w:rPr>
      <w:rFonts w:ascii="Verdana" w:hAnsi="Verdana"/>
      <w:szCs w:val="20"/>
    </w:rPr>
  </w:style>
  <w:style w:type="paragraph" w:styleId="765">
    <w:name w:val="toc 5"/>
    <w:basedOn w:val="737"/>
    <w:next w:val="737"/>
    <w:uiPriority w:val="0"/>
    <w:qFormat/>
    <w:pPr>
      <w:ind w:left="840"/>
      <w:jc w:val="left"/>
    </w:pPr>
    <w:rPr>
      <w:sz w:val="18"/>
      <w:szCs w:val="18"/>
    </w:rPr>
  </w:style>
  <w:style w:type="paragraph" w:styleId="766">
    <w:name w:val="toc 3"/>
    <w:basedOn w:val="737"/>
    <w:next w:val="737"/>
    <w:uiPriority w:val="0"/>
    <w:qFormat/>
    <w:pPr>
      <w:ind w:left="420"/>
      <w:jc w:val="left"/>
    </w:pPr>
    <w:rPr>
      <w:i/>
      <w:iCs/>
      <w:sz w:val="20"/>
      <w:szCs w:val="20"/>
    </w:rPr>
  </w:style>
  <w:style w:type="paragraph" w:styleId="767">
    <w:name w:val="Plain Text"/>
    <w:basedOn w:val="737"/>
    <w:next w:val="756"/>
    <w:link w:val="966"/>
    <w:uiPriority w:val="0"/>
    <w:qFormat/>
    <w:rPr>
      <w:rFonts w:ascii="宋体"/>
    </w:rPr>
  </w:style>
  <w:style w:type="paragraph" w:styleId="768">
    <w:name w:val="toc 8"/>
    <w:basedOn w:val="737"/>
    <w:next w:val="737"/>
    <w:uiPriority w:val="0"/>
    <w:qFormat/>
    <w:pPr>
      <w:ind w:left="1470"/>
      <w:jc w:val="left"/>
    </w:pPr>
    <w:rPr>
      <w:sz w:val="18"/>
      <w:szCs w:val="18"/>
    </w:rPr>
  </w:style>
  <w:style w:type="paragraph" w:styleId="769">
    <w:name w:val="Date"/>
    <w:basedOn w:val="737"/>
    <w:next w:val="737"/>
    <w:uiPriority w:val="0"/>
    <w:qFormat/>
    <w:pPr>
      <w:ind w:left="100"/>
    </w:pPr>
    <w:rPr>
      <w:sz w:val="28"/>
      <w:szCs w:val="20"/>
    </w:rPr>
  </w:style>
  <w:style w:type="paragraph" w:styleId="770">
    <w:name w:val="Body Text Indent 2"/>
    <w:basedOn w:val="737"/>
    <w:uiPriority w:val="0"/>
    <w:qFormat/>
    <w:pPr>
      <w:ind w:firstLine="200"/>
      <w:jc w:val="left"/>
      <w:spacing w:line="360" w:lineRule="auto"/>
    </w:pPr>
    <w:rPr>
      <w:rFonts w:ascii="仿宋_GB2312" w:eastAsia="仿宋_GB2312"/>
      <w:b/>
      <w:bCs/>
      <w:sz w:val="24"/>
    </w:rPr>
  </w:style>
  <w:style w:type="paragraph" w:styleId="771">
    <w:name w:val="endnote text"/>
    <w:basedOn w:val="737"/>
    <w:link w:val="954"/>
    <w:uiPriority w:val="99"/>
    <w:semiHidden/>
    <w:unhideWhenUsed/>
    <w:qFormat/>
    <w:pPr>
      <w:spacing w:after="0" w:line="240" w:lineRule="auto"/>
    </w:pPr>
    <w:rPr>
      <w:sz w:val="20"/>
    </w:rPr>
  </w:style>
  <w:style w:type="paragraph" w:styleId="772">
    <w:name w:val="Balloon Text"/>
    <w:basedOn w:val="737"/>
    <w:uiPriority w:val="0"/>
    <w:qFormat/>
    <w:rPr>
      <w:sz w:val="18"/>
      <w:szCs w:val="18"/>
    </w:rPr>
  </w:style>
  <w:style w:type="paragraph" w:styleId="773">
    <w:name w:val="Footer"/>
    <w:basedOn w:val="737"/>
    <w:link w:val="967"/>
    <w:uiPriority w:val="99"/>
    <w:qFormat/>
    <w:pPr>
      <w:jc w:val="left"/>
      <w:tabs>
        <w:tab w:val="center" w:pos="4153" w:leader="none"/>
        <w:tab w:val="right" w:pos="8306" w:leader="none"/>
      </w:tabs>
    </w:pPr>
    <w:rPr>
      <w:sz w:val="18"/>
      <w:szCs w:val="18"/>
    </w:rPr>
  </w:style>
  <w:style w:type="paragraph" w:styleId="774">
    <w:name w:val="envelope return"/>
    <w:basedOn w:val="775"/>
    <w:uiPriority w:val="0"/>
    <w:qFormat/>
    <w:rPr>
      <w:rFonts w:ascii="Arial" w:hAnsi="Arial"/>
    </w:rPr>
  </w:style>
  <w:style w:type="paragraph" w:styleId="775" w:customStyle="1">
    <w:name w:val="Normal_19"/>
    <w:next w:val="776"/>
    <w:uiPriority w:val="0"/>
    <w:qFormat/>
    <w:pPr>
      <w:jc w:val="both"/>
      <w:widowControl w:val="off"/>
    </w:pPr>
    <w:rPr>
      <w:rFonts w:hint="default" w:ascii="Calibri" w:hAnsi="Calibri" w:eastAsia="宋体" w:cs="Times New Roman"/>
      <w:sz w:val="21"/>
      <w:szCs w:val="24"/>
    </w:rPr>
  </w:style>
  <w:style w:type="paragraph" w:styleId="776" w:customStyle="1">
    <w:name w:val="正文文本缩进1"/>
    <w:basedOn w:val="775"/>
    <w:uiPriority w:val="0"/>
    <w:qFormat/>
    <w:pPr>
      <w:ind w:firstLine="225"/>
    </w:pPr>
    <w:rPr>
      <w:rFonts w:ascii="仿宋_GB2312" w:eastAsia="仿宋_GB2312"/>
      <w:sz w:val="32"/>
    </w:rPr>
  </w:style>
  <w:style w:type="paragraph" w:styleId="777">
    <w:name w:val="Header"/>
    <w:basedOn w:val="737"/>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78">
    <w:name w:val="toc 1"/>
    <w:basedOn w:val="737"/>
    <w:next w:val="737"/>
    <w:uiPriority w:val="0"/>
    <w:qFormat/>
    <w:pPr>
      <w:jc w:val="left"/>
      <w:spacing w:before="120" w:after="120"/>
    </w:pPr>
    <w:rPr>
      <w:b/>
      <w:bCs/>
      <w:caps/>
      <w:sz w:val="20"/>
      <w:szCs w:val="20"/>
    </w:rPr>
  </w:style>
  <w:style w:type="paragraph" w:styleId="779">
    <w:name w:val="toc 4"/>
    <w:basedOn w:val="737"/>
    <w:next w:val="737"/>
    <w:uiPriority w:val="0"/>
    <w:qFormat/>
    <w:pPr>
      <w:ind w:left="630"/>
      <w:jc w:val="left"/>
    </w:pPr>
    <w:rPr>
      <w:sz w:val="18"/>
      <w:szCs w:val="18"/>
    </w:rPr>
  </w:style>
  <w:style w:type="paragraph" w:styleId="780">
    <w:name w:val="Subtitle"/>
    <w:basedOn w:val="737"/>
    <w:next w:val="737"/>
    <w:link w:val="820"/>
    <w:uiPriority w:val="11"/>
    <w:qFormat/>
    <w:pPr>
      <w:spacing w:before="200" w:after="200"/>
    </w:pPr>
    <w:rPr>
      <w:sz w:val="24"/>
      <w:szCs w:val="24"/>
    </w:rPr>
  </w:style>
  <w:style w:type="paragraph" w:styleId="781">
    <w:name w:val="footnote text"/>
    <w:basedOn w:val="737"/>
    <w:link w:val="968"/>
    <w:uiPriority w:val="0"/>
    <w:qFormat/>
    <w:pPr>
      <w:jc w:val="left"/>
    </w:pPr>
    <w:rPr>
      <w:sz w:val="18"/>
      <w:szCs w:val="18"/>
    </w:rPr>
  </w:style>
  <w:style w:type="paragraph" w:styleId="782">
    <w:name w:val="toc 6"/>
    <w:basedOn w:val="737"/>
    <w:next w:val="737"/>
    <w:uiPriority w:val="0"/>
    <w:qFormat/>
    <w:pPr>
      <w:ind w:left="1050"/>
      <w:jc w:val="left"/>
    </w:pPr>
    <w:rPr>
      <w:sz w:val="18"/>
      <w:szCs w:val="18"/>
    </w:rPr>
  </w:style>
  <w:style w:type="paragraph" w:styleId="783">
    <w:name w:val="Body Text Indent 3"/>
    <w:basedOn w:val="737"/>
    <w:uiPriority w:val="0"/>
    <w:qFormat/>
    <w:pPr>
      <w:ind w:firstLine="570"/>
    </w:pPr>
    <w:rPr>
      <w:rFonts w:ascii="楷体_GB2312" w:eastAsia="楷体_GB2312"/>
      <w:sz w:val="32"/>
      <w:szCs w:val="20"/>
    </w:rPr>
  </w:style>
  <w:style w:type="paragraph" w:styleId="784">
    <w:name w:val="index 9"/>
    <w:basedOn w:val="737"/>
    <w:next w:val="737"/>
    <w:uiPriority w:val="0"/>
    <w:qFormat/>
    <w:pPr>
      <w:ind w:left="3360"/>
    </w:pPr>
  </w:style>
  <w:style w:type="paragraph" w:styleId="785">
    <w:name w:val="table of figures"/>
    <w:basedOn w:val="737"/>
    <w:next w:val="737"/>
    <w:uiPriority w:val="99"/>
    <w:unhideWhenUsed/>
    <w:qFormat/>
    <w:pPr>
      <w:spacing w:after="0" w:afterAutospacing="0"/>
    </w:pPr>
  </w:style>
  <w:style w:type="paragraph" w:styleId="786">
    <w:name w:val="toc 2"/>
    <w:basedOn w:val="737"/>
    <w:next w:val="737"/>
    <w:uiPriority w:val="0"/>
    <w:qFormat/>
    <w:pPr>
      <w:ind w:left="210"/>
      <w:jc w:val="left"/>
    </w:pPr>
    <w:rPr>
      <w:smallCaps/>
      <w:sz w:val="20"/>
      <w:szCs w:val="20"/>
    </w:rPr>
  </w:style>
  <w:style w:type="paragraph" w:styleId="787">
    <w:name w:val="toc 9"/>
    <w:basedOn w:val="737"/>
    <w:next w:val="737"/>
    <w:uiPriority w:val="0"/>
    <w:qFormat/>
    <w:pPr>
      <w:ind w:left="1680"/>
      <w:jc w:val="left"/>
    </w:pPr>
    <w:rPr>
      <w:sz w:val="18"/>
      <w:szCs w:val="18"/>
    </w:rPr>
  </w:style>
  <w:style w:type="paragraph" w:styleId="788">
    <w:name w:val="Body Text 2"/>
    <w:basedOn w:val="737"/>
    <w:uiPriority w:val="0"/>
    <w:qFormat/>
    <w:pPr>
      <w:jc w:val="left"/>
    </w:pPr>
    <w:rPr>
      <w:rFonts w:eastAsia="楷体_GB2312"/>
    </w:rPr>
  </w:style>
  <w:style w:type="paragraph" w:styleId="789">
    <w:name w:val="Normal (Web)"/>
    <w:basedOn w:val="737"/>
    <w:uiPriority w:val="99"/>
    <w:qFormat/>
    <w:pPr>
      <w:jc w:val="left"/>
      <w:spacing w:before="100" w:beforeAutospacing="1" w:after="100" w:afterAutospacing="1"/>
      <w:widowControl/>
    </w:pPr>
    <w:rPr>
      <w:rFonts w:ascii="宋体"/>
      <w:color w:val="000000"/>
      <w:sz w:val="24"/>
    </w:rPr>
  </w:style>
  <w:style w:type="paragraph" w:styleId="790">
    <w:name w:val="Title"/>
    <w:basedOn w:val="737"/>
    <w:link w:val="969"/>
    <w:uiPriority w:val="0"/>
    <w:qFormat/>
    <w:pPr>
      <w:jc w:val="center"/>
      <w:widowControl/>
    </w:pPr>
    <w:rPr>
      <w:b/>
      <w:sz w:val="24"/>
      <w:szCs w:val="20"/>
      <w:lang w:val="en-GB" w:eastAsia="en-GB"/>
    </w:rPr>
  </w:style>
  <w:style w:type="paragraph" w:styleId="791">
    <w:name w:val="annotation subject"/>
    <w:basedOn w:val="759"/>
    <w:next w:val="759"/>
    <w:uiPriority w:val="0"/>
    <w:semiHidden/>
    <w:qFormat/>
    <w:rPr>
      <w:b/>
      <w:bCs/>
    </w:rPr>
  </w:style>
  <w:style w:type="paragraph" w:styleId="792">
    <w:name w:val="Body Text First Indent"/>
    <w:basedOn w:val="761"/>
    <w:next w:val="749"/>
    <w:link w:val="970"/>
    <w:uiPriority w:val="0"/>
    <w:qFormat/>
    <w:pPr>
      <w:ind w:firstLine="420"/>
    </w:pPr>
  </w:style>
  <w:style w:type="table" w:styleId="793">
    <w:name w:val="Table Grid"/>
    <w:basedOn w:val="74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0"/>
    <w:qFormat/>
    <w:rPr>
      <w:b/>
      <w:bCs/>
    </w:rPr>
  </w:style>
  <w:style w:type="character" w:styleId="795">
    <w:name w:val="endnote reference"/>
    <w:basedOn w:val="747"/>
    <w:uiPriority w:val="99"/>
    <w:semiHidden/>
    <w:unhideWhenUsed/>
    <w:qFormat/>
    <w:rPr>
      <w:vertAlign w:val="superscript"/>
    </w:rPr>
  </w:style>
  <w:style w:type="character" w:styleId="796">
    <w:name w:val="page number"/>
    <w:basedOn w:val="747"/>
    <w:uiPriority w:val="0"/>
    <w:qFormat/>
  </w:style>
  <w:style w:type="character" w:styleId="797">
    <w:name w:val="FollowedHyperlink"/>
    <w:basedOn w:val="747"/>
    <w:uiPriority w:val="0"/>
    <w:qFormat/>
    <w:rPr>
      <w:color w:val="800080"/>
      <w:u w:val="none"/>
    </w:rPr>
  </w:style>
  <w:style w:type="character" w:styleId="798">
    <w:name w:val="Emphasis"/>
    <w:basedOn w:val="747"/>
    <w:uiPriority w:val="0"/>
    <w:qFormat/>
  </w:style>
  <w:style w:type="character" w:styleId="799">
    <w:name w:val="HTML Definition"/>
    <w:basedOn w:val="747"/>
    <w:uiPriority w:val="0"/>
    <w:qFormat/>
  </w:style>
  <w:style w:type="character" w:styleId="800">
    <w:name w:val="HTML Typewriter"/>
    <w:basedOn w:val="747"/>
    <w:uiPriority w:val="0"/>
    <w:qFormat/>
    <w:rPr>
      <w:rFonts w:ascii="monospace" w:hAnsi="monospace" w:eastAsia="monospace" w:cs="monospace"/>
      <w:sz w:val="20"/>
    </w:rPr>
  </w:style>
  <w:style w:type="character" w:styleId="801">
    <w:name w:val="HTML Acronym"/>
    <w:basedOn w:val="747"/>
    <w:uiPriority w:val="0"/>
    <w:qFormat/>
  </w:style>
  <w:style w:type="character" w:styleId="802">
    <w:name w:val="HTML Variable"/>
    <w:basedOn w:val="747"/>
    <w:uiPriority w:val="0"/>
    <w:qFormat/>
  </w:style>
  <w:style w:type="character" w:styleId="803">
    <w:name w:val="Hyperlink"/>
    <w:basedOn w:val="747"/>
    <w:uiPriority w:val="0"/>
    <w:qFormat/>
    <w:rPr>
      <w:color w:val="0000ff"/>
      <w:u w:val="none"/>
    </w:rPr>
  </w:style>
  <w:style w:type="character" w:styleId="804">
    <w:name w:val="HTML Code"/>
    <w:basedOn w:val="747"/>
    <w:uiPriority w:val="0"/>
    <w:qFormat/>
    <w:rPr>
      <w:rFonts w:hint="default" w:ascii="monospace" w:hAnsi="monospace" w:eastAsia="monospace" w:cs="monospace"/>
      <w:sz w:val="20"/>
    </w:rPr>
  </w:style>
  <w:style w:type="character" w:styleId="805">
    <w:name w:val="annotation reference"/>
    <w:uiPriority w:val="0"/>
    <w:qFormat/>
    <w:rPr>
      <w:sz w:val="21"/>
    </w:rPr>
  </w:style>
  <w:style w:type="character" w:styleId="806">
    <w:name w:val="HTML Cite"/>
    <w:basedOn w:val="747"/>
    <w:uiPriority w:val="0"/>
    <w:qFormat/>
  </w:style>
  <w:style w:type="character" w:styleId="807">
    <w:name w:val="footnote reference"/>
    <w:basedOn w:val="747"/>
    <w:uiPriority w:val="0"/>
    <w:qFormat/>
    <w:rPr>
      <w:vertAlign w:val="superscript"/>
    </w:rPr>
  </w:style>
  <w:style w:type="character" w:styleId="808">
    <w:name w:val="HTML Keyboard"/>
    <w:basedOn w:val="747"/>
    <w:uiPriority w:val="0"/>
    <w:qFormat/>
    <w:rPr>
      <w:rFonts w:hint="default" w:ascii="monospace" w:hAnsi="monospace" w:eastAsia="monospace" w:cs="monospace"/>
      <w:sz w:val="20"/>
    </w:rPr>
  </w:style>
  <w:style w:type="character" w:styleId="809">
    <w:name w:val="HTML Sample"/>
    <w:basedOn w:val="747"/>
    <w:uiPriority w:val="0"/>
    <w:qFormat/>
    <w:rPr>
      <w:rFonts w:hint="default" w:ascii="monospace" w:hAnsi="monospace" w:eastAsia="monospace" w:cs="monospace"/>
    </w:rPr>
  </w:style>
  <w:style w:type="character" w:styleId="810" w:customStyle="1">
    <w:name w:val="Heading 1 Char"/>
    <w:basedOn w:val="747"/>
    <w:uiPriority w:val="9"/>
    <w:qFormat/>
    <w:rPr>
      <w:rFonts w:ascii="Arial" w:hAnsi="Arial" w:eastAsia="Arial" w:cs="Arial"/>
      <w:sz w:val="40"/>
      <w:szCs w:val="40"/>
    </w:rPr>
  </w:style>
  <w:style w:type="character" w:styleId="811" w:customStyle="1">
    <w:name w:val="Heading 2 Char"/>
    <w:basedOn w:val="747"/>
    <w:uiPriority w:val="9"/>
    <w:qFormat/>
    <w:rPr>
      <w:rFonts w:ascii="Arial" w:hAnsi="Arial" w:eastAsia="Arial" w:cs="Arial"/>
      <w:sz w:val="34"/>
    </w:rPr>
  </w:style>
  <w:style w:type="character" w:styleId="812" w:customStyle="1">
    <w:name w:val="Heading 3 Char"/>
    <w:basedOn w:val="747"/>
    <w:uiPriority w:val="9"/>
    <w:qFormat/>
    <w:rPr>
      <w:rFonts w:ascii="Arial" w:hAnsi="Arial" w:eastAsia="Arial" w:cs="Arial"/>
      <w:sz w:val="30"/>
      <w:szCs w:val="30"/>
    </w:rPr>
  </w:style>
  <w:style w:type="character" w:styleId="813" w:customStyle="1">
    <w:name w:val="Heading 4 Char"/>
    <w:basedOn w:val="747"/>
    <w:uiPriority w:val="9"/>
    <w:qFormat/>
    <w:rPr>
      <w:rFonts w:ascii="Arial" w:hAnsi="Arial" w:eastAsia="Arial" w:cs="Arial"/>
      <w:b/>
      <w:bCs/>
      <w:sz w:val="26"/>
      <w:szCs w:val="26"/>
    </w:rPr>
  </w:style>
  <w:style w:type="character" w:styleId="814" w:customStyle="1">
    <w:name w:val="Heading 5 Char"/>
    <w:basedOn w:val="747"/>
    <w:uiPriority w:val="9"/>
    <w:qFormat/>
    <w:rPr>
      <w:rFonts w:ascii="Arial" w:hAnsi="Arial" w:eastAsia="Arial" w:cs="Arial"/>
      <w:b/>
      <w:bCs/>
      <w:sz w:val="24"/>
      <w:szCs w:val="24"/>
    </w:rPr>
  </w:style>
  <w:style w:type="character" w:styleId="815" w:customStyle="1">
    <w:name w:val="Heading 6 Char"/>
    <w:basedOn w:val="747"/>
    <w:uiPriority w:val="9"/>
    <w:qFormat/>
    <w:rPr>
      <w:rFonts w:ascii="Arial" w:hAnsi="Arial" w:eastAsia="Arial" w:cs="Arial"/>
      <w:b/>
      <w:bCs/>
      <w:sz w:val="22"/>
      <w:szCs w:val="22"/>
    </w:rPr>
  </w:style>
  <w:style w:type="character" w:styleId="816" w:customStyle="1">
    <w:name w:val="Heading 7 Char"/>
    <w:basedOn w:val="747"/>
    <w:uiPriority w:val="9"/>
    <w:qFormat/>
    <w:rPr>
      <w:rFonts w:ascii="Arial" w:hAnsi="Arial" w:eastAsia="Arial" w:cs="Arial"/>
      <w:b/>
      <w:bCs/>
      <w:i/>
      <w:iCs/>
      <w:sz w:val="22"/>
      <w:szCs w:val="22"/>
    </w:rPr>
  </w:style>
  <w:style w:type="character" w:styleId="817" w:customStyle="1">
    <w:name w:val="Heading 8 Char"/>
    <w:basedOn w:val="747"/>
    <w:link w:val="745"/>
    <w:uiPriority w:val="9"/>
    <w:qFormat/>
    <w:rPr>
      <w:rFonts w:ascii="Arial" w:hAnsi="Arial" w:eastAsia="Arial" w:cs="Arial"/>
      <w:i/>
      <w:iCs/>
      <w:sz w:val="22"/>
      <w:szCs w:val="22"/>
    </w:rPr>
  </w:style>
  <w:style w:type="character" w:styleId="818" w:customStyle="1">
    <w:name w:val="Heading 9 Char"/>
    <w:basedOn w:val="747"/>
    <w:uiPriority w:val="9"/>
    <w:qFormat/>
    <w:rPr>
      <w:rFonts w:ascii="Arial" w:hAnsi="Arial" w:eastAsia="Arial" w:cs="Arial"/>
      <w:i/>
      <w:iCs/>
      <w:sz w:val="21"/>
      <w:szCs w:val="21"/>
    </w:rPr>
  </w:style>
  <w:style w:type="character" w:styleId="819" w:customStyle="1">
    <w:name w:val="Title Char"/>
    <w:basedOn w:val="747"/>
    <w:uiPriority w:val="10"/>
    <w:qFormat/>
    <w:rPr>
      <w:sz w:val="48"/>
      <w:szCs w:val="48"/>
    </w:rPr>
  </w:style>
  <w:style w:type="character" w:styleId="820" w:customStyle="1">
    <w:name w:val="Subtitle Char"/>
    <w:basedOn w:val="747"/>
    <w:link w:val="780"/>
    <w:uiPriority w:val="11"/>
    <w:qFormat/>
    <w:rPr>
      <w:sz w:val="24"/>
      <w:szCs w:val="24"/>
    </w:rPr>
  </w:style>
  <w:style w:type="paragraph" w:styleId="821">
    <w:name w:val="Quote"/>
    <w:basedOn w:val="737"/>
    <w:next w:val="737"/>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37"/>
    <w:next w:val="737"/>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47"/>
    <w:uiPriority w:val="99"/>
    <w:qFormat/>
  </w:style>
  <w:style w:type="character" w:styleId="826" w:customStyle="1">
    <w:name w:val="Footer Char"/>
    <w:basedOn w:val="747"/>
    <w:uiPriority w:val="99"/>
    <w:qFormat/>
  </w:style>
  <w:style w:type="character" w:styleId="827" w:customStyle="1">
    <w:name w:val="Caption Char"/>
    <w:uiPriority w:val="99"/>
    <w:qFormat/>
  </w:style>
  <w:style w:type="table" w:styleId="828" w:customStyle="1">
    <w:name w:val="Table Grid Light"/>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4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4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4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4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4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4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4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4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4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4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4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4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4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4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4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4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4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4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4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4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4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4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4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4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4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4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4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4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4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4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4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4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4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4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4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4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4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4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4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4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4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4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4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4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4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4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4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4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4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4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4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4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4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4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4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4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4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4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4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4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4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4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uiPriority w:val="99"/>
    <w:qFormat/>
    <w:rPr>
      <w:sz w:val="18"/>
    </w:rPr>
  </w:style>
  <w:style w:type="character" w:styleId="954" w:customStyle="1">
    <w:name w:val="Endnote Text Char"/>
    <w:link w:val="771"/>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character" w:styleId="956" w:customStyle="1">
    <w:name w:val="标题 1 Char"/>
    <w:link w:val="738"/>
    <w:uiPriority w:val="0"/>
    <w:qFormat/>
    <w:rPr>
      <w:rFonts w:ascii="宋体" w:hAnsi="宋体" w:eastAsia="宋体"/>
      <w:b/>
      <w:color w:val="000000"/>
      <w:sz w:val="36"/>
      <w:szCs w:val="20"/>
    </w:rPr>
  </w:style>
  <w:style w:type="character" w:styleId="957" w:customStyle="1">
    <w:name w:val="标题 2 Char"/>
    <w:link w:val="739"/>
    <w:uiPriority w:val="0"/>
    <w:qFormat/>
    <w:rPr>
      <w:rFonts w:ascii="Arial" w:hAnsi="Arial" w:eastAsia="黑体"/>
      <w:b/>
      <w:bCs/>
      <w:sz w:val="32"/>
      <w:szCs w:val="32"/>
    </w:rPr>
  </w:style>
  <w:style w:type="character" w:styleId="958" w:customStyle="1">
    <w:name w:val="标题 3 Char"/>
    <w:link w:val="740"/>
    <w:uiPriority w:val="0"/>
    <w:qFormat/>
    <w:rPr>
      <w:rFonts w:ascii="黑体" w:eastAsia="黑体"/>
      <w:b/>
      <w:color w:val="000000"/>
      <w:sz w:val="28"/>
    </w:rPr>
  </w:style>
  <w:style w:type="character" w:styleId="959" w:customStyle="1">
    <w:name w:val="标题 4 Char"/>
    <w:link w:val="741"/>
    <w:uiPriority w:val="0"/>
    <w:qFormat/>
    <w:rPr>
      <w:rFonts w:ascii="Arial" w:hAnsi="Arial" w:eastAsia="黑体"/>
      <w:b/>
      <w:bCs/>
      <w:sz w:val="28"/>
      <w:szCs w:val="28"/>
    </w:rPr>
  </w:style>
  <w:style w:type="character" w:styleId="960" w:customStyle="1">
    <w:name w:val="标题 5 Char"/>
    <w:link w:val="742"/>
    <w:uiPriority w:val="0"/>
    <w:qFormat/>
    <w:rPr>
      <w:rFonts w:eastAsia="黑体"/>
      <w:b/>
      <w:bCs/>
      <w:sz w:val="28"/>
      <w:szCs w:val="28"/>
    </w:rPr>
  </w:style>
  <w:style w:type="character" w:styleId="961" w:customStyle="1">
    <w:name w:val="标题 6 Char"/>
    <w:link w:val="743"/>
    <w:uiPriority w:val="0"/>
    <w:qFormat/>
    <w:rPr>
      <w:rFonts w:eastAsia="黑体"/>
      <w:b/>
      <w:bCs/>
      <w:sz w:val="28"/>
      <w:szCs w:val="24"/>
    </w:rPr>
  </w:style>
  <w:style w:type="character" w:styleId="962" w:customStyle="1">
    <w:name w:val="标题 7 Char"/>
    <w:link w:val="744"/>
    <w:uiPriority w:val="0"/>
    <w:qFormat/>
    <w:rPr>
      <w:rFonts w:eastAsia="黑体"/>
      <w:b/>
      <w:bCs/>
      <w:sz w:val="24"/>
      <w:szCs w:val="24"/>
    </w:rPr>
  </w:style>
  <w:style w:type="character" w:styleId="963" w:customStyle="1">
    <w:name w:val="标题 9 Char"/>
    <w:link w:val="746"/>
    <w:uiPriority w:val="0"/>
    <w:qFormat/>
    <w:rPr>
      <w:sz w:val="24"/>
      <w:szCs w:val="21"/>
    </w:rPr>
  </w:style>
  <w:style w:type="character" w:styleId="964" w:customStyle="1">
    <w:name w:val="正文缩进 Char"/>
    <w:link w:val="756"/>
    <w:uiPriority w:val="0"/>
    <w:qFormat/>
    <w:rPr>
      <w:sz w:val="21"/>
      <w:szCs w:val="24"/>
    </w:rPr>
  </w:style>
  <w:style w:type="character" w:styleId="965" w:customStyle="1">
    <w:name w:val="正文文本 Char"/>
    <w:link w:val="761"/>
    <w:uiPriority w:val="0"/>
    <w:qFormat/>
    <w:rPr>
      <w:sz w:val="21"/>
      <w:szCs w:val="24"/>
    </w:rPr>
  </w:style>
  <w:style w:type="character" w:styleId="966" w:customStyle="1">
    <w:name w:val="纯文本 Char"/>
    <w:link w:val="767"/>
    <w:uiPriority w:val="0"/>
    <w:qFormat/>
    <w:rPr>
      <w:rFonts w:ascii="宋体" w:eastAsia="宋体"/>
      <w:sz w:val="21"/>
      <w:szCs w:val="24"/>
      <w:lang w:val="en-US" w:eastAsia="zh-CN" w:bidi="ar-SA"/>
    </w:rPr>
  </w:style>
  <w:style w:type="character" w:styleId="967" w:customStyle="1">
    <w:name w:val="页脚 Char"/>
    <w:link w:val="773"/>
    <w:uiPriority w:val="99"/>
    <w:qFormat/>
    <w:rPr>
      <w:sz w:val="18"/>
      <w:szCs w:val="18"/>
    </w:rPr>
  </w:style>
  <w:style w:type="character" w:styleId="968" w:customStyle="1">
    <w:name w:val="脚注文本 Char"/>
    <w:link w:val="781"/>
    <w:uiPriority w:val="0"/>
    <w:qFormat/>
    <w:rPr>
      <w:sz w:val="18"/>
      <w:szCs w:val="18"/>
    </w:rPr>
  </w:style>
  <w:style w:type="character" w:styleId="969" w:customStyle="1">
    <w:name w:val="标题 Char"/>
    <w:link w:val="790"/>
    <w:uiPriority w:val="0"/>
    <w:qFormat/>
    <w:rPr>
      <w:b/>
      <w:sz w:val="24"/>
      <w:lang w:val="en-GB" w:eastAsia="en-GB"/>
    </w:rPr>
  </w:style>
  <w:style w:type="character" w:styleId="970" w:customStyle="1">
    <w:name w:val="正文首行缩进 Char"/>
    <w:basedOn w:val="965"/>
    <w:link w:val="792"/>
    <w:uiPriority w:val="0"/>
    <w:qFormat/>
  </w:style>
  <w:style w:type="character" w:styleId="971" w:customStyle="1">
    <w:name w:val="超链接1"/>
    <w:basedOn w:val="972"/>
    <w:uiPriority w:val="99"/>
    <w:qFormat/>
    <w:rPr>
      <w:sz w:val="21"/>
      <w:szCs w:val="24"/>
      <w:lang w:val="en-US" w:eastAsia="zh-CN" w:bidi="ar-SA"/>
    </w:rPr>
  </w:style>
  <w:style w:type="character" w:styleId="972" w:customStyle="1">
    <w:name w:val="默认段落字体1"/>
    <w:uiPriority w:val="0"/>
    <w:semiHidden/>
    <w:qFormat/>
  </w:style>
  <w:style w:type="character" w:styleId="973" w:customStyle="1">
    <w:name w:val="_Style 82"/>
    <w:uiPriority w:val="0"/>
    <w:qFormat/>
    <w:rPr>
      <w:b/>
      <w:bCs/>
      <w:smallCaps/>
      <w:spacing w:val="5"/>
    </w:rPr>
  </w:style>
  <w:style w:type="character" w:styleId="974" w:customStyle="1">
    <w:name w:val="WPS Plain Char"/>
    <w:link w:val="975"/>
    <w:uiPriority w:val="0"/>
    <w:qFormat/>
    <w:rPr>
      <w:lang w:val="en-US" w:eastAsia="zh-CN" w:bidi="ar-SA"/>
    </w:rPr>
  </w:style>
  <w:style w:type="paragraph" w:styleId="975" w:customStyle="1">
    <w:name w:val="WPS Plain"/>
    <w:link w:val="974"/>
    <w:uiPriority w:val="0"/>
    <w:qFormat/>
    <w:rPr>
      <w:rFonts w:hint="default" w:ascii="Times New Roman" w:hAnsi="Times New Roman" w:eastAsia="宋体" w:cs="Times New Roman"/>
      <w:lang w:val="en-US" w:eastAsia="zh-CN" w:bidi="ar-SA"/>
    </w:rPr>
  </w:style>
  <w:style w:type="character" w:styleId="976" w:customStyle="1">
    <w:name w:val="info1"/>
    <w:uiPriority w:val="0"/>
    <w:qFormat/>
    <w:rPr>
      <w:sz w:val="29"/>
      <w:szCs w:val="29"/>
    </w:rPr>
  </w:style>
  <w:style w:type="character" w:styleId="977" w:customStyle="1">
    <w:name w:val="Heading #3|1_"/>
    <w:link w:val="978"/>
    <w:uiPriority w:val="0"/>
    <w:qFormat/>
    <w:rPr>
      <w:rFonts w:ascii="宋体" w:hAnsi="宋体" w:eastAsia="宋体" w:cs="宋体"/>
      <w:sz w:val="42"/>
      <w:szCs w:val="42"/>
      <w:lang w:val="zh-TW" w:eastAsia="zh-TW" w:bidi="zh-TW"/>
    </w:rPr>
  </w:style>
  <w:style w:type="paragraph" w:styleId="978" w:customStyle="1">
    <w:name w:val="Heading #3|1"/>
    <w:basedOn w:val="737"/>
    <w:link w:val="977"/>
    <w:uiPriority w:val="0"/>
    <w:qFormat/>
    <w:pPr>
      <w:jc w:val="center"/>
      <w:spacing w:after="590" w:line="634" w:lineRule="exact"/>
      <w:outlineLvl w:val="2"/>
    </w:pPr>
    <w:rPr>
      <w:rFonts w:ascii="宋体" w:hAnsi="宋体" w:cs="宋体"/>
      <w:sz w:val="42"/>
      <w:szCs w:val="42"/>
      <w:lang w:val="zh-TW" w:eastAsia="zh-TW" w:bidi="zh-TW"/>
    </w:rPr>
  </w:style>
  <w:style w:type="character" w:styleId="979" w:customStyle="1">
    <w:name w:val="font01"/>
    <w:uiPriority w:val="0"/>
    <w:qFormat/>
    <w:rPr>
      <w:rFonts w:ascii="宋体" w:eastAsia="宋体" w:cs="宋体"/>
      <w:color w:val="000000"/>
      <w:sz w:val="22"/>
      <w:szCs w:val="22"/>
      <w:vertAlign w:val="superscript"/>
      <w:lang w:bidi="ar-SA"/>
    </w:rPr>
  </w:style>
  <w:style w:type="character" w:styleId="980" w:customStyle="1">
    <w:name w:val="bulletintext1"/>
    <w:uiPriority w:val="0"/>
    <w:qFormat/>
    <w:rPr>
      <w:color w:val="000000"/>
      <w:sz w:val="18"/>
      <w:szCs w:val="18"/>
    </w:rPr>
  </w:style>
  <w:style w:type="character" w:styleId="981" w:customStyle="1">
    <w:name w:val="font11"/>
    <w:uiPriority w:val="0"/>
    <w:qFormat/>
    <w:rPr>
      <w:rFonts w:ascii="宋体" w:eastAsia="宋体" w:cs="宋体"/>
      <w:color w:val="000000"/>
      <w:sz w:val="22"/>
      <w:szCs w:val="22"/>
      <w:lang w:bidi="ar-SA"/>
    </w:rPr>
  </w:style>
  <w:style w:type="character" w:styleId="982" w:customStyle="1">
    <w:name w:val="样式 宋体 小四"/>
    <w:uiPriority w:val="0"/>
    <w:qFormat/>
    <w:rPr>
      <w:rFonts w:ascii="宋体"/>
      <w:spacing w:val="6"/>
      <w:sz w:val="24"/>
      <w:szCs w:val="24"/>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37"/>
    <w:link w:val="983"/>
    <w:uiPriority w:val="0"/>
    <w:qFormat/>
    <w:pPr>
      <w:contextualSpacing/>
      <w:ind w:left="720"/>
      <w:jc w:val="left"/>
      <w:widowControl/>
    </w:pPr>
    <w:rPr>
      <w:rFonts w:ascii="Calibri" w:hAnsi="Calibri"/>
      <w:sz w:val="24"/>
      <w:lang w:eastAsia="en-US" w:bidi="en-US"/>
    </w:rPr>
  </w:style>
  <w:style w:type="character" w:styleId="985" w:customStyle="1">
    <w:name w:val="md"/>
    <w:basedOn w:val="747"/>
    <w:uiPriority w:val="0"/>
    <w:qFormat/>
  </w:style>
  <w:style w:type="character" w:styleId="986" w:customStyle="1">
    <w:name w:val="cart_title_smaller1"/>
    <w:uiPriority w:val="0"/>
    <w:qFormat/>
    <w:rPr>
      <w:color w:val="000000"/>
      <w:sz w:val="18"/>
      <w:szCs w:val="18"/>
      <w:u w:val="none"/>
    </w:rPr>
  </w:style>
  <w:style w:type="character" w:styleId="987" w:customStyle="1">
    <w:name w:val="表格标题 Char"/>
    <w:link w:val="988"/>
    <w:uiPriority w:val="0"/>
    <w:qFormat/>
    <w:rPr>
      <w:rFonts w:ascii="Cambria Math" w:hAnsi="Cambria Math" w:eastAsia="仿宋_GB2312"/>
      <w:b/>
      <w:sz w:val="21"/>
      <w:szCs w:val="24"/>
    </w:rPr>
  </w:style>
  <w:style w:type="paragraph" w:styleId="988" w:customStyle="1">
    <w:name w:val="表格标题"/>
    <w:basedOn w:val="737"/>
    <w:link w:val="987"/>
    <w:uiPriority w:val="0"/>
    <w:qFormat/>
    <w:pPr>
      <w:jc w:val="center"/>
    </w:pPr>
    <w:rPr>
      <w:rFonts w:ascii="Cambria Math" w:hAnsi="Cambria Math" w:eastAsia="仿宋_GB2312"/>
      <w:b/>
    </w:rPr>
  </w:style>
  <w:style w:type="character" w:styleId="989" w:customStyle="1">
    <w:name w:val="Body text|1_"/>
    <w:link w:val="990"/>
    <w:uiPriority w:val="0"/>
    <w:qFormat/>
    <w:rPr>
      <w:rFonts w:ascii="宋体" w:hAnsi="宋体" w:eastAsia="宋体" w:cs="宋体"/>
      <w:lang w:val="zh-TW" w:eastAsia="zh-TW" w:bidi="zh-TW"/>
    </w:rPr>
  </w:style>
  <w:style w:type="paragraph" w:styleId="990" w:customStyle="1">
    <w:name w:val="Body text|1"/>
    <w:basedOn w:val="737"/>
    <w:link w:val="989"/>
    <w:uiPriority w:val="0"/>
    <w:qFormat/>
    <w:pPr>
      <w:ind w:left="190" w:firstLine="650"/>
      <w:jc w:val="left"/>
      <w:spacing w:after="270" w:line="590" w:lineRule="exact"/>
    </w:pPr>
    <w:rPr>
      <w:rFonts w:ascii="宋体" w:hAnsi="宋体" w:cs="宋体"/>
      <w:sz w:val="20"/>
      <w:szCs w:val="20"/>
      <w:lang w:val="zh-TW" w:eastAsia="zh-TW" w:bidi="zh-TW"/>
    </w:rPr>
  </w:style>
  <w:style w:type="character" w:styleId="991" w:customStyle="1">
    <w:name w:val="Header or footer|1_"/>
    <w:link w:val="992"/>
    <w:uiPriority w:val="0"/>
    <w:qFormat/>
    <w:rPr>
      <w:sz w:val="26"/>
      <w:szCs w:val="26"/>
      <w:lang w:val="zh-TW" w:eastAsia="zh-TW" w:bidi="zh-TW"/>
    </w:rPr>
  </w:style>
  <w:style w:type="paragraph" w:styleId="992" w:customStyle="1">
    <w:name w:val="Header or footer|1"/>
    <w:basedOn w:val="737"/>
    <w:link w:val="991"/>
    <w:uiPriority w:val="0"/>
    <w:qFormat/>
    <w:pPr>
      <w:jc w:val="left"/>
    </w:pPr>
    <w:rPr>
      <w:sz w:val="26"/>
      <w:szCs w:val="26"/>
      <w:lang w:val="zh-TW" w:eastAsia="zh-TW" w:bidi="zh-TW"/>
    </w:rPr>
  </w:style>
  <w:style w:type="paragraph" w:styleId="993" w:customStyle="1">
    <w:name w:val=" Char2 Char Char Char"/>
    <w:basedOn w:val="737"/>
    <w:uiPriority w:val="0"/>
    <w:qFormat/>
    <w:rPr>
      <w:rFonts w:ascii="仿宋_GB2312" w:eastAsia="仿宋_GB2312"/>
      <w:b/>
      <w:sz w:val="32"/>
      <w:szCs w:val="32"/>
    </w:rPr>
  </w:style>
  <w:style w:type="paragraph" w:styleId="994" w:customStyle="1">
    <w:name w:val="文件标题"/>
    <w:basedOn w:val="737"/>
    <w:uiPriority w:val="0"/>
    <w:qFormat/>
    <w:pPr>
      <w:jc w:val="center"/>
      <w:spacing w:after="240"/>
    </w:pPr>
    <w:rPr>
      <w:rFonts w:ascii="Arial Black" w:hAnsi="Arial Black"/>
      <w:sz w:val="48"/>
      <w:szCs w:val="20"/>
    </w:rPr>
  </w:style>
  <w:style w:type="paragraph" w:styleId="995" w:customStyle="1">
    <w:name w:val="xl29"/>
    <w:basedOn w:val="7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96" w:customStyle="1">
    <w:name w:val="标准中文版式_正文"/>
    <w:basedOn w:val="737"/>
    <w:uiPriority w:val="0"/>
    <w:qFormat/>
    <w:pPr>
      <w:ind w:firstLine="200"/>
      <w:spacing w:before="30" w:line="360" w:lineRule="auto"/>
    </w:pPr>
    <w:rPr>
      <w:rFonts w:ascii="Arial" w:hAnsi="Arial"/>
      <w:sz w:val="24"/>
    </w:rPr>
  </w:style>
  <w:style w:type="paragraph" w:styleId="997" w:customStyle="1">
    <w:name w:val="默认段落字体 Para Char Char Char Char Char Char Char Char Char1 Char Char Char Char"/>
    <w:basedOn w:val="737"/>
    <w:uiPriority w:val="0"/>
    <w:qFormat/>
    <w:rPr>
      <w:rFonts w:ascii="Tahoma" w:hAnsi="Tahoma"/>
      <w:sz w:val="24"/>
      <w:szCs w:val="20"/>
    </w:rPr>
  </w:style>
  <w:style w:type="paragraph" w:styleId="998" w:customStyle="1">
    <w:name w:val="简单回函地址"/>
    <w:basedOn w:val="737"/>
    <w:uiPriority w:val="0"/>
    <w:qFormat/>
    <w:rPr>
      <w:rFonts w:cs="宋体"/>
      <w:szCs w:val="21"/>
    </w:rPr>
  </w:style>
  <w:style w:type="paragraph" w:styleId="999" w:customStyle="1">
    <w:name w:val=" Char Char Char Char Char Char"/>
    <w:basedOn w:val="737"/>
    <w:uiPriority w:val="0"/>
    <w:qFormat/>
    <w:rPr>
      <w:szCs w:val="20"/>
    </w:rPr>
  </w:style>
  <w:style w:type="paragraph" w:styleId="1000" w:customStyle="1">
    <w:name w:val="部分1"/>
    <w:basedOn w:val="737"/>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01" w:customStyle="1">
    <w:name w:val="Char"/>
    <w:basedOn w:val="737"/>
    <w:uiPriority w:val="0"/>
    <w:qFormat/>
    <w:rPr>
      <w:rFonts w:ascii="仿宋_GB2312" w:eastAsia="仿宋_GB2312"/>
      <w:b/>
      <w:sz w:val="32"/>
      <w:szCs w:val="32"/>
    </w:rPr>
  </w:style>
  <w:style w:type="paragraph" w:styleId="1002" w:customStyle="1">
    <w:name w:val="xl38"/>
    <w:basedOn w:val="737"/>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03" w:customStyle="1">
    <w:name w:val="xl28"/>
    <w:basedOn w:val="737"/>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04" w:customStyle="1">
    <w:name w:val="xl26"/>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5" w:customStyle="1">
    <w:name w:val="Section #"/>
    <w:next w:val="737"/>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1006">
    <w:name w:val="No Spacing"/>
    <w:uiPriority w:val="0"/>
    <w:qFormat/>
    <w:rPr>
      <w:rFonts w:hint="default" w:ascii="Times New Roman" w:hAnsi="Times New Roman" w:eastAsia="宋体" w:cs="Times New Roman"/>
      <w:sz w:val="22"/>
      <w:szCs w:val="22"/>
      <w:lang w:val="en-US" w:eastAsia="en-US" w:bidi="en-US"/>
    </w:rPr>
  </w:style>
  <w:style w:type="paragraph" w:styleId="1007" w:customStyle="1">
    <w:name w:val=" Char1"/>
    <w:basedOn w:val="737"/>
    <w:uiPriority w:val="0"/>
    <w:qFormat/>
    <w:rPr>
      <w:rFonts w:ascii="仿宋_GB2312" w:eastAsia="仿宋_GB2312"/>
      <w:b/>
      <w:sz w:val="32"/>
      <w:szCs w:val="32"/>
    </w:rPr>
  </w:style>
  <w:style w:type="paragraph" w:styleId="1008">
    <w:name w:val="List Paragraph"/>
    <w:basedOn w:val="737"/>
    <w:next w:val="784"/>
    <w:uiPriority w:val="34"/>
    <w:qFormat/>
    <w:pPr>
      <w:ind w:firstLine="200"/>
      <w:jc w:val="both"/>
      <w:widowControl w:val="off"/>
    </w:pPr>
    <w:rPr>
      <w:sz w:val="21"/>
      <w:szCs w:val="22"/>
      <w:lang w:val="en-US" w:eastAsia="zh-CN" w:bidi="ar-SA"/>
    </w:rPr>
  </w:style>
  <w:style w:type="paragraph" w:styleId="1009"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1010" w:customStyle="1">
    <w:name w:val="xl25"/>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11" w:customStyle="1">
    <w:name w:val="规范正文"/>
    <w:basedOn w:val="737"/>
    <w:uiPriority w:val="0"/>
    <w:qFormat/>
    <w:pPr>
      <w:ind w:left="480"/>
      <w:spacing w:line="360" w:lineRule="auto"/>
    </w:pPr>
    <w:rPr>
      <w:sz w:val="24"/>
      <w:szCs w:val="20"/>
    </w:rPr>
  </w:style>
  <w:style w:type="paragraph" w:styleId="1012" w:customStyle="1">
    <w:name w:val="表格文字"/>
    <w:basedOn w:val="737"/>
    <w:uiPriority w:val="0"/>
    <w:qFormat/>
    <w:pPr>
      <w:jc w:val="center"/>
    </w:pPr>
    <w:rPr>
      <w:rFonts w:ascii="Cambria Math" w:hAnsi="Cambria Math" w:eastAsia="仿宋_GB2312"/>
    </w:rPr>
  </w:style>
  <w:style w:type="paragraph" w:styleId="1013" w:customStyle="1">
    <w:name w:val="xl27"/>
    <w:basedOn w:val="7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14" w:customStyle="1">
    <w:name w:val="HTML 预先格式化"/>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5" w:customStyle="1">
    <w:name w:val="正文 样式"/>
    <w:basedOn w:val="737"/>
    <w:uiPriority w:val="0"/>
    <w:qFormat/>
    <w:pPr>
      <w:ind w:firstLine="480"/>
      <w:spacing w:line="360" w:lineRule="auto"/>
    </w:pPr>
    <w:rPr>
      <w:rFonts w:ascii="Cambria Math" w:hAnsi="Cambria Math" w:eastAsia="仿宋_GB2312" w:cs="Cambria Math"/>
      <w:sz w:val="24"/>
    </w:rPr>
  </w:style>
  <w:style w:type="paragraph" w:styleId="1016" w:customStyle="1">
    <w:name w:val="正文缩进1"/>
    <w:next w:val="758"/>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1017" w:customStyle="1">
    <w:name w:val="flName"/>
    <w:basedOn w:val="737"/>
    <w:uiPriority w:val="0"/>
    <w:qFormat/>
    <w:pPr>
      <w:ind w:firstLine="200"/>
      <w:jc w:val="center"/>
      <w:spacing w:before="320" w:after="160" w:line="360" w:lineRule="atLeast"/>
    </w:pPr>
    <w:rPr>
      <w:rFonts w:ascii="Arial" w:hAnsi="Arial" w:eastAsia="黑体"/>
      <w:sz w:val="32"/>
    </w:rPr>
  </w:style>
  <w:style w:type="paragraph" w:styleId="1018" w:customStyle="1">
    <w:name w:val="正文2"/>
    <w:basedOn w:val="737"/>
    <w:uiPriority w:val="0"/>
    <w:qFormat/>
    <w:pPr>
      <w:ind w:firstLine="200"/>
      <w:spacing w:before="156" w:line="360" w:lineRule="auto"/>
    </w:pPr>
    <w:rPr>
      <w:sz w:val="24"/>
      <w:szCs w:val="20"/>
    </w:rPr>
  </w:style>
  <w:style w:type="paragraph" w:styleId="1019" w:customStyle="1">
    <w:name w:val="普通正文"/>
    <w:basedOn w:val="737"/>
    <w:uiPriority w:val="0"/>
    <w:qFormat/>
    <w:pPr>
      <w:ind w:firstLine="480"/>
      <w:jc w:val="left"/>
      <w:spacing w:before="120" w:after="120" w:line="360" w:lineRule="auto"/>
    </w:pPr>
    <w:rPr>
      <w:rFonts w:ascii="Arial" w:hAnsi="Arial"/>
      <w:sz w:val="24"/>
    </w:rPr>
  </w:style>
  <w:style w:type="paragraph" w:styleId="1020" w:customStyle="1">
    <w:name w:val="xl24"/>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21" w:customStyle="1">
    <w:name w:val="表内文字"/>
    <w:basedOn w:val="737"/>
    <w:uiPriority w:val="0"/>
    <w:qFormat/>
    <w:pPr>
      <w:jc w:val="center"/>
      <w:spacing w:before="50" w:after="50"/>
    </w:pPr>
    <w:rPr>
      <w:rFonts w:ascii="宋体"/>
      <w:sz w:val="24"/>
      <w:szCs w:val="20"/>
    </w:rPr>
  </w:style>
  <w:style w:type="paragraph" w:styleId="1022" w:customStyle="1">
    <w:name w:val="正文段"/>
    <w:basedOn w:val="737"/>
    <w:uiPriority w:val="0"/>
    <w:qFormat/>
    <w:pPr>
      <w:ind w:firstLine="200"/>
      <w:spacing w:after="50"/>
      <w:widowControl/>
    </w:pPr>
    <w:rPr>
      <w:sz w:val="24"/>
      <w:szCs w:val="20"/>
    </w:rPr>
  </w:style>
  <w:style w:type="paragraph" w:styleId="1023" w:customStyle="1">
    <w:name w:val="xl30"/>
    <w:basedOn w:val="737"/>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24" w:customStyle="1">
    <w:name w:val="Proposals body"/>
    <w:basedOn w:val="737"/>
    <w:next w:val="737"/>
    <w:uiPriority w:val="0"/>
    <w:qFormat/>
    <w:pPr>
      <w:jc w:val="left"/>
      <w:spacing w:line="360" w:lineRule="auto"/>
      <w:widowControl/>
    </w:pPr>
    <w:rPr>
      <w:rFonts w:ascii="宋体"/>
      <w:color w:val="000000"/>
      <w:sz w:val="24"/>
      <w:szCs w:val="20"/>
    </w:rPr>
  </w:style>
  <w:style w:type="paragraph" w:styleId="1025" w:customStyle="1">
    <w:name w:val="正文格式"/>
    <w:basedOn w:val="737"/>
    <w:uiPriority w:val="0"/>
    <w:qFormat/>
    <w:pPr>
      <w:ind w:firstLine="480"/>
      <w:spacing w:line="360" w:lineRule="auto"/>
    </w:pPr>
    <w:rPr>
      <w:rFonts w:ascii="Cambria Math" w:hAnsi="Cambria Math" w:eastAsia="仿宋_GB2312" w:cs="Cambria Math"/>
      <w:sz w:val="24"/>
      <w:szCs w:val="20"/>
    </w:rPr>
  </w:style>
  <w:style w:type="paragraph" w:styleId="1026" w:customStyle="1">
    <w:name w:val=" Char"/>
    <w:basedOn w:val="737"/>
    <w:uiPriority w:val="0"/>
    <w:qFormat/>
    <w:rPr>
      <w:szCs w:val="20"/>
    </w:rPr>
  </w:style>
  <w:style w:type="paragraph" w:styleId="1027" w:customStyle="1">
    <w:name w:val="Plain Text"/>
    <w:basedOn w:val="737"/>
    <w:uiPriority w:val="0"/>
    <w:qFormat/>
    <w:rPr>
      <w:rFonts w:ascii="宋体" w:hAnsi="Courier New" w:eastAsia="楷体_GB2312" w:cs="宋体"/>
      <w:sz w:val="28"/>
      <w:szCs w:val="21"/>
    </w:rPr>
  </w:style>
  <w:style w:type="paragraph" w:styleId="1028" w:customStyle="1">
    <w:name w:val=" Char2"/>
    <w:basedOn w:val="737"/>
    <w:uiPriority w:val="0"/>
    <w:qFormat/>
    <w:rPr>
      <w:rFonts w:ascii="仿宋_GB2312" w:eastAsia="仿宋_GB2312"/>
      <w:b/>
      <w:sz w:val="32"/>
      <w:szCs w:val="32"/>
    </w:rPr>
  </w:style>
  <w:style w:type="paragraph" w:styleId="1029" w:customStyle="1">
    <w:name w:val="正文（缩进）"/>
    <w:basedOn w:val="737"/>
    <w:uiPriority w:val="0"/>
    <w:qFormat/>
    <w:pPr>
      <w:ind w:firstLine="480"/>
      <w:spacing w:before="156" w:after="156"/>
    </w:pPr>
    <w:rPr>
      <w:rFonts w:ascii="Calibri" w:hAnsi="Calibri"/>
      <w:szCs w:val="20"/>
    </w:rPr>
  </w:style>
  <w:style w:type="character" w:styleId="1030" w:customStyle="1">
    <w:name w:val="NormalCharacter"/>
    <w:uiPriority w:val="0"/>
    <w:qFormat/>
  </w:style>
  <w:style w:type="character" w:styleId="1031" w:customStyle="1">
    <w:name w:val="UserStyle_9"/>
    <w:uiPriority w:val="0"/>
    <w:qFormat/>
  </w:style>
  <w:style w:type="paragraph" w:styleId="1032"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33" w:customStyle="1">
    <w:name w:val="Table Paragraph"/>
    <w:basedOn w:val="737"/>
    <w:uiPriority w:val="1"/>
    <w:qFormat/>
    <w:rPr>
      <w:rFonts w:ascii="宋体" w:hAnsi="宋体" w:eastAsia="宋体" w:cs="宋体"/>
      <w:lang w:val="zh-CN" w:eastAsia="zh-CN" w:bidi="zh-CN"/>
    </w:rPr>
  </w:style>
  <w:style w:type="character" w:styleId="1034" w:customStyle="1">
    <w:name w:val="hour_am"/>
    <w:basedOn w:val="747"/>
    <w:uiPriority w:val="0"/>
    <w:qFormat/>
  </w:style>
  <w:style w:type="character" w:styleId="1035" w:customStyle="1">
    <w:name w:val="hover"/>
    <w:basedOn w:val="747"/>
    <w:uiPriority w:val="0"/>
    <w:qFormat/>
    <w:rPr>
      <w:shd w:val="clear" w:color="auto" w:fill="eeeeee"/>
    </w:rPr>
  </w:style>
  <w:style w:type="character" w:styleId="1036" w:customStyle="1">
    <w:name w:val="hover1"/>
    <w:basedOn w:val="747"/>
    <w:uiPriority w:val="0"/>
    <w:qFormat/>
    <w:rPr>
      <w:color w:val="5fb878"/>
    </w:rPr>
  </w:style>
  <w:style w:type="character" w:styleId="1037" w:customStyle="1">
    <w:name w:val="hover2"/>
    <w:basedOn w:val="747"/>
    <w:uiPriority w:val="0"/>
    <w:qFormat/>
    <w:rPr>
      <w:color w:val="5fb878"/>
    </w:rPr>
  </w:style>
  <w:style w:type="character" w:styleId="1038" w:customStyle="1">
    <w:name w:val="hover3"/>
    <w:basedOn w:val="747"/>
    <w:uiPriority w:val="0"/>
    <w:qFormat/>
    <w:rPr>
      <w:color w:val="ffffff"/>
    </w:rPr>
  </w:style>
  <w:style w:type="character" w:styleId="1039" w:customStyle="1">
    <w:name w:val="old"/>
    <w:basedOn w:val="747"/>
    <w:uiPriority w:val="0"/>
    <w:qFormat/>
    <w:rPr>
      <w:color w:val="999999"/>
    </w:rPr>
  </w:style>
  <w:style w:type="character" w:styleId="1040" w:customStyle="1">
    <w:name w:val="glyphicon"/>
    <w:basedOn w:val="747"/>
    <w:uiPriority w:val="0"/>
    <w:qFormat/>
  </w:style>
  <w:style w:type="character" w:styleId="1041" w:customStyle="1">
    <w:name w:val="hour_pm"/>
    <w:basedOn w:val="747"/>
    <w:uiPriority w:val="0"/>
    <w:qFormat/>
  </w:style>
  <w:style w:type="paragraph" w:styleId="1042"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样式 标题 2 + Times New Roman 四号 非加粗 段前: 5 磅 段后: 0 磅 行距: 固定值 20..."/>
    <w:basedOn w:val="739"/>
    <w:uiPriority w:val="0"/>
    <w:qFormat/>
    <w:pPr>
      <w:spacing w:before="100" w:after="0" w:line="400" w:lineRule="exact"/>
    </w:pPr>
    <w:rPr>
      <w:rFonts w:ascii="Times New Roman" w:hAnsi="Times New Roman" w:cs="宋体"/>
      <w:b w:val="0"/>
      <w:bCs w:val="0"/>
      <w:sz w:val="28"/>
      <w:szCs w:val="20"/>
    </w:rPr>
  </w:style>
  <w:style w:type="paragraph" w:styleId="104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45" w:customStyle="1">
    <w:name w:val="hover4"/>
    <w:basedOn w:val="747"/>
    <w:uiPriority w:val="0"/>
    <w:qFormat/>
    <w:rPr>
      <w:color w:val="5fb878"/>
    </w:rPr>
  </w:style>
  <w:style w:type="character" w:styleId="1046" w:customStyle="1">
    <w:name w:val="hover5"/>
    <w:basedOn w:val="747"/>
    <w:uiPriority w:val="0"/>
    <w:qFormat/>
    <w:rPr>
      <w:color w:val="5fb878"/>
    </w:rPr>
  </w:style>
  <w:style w:type="character" w:styleId="1047" w:customStyle="1">
    <w:name w:val="first-child"/>
    <w:basedOn w:val="747"/>
    <w:uiPriority w:val="0"/>
    <w:qFormat/>
  </w:style>
  <w:style w:type="character" w:styleId="1048" w:customStyle="1">
    <w:name w:val="layui-this2"/>
    <w:basedOn w:val="747"/>
    <w:uiPriority w:val="0"/>
    <w:qFormat/>
    <w:rPr>
      <w:shd w:val="clear" w:color="auto" w:fill="ffffff"/>
    </w:rPr>
  </w:style>
  <w:style w:type="character" w:styleId="1049" w:customStyle="1">
    <w:name w:val="active"/>
    <w:basedOn w:val="747"/>
    <w:uiPriority w:val="0"/>
    <w:qFormat/>
    <w:rPr>
      <w:color w:val="ffffff"/>
      <w:shd w:val="clear" w:color="auto" w:fill="0f5bb9"/>
    </w:rPr>
  </w:style>
  <w:style w:type="character" w:styleId="1050" w:customStyle="1">
    <w:name w:val="active16"/>
    <w:basedOn w:val="747"/>
    <w:uiPriority w:val="0"/>
    <w:qFormat/>
    <w:rPr>
      <w:color w:val="ffffff"/>
      <w:shd w:val="clear" w:color="auto" w:fill="0f5bb9"/>
    </w:rPr>
  </w:style>
  <w:style w:type="paragraph" w:styleId="1051" w:customStyle="1">
    <w:name w:val="正文11"/>
    <w:next w:val="1052"/>
    <w:uiPriority w:val="0"/>
    <w:qFormat/>
    <w:pPr>
      <w:jc w:val="both"/>
      <w:widowControl w:val="off"/>
    </w:pPr>
    <w:rPr>
      <w:rFonts w:hint="default" w:ascii="Times New Roman" w:hAnsi="Times New Roman" w:eastAsia="宋体" w:cs="Times New Roman"/>
      <w:sz w:val="21"/>
      <w:szCs w:val="24"/>
    </w:rPr>
  </w:style>
  <w:style w:type="paragraph" w:styleId="1052" w:customStyle="1">
    <w:name w:val="目录 11"/>
    <w:basedOn w:val="1051"/>
    <w:next w:val="1051"/>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53" w:customStyle="1">
    <w:name w:val="正文首行缩进 21"/>
    <w:basedOn w:val="776"/>
    <w:uiPriority w:val="0"/>
    <w:qFormat/>
    <w:pPr>
      <w:ind w:left="420" w:firstLine="420"/>
      <w:jc w:val="left"/>
      <w:spacing w:after="120"/>
    </w:pPr>
    <w:rPr>
      <w:rFonts w:eastAsia="宋体"/>
      <w:sz w:val="21"/>
    </w:rPr>
  </w:style>
  <w:style w:type="paragraph" w:styleId="1054" w:customStyle="1">
    <w:name w:val="寄信人地址1"/>
    <w:basedOn w:val="737"/>
    <w:uiPriority w:val="99"/>
    <w:unhideWhenUsed/>
    <w:qFormat/>
    <w:rPr>
      <w:rFonts w:ascii="Arial" w:hAnsi="Arial"/>
    </w:rPr>
  </w:style>
  <w:style w:type="paragraph" w:styleId="1055" w:customStyle="1">
    <w:name w:val="普通(网站)1"/>
    <w:basedOn w:val="737"/>
    <w:uiPriority w:val="0"/>
    <w:qFormat/>
    <w:pPr>
      <w:jc w:val="left"/>
      <w:spacing w:before="100" w:beforeAutospacing="1" w:after="100" w:afterAutospacing="1"/>
      <w:widowControl/>
    </w:pPr>
    <w:rPr>
      <w:rFonts w:ascii="宋体" w:hAnsi="宋体"/>
      <w:color w:val="000000"/>
      <w:sz w:val="24"/>
      <w:szCs w:val="24"/>
    </w:rPr>
  </w:style>
  <w:style w:type="paragraph" w:styleId="1056" w:customStyle="1">
    <w:name w:val="纯文本1111"/>
    <w:basedOn w:val="737"/>
    <w:uiPriority w:val="99"/>
    <w:qFormat/>
    <w:rPr>
      <w:rFonts w:ascii="宋体" w:hAnsi="Courier New"/>
      <w:sz w:val="24"/>
    </w:rPr>
  </w:style>
  <w:style w:type="paragraph" w:styleId="1057" w:customStyle="1">
    <w:name w:val="段"/>
    <w:next w:val="737"/>
    <w:uiPriority w:val="0"/>
    <w:qFormat/>
    <w:pPr>
      <w:ind w:firstLine="200"/>
      <w:jc w:val="both"/>
      <w:spacing w:line="360" w:lineRule="auto"/>
    </w:pPr>
    <w:rPr>
      <w:rFonts w:hint="default" w:ascii="宋体" w:hAnsi="Times New Roman" w:eastAsia="宋体" w:cs="Times New Roman"/>
      <w:sz w:val="24"/>
      <w:szCs w:val="22"/>
    </w:rPr>
  </w:style>
  <w:style w:type="paragraph" w:styleId="1058" w:customStyle="1">
    <w:name w:val="纯文本11"/>
    <w:basedOn w:val="737"/>
    <w:uiPriority w:val="99"/>
    <w:qFormat/>
    <w:pPr>
      <w:jc w:val="both"/>
      <w:widowControl w:val="off"/>
    </w:pPr>
    <w:rPr>
      <w:rFonts w:ascii="宋体"/>
      <w:szCs w:val="24"/>
    </w:rPr>
  </w:style>
  <w:style w:type="paragraph" w:styleId="1059" w:customStyle="1">
    <w:name w:val="正文文本缩进 31"/>
    <w:basedOn w:val="1051"/>
    <w:uiPriority w:val="0"/>
    <w:qFormat/>
    <w:pPr>
      <w:ind w:firstLine="600"/>
      <w:spacing w:before="50" w:after="50" w:line="400" w:lineRule="exact"/>
    </w:pPr>
    <w:rPr>
      <w:rFonts w:ascii="仿宋_GB2312" w:hAnsi="宋体" w:eastAsia="仿宋_GB2312"/>
      <w:sz w:val="32"/>
    </w:rPr>
  </w:style>
  <w:style w:type="paragraph" w:styleId="1060" w:customStyle="1">
    <w:name w:val="black1"/>
    <w:basedOn w:val="1051"/>
    <w:uiPriority w:val="0"/>
    <w:qFormat/>
    <w:pPr>
      <w:jc w:val="left"/>
      <w:spacing w:before="100" w:beforeAutospacing="1" w:after="100" w:afterAutospacing="1"/>
      <w:widowControl/>
    </w:pPr>
    <w:rPr>
      <w:rFonts w:ascii="宋体" w:hAnsi="宋体"/>
      <w:sz w:val="24"/>
    </w:rPr>
  </w:style>
  <w:style w:type="paragraph" w:styleId="1061" w:customStyle="1">
    <w:name w:val="页脚1"/>
    <w:basedOn w:val="1032"/>
    <w:uiPriority w:val="0"/>
    <w:qFormat/>
    <w:pPr>
      <w:spacing w:line="240" w:lineRule="auto"/>
      <w:tabs>
        <w:tab w:val="center" w:pos="4153" w:leader="none"/>
        <w:tab w:val="right" w:pos="8306" w:leader="none"/>
      </w:tabs>
    </w:pPr>
    <w:rPr>
      <w:sz w:val="18"/>
      <w:szCs w:val="18"/>
    </w:rPr>
  </w:style>
  <w:style w:type="paragraph" w:styleId="1062" w:customStyle="1">
    <w:name w:val="副标题1"/>
    <w:basedOn w:val="1051"/>
    <w:next w:val="1051"/>
    <w:uiPriority w:val="0"/>
    <w:qFormat/>
    <w:pPr>
      <w:ind w:firstLine="200"/>
      <w:jc w:val="left"/>
      <w:spacing w:line="400" w:lineRule="exact"/>
      <w:outlineLvl w:val="1"/>
    </w:pPr>
    <w:rPr>
      <w:rFonts w:ascii="Cambria" w:hAnsi="Cambria" w:eastAsia="黑体"/>
      <w:b/>
      <w:bCs/>
      <w:sz w:val="32"/>
      <w:szCs w:val="32"/>
    </w:rPr>
  </w:style>
  <w:style w:type="paragraph" w:styleId="1063" w:customStyle="1">
    <w:name w:val="正文文本1"/>
    <w:basedOn w:val="1051"/>
    <w:next w:val="737"/>
    <w:uiPriority w:val="0"/>
    <w:qFormat/>
    <w:pPr>
      <w:spacing w:after="120"/>
    </w:pPr>
    <w:rPr>
      <w:sz w:val="15"/>
    </w:rPr>
  </w:style>
  <w:style w:type="paragraph" w:styleId="1064" w:customStyle="1">
    <w:name w:val="一级条标题"/>
    <w:basedOn w:val="1065"/>
    <w:next w:val="1057"/>
    <w:uiPriority w:val="0"/>
    <w:qFormat/>
    <w:pPr>
      <w:tabs>
        <w:tab w:val="left" w:pos="1200" w:leader="none"/>
      </w:tabs>
      <w:outlineLvl w:val="2"/>
    </w:pPr>
  </w:style>
  <w:style w:type="paragraph" w:styleId="1065" w:customStyle="1">
    <w:name w:val="章标题"/>
    <w:next w:val="73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66" w:customStyle="1">
    <w:name w:val="索引 11"/>
    <w:basedOn w:val="737"/>
    <w:next w:val="737"/>
    <w:uiPriority w:val="0"/>
    <w:qFormat/>
    <w:rPr>
      <w:rFonts w:ascii="Verdana" w:hAnsi="Verdana"/>
      <w:szCs w:val="18"/>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44</cp:revision>
  <dcterms:created xsi:type="dcterms:W3CDTF">2021-03-25T00:40:00Z</dcterms:created>
  <dcterms:modified xsi:type="dcterms:W3CDTF">2026-10-27T07:32:21Z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170FD2157F69444583A6CEA46705D526_13</vt:lpwstr>
  </property>
  <property fmtid="{D5CDD505-2E9C-101B-9397-08002B2CF9AE}" pid="4" name="KSOTemplateDocerSaveRecord">
    <vt:lpwstr>eyJoZGlkIjoiMzEwNTM5NzYwMDRjMzkwZTVkZjY2ODkwMGIxNGU0OTUiLCJ1c2VySWQiOiIyMTE4MDEwMTAifQ==</vt:lpwstr>
  </property>
</Properties>
</file>