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szCs w:val="44"/>
          <w:highlight w:val="none"/>
        </w:rPr>
      </w:pPr>
      <w:r>
        <w:rPr>
          <w:rFonts w:hint="eastAsia" w:eastAsia="方正小标宋_GBK"/>
          <w:bCs/>
          <w:spacing w:val="20"/>
          <w:sz w:val="44"/>
          <w:szCs w:val="44"/>
          <w:highlight w:val="none"/>
          <w:lang w:eastAsia="zh-CN"/>
        </w:rPr>
        <w:t xml:space="preserve">启东市城区拟移交亮化设施（城区亮化照明工程EPC总承包项目）养护项目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648"/>
        <w:spacing w:line="500" w:lineRule="exact"/>
        <w:rPr>
          <w:rFonts w:eastAsia="方正小标宋_GBK"/>
          <w:b w:val="0"/>
          <w:bCs/>
        </w:rPr>
      </w:pPr>
      <w:r>
        <w:rPr>
          <w:rFonts w:eastAsia="方正小标宋_GBK"/>
          <w:b w:val="0"/>
          <w:bCs/>
        </w:rPr>
      </w:r>
      <w:r/>
    </w:p>
    <w:p>
      <w:pPr>
        <w:pStyle w:val="648"/>
        <w:jc w:val="center"/>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JSZC-320681-YZGC-G2026-0002</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ind w:right="0"/>
        <w:jc w:val="both"/>
        <w:keepLines w:val="0"/>
        <w:keepNext w:val="0"/>
        <w:pageBreakBefore w:val="0"/>
        <w:spacing w:line="560" w:lineRule="exact"/>
        <w:rPr>
          <w:rFonts w:hint="eastAsia" w:ascii="Times New Roman" w:hAnsi="Times New Roman" w:eastAsia="楷体" w:cs="Times New Roman"/>
          <w:bCs/>
          <w:spacing w:val="20"/>
          <w:sz w:val="44"/>
        </w:rPr>
      </w:pPr>
      <w:r>
        <w:rPr>
          <w:rFonts w:hint="eastAsia" w:ascii="Times New Roman" w:hAnsi="Times New Roman" w:eastAsia="楷体" w:cs="Times New Roman"/>
          <w:bCs/>
          <w:spacing w:val="20"/>
          <w:sz w:val="44"/>
        </w:rPr>
      </w:r>
      <w:r/>
    </w:p>
    <w:p>
      <w:pPr>
        <w:ind w:right="0"/>
        <w:jc w:val="center"/>
        <w:keepLines w:val="0"/>
        <w:keepNext w:val="0"/>
        <w:pageBreakBefore w:val="0"/>
        <w:spacing w:line="560" w:lineRule="exact"/>
        <w:rPr>
          <w:rFonts w:hint="default" w:eastAsia="楷体"/>
          <w:bCs/>
          <w:spacing w:val="20"/>
          <w:sz w:val="44"/>
          <w:lang w:val="en-US" w:eastAsia="zh-CN"/>
        </w:rPr>
      </w:pPr>
      <w:r>
        <w:rPr>
          <w:rFonts w:hint="eastAsia" w:ascii="Times New Roman" w:hAnsi="Times New Roman" w:eastAsia="楷体" w:cs="Times New Roman"/>
          <w:bCs/>
          <w:spacing w:val="20"/>
          <w:sz w:val="44"/>
        </w:rPr>
        <w:t xml:space="preserve">启东市住房和城乡建设局</w:t>
      </w:r>
      <w:r/>
    </w:p>
    <w:p>
      <w:pPr>
        <w:pStyle w:val="655"/>
        <w:ind w:firstLine="0"/>
        <w:rPr>
          <w:rFonts w:ascii="Times New Roman" w:hAnsi="Times New Roman" w:eastAsia="楷体"/>
          <w:sz w:val="44"/>
          <w:szCs w:val="44"/>
          <w:highlight w:val="none"/>
        </w:rPr>
      </w:pPr>
      <w:r>
        <w:rPr>
          <w:rFonts w:hint="eastAsia" w:ascii="Times New Roman" w:hAnsi="Times New Roman" w:eastAsia="楷体"/>
          <w:sz w:val="44"/>
          <w:szCs w:val="44"/>
          <w:highlight w:val="none"/>
          <w:u w:val="single"/>
          <w:lang w:val="en-US" w:eastAsia="zh-CN"/>
        </w:rPr>
        <w:t xml:space="preserve">2026</w:t>
      </w:r>
      <w:r>
        <w:rPr>
          <w:rFonts w:ascii="Times New Roman" w:hAnsi="Times New Roman" w:eastAsia="楷体"/>
          <w:sz w:val="44"/>
          <w:szCs w:val="44"/>
          <w:highlight w:val="none"/>
        </w:rPr>
        <w:t xml:space="preserve">年</w:t>
      </w:r>
      <w:r>
        <w:rPr>
          <w:rFonts w:hint="eastAsia" w:ascii="Times New Roman" w:hAnsi="Times New Roman" w:eastAsia="楷体"/>
          <w:sz w:val="44"/>
          <w:szCs w:val="44"/>
          <w:highlight w:val="none"/>
          <w:u w:val="single"/>
          <w:lang w:val="en-US" w:eastAsia="zh-CN"/>
        </w:rPr>
        <w:t xml:space="preserve">10</w:t>
      </w:r>
      <w:r>
        <w:rPr>
          <w:rFonts w:ascii="Times New Roman" w:hAnsi="Times New Roman" w:eastAsia="楷体"/>
          <w:sz w:val="44"/>
          <w:szCs w:val="44"/>
          <w:highlight w:val="none"/>
        </w:rPr>
        <w:t xml:space="preserve">月</w:t>
      </w:r>
      <w:r>
        <w:rPr>
          <w:rFonts w:hint="eastAsia" w:ascii="Times New Roman" w:hAnsi="Times New Roman" w:eastAsia="楷体"/>
          <w:sz w:val="44"/>
          <w:szCs w:val="44"/>
          <w:highlight w:val="none"/>
          <w:u w:val="single"/>
          <w:lang w:val="en-US" w:eastAsia="zh-CN"/>
        </w:rPr>
        <w:t xml:space="preserve">26</w:t>
      </w:r>
      <w:r>
        <w:rPr>
          <w:rFonts w:ascii="Times New Roman" w:hAnsi="Times New Roman" w:eastAsia="楷体"/>
          <w:sz w:val="44"/>
          <w:szCs w:val="44"/>
          <w:highlight w:val="none"/>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spacing w:line="500" w:lineRule="exact"/>
        <w:rPr>
          <w:rFonts w:eastAsia="方正仿宋_GBK"/>
          <w:sz w:val="32"/>
          <w:szCs w:val="32"/>
        </w:rPr>
      </w:pPr>
      <w:r>
        <w:rPr>
          <w:rFonts w:eastAsia="方正仿宋_GBK"/>
          <w:b/>
          <w:sz w:val="32"/>
          <w:szCs w:val="32"/>
        </w:rPr>
        <w:t xml:space="preserve">地址：</w:t>
      </w:r>
      <w:r>
        <w:rPr>
          <w:rFonts w:hint="eastAsia" w:ascii="Times New Roman" w:hAnsi="Times New Roman" w:eastAsia="方正仿宋_GBK" w:cs="Times New Roman"/>
          <w:sz w:val="32"/>
          <w:szCs w:val="32"/>
        </w:rPr>
        <w:t xml:space="preserve">启东市汇龙镇世纪大道2099号启睿产业中心11号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left="0" w:right="0" w:firstLine="536"/>
        <w:keepLines w:val="0"/>
        <w:keepNext w:val="0"/>
        <w:pageBreakBefore w:val="0"/>
        <w:spacing w:line="560" w:lineRule="exact"/>
        <w:rPr>
          <w:rFonts w:eastAsia="方正仿宋_GBK"/>
          <w:sz w:val="28"/>
          <w:szCs w:val="28"/>
          <w:highlight w:val="none"/>
        </w:rPr>
      </w:pPr>
      <w:r/>
      <w:bookmarkStart w:id="3" w:name="OLE_LINK6"/>
      <w:r>
        <w:rPr>
          <w:rFonts w:hint="eastAsia" w:ascii="Times New Roman" w:hAnsi="Times New Roman" w:eastAsia="方正仿宋_GBK" w:cs="Times New Roman"/>
          <w:spacing w:val="-6"/>
          <w:sz w:val="28"/>
          <w:szCs w:val="28"/>
        </w:rPr>
        <w:t xml:space="preserve">启东市住房和城乡建设局</w:t>
      </w:r>
      <w:r>
        <w:rPr>
          <w:rFonts w:eastAsia="方正仿宋_GBK"/>
          <w:spacing w:val="-6"/>
          <w:sz w:val="28"/>
          <w:szCs w:val="28"/>
          <w:highlight w:val="none"/>
        </w:rPr>
        <w:t xml:space="preserve">就[</w:t>
      </w:r>
      <w:r>
        <w:rPr>
          <w:rFonts w:hint="eastAsia" w:eastAsia="方正仿宋_GBK"/>
          <w:spacing w:val="-6"/>
          <w:sz w:val="28"/>
          <w:szCs w:val="28"/>
          <w:highlight w:val="none"/>
          <w:lang w:eastAsia="zh-CN"/>
        </w:rPr>
        <w:t xml:space="preserve">启东市城区拟移交亮化设施（城区亮化照明工程EPC总承包项目）养护项目</w:t>
      </w:r>
      <w:r>
        <w:rPr>
          <w:rFonts w:eastAsia="方正仿宋_GBK"/>
          <w:spacing w:val="-6"/>
          <w:sz w:val="28"/>
          <w:szCs w:val="28"/>
          <w:highlight w:val="none"/>
        </w:rPr>
        <w:t xml:space="preserve">]（项目编号：</w:t>
      </w:r>
      <w:r>
        <w:rPr>
          <w:rFonts w:hint="eastAsia" w:ascii="Times New Roman" w:hAnsi="Times New Roman" w:eastAsia="方正仿宋_GBK" w:cs="Times New Roman"/>
          <w:b w:val="0"/>
          <w:spacing w:val="-6"/>
          <w:sz w:val="28"/>
          <w:szCs w:val="28"/>
          <w:lang w:val="en-US" w:eastAsia="zh-CN" w:bidi="ar-SA"/>
        </w:rPr>
        <w:t xml:space="preserve">JSZC-320681-YZGC-G2026-0002</w:t>
      </w:r>
      <w:r>
        <w:rPr>
          <w:rFonts w:eastAsia="方正仿宋_GBK"/>
          <w:spacing w:val="-6"/>
          <w:sz w:val="28"/>
          <w:szCs w:val="28"/>
          <w:highlight w:val="none"/>
        </w:rPr>
        <w:t xml:space="preserve">）进行公开招标采购</w:t>
      </w:r>
      <w:r>
        <w:rPr>
          <w:rFonts w:eastAsia="方正仿宋_GBK"/>
          <w:sz w:val="28"/>
          <w:szCs w:val="28"/>
          <w:highlight w:val="none"/>
        </w:rPr>
        <w:t xml:space="preserve">，欢迎符合条件的供应商投标。</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w:t>
      </w:r>
      <w:r>
        <w:rPr>
          <w:rFonts w:hint="eastAsia" w:eastAsia="方正仿宋_GBK"/>
          <w:sz w:val="28"/>
          <w:szCs w:val="28"/>
          <w:highlight w:val="none"/>
          <w:lang w:eastAsia="zh-CN"/>
        </w:rPr>
        <w:t xml:space="preserve">启东市城区拟移交亮化设施（城区亮化照明工程EPC总承包项目）养护项目</w:t>
      </w:r>
      <w:r>
        <w:rPr>
          <w:rFonts w:eastAsia="方正仿宋_GBK"/>
          <w:sz w:val="28"/>
          <w:szCs w:val="28"/>
          <w:highlight w:val="none"/>
        </w:rPr>
        <w:t xml:space="preserve">]的潜</w:t>
      </w:r>
      <w:r>
        <w:rPr>
          <w:rFonts w:eastAsia="方正仿宋_GBK"/>
          <w:sz w:val="28"/>
          <w:szCs w:val="28"/>
        </w:rPr>
        <w:t xml:space="preserve">在投标人应在江苏政府采购网获取招标文件，并于</w:t>
      </w:r>
      <w:r>
        <w:rPr>
          <w:rFonts w:hint="eastAsia" w:eastAsia="方正仿宋_GBK"/>
          <w:b/>
          <w:bCs/>
          <w:sz w:val="28"/>
          <w:szCs w:val="28"/>
          <w:highlight w:val="none"/>
          <w:lang w:val="en-US" w:eastAsia="zh-CN"/>
        </w:rPr>
        <w:t xml:space="preserve">2026</w:t>
      </w:r>
      <w:r>
        <w:rPr>
          <w:rFonts w:eastAsia="方正仿宋_GBK"/>
          <w:b/>
          <w:bCs/>
          <w:sz w:val="28"/>
          <w:szCs w:val="28"/>
          <w:highlight w:val="none"/>
        </w:rPr>
        <w:t xml:space="preserve">年  </w:t>
      </w:r>
      <w:r>
        <w:rPr>
          <w:rFonts w:hint="eastAsia" w:eastAsia="方正仿宋_GBK"/>
          <w:b/>
          <w:bCs/>
          <w:sz w:val="28"/>
          <w:szCs w:val="28"/>
          <w:highlight w:val="none"/>
          <w:lang w:val="en-US" w:eastAsia="zh-CN"/>
        </w:rPr>
        <w:t xml:space="preserve">11</w:t>
      </w:r>
      <w:r>
        <w:rPr>
          <w:rFonts w:eastAsia="方正仿宋_GBK"/>
          <w:b/>
          <w:bCs/>
          <w:sz w:val="28"/>
          <w:szCs w:val="28"/>
          <w:highlight w:val="none"/>
        </w:rPr>
        <w:t xml:space="preserve">月18</w:t>
      </w:r>
      <w:r>
        <w:rPr>
          <w:rFonts w:eastAsia="方正仿宋_GBK"/>
          <w:b/>
          <w:bCs/>
          <w:sz w:val="28"/>
          <w:szCs w:val="28"/>
          <w:highlight w:val="none"/>
        </w:rPr>
        <w:t xml:space="preserve">日</w:t>
      </w:r>
      <w:r>
        <w:rPr>
          <w:rFonts w:hint="eastAsia" w:eastAsia="方正仿宋_GBK"/>
          <w:b/>
          <w:bCs/>
          <w:sz w:val="28"/>
          <w:szCs w:val="28"/>
          <w:highlight w:val="none"/>
          <w:lang w:val="en-US" w:eastAsia="zh-CN"/>
        </w:rPr>
        <w:t xml:space="preserve">08</w:t>
      </w:r>
      <w:r>
        <w:rPr>
          <w:rFonts w:eastAsia="方正仿宋_GBK"/>
          <w:b/>
          <w:bCs/>
          <w:sz w:val="28"/>
          <w:szCs w:val="28"/>
          <w:highlight w:val="none"/>
        </w:rPr>
        <w:t xml:space="preserve">点</w:t>
      </w:r>
      <w:r>
        <w:rPr>
          <w:rFonts w:hint="eastAsia" w:eastAsia="方正仿宋_GBK"/>
          <w:b/>
          <w:bCs/>
          <w:sz w:val="28"/>
          <w:szCs w:val="28"/>
          <w:highlight w:val="none"/>
          <w:lang w:val="en-US" w:eastAsia="zh-CN"/>
        </w:rPr>
        <w:t xml:space="preserve">3</w:t>
      </w:r>
      <w:r>
        <w:rPr>
          <w:rFonts w:eastAsia="方正仿宋_GBK"/>
          <w:b/>
          <w:bCs/>
          <w:sz w:val="28"/>
          <w:szCs w:val="28"/>
          <w:highlight w:val="none"/>
        </w:rPr>
        <w:t xml:space="preserve">0分</w:t>
      </w:r>
      <w:r>
        <w:rPr>
          <w:rFonts w:eastAsia="方正仿宋_GBK"/>
          <w:sz w:val="28"/>
          <w:szCs w:val="28"/>
        </w:rPr>
        <w:t xml:space="preserve">（北京时间）前递交投标文件。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pStyle w:val="648"/>
        <w:ind w:firstLine="560"/>
        <w:jc w:val="both"/>
        <w:spacing w:line="500" w:lineRule="exact"/>
        <w:rPr>
          <w:rFonts w:eastAsia="方正仿宋_GBK"/>
          <w:sz w:val="28"/>
          <w:szCs w:val="28"/>
        </w:rPr>
      </w:pPr>
      <w:r>
        <w:rPr>
          <w:rFonts w:hint="eastAsia" w:ascii="Times New Roman" w:hAnsi="Times New Roman" w:eastAsia="方正仿宋_GBK" w:cs="Times New Roman"/>
          <w:b w:val="0"/>
          <w:sz w:val="28"/>
          <w:szCs w:val="28"/>
          <w:lang w:val="en-US" w:eastAsia="zh-CN" w:bidi="ar-SA"/>
        </w:rPr>
        <w:t xml:space="preserve">项目编号：JSZC-320681-YZGC-G2026-0002</w:t>
      </w:r>
      <w:r/>
    </w:p>
    <w:p>
      <w:pPr>
        <w:ind w:left="0" w:right="0" w:firstLine="560"/>
        <w:keepLines w:val="0"/>
        <w:keepNext w:val="0"/>
        <w:pageBreakBefore w:val="0"/>
        <w:spacing w:line="560" w:lineRule="exact"/>
        <w:rPr>
          <w:rFonts w:eastAsia="方正仿宋_GBK"/>
          <w:sz w:val="28"/>
          <w:szCs w:val="28"/>
        </w:rPr>
      </w:pPr>
      <w:r>
        <w:rPr>
          <w:rFonts w:eastAsia="方正仿宋_GBK"/>
          <w:sz w:val="28"/>
          <w:szCs w:val="28"/>
        </w:rPr>
        <w:t xml:space="preserve">项目名称：</w:t>
      </w:r>
      <w:r>
        <w:rPr>
          <w:rFonts w:hint="eastAsia" w:eastAsia="方正仿宋_GBK"/>
          <w:sz w:val="28"/>
          <w:szCs w:val="28"/>
          <w:lang w:eastAsia="zh-CN"/>
        </w:rPr>
        <w:t xml:space="preserve">启东市城区拟移交亮化设施（城区亮化照明工程EPC总承包项目）养护项目</w:t>
      </w:r>
      <w:r>
        <w:rPr>
          <w:rFonts w:hint="eastAsia" w:ascii="微软雅黑" w:hAnsi="微软雅黑" w:eastAsia="微软雅黑" w:cs="微软雅黑"/>
          <w:i w:val="0"/>
          <w:iCs w:val="0"/>
          <w:caps w:val="0"/>
          <w:color w:val="000000"/>
          <w:spacing w:val="0"/>
          <w:sz w:val="27"/>
          <w:szCs w:val="27"/>
        </w:rPr>
        <w:t xml:space="preserve"> </w:t>
      </w:r>
      <w:r>
        <w:rPr>
          <w:rFonts w:ascii="微软雅黑" w:hAnsi="微软雅黑" w:eastAsia="微软雅黑" w:cs="微软雅黑"/>
          <w:i w:val="0"/>
          <w:iCs w:val="0"/>
          <w:caps w:val="0"/>
          <w:color w:val="000000"/>
          <w:spacing w:val="0"/>
          <w:sz w:val="27"/>
          <w:szCs w:val="27"/>
        </w:rPr>
        <w:t xml:space="preserve"> </w:t>
      </w:r>
      <w:r/>
    </w:p>
    <w:p>
      <w:pPr>
        <w:ind w:firstLine="560"/>
        <w:spacing w:line="500" w:lineRule="exact"/>
        <w:rPr>
          <w:rFonts w:eastAsia="方正仿宋_GBK"/>
          <w:color w:val="auto"/>
          <w:sz w:val="28"/>
          <w:szCs w:val="28"/>
          <w:highlight w:val="none"/>
        </w:rPr>
      </w:pPr>
      <w:r>
        <w:rPr>
          <w:rFonts w:eastAsia="方正仿宋_GBK"/>
          <w:sz w:val="28"/>
          <w:szCs w:val="28"/>
        </w:rPr>
        <w:t xml:space="preserve">项目类型：</w:t>
      </w:r>
      <w:r>
        <w:rPr>
          <w:rFonts w:eastAsia="方正仿宋_GBK"/>
          <w:color w:val="auto"/>
          <w:sz w:val="28"/>
          <w:szCs w:val="28"/>
          <w:highlight w:val="none"/>
        </w:rPr>
        <w:t xml:space="preserve">服务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ascii="微软雅黑" w:hAnsi="微软雅黑" w:eastAsia="微软雅黑" w:cs="微软雅黑"/>
          <w:i w:val="0"/>
          <w:iCs w:val="0"/>
          <w:caps w:val="0"/>
          <w:color w:val="auto"/>
          <w:spacing w:val="0"/>
          <w:sz w:val="27"/>
          <w:szCs w:val="27"/>
          <w:highlight w:val="none"/>
        </w:rPr>
        <w:t xml:space="preserve">其他未列明行业</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ascii="微软雅黑" w:hAnsi="微软雅黑" w:eastAsia="微软雅黑" w:cs="微软雅黑"/>
          <w:i w:val="0"/>
          <w:iCs w:val="0"/>
          <w:caps w:val="0"/>
          <w:color w:val="auto"/>
          <w:spacing w:val="0"/>
          <w:sz w:val="27"/>
          <w:szCs w:val="27"/>
          <w:highlight w:val="none"/>
          <w:lang w:val="en-US" w:eastAsia="zh-CN"/>
        </w:rPr>
        <w:t xml:space="preserve">397.8</w:t>
      </w:r>
      <w:r>
        <w:rPr>
          <w:rFonts w:ascii="微软雅黑" w:hAnsi="微软雅黑" w:eastAsia="微软雅黑" w:cs="微软雅黑"/>
          <w:i w:val="0"/>
          <w:iCs w:val="0"/>
          <w:caps w:val="0"/>
          <w:color w:val="auto"/>
          <w:spacing w:val="0"/>
          <w:sz w:val="27"/>
          <w:szCs w:val="27"/>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ascii="微软雅黑" w:hAnsi="微软雅黑" w:eastAsia="微软雅黑" w:cs="微软雅黑"/>
          <w:i w:val="0"/>
          <w:iCs w:val="0"/>
          <w:caps w:val="0"/>
          <w:color w:val="auto"/>
          <w:spacing w:val="0"/>
          <w:sz w:val="27"/>
          <w:szCs w:val="27"/>
          <w:highlight w:val="none"/>
          <w:lang w:val="en-US" w:eastAsia="zh-CN"/>
        </w:rPr>
        <w:t xml:space="preserve">397.8万元/年，投标人报价超过最高限价的为无效投标。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采购需求：详见招标文件，请仔细研究。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合同履行期限：详见招标文件第三部分项目需求。</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本项目是</w:t>
      </w:r>
      <w:r>
        <w:rPr>
          <w:rFonts w:hint="eastAsia" w:eastAsia="方正仿宋_GBK"/>
          <w:color w:val="auto"/>
          <w:sz w:val="28"/>
          <w:szCs w:val="28"/>
          <w:highlight w:val="none"/>
          <w:lang w:val="en-US" w:eastAsia="zh-CN"/>
        </w:rPr>
        <w:t xml:space="preserve">不</w:t>
      </w:r>
      <w:r>
        <w:rPr>
          <w:rFonts w:eastAsia="方正仿宋_GBK"/>
          <w:color w:val="auto"/>
          <w:sz w:val="28"/>
          <w:szCs w:val="28"/>
          <w:highlight w:val="none"/>
        </w:rPr>
        <w:t xml:space="preserve">接受联合体投标</w:t>
      </w:r>
      <w:r>
        <w:rPr>
          <w:rFonts w:hint="eastAsia" w:eastAsia="方正仿宋_GBK"/>
          <w:color w:val="auto"/>
          <w:sz w:val="28"/>
          <w:szCs w:val="28"/>
          <w:highlight w:val="none"/>
          <w:lang w:eastAsia="zh-CN"/>
        </w:rPr>
        <w:t xml:space="preserve">。</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本项目是</w:t>
      </w:r>
      <w:r>
        <w:rPr>
          <w:rFonts w:hint="eastAsia" w:eastAsia="方正仿宋_GBK"/>
          <w:color w:val="auto"/>
          <w:sz w:val="28"/>
          <w:szCs w:val="28"/>
          <w:highlight w:val="none"/>
          <w:lang w:val="en-US" w:eastAsia="zh-CN"/>
        </w:rPr>
        <w:t xml:space="preserve">不</w:t>
      </w:r>
      <w:r>
        <w:rPr>
          <w:rFonts w:eastAsia="方正仿宋_GBK"/>
          <w:color w:val="auto"/>
          <w:sz w:val="28"/>
          <w:szCs w:val="28"/>
          <w:highlight w:val="none"/>
        </w:rPr>
        <w:t xml:space="preserve">接受分包</w:t>
      </w:r>
      <w:r>
        <w:rPr>
          <w:rFonts w:hint="eastAsia" w:eastAsia="方正仿宋_GBK"/>
          <w:color w:val="auto"/>
          <w:sz w:val="28"/>
          <w:szCs w:val="28"/>
          <w:highlight w:val="none"/>
          <w:lang w:eastAsia="zh-CN"/>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highlight w:val="none"/>
          <w:u w:val="single"/>
        </w:rPr>
        <w:t xml:space="preserve">本项目属于专门面向中小企业采购的项目（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3.本项目的特定资格要求：</w:t>
      </w:r>
      <w:bookmarkStart w:id="4" w:name="_Hlk212714035"/>
      <w:r/>
      <w:r/>
    </w:p>
    <w:p>
      <w:pPr>
        <w:ind w:firstLine="560"/>
        <w:spacing w:line="500" w:lineRule="exact"/>
        <w:rPr>
          <w:rFonts w:hint="eastAsia" w:eastAsia="方正仿宋_GBK"/>
          <w:color w:val="000000"/>
          <w:sz w:val="28"/>
          <w:szCs w:val="28"/>
          <w:lang w:val="en-US" w:eastAsia="zh-CN"/>
        </w:rPr>
      </w:pPr>
      <w:r>
        <w:rPr>
          <w:rFonts w:hint="eastAsia" w:eastAsia="方正仿宋_GBK"/>
          <w:sz w:val="28"/>
          <w:szCs w:val="28"/>
          <w:lang w:eastAsia="zh-CN"/>
        </w:rPr>
        <w:t xml:space="preserve">（</w:t>
      </w:r>
      <w:r>
        <w:rPr>
          <w:rFonts w:hint="eastAsia" w:eastAsia="方正仿宋_GBK"/>
          <w:sz w:val="28"/>
          <w:szCs w:val="28"/>
          <w:lang w:val="en-US" w:eastAsia="zh-CN"/>
        </w:rPr>
        <w:t xml:space="preserve">1）</w:t>
      </w:r>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eastAsia="方正仿宋_GBK"/>
          <w:color w:val="000000"/>
          <w:sz w:val="28"/>
          <w:szCs w:val="28"/>
          <w:lang w:val="en-US" w:eastAsia="zh-CN"/>
        </w:rPr>
        <w:t xml:space="preserve">。</w:t>
      </w:r>
      <w:r/>
    </w:p>
    <w:p>
      <w:pPr>
        <w:ind w:firstLine="560"/>
        <w:spacing w:line="500" w:lineRule="exact"/>
        <w:rPr>
          <w:rFonts w:hint="eastAsia" w:eastAsia="方正仿宋_GBK"/>
          <w:color w:val="000000"/>
          <w:sz w:val="28"/>
          <w:szCs w:val="28"/>
          <w:lang w:val="en-US" w:eastAsia="zh-CN"/>
        </w:rPr>
      </w:pPr>
      <w:r>
        <w:rPr>
          <w:rFonts w:hint="eastAsia" w:eastAsia="方正仿宋_GBK"/>
          <w:color w:val="000000"/>
          <w:sz w:val="28"/>
          <w:szCs w:val="28"/>
        </w:rPr>
        <w:t xml:space="preserve">（2）具有城市及道路照明工程专业承包三级及以上资质。</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highlight w:val="none"/>
        </w:rPr>
        <w:t xml:space="preserve">. </w:t>
      </w:r>
      <w:r>
        <w:rPr>
          <w:rFonts w:hint="eastAsia" w:eastAsia="方正仿宋_GBK"/>
          <w:b/>
          <w:bCs/>
          <w:sz w:val="28"/>
          <w:szCs w:val="28"/>
          <w:highlight w:val="none"/>
          <w:lang w:val="en-US" w:eastAsia="zh-CN"/>
        </w:rPr>
        <w:t xml:space="preserve">2026</w:t>
      </w:r>
      <w:r>
        <w:rPr>
          <w:rFonts w:eastAsia="方正仿宋_GBK"/>
          <w:b/>
          <w:bCs/>
          <w:sz w:val="28"/>
          <w:szCs w:val="28"/>
          <w:highlight w:val="none"/>
        </w:rPr>
        <w:t xml:space="preserve">年</w:t>
      </w:r>
      <w:r>
        <w:rPr>
          <w:rFonts w:hint="eastAsia" w:eastAsia="方正仿宋_GBK"/>
          <w:b/>
          <w:bCs/>
          <w:sz w:val="28"/>
          <w:szCs w:val="28"/>
          <w:highlight w:val="none"/>
          <w:lang w:val="en-US" w:eastAsia="zh-CN"/>
        </w:rPr>
        <w:t xml:space="preserve">11</w:t>
      </w:r>
      <w:r>
        <w:rPr>
          <w:rFonts w:eastAsia="方正仿宋_GBK"/>
          <w:b/>
          <w:bCs/>
          <w:sz w:val="28"/>
          <w:szCs w:val="28"/>
          <w:highlight w:val="none"/>
        </w:rPr>
        <w:t xml:space="preserve">月</w:t>
      </w:r>
      <w:r>
        <w:rPr>
          <w:rFonts w:hint="eastAsia" w:eastAsia="方正仿宋_GBK"/>
          <w:b/>
          <w:bCs/>
          <w:sz w:val="28"/>
          <w:szCs w:val="28"/>
          <w:highlight w:val="none"/>
          <w:lang w:val="en-US" w:eastAsia="zh-CN"/>
        </w:rPr>
        <w:t xml:space="preserve">18</w:t>
      </w:r>
      <w:r>
        <w:rPr>
          <w:rFonts w:eastAsia="方正仿宋_GBK"/>
          <w:b/>
          <w:bCs/>
          <w:sz w:val="28"/>
          <w:szCs w:val="28"/>
          <w:highlight w:val="none"/>
        </w:rPr>
        <w:t xml:space="preserve">日</w:t>
      </w:r>
      <w:r>
        <w:rPr>
          <w:rFonts w:hint="eastAsia" w:eastAsia="方正仿宋_GBK"/>
          <w:b/>
          <w:bCs/>
          <w:sz w:val="28"/>
          <w:szCs w:val="28"/>
          <w:highlight w:val="none"/>
          <w:lang w:val="en-US" w:eastAsia="zh-CN"/>
        </w:rPr>
        <w:t xml:space="preserve">08</w:t>
      </w:r>
      <w:r>
        <w:rPr>
          <w:rFonts w:eastAsia="方正仿宋_GBK"/>
          <w:b/>
          <w:bCs/>
          <w:sz w:val="28"/>
          <w:szCs w:val="28"/>
          <w:highlight w:val="none"/>
        </w:rPr>
        <w:t xml:space="preserve">点</w:t>
      </w:r>
      <w:r>
        <w:rPr>
          <w:rFonts w:hint="eastAsia" w:eastAsia="方正仿宋_GBK"/>
          <w:b/>
          <w:bCs/>
          <w:sz w:val="28"/>
          <w:szCs w:val="28"/>
          <w:highlight w:val="none"/>
          <w:lang w:val="en-US" w:eastAsia="zh-CN"/>
        </w:rPr>
        <w:t xml:space="preserve">3</w:t>
      </w:r>
      <w:r>
        <w:rPr>
          <w:rFonts w:eastAsia="方正仿宋_GBK"/>
          <w:b/>
          <w:bCs/>
          <w:sz w:val="28"/>
          <w:szCs w:val="28"/>
          <w:highlight w:val="none"/>
        </w:rPr>
        <w:t xml:space="preserve">0分</w:t>
      </w:r>
      <w:r>
        <w:rPr>
          <w:rFonts w:eastAsia="方正仿宋_GBK"/>
          <w:sz w:val="28"/>
          <w:szCs w:val="28"/>
        </w:rPr>
        <w:t xml:space="preserve">（北京时间）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hint="eastAsia" w:eastAsia="方正仿宋_GBK"/>
          <w:sz w:val="28"/>
          <w:szCs w:val="28"/>
          <w:highlight w:val="yellow"/>
          <w:lang w:val="en-US" w:eastAsia="zh-CN"/>
        </w:rPr>
      </w:pPr>
      <w:r>
        <w:rPr>
          <w:rFonts w:eastAsia="方正仿宋_GBK"/>
          <w:sz w:val="28"/>
          <w:szCs w:val="28"/>
        </w:rPr>
        <w:t xml:space="preserve">3.项目演示、样品、答辩等：</w:t>
      </w:r>
      <w:r>
        <w:rPr>
          <w:rFonts w:hint="eastAsia" w:eastAsia="方正仿宋_GBK"/>
          <w:sz w:val="28"/>
          <w:szCs w:val="28"/>
          <w:highlight w:val="none"/>
          <w:lang w:val="en-US" w:eastAsia="zh-CN"/>
        </w:rPr>
        <w:t xml:space="preserve">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highlight w:val="none"/>
        </w:rPr>
      </w:pPr>
      <w:r>
        <w:rPr>
          <w:rFonts w:eastAsia="方正仿宋_GBK"/>
          <w:sz w:val="28"/>
          <w:szCs w:val="28"/>
        </w:rPr>
        <w:t xml:space="preserve">名  称：</w:t>
      </w:r>
      <w:r>
        <w:rPr>
          <w:rFonts w:hint="eastAsia" w:ascii="Times New Roman" w:hAnsi="Times New Roman" w:eastAsia="方正仿宋_GBK" w:cs="Times New Roman"/>
          <w:sz w:val="28"/>
          <w:szCs w:val="28"/>
        </w:rPr>
        <w:t xml:space="preserve">启东市住房和城</w:t>
      </w:r>
      <w:r>
        <w:rPr>
          <w:rFonts w:hint="eastAsia" w:ascii="Times New Roman" w:hAnsi="Times New Roman" w:eastAsia="方正仿宋_GBK" w:cs="Times New Roman"/>
          <w:sz w:val="28"/>
          <w:szCs w:val="28"/>
          <w:highlight w:val="none"/>
        </w:rPr>
        <w:t xml:space="preserve">乡建设局</w:t>
      </w:r>
      <w:r>
        <w:rPr>
          <w:rFonts w:ascii="Times New Roman" w:hAnsi="Times New Roman" w:eastAsia="方正仿宋_GBK" w:cs="Times New Roman"/>
          <w:sz w:val="28"/>
          <w:szCs w:val="28"/>
          <w:highlight w:val="none"/>
        </w:rPr>
        <w:t xml:space="preserve">　　</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w:t>
      </w:r>
      <w:r>
        <w:rPr>
          <w:rFonts w:hint="eastAsia" w:ascii="Times New Roman" w:hAnsi="Times New Roman" w:eastAsia="方正仿宋_GBK" w:cs="Times New Roman"/>
          <w:sz w:val="28"/>
          <w:szCs w:val="28"/>
          <w:highlight w:val="none"/>
          <w:lang w:val="en-US" w:eastAsia="zh-CN"/>
        </w:rPr>
        <w:t xml:space="preserve">启东市汇龙镇世纪大道2099号启睿产业中心11号</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lang w:val="en-US" w:eastAsia="zh-CN"/>
        </w:rPr>
        <w:t xml:space="preserve">杨先生</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ascii="Times New Roman" w:hAnsi="Times New Roman" w:eastAsia="方正仿宋_GBK" w:cs="Times New Roman"/>
          <w:sz w:val="28"/>
          <w:szCs w:val="28"/>
          <w:highlight w:val="none"/>
          <w:lang w:val="en-US" w:eastAsia="zh-CN"/>
        </w:rPr>
        <w:t xml:space="preserve">0513-83117618　</w:t>
      </w:r>
      <w:r>
        <w:rPr>
          <w:rFonts w:eastAsia="方正仿宋_GBK"/>
          <w:sz w:val="28"/>
          <w:szCs w:val="28"/>
          <w:highlight w:val="none"/>
        </w:rPr>
        <w:t xml:space="preserve">　　　</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hint="default" w:eastAsia="方正仿宋_GBK"/>
          <w:sz w:val="28"/>
          <w:szCs w:val="28"/>
          <w:lang w:val="en-US" w:eastAsia="zh-CN"/>
        </w:rPr>
      </w:pPr>
      <w:r>
        <w:rPr>
          <w:rFonts w:eastAsia="方正仿宋_GBK"/>
          <w:sz w:val="28"/>
          <w:szCs w:val="28"/>
        </w:rPr>
        <w:t xml:space="preserve">名  称：</w:t>
      </w:r>
      <w:r>
        <w:rPr>
          <w:rFonts w:hint="eastAsia" w:eastAsia="方正仿宋_GBK"/>
          <w:sz w:val="28"/>
          <w:szCs w:val="28"/>
          <w:lang w:val="en-US" w:eastAsia="zh-CN"/>
        </w:rPr>
        <w:t xml:space="preserve">江苏永正工程项目管理有限公司</w:t>
      </w:r>
      <w:r/>
    </w:p>
    <w:p>
      <w:pPr>
        <w:ind w:firstLine="560"/>
        <w:spacing w:line="500" w:lineRule="exact"/>
        <w:rPr>
          <w:rFonts w:hint="eastAsia" w:eastAsia="方正仿宋_GBK"/>
          <w:sz w:val="28"/>
          <w:szCs w:val="28"/>
          <w:lang w:val="en-US" w:eastAsia="zh-CN"/>
        </w:rPr>
      </w:pPr>
      <w:r>
        <w:rPr>
          <w:rFonts w:eastAsia="方正仿宋_GBK"/>
          <w:sz w:val="28"/>
          <w:szCs w:val="28"/>
        </w:rPr>
        <w:t xml:space="preserve">地  址：启东市</w:t>
      </w:r>
      <w:r>
        <w:rPr>
          <w:rFonts w:hint="eastAsia" w:eastAsia="方正仿宋_GBK"/>
          <w:sz w:val="28"/>
          <w:szCs w:val="28"/>
          <w:lang w:val="en-US" w:eastAsia="zh-CN"/>
        </w:rPr>
        <w:t xml:space="preserve">人民西路1188号中邦金座七层</w:t>
      </w:r>
      <w:r/>
    </w:p>
    <w:p>
      <w:pPr>
        <w:ind w:firstLine="560"/>
        <w:spacing w:line="500" w:lineRule="exact"/>
        <w:rPr>
          <w:rFonts w:hint="default" w:eastAsia="方正仿宋_GBK"/>
          <w:sz w:val="28"/>
          <w:szCs w:val="28"/>
          <w:lang w:val="en-US" w:eastAsia="zh-CN"/>
        </w:rPr>
      </w:pPr>
      <w:r>
        <w:rPr>
          <w:rFonts w:eastAsia="方正仿宋_GBK"/>
          <w:sz w:val="28"/>
          <w:szCs w:val="28"/>
          <w:highlight w:val="none"/>
        </w:rPr>
        <w:t xml:space="preserve">联系人：</w:t>
      </w:r>
      <w:r>
        <w:rPr>
          <w:rFonts w:hint="eastAsia" w:eastAsia="方正仿宋_GBK"/>
          <w:sz w:val="28"/>
          <w:szCs w:val="28"/>
          <w:highlight w:val="none"/>
          <w:lang w:val="en-US" w:eastAsia="zh-CN"/>
        </w:rPr>
        <w:t xml:space="preserve">龚女士</w:t>
      </w:r>
      <w:r>
        <w:rPr>
          <w:rFonts w:eastAsia="方正仿宋_GBK"/>
          <w:sz w:val="28"/>
          <w:szCs w:val="28"/>
          <w:highlight w:val="none"/>
        </w:rPr>
        <w:t xml:space="preserve">　</w:t>
      </w:r>
      <w:r/>
    </w:p>
    <w:p>
      <w:pPr>
        <w:ind w:firstLine="560"/>
        <w:spacing w:line="500" w:lineRule="exact"/>
        <w:rPr>
          <w:rFonts w:hint="default" w:eastAsia="方正仿宋_GBK"/>
          <w:sz w:val="28"/>
          <w:szCs w:val="28"/>
          <w:lang w:val="en-US" w:eastAsia="zh-CN"/>
        </w:rPr>
      </w:pPr>
      <w:r>
        <w:rPr>
          <w:rFonts w:eastAsia="方正仿宋_GBK"/>
          <w:sz w:val="28"/>
          <w:szCs w:val="28"/>
        </w:rPr>
        <w:t xml:space="preserve">联系方式</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hint="eastAsia"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项目联系方式</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招标文件制作人: </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项目开标人：</w:t>
      </w:r>
      <w:r>
        <w:rPr>
          <w:rFonts w:hint="eastAsia" w:ascii="Times New Roman" w:hAnsi="Times New Roman" w:eastAsia="方正仿宋_GBK" w:cs="Times New Roman"/>
          <w:sz w:val="28"/>
          <w:szCs w:val="28"/>
          <w:lang w:val="en-US" w:eastAsia="zh-CN"/>
        </w:rPr>
        <w:t xml:space="preserve">0513-83658189</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交易系统软件维护人员：0519-86722801、0519-86722806</w:t>
      </w:r>
      <w:r/>
    </w:p>
    <w:p>
      <w:pPr>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513029203"/>
      <w:r/>
      <w:bookmarkStart w:id="7" w:name="_Toc120614214"/>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47"/>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16938520"/>
      <w:r/>
      <w:bookmarkStart w:id="12" w:name="_Toc20823276"/>
      <w:r/>
      <w:bookmarkStart w:id="13" w:name="_Toc513029204"/>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647"/>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647"/>
        <w:ind w:firstLine="560"/>
        <w:jc w:val="both"/>
        <w:spacing w:line="500" w:lineRule="exact"/>
        <w:rPr>
          <w:rFonts w:eastAsia="方正仿宋_GBK"/>
          <w:sz w:val="28"/>
          <w:szCs w:val="28"/>
        </w:rPr>
      </w:pPr>
      <w:r/>
      <w:bookmarkStart w:id="17" w:name="_Toc16938522"/>
      <w:r/>
      <w:bookmarkStart w:id="18" w:name="_Toc513029206"/>
      <w:r/>
      <w:bookmarkStart w:id="19" w:name="_Toc20823278"/>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647"/>
        <w:ind w:firstLine="560"/>
        <w:jc w:val="both"/>
        <w:spacing w:line="500" w:lineRule="exact"/>
        <w:rPr>
          <w:rFonts w:eastAsia="方正仿宋_GBK"/>
          <w:sz w:val="28"/>
          <w:szCs w:val="28"/>
        </w:rPr>
      </w:pPr>
      <w:r/>
      <w:bookmarkStart w:id="20" w:name="_Toc20823279"/>
      <w:r/>
      <w:bookmarkStart w:id="21" w:name="_Toc16938523"/>
      <w:r/>
      <w:bookmarkStart w:id="22" w:name="_Toc462564067"/>
      <w:r/>
      <w:bookmarkStart w:id="23" w:name="_Toc51302920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投标人应自行承担所有与参加投标有关的费用，无论投标过程中的做法和结果如何，采购代理机构和采购人在任何情况下均无义务和责任承担这些费用。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4.2本次采购代理机构和采购人不收取标书工本费。</w:t>
      </w:r>
      <w:r/>
    </w:p>
    <w:p>
      <w:pPr>
        <w:pStyle w:val="647"/>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47"/>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招标文件需求部分（供应商资格要求、项目需求、商务技术评分标准）由采购人解释，其他部分由采购代理机构解释。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120614215"/>
      <w:r/>
      <w:bookmarkStart w:id="26" w:name="_Toc20823281"/>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47"/>
        <w:ind w:firstLine="560"/>
        <w:jc w:val="both"/>
        <w:spacing w:line="500" w:lineRule="exact"/>
        <w:rPr>
          <w:rFonts w:eastAsia="方正仿宋_GBK"/>
          <w:sz w:val="28"/>
          <w:szCs w:val="28"/>
        </w:rPr>
      </w:pPr>
      <w:r/>
      <w:bookmarkStart w:id="28" w:name="_Toc513029210"/>
      <w:r/>
      <w:bookmarkStart w:id="29" w:name="_Toc20823282"/>
      <w:r/>
      <w:bookmarkStart w:id="30" w:name="_Toc16938526"/>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请仔细检查招标文件是否齐全，如有缺漏请立即与采购代理机构联系解决。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7"/>
        <w:ind w:firstLine="560"/>
        <w:jc w:val="both"/>
        <w:spacing w:line="500" w:lineRule="exact"/>
        <w:rPr>
          <w:rFonts w:eastAsia="方正仿宋_GBK"/>
          <w:sz w:val="28"/>
          <w:szCs w:val="28"/>
        </w:rPr>
      </w:pPr>
      <w:r/>
      <w:bookmarkStart w:id="31" w:name="_Toc462564070"/>
      <w:r/>
      <w:bookmarkStart w:id="32" w:name="_Toc16938527"/>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647"/>
        <w:ind w:firstLine="560"/>
        <w:jc w:val="both"/>
        <w:spacing w:line="500" w:lineRule="exact"/>
        <w:rPr>
          <w:rFonts w:eastAsia="方正仿宋_GBK"/>
          <w:sz w:val="28"/>
          <w:szCs w:val="28"/>
        </w:rPr>
      </w:pPr>
      <w:r/>
      <w:bookmarkStart w:id="35" w:name="_Toc513029212"/>
      <w:r/>
      <w:bookmarkStart w:id="36" w:name="_Toc20823284"/>
      <w:r/>
      <w:bookmarkStart w:id="37" w:name="_Toc462564071"/>
      <w:r/>
      <w:bookmarkStart w:id="38" w:name="_Toc16938528"/>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lang w:val="en-US" w:eastAsia="zh-CN"/>
        </w:rPr>
        <w:t xml:space="preserve">采购人</w:t>
      </w:r>
      <w:r>
        <w:rPr>
          <w:rFonts w:eastAsia="方正仿宋_GBK"/>
          <w:sz w:val="28"/>
          <w:szCs w:val="28"/>
        </w:rPr>
        <w:t xml:space="preserve">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lang w:val="en-US" w:eastAsia="zh-CN"/>
        </w:rPr>
        <w:t xml:space="preserve">采购人</w:t>
      </w:r>
      <w:r>
        <w:rPr>
          <w:rFonts w:eastAsia="方正仿宋_GBK"/>
          <w:sz w:val="28"/>
          <w:szCs w:val="28"/>
        </w:rPr>
        <w:t xml:space="preserve">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16938529"/>
      <w:r/>
      <w:bookmarkStart w:id="41" w:name="_Toc513029213"/>
      <w:r/>
      <w:bookmarkStart w:id="42" w:name="_Toc20823285"/>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47"/>
        <w:ind w:firstLine="560"/>
        <w:jc w:val="both"/>
        <w:spacing w:line="500" w:lineRule="exact"/>
        <w:rPr>
          <w:rFonts w:eastAsia="方正仿宋_GBK"/>
          <w:sz w:val="28"/>
          <w:szCs w:val="28"/>
        </w:rPr>
      </w:pPr>
      <w:r/>
      <w:bookmarkStart w:id="44" w:name="_Toc462564073"/>
      <w:r/>
      <w:bookmarkStart w:id="45" w:name="_Toc513029214"/>
      <w:r/>
      <w:bookmarkStart w:id="46" w:name="_Toc16938530"/>
      <w:r/>
      <w:bookmarkStart w:id="47" w:name="_Toc20823286"/>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ascii="微软雅黑" w:hAnsi="微软雅黑" w:eastAsia="微软雅黑" w:cs="微软雅黑"/>
          <w:i w:val="0"/>
          <w:iCs w:val="0"/>
          <w:caps w:val="0"/>
          <w:color w:val="000000"/>
          <w:spacing w:val="0"/>
          <w:sz w:val="27"/>
          <w:szCs w:val="27"/>
        </w:rPr>
        <w:t xml:space="preserve">采购人及采购代理机构</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47"/>
        <w:ind w:firstLine="560"/>
        <w:jc w:val="both"/>
        <w:spacing w:line="500" w:lineRule="exact"/>
        <w:rPr>
          <w:rFonts w:eastAsia="方正仿宋_GBK"/>
          <w:sz w:val="28"/>
          <w:szCs w:val="28"/>
        </w:rPr>
      </w:pPr>
      <w:r/>
      <w:bookmarkStart w:id="48" w:name="_Toc16938531"/>
      <w:r/>
      <w:bookmarkStart w:id="49" w:name="_Toc20823287"/>
      <w:r/>
      <w:bookmarkStart w:id="50" w:name="_Toc513029215"/>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513029216"/>
      <w:r/>
      <w:bookmarkStart w:id="56" w:name="_Toc49090507"/>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6"/>
      <w:r/>
      <w:bookmarkEnd w:id="62"/>
      <w:r/>
      <w:bookmarkStart w:id="63" w:name="_Hlt26670482"/>
      <w:r/>
      <w:bookmarkEnd w:id="63"/>
      <w:r/>
      <w:bookmarkStart w:id="64" w:name="_Hlt26670403"/>
      <w:r/>
      <w:bookmarkEnd w:id="64"/>
      <w:r/>
      <w:bookmarkStart w:id="65" w:name="_Hlt26954731"/>
      <w:r/>
      <w:bookmarkEnd w:id="65"/>
      <w:r/>
      <w:bookmarkStart w:id="66" w:name="_Hlt26668983"/>
      <w:r/>
      <w:bookmarkEnd w:id="66"/>
      <w:r/>
      <w:bookmarkStart w:id="67" w:name="_Hlt26954848"/>
      <w:r/>
      <w:bookmarkEnd w:id="67"/>
      <w:r/>
      <w:bookmarkStart w:id="68" w:name="_Hlt26670425"/>
      <w:r/>
      <w:bookmarkEnd w:id="68"/>
      <w:r/>
      <w:bookmarkStart w:id="69" w:name="_Hlt26954844"/>
      <w:r/>
      <w:bookmarkEnd w:id="69"/>
      <w:r/>
      <w:bookmarkStart w:id="70" w:name="_Hlt26670486"/>
      <w:r/>
      <w:bookmarkEnd w:id="70"/>
      <w:r/>
      <w:bookmarkStart w:id="71" w:name="_Hlt26954842"/>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rPr>
          <w:rFonts w:hint="eastAsia" w:eastAsia="方正仿宋_GBK"/>
          <w:sz w:val="28"/>
          <w:szCs w:val="28"/>
        </w:rPr>
        <w:t xml:space="preserve">招标文件中要求提供证明材料的，投标时需按要求提供相应的证明材料，未要求提供证明材料的技术要求与商务要求，以</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hint="eastAsia" w:eastAsia="方正仿宋_GBK"/>
          <w:sz w:val="28"/>
          <w:szCs w:val="28"/>
        </w:rPr>
        <w:t xml:space="preserve">响应为准。</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bookmarkEnd w:id="73"/>
      <w:r/>
    </w:p>
    <w:p>
      <w:pPr>
        <w:pStyle w:val="647"/>
        <w:ind w:firstLine="560"/>
        <w:jc w:val="both"/>
        <w:spacing w:line="500" w:lineRule="exact"/>
        <w:rPr>
          <w:rFonts w:eastAsia="方正仿宋_GBK"/>
          <w:sz w:val="28"/>
          <w:szCs w:val="28"/>
        </w:rPr>
      </w:pPr>
      <w:r/>
      <w:bookmarkStart w:id="74" w:name="_Hlt26668975"/>
      <w:r/>
      <w:bookmarkEnd w:id="74"/>
      <w:r/>
      <w:bookmarkStart w:id="75" w:name="_Hlt26954838"/>
      <w:r/>
      <w:bookmarkEnd w:id="75"/>
      <w:r/>
      <w:bookmarkStart w:id="76" w:name="_Hlt26670360"/>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w:t>
      </w:r>
      <w:r>
        <w:rPr>
          <w:rFonts w:hint="eastAsia" w:eastAsia="方正仿宋_GBK"/>
          <w:bCs/>
          <w:sz w:val="28"/>
          <w:szCs w:val="28"/>
          <w:lang w:val="en-US" w:eastAsia="zh-CN"/>
        </w:rPr>
        <w:t xml:space="preserve">采购人</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End w:id="79"/>
      <w:r/>
      <w:bookmarkStart w:id="80" w:name="_Hlt26954852"/>
      <w:r/>
      <w:bookmarkEnd w:id="80"/>
      <w:r/>
      <w:bookmarkStart w:id="81" w:name="_Toc120614217"/>
      <w:r/>
      <w:bookmarkStart w:id="82" w:name="_Toc16938540"/>
      <w:r/>
      <w:bookmarkStart w:id="83" w:name="_Toc513029224"/>
      <w:r/>
      <w:bookmarkStart w:id="84" w:name="_Toc20823296"/>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47"/>
        <w:ind w:firstLine="560"/>
        <w:jc w:val="both"/>
        <w:spacing w:line="500" w:lineRule="exact"/>
        <w:rPr>
          <w:rFonts w:eastAsia="方正仿宋_GBK"/>
          <w:sz w:val="28"/>
          <w:szCs w:val="28"/>
        </w:rPr>
      </w:pPr>
      <w:r/>
      <w:bookmarkStart w:id="85" w:name="_Toc16938541"/>
      <w:r/>
      <w:bookmarkStart w:id="86" w:name="_Toc20823297"/>
      <w:r/>
      <w:bookmarkStart w:id="87" w:name="_Toc462564084"/>
      <w:r/>
      <w:bookmarkStart w:id="88" w:name="_Toc513029225"/>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47"/>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val="en-US" w:eastAsia="zh-CN"/>
        </w:rPr>
        <w:t xml:space="preserve">采购人</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647"/>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val="en-US" w:eastAsia="zh-CN"/>
        </w:rPr>
        <w:t xml:space="preserve">采购人</w:t>
      </w:r>
      <w:r>
        <w:rPr>
          <w:rFonts w:eastAsia="方正仿宋_GBK"/>
          <w:bCs/>
          <w:sz w:val="28"/>
          <w:szCs w:val="28"/>
        </w:rPr>
        <w:t xml:space="preserve">拒绝接收在其规定的投标截止时间后上传的任何投标文件。</w:t>
      </w:r>
      <w:r/>
    </w:p>
    <w:p>
      <w:pPr>
        <w:pStyle w:val="647"/>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513029229"/>
      <w:r/>
      <w:bookmarkStart w:id="100" w:name="_Toc120614218"/>
      <w:r/>
      <w:bookmarkStart w:id="101" w:name="_Toc16938545"/>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47"/>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w:t>
      </w:r>
      <w:r>
        <w:rPr>
          <w:rFonts w:eastAsia="方正仿宋_GBK"/>
          <w:bCs/>
          <w:sz w:val="28"/>
          <w:szCs w:val="28"/>
        </w:rPr>
        <w:t xml:space="preserve">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lang w:val="en-US" w:eastAsia="zh-CN"/>
        </w:rPr>
        <w:t xml:space="preserve">采购</w:t>
      </w:r>
      <w:r>
        <w:rPr>
          <w:rFonts w:ascii="微软雅黑" w:hAnsi="微软雅黑" w:eastAsia="微软雅黑" w:cs="微软雅黑"/>
          <w:i w:val="0"/>
          <w:iCs w:val="0"/>
          <w:caps w:val="0"/>
          <w:color w:val="000000"/>
          <w:spacing w:val="0"/>
          <w:sz w:val="27"/>
          <w:szCs w:val="27"/>
        </w:rPr>
        <w:t xml:space="preserve">代理机构</w:t>
      </w:r>
      <w:r>
        <w:rPr>
          <w:rFonts w:eastAsia="方正仿宋_GBK"/>
          <w:sz w:val="28"/>
          <w:szCs w:val="28"/>
        </w:rPr>
        <w:t xml:space="preserve">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47"/>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w:t>
      </w:r>
      <w:r>
        <w:rPr>
          <w:rFonts w:hint="eastAsia" w:eastAsia="方正仿宋_GBK"/>
          <w:sz w:val="28"/>
          <w:szCs w:val="28"/>
          <w:lang w:val="en-US" w:eastAsia="zh-CN"/>
        </w:rPr>
        <w:t xml:space="preserve">采购</w:t>
      </w:r>
      <w:r>
        <w:rPr>
          <w:rFonts w:ascii="微软雅黑" w:hAnsi="微软雅黑" w:eastAsia="微软雅黑" w:cs="微软雅黑"/>
          <w:i w:val="0"/>
          <w:iCs w:val="0"/>
          <w:caps w:val="0"/>
          <w:color w:val="000000"/>
          <w:spacing w:val="0"/>
          <w:sz w:val="27"/>
          <w:szCs w:val="27"/>
        </w:rPr>
        <w:t xml:space="preserve">代理机构</w:t>
      </w:r>
      <w:r>
        <w:rPr>
          <w:rFonts w:eastAsia="方正仿宋_GBK"/>
          <w:sz w:val="28"/>
          <w:szCs w:val="28"/>
        </w:rPr>
        <w:t xml:space="preserve">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647"/>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lang w:val="en-US" w:eastAsia="zh-CN"/>
        </w:rPr>
        <w:t xml:space="preserve">采购代理机构</w:t>
      </w:r>
      <w:r>
        <w:rPr>
          <w:rFonts w:eastAsia="方正仿宋_GBK"/>
          <w:bCs/>
          <w:sz w:val="28"/>
          <w:szCs w:val="28"/>
        </w:rPr>
        <w:t xml:space="preserve">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bCs/>
          <w:sz w:val="28"/>
          <w:szCs w:val="28"/>
          <w:lang w:val="en-US" w:eastAsia="zh-CN"/>
        </w:rPr>
        <w:t xml:space="preserve">采购代理机构</w:t>
      </w:r>
      <w:r>
        <w:rPr>
          <w:rFonts w:eastAsia="方正仿宋_GBK"/>
          <w:sz w:val="28"/>
          <w:szCs w:val="28"/>
        </w:rPr>
        <w:t xml:space="preserve">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bCs/>
          <w:sz w:val="28"/>
          <w:szCs w:val="28"/>
          <w:lang w:val="en-US" w:eastAsia="zh-CN"/>
        </w:rPr>
        <w:t xml:space="preserve">采购代理机构</w:t>
      </w:r>
      <w:r>
        <w:rPr>
          <w:rFonts w:eastAsia="方正仿宋_GBK"/>
          <w:sz w:val="28"/>
          <w:szCs w:val="28"/>
        </w:rPr>
        <w:t xml:space="preserve">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647"/>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647"/>
        <w:ind w:firstLine="560"/>
        <w:jc w:val="both"/>
        <w:spacing w:line="500" w:lineRule="exact"/>
        <w:rPr>
          <w:rFonts w:eastAsia="方正仿宋_GBK"/>
          <w:sz w:val="28"/>
          <w:szCs w:val="28"/>
        </w:rPr>
      </w:pPr>
      <w:r/>
      <w:bookmarkStart w:id="111" w:name="_Toc513029233"/>
      <w:r/>
      <w:bookmarkStart w:id="112" w:name="_Toc20823305"/>
      <w:r/>
      <w:bookmarkStart w:id="113" w:name="_Toc16938549"/>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w:t>
      </w:r>
      <w:r>
        <w:rPr>
          <w:rFonts w:hint="eastAsia" w:eastAsia="方正仿宋_GBK"/>
          <w:bCs/>
          <w:sz w:val="28"/>
          <w:szCs w:val="28"/>
          <w:lang w:val="en-US" w:eastAsia="zh-CN"/>
        </w:rPr>
        <w:t xml:space="preserve">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lang w:val="en-US" w:eastAsia="zh-CN"/>
        </w:rPr>
        <w:t xml:space="preserve">采购代理机构</w:t>
      </w:r>
      <w:r>
        <w:rPr>
          <w:rFonts w:eastAsia="方正仿宋_GBK"/>
          <w:bCs/>
          <w:sz w:val="28"/>
          <w:szCs w:val="28"/>
        </w:rPr>
        <w:t xml:space="preserve">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w:t>
      </w:r>
      <w:r>
        <w:rPr>
          <w:rFonts w:hint="eastAsia" w:eastAsia="方正仿宋_GBK"/>
          <w:sz w:val="28"/>
          <w:szCs w:val="28"/>
          <w:lang w:val="en-US" w:eastAsia="zh-CN"/>
        </w:rPr>
        <w:t xml:space="preserve">7</w:t>
      </w:r>
      <w:r>
        <w:rPr>
          <w:rFonts w:eastAsia="方正仿宋_GBK"/>
          <w:sz w:val="28"/>
          <w:szCs w:val="28"/>
        </w:rPr>
        <w:t xml:space="preserve">投标人在开、评标全过程中应保持通信畅通，并安排专人与</w:t>
      </w:r>
      <w:r>
        <w:rPr>
          <w:rFonts w:hint="eastAsia" w:eastAsia="方正仿宋_GBK"/>
          <w:bCs/>
          <w:sz w:val="28"/>
          <w:szCs w:val="28"/>
          <w:lang w:val="en-US" w:eastAsia="zh-CN"/>
        </w:rPr>
        <w:t xml:space="preserve">采购代理机构</w:t>
      </w:r>
      <w:r>
        <w:rPr>
          <w:rFonts w:eastAsia="方正仿宋_GBK"/>
          <w:sz w:val="28"/>
          <w:szCs w:val="28"/>
        </w:rPr>
        <w:t xml:space="preserve">及评标委员会联系。</w:t>
      </w:r>
      <w:bookmarkEnd w:id="114"/>
      <w:bookmarkEnd w:id="115"/>
      <w:bookmarkEnd w:id="116"/>
      <w:r/>
    </w:p>
    <w:p>
      <w:pPr>
        <w:pStyle w:val="647"/>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color w:val="auto"/>
          <w:sz w:val="28"/>
          <w:szCs w:val="28"/>
          <w:highlight w:val="none"/>
        </w:rPr>
      </w:pPr>
      <w:r>
        <w:rPr>
          <w:rFonts w:eastAsia="方正仿宋_GBK"/>
          <w:bCs/>
          <w:sz w:val="28"/>
          <w:szCs w:val="28"/>
        </w:rPr>
        <w:t xml:space="preserve">①投标（响应）报价低于全部通过符合性审查供应商投标（响应）报价平均值</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%的，即投标（响应）报价&lt;全部通过符合性审查供应商投标（响应）报价平均值×</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②投标（响应）报价低于通过符合性审查的次低报价供应商投标（响应）报价</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%的，即投标（响应）报价&lt;通过符合性审查的次低报价供应商投标（响应）报价×</w:t>
      </w:r>
      <w:r>
        <w:rPr>
          <w:rFonts w:hint="eastAsia" w:eastAsia="方正仿宋_GBK"/>
          <w:bCs/>
          <w:color w:val="auto"/>
          <w:sz w:val="28"/>
          <w:szCs w:val="28"/>
          <w:highlight w:val="none"/>
          <w:lang w:val="en-US" w:eastAsia="zh-CN"/>
        </w:rPr>
        <w:t xml:space="preserve">60</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③投标（响应）报价低于采购项目最高限价</w:t>
      </w:r>
      <w:r>
        <w:rPr>
          <w:rFonts w:hint="eastAsia" w:eastAsia="方正仿宋_GBK"/>
          <w:bCs/>
          <w:color w:val="auto"/>
          <w:sz w:val="28"/>
          <w:szCs w:val="28"/>
          <w:highlight w:val="none"/>
          <w:lang w:val="en-US" w:eastAsia="zh-CN"/>
        </w:rPr>
        <w:t xml:space="preserve">5</w:t>
      </w:r>
      <w:r>
        <w:rPr>
          <w:rFonts w:eastAsia="方正仿宋_GBK"/>
          <w:bCs/>
          <w:color w:val="auto"/>
          <w:sz w:val="28"/>
          <w:szCs w:val="28"/>
          <w:highlight w:val="none"/>
        </w:rPr>
        <w:t xml:space="preserve">5%的，即投标（响应）报价&lt;采购项目最高限价×</w:t>
      </w:r>
      <w:r>
        <w:rPr>
          <w:rFonts w:hint="eastAsia" w:eastAsia="方正仿宋_GBK"/>
          <w:bCs/>
          <w:color w:val="auto"/>
          <w:sz w:val="28"/>
          <w:szCs w:val="28"/>
          <w:highlight w:val="none"/>
          <w:lang w:val="en-US" w:eastAsia="zh-CN"/>
        </w:rPr>
        <w:t xml:space="preserve">5</w:t>
      </w:r>
      <w:r>
        <w:rPr>
          <w:rFonts w:eastAsia="方正仿宋_GBK"/>
          <w:bCs/>
          <w:color w:val="auto"/>
          <w:sz w:val="28"/>
          <w:szCs w:val="28"/>
          <w:highlight w:val="none"/>
        </w:rPr>
        <w:t xml:space="preserve">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bCs/>
          <w:sz w:val="28"/>
          <w:szCs w:val="28"/>
          <w:lang w:val="en-US" w:eastAsia="zh-CN"/>
        </w:rPr>
        <w:t xml:space="preserve">采购代理机构</w:t>
      </w:r>
      <w:r>
        <w:rPr>
          <w:rFonts w:eastAsia="方正仿宋_GBK"/>
          <w:sz w:val="28"/>
          <w:szCs w:val="28"/>
        </w:rPr>
        <w:t xml:space="preserve">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val="en-US" w:eastAsia="zh-CN"/>
        </w:rPr>
        <w:t xml:space="preserve">采购代理机构</w:t>
      </w:r>
      <w:r>
        <w:rPr>
          <w:rFonts w:eastAsia="方正仿宋_GBK"/>
          <w:sz w:val="28"/>
          <w:szCs w:val="28"/>
        </w:rPr>
        <w:t xml:space="preserve">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w:t>
      </w:r>
      <w:r>
        <w:rPr>
          <w:rFonts w:hint="eastAsia" w:eastAsia="方正仿宋_GBK"/>
          <w:bCs/>
          <w:sz w:val="28"/>
          <w:szCs w:val="28"/>
          <w:lang w:val="en-US" w:eastAsia="zh-CN"/>
        </w:rPr>
        <w:t xml:space="preserve">采购代理机构</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bCs/>
          <w:sz w:val="28"/>
          <w:szCs w:val="28"/>
          <w:lang w:val="en-US" w:eastAsia="zh-CN"/>
        </w:rPr>
        <w:t xml:space="preserve">采购代理机构</w:t>
      </w:r>
      <w:r>
        <w:rPr>
          <w:rFonts w:eastAsia="方正仿宋_GBK"/>
          <w:sz w:val="28"/>
          <w:szCs w:val="28"/>
        </w:rPr>
        <w:t xml:space="preserve">中心提出，由</w:t>
      </w:r>
      <w:r>
        <w:rPr>
          <w:rFonts w:hint="eastAsia" w:eastAsia="方正仿宋_GBK"/>
          <w:bCs/>
          <w:sz w:val="28"/>
          <w:szCs w:val="28"/>
          <w:lang w:val="en-US" w:eastAsia="zh-CN"/>
        </w:rPr>
        <w:t xml:space="preserve">采购代理机构</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bCs/>
          <w:sz w:val="28"/>
          <w:szCs w:val="28"/>
          <w:lang w:val="en-US" w:eastAsia="zh-CN"/>
        </w:rPr>
        <w:t xml:space="preserve">采购代理机构</w:t>
      </w:r>
      <w:r>
        <w:rPr>
          <w:rFonts w:eastAsia="方正仿宋_GBK"/>
          <w:sz w:val="28"/>
          <w:szCs w:val="28"/>
        </w:rPr>
        <w:t xml:space="preserve">以书面形式提交质疑函。</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val="en-US" w:eastAsia="zh-CN"/>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w:t>
      </w:r>
      <w:r>
        <w:rPr>
          <w:rFonts w:ascii="微软雅黑" w:hAnsi="微软雅黑" w:eastAsia="微软雅黑" w:cs="微软雅黑"/>
          <w:i w:val="0"/>
          <w:iCs w:val="0"/>
          <w:caps w:val="0"/>
          <w:color w:val="000000"/>
          <w:spacing w:val="0"/>
          <w:sz w:val="27"/>
          <w:szCs w:val="27"/>
        </w:rPr>
        <w:t xml:space="preserve">采购人或</w:t>
      </w:r>
      <w:r>
        <w:rPr>
          <w:rFonts w:hint="eastAsia" w:eastAsia="方正仿宋_GBK"/>
          <w:sz w:val="28"/>
          <w:szCs w:val="28"/>
          <w:lang w:val="en-US" w:eastAsia="zh-CN"/>
        </w:rPr>
        <w:t xml:space="preserve">采购代理机构</w:t>
      </w:r>
      <w:r>
        <w:rPr>
          <w:rFonts w:eastAsia="方正仿宋_GBK"/>
          <w:sz w:val="28"/>
          <w:szCs w:val="28"/>
        </w:rPr>
        <w:t xml:space="preserve">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bookmarkEnd w:id="126"/>
      <w:bookmarkEnd w:id="127"/>
      <w:bookmarkEnd w:id="128"/>
      <w:r/>
    </w:p>
    <w:p>
      <w:pPr>
        <w:ind w:firstLine="560"/>
        <w:spacing w:line="500" w:lineRule="exact"/>
        <w:rPr>
          <w:rFonts w:eastAsia="方正仿宋_GBK"/>
          <w:sz w:val="28"/>
          <w:szCs w:val="28"/>
        </w:rPr>
      </w:pPr>
      <w:r/>
      <w:bookmarkStart w:id="129" w:name="_Toc513029237"/>
      <w:r/>
      <w:bookmarkStart w:id="130" w:name="_Toc16938553"/>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t xml:space="preserve">第三部分  项目需求</w:t>
      </w:r>
      <w:r/>
    </w:p>
    <w:p>
      <w:pPr>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b/>
          <w:bCs/>
          <w:sz w:val="28"/>
          <w:szCs w:val="28"/>
        </w:rPr>
      </w:pPr>
      <w:r>
        <w:rPr>
          <w:rFonts w:eastAsia="方正仿宋_GBK"/>
          <w:b/>
          <w:bCs/>
          <w:sz w:val="28"/>
          <w:szCs w:val="28"/>
        </w:rPr>
        <w:t xml:space="preserve">项目需求内容</w:t>
      </w:r>
      <w:r/>
    </w:p>
    <w:p>
      <w:pPr>
        <w:ind w:firstLine="560"/>
        <w:spacing w:line="500" w:lineRule="exact"/>
        <w:rPr>
          <w:rFonts w:hint="eastAsia" w:ascii="Times New Roman" w:hAnsi="Times New Roman" w:eastAsia="方正仿宋_GBK" w:cs="Times New Roman"/>
          <w:b/>
          <w:bCs/>
          <w:sz w:val="28"/>
          <w:szCs w:val="28"/>
          <w:lang w:eastAsia="zh-CN"/>
        </w:rPr>
      </w:pPr>
      <w:r>
        <w:rPr>
          <w:rFonts w:hint="eastAsia" w:ascii="Times New Roman" w:hAnsi="Times New Roman" w:eastAsia="方正仿宋_GBK" w:cs="Times New Roman"/>
          <w:b/>
          <w:bCs/>
          <w:sz w:val="28"/>
          <w:szCs w:val="28"/>
        </w:rPr>
        <w:t xml:space="preserve">一</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养护内容</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2021年启东市城区建设的40</w:t>
      </w:r>
      <w:r>
        <w:rPr>
          <w:rFonts w:hint="eastAsia" w:ascii="Times New Roman" w:hAnsi="Times New Roman" w:eastAsia="方正仿宋_GBK" w:cs="Times New Roman"/>
          <w:sz w:val="28"/>
          <w:szCs w:val="28"/>
          <w:lang w:val="en-US" w:eastAsia="zh-CN"/>
        </w:rPr>
        <w:t xml:space="preserve">余</w:t>
      </w:r>
      <w:r>
        <w:rPr>
          <w:rFonts w:hint="eastAsia" w:ascii="Times New Roman" w:hAnsi="Times New Roman" w:eastAsia="方正仿宋_GBK" w:cs="Times New Roman"/>
          <w:sz w:val="28"/>
          <w:szCs w:val="28"/>
        </w:rPr>
        <w:t xml:space="preserve">个点位亮化设施的养护，包括建筑业大厦、环球大厦、工人文化宫、农商银行、教育大</w:t>
      </w:r>
      <w:r>
        <w:rPr>
          <w:rFonts w:hint="eastAsia" w:ascii="Times New Roman" w:hAnsi="Times New Roman" w:eastAsia="方正仿宋_GBK" w:cs="Times New Roman"/>
          <w:sz w:val="28"/>
          <w:szCs w:val="28"/>
        </w:rPr>
        <w:t xml:space="preserve">厦、豪门广场、文峰大世界、东方明珠商业广场、东珠宾馆、鼎浩大厦、环球大厦商业裙楼、华康大厦、星程酒店、江苏银行、如家酒店、开来地产、西入口转盘、西入口中国电信大楼、西入口体育馆、香格里商务中心、建设银行、天鼎购物广场、农业银行、交通银行、城市快捷酒店、财政大厦及结算中心、银洲假日酒店、汇金大厦、港丽精品酒店、东方银座、七天连锁酒店、智选假日酒店、金鹰广场、汽车东站、启东南1管理用房、启东南2交警支队、启东南3崇启大桥、启东北管理用房、启东东管理用房、启东出入口景观亮化设施养护、维修等相关服务，详见附件清单。</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设施养护包括设施的日常巡视、保养维护、定期检测、检修、更换</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设施开关、管理平台系统维护</w:t>
      </w:r>
      <w:r>
        <w:rPr>
          <w:rFonts w:hint="eastAsia" w:ascii="Times New Roman" w:hAnsi="Times New Roman" w:eastAsia="方正仿宋_GBK" w:cs="Times New Roman"/>
          <w:sz w:val="28"/>
          <w:szCs w:val="28"/>
        </w:rPr>
        <w:t xml:space="preserve">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确保该批亮化设施正常运行</w:t>
      </w:r>
      <w:r>
        <w:rPr>
          <w:rFonts w:hint="eastAsia" w:ascii="Times New Roman" w:hAnsi="Times New Roman" w:eastAsia="方正仿宋_GBK" w:cs="Times New Roman"/>
          <w:sz w:val="28"/>
          <w:szCs w:val="28"/>
        </w:rPr>
        <w:t xml:space="preserve">。亮化设施包括</w:t>
      </w:r>
      <w:r>
        <w:rPr>
          <w:rFonts w:hint="eastAsia" w:ascii="Times New Roman" w:hAnsi="Times New Roman" w:eastAsia="方正仿宋_GBK" w:cs="Times New Roman"/>
          <w:sz w:val="28"/>
          <w:szCs w:val="28"/>
          <w:lang w:val="en-US" w:eastAsia="zh-CN"/>
        </w:rPr>
        <w:t xml:space="preserve">但不限于</w:t>
      </w:r>
      <w:r>
        <w:rPr>
          <w:rFonts w:hint="eastAsia" w:ascii="Times New Roman" w:hAnsi="Times New Roman" w:eastAsia="方正仿宋_GBK" w:cs="Times New Roman"/>
          <w:sz w:val="28"/>
          <w:szCs w:val="28"/>
        </w:rPr>
        <w:t xml:space="preserve">配电箱、各类LED灯具、开关电源、控制器、电力电缆、电缆终端头、线槽、配管、手孔井、基础、接线盒、 接地极、接地母线等</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清单明细表详见附件</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包括部分未列入清单但服务于该批亮化设施的其他配套设施，如管理系统等）</w:t>
      </w:r>
      <w:r>
        <w:rPr>
          <w:rFonts w:hint="eastAsia" w:ascii="Times New Roman" w:hAnsi="Times New Roman" w:eastAsia="方正仿宋_GBK" w:cs="Times New Roman"/>
          <w:sz w:val="28"/>
          <w:szCs w:val="28"/>
        </w:rPr>
        <w:t xml:space="preserve">。</w:t>
      </w:r>
      <w:r/>
    </w:p>
    <w:p>
      <w:pPr>
        <w:ind w:firstLine="560"/>
        <w:spacing w:line="500" w:lineRule="exact"/>
        <w:rPr>
          <w:rFonts w:hint="eastAsia"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二</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养护工作要求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亮化养护维修单位内部管理要求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（1）应配备用于亮化维修养护项目的施工机械设备，如路灯升降车、抢修车、维修巡检车辆及相应的电工工具等。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（2）应制定严格的值班工作制度。每天设专人接待报修及投诉，接待投诉时必须热情、诚恳、语气谦和，并做好详细记录，值班电话必须24小时开通。</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（3）应建立日常巡修制度。每周对各路段巡视一遍，查找、分析故障原因，收集、留存影像资料，列出维修内容、材料清单，汇总后书面上报给发包人。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应建立齐全规范的人员岗位管理、技术培训制度。工作人员必须统一着装、持证上岗，并熟悉亮化配电设备、所管辖区域内路灯控制线路网络的正确操作和维护方法，必须严格遵守各项安全操作规程和交通管理规则，作业时安全防护用品必须穿戴齐全。   </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承包人项目负责人或现场代表不配合发包人工作或不能胜任工作，发包人有权要求承包人更换相应人员，承包人应在发包人要求更换之日起五日内更换。否则发包人有权要求停工或解除合同，由此造成的违约责任及发包人的损失由承包人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（6）应建立完善的抢修应急预案。养护单位应根据维修区域、维修总量的特点制定完整合理的书面应急预案，建立反应迅速、运转高效的应急响应机制，确保任何地点发生故障均能在30分钟内到达现场。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（7）应建立和健全所管辖区域内亮化资料管理档案（亮化控制系统图、分布图等），根据变化随时修正，保证其准确性。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（8）应建立设备材料管理制度。准备充足的维修材料（如灯杆、灯具、电缆、电源、光源、控制箱等），以应对日常维修及突发事件的需要。</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9）应建立安全生产管理体系。确定安全责任制度，包括养护维修队伍安全、消防、交通等安全工作。安全生产管理制度包括：安全生产检查制度、安全操作规程、安全行车规定、员工安全生产教育培训制度等。应针对本项目需求配备专职安全员。</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10）应建立文明施工和环境保护的制度和措施，落实文明施工和环境保护的相关责任人。养护单位在路灯维修施工中，需开挖绿地及城市道路的，应在办理相关审批手续并采取安全措施的情况下方能进行施工。养护单位擅自作业造成绿地、城市道路被开挖破坏的，由其承担相应责任。</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（11）应每月进行定期检测，对配电箱（柜）、金属灯杆接地网等安全系统进行测试，测试完成后应及时向发包人上报测试报告，并立即对测试不合格的进行整改。</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（12）应建立养护档案，并应包括下列内容：亮化设施技术文件、亮化数量统计记录、常规巡检记录、设施报修抢修记录、亮灯率检查台帐、设施完好率检查台帐、定期检测记录、值班记录等。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13）承包人所有作业人员的意外伤害险、施工场地内自有人员的生命财产险、施工机械设备的财产险、第三方人员的生命财产险、运至施工场地内用于工程的材料和待安装设备的财产险等一切险，都由承包人自行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亮化养护质量</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（1）亮灯率</w:t>
      </w:r>
      <w:r/>
    </w:p>
    <w:p>
      <w:pPr>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养护区域内灯具的亮灯率≥99%。</w:t>
      </w:r>
      <w:r>
        <w:rPr>
          <w:rFonts w:hint="eastAsia" w:ascii="Times New Roman" w:hAnsi="Times New Roman" w:eastAsia="方正仿宋_GBK" w:cs="Times New Roman"/>
          <w:sz w:val="28"/>
          <w:szCs w:val="28"/>
          <w:lang w:eastAsia="zh-CN"/>
        </w:rPr>
        <w:t xml:space="preserve">亮</w:t>
      </w:r>
      <w:r>
        <w:rPr>
          <w:rFonts w:hint="eastAsia" w:ascii="Times New Roman" w:hAnsi="Times New Roman" w:eastAsia="方正仿宋_GBK" w:cs="Times New Roman"/>
          <w:sz w:val="28"/>
          <w:szCs w:val="28"/>
        </w:rPr>
        <w:t xml:space="preserve">灯率是指正常运行灯具的比例</w:t>
      </w:r>
      <w:r>
        <w:rPr>
          <w:rFonts w:hint="eastAsia" w:ascii="Times New Roman" w:hAnsi="Times New Roman" w:eastAsia="方正仿宋_GBK" w:cs="Times New Roman"/>
          <w:sz w:val="28"/>
          <w:szCs w:val="28"/>
          <w:lang w:eastAsia="zh-CN"/>
        </w:rPr>
        <w:t xml:space="preserve">，通过抽查形式进行考核，亮灯率</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eastAsia="zh-CN"/>
        </w:rPr>
        <w:t xml:space="preserve">考核区域</w:t>
      </w:r>
      <w:r>
        <w:rPr>
          <w:rFonts w:hint="eastAsia" w:ascii="Times New Roman" w:hAnsi="Times New Roman" w:eastAsia="方正仿宋_GBK" w:cs="Times New Roman"/>
          <w:sz w:val="28"/>
          <w:szCs w:val="28"/>
        </w:rPr>
        <w:t xml:space="preserve">正常运行灯具数量/</w:t>
      </w:r>
      <w:r>
        <w:rPr>
          <w:rFonts w:hint="eastAsia" w:ascii="Times New Roman" w:hAnsi="Times New Roman" w:eastAsia="方正仿宋_GBK" w:cs="Times New Roman"/>
          <w:sz w:val="28"/>
          <w:szCs w:val="28"/>
          <w:lang w:eastAsia="zh-CN"/>
        </w:rPr>
        <w:t xml:space="preserve">考核区域</w:t>
      </w:r>
      <w:r>
        <w:rPr>
          <w:rFonts w:hint="eastAsia" w:ascii="Times New Roman" w:hAnsi="Times New Roman" w:eastAsia="方正仿宋_GBK" w:cs="Times New Roman"/>
          <w:sz w:val="28"/>
          <w:szCs w:val="28"/>
        </w:rPr>
        <w:t xml:space="preserve">全部灯具数量</w:t>
      </w:r>
      <w:r>
        <w:rPr>
          <w:rFonts w:hint="eastAsia" w:ascii="Times New Roman" w:hAnsi="Times New Roman" w:eastAsia="方正仿宋_GBK" w:cs="Times New Roman"/>
          <w:sz w:val="28"/>
          <w:szCs w:val="28"/>
          <w:lang w:val="en-US" w:eastAsia="zh-CN"/>
        </w:rPr>
        <w:t xml:space="preserve">*100%。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（2）设施完好（配电箱柜、电缆线路、照明器具、专用灯杆）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A.照明专变、计量箱、配电箱柜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①照明专变无漏油、无异响等；</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②计量箱、配电室（箱）门窗清洁无破损，箱体保持完整无缺，不渗水、无积灰、无锈蚀，挂锁无缺，警告标志齐全；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③箱内电器安装整齐牢固、无积灰积垢、线路排列整齐；</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④接触器、开关、熔断器等电器元件和导线，应绝缘良好，各零部件无变形缺损，运行正常，无异响；</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⑤配电柜仪表完好，指示正确，各部件联结坚固无松动；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⑥各回路电流无异常，设备无过载发热、无烧焦变色现象，保障亮化线路正常运行；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⑦节电器运行正常，无旁路现象。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B.线路</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①经常注意沿线建筑物的变化，及时掌握情况，防止外墙装修、粉刷、漏水、开挖、化学腐蚀等因素以及自然灾害原因而影响线路安全运行。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为了保障亮化设施的正常运行，应对亮化线路进行必要的检测，对电压低、线路长、导线细等不合格现象应逐季逐年上报维修计划，及时组织力量进行更换，或采取措施改进和完善，合理调整负荷、确保末端电压不低于额定电压的90%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③保持不间断线路巡查，及时更换有严重缺陷和</w:t>
      </w:r>
      <w:r>
        <w:rPr>
          <w:rFonts w:hint="eastAsia" w:eastAsia="方正仿宋_GBK" w:cs="Times New Roman"/>
          <w:sz w:val="28"/>
          <w:szCs w:val="28"/>
          <w:lang w:val="en-US" w:eastAsia="zh-CN"/>
        </w:rPr>
        <w:t xml:space="preserve">破损</w:t>
      </w:r>
      <w:r>
        <w:rPr>
          <w:rFonts w:hint="eastAsia" w:ascii="Times New Roman" w:hAnsi="Times New Roman" w:eastAsia="方正仿宋_GBK" w:cs="Times New Roman"/>
          <w:sz w:val="28"/>
          <w:szCs w:val="28"/>
        </w:rPr>
        <w:t xml:space="preserve">的电缆、标志桩；</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④手孔井、人孔井内应整齐清洁，不积水，井框、井盖应完整，不沉陷。井内线路走向、回路标志牌应保持字迹清楚。</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C.灯杆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①路灯灯杆（含混凝土杆）杆身倾斜不超过杆长1%；</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②混凝土杆身完整无裂缝、破损现象；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③金属灯杆杆身无破损、锈蚀现象，油漆无剥落；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④灯杆基础牢固，包封完整。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D.亮化灯具</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①灯具、灯架完好清洁、无蛛网、无积污、断裂、脱焊及严重锈蚀；</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②灯具、开关电源引线和管内穿线绝缘良好，无破皮、绝缘开裂等现象，引下线中间不能有接头；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③灯具固定支架无变形、断裂、锈蚀，固定胶塞、膨胀螺丝牢固无开裂、松动。</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④灯罩内反光器无变形断裂，保持光亮无积污。</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⑤灯具更换损坏电器元件时，须与原设计规格参数保持一致，且更换品牌的品质等级不得低于原有品牌标准，以此保障灯具系统的电气适配性、运行稳定性及整体亮化效果达标。</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⑥养护作业人员不能擅自更改与整个区域不相一致的光源、电器、灯具。</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（3）及时性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①发现或接到灯具不亮的投诉，应在2小时内完成修复，如遇恶劣天气等特殊原因，最迟应在24小时内修复。</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②发现或接到线路、配电箱故障造成大面积灭灯的投诉，必须立即派人进行抢修，小故障2小时内修复，大故障在24小时内修复（工程量较大的除外）。</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③投诉及故障处理结束后应在24小时内将处理情况报采购人，同时回复反映人。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（4）设施整洁</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①保持亮化设施外观整洁，亮化灯具被遮挡、掉落、缺色等故障及时维修。</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②公共照明设施上无未经批准设置的户外广告或悬挂其他物品的，如有发现养护单位及时上报。</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③公共照明设施上无乱张贴、乱涂写，如有发现养护单位应及时组织清除。</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养护要求：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（1）要成立以养护单位主要领导为第一责任人的养护组织机构，分工明确，职责落实，措施有力切实可行。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（2）针对亮化设施现状，制定巡查、各阶段重点检查、维修保养工作计划，报发包人后按计划实施。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（3）按巡逻计划做好相关工作，发现问题及时处置，重大情况迅速向上级汇报。</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（4）养护单位应严格执行安全施工的相关规定，确保不发生人身伤亡事故和火灾事故，如有发生，一切责任均由养护单位承担。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（5）养护单位作业人员应统一服装、持证挂牌上岗，施工现场应按国家规定做好安全措施，文明施工，做到工完、料清、场清。</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（7）养护单位不得擅自改变照明设施的现状，因各种原因需要拆除现有照明设施、变更现有供电线路、变更设计规格等均应事先报采购人批准。</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（8）养护单位及养护单位职工不得在照明设施上私拉乱接其他供用电设施。</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（9）路灯迁移、补装等零星工程应及时办结（办理时限以下达《任务书》为准），施工质量按国家相关标准执行。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（10）养护单位应加强巡查，及时发现并切断私自接用照明电源的违法行为。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（11）养护单位须积极配合采购人做好灯具等设施移交等前期工作。</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（12）按照有关规定应承担维护责任的照明设施，经相关部门验收合格并交接完毕后应列入维修范围。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（13）养护单位应注意发现下列情况并及时上报、配合处理：①擅自拆除、迁移城市道路照明设施，②在城市道路照明设施附近堆放杂物、挖坑取土、兴建建（构）筑物等设施违章行为。</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14）亮化设施因各种原因出现故障，发现及时（30分钟内到达现场）。一般性故障2小时内修复；非一般性故障无法及时修复，应采取应急措施，并向采购人报告。若光源等照明设施出现损坏，应更换相同规格品牌的产品，如无相同的，须经采购人同意后，选用同等价值产品作为替换、养护材料质量合格率须达100%。</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（15）养护单位需要在白天开灯检修时，应事先报告发包人批准，未事先报告的，按运行故障论处；无因运行故障造成的成片或成线的灭灯。</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（16）养护作业要按计划实施，主干道路养护作业时尽量避开交通高峰期，遇有紧急抢修影响交通的，须及时与公安交通行政管理部门联系。</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（17）根据季节亮化及时调整亮灯、熄灯时间；重要节日或重要社会活动期间，根据上级要求及时做好景观灯具的开闭。</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（18）遇有重大活动或突发事件时，养护单位应积极配合，全力保障亮化灯具的正常运行。</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（19）材料设备供应及品牌要求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养护单位在项目养护过程中更换的所有材料设备，须严格与原设计规格参数保持一致，且品牌品质等级不得低于原有品牌标准，同时符合国家现行质量标准；所有更换材料设备进场时，须随附出厂合格证、采购合同及已使用材料设备清单，确保与原有灯具系统的适配性及整体运行稳定性。</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（20）控制系统运行维护要求：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①确保系统全年常态化连续稳定运行，年度有效运行率≥99.9%， 非不可抗力因素（指地震、台风、暴雨、大规模停电等）导致的年度运行中断累计时长不得超过8小时；</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②按</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预设的平日、节假日、重大活动等亮化运行模式，精准执行开关灯控制、亮度调节、模式切换等操作，指令响应延迟≤3秒，无错控、漏控、误触发情况。</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③执行“周远程监测+月现场巡检+季系统优化+年全面检修”机制，按频次开展设备状态排查、防护检查、性能优化及硬件检修，留存相关记录与报告（保存期≥3年）。</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④建立7×24小时应急响应机制，30分钟内反馈处置方案，2小时内抵达现场修复故障（特殊情况经</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同意可延期），修复后试运行72小时。</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⑤每周备份数据（异地存储≥1年），分级授权操作（日志留存≥6个月），严禁擅自拆改设备或参数，维护符合电气及网络安全规范。</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⑥配合</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完成方案更新、系统升级等需求，每月提交维护月报、每年提交年度总结，配合检查验收并提供相关资料。</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养护台账：养护单位必须每天记录巡逻、受理报修、修理等工作情况。对一些热点问题，如媒体批评、市民投诉等事件必须件件有记载，详细记录办理事件，办理结果，办理方式，办理责任人，投诉人反馈意见等情况。养护台账内容由养护负责人签字。</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（22）其他要求：</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①供应商在中标后应积极开展相关工作，符合相关规定和规范要求，自行协调所在地和附近群众矛盾，所需的全部费用都包含在报价中。</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养护单位投入本项目的所有作业车辆，均须安装360度全景监控摄像头（要求无监控盲区），摄像头拍摄的视频数据保存时长不少于30天，视频分辨率不低于1080P（高清标准，可根据采购人需求调整）；所有视频监控信号须接入</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指定的“智慧化管理系统”，实现养护作业全过程可视化监控。上述作业车辆摄像头的购置、安装、调试、视频存储及系统接入等相关费用，均已包含在投标报价中，</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不另行支付。</w:t>
      </w:r>
      <w:r/>
    </w:p>
    <w:p>
      <w:pPr>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 xml:space="preserve">③养护单位所有人员需纳入</w:t>
      </w:r>
      <w:r>
        <w:rPr>
          <w:rFonts w:hint="eastAsia" w:ascii="Times New Roman" w:hAnsi="Times New Roman" w:eastAsia="方正仿宋_GBK" w:cs="Times New Roman"/>
          <w:sz w:val="28"/>
          <w:szCs w:val="28"/>
          <w:lang w:val="en-US" w:eastAsia="zh-CN"/>
        </w:rPr>
        <w:t xml:space="preserve">采购人</w:t>
      </w:r>
      <w:r>
        <w:rPr>
          <w:rFonts w:hint="eastAsia" w:ascii="Times New Roman" w:hAnsi="Times New Roman" w:eastAsia="方正仿宋_GBK" w:cs="Times New Roman"/>
          <w:sz w:val="28"/>
          <w:szCs w:val="28"/>
        </w:rPr>
        <w:t xml:space="preserve">统一考勤管理，且须</w:t>
      </w:r>
      <w:r>
        <w:rPr>
          <w:rFonts w:hint="eastAsia" w:ascii="Times New Roman" w:hAnsi="Times New Roman" w:eastAsia="方正仿宋_GBK" w:cs="Times New Roman"/>
          <w:sz w:val="28"/>
          <w:szCs w:val="28"/>
          <w:lang w:val="en-US" w:eastAsia="zh-CN"/>
        </w:rPr>
        <w:t xml:space="preserve">纳</w:t>
      </w:r>
      <w:r>
        <w:rPr>
          <w:rFonts w:hint="eastAsia" w:ascii="Times New Roman" w:hAnsi="Times New Roman" w:eastAsia="方正仿宋_GBK" w:cs="Times New Roman"/>
          <w:sz w:val="28"/>
          <w:szCs w:val="28"/>
        </w:rPr>
        <w:t xml:space="preserve">入</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指定的“智慧化管理系统”，</w:t>
      </w:r>
      <w:r>
        <w:rPr>
          <w:rFonts w:hint="eastAsia" w:ascii="Times New Roman" w:hAnsi="Times New Roman" w:eastAsia="方正仿宋_GBK" w:cs="Times New Roman"/>
          <w:sz w:val="28"/>
          <w:szCs w:val="28"/>
          <w:lang w:val="en-US" w:eastAsia="zh-CN"/>
        </w:rPr>
        <w:t xml:space="preserve">落实签到签退制度，并</w:t>
      </w:r>
      <w:r>
        <w:rPr>
          <w:rFonts w:hint="eastAsia" w:ascii="Times New Roman" w:hAnsi="Times New Roman" w:eastAsia="方正仿宋_GBK" w:cs="Times New Roman"/>
          <w:sz w:val="28"/>
          <w:szCs w:val="28"/>
        </w:rPr>
        <w:t xml:space="preserve">实时上传作业轨迹定位信息，确保人员考勤可查、作业轨迹全程可追溯</w:t>
      </w:r>
      <w:r>
        <w:rPr>
          <w:rFonts w:hint="eastAsia" w:ascii="Times New Roman" w:hAnsi="Times New Roman" w:eastAsia="方正仿宋_GBK" w:cs="Times New Roman"/>
          <w:sz w:val="28"/>
          <w:szCs w:val="28"/>
          <w:lang w:eastAsia="zh-CN"/>
        </w:rPr>
        <w:t xml:space="preserve">。</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④成交供应商必须开展安全作业，应保尽保。如果发生交通、作业等事故造成的人员伤亡和财产损失等全部由成交供应商承担，与采购人无关。</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⑤本项目按启东市住房和城乡建设局《关于印发〈启东市城区道路、桥梁、照明设施养护管理考核办法（试行）〉的通知》（启住建〔2021〕59号文）执行</w:t>
      </w:r>
      <w:r>
        <w:rPr>
          <w:rFonts w:hint="eastAsia" w:ascii="Times New Roman" w:hAnsi="Times New Roman" w:eastAsia="方正仿宋_GBK" w:cs="Times New Roman"/>
          <w:sz w:val="28"/>
          <w:szCs w:val="28"/>
          <w:lang w:eastAsia="zh-CN"/>
        </w:rPr>
        <w:t xml:space="preserve">，后期考核文件修订的，按修订后的考核文件执行</w:t>
      </w:r>
      <w:r>
        <w:rPr>
          <w:rFonts w:hint="eastAsia" w:ascii="Times New Roman" w:hAnsi="Times New Roman" w:eastAsia="方正仿宋_GBK" w:cs="Times New Roman"/>
          <w:sz w:val="28"/>
          <w:szCs w:val="28"/>
        </w:rPr>
        <w:t xml:space="preserve">。</w:t>
      </w:r>
      <w:r/>
    </w:p>
    <w:p>
      <w:pPr>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⑥未尽事宜按有关规定执行。</w:t>
      </w:r>
      <w:r/>
    </w:p>
    <w:p>
      <w:pPr>
        <w:ind w:firstLine="560"/>
        <w:spacing w:line="500" w:lineRule="exact"/>
        <w:rPr>
          <w:rFonts w:hint="eastAsia" w:ascii="Times New Roman" w:hAnsi="Times New Roman" w:eastAsia="方正仿宋_GBK" w:cs="Times New Roman"/>
          <w:b/>
          <w:bCs/>
          <w:sz w:val="28"/>
          <w:szCs w:val="28"/>
          <w:highlight w:val="yellow"/>
          <w:lang w:val="en-US" w:eastAsia="zh-CN"/>
        </w:rPr>
      </w:pPr>
      <w:r>
        <w:rPr>
          <w:rFonts w:hint="eastAsia" w:eastAsia="方正仿宋_GBK" w:cs="Times New Roman"/>
          <w:b/>
          <w:bCs/>
          <w:sz w:val="28"/>
          <w:szCs w:val="28"/>
          <w:lang w:val="en-US" w:eastAsia="zh-CN"/>
        </w:rPr>
        <w:t xml:space="preserve">4.</w:t>
      </w:r>
      <w:r>
        <w:rPr>
          <w:rFonts w:hint="eastAsia" w:ascii="Times New Roman" w:hAnsi="Times New Roman" w:eastAsia="方正仿宋_GBK" w:cs="Times New Roman"/>
          <w:b/>
          <w:bCs/>
          <w:sz w:val="28"/>
          <w:szCs w:val="28"/>
          <w:lang w:val="en-US" w:eastAsia="zh-CN"/>
        </w:rPr>
        <w:t xml:space="preserve">特别要求</w:t>
      </w:r>
      <w:r>
        <w:rPr>
          <w:rFonts w:hint="eastAsia" w:ascii="Times New Roman" w:hAnsi="Times New Roman" w:eastAsia="方正仿宋_GBK" w:cs="Times New Roman"/>
          <w:b/>
          <w:bCs/>
          <w:color w:val="ff0000"/>
          <w:sz w:val="36"/>
          <w:szCs w:val="36"/>
          <w:highlight w:val="yellow"/>
          <w:lang w:val="en-US" w:eastAsia="zh-CN"/>
        </w:rPr>
        <w:t xml:space="preserve">(请各投标单位务必仔细阅读并遵守)</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（1）</w:t>
      </w:r>
      <w:r>
        <w:rPr>
          <w:rFonts w:hint="eastAsia" w:ascii="Times New Roman" w:hAnsi="Times New Roman" w:eastAsia="方正仿宋_GBK" w:cs="Times New Roman"/>
          <w:b/>
          <w:bCs/>
          <w:color w:val="ff0000"/>
          <w:sz w:val="28"/>
          <w:szCs w:val="28"/>
          <w:lang w:val="en-US" w:eastAsia="zh-CN"/>
        </w:rPr>
        <w:t xml:space="preserve">投标单位务必自行对本项目进行现场踏勘，掌握本项目基本情况后投标。招标文件中对同一事项描述存在差异的，以有利于采购人描述为准。</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（2）</w:t>
      </w:r>
      <w:r>
        <w:rPr>
          <w:rFonts w:hint="eastAsia" w:ascii="Times New Roman" w:hAnsi="Times New Roman" w:eastAsia="方正仿宋_GBK" w:cs="Times New Roman"/>
          <w:b/>
          <w:bCs/>
          <w:color w:val="ff0000"/>
          <w:sz w:val="28"/>
          <w:szCs w:val="28"/>
          <w:lang w:val="en-US" w:eastAsia="zh-CN"/>
        </w:rPr>
        <w:t xml:space="preserve">投标单位拟投入本项目的所有人员须专职服务于本项目，所有人员每周服务本项目不少于5天（鉴于亮化养护管理工作的特性，周五、周六、周日及法定节假日应安排不少于60%的养护人员值班服务），每日服务时间不少于6小时，且服务时间应介于6：00-22：00间，其他时段不计入服务时间（值班、加班等薪酬及调休等费用由投标单位自行在报价中考虑）。</w:t>
      </w:r>
      <w:r>
        <w:rPr>
          <w:rFonts w:hint="eastAsia" w:ascii="Times New Roman" w:hAnsi="Times New Roman" w:eastAsia="方正仿宋_GBK" w:cs="Times New Roman"/>
          <w:b/>
          <w:bCs/>
          <w:color w:val="ff0000"/>
          <w:sz w:val="28"/>
          <w:szCs w:val="28"/>
        </w:rPr>
        <w:t xml:space="preserve">所有人员</w:t>
      </w:r>
      <w:r>
        <w:rPr>
          <w:rFonts w:hint="eastAsia" w:ascii="Times New Roman" w:hAnsi="Times New Roman" w:eastAsia="方正仿宋_GBK" w:cs="Times New Roman"/>
          <w:b/>
          <w:bCs/>
          <w:color w:val="ff0000"/>
          <w:sz w:val="28"/>
          <w:szCs w:val="28"/>
          <w:lang w:val="en-US" w:eastAsia="zh-CN"/>
        </w:rPr>
        <w:t xml:space="preserve">服务期间须接受采购人轨迹定位考勤管理</w:t>
      </w:r>
      <w:r>
        <w:rPr>
          <w:rFonts w:hint="eastAsia" w:ascii="Times New Roman" w:hAnsi="Times New Roman" w:eastAsia="方正仿宋_GBK" w:cs="Times New Roman"/>
          <w:b/>
          <w:bCs/>
          <w:color w:val="ff0000"/>
          <w:sz w:val="28"/>
          <w:szCs w:val="28"/>
        </w:rPr>
        <w:t xml:space="preserve">，</w:t>
      </w:r>
      <w:r>
        <w:rPr>
          <w:rFonts w:hint="eastAsia" w:ascii="Times New Roman" w:hAnsi="Times New Roman" w:eastAsia="方正仿宋_GBK" w:cs="Times New Roman"/>
          <w:b/>
          <w:bCs/>
          <w:color w:val="ff0000"/>
          <w:sz w:val="28"/>
          <w:szCs w:val="28"/>
          <w:lang w:val="en-US" w:eastAsia="zh-CN"/>
        </w:rPr>
        <w:t xml:space="preserve">落实签到签退制度，轨迹定位考勤设备（中标单位自行提供且应符合采购人要求）</w:t>
      </w:r>
      <w:r>
        <w:rPr>
          <w:rFonts w:hint="eastAsia" w:ascii="Times New Roman" w:hAnsi="Times New Roman" w:eastAsia="方正仿宋_GBK" w:cs="Times New Roman"/>
          <w:b/>
          <w:bCs/>
          <w:color w:val="ff0000"/>
          <w:sz w:val="28"/>
          <w:szCs w:val="28"/>
        </w:rPr>
        <w:t xml:space="preserve">须</w:t>
      </w:r>
      <w:r>
        <w:rPr>
          <w:rFonts w:hint="eastAsia" w:ascii="Times New Roman" w:hAnsi="Times New Roman" w:eastAsia="方正仿宋_GBK" w:cs="Times New Roman"/>
          <w:b/>
          <w:bCs/>
          <w:color w:val="ff0000"/>
          <w:sz w:val="28"/>
          <w:szCs w:val="28"/>
          <w:lang w:val="en-US" w:eastAsia="zh-CN"/>
        </w:rPr>
        <w:t xml:space="preserve">接入</w:t>
      </w:r>
      <w:r>
        <w:rPr>
          <w:rFonts w:hint="eastAsia" w:ascii="Times New Roman" w:hAnsi="Times New Roman" w:eastAsia="方正仿宋_GBK" w:cs="Times New Roman"/>
          <w:b/>
          <w:bCs/>
          <w:color w:val="ff0000"/>
          <w:sz w:val="28"/>
          <w:szCs w:val="28"/>
          <w:lang w:eastAsia="zh-CN"/>
        </w:rPr>
        <w:t xml:space="preserve">采购人</w:t>
      </w:r>
      <w:r>
        <w:rPr>
          <w:rFonts w:hint="eastAsia" w:ascii="Times New Roman" w:hAnsi="Times New Roman" w:eastAsia="方正仿宋_GBK" w:cs="Times New Roman"/>
          <w:b/>
          <w:bCs/>
          <w:color w:val="ff0000"/>
          <w:sz w:val="28"/>
          <w:szCs w:val="28"/>
        </w:rPr>
        <w:t xml:space="preserve">指定的“智慧化管理系统”</w:t>
      </w:r>
      <w:r>
        <w:rPr>
          <w:rFonts w:hint="eastAsia" w:ascii="Times New Roman" w:hAnsi="Times New Roman" w:eastAsia="方正仿宋_GBK" w:cs="Times New Roman"/>
          <w:b/>
          <w:bCs/>
          <w:color w:val="ff0000"/>
          <w:sz w:val="28"/>
          <w:szCs w:val="28"/>
          <w:lang w:val="en-US" w:eastAsia="zh-CN"/>
        </w:rPr>
        <w:t xml:space="preserve">，并</w:t>
      </w:r>
      <w:r>
        <w:rPr>
          <w:rFonts w:hint="eastAsia" w:ascii="Times New Roman" w:hAnsi="Times New Roman" w:eastAsia="方正仿宋_GBK" w:cs="Times New Roman"/>
          <w:b/>
          <w:bCs/>
          <w:color w:val="ff0000"/>
          <w:sz w:val="28"/>
          <w:szCs w:val="28"/>
        </w:rPr>
        <w:t xml:space="preserve">实时上传作业轨迹定位信息，确保人员考勤可查、作业轨迹全程可追溯</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服务期间作业人员不得离开以启东市江海路人民路交叉口为圆心，半径15公里的区域范围</w:t>
      </w:r>
      <w:r>
        <w:rPr>
          <w:rFonts w:hint="eastAsia" w:ascii="Times New Roman" w:hAnsi="Times New Roman" w:eastAsia="方正仿宋_GBK" w:cs="Times New Roman"/>
          <w:b/>
          <w:bCs/>
          <w:color w:val="ff0000"/>
          <w:sz w:val="28"/>
          <w:szCs w:val="28"/>
        </w:rPr>
        <w:t xml:space="preserve">。</w:t>
      </w:r>
      <w:r>
        <w:rPr>
          <w:rFonts w:hint="eastAsia" w:ascii="Times New Roman" w:hAnsi="Times New Roman" w:eastAsia="方正仿宋_GBK" w:cs="Times New Roman"/>
          <w:b/>
          <w:bCs/>
          <w:color w:val="ff0000"/>
          <w:sz w:val="28"/>
          <w:szCs w:val="28"/>
          <w:lang w:val="en-US" w:eastAsia="zh-CN"/>
        </w:rPr>
        <w:t xml:space="preserve">采购人发现投标单位虚假考勤的（包括但不限于将考勤设备转与他人佩戴人机分离、签到后服务本项目期间从事其他项目服务等情形），扣除服务费1000元每人每次</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本项目原则上不得更换人员，确需更换人员的，应征得采购人同意，替换人员能力应不低于被替换人员；因丧失劳动能力（以人社部门签发的劳动能力鉴定为准）以外的其他原因（包含员工离职）更换人员的，更换项目负责人每次扣除服务费20万元，技术负责人每次扣除服务费10万元，其他养护人员每人每次扣除服务费5万元。</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（3）</w:t>
      </w:r>
      <w:r>
        <w:rPr>
          <w:rFonts w:hint="eastAsia" w:ascii="Times New Roman" w:hAnsi="Times New Roman" w:eastAsia="方正仿宋_GBK" w:cs="Times New Roman"/>
          <w:b/>
          <w:bCs/>
          <w:color w:val="ff0000"/>
          <w:sz w:val="28"/>
          <w:szCs w:val="28"/>
          <w:lang w:val="en-US" w:eastAsia="zh-CN"/>
        </w:rPr>
        <w:t xml:space="preserve">投标单位投标文件中拟投入本项目的所有车辆应全程服务于本项目，所有车辆应安装定位设备进行考勤、</w:t>
      </w:r>
      <w:r>
        <w:rPr>
          <w:rFonts w:hint="eastAsia" w:ascii="Times New Roman" w:hAnsi="Times New Roman" w:eastAsia="方正仿宋_GBK" w:cs="Times New Roman"/>
          <w:b/>
          <w:bCs/>
          <w:color w:val="ff0000"/>
          <w:sz w:val="28"/>
          <w:szCs w:val="28"/>
        </w:rPr>
        <w:t xml:space="preserve">安装360度全景监控摄像头</w:t>
      </w:r>
      <w:r>
        <w:rPr>
          <w:rFonts w:hint="eastAsia" w:ascii="Times New Roman" w:hAnsi="Times New Roman" w:eastAsia="方正仿宋_GBK" w:cs="Times New Roman"/>
          <w:b/>
          <w:bCs/>
          <w:color w:val="ff0000"/>
          <w:sz w:val="28"/>
          <w:szCs w:val="28"/>
          <w:lang w:val="en-US" w:eastAsia="zh-CN"/>
        </w:rPr>
        <w:t xml:space="preserve">进行养护作业全过程可视化监管（以上设备由中标单位自行提供且应符合采购人要求）；定位设备、监控摄像头应与车辆绑定，不得拆卸，且应接入采购人</w:t>
      </w:r>
      <w:r>
        <w:rPr>
          <w:rFonts w:hint="eastAsia" w:ascii="Times New Roman" w:hAnsi="Times New Roman" w:eastAsia="方正仿宋_GBK" w:cs="Times New Roman"/>
          <w:b/>
          <w:bCs/>
          <w:color w:val="ff0000"/>
          <w:sz w:val="28"/>
          <w:szCs w:val="28"/>
        </w:rPr>
        <w:t xml:space="preserve">“智慧化管理系统”</w:t>
      </w:r>
      <w:r>
        <w:rPr>
          <w:rFonts w:hint="eastAsia" w:ascii="Times New Roman" w:hAnsi="Times New Roman" w:eastAsia="方正仿宋_GBK" w:cs="Times New Roman"/>
          <w:b/>
          <w:bCs/>
          <w:color w:val="ff0000"/>
          <w:sz w:val="28"/>
          <w:szCs w:val="28"/>
          <w:lang w:val="en-US" w:eastAsia="zh-CN"/>
        </w:rPr>
        <w:t xml:space="preserve">并实时上传数据；摄像头应</w:t>
      </w:r>
      <w:r>
        <w:rPr>
          <w:rFonts w:hint="eastAsia" w:ascii="Times New Roman" w:hAnsi="Times New Roman" w:eastAsia="方正仿宋_GBK" w:cs="Times New Roman"/>
          <w:b/>
          <w:bCs/>
          <w:color w:val="ff0000"/>
          <w:sz w:val="28"/>
          <w:szCs w:val="28"/>
        </w:rPr>
        <w:t xml:space="preserve">无监控盲区</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rPr>
        <w:t xml:space="preserve">视频数据保存时长不少于30天，视频分辨率不低于1080P</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rPr>
        <w:t xml:space="preserve">上述作业车辆</w:t>
      </w:r>
      <w:r>
        <w:rPr>
          <w:rFonts w:hint="eastAsia" w:ascii="Times New Roman" w:hAnsi="Times New Roman" w:eastAsia="方正仿宋_GBK" w:cs="Times New Roman"/>
          <w:b/>
          <w:bCs/>
          <w:color w:val="ff0000"/>
          <w:sz w:val="28"/>
          <w:szCs w:val="28"/>
          <w:lang w:val="en-US" w:eastAsia="zh-CN"/>
        </w:rPr>
        <w:t xml:space="preserve">定位设备、监控</w:t>
      </w:r>
      <w:r>
        <w:rPr>
          <w:rFonts w:hint="eastAsia" w:ascii="Times New Roman" w:hAnsi="Times New Roman" w:eastAsia="方正仿宋_GBK" w:cs="Times New Roman"/>
          <w:b/>
          <w:bCs/>
          <w:color w:val="ff0000"/>
          <w:sz w:val="28"/>
          <w:szCs w:val="28"/>
        </w:rPr>
        <w:t xml:space="preserve">摄像头的购置、安装、调试、视频存储及系统接入等相关费用，均已包含在投标报价中，</w:t>
      </w:r>
      <w:r>
        <w:rPr>
          <w:rFonts w:hint="eastAsia" w:ascii="Times New Roman" w:hAnsi="Times New Roman" w:eastAsia="方正仿宋_GBK" w:cs="Times New Roman"/>
          <w:b/>
          <w:bCs/>
          <w:color w:val="ff0000"/>
          <w:sz w:val="28"/>
          <w:szCs w:val="28"/>
          <w:lang w:eastAsia="zh-CN"/>
        </w:rPr>
        <w:t xml:space="preserve">采购人</w:t>
      </w:r>
      <w:r>
        <w:rPr>
          <w:rFonts w:hint="eastAsia" w:ascii="Times New Roman" w:hAnsi="Times New Roman" w:eastAsia="方正仿宋_GBK" w:cs="Times New Roman"/>
          <w:b/>
          <w:bCs/>
          <w:color w:val="ff0000"/>
          <w:sz w:val="28"/>
          <w:szCs w:val="28"/>
        </w:rPr>
        <w:t xml:space="preserve">不另行支付</w:t>
      </w:r>
      <w:r>
        <w:rPr>
          <w:rFonts w:hint="eastAsia" w:ascii="Times New Roman" w:hAnsi="Times New Roman" w:eastAsia="方正仿宋_GBK" w:cs="Times New Roman"/>
          <w:b/>
          <w:bCs/>
          <w:color w:val="ff0000"/>
          <w:sz w:val="28"/>
          <w:szCs w:val="28"/>
          <w:lang w:val="en-US" w:eastAsia="zh-CN"/>
        </w:rPr>
        <w:t xml:space="preserve">费用</w:t>
      </w:r>
      <w:r>
        <w:rPr>
          <w:rFonts w:hint="eastAsia" w:ascii="Times New Roman" w:hAnsi="Times New Roman" w:eastAsia="方正仿宋_GBK" w:cs="Times New Roman"/>
          <w:b/>
          <w:bCs/>
          <w:color w:val="ff0000"/>
          <w:sz w:val="28"/>
          <w:szCs w:val="28"/>
          <w:lang w:eastAsia="zh-CN"/>
        </w:rPr>
        <w:t xml:space="preserve">）</w:t>
      </w:r>
      <w:r>
        <w:rPr>
          <w:rFonts w:hint="eastAsia" w:ascii="Times New Roman" w:hAnsi="Times New Roman" w:eastAsia="方正仿宋_GBK" w:cs="Times New Roman"/>
          <w:b/>
          <w:bCs/>
          <w:color w:val="ff0000"/>
          <w:sz w:val="28"/>
          <w:szCs w:val="28"/>
          <w:lang w:val="en-US" w:eastAsia="zh-CN"/>
        </w:rPr>
        <w:t xml:space="preserve">；服务时间、考勤、服务区域等要求同人员要求。本项目原则上不得更换服务车辆，确需更换车辆的，应征得采购人同意，替换车辆性能标准应同等或高于被替换车辆；因车辆报废（以车管部门报废手续为准）以外的其他原因更换车辆的，每替换一辆扣除服务费10万元。车辆因事故或故障需要维修的，维修前应向采购人报备，维修期间，投标单位应提供同类型或高于投标车辆性能标准的车辆保障养护作业并替代考勤。</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（4）</w:t>
      </w:r>
      <w:r>
        <w:rPr>
          <w:rFonts w:hint="eastAsia" w:ascii="Times New Roman" w:hAnsi="Times New Roman" w:eastAsia="方正仿宋_GBK" w:cs="Times New Roman"/>
          <w:b/>
          <w:bCs/>
          <w:color w:val="ff0000"/>
          <w:sz w:val="28"/>
          <w:szCs w:val="28"/>
          <w:lang w:val="en-US" w:eastAsia="zh-CN"/>
        </w:rPr>
        <w:t xml:space="preserve">所有人员及车辆月出勤率不得低于85%。除因病请假外（持二级及以上医院证明），月出勤率＜85%、≥75%的，车辆、项目负责人、技术负责人扣</w:t>
      </w:r>
      <w:r>
        <w:rPr>
          <w:rFonts w:hint="eastAsia" w:ascii="Times New Roman" w:hAnsi="Times New Roman" w:eastAsia="方正仿宋_GBK" w:cs="Times New Roman"/>
          <w:b/>
          <w:bCs/>
          <w:color w:val="ff0000"/>
          <w:sz w:val="28"/>
          <w:szCs w:val="28"/>
          <w:lang w:val="en-US" w:eastAsia="zh-CN"/>
        </w:rPr>
        <w:t xml:space="preserve">除服务费5000元/月/人或辆，其他养护人员扣除服务费3000元/月/人；月出勤率＜75%、≥50%的，车辆、项目负责人、技术负责人扣除服务费10000元/月/人或辆，其他养护人员扣除服务费5000元/月/人；月出勤率＜50%的，车辆、项目负责人、技术负责人扣除服务费20000元/月/人或辆，其他养护人员扣除服务费10000元/月/人。月出勤率计算方式=单日服务时间大于6小时天数/（当月天数/7*5并向上取整，如20.1天取整为21天）*100%。（法定节假日出勤计入出勤率，由中标单位根据考勤要求自行安排）</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（5）</w:t>
      </w:r>
      <w:r>
        <w:rPr>
          <w:rFonts w:hint="eastAsia" w:ascii="Times New Roman" w:hAnsi="Times New Roman" w:eastAsia="方正仿宋_GBK" w:cs="Times New Roman"/>
          <w:b/>
          <w:bCs/>
          <w:color w:val="ff0000"/>
          <w:sz w:val="28"/>
          <w:szCs w:val="28"/>
          <w:lang w:val="en-US" w:eastAsia="zh-CN"/>
        </w:rPr>
        <w:t xml:space="preserve">投标单位中标后，应对待接手养护项目进行全面盘点，如现场与清单不一致的应及时提出，由采购人组织原亮化设施建设单位、采购人、中标人等多方共同核实，并根据核实后清单进行移交。移交过程中，可能存在部分点位因未达到移交条件滞后移交，滞后移交部分设施养护费从移交养护之日起计算，养护期与第一批移交亮化设施服务截止时间同时截止。</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（6）</w:t>
      </w:r>
      <w:r>
        <w:rPr>
          <w:rFonts w:hint="eastAsia" w:ascii="Times New Roman" w:hAnsi="Times New Roman" w:eastAsia="方正仿宋_GBK" w:cs="Times New Roman"/>
          <w:b/>
          <w:bCs/>
          <w:color w:val="ff0000"/>
          <w:sz w:val="28"/>
          <w:szCs w:val="28"/>
          <w:lang w:val="en-US" w:eastAsia="zh-CN"/>
        </w:rPr>
        <w:t xml:space="preserve">养护服务期间，中标人应确保养护清单设施正常运行直至移交下一轮养护单位，移交下一轮养护单位时养护清单设施出现误差的，由本轮中标单位按原标准建设补齐，本轮中标单位拒不建设补齐的，采购人有权委托下一轮养护单位建设补齐，相关费用从本轮中标单位服务费和履约保证金中扣除（费用标准按相关定额计算，不作下浮；若无相关定额，按采购人其他养护项目价格计算，不作下浮）。本项目于2019年底开工建设，2020年底竣工，投标单位应充分考虑招标项目灯具及材料寿命周期及成本。</w:t>
      </w:r>
      <w:r/>
    </w:p>
    <w:p>
      <w:pPr>
        <w:ind w:left="0" w:right="0" w:firstLine="560"/>
        <w:jc w:val="left"/>
        <w:keepLines w:val="0"/>
        <w:keepNext w:val="0"/>
        <w:pageBreakBefore w:val="0"/>
        <w:spacing w:line="56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w:t>
      </w:r>
      <w:r>
        <w:rPr>
          <w:rFonts w:hint="eastAsia" w:ascii="Times New Roman" w:hAnsi="Times New Roman" w:eastAsia="方正仿宋_GBK" w:cs="Times New Roman"/>
          <w:b/>
          <w:bCs/>
          <w:color w:val="ff0000"/>
          <w:sz w:val="28"/>
          <w:szCs w:val="28"/>
          <w:lang w:val="en-US" w:eastAsia="zh-CN"/>
        </w:rPr>
        <w:t xml:space="preserve">7）投标单位应明确各类型灯具品牌。灯具需更换时，替换灯具品牌应与投标品牌一致，规格尺寸应与被替换灯具一致，参数不低于被替换灯具。若投标品牌停产或不可采购，须提前15个工作日书面申请，经采购人书面同意后方可更换为同等或更高性能的替代品牌。</w:t>
      </w:r>
      <w:r/>
    </w:p>
    <w:p>
      <w:pPr>
        <w:ind w:firstLine="560"/>
        <w:spacing w:line="500" w:lineRule="exact"/>
        <w:rPr>
          <w:rFonts w:hint="eastAsia" w:ascii="Times New Roman" w:hAnsi="Times New Roman" w:eastAsia="方正仿宋_GBK" w:cs="Times New Roman"/>
          <w:b/>
          <w:bCs/>
          <w:color w:val="ff0000"/>
          <w:sz w:val="28"/>
          <w:szCs w:val="28"/>
          <w:lang w:val="en-US" w:eastAsia="zh-CN"/>
        </w:rPr>
      </w:pPr>
      <w:r>
        <w:rPr>
          <w:rFonts w:hint="eastAsia" w:eastAsia="方正仿宋_GBK" w:cs="Times New Roman"/>
          <w:b/>
          <w:bCs/>
          <w:color w:val="ff0000"/>
          <w:sz w:val="28"/>
          <w:szCs w:val="28"/>
          <w:lang w:val="en-US" w:eastAsia="zh-CN"/>
        </w:rPr>
        <w:t xml:space="preserve">（8）</w:t>
      </w:r>
      <w:r>
        <w:rPr>
          <w:rFonts w:hint="eastAsia" w:ascii="Times New Roman" w:hAnsi="Times New Roman" w:eastAsia="方正仿宋_GBK" w:cs="Times New Roman"/>
          <w:b/>
          <w:bCs/>
          <w:color w:val="ff0000"/>
          <w:sz w:val="28"/>
          <w:szCs w:val="28"/>
          <w:lang w:val="en-US" w:eastAsia="zh-CN"/>
        </w:rPr>
        <w:t xml:space="preserve">鉴于本项目亮化设施数量较大，亮灯率等考核采购人可任意抽查两个及以上点位或区块（每次考核每个点位选择不超过1个区块，每个区块光源设施不少于500只）进行考核，考核结果的算术平均数作为项目总体考核结果。</w:t>
      </w:r>
      <w:r/>
    </w:p>
    <w:p>
      <w:pPr>
        <w:ind w:firstLine="560"/>
        <w:spacing w:line="500" w:lineRule="exact"/>
        <w:rPr>
          <w:rFonts w:hint="default" w:ascii="Times New Roman" w:hAnsi="Times New Roman" w:eastAsia="方正仿宋_GBK" w:cs="Times New Roman"/>
          <w:b/>
          <w:bCs/>
          <w:color w:val="ff0000"/>
          <w:sz w:val="28"/>
          <w:szCs w:val="28"/>
          <w:highlight w:val="yellow"/>
          <w:lang w:val="en-US" w:eastAsia="zh-CN"/>
        </w:rPr>
      </w:pPr>
      <w:r>
        <w:rPr>
          <w:rFonts w:hint="eastAsia" w:ascii="Times New Roman" w:hAnsi="Times New Roman" w:eastAsia="方正仿宋_GBK" w:cs="Times New Roman"/>
          <w:b/>
          <w:bCs/>
          <w:color w:val="ff0000"/>
          <w:sz w:val="28"/>
          <w:szCs w:val="28"/>
          <w:highlight w:val="yellow"/>
          <w:lang w:val="en-US" w:eastAsia="zh-CN"/>
        </w:rPr>
        <w:t xml:space="preserve">（9）本项目部分亮化设施接入相关企事业单位用电电表，该部分电费由养护单位先行垫付，确保路灯设施照明用电正常，后续由养护单位按月向</w:t>
      </w:r>
      <w:r>
        <w:rPr>
          <w:rFonts w:hint="eastAsia" w:eastAsia="方正仿宋_GBK" w:cs="Times New Roman"/>
          <w:b/>
          <w:bCs/>
          <w:color w:val="ff0000"/>
          <w:sz w:val="28"/>
          <w:szCs w:val="28"/>
          <w:highlight w:val="yellow"/>
          <w:lang w:val="en-US" w:eastAsia="zh-CN"/>
        </w:rPr>
        <w:t xml:space="preserve">采购</w:t>
      </w:r>
      <w:r>
        <w:rPr>
          <w:rFonts w:hint="eastAsia" w:ascii="Times New Roman" w:hAnsi="Times New Roman" w:eastAsia="方正仿宋_GBK" w:cs="Times New Roman"/>
          <w:b/>
          <w:bCs/>
          <w:color w:val="ff0000"/>
          <w:sz w:val="28"/>
          <w:szCs w:val="28"/>
          <w:highlight w:val="yellow"/>
          <w:lang w:val="en-US" w:eastAsia="zh-CN"/>
        </w:rPr>
        <w:t xml:space="preserve">人按实申报结算。</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三、采购服务期限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本项目服务期自招标清单中第一批亮化设施移交养护之日起一年。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本项目预算为一年度的预算，根据《政府购买服务管理办法》第二十四条</w:t>
      </w:r>
      <w:r>
        <w:rPr>
          <w:rFonts w:hint="eastAsia" w:ascii="Times New Roman" w:hAnsi="Times New Roman" w:eastAsia="方正仿宋_GBK" w:cs="Times New Roman"/>
          <w:b w:val="0"/>
          <w:bCs w:val="0"/>
          <w:sz w:val="28"/>
          <w:szCs w:val="28"/>
          <w:lang w:val="en-US" w:eastAsia="zh-CN"/>
        </w:rPr>
        <w:t xml:space="preserve">规定，本项目根据采购结果，采取一次招标三年沿用。服务期自招标清单中第一批亮化设施移交养护之日起一年，实行一年一考核一续签合同的办法，一年合同期满后，采购人可自主决定是否续签下一年度合同。采购人不再续签合同时，应在一年合同到期前书面通知中标人，采购人未书面通知的，合同自动展期一年，最多展期两次。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若服务期到期后，经采购人重新招标后中标单位与原中标单位非同一主体的，为保证服务工作的延续性，提前六个月开始办理交接手续，由于养护单位造成的拖延，期间的养护责任和费用由原养护单位承担。</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四、报价要求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（一）养护包干费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本项目采用固定总价包干报价方式，报价为完成全过程养护工作所需的一切</w:t>
      </w:r>
      <w:r>
        <w:rPr>
          <w:rFonts w:hint="eastAsia" w:ascii="Times New Roman" w:hAnsi="Times New Roman" w:eastAsia="方正仿宋_GBK" w:cs="Times New Roman"/>
          <w:b w:val="0"/>
          <w:bCs w:val="0"/>
          <w:sz w:val="28"/>
          <w:szCs w:val="28"/>
          <w:lang w:val="en-US" w:eastAsia="zh-CN"/>
        </w:rPr>
        <w:t xml:space="preserve">费用。投标人报价时须综合测算项目全部成本，将各类型灯具对应的配套电气辅材、控制系统及相关配套设施的所有费用，均摊至清单内对应每套灯具的报价中，上述辅材及配套设施费用不单独计价；报价包含但不限于：管理人员及维护维修人员人工费、高空作业保险费、各类协调费、高空作业车辆等特种车辆及设备设施使用费、车辆保险费、维修材料费（含管线、变压器、控制箱等）、大型机械进出场费、亮化设施巡查检修及更换费，以及管理费、利润、规费、措施项目费、技术措施费、检验试验费、税金、施工优化成本，且包含合同履行过程中可能发生的各类风险费用。</w:t>
      </w:r>
      <w:r>
        <w:rPr>
          <w:rFonts w:hint="eastAsia" w:ascii="Times New Roman" w:hAnsi="Times New Roman" w:eastAsia="方正仿宋_GBK" w:cs="Times New Roman"/>
          <w:b/>
          <w:bCs/>
          <w:sz w:val="28"/>
          <w:szCs w:val="28"/>
          <w:lang w:val="en-US" w:eastAsia="zh-CN"/>
        </w:rPr>
        <w:t xml:space="preserve">最终移交养护量与招标清单存在误差时，按中标人招标报价中对应的清单综合单价对原固定总价进行调整；部分设施移交滞后时，滞后移交部分设施按实际养护期限重新计算对原固定总价进行调整；养护期内因规划建设等政策性调整发生亮化设施养护数量减少或增加的，依据实际数量及相应投标单价按实调整养护费；除此之外，合同总价不再作其他调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（二）零星维修工程费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零星维修工程费单独预留，报价时不作报价。在养护期内，亮化设施发生不可抗力损毁或完成上级交办的临时性任务等，采购人可直接委托中标单位实施并签订补充合同，按实签证结算。该部分零星维修工程费下浮率按启东市人民政府2019年第6次市长办公会议纪要执行。其他与养护有关的所有费用均计入包干费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2.签证的项目工程量，实行预先申报制，经采购人同意后方可实施，超过3万元的项目须同时报财政局审批，否则不予签证。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零星维修部分的工程量以现场签证为准，结算审核时，按照建设行政主管部门发布的计价办法和计价标准计算造价，计算出的金额乘以（1-零星工程下浮率）作为零星维修工程费最终结算价。若无定额或单价的材料、设备则对其综合单价进行合理性分析（依据市场价、询价结果等多方面因素）并经采购人确认后作为结算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（三）投标项目涉及到的现场勘察</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招标文件所提供的项目相关数据仅做参考，根据自身需要，投标人可在递交投标文件截止之日前对有关现场和周围环境进行勘察，以便获取编制投标文件和签署合同所需的信息。勘察现场所发生的费用由投标人自己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2.采购人向投标人提供的有关现场的资料和数据，是采购人现有的并认为能使投标人可利用的资料。采购人对投标人由此而做出的推论、理解和结论概不负责。</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3.采购人提供的亮化设施养护清单数据与现场实际清单不一致或因部分设施未达到移交条件滞后移交的风险由投标人自行承担，请各投标人自行踏勘现场，在报价时充分考虑该风险因素。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4.投标人应认真踏勘现场，充分考虑各种风险，一旦中标不得以不了解现场情况为由，提出增加费用的要求。</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五、采购标的的其他技术、服务等要求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六、付款方式</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1.第一、二个养护服务年度，养护服务费根据考核结果每半年支付一次（扣除中标人应被扣服务费）；第三个养护服务年度养护服务费根据考核结果，待与下一轮养护接管单位交接手续办妥后一次性结算拨付。</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2.每次申请付款时须同时提供作业人员出具的未拖欠工资证明或中标人的作业人员工资支付证明。</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lang w:val="en-US" w:eastAsia="zh-CN"/>
        </w:rPr>
        <w:t xml:space="preserve">注：</w:t>
      </w:r>
      <w:r>
        <w:rPr>
          <w:rFonts w:hint="eastAsia" w:eastAsia="方正仿宋_GBK" w:cs="Times New Roman"/>
          <w:b w:val="0"/>
          <w:bCs w:val="0"/>
          <w:sz w:val="28"/>
          <w:szCs w:val="28"/>
          <w:lang w:val="en-US" w:eastAsia="zh-CN"/>
        </w:rPr>
        <w:t xml:space="preserve">中标供应商</w:t>
      </w:r>
      <w:r>
        <w:rPr>
          <w:rFonts w:hint="eastAsia" w:ascii="Times New Roman" w:hAnsi="Times New Roman" w:eastAsia="方正仿宋_GBK" w:cs="Times New Roman"/>
          <w:b w:val="0"/>
          <w:bCs w:val="0"/>
          <w:sz w:val="28"/>
          <w:szCs w:val="28"/>
          <w:lang w:val="en-US" w:eastAsia="zh-CN"/>
        </w:rPr>
        <w:t xml:space="preserve">申请付款的程序应符合</w:t>
      </w:r>
      <w:r>
        <w:rPr>
          <w:rFonts w:hint="eastAsia" w:eastAsia="方正仿宋_GBK" w:cs="Times New Roman"/>
          <w:b w:val="0"/>
          <w:bCs w:val="0"/>
          <w:sz w:val="28"/>
          <w:szCs w:val="28"/>
          <w:lang w:val="en-US" w:eastAsia="zh-CN"/>
        </w:rPr>
        <w:t xml:space="preserve">采购人</w:t>
      </w:r>
      <w:r>
        <w:rPr>
          <w:rFonts w:hint="eastAsia" w:ascii="Times New Roman" w:hAnsi="Times New Roman" w:eastAsia="方正仿宋_GBK" w:cs="Times New Roman"/>
          <w:b w:val="0"/>
          <w:bCs w:val="0"/>
          <w:sz w:val="28"/>
          <w:szCs w:val="28"/>
          <w:lang w:val="en-US" w:eastAsia="zh-CN"/>
        </w:rPr>
        <w:t xml:space="preserve">的财务规定。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七、履约保证金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1.本项目中标后的履约保证金为项目</w:t>
      </w:r>
      <w:r>
        <w:rPr>
          <w:rFonts w:hint="eastAsia" w:ascii="Times New Roman" w:hAnsi="Times New Roman" w:eastAsia="方正仿宋_GBK" w:cs="Times New Roman"/>
          <w:b w:val="0"/>
          <w:bCs w:val="0"/>
          <w:sz w:val="28"/>
          <w:szCs w:val="28"/>
          <w:u w:val="single"/>
          <w:lang w:val="en-US" w:eastAsia="zh-CN"/>
        </w:rPr>
        <w:t xml:space="preserve">中标价的10%</w:t>
      </w:r>
      <w:r>
        <w:rPr>
          <w:rFonts w:hint="eastAsia" w:ascii="Times New Roman" w:hAnsi="Times New Roman" w:eastAsia="方正仿宋_GBK" w:cs="Times New Roman"/>
          <w:b w:val="0"/>
          <w:bCs w:val="0"/>
          <w:sz w:val="28"/>
          <w:szCs w:val="28"/>
          <w:lang w:val="en-US" w:eastAsia="zh-CN"/>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2.履约保证金在养护期满考核合格且完成养护移交后由采购人一次性退还。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3.发生以下情况的，履约保证金不予退还或部分退还：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八、本项目不接受进口产品投标</w:t>
      </w:r>
      <w:bookmarkEnd w:id="1"/>
      <w:r/>
      <w:bookmarkEnd w:id="2"/>
      <w:r/>
      <w:bookmarkEnd w:id="3"/>
      <w:r>
        <w:rPr>
          <w:rFonts w:hint="eastAsia" w:ascii="Times New Roman" w:hAnsi="Times New Roman" w:eastAsia="方正仿宋_GBK" w:cs="Times New Roman"/>
          <w:b/>
          <w:bCs/>
          <w:sz w:val="28"/>
          <w:szCs w:val="28"/>
          <w:lang w:val="en-US" w:eastAsia="zh-CN"/>
        </w:rPr>
        <w:t xml:space="preserve">。</w:t>
      </w:r>
      <w:r/>
    </w:p>
    <w:p>
      <w:pPr>
        <w:ind w:firstLine="560"/>
        <w:spacing w:line="500" w:lineRule="exact"/>
        <w:rPr>
          <w:rFonts w:hint="eastAsia" w:ascii="Times New Roman" w:hAnsi="Times New Roman" w:eastAsia="方正仿宋_GBK" w:cs="Times New Roman"/>
          <w:b/>
          <w:bCs/>
          <w:color w:val="auto"/>
          <w:sz w:val="28"/>
          <w:szCs w:val="28"/>
          <w:lang w:val="en-US" w:eastAsia="zh-CN"/>
        </w:rPr>
      </w:pPr>
      <w:r>
        <w:rPr>
          <w:rFonts w:hint="eastAsia" w:ascii="Times New Roman" w:hAnsi="Times New Roman" w:eastAsia="方正仿宋_GBK" w:cs="Times New Roman"/>
          <w:b/>
          <w:bCs/>
          <w:color w:val="auto"/>
          <w:sz w:val="28"/>
          <w:szCs w:val="28"/>
          <w:lang w:val="en-US" w:eastAsia="zh-CN"/>
        </w:rPr>
        <w:t xml:space="preserve">九、合同条款</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lang w:val="en-US" w:eastAsia="zh-CN"/>
        </w:rPr>
        <w:t xml:space="preserve">委托单位（甲方）：</w:t>
      </w:r>
      <w:r>
        <w:rPr>
          <w:rFonts w:hint="eastAsia" w:ascii="Times New Roman" w:hAnsi="Times New Roman" w:eastAsia="方正仿宋_GBK" w:cs="Times New Roman"/>
          <w:b w:val="0"/>
          <w:bCs w:val="0"/>
          <w:sz w:val="28"/>
          <w:szCs w:val="28"/>
          <w:u w:val="single"/>
          <w:lang w:val="en-US" w:eastAsia="zh-CN"/>
        </w:rPr>
        <w:t xml:space="preserve">启东市住房和城乡建设局</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养护单位（乙方）：</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                      </w:t>
      </w:r>
      <w:r/>
    </w:p>
    <w:p>
      <w:pPr>
        <w:ind w:left="0" w:right="0" w:firstLine="560"/>
        <w:keepLines w:val="0"/>
        <w:keepNext w:val="0"/>
        <w:pageBreakBefore w:val="0"/>
        <w:spacing w:line="56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根据《中华人民共和国政府采购法》、《中华人民共和国民法典》等法律法规的规定，遵循平等、自愿、公平和诚实信用原则，合同双方就</w:t>
      </w:r>
      <w:r>
        <w:rPr>
          <w:rFonts w:hint="eastAsia" w:ascii="Times New Roman" w:hAnsi="Times New Roman" w:eastAsia="方正仿宋_GBK" w:cs="Times New Roman"/>
          <w:b w:val="0"/>
          <w:bCs w:val="0"/>
          <w:sz w:val="28"/>
          <w:szCs w:val="28"/>
          <w:u w:val="single"/>
          <w:lang w:val="en-US" w:eastAsia="zh-CN"/>
        </w:rPr>
        <w:t xml:space="preserve"> </w:t>
      </w:r>
      <w:r>
        <w:rPr>
          <w:rFonts w:hint="eastAsia" w:eastAsia="方正仿宋_GBK" w:cs="Times New Roman"/>
          <w:b w:val="0"/>
          <w:bCs w:val="0"/>
          <w:sz w:val="28"/>
          <w:szCs w:val="28"/>
          <w:u w:val="single"/>
          <w:lang w:val="en-US" w:eastAsia="zh-CN"/>
        </w:rPr>
        <w:t xml:space="preserve">启东市城区拟移交亮化设施（城区亮化照明工程EPC总承包项目）养护项目</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（以下简称“本项目”）的养护服务协商一致，签订本合同。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一、合同文件组成及解释顺序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1.本采购合同；2.中标（成交）通知书；3.投标文件及其附件；4.采购文件（含更正公告）；5. 启东市住房和城乡建设局发布的考核办法、通知等；6.相关标准、规范及有关技术文件。</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二、项目概况</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w:t>
      </w:r>
      <w:r>
        <w:rPr>
          <w:rFonts w:hint="eastAsia" w:eastAsia="方正仿宋_GBK" w:cs="Times New Roman"/>
          <w:b w:val="0"/>
          <w:bCs w:val="0"/>
          <w:sz w:val="28"/>
          <w:szCs w:val="28"/>
          <w:lang w:val="en-US" w:eastAsia="zh-CN"/>
        </w:rPr>
        <w:t xml:space="preserve">养护期：一年，</w:t>
      </w:r>
      <w:r>
        <w:rPr>
          <w:rFonts w:hint="eastAsia" w:ascii="Times New Roman" w:hAnsi="Times New Roman" w:eastAsia="方正仿宋_GBK" w:cs="Times New Roman"/>
          <w:b w:val="0"/>
          <w:bCs w:val="0"/>
          <w:sz w:val="28"/>
          <w:szCs w:val="28"/>
          <w:lang w:val="en-US" w:eastAsia="zh-CN"/>
        </w:rPr>
        <w:t xml:space="preserve">根据《政府购买服务管理办法》第二十四条规定，本项目根据采购结果，采取一次招标三年沿用。服务期自招标清单中第一批亮化设施移交养护之日起一年</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实行一年一考核一续签合同的办法，一年合同期满后，</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可自主决定是否续签下一年度合同。</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不再续签合同时，应在一年合同到期前书面通知</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未书面通知的，合同自动展期一年，最多展期两次。如</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因未获得预算批复或次年预算压减或需求变化等其他原因经书面通知</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后，合同到期终止不再续签，</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自行承担相应风险。如果</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没有达到合同所要求履行条件之一的，则</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有权在委托期限内随时终止合同。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若服务期到期后，经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重新招标后中标单位与</w:t>
      </w:r>
      <w:r>
        <w:rPr>
          <w:rFonts w:hint="eastAsia" w:eastAsia="方正仿宋_GBK" w:cs="Times New Roman"/>
          <w:b w:val="0"/>
          <w:bCs w:val="0"/>
          <w:sz w:val="28"/>
          <w:szCs w:val="28"/>
          <w:lang w:val="en-US" w:eastAsia="zh-CN"/>
        </w:rPr>
        <w:t xml:space="preserve">本合同乙方</w:t>
      </w:r>
      <w:r>
        <w:rPr>
          <w:rFonts w:hint="eastAsia" w:ascii="Times New Roman" w:hAnsi="Times New Roman" w:eastAsia="方正仿宋_GBK" w:cs="Times New Roman"/>
          <w:b w:val="0"/>
          <w:bCs w:val="0"/>
          <w:sz w:val="28"/>
          <w:szCs w:val="28"/>
          <w:lang w:val="en-US" w:eastAsia="zh-CN"/>
        </w:rPr>
        <w:t xml:space="preserve">非同一主体的，为保证服务工作的延续性，提前六个月开始办理交接手续，由于</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造成的拖延，期间的养护责任和费用由</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2.养护范围：2021年启东市城区建设的40余个点位亮化设施的养护，包括建筑业大厦、环球大厦、工人文化宫、农商银</w:t>
      </w:r>
      <w:r>
        <w:rPr>
          <w:rFonts w:hint="eastAsia" w:ascii="Times New Roman" w:hAnsi="Times New Roman" w:eastAsia="方正仿宋_GBK" w:cs="Times New Roman"/>
          <w:b w:val="0"/>
          <w:bCs w:val="0"/>
          <w:sz w:val="28"/>
          <w:szCs w:val="28"/>
          <w:lang w:val="en-US" w:eastAsia="zh-CN"/>
        </w:rPr>
        <w:t xml:space="preserve">行、教育大厦、豪门广场、文峰大世界、东方明珠商业广场、东珠宾馆、鼎浩大厦、环球大厦商业裙楼、华康大厦、星程酒店、江苏银行、如家酒店、开来地产、西入口转盘、西入口中国电信大楼、西入口体育馆、香格里商务中心、建设银行、天鼎购物广场、农业银行、交通银行、城市快捷酒店、财政大厦及结算中心、银洲假日酒店、汇金大厦、港丽精品酒店、东方银座、七天连锁酒店、智选假日酒店、金鹰广场、汽车东站、启东南1管理用房、启东南2交警支队、启东南3崇启大桥、启东北管理用房、启东东管理用房、启东出入口景观亮化设施养护、维修等相关服务，详见</w:t>
      </w:r>
      <w:r>
        <w:rPr>
          <w:rFonts w:hint="eastAsia" w:eastAsia="方正仿宋_GBK" w:cs="Times New Roman"/>
          <w:b w:val="0"/>
          <w:bCs w:val="0"/>
          <w:sz w:val="28"/>
          <w:szCs w:val="28"/>
          <w:lang w:val="en-US" w:eastAsia="zh-CN"/>
        </w:rPr>
        <w:t xml:space="preserve">附件</w:t>
      </w:r>
      <w:r>
        <w:rPr>
          <w:rFonts w:hint="eastAsia" w:ascii="Times New Roman" w:hAnsi="Times New Roman" w:eastAsia="方正仿宋_GBK" w:cs="Times New Roman"/>
          <w:b w:val="0"/>
          <w:bCs w:val="0"/>
          <w:sz w:val="28"/>
          <w:szCs w:val="28"/>
          <w:lang w:val="en-US" w:eastAsia="zh-CN"/>
        </w:rPr>
        <w:t xml:space="preserve">清单。</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设施养护包括设施的日常巡视、保养维护、定期检测、检修、更换、设施开关、管理平台系统维护等，确保该批亮化设施正常运行。亮化设施包括但不限于配电箱、各类LED灯具、开关电源、控制器、电力电缆、电缆终端头、线槽、配管、手孔井、基础、接线盒、 接地极、接地母线等，清单明细表详见附件（包括部分未列入清单但服务于该批亮化设施的其他配套设施，如管理系统等）。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三、合同价款</w:t>
      </w:r>
      <w:r/>
    </w:p>
    <w:p>
      <w:pPr>
        <w:ind w:firstLine="560"/>
        <w:spacing w:line="500" w:lineRule="exact"/>
        <w:rPr>
          <w:rFonts w:hint="default"/>
          <w:lang w:val="en-US" w:eastAsia="zh-CN"/>
        </w:rPr>
      </w:pPr>
      <w:r>
        <w:rPr>
          <w:rFonts w:hint="eastAsia" w:ascii="Times New Roman" w:hAnsi="Times New Roman" w:eastAsia="方正仿宋_GBK" w:cs="Times New Roman"/>
          <w:b w:val="0"/>
          <w:bCs w:val="0"/>
          <w:sz w:val="28"/>
          <w:szCs w:val="28"/>
          <w:lang w:val="en-US" w:eastAsia="zh-CN"/>
        </w:rPr>
        <w:t xml:space="preserve">1</w:t>
      </w:r>
      <w:r>
        <w:rPr>
          <w:rFonts w:hint="eastAsia" w:eastAsia="方正仿宋_GBK" w:cs="Times New Roman"/>
          <w:b w:val="0"/>
          <w:bCs w:val="0"/>
          <w:sz w:val="28"/>
          <w:szCs w:val="28"/>
          <w:lang w:val="en-US" w:eastAsia="zh-CN"/>
        </w:rPr>
        <w:t xml:space="preserve">.养护服务费：人民币大写</w:t>
      </w:r>
      <w:r>
        <w:rPr>
          <w:rFonts w:hint="eastAsia" w:eastAsia="方正仿宋_GBK"/>
          <w:sz w:val="28"/>
          <w:szCs w:val="28"/>
          <w:highlight w:val="none"/>
          <w:u w:val="single"/>
          <w:lang w:val="en-US" w:eastAsia="zh-CN"/>
        </w:rPr>
        <w:t xml:space="preserve">              </w:t>
      </w:r>
      <w:r>
        <w:rPr>
          <w:rFonts w:hint="eastAsia" w:eastAsia="方正仿宋_GBK"/>
          <w:sz w:val="28"/>
          <w:szCs w:val="28"/>
          <w:highlight w:val="none"/>
        </w:rPr>
        <w:t xml:space="preserve">（小写￥</w:t>
      </w:r>
      <w:r>
        <w:rPr>
          <w:rFonts w:hint="eastAsia" w:eastAsia="方正仿宋_GBK"/>
          <w:sz w:val="28"/>
          <w:szCs w:val="28"/>
          <w:highlight w:val="none"/>
          <w:u w:val="single"/>
          <w:lang w:val="en-US" w:eastAsia="zh-CN"/>
        </w:rPr>
        <w:t xml:space="preserve">    </w:t>
      </w:r>
      <w:r>
        <w:rPr>
          <w:rFonts w:hint="eastAsia" w:eastAsia="方正仿宋_GBK"/>
          <w:sz w:val="28"/>
          <w:szCs w:val="28"/>
          <w:highlight w:val="none"/>
        </w:rPr>
        <w:t xml:space="preserve">元</w:t>
      </w:r>
      <w:r>
        <w:rPr>
          <w:rFonts w:hint="eastAsia" w:eastAsia="方正仿宋_GBK"/>
          <w:sz w:val="28"/>
          <w:szCs w:val="28"/>
          <w:highlight w:val="none"/>
          <w:lang w:val="en-US" w:eastAsia="zh-CN"/>
        </w:rPr>
        <w:t xml:space="preserve">/年</w:t>
      </w:r>
      <w:r>
        <w:rPr>
          <w:rFonts w:hint="eastAsia" w:eastAsia="方正仿宋_GBK"/>
          <w:sz w:val="28"/>
          <w:szCs w:val="28"/>
          <w:highlight w:val="none"/>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（1）养护服务费为</w:t>
      </w:r>
      <w:r>
        <w:rPr>
          <w:rFonts w:hint="eastAsia" w:ascii="Times New Roman" w:hAnsi="Times New Roman" w:eastAsia="方正仿宋_GBK" w:cs="Times New Roman"/>
          <w:b w:val="0"/>
          <w:bCs w:val="0"/>
          <w:sz w:val="28"/>
          <w:szCs w:val="28"/>
          <w:lang w:val="en-US" w:eastAsia="zh-CN"/>
        </w:rPr>
        <w:t xml:space="preserve">包干</w:t>
      </w:r>
      <w:r>
        <w:rPr>
          <w:rFonts w:hint="eastAsia" w:eastAsia="方正仿宋_GBK" w:cs="Times New Roman"/>
          <w:b w:val="0"/>
          <w:bCs w:val="0"/>
          <w:sz w:val="28"/>
          <w:szCs w:val="28"/>
          <w:lang w:val="en-US" w:eastAsia="zh-CN"/>
        </w:rPr>
        <w:t xml:space="preserve">总价</w:t>
      </w:r>
      <w:r>
        <w:rPr>
          <w:rFonts w:hint="eastAsia" w:ascii="Times New Roman" w:hAnsi="Times New Roman" w:eastAsia="方正仿宋_GBK" w:cs="Times New Roman"/>
          <w:b w:val="0"/>
          <w:bCs w:val="0"/>
          <w:sz w:val="28"/>
          <w:szCs w:val="28"/>
          <w:lang w:val="en-US" w:eastAsia="zh-CN"/>
        </w:rPr>
        <w:t xml:space="preserve">，合同</w:t>
      </w:r>
      <w:r>
        <w:rPr>
          <w:rFonts w:hint="eastAsia" w:eastAsia="方正仿宋_GBK" w:cs="Times New Roman"/>
          <w:b w:val="0"/>
          <w:bCs w:val="0"/>
          <w:sz w:val="28"/>
          <w:szCs w:val="28"/>
          <w:lang w:val="en-US" w:eastAsia="zh-CN"/>
        </w:rPr>
        <w:t xml:space="preserve">价</w:t>
      </w:r>
      <w:r>
        <w:rPr>
          <w:rFonts w:hint="eastAsia" w:ascii="Times New Roman" w:hAnsi="Times New Roman" w:eastAsia="方正仿宋_GBK" w:cs="Times New Roman"/>
          <w:b w:val="0"/>
          <w:bCs w:val="0"/>
          <w:sz w:val="28"/>
          <w:szCs w:val="28"/>
          <w:lang w:val="en-US" w:eastAsia="zh-CN"/>
        </w:rPr>
        <w:t xml:space="preserve">为完成本项目约定全部养护工作所需的一切费用。</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投标报价已综合测算</w:t>
      </w:r>
      <w:r>
        <w:rPr>
          <w:rFonts w:hint="eastAsia" w:eastAsia="方正仿宋_GBK" w:cs="Times New Roman"/>
          <w:b w:val="0"/>
          <w:bCs w:val="0"/>
          <w:sz w:val="28"/>
          <w:szCs w:val="28"/>
          <w:lang w:val="en-US" w:eastAsia="zh-CN"/>
        </w:rPr>
        <w:t xml:space="preserve">本</w:t>
      </w:r>
      <w:r>
        <w:rPr>
          <w:rFonts w:hint="eastAsia" w:ascii="Times New Roman" w:hAnsi="Times New Roman" w:eastAsia="方正仿宋_GBK" w:cs="Times New Roman"/>
          <w:b w:val="0"/>
          <w:bCs w:val="0"/>
          <w:sz w:val="28"/>
          <w:szCs w:val="28"/>
          <w:lang w:val="en-US" w:eastAsia="zh-CN"/>
        </w:rPr>
        <w:t xml:space="preserve">项目全部成本，各类型灯具</w:t>
      </w:r>
      <w:r>
        <w:rPr>
          <w:rFonts w:hint="eastAsia" w:eastAsia="方正仿宋_GBK" w:cs="Times New Roman"/>
          <w:b w:val="0"/>
          <w:bCs w:val="0"/>
          <w:sz w:val="28"/>
          <w:szCs w:val="28"/>
          <w:lang w:val="en-US" w:eastAsia="zh-CN"/>
        </w:rPr>
        <w:t xml:space="preserve">对应的</w:t>
      </w:r>
      <w:r>
        <w:rPr>
          <w:rFonts w:hint="eastAsia" w:ascii="Times New Roman" w:hAnsi="Times New Roman" w:eastAsia="方正仿宋_GBK" w:cs="Times New Roman"/>
          <w:b w:val="0"/>
          <w:bCs w:val="0"/>
          <w:sz w:val="28"/>
          <w:szCs w:val="28"/>
          <w:lang w:val="en-US" w:eastAsia="zh-CN"/>
        </w:rPr>
        <w:t xml:space="preserve">配套电气辅材、控制系统及相关配套设施的所有费用，均已摊</w:t>
      </w:r>
      <w:r>
        <w:rPr>
          <w:rFonts w:hint="eastAsia" w:eastAsia="方正仿宋_GBK" w:cs="Times New Roman"/>
          <w:b w:val="0"/>
          <w:bCs w:val="0"/>
          <w:sz w:val="28"/>
          <w:szCs w:val="28"/>
          <w:lang w:val="en-US" w:eastAsia="zh-CN"/>
        </w:rPr>
        <w:t xml:space="preserve">入清单内对应</w:t>
      </w:r>
      <w:r>
        <w:rPr>
          <w:rFonts w:hint="eastAsia" w:ascii="Times New Roman" w:hAnsi="Times New Roman" w:eastAsia="方正仿宋_GBK" w:cs="Times New Roman"/>
          <w:b w:val="0"/>
          <w:bCs w:val="0"/>
          <w:sz w:val="28"/>
          <w:szCs w:val="28"/>
          <w:lang w:val="en-US" w:eastAsia="zh-CN"/>
        </w:rPr>
        <w:t xml:space="preserve">每套灯具的报价中</w:t>
      </w:r>
      <w:r>
        <w:rPr>
          <w:rFonts w:hint="eastAsia" w:eastAsia="方正仿宋_GBK" w:cs="Times New Roman"/>
          <w:b w:val="0"/>
          <w:bCs w:val="0"/>
          <w:sz w:val="28"/>
          <w:szCs w:val="28"/>
          <w:lang w:val="en-US" w:eastAsia="zh-CN"/>
        </w:rPr>
        <w:t xml:space="preserve">，不另行计价</w:t>
      </w:r>
      <w:r>
        <w:rPr>
          <w:rFonts w:hint="eastAsia" w:ascii="Times New Roman" w:hAnsi="Times New Roman" w:eastAsia="方正仿宋_GBK" w:cs="Times New Roman"/>
          <w:b w:val="0"/>
          <w:bCs w:val="0"/>
          <w:sz w:val="28"/>
          <w:szCs w:val="28"/>
          <w:lang w:val="en-US" w:eastAsia="zh-CN"/>
        </w:rPr>
        <w:t xml:space="preserve">。合同价包括但不限于：管理人员及维护维修人员人工费、高空作业保险费、各类协调费、高空作业车辆等特种车辆及设备设施使用费、车辆保险费、维修材料费（含管线、变压器、控制箱等）、大型机械进出场费、亮化设施巡查检修及更换费，以及管理费、利润、规费、措施项目费、技术措施费、检验试验费、税金、施工优化成本，且包含合同履行过程中可能发生的各类风险费用。前述各类费用包括在乙方履行本合同所需的费用之中，如有不全、不明之处，作对有利于甲方的解释，乙方不持异议。</w:t>
      </w:r>
      <w:r/>
    </w:p>
    <w:p>
      <w:pPr>
        <w:ind w:firstLine="560"/>
        <w:spacing w:line="500" w:lineRule="exact"/>
        <w:rPr>
          <w:rFonts w:hint="default"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（2）价款调整约定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最终移交养护量与招标清单存在误差时，按</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投标报价中对应的清单综合单价对原固定总价进行调整；部分设施移交滞后时，滞后移交部分设施按实际养护期限重新计算对原固定总价进行调整；养护期内因规划建设等政策性调整发生亮化设施养护数量减少或增加的，依据实际数量及相应中标单价按实调整养护费；除此之外，合同总价不再作其他调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零星维修工程费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（1）零星维修工程费单独预留，</w:t>
      </w:r>
      <w:r>
        <w:rPr>
          <w:rFonts w:hint="eastAsia" w:eastAsia="方正仿宋_GBK" w:cs="Times New Roman"/>
          <w:b w:val="0"/>
          <w:bCs w:val="0"/>
          <w:sz w:val="28"/>
          <w:szCs w:val="28"/>
          <w:lang w:val="en-US" w:eastAsia="zh-CN"/>
        </w:rPr>
        <w:t xml:space="preserve">不包含在合同价中</w:t>
      </w:r>
      <w:r>
        <w:rPr>
          <w:rFonts w:hint="eastAsia" w:ascii="Times New Roman" w:hAnsi="Times New Roman" w:eastAsia="方正仿宋_GBK" w:cs="Times New Roman"/>
          <w:b w:val="0"/>
          <w:bCs w:val="0"/>
          <w:sz w:val="28"/>
          <w:szCs w:val="28"/>
          <w:lang w:val="en-US" w:eastAsia="zh-CN"/>
        </w:rPr>
        <w:t xml:space="preserve">。在养护期内，亮化设施发生不可抗力损毁或完成上级交办的临时性任务等，</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可直接委托</w:t>
      </w:r>
      <w:r>
        <w:rPr>
          <w:rFonts w:hint="eastAsia" w:eastAsia="方正仿宋_GBK" w:cs="Times New Roman"/>
          <w:b w:val="0"/>
          <w:bCs w:val="0"/>
          <w:sz w:val="28"/>
          <w:szCs w:val="28"/>
          <w:lang w:val="en-US" w:eastAsia="zh-CN"/>
        </w:rPr>
        <w:t xml:space="preserve">乙方</w:t>
      </w:r>
      <w:r>
        <w:rPr>
          <w:rFonts w:hint="eastAsia" w:ascii="Times New Roman" w:hAnsi="Times New Roman" w:eastAsia="方正仿宋_GBK" w:cs="Times New Roman"/>
          <w:b w:val="0"/>
          <w:bCs w:val="0"/>
          <w:sz w:val="28"/>
          <w:szCs w:val="28"/>
          <w:lang w:val="en-US" w:eastAsia="zh-CN"/>
        </w:rPr>
        <w:t xml:space="preserve">实施并签订补充合同，按实签证结算。该部分零星维修工程费下浮率按启东市人民政府2019年第6次市长办公会议纪要执行。其他与养护有关的所有费用均计入包干费中。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（2）签证的项目工程量，实行预先申报制，经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同意后方可实施，超过3万元的项目须同时报财政局审批，否则不予签证。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零星维修部分的工程量以现场签证为准，结算审核时，按照建设行政主管部门发布的计价办法和计价标准计算造价，计算出的金额乘以（1-零星工程下浮率）作为零星维修工程费最终结算价。若无定额或单价的材料、设备则对其综合单价进行合理性分析（依据市场价、询价结果等多方面因素）并经</w:t>
      </w:r>
      <w:r>
        <w:rPr>
          <w:rFonts w:hint="eastAsia" w:eastAsia="方正仿宋_GBK" w:cs="Times New Roman"/>
          <w:b w:val="0"/>
          <w:bCs w:val="0"/>
          <w:sz w:val="28"/>
          <w:szCs w:val="28"/>
          <w:lang w:val="en-US" w:eastAsia="zh-CN"/>
        </w:rPr>
        <w:t xml:space="preserve">甲方</w:t>
      </w:r>
      <w:r>
        <w:rPr>
          <w:rFonts w:hint="eastAsia" w:ascii="Times New Roman" w:hAnsi="Times New Roman" w:eastAsia="方正仿宋_GBK" w:cs="Times New Roman"/>
          <w:b w:val="0"/>
          <w:bCs w:val="0"/>
          <w:sz w:val="28"/>
          <w:szCs w:val="28"/>
          <w:lang w:val="en-US" w:eastAsia="zh-CN"/>
        </w:rPr>
        <w:t xml:space="preserve">确认后作为结算价。</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四、支付方式</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1.第一、二个养护服务年度，养护服务费根据考核结果每半年支付一次（扣除</w:t>
      </w:r>
      <w:r>
        <w:rPr>
          <w:rFonts w:hint="eastAsia" w:eastAsia="方正仿宋_GBK" w:cs="Times New Roman"/>
          <w:b w:val="0"/>
          <w:bCs w:val="0"/>
          <w:sz w:val="28"/>
          <w:szCs w:val="28"/>
          <w:u w:val="single"/>
          <w:lang w:val="en-US" w:eastAsia="zh-CN"/>
        </w:rPr>
        <w:t xml:space="preserve">乙方</w:t>
      </w:r>
      <w:r>
        <w:rPr>
          <w:rFonts w:hint="eastAsia" w:ascii="Times New Roman" w:hAnsi="Times New Roman" w:eastAsia="方正仿宋_GBK" w:cs="Times New Roman"/>
          <w:b w:val="0"/>
          <w:bCs w:val="0"/>
          <w:sz w:val="28"/>
          <w:szCs w:val="28"/>
          <w:u w:val="single"/>
          <w:lang w:val="en-US" w:eastAsia="zh-CN"/>
        </w:rPr>
        <w:t xml:space="preserve">应被扣服务费）；第三个养护服务年度养护服务费根据考核结果，待与下一轮养护接管单位交接手续办妥后一次性结算拨付。</w:t>
      </w:r>
      <w:r/>
    </w:p>
    <w:p>
      <w:pPr>
        <w:ind w:firstLine="560"/>
        <w:spacing w:line="500" w:lineRule="exact"/>
        <w:rPr>
          <w:rFonts w:hint="eastAsia" w:ascii="Times New Roman" w:hAnsi="Times New Roman" w:eastAsia="方正仿宋_GBK" w:cs="Times New Roman"/>
          <w:b w:val="0"/>
          <w:bCs w:val="0"/>
          <w:sz w:val="28"/>
          <w:szCs w:val="28"/>
          <w:u w:val="single"/>
          <w:lang w:val="en-US" w:eastAsia="zh-CN"/>
        </w:rPr>
      </w:pPr>
      <w:r>
        <w:rPr>
          <w:rFonts w:hint="eastAsia" w:ascii="Times New Roman" w:hAnsi="Times New Roman" w:eastAsia="方正仿宋_GBK" w:cs="Times New Roman"/>
          <w:b w:val="0"/>
          <w:bCs w:val="0"/>
          <w:sz w:val="28"/>
          <w:szCs w:val="28"/>
          <w:u w:val="single"/>
          <w:lang w:val="en-US" w:eastAsia="zh-CN"/>
        </w:rPr>
        <w:t xml:space="preserve">2.每次申请付款时须同时提供作业人员出具的未拖欠工资证明或</w:t>
      </w:r>
      <w:r>
        <w:rPr>
          <w:rFonts w:hint="eastAsia" w:eastAsia="方正仿宋_GBK" w:cs="Times New Roman"/>
          <w:b w:val="0"/>
          <w:bCs w:val="0"/>
          <w:sz w:val="28"/>
          <w:szCs w:val="28"/>
          <w:u w:val="single"/>
          <w:lang w:val="en-US" w:eastAsia="zh-CN"/>
        </w:rPr>
        <w:t xml:space="preserve">乙方</w:t>
      </w:r>
      <w:r>
        <w:rPr>
          <w:rFonts w:hint="eastAsia" w:ascii="Times New Roman" w:hAnsi="Times New Roman" w:eastAsia="方正仿宋_GBK" w:cs="Times New Roman"/>
          <w:b w:val="0"/>
          <w:bCs w:val="0"/>
          <w:sz w:val="28"/>
          <w:szCs w:val="28"/>
          <w:u w:val="single"/>
          <w:lang w:val="en-US" w:eastAsia="zh-CN"/>
        </w:rPr>
        <w:t xml:space="preserve">的作业人员工资支付证明。</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注：乙方申请付款的程序应符合甲方的财务规定。</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五、履约保证金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1.本项目的履约保证金金额为 </w:t>
      </w:r>
      <w:r>
        <w:rPr>
          <w:rFonts w:hint="eastAsia" w:ascii="Times New Roman" w:hAnsi="Times New Roman" w:eastAsia="方正仿宋_GBK" w:cs="Times New Roman"/>
          <w:b w:val="0"/>
          <w:bCs w:val="0"/>
          <w:sz w:val="28"/>
          <w:szCs w:val="28"/>
          <w:u w:val="single"/>
          <w:lang w:val="en-US" w:eastAsia="zh-CN"/>
        </w:rPr>
        <w:t xml:space="preserve">    </w:t>
      </w:r>
      <w:r>
        <w:rPr>
          <w:rFonts w:hint="eastAsia" w:ascii="Times New Roman" w:hAnsi="Times New Roman" w:eastAsia="方正仿宋_GBK" w:cs="Times New Roman"/>
          <w:b w:val="0"/>
          <w:bCs w:val="0"/>
          <w:sz w:val="28"/>
          <w:szCs w:val="28"/>
          <w:lang w:val="en-US" w:eastAsia="zh-CN"/>
        </w:rPr>
        <w:t xml:space="preserve">元，履约保证金提交形式：（应当以数字人民币、支票、汇票或者金融机构、担保机构出具的保函等非现金形式）。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2.履约保证金在养护期满考核合格且完成养护移交后由甲方一次性退还。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3.发生以下情况的，履约保证金不予退还或部分退还：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a.签订合同后，乙方不履行合同义务的，甲方有权全额扣除履约保证金，全额不予退还，同时甲方亦有权终止合同，乙方还须承担相应的法律赔偿责任。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b.乙方在履约过程中发生违约行为，给甲方造成损失的，甲方有权在乙方缴纳的履约保证金中予以扣款，以弥补甲方经济损失，不足的部分乙方另外补齐。</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六、养护工作要求：</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1.特别要求</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（1）乙方拟投入本项目的所</w:t>
      </w:r>
      <w:r>
        <w:rPr>
          <w:rFonts w:hint="eastAsia" w:ascii="Times New Roman" w:hAnsi="Times New Roman" w:eastAsia="方正仿宋_GBK" w:cs="Times New Roman"/>
          <w:b w:val="0"/>
          <w:bCs w:val="0"/>
          <w:color w:val="ff0000"/>
          <w:sz w:val="28"/>
          <w:szCs w:val="28"/>
          <w:lang w:val="en-US" w:eastAsia="zh-CN"/>
        </w:rPr>
        <w:t xml:space="preserve">有人员须专职服务于本项目，所有人员每周服务本项目不少于5天（鉴于亮化养护管理工作的特性，周五、周六、周日及法定节假日应安排不少于60%的养护人员值班服务），每日服务时间不少于6小时，且服务时间应介于6：00-22：00间，其他时段不计入服务时间（值班、加班等薪酬及调休等费用已包含在合同价中）。所有人员服务期间须接受甲方轨迹定位考勤管理，落实签到签退制度，轨迹定位考勤设备（乙方自行提供且应符合甲方要求）须接入甲方指定的“智慧化管理系统”，并实时上传作业轨迹定位信息，确保人员考勤可查、作业轨迹全程可追溯。服务期</w:t>
      </w:r>
      <w:r>
        <w:rPr>
          <w:rFonts w:hint="eastAsia" w:ascii="Times New Roman" w:hAnsi="Times New Roman" w:eastAsia="方正仿宋_GBK" w:cs="Times New Roman"/>
          <w:b w:val="0"/>
          <w:bCs w:val="0"/>
          <w:color w:val="ff0000"/>
          <w:sz w:val="28"/>
          <w:szCs w:val="28"/>
          <w:lang w:val="en-US" w:eastAsia="zh-CN"/>
        </w:rPr>
        <w:t xml:space="preserve">间作业人员不得离开以启东市江海路人民路交叉口为圆心，半径15公里的区域范围。甲方发现乙方虚假考勤的（包括但不限于将考勤设备转与他人佩戴人机分离、签到后服务本项目期间从事其他项目服务等情形），扣除服务费1000元每人每次。本项目原则上不得更换人员，确需更换人员的，应征得甲方同意，替换人员能力应不低于被替换人员；因丧失劳动能力（以人社部门签发的劳动能力鉴定为准）以外的其他原因（包含员工离职）更换人员的，更换项目负责人每次扣除服务费20万元，技术负责人每次扣除服务费10万元，其他养护人员每人每次扣除服务费5万元。</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2）乙方投标文件中拟投入本项目的所有车辆应全程服务于本项目，所有车辆应安装定位设备进行考勤、安装360度全景监控摄像头进行养护作业全过程可视化监管（以上设备由乙方自行提供且应符合甲方要求）；定位设备、监控摄像头应与车辆绑定，不得拆卸，且应接入甲方“智慧化管理系统”并实时上传数据；摄像头应无监控盲区，视频数据保存时长不少于30天，视</w:t>
      </w:r>
      <w:r>
        <w:rPr>
          <w:rFonts w:hint="eastAsia" w:ascii="Times New Roman" w:hAnsi="Times New Roman" w:eastAsia="方正仿宋_GBK" w:cs="Times New Roman"/>
          <w:b w:val="0"/>
          <w:bCs w:val="0"/>
          <w:color w:val="ff0000"/>
          <w:sz w:val="28"/>
          <w:szCs w:val="28"/>
          <w:lang w:val="en-US" w:eastAsia="zh-CN"/>
        </w:rPr>
        <w:t xml:space="preserve">频分辨率不低于1080P（上述作业车辆定位设备、监控摄像头的购置、安装、调试、视频存储及系统接入等相关费用，均已包含在合同价中，甲方不另行支付费用）；服务时间、考勤、服务区域等要求同人员要求。本项目原则上不得更换服务车辆，确需更换车辆的，应征得甲方同意，替换车辆性能标准应同等或高于被替换车辆；因车辆报废（以车管部门报废手续为准）以外的其他原因更换车辆的，每替换一辆扣除服务费10万元。车辆因事故或故障需要维修的，维修前应向甲方报备，维修期间，乙方应提供同类型或高于投标车辆性能标准的车辆保障养护作业并替代考勤。</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（3）所有人员及车辆月出勤率不得低于85%。除因病请假外（持二级及以上医院证明），月出勤率＜85%、≥75%的，车辆、项目负责人、技术负责</w:t>
      </w:r>
      <w:r>
        <w:rPr>
          <w:rFonts w:hint="eastAsia" w:ascii="Times New Roman" w:hAnsi="Times New Roman" w:eastAsia="方正仿宋_GBK" w:cs="Times New Roman"/>
          <w:b w:val="0"/>
          <w:bCs w:val="0"/>
          <w:color w:val="ff0000"/>
          <w:sz w:val="28"/>
          <w:szCs w:val="28"/>
          <w:lang w:val="en-US" w:eastAsia="zh-CN"/>
        </w:rPr>
        <w:t xml:space="preserve">人扣除服务费5000元/月/人或辆，其他养护人员扣除服务费3000元/月/人；月出勤率＜75%、≥50%的，车辆、项目负责人、技术负责人扣除服务费10000元/月/人或辆，其他养护人员扣除服务费5000元/月/人；月出勤率＜50%的，车辆、项目负责人、技术负责人扣除服务费20000元/月/人或辆，其他养护人员扣除服务费10000元/月/人。月出勤率计算方式=单日服务时间大于6小时天数/（当月天数/7*5并向上取整，如20.1天取整为21天）*100%。（法定节假日出勤计入出勤率，由乙方根据考勤要求自行安排）</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4）乙方应对待接手本养护项目进行全面盘点，如现场与清单不一致的应及时提出，由甲方组织原亮化设施建设单位、甲方、乙方等多方共同核实，并根据核实后清单进行移交。移交过程中，可能存在部分点位因未达到移交条件滞后移交，滞后移交部分设施养护费从移交养护之日起计算，养护期与第一批移交亮化设施服务截止时间同时截止。</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5）养护服务期间，乙方应确保养护清单设施正常运行直至移交下一轮养护单位，移交下一轮养护单位时养护清单设施出现误差的，由乙方按原标准建设补齐，乙方拒不建设补齐的，甲方有权委托下一轮养护单位建设补齐，相关费用从乙方服务费和履约保证金中扣除（费用标准按相关定额计算，不作下浮；若无相关定额，按甲方其他养护项目价格计算，不作下浮）。本项目于2019年底开工建设，2020年底竣工，乙方应充分考虑本项目灯具及材料寿命周期及成本。</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6）乙方应明确各类型灯具品牌。灯具需更换时，替换灯具品牌应与投标品牌一致，规格尺寸应与被替换灯具一致，参数不低于被替换灯具。若投标品牌停产或不可采购，须提前15个工作日书面申请，经甲方书面同意后方可更换为同等或更高性能的替代品牌。</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7）鉴于本项目亮化设施数量较大，亮灯率等考核甲方可任意抽查两个及以上点位或区块（每次考核每个点位选择不超过1个区块，每个区块光源设施不少于500只）进行考核，考核结果的算术平均数作为项目总体考核结果。</w:t>
      </w:r>
      <w:r/>
    </w:p>
    <w:p>
      <w:pPr>
        <w:ind w:firstLine="560"/>
        <w:spacing w:line="500" w:lineRule="exact"/>
        <w:rPr>
          <w:rFonts w:hint="eastAsia" w:ascii="Times New Roman" w:hAnsi="Times New Roman" w:eastAsia="方正仿宋_GBK" w:cs="Times New Roman"/>
          <w:b w:val="0"/>
          <w:bCs w:val="0"/>
          <w:color w:val="ff0000"/>
          <w:sz w:val="28"/>
          <w:szCs w:val="28"/>
          <w:lang w:val="en-US" w:eastAsia="zh-CN"/>
        </w:rPr>
      </w:pPr>
      <w:r>
        <w:rPr>
          <w:rFonts w:hint="eastAsia" w:ascii="Times New Roman" w:hAnsi="Times New Roman" w:eastAsia="方正仿宋_GBK" w:cs="Times New Roman"/>
          <w:b w:val="0"/>
          <w:bCs w:val="0"/>
          <w:color w:val="ff0000"/>
          <w:sz w:val="28"/>
          <w:szCs w:val="28"/>
          <w:lang w:val="en-US" w:eastAsia="zh-CN"/>
        </w:rPr>
        <w:t xml:space="preserve">（8）本项目部分亮化设施接入相关企事业单位用电电表，该部分电费由乙方先行垫付，确保路灯设施照明用电正常，后续由乙方按月向甲方按实申报结算。</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2.亮化养护维修单位内部管理要求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（1）应配备用于亮化维修养护项目的施工机械设备，如路灯升降车、抢修车、维修巡检车辆及相应的电工工具等。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（2）应制定严格的值班工作制度。每天设专人接待报修及投诉，接待投诉时必须热情、诚恳、语气谦和，并做好详细记录，值班电话必须24小时开通。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（3）应建立日常巡修制度。每周对各路段巡视一遍，查找、分析故障原因，收集、留存影像资料，列出维修内容、材料清单，汇总后书面上报给发包人。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应建立齐全规范的人员岗位管理、技术培训制度。工作人员必须统一着装、持证上岗，并熟悉亮化配电设备、所管辖区域内路灯控制线路网络的正确操作和维护方法，必须严格遵守各项安全操作规程和交通管理规则，作业时安全防护用品必须穿戴齐全。   </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5）承包人项目负责人或现场代表不配合发包人工作或不能胜任工作，发包人有权要求承包人更换相应人员，承包人应在发包人要求更换之日起五日内更换。否则发包人有权要求停工或解除合同，由此造成的违约责任及发包人的损失由承包人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（6）应建立完善的抢修应急预案。养护单位应根据维修区域、维修总量的特点制定完整合理的书面应急预案，建立反应迅速、运转高效的应急响应机制，确保任何地点发生故障均能在30分钟内到达现场。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（7）应建立和健全所管辖区域内亮化资料管理档案（亮化控制系统图、分布图等），根据变化随时修正，保证其准确性。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（8）应建立设备材料管理制度。准备充足的维修材料（如灯杆、灯具、电缆、电源、光源、控制箱等），以应对日常维修及突发事件的需要。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9）应建立安全生产管理体系。确定安全责任制度，包括养护维修队伍安全、消防、交通等安全工作。安全生产管理制度包括：安全生产检查制度、安全操作规程、安全行车规定、员工安全生产教育培训制度等。应针对本项目需求配备专职安全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10）应建立文明施工和环境保护的制度和措施，落实文明施工和环境保护的相关责任人。养护单位在路灯维修施工中，需开挖绿地及城市道路的，应在办理相关审批手续并采取安全措施的情况下方能进行施工。养护单位擅自作业造成绿地、城市道路被开挖破坏的，由其承担相应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（11）应每月进行定期检测，对配电箱（柜）、金属灯杆接地网等安全系统进行测试，测试完成后应及时向发包人上报测试报告，并立即对测试不合格的进行整改。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（12）应建立养护档案，并应包括下列内容：亮化设施技术文件、亮化数量统计记录、常规巡检记录、设施报修抢修记录、亮灯率检查台帐、设施完好率检查台帐、定期检测记录、值班记录等。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13）承包人所有作业人员的意外伤害险、施工场地内自有人员的生命财产险、施工机械设备的财产险、第三方人员的生命财产险、运至施工场地内用于工程的材料和待安装设备的财产险等一切险，都由承包人自行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3.亮化养护质量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（1）亮灯率</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养护区域内灯具的亮灯率≥99%。亮灯率是指正常运行灯具的比例，通过抽查形式进行考核，亮灯率=考核区域正常运行灯具数量/考核区域全部灯具数量*100%。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（2）设施完好（配电箱柜、电缆线路、照明器具、专用灯杆）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A.照明专变、计量箱、配电箱柜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①照明专变无漏油、无异响等；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②计量箱、配电室（箱）门窗清洁无破损，箱体保持完整无缺，不渗水、无积灰、无锈蚀，挂锁无缺，警告标志齐全；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③箱内电器安装整齐牢固、无积灰积垢、线路排列整齐；</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④接触器、开关、熔断器等电器元件和导线，应绝缘良好，各零部件无变形缺损，运行正常，无异响；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⑤配电柜仪表完好，指示正确，各部件联结坚固无松动；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⑥各回路电流无异常，设备无过载发热、无烧焦变色现象，保障亮化线路正常运行；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⑦节电器运行正常，无旁路现象。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B.线路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①经常注意沿线建筑物的变化，及时掌握情况，防止外墙装修、粉刷、漏水、开挖、化学腐蚀等因素以及自然灾害原因而影响线路安全运行。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为了保障亮化设施的正常运行，应对亮化线路进行必要的检测，对电压低、线路长、导线细等不合格现象应逐季逐年上报维修计划，及时组织力量进行更换，或采取措施改进和完善，合理调整负荷、确保末端电压不低于额定电压的90%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③保持不间断线路巡查，及时更换有严重缺陷和破损的电缆、标志桩；</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④手孔井、人孔井内应整齐清洁，不积水，井框、井盖应完整，不沉陷。井内线路走向、回路标志牌应保持字迹清楚。</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C.灯杆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①路灯灯杆（含混凝土杆）杆身倾斜不超过杆长1%；</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②混凝土杆身完整无裂缝、破损现象；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③金属灯杆杆身无破损、锈蚀现象，油漆无剥落；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④灯杆基础牢固，包封完整。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D.亮化灯具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①灯具、灯架完好清洁、无蛛网、无积污、断裂、脱焊及严重锈蚀；</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②灯具、开关电源引线和管内穿线绝缘良好，无破皮、绝缘开裂等现象，引下线中间不能有接头；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③灯具固定支架无变形、断裂、锈蚀，固定胶塞、膨胀螺丝牢固无开裂、松动。</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④灯罩内反光器无变形断裂，保持光亮无积污。</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⑤灯具更换损坏电器元件时，须与原设计规格参数保持一致，且更换品牌的品质等级不得低于原有品牌标准，以此保障灯具系统的电气适配性、运行稳定性及整体亮化效果达标。</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⑥养护作业人员不能擅自更改与整个区域不相一致的光源、电器、灯具。</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（3）及时性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①发现或接到灯具不亮的投诉，应在2小时内完成修复，如遇恶劣天气等特殊原因，最迟应在24小时内修复。</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②发现或接到线路、配电箱故障造成大面积灭灯的投诉，必须立即派人进行抢修，小故障2小时内修复，大故障在24小时内修复（工程量较大的除外）。</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③投诉及故障处理结束后应在24小时内将处理情况报甲方，同时回复反映人。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（4）设施整洁</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①保持亮化设施外观整洁，亮化灯具被遮挡、掉落、缺色等故障及时维修。</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②公共照明设施上无未经批准设置的户外广告或悬挂其他物品的，如有发现养护单位及时上报。</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③公共照明设施上无乱张贴、乱涂写，如有发现养护单位应及时组织清除。</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4.养护要求：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（1）要成立以养护单位主要领导为第一责任人的养护组织机构，分工明确，职责落实，措施有力切实可行。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（2）针对亮化设施现状，制定巡查、各阶段重点检查、维修保养工作计划，报发包人后按计划实施。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（3）按巡逻计划做好相关工作，发现问题及时处置，重大情况迅速向上级汇报。</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（4）养护单位应严格执行安全施工的相关规定，确保不发生人身伤亡事故和火灾事故，如有发生，一切责任均由养护单位承担。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（5）养护单位作业人员应统一服装、持证挂牌上岗，施工现场应按国家规定做好安全措施，文明施工，做到工完、料清、场清。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6）养护作业时必须按城市道路交通安全警示的相关要求设置标准的警示标志、警示灯具等，施工期间应确保所有现场工作人员及交通安全并减少对交通的干扰。养护作业必须文明施工，做到工完料清场清，严禁违章操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（7）养护单位不得擅自改变照明设施的现状，因各种原因需要拆除现有照明设施、变更现有供电线路、变更设计规格等均应事先报甲方批准。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（8）养护单位及养护单位职工不得在照明设施上私拉乱接其他供用电设施。</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（9）路灯迁移、补装等零星工程应及时办结（办理时限以下达《任务书》为准），施工质量按国家相关标准执行。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（10）养护单位应加强巡查，及时发现并切断私自接用照明电源的违法行为。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（11）养护单位须积极配合甲方做好灯具等设施移交等前期工作。</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（12）按照有关规定应承担维护责任的照明设施，经相关部门验收合格并交接完毕后应列入维修范围。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（13）养护单位应注意发现下列情况并及时上报、配合处理：①擅自拆除、迁移城市道路照明设施，②在城市道路照明设施附近堆放杂物、挖坑取土、兴建建（构）筑物等设施违章行为。</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14）亮化设施因各种原因出现故障，发现及时（30分钟内到达现场）。一般性故障2小时内修复；非一般性故障无法及时修复，应采取应急措施，并向甲方报告。若光源等照明设施出现损坏，应更换相同规格品牌的产品，如无相同的，须经甲方同意后，选用同等价值产品作为替换、养护材料质量合格率须达100%。</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（15）养护单位需要在白天开灯检修时，应事先报告发包人批准，未事先报告的，按运行故障论处；无因运行故障造成的成片或成线的灭灯。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（16）养护作业要按计划实施，主干道路养护作业时尽量避开交通高峰期，遇有紧急抢修影响交通的，须及时与公安交通行政管理部门联系。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（17）根据季节亮化及时调整亮灯、熄灯时间；重要节日或重要社会活动期间，根据上级要求及时做好景观灯具的开闭。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（18）遇有重大活动或突发事件时，养护单位应积极配合，全力保障亮化灯具的正常运行。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（19）材料设备供应及品牌要求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养护单位在项目养护过程中更换的所有材料设备，须严格与原设计规格参数保持一致，且品牌品质等级不得低于原有品牌标准，同时符合国家现行质量标准；所有更换材料设备进场时，须随附出厂合格证、采购合同及已使用材料设备清单，确保与原有灯具系统的适配性及整体运行稳定性。</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（20）控制系统运行维护要求：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①确保系统全年常态化连续稳定运行，年度有效运行率≥99.9%， 非不可抗力因素（指地震、台风、暴雨、大规模停电等）导致的年度运行中断累计时长不得超过8小时。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②按甲方预设的平日、节假日、重大活动等亮化运行模式，精准执行开关灯控制、亮度调节、模式切换等操作，指令响应延迟≤3秒，无错控、漏控、误触发情况。</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③执行“周远程监测+月现场巡检+季系统优化+年全面检修”机制，按频次开展设备状态排查、防护检查、性能优化及硬件检修，留存相关记录与报告（保存期≥3年）。</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④建立7×24小时应急响应机制，30分钟内反馈处置方案，2小时内抵达现场修复故障（特殊情况经甲方同意可延期），修复后试运行72小时。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⑤每周备份数据（异地存储≥1年），分级授权操作（日志留存≥6个月），严禁擅自拆改设备或参数，维护符合电气及网络安全规范。</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⑥配合甲方完成方案更新、系统升级等需求，每月提交维护月报、每年提交年度总结，配合检查验收并提供相关资料。</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21）养护台账：养护单位必须每天记录巡逻、受理报修、修理等工作情况。对一些热点问题，如媒体批评、市民投诉等事件必须件件有记载，详细记录办理事件，办理结果，办理方式，办理责任人，投诉人反馈意见等情况。养护台账内容由养护负责人签字。</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（22）其他要求：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①乙方在中标后应积极开展相关工作，符合相关规定和规范要求，自行协调所在地和附近群众矛盾，所需的全部费用都包含在合同价中。</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②养护单位投入本项目的所有作业车辆，均须安装360度全景监控摄像头（要求无监控盲区），摄像头拍摄的视频数据保存时长不少于30天，视频分辨率不低于1080P（高清标准，可根据甲方需求调整）；所有视频监控信号须接入甲方指定的“智慧化管理系统”，实现养护作业全过程可视化监控。上述作业车辆摄像头的购置、安装、调试、视频存储及系统接入等相关费用，均已包含在合同价中，甲方不另行支付。</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③养护单位所有人员需纳入甲方统一考勤管理，且须纳入甲方指定的“智慧化管理系统”，落实签到签退制度，并实时上传作业轨迹定位信息，确保人员考勤可查、作业轨迹全程可追溯。</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④乙方必须开展安全作业，应保尽保。如果发生交通、作业等事故造成的人员伤亡和财产损失等全部由乙方承担，与甲方无关。</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⑤本项目按启东市住房和城乡建设局《关于印发〈启东市城区道路、桥梁、照明设施养护管理考核办法（试行）〉的通知》（启住建〔2021〕59号文）执行，后期考核文件修订的，按修订后的考核文件执行。</w:t>
      </w:r>
      <w:r/>
    </w:p>
    <w:p>
      <w:pPr>
        <w:ind w:firstLine="560"/>
        <w:spacing w:line="500" w:lineRule="exact"/>
        <w:rPr>
          <w:rFonts w:hint="default"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⑥未尽事宜按有关规定执行。</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bCs/>
          <w:sz w:val="28"/>
          <w:szCs w:val="28"/>
          <w:lang w:val="en-US" w:eastAsia="zh-CN"/>
        </w:rPr>
        <w:t xml:space="preserve">七、其他要求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1</w:t>
      </w:r>
      <w:r>
        <w:rPr>
          <w:rFonts w:hint="eastAsia" w:ascii="Times New Roman" w:hAnsi="Times New Roman" w:eastAsia="方正仿宋_GBK" w:cs="Times New Roman"/>
          <w:b w:val="0"/>
          <w:bCs w:val="0"/>
          <w:sz w:val="28"/>
          <w:szCs w:val="28"/>
          <w:lang w:val="en-US" w:eastAsia="zh-CN"/>
        </w:rPr>
        <w:t xml:space="preserve">.乙方认可本合同中载明的罚款事项，系视为乙方履行本合同义务不到位所应承担的扣减合同价款的情形，且可由甲方单方向乙方作出，乙方不持异议。</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eastAsia="方正仿宋_GBK" w:cs="Times New Roman"/>
          <w:b w:val="0"/>
          <w:bCs w:val="0"/>
          <w:sz w:val="28"/>
          <w:szCs w:val="28"/>
          <w:lang w:val="en-US" w:eastAsia="zh-CN"/>
        </w:rPr>
        <w:t xml:space="preserve">2</w:t>
      </w:r>
      <w:r>
        <w:rPr>
          <w:rFonts w:hint="eastAsia" w:ascii="Times New Roman" w:hAnsi="Times New Roman" w:eastAsia="方正仿宋_GBK" w:cs="Times New Roman"/>
          <w:b w:val="0"/>
          <w:bCs w:val="0"/>
          <w:sz w:val="28"/>
          <w:szCs w:val="28"/>
          <w:lang w:val="en-US" w:eastAsia="zh-CN"/>
        </w:rPr>
        <w:t xml:space="preserve">.乙方认可本合同中载明的考核奖罚事项，系视为甲方针对乙方履行本合同义务情况、对照甲方设定的考核标准，甲方有权单方对本合同价款进行调整的情形，乙方对甲方调整行为不持异议。</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八、违约责任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1.甲乙双方在本合同有效期内任何一方不履行合同义务者，则视为违约，均应按《中华人民共和国民法典》有关条例追究违约责任。</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任何一方由于不可抗力而未能履行合同义务时，则履行本合同的时间和费用支付可以顺延。不可抗力是指超过人力控制和不可预见以及不能由受害方所能避免的自然灾害事故，它包括但不限于战争、地震、水灾、台风和火灾等。</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九、不可抗力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1.不可抗力是指不能预见、不能避免并不能克服的客观情况，如战争、动乱、瘟疫、严重火灾、洪水、地震、风暴或其他自然灾害等。</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3.发生不可抗力事件，任何一方均不对因不可抗力无法履行或迟延履行本合同义务而使另一方蒙受的任何损失承担责任，法律另有规定的除外。</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4.合同各方应根据不可抗力对本合同履行的影响程度，协商确定是否终止本合同或是继续履行本合同。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十、争议解决方式</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本合同依《中华人民共和国民法典》成立，具有法律的约束力。各方在合同的解释和执行上发生分歧意见时，应按照互相谅解和尊重的原则，因本合同而发生争议，双方应通过友好协商解决；经协商未能解决，可向启东市人民法院提起诉讼。</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十一、合同的生效、变更、中止、终止和失效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1.本合同自双方法定代表人或委托代理人签名盖章之日起生效；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2.甲方可在合同履行期间增加、删减和变更本合同规定的服务内容和范围。这种变更甲方应书面通知乙方。由于变更引起的费用，甲方应给乙方以补偿，其补偿费用可根据工作量和时间，经双方协商解决；</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3.本合同在乙方履行完所有合同义务以及甲方向乙方付清本项目的养护费之日起终止。</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4.有下列情形之一的，甲方有权解除合同，本项目剩余的养护经费不予结算，并扣除全部履约保证金：</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（1）一个养护周期内累计2次考核不合格。</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（2）乙方将本项目分包或转让给其他主体实施的。</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（3）如遇上级主管部门政策变化及其他不可抗力因素，甲方有权提前终止合同。</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十二、合同附件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1.采购文件、补充文件、乙方的投标文件及采购过程中有关澄清、承诺文件均作为合同附件。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2.服务内容和工作要求等如有变更，变更方应以书面形式通知对方，变更内容得到双方确认后即作为本合同附件立即生效。</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3.本合同附件与本合同具有同等法律效力。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十三、本合同一式肆份，甲方贰份、乙方贰份，具有同等法律效力。</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甲方（盖章）：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法定代表人或委托代理人</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签名</w:t>
      </w:r>
      <w:r>
        <w:rPr>
          <w:rFonts w:hint="eastAsia" w:eastAsia="方正仿宋_GBK" w:cs="Times New Roman"/>
          <w:b w:val="0"/>
          <w:bCs w:val="0"/>
          <w:sz w:val="28"/>
          <w:szCs w:val="28"/>
          <w:lang w:val="en-US" w:eastAsia="zh-CN"/>
        </w:rPr>
        <w:t xml:space="preserve">或盖章）</w:t>
      </w:r>
      <w:r>
        <w:rPr>
          <w:rFonts w:hint="eastAsia" w:ascii="Times New Roman" w:hAnsi="Times New Roman" w:eastAsia="方正仿宋_GBK" w:cs="Times New Roman"/>
          <w:b w:val="0"/>
          <w:bCs w:val="0"/>
          <w:sz w:val="28"/>
          <w:szCs w:val="28"/>
          <w:lang w:val="en-US" w:eastAsia="zh-CN"/>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乙方（盖章）：</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法定代表人或委托代理人</w:t>
      </w:r>
      <w:r>
        <w:rPr>
          <w:rFonts w:hint="eastAsia" w:eastAsia="方正仿宋_GBK" w:cs="Times New Roman"/>
          <w:b w:val="0"/>
          <w:bCs w:val="0"/>
          <w:sz w:val="28"/>
          <w:szCs w:val="28"/>
          <w:lang w:val="en-US" w:eastAsia="zh-CN"/>
        </w:rPr>
        <w:t xml:space="preserve">（</w:t>
      </w:r>
      <w:r>
        <w:rPr>
          <w:rFonts w:hint="eastAsia" w:ascii="Times New Roman" w:hAnsi="Times New Roman" w:eastAsia="方正仿宋_GBK" w:cs="Times New Roman"/>
          <w:b w:val="0"/>
          <w:bCs w:val="0"/>
          <w:sz w:val="28"/>
          <w:szCs w:val="28"/>
          <w:lang w:val="en-US" w:eastAsia="zh-CN"/>
        </w:rPr>
        <w:t xml:space="preserve">签名</w:t>
      </w:r>
      <w:r>
        <w:rPr>
          <w:rFonts w:hint="eastAsia" w:eastAsia="方正仿宋_GBK" w:cs="Times New Roman"/>
          <w:b w:val="0"/>
          <w:bCs w:val="0"/>
          <w:sz w:val="28"/>
          <w:szCs w:val="28"/>
          <w:lang w:val="en-US" w:eastAsia="zh-CN"/>
        </w:rPr>
        <w:t xml:space="preserve">或盖章）</w:t>
      </w:r>
      <w:r>
        <w:rPr>
          <w:rFonts w:hint="eastAsia" w:ascii="Times New Roman" w:hAnsi="Times New Roman" w:eastAsia="方正仿宋_GBK" w:cs="Times New Roman"/>
          <w:b w:val="0"/>
          <w:bCs w:val="0"/>
          <w:sz w:val="28"/>
          <w:szCs w:val="28"/>
          <w:lang w:val="en-US" w:eastAsia="zh-CN"/>
        </w:rPr>
        <w:t xml:space="preserve">：</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Times New Roman" w:hAnsi="Times New Roman" w:eastAsia="方正仿宋_GBK" w:cs="Times New Roman"/>
          <w:b w:val="0"/>
          <w:bCs w:val="0"/>
          <w:sz w:val="28"/>
          <w:szCs w:val="28"/>
          <w:lang w:val="en-US" w:eastAsia="zh-CN"/>
        </w:rPr>
        <w:t xml:space="preserve">日期：   年  月  日</w:t>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r>
      <w:r/>
    </w:p>
    <w:p>
      <w:pPr>
        <w:jc w:val="center"/>
        <w:spacing w:line="500" w:lineRule="exact"/>
        <w:rPr>
          <w:rFonts w:eastAsia="方正小标宋_GBK"/>
          <w:bCs/>
          <w:sz w:val="36"/>
          <w:szCs w:val="36"/>
        </w:rPr>
      </w:pPr>
      <w:r>
        <w:rPr>
          <w:rFonts w:eastAsia="方正小标宋_GBK"/>
          <w:bCs/>
          <w:sz w:val="36"/>
          <w:szCs w:val="36"/>
        </w:rPr>
        <w:t xml:space="preserve">第四部分  开标和评标</w:t>
      </w:r>
      <w:r/>
    </w:p>
    <w:p>
      <w:pPr>
        <w:pStyle w:val="655"/>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655"/>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Times New Roman" w:hAnsi="Times New Roman" w:eastAsia="方正仿宋_GBK" w:cs="Times New Roman"/>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w:t>
      </w:r>
      <w:r>
        <w:rPr>
          <w:rFonts w:hint="eastAsia" w:eastAsia="方正仿宋_GBK"/>
          <w:sz w:val="28"/>
          <w:szCs w:val="28"/>
          <w:lang w:val="zh-CN"/>
        </w:rPr>
        <w:t xml:space="preserve">部分：</w:t>
      </w:r>
      <w:r>
        <w:rPr>
          <w:rFonts w:hint="eastAsia" w:eastAsia="方正仿宋_GBK"/>
          <w:sz w:val="28"/>
          <w:szCs w:val="28"/>
          <w:lang w:val="en-US" w:eastAsia="zh-CN"/>
        </w:rPr>
        <w:t xml:space="preserve">70</w:t>
      </w:r>
      <w:r>
        <w:rPr>
          <w:rFonts w:hint="eastAsia" w:eastAsia="方正仿宋_GBK"/>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tbl>
      <w:tblPr>
        <w:tblStyle w:val="650"/>
        <w:tblW w:w="88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774"/>
        <w:gridCol w:w="726"/>
        <w:gridCol w:w="6645"/>
      </w:tblGrid>
      <w:tr>
        <w:trPr>
          <w:jc w:val="center"/>
          <w:trHeight w:val="509"/>
        </w:trPr>
        <w:tc>
          <w:tcPr>
            <w:shd w:val="clear" w:color="auto" w:fill="ffffff"/>
            <w:tcW w:w="708"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序号</w:t>
            </w:r>
            <w:r/>
          </w:p>
        </w:tc>
        <w:tc>
          <w:tcPr>
            <w:gridSpan w:val="2"/>
            <w:shd w:val="clear" w:color="auto" w:fill="ffffff"/>
            <w:tcW w:w="1500"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评分因素</w:t>
            </w:r>
            <w:r/>
          </w:p>
        </w:tc>
        <w:tc>
          <w:tcPr>
            <w:shd w:val="clear" w:color="auto" w:fill="ffffff"/>
            <w:tcW w:w="6645"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评分标准</w:t>
            </w:r>
            <w:r/>
          </w:p>
        </w:tc>
      </w:tr>
      <w:tr>
        <w:trPr>
          <w:jc w:val="center"/>
          <w:trHeight w:val="663"/>
        </w:trPr>
        <w:tc>
          <w:tcPr>
            <w:shd w:val="clear" w:color="auto" w:fill="ffffff"/>
            <w:tcW w:w="708" w:type="dxa"/>
            <w:vAlign w:val="center"/>
            <w:vMerge w:val="restart"/>
            <w:textDirection w:val="lrTb"/>
            <w:noWrap w:val="false"/>
          </w:tcPr>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1</w:t>
            </w:r>
            <w:r/>
          </w:p>
        </w:tc>
        <w:tc>
          <w:tcPr>
            <w:shd w:val="clear" w:color="auto" w:fill="ffffff"/>
            <w:tcW w:w="774" w:type="dxa"/>
            <w:vAlign w:val="center"/>
            <w:vMerge w:val="restart"/>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技术</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部分</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30分</w:t>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设施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养护</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方案</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8分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lang w:bidi="ar"/>
              </w:rPr>
            </w:pPr>
            <w:r>
              <w:rPr>
                <w:rFonts w:hint="eastAsia" w:ascii="Times New Roman" w:hAnsi="Times New Roman" w:eastAsia="方正仿宋_GBK" w:cs="Times New Roman"/>
                <w:color w:val="auto"/>
                <w:sz w:val="24"/>
                <w:szCs w:val="24"/>
                <w:lang w:val="en-US" w:eastAsia="zh-CN" w:bidi="ar-SA"/>
              </w:rPr>
              <w:t xml:space="preserve">根据投标人提供的设施运行维护保养方案，包括但不限于日常维护内容、设施定期检测等进行综合评分。方案内容符合实际需求，内容详细、合理，针对性强、可行性高，养护过程中可能遇到的问题及解决方案明确，得8分；方案内容详细、合理、切实可行，但没有针对性，或未详细阐述养护过程中可能遇到的问题及解决方案，得5分；方案内容不详细、存在缺漏或未结合实际情况阐述的，得2分；方案内容不合理的或未提供方案的，不得分。</w:t>
            </w:r>
            <w:r/>
          </w:p>
        </w:tc>
      </w:tr>
      <w:tr>
        <w:trPr>
          <w:jc w:val="center"/>
          <w:trHeight w:val="9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巡视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方案</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日常巡视路径、巡视方案等进行综合评分。方案内容阐述详细完整、针对性强、可行性高、科学合理、与项目实际情况相符合的，得5分；方案内容阐述详细完整、可行性高、科学合理，但没有针对性、与项目实际情况有出入的，得3分；方案内容不详细、存在缺漏或未结合实际情况阐述的，得1分；方案内容不合理的或未提供方案的，不得分。</w:t>
            </w:r>
            <w:r/>
          </w:p>
        </w:tc>
      </w:tr>
      <w:tr>
        <w:trPr>
          <w:jc w:val="center"/>
          <w:trHeight w:val="496"/>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服务</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便利</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性</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服务便利情况进行综合评定，投标人服务场所近、响应时间短、应急抢险能够迅速到达现场，服务体系完善、便利的，得5分；基本满足项目需求、应急抢险到达现场反应时间及时的，得3分；明显存在不足的，得1分；未作说明的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注：投标文件中需提供相关说明、材料。</w:t>
            </w:r>
            <w:r/>
          </w:p>
        </w:tc>
      </w:tr>
      <w:tr>
        <w:trPr>
          <w:jc w:val="center"/>
          <w:trHeight w:val="9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组织</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与协</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调措</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包括夜间和节假日管理人员的调配、换岗管理工作，实施维修作业期间与物业、居民及其它相关单位、部门综合协调处理方案，发生损坏事件的处理方案进行综合评分，组织管理体系科学，能够有效实施管理工作，协调方案科学合理、切合实际、责任明确、逻辑清晰的得4分；方案内容合理，但与项目实际情况有出入的，得2分；方案内容不详细、存在缺漏或未结合实际情况阐述的，得1分；方案内容不合理的或未提供方案的，不得分。</w:t>
            </w:r>
            <w:r/>
          </w:p>
        </w:tc>
      </w:tr>
      <w:tr>
        <w:trPr>
          <w:jc w:val="center"/>
          <w:trHeight w:val="1127"/>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安全</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管理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与应</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急保</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障</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安全生产管理与应急保障措施进行综合评定，内容详细合理、针对性强，项目养护过程中可能遇到的问题及解决方案明确（列举3种及以上的应急事件并提出解决措施），得5分；内容合理，但应急事件举例较少或未阐述关于项目养护过程中可能遇到的问题及解决方案，得3分；内容不详细、存在缺漏的，得1分；内容不合理的或未提供方案的，不得分。</w:t>
            </w:r>
            <w:r/>
          </w:p>
        </w:tc>
      </w:tr>
      <w:tr>
        <w:trPr>
          <w:jc w:val="center"/>
          <w:trHeight w:val="1602"/>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台账</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管理</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措施</w:t>
            </w:r>
            <w:r/>
          </w:p>
          <w:p>
            <w:pPr>
              <w:jc w:val="center"/>
              <w:keepLines w:val="0"/>
              <w:keepNext w:val="0"/>
              <w:pageBreakBefore w:val="0"/>
              <w:spacing w:line="280" w:lineRule="exact"/>
              <w:rPr>
                <w:rFonts w:hint="eastAsia" w:ascii="仿宋_GB2312" w:hAnsi="仿宋_GB2312" w:eastAsia="仿宋_GB2312" w:cs="仿宋_GB2312"/>
                <w:sz w:val="24"/>
                <w:szCs w:val="24"/>
                <w:lang w:bidi="ar"/>
              </w:rPr>
            </w:pPr>
            <w:r>
              <w:rPr>
                <w:rFonts w:hint="eastAsia" w:ascii="Times New Roman" w:hAnsi="Times New Roman" w:eastAsia="方正仿宋_GBK" w:cs="Times New Roman"/>
                <w:color w:val="auto"/>
                <w:sz w:val="24"/>
                <w:szCs w:val="24"/>
                <w:lang w:val="en-US" w:eastAsia="zh-CN" w:bidi="ar-SA"/>
              </w:rPr>
              <w:t xml:space="preserve">3分</w:t>
            </w:r>
            <w:r/>
          </w:p>
        </w:tc>
        <w:tc>
          <w:tcPr>
            <w:shd w:val="clear" w:color="auto" w:fill="auto"/>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根据投标人提供的养护信息台账管理措施进行综合评分，台账管理措施内容详细完整、条理清晰、优于采购人要求的，得3分；台账管理措施内容详细完整、条理清晰，符合采购人要求的，得2分；台账管理措施内容存在缺漏的，得1分；未提供相关内容的，不得分。</w:t>
            </w:r>
            <w:r/>
          </w:p>
        </w:tc>
      </w:tr>
      <w:tr>
        <w:trPr>
          <w:jc w:val="center"/>
          <w:trHeight w:val="90"/>
        </w:trPr>
        <w:tc>
          <w:tcPr>
            <w:shd w:val="clear" w:color="auto" w:fill="ffffff"/>
            <w:tcW w:w="708" w:type="dxa"/>
            <w:vAlign w:val="center"/>
            <w:vMerge w:val="restart"/>
            <w:textDirection w:val="lrTb"/>
            <w:noWrap w:val="false"/>
          </w:tcPr>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2</w:t>
            </w:r>
            <w:r/>
          </w:p>
        </w:tc>
        <w:tc>
          <w:tcPr>
            <w:shd w:val="clear" w:color="auto" w:fill="ffffff"/>
            <w:tcW w:w="774" w:type="dxa"/>
            <w:vAlign w:val="center"/>
            <w:vMerge w:val="restart"/>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商务</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部分</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40分</w:t>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拟投</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入本</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项目</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使用</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的养</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护设</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备</w:t>
            </w:r>
            <w:r/>
          </w:p>
          <w:p>
            <w:pPr>
              <w:jc w:val="center"/>
              <w:keepLines w:val="0"/>
              <w:keepNext w:val="0"/>
              <w:pageBreakBefore w:val="0"/>
              <w:spacing w:line="280" w:lineRule="exact"/>
              <w:rPr>
                <w:rFonts w:hint="eastAsia" w:ascii="仿宋_GB2312" w:hAnsi="仿宋_GB2312" w:eastAsia="仿宋_GB2312" w:cs="仿宋_GB2312"/>
                <w:sz w:val="24"/>
                <w:szCs w:val="24"/>
              </w:rPr>
            </w:pPr>
            <w:r>
              <w:rPr>
                <w:rFonts w:hint="eastAsia" w:ascii="Times New Roman" w:hAnsi="Times New Roman" w:eastAsia="方正仿宋_GBK" w:cs="Times New Roman"/>
                <w:color w:val="auto"/>
                <w:sz w:val="24"/>
                <w:szCs w:val="24"/>
                <w:lang w:val="en-US" w:eastAsia="zh-CN" w:bidi="ar-SA"/>
              </w:rPr>
              <w:t xml:space="preserve">9分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投标人至少应为本项目配备1辆巡查车（轻型多用途货车或5座及以上小型客车，货车进城区禁行区域通行相关要求执行本地交管部门规定，由投标人自行考虑，下同），否则“拟投入本项目使用的养护设备”大项（9分）均不得分；在此基础上每多配备1辆符合上述要求的巡查车，加3分，本小项最高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2、投标人至少应为本项目配备1辆高空作业车（作业高度不低于15米）的，否则“拟投入本项目使用的养护设备”大项（9）均不得分；在此基础上每多配备1辆高空作业车，加3分，本小项最高得3分。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3、投标人至少应为本项目配备1辆维修作业车，否则“拟投入本项目使用的养护设备”大项（9分）均不得分；在此基础上每多配备1辆符合上述要求的巡查车，加3分，本项最高得3分。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rPr>
            </w:pPr>
            <w:r>
              <w:rPr>
                <w:rFonts w:hint="eastAsia" w:ascii="Times New Roman" w:hAnsi="Times New Roman" w:eastAsia="方正仿宋_GBK" w:cs="Times New Roman"/>
                <w:b/>
                <w:bCs/>
                <w:color w:val="auto"/>
                <w:sz w:val="24"/>
                <w:szCs w:val="24"/>
                <w:lang w:val="en-US" w:eastAsia="zh-CN" w:bidi="ar-SA"/>
              </w:rPr>
              <w:t xml:space="preserve">注：以上车辆自有或租赁均可①如车辆为自有的，则须同时提供自有车辆照片、行驶证，车主须与投标单位名称一致，且年检合格，否则不得分。②如车辆为租赁的，则须同时提供车辆行驶证、照片、租赁合同和租赁费用发票，租赁合同期限必须满足本项目的服务期限，否则不得分；③如提供的行驶证等材料不能反映上述车辆要求的规格参数的则需同时提供其他证明资料以证明拟投入的车辆满足上述要求的规格参数，否则不得分。</w:t>
            </w:r>
            <w:r/>
          </w:p>
        </w:tc>
      </w:tr>
      <w:tr>
        <w:trPr>
          <w:jc w:val="center"/>
          <w:trHeight w:val="585"/>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项目</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组人</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员配</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备</w:t>
            </w:r>
            <w:r/>
          </w:p>
          <w:p>
            <w:pPr>
              <w:jc w:val="center"/>
              <w:keepLines w:val="0"/>
              <w:keepNext w:val="0"/>
              <w:pageBreakBefore w:val="0"/>
              <w:spacing w:line="280" w:lineRule="exact"/>
              <w:rPr>
                <w:rFonts w:hint="eastAsia" w:ascii="仿宋_GB2312" w:hAnsi="仿宋_GB2312" w:eastAsia="仿宋_GB2312" w:cs="仿宋_GB2312"/>
                <w:sz w:val="24"/>
                <w:szCs w:val="24"/>
                <w:lang w:val="en-US" w:eastAsia="zh-CN" w:bidi="ar"/>
              </w:rPr>
            </w:pPr>
            <w:r>
              <w:rPr>
                <w:rFonts w:hint="eastAsia" w:ascii="Times New Roman" w:hAnsi="Times New Roman" w:eastAsia="方正仿宋_GBK" w:cs="Times New Roman"/>
                <w:color w:val="auto"/>
                <w:sz w:val="24"/>
                <w:szCs w:val="24"/>
                <w:lang w:val="en-US" w:eastAsia="zh-CN" w:bidi="ar-SA"/>
              </w:rPr>
              <w:t xml:space="preserve">10分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项目负责人1名。具有机电工程或市政公用工程专业注册建造师证书，二级注册建造师资质得0.5分，一级注册建造师得1分（二选一，不重复计分）；具有机电或市政相关专业技术职称证书，中级职称得0.5分，高级及以上职称得1分（二选一，不重复计分）。本项最高得2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2.技术负责人1名。具有机电或市政相关专业技术职称证书，中级职称得0.5分，高级及以上职称得1分（二选一，不重复计分）。本项最高得1分。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3.专职安全员C3(综合类）。持有省级及以上住建部门颁发的有效C3综合类安全员证书，每配备1名得1分，本项最高得1分。本项至少配备1名，不配备的“项目组人员配备”大项（10分）均不得分。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4.低压电工。持有省级应急管理厅颁发的有效低压电工证，每有1名得1分，本项最高得2分。本项至少配备1名，不配备的“项目组人员配备”大项（10分）均不得分。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5.高压电工。持有省级应急管理厅颁发的有效高压电工证，每有1名得1分，本项最高得2分。本项至少配备1名，不配备的“项目组人员配备”大项（10分）均不得分。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6.高处作业员。持有省级应急管理厅颁发的有效高处作业证，每有1名得1分，本项最高得2分。本项至少配备1名，不配备的“项目组人员配备”大项（10分）均不得分。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sz w:val="24"/>
                <w:szCs w:val="24"/>
                <w:lang w:val="en-US" w:eastAsia="zh-CN" w:bidi="ar"/>
              </w:rPr>
            </w:pPr>
            <w:r>
              <w:rPr>
                <w:rFonts w:hint="eastAsia" w:ascii="Times New Roman" w:hAnsi="Times New Roman" w:eastAsia="方正仿宋_GBK" w:cs="Times New Roman"/>
                <w:b/>
                <w:bCs/>
                <w:color w:val="auto"/>
                <w:sz w:val="24"/>
                <w:szCs w:val="24"/>
                <w:lang w:val="en-US" w:eastAsia="zh-CN" w:bidi="ar-SA"/>
              </w:rPr>
              <w:t xml:space="preserve">注：①同一人员不重复计分。提供上述人员的相应证书、社保机构出具的投标人为上述人员缴纳的投标截止日前三个月的社保缴纳证明,未按要求提供者不得分。②如职称证书上未明确专业的则另须提供所要求专业的学历证书或职称评审表（职称评审表须齐全，不得漏页）。</w:t>
            </w:r>
            <w:r/>
          </w:p>
        </w:tc>
      </w:tr>
      <w:tr>
        <w:trPr>
          <w:jc w:val="center"/>
          <w:trHeight w:val="310"/>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企业</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实力</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投标人具备有效期内的质量管理体系认证证书、环境管理体系认证证书、职业健康安全管理体系认证证书，证书认证范围应包含“城市及道路照明工程”或“亮化工程”相关内容，每项证书得1分，本项最多得3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2.投标人持有有效的售后服务认证证书的得1分，证书认证范围包含“城市及道路照明”或“亮化工程”相关内容。</w:t>
            </w:r>
            <w:r/>
          </w:p>
          <w:p>
            <w:pPr>
              <w:ind w:firstLine="480"/>
              <w:keepLines w:val="0"/>
              <w:keepNext w:val="0"/>
              <w:pageBreakBefore w:val="0"/>
              <w:spacing w:line="400" w:lineRule="exact"/>
              <w:widowControl w:val="off"/>
              <w:rPr>
                <w:rFonts w:hint="eastAsia" w:ascii="Times New Roman" w:hAnsi="Times New Roman" w:eastAsia="方正仿宋_GBK" w:cs="Times New Roman"/>
                <w:b/>
                <w:bCs/>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注：上述1.管理体系认证：提供相应证书及该证书在“全国认证认可信息公共服务平台”查询结果的“证书详情”页打印件；</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b/>
                <w:bCs/>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2.售后服务认证：提供证书、发证认证机构官方渠道的本证书查询截图及对应查询网址，同时提供该发证认证机构在“全国认证认可信息公共服务平台”的机构资质查询截图，截图须证明该认证机构状态有效，具备开展该类服务认证业务的执业能力。</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对应材料未提供或</w:t>
            </w:r>
            <w:bookmarkStart w:id="132" w:name="_GoBack"/>
            <w:r/>
            <w:bookmarkEnd w:id="132"/>
            <w:r>
              <w:rPr>
                <w:rFonts w:hint="eastAsia" w:ascii="Times New Roman" w:hAnsi="Times New Roman" w:eastAsia="方正仿宋_GBK" w:cs="Times New Roman"/>
                <w:b/>
                <w:bCs/>
                <w:color w:val="auto"/>
                <w:sz w:val="24"/>
                <w:szCs w:val="24"/>
                <w:lang w:val="en-US" w:eastAsia="zh-CN" w:bidi="ar-SA"/>
              </w:rPr>
              <w:t xml:space="preserve">提供不完整的不得分。</w:t>
            </w:r>
            <w:r/>
          </w:p>
        </w:tc>
      </w:tr>
      <w:tr>
        <w:trPr>
          <w:jc w:val="center"/>
          <w:trHeight w:val="891"/>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企业</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类似</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业绩</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8分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投标人自2021年1月1日以来（以合同签订时间为准）承担过类似亮化养护项目（合同项目内容含路灯或亮化养护），每提供一个得2分，本项最高得8分。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b/>
                <w:bCs/>
                <w:color w:val="auto"/>
                <w:sz w:val="24"/>
                <w:szCs w:val="24"/>
                <w:lang w:val="en-US" w:eastAsia="zh-CN" w:bidi="ar-SA"/>
              </w:rPr>
              <w:t xml:space="preserve">注：提供项目合</w:t>
            </w: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同及中标通知书，未提供或提供不完整的不得分。</w:t>
            </w:r>
            <w:r/>
          </w:p>
        </w:tc>
      </w:tr>
      <w:tr>
        <w:trPr>
          <w:jc w:val="center"/>
          <w:trHeight w:val="853"/>
        </w:trPr>
        <w:tc>
          <w:tcPr>
            <w:shd w:val="clear" w:color="auto" w:fill="ffffff"/>
            <w:tcW w:w="708"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74" w:type="dxa"/>
            <w:vAlign w:val="center"/>
            <w:vMerge w:val="continue"/>
            <w:textDirection w:val="lrTb"/>
            <w:noWrap w:val="false"/>
          </w:tcPr>
          <w:p>
            <w:pPr>
              <w:keepLines w:val="0"/>
              <w:keepNext w:val="0"/>
              <w:pageBreakBefore w:val="0"/>
              <w:spacing w:line="28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ffffff"/>
            <w:tcW w:w="726" w:type="dxa"/>
            <w:vAlign w:val="center"/>
            <w:textDirection w:val="lrTb"/>
            <w:noWrap w:val="false"/>
          </w:tcPr>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主要</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产品</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性能</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检测</w:t>
            </w:r>
            <w:r/>
          </w:p>
          <w:p>
            <w:pPr>
              <w:jc w:val="center"/>
              <w:keepLines w:val="0"/>
              <w:keepNext w:val="0"/>
              <w:pageBreakBefore w:val="0"/>
              <w:spacing w:line="28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9分</w:t>
            </w:r>
            <w:r/>
          </w:p>
        </w:tc>
        <w:tc>
          <w:tcPr>
            <w:shd w:val="clear" w:color="auto" w:fill="ffffff"/>
            <w:tcW w:w="6645" w:type="dxa"/>
            <w:vAlign w:val="center"/>
            <w:textDirection w:val="lrTb"/>
            <w:noWrap w:val="false"/>
          </w:tcPr>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1、1.5W LED点光源</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1.5W(±0.2W以内)；相关色温：RGB-4K（4000K±100K以内）；4000K的显色指数≥80；功率因数≥0.90；500小时光通维持率≥100%(正常燃点方式，不接受推算等快速方法)；灯具在温度85℃、湿度85%RH的环境中放置500小时试验后检测结果：灯具能点亮。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2、12*1.2W LED点光像素灯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12*1.2W(±1W以内)；相关色温:RGBW（4000K±100K以内）；4000K的显色指数≥80；功率因数≥0.90；500小时光通维持率≥100%(正常燃点方式，不接受推算等快速方法)；灯具在温度85℃、湿度85%RH的环境中放置500小时试验后检测结果：灯具能点亮；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3、18W LED 1800~6500K可调线性洗墙灯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18W(±1W以内)；相关色温：1800~6500K可调；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4、15W LED线条灯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15W(±1W以内)；色温RGB-W4K(4000K±100K以内)；4000K的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5、24W LED洗墙灯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24W(±1W以内)；色温3000K(±100K以内)；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6、20W LED投光灯</w:t>
            </w:r>
            <w:r/>
          </w:p>
          <w:p>
            <w:pPr>
              <w:pStyle w:val="654"/>
              <w:ind w:firstLine="480"/>
              <w:keepLines w:val="0"/>
              <w:keepNext w:val="0"/>
              <w:pageBreakBefore w:val="0"/>
              <w:spacing w:before="0" w:beforeAutospacing="0" w:after="0" w:afterAutospacing="0" w:line="36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参数要求:输入功率20W(±1W以内)；色温1800~6500K可调；显色指数≥80；功率因数≥0.90；500小时光通维持率≥100%(正常燃点方式，不接受推算等快速方法)；500小时盐雾检测结果：灯具上无明显腐蚀。检测报告满足上述全部要求得1.5分，不全部满足不得分。</w:t>
            </w:r>
            <w:r/>
          </w:p>
          <w:p>
            <w:pPr>
              <w:pStyle w:val="654"/>
              <w:ind w:firstLine="480"/>
              <w:keepLines w:val="0"/>
              <w:keepNext w:val="0"/>
              <w:pageBreakBefore w:val="0"/>
              <w:spacing w:before="0" w:beforeAutospacing="0" w:after="0" w:afterAutospacing="0" w:line="360" w:lineRule="exact"/>
              <w:widowControl w:val="off"/>
              <w:rPr>
                <w:rFonts w:hint="eastAsia" w:ascii="仿宋_GB2312" w:hAnsi="仿宋_GB2312" w:eastAsia="仿宋_GB2312" w:cs="仿宋_GB2312"/>
                <w:b/>
                <w:bCs/>
                <w:sz w:val="24"/>
                <w:szCs w:val="24"/>
                <w:lang w:val="en-US" w:eastAsia="zh-CN" w:bidi="ar"/>
              </w:rPr>
            </w:pPr>
            <w:r>
              <w:rPr>
                <w:rFonts w:hint="eastAsia" w:ascii="Times New Roman" w:hAnsi="Times New Roman" w:eastAsia="方正仿宋_GBK" w:cs="Times New Roman"/>
                <w:b/>
                <w:bCs/>
                <w:color w:val="auto"/>
                <w:sz w:val="24"/>
                <w:szCs w:val="24"/>
                <w:lang w:val="en-US" w:eastAsia="zh-CN" w:bidi="ar-SA"/>
              </w:rPr>
              <w:t xml:space="preserve">注：提供上述所投产品经国家认可的第三方检测机构（提供该检测机构在“全国认证认可信息公共服务平台”的认证信息截图并盖投标单位章，相关截图至少需证明该认可在有效内，</w:t>
            </w:r>
            <w:r>
              <w:rPr>
                <w:rFonts w:hint="default" w:ascii="Times New Roman" w:hAnsi="Times New Roman" w:eastAsia="方正仿宋_GBK" w:cs="Times New Roman"/>
                <w:b/>
                <w:bCs/>
                <w:color w:val="auto"/>
                <w:sz w:val="24"/>
                <w:szCs w:val="24"/>
                <w:lang w:val="en-US" w:eastAsia="zh-CN" w:bidi="ar-SA"/>
              </w:rPr>
              <w:t xml:space="preserve">认证</w:t>
            </w:r>
            <w:r>
              <w:rPr>
                <w:rFonts w:hint="eastAsia" w:ascii="Times New Roman" w:hAnsi="Times New Roman" w:eastAsia="方正仿宋_GBK" w:cs="Times New Roman"/>
                <w:b/>
                <w:bCs/>
                <w:color w:val="auto"/>
                <w:sz w:val="24"/>
                <w:szCs w:val="24"/>
                <w:lang w:val="en-US" w:eastAsia="zh-CN" w:bidi="ar-SA"/>
              </w:rPr>
              <w:t xml:space="preserve">检测范围包括检测内容</w:t>
            </w:r>
            <w:r>
              <w:rPr>
                <w:rFonts w:hint="default" w:ascii="Times New Roman" w:hAnsi="Times New Roman" w:eastAsia="方正仿宋_GBK" w:cs="Times New Roman"/>
                <w:b/>
                <w:bCs/>
                <w:color w:val="auto"/>
                <w:sz w:val="24"/>
                <w:szCs w:val="24"/>
                <w:lang w:val="en-US" w:eastAsia="zh-CN" w:bidi="ar-SA"/>
              </w:rPr>
              <w:t xml:space="preserve">）</w:t>
            </w:r>
            <w:r>
              <w:rPr>
                <w:rFonts w:hint="eastAsia" w:ascii="Times New Roman" w:hAnsi="Times New Roman" w:eastAsia="方正仿宋_GBK" w:cs="Times New Roman"/>
                <w:b/>
                <w:bCs/>
                <w:color w:val="auto"/>
                <w:sz w:val="24"/>
                <w:szCs w:val="24"/>
                <w:lang w:val="en-US" w:eastAsia="zh-CN" w:bidi="ar-SA"/>
              </w:rPr>
              <w:t xml:space="preserve">出具的封面带有CMA及CNAS标志的有效检测报告（检测报告有电子版报告的二维码、内页附有样品照片、相关技术参数满足要求；送检日期不得早于投标截止日前2年，否则视为无效）。</w:t>
            </w:r>
            <w:r/>
          </w:p>
        </w:tc>
      </w:tr>
      <w:tr>
        <w:trPr>
          <w:jc w:val="center"/>
          <w:trHeight w:val="853"/>
        </w:trPr>
        <w:tc>
          <w:tcPr>
            <w:gridSpan w:val="4"/>
            <w:shd w:val="clear" w:color="auto" w:fill="ffffff"/>
            <w:tcW w:w="8853" w:type="dxa"/>
            <w:vAlign w:val="center"/>
            <w:textDirection w:val="lrTb"/>
            <w:noWrap w:val="false"/>
          </w:tcPr>
          <w:p>
            <w:pPr>
              <w:ind w:firstLine="480"/>
              <w:keepLines w:val="0"/>
              <w:keepNext w:val="0"/>
              <w:pageBreakBefore w:val="0"/>
              <w:spacing w:line="440" w:lineRule="exact"/>
              <w:widowControl w:val="off"/>
              <w:rPr>
                <w:rFonts w:hint="eastAsia" w:ascii="Times New Roman" w:hAnsi="Times New Roman" w:eastAsia="方正仿宋_GBK" w:cs="Times New Roman"/>
                <w:color w:val="auto"/>
                <w:sz w:val="24"/>
                <w:szCs w:val="24"/>
                <w:lang w:val="zh-CN" w:eastAsia="zh-CN" w:bidi="ar-SA"/>
              </w:rPr>
            </w:pPr>
            <w:r>
              <w:rPr>
                <w:rFonts w:hint="eastAsia" w:ascii="Times New Roman" w:hAnsi="Times New Roman" w:eastAsia="方正仿宋_GBK" w:cs="Times New Roman"/>
                <w:color w:val="auto"/>
                <w:sz w:val="24"/>
                <w:szCs w:val="24"/>
                <w:lang w:val="en-US" w:eastAsia="zh-CN" w:bidi="ar-SA"/>
              </w:rPr>
              <w:t xml:space="preserve">备注：（1）</w:t>
            </w:r>
            <w:r>
              <w:rPr>
                <w:rFonts w:hint="eastAsia" w:ascii="Times New Roman" w:hAnsi="Times New Roman" w:eastAsia="方正仿宋_GBK" w:cs="Times New Roman"/>
                <w:color w:val="auto"/>
                <w:sz w:val="24"/>
                <w:szCs w:val="24"/>
                <w:lang w:val="zh-CN" w:eastAsia="zh-CN" w:bidi="ar-SA"/>
              </w:rPr>
              <w:t xml:space="preserve">上述要求的证书或证明材料请提供清晰的</w:t>
            </w:r>
            <w:r>
              <w:rPr>
                <w:rFonts w:hint="eastAsia" w:ascii="Times New Roman" w:hAnsi="Times New Roman" w:eastAsia="方正仿宋_GBK" w:cs="Times New Roman"/>
                <w:color w:val="auto"/>
                <w:sz w:val="24"/>
                <w:szCs w:val="24"/>
                <w:lang w:val="en-US" w:eastAsia="zh-CN" w:bidi="ar-SA"/>
              </w:rPr>
              <w:t xml:space="preserve">扫描件</w:t>
            </w:r>
            <w:r>
              <w:rPr>
                <w:rFonts w:hint="eastAsia" w:ascii="Times New Roman" w:hAnsi="Times New Roman" w:eastAsia="方正仿宋_GBK" w:cs="Times New Roman"/>
                <w:color w:val="auto"/>
                <w:sz w:val="24"/>
                <w:szCs w:val="24"/>
                <w:lang w:val="zh-CN" w:eastAsia="zh-CN" w:bidi="ar-SA"/>
              </w:rPr>
              <w:t xml:space="preserve">并加盖供应商单位公章，未按以上要求提供材料或缺项漏项或证明材料不清晰的，视为无效证明材料。</w:t>
            </w:r>
            <w:r/>
          </w:p>
          <w:p>
            <w:pPr>
              <w:ind w:firstLine="480"/>
              <w:keepLines w:val="0"/>
              <w:keepNext w:val="0"/>
              <w:pageBreakBefore w:val="0"/>
              <w:spacing w:line="440" w:lineRule="exact"/>
              <w:widowControl w:val="off"/>
              <w:rPr>
                <w:rFonts w:hint="eastAsia" w:ascii="仿宋_GB2312" w:hAnsi="仿宋_GB2312" w:eastAsia="仿宋_GB2312" w:cs="仿宋_GB2312"/>
                <w:b/>
                <w:bCs/>
                <w:sz w:val="24"/>
                <w:szCs w:val="24"/>
                <w:lang w:bidi="ar"/>
              </w:rPr>
            </w:pPr>
            <w:r>
              <w:rPr>
                <w:rFonts w:hint="eastAsia" w:ascii="Times New Roman" w:hAnsi="Times New Roman" w:eastAsia="方正仿宋_GBK" w:cs="Times New Roman"/>
                <w:color w:val="auto"/>
                <w:sz w:val="24"/>
                <w:szCs w:val="24"/>
                <w:lang w:val="zh-CN" w:eastAsia="zh-CN" w:bidi="ar-SA"/>
              </w:rPr>
              <w:t xml:space="preserve">（</w:t>
            </w:r>
            <w:r>
              <w:rPr>
                <w:rFonts w:hint="eastAsia" w:ascii="Times New Roman" w:hAnsi="Times New Roman" w:eastAsia="方正仿宋_GBK" w:cs="Times New Roman"/>
                <w:color w:val="auto"/>
                <w:sz w:val="24"/>
                <w:szCs w:val="24"/>
                <w:lang w:val="en-US" w:eastAsia="zh-CN" w:bidi="ar-SA"/>
              </w:rPr>
              <w:t xml:space="preserve">2）</w:t>
            </w:r>
            <w:r>
              <w:rPr>
                <w:rFonts w:hint="eastAsia" w:ascii="Times New Roman" w:hAnsi="Times New Roman" w:eastAsia="方正仿宋_GBK" w:cs="Times New Roman"/>
                <w:color w:val="auto"/>
                <w:sz w:val="24"/>
                <w:szCs w:val="24"/>
                <w:lang w:val="zh-CN" w:eastAsia="zh-CN" w:bidi="ar-SA"/>
              </w:rPr>
              <w:t xml:space="preserve">采购人有权在规定的时间内（中标公示或质疑期间及其他采购人明确要求的时间内）对</w:t>
            </w:r>
            <w:r>
              <w:rPr>
                <w:rFonts w:hint="eastAsia" w:ascii="Times New Roman" w:hAnsi="Times New Roman" w:eastAsia="方正仿宋_GBK" w:cs="Times New Roman"/>
                <w:color w:val="auto"/>
                <w:sz w:val="24"/>
                <w:szCs w:val="24"/>
                <w:lang w:val="en-US" w:eastAsia="zh-CN" w:bidi="ar-SA"/>
              </w:rPr>
              <w:t xml:space="preserve">成交供应商</w:t>
            </w:r>
            <w:r>
              <w:rPr>
                <w:rFonts w:hint="eastAsia" w:ascii="Times New Roman" w:hAnsi="Times New Roman" w:eastAsia="方正仿宋_GBK" w:cs="Times New Roman"/>
                <w:color w:val="auto"/>
                <w:sz w:val="24"/>
                <w:szCs w:val="24"/>
                <w:lang w:val="zh-CN" w:eastAsia="zh-CN" w:bidi="ar-SA"/>
              </w:rPr>
              <w:t xml:space="preserve">或其他投标</w:t>
            </w:r>
            <w:r>
              <w:rPr>
                <w:rFonts w:hint="eastAsia" w:ascii="Times New Roman" w:hAnsi="Times New Roman" w:eastAsia="方正仿宋_GBK" w:cs="Times New Roman"/>
                <w:color w:val="auto"/>
                <w:sz w:val="24"/>
                <w:szCs w:val="24"/>
                <w:lang w:val="en-US" w:eastAsia="zh-CN" w:bidi="ar-SA"/>
              </w:rPr>
              <w:t xml:space="preserve">供应商</w:t>
            </w:r>
            <w:r>
              <w:rPr>
                <w:rFonts w:hint="eastAsia" w:ascii="Times New Roman" w:hAnsi="Times New Roman" w:eastAsia="方正仿宋_GBK" w:cs="Times New Roman"/>
                <w:color w:val="auto"/>
                <w:sz w:val="24"/>
                <w:szCs w:val="24"/>
                <w:lang w:val="zh-CN" w:eastAsia="zh-CN" w:bidi="ar-SA"/>
              </w:rPr>
              <w:t xml:space="preserve">提供的与评分办法相关的材料等评分依据（原件）的真实性进行复查。如未在采购人规定的时间内提交，采购人有权根据政府采购法律法规处理。如发现有通过提供虚假证明文件获得分值，将取消</w:t>
            </w:r>
            <w:r>
              <w:rPr>
                <w:rFonts w:hint="eastAsia" w:ascii="Times New Roman" w:hAnsi="Times New Roman" w:eastAsia="方正仿宋_GBK" w:cs="Times New Roman"/>
                <w:color w:val="auto"/>
                <w:sz w:val="24"/>
                <w:szCs w:val="24"/>
                <w:lang w:val="en-US" w:eastAsia="zh-CN" w:bidi="ar-SA"/>
              </w:rPr>
              <w:t xml:space="preserve">成交</w:t>
            </w:r>
            <w:r>
              <w:rPr>
                <w:rFonts w:hint="eastAsia" w:ascii="Times New Roman" w:hAnsi="Times New Roman" w:eastAsia="方正仿宋_GBK" w:cs="Times New Roman"/>
                <w:color w:val="auto"/>
                <w:sz w:val="24"/>
                <w:szCs w:val="24"/>
                <w:lang w:val="zh-CN" w:eastAsia="zh-CN" w:bidi="ar-SA"/>
              </w:rPr>
              <w:t xml:space="preserve">资格，并提请监督机构按照政府采购相关法规处理。</w:t>
            </w:r>
            <w:r/>
          </w:p>
        </w:tc>
      </w:tr>
    </w:tbl>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w:t>
      </w:r>
      <w:r>
        <w:rPr>
          <w:rFonts w:hint="eastAsia" w:eastAsia="方正仿宋_GBK"/>
          <w:sz w:val="28"/>
          <w:szCs w:val="28"/>
          <w:lang w:val="zh-CN"/>
        </w:rPr>
        <w:t xml:space="preserve">分：</w:t>
      </w:r>
      <w:r>
        <w:rPr>
          <w:rFonts w:hint="eastAsia" w:eastAsia="方正仿宋_GBK"/>
          <w:sz w:val="28"/>
          <w:szCs w:val="28"/>
          <w:lang w:val="en-US" w:eastAsia="zh-CN"/>
        </w:rPr>
        <w:t xml:space="preserve">30</w:t>
      </w:r>
      <w:r>
        <w:rPr>
          <w:rFonts w:hint="eastAsia"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65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lang w:val="en-US" w:eastAsia="zh-CN"/>
        </w:rPr>
        <w:t xml:space="preserve">采购人或采购代理机构</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签订合同时请中标供应商提供</w:t>
      </w:r>
      <w:r>
        <w:rPr>
          <w:rFonts w:hint="eastAsia" w:ascii="Times New Roman" w:hAnsi="Times New Roman" w:eastAsia="方正仿宋_GBK" w:cs="Times New Roman"/>
          <w:b/>
          <w:bCs/>
          <w:sz w:val="28"/>
          <w:szCs w:val="28"/>
          <w:lang w:val="en-US" w:eastAsia="zh-CN"/>
        </w:rPr>
        <w:t xml:space="preserve">1</w:t>
      </w:r>
      <w:r>
        <w:rPr>
          <w:rFonts w:ascii="Times New Roman" w:hAnsi="Times New Roman" w:eastAsia="方正仿宋_GBK" w:cs="Times New Roman"/>
          <w:b/>
          <w:bCs/>
          <w:sz w:val="28"/>
          <w:szCs w:val="28"/>
        </w:rPr>
        <w:t xml:space="preserve">正</w:t>
      </w:r>
      <w:r>
        <w:rPr>
          <w:rFonts w:hint="eastAsia" w:ascii="Times New Roman" w:hAnsi="Times New Roman" w:eastAsia="方正仿宋_GBK" w:cs="Times New Roman"/>
          <w:b/>
          <w:bCs/>
          <w:sz w:val="28"/>
          <w:szCs w:val="28"/>
          <w:lang w:val="en-US" w:eastAsia="zh-CN"/>
        </w:rPr>
        <w:t xml:space="preserve">2</w:t>
      </w:r>
      <w:r>
        <w:rPr>
          <w:rFonts w:ascii="Times New Roman" w:hAnsi="Times New Roman" w:eastAsia="方正仿宋_GBK" w:cs="Times New Roman"/>
          <w:b/>
          <w:bCs/>
          <w:sz w:val="28"/>
          <w:szCs w:val="28"/>
        </w:rPr>
        <w:t xml:space="preserve">副纸质版投标文件至</w:t>
      </w:r>
      <w:r>
        <w:rPr>
          <w:rFonts w:hint="eastAsia" w:ascii="Times New Roman" w:hAnsi="Times New Roman" w:eastAsia="方正仿宋_GBK" w:cs="Times New Roman"/>
          <w:b/>
          <w:bCs/>
          <w:sz w:val="28"/>
          <w:szCs w:val="28"/>
          <w:lang w:val="en-US" w:eastAsia="zh-CN"/>
        </w:rPr>
        <w:t xml:space="preserve">采购代理机构</w:t>
      </w:r>
      <w:r>
        <w:rPr>
          <w:rFonts w:ascii="Times New Roman" w:hAnsi="Times New Roman" w:eastAsia="方正仿宋_GBK" w:cs="Times New Roman"/>
          <w:b/>
          <w:bCs/>
          <w:sz w:val="28"/>
          <w:szCs w:val="28"/>
        </w:rPr>
        <w:t xml:space="preserve">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both"/>
        <w:rPr>
          <w:rFonts w:eastAsia="方正小标宋简体"/>
          <w:bCs/>
          <w:color w:val="000000"/>
          <w:sz w:val="30"/>
          <w:szCs w:val="30"/>
        </w:rPr>
      </w:pPr>
      <w:r>
        <w:rPr>
          <w:rFonts w:eastAsia="方正小标宋简体"/>
          <w:bCs/>
          <w:color w:val="000000"/>
          <w:sz w:val="30"/>
          <w:szCs w:val="30"/>
        </w:rPr>
        <w:t xml:space="preserve">附件8</w:t>
      </w:r>
      <w:r/>
    </w:p>
    <w:p>
      <w:pPr>
        <w:jc w:val="center"/>
        <w:rPr>
          <w:rFonts w:eastAsia="方正小标宋简体"/>
          <w:bCs/>
          <w:color w:val="000000"/>
          <w:sz w:val="30"/>
          <w:szCs w:val="30"/>
        </w:rPr>
      </w:pPr>
      <w:r>
        <w:rPr>
          <w:rFonts w:hint="eastAsia" w:eastAsia="方正小标宋简体"/>
          <w:bCs/>
          <w:color w:val="000000"/>
          <w:sz w:val="30"/>
          <w:szCs w:val="30"/>
          <w:lang w:val="en-US" w:eastAsia="zh-CN"/>
        </w:rPr>
        <w:t xml:space="preserve"> 分项</w:t>
      </w:r>
      <w:r>
        <w:rPr>
          <w:rFonts w:hint="eastAsia" w:eastAsia="方正小标宋简体"/>
          <w:bCs/>
          <w:color w:val="000000"/>
          <w:sz w:val="30"/>
          <w:szCs w:val="30"/>
        </w:rPr>
        <w:t xml:space="preserve">报价明细表</w:t>
      </w:r>
      <w:r/>
    </w:p>
    <w:p>
      <w:pPr>
        <w:spacing w:line="400" w:lineRule="exact"/>
        <w:rPr>
          <w:rFonts w:eastAsia="仿宋"/>
          <w:sz w:val="28"/>
          <w:szCs w:val="28"/>
          <w:highlight w:val="none"/>
          <w:u w:val="single"/>
        </w:rPr>
      </w:pPr>
      <w:r>
        <w:rPr>
          <w:rFonts w:eastAsia="仿宋"/>
          <w:bCs/>
          <w:color w:val="000000"/>
          <w:sz w:val="28"/>
          <w:szCs w:val="28"/>
          <w:highlight w:val="none"/>
        </w:rPr>
        <w:t xml:space="preserve">项目编号：</w:t>
      </w:r>
      <w:r>
        <w:rPr>
          <w:rFonts w:eastAsia="仿宋"/>
          <w:sz w:val="28"/>
          <w:szCs w:val="28"/>
          <w:highlight w:val="none"/>
          <w:u w:val="single"/>
        </w:rPr>
        <w:t xml:space="preserve">                    </w:t>
      </w:r>
      <w:r>
        <w:rPr>
          <w:rFonts w:hint="eastAsia" w:eastAsia="仿宋"/>
          <w:sz w:val="28"/>
          <w:szCs w:val="28"/>
          <w:highlight w:val="none"/>
          <w:u w:val="single"/>
          <w:lang w:val="en-US" w:eastAsia="zh-CN"/>
        </w:rPr>
        <w:t xml:space="preserve">  </w:t>
      </w:r>
      <w:r>
        <w:rPr>
          <w:rFonts w:eastAsia="仿宋"/>
          <w:sz w:val="28"/>
          <w:szCs w:val="28"/>
          <w:highlight w:val="none"/>
          <w:u w:val="single"/>
        </w:rPr>
        <w:t xml:space="preserve">  </w:t>
      </w:r>
      <w:r/>
    </w:p>
    <w:p>
      <w:pPr>
        <w:spacing w:line="400" w:lineRule="exact"/>
        <w:rPr>
          <w:rFonts w:eastAsia="仿宋_GB2312"/>
          <w:sz w:val="28"/>
          <w:szCs w:val="28"/>
          <w:highlight w:val="none"/>
        </w:rPr>
      </w:pPr>
      <w:r>
        <w:rPr>
          <w:rFonts w:eastAsia="仿宋_GB2312"/>
          <w:sz w:val="28"/>
          <w:szCs w:val="28"/>
          <w:highlight w:val="none"/>
        </w:rPr>
        <w:t xml:space="preserve">投标人名称（</w:t>
      </w:r>
      <w:r>
        <w:rPr>
          <w:rFonts w:hint="eastAsia" w:eastAsia="仿宋_GB2312"/>
          <w:sz w:val="28"/>
          <w:szCs w:val="28"/>
          <w:highlight w:val="none"/>
        </w:rPr>
        <w:t xml:space="preserve">加盖公章</w:t>
      </w:r>
      <w:r>
        <w:rPr>
          <w:rFonts w:eastAsia="仿宋_GB2312"/>
          <w:sz w:val="28"/>
          <w:szCs w:val="28"/>
          <w:highlight w:val="none"/>
        </w:rPr>
        <w:t xml:space="preserve">）：</w:t>
      </w:r>
      <w:r>
        <w:rPr>
          <w:rFonts w:eastAsia="仿宋_GB2312"/>
          <w:sz w:val="28"/>
          <w:szCs w:val="28"/>
          <w:highlight w:val="none"/>
          <w:u w:val="single"/>
        </w:rPr>
        <w:t xml:space="preserve">           </w:t>
      </w:r>
      <w:r>
        <w:rPr>
          <w:rFonts w:eastAsia="仿宋_GB2312"/>
          <w:sz w:val="28"/>
          <w:szCs w:val="28"/>
          <w:highlight w:val="none"/>
        </w:rPr>
        <w:t xml:space="preserve"> </w:t>
      </w:r>
      <w:r>
        <w:rPr>
          <w:rFonts w:hint="eastAsia" w:eastAsia="仿宋_GB2312"/>
          <w:sz w:val="28"/>
          <w:szCs w:val="28"/>
          <w:highlight w:val="none"/>
        </w:rPr>
        <w:t xml:space="preserve"> </w:t>
      </w:r>
      <w:r>
        <w:rPr>
          <w:rFonts w:eastAsia="仿宋_GB2312"/>
          <w:sz w:val="28"/>
          <w:szCs w:val="28"/>
          <w:highlight w:val="none"/>
        </w:rPr>
        <w:t xml:space="preserve">                 年  月  日</w:t>
      </w:r>
      <w:r/>
    </w:p>
    <w:p>
      <w:r/>
      <w:r/>
    </w:p>
    <w:tbl>
      <w:tblPr>
        <w:tblStyle w:val="650"/>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75"/>
        <w:gridCol w:w="934"/>
        <w:gridCol w:w="1335"/>
        <w:gridCol w:w="1845"/>
        <w:gridCol w:w="1270"/>
        <w:gridCol w:w="996"/>
        <w:gridCol w:w="1100"/>
        <w:gridCol w:w="969"/>
      </w:tblGrid>
      <w:tr>
        <w:trPr>
          <w:jc w:val="center"/>
          <w:trHeight w:val="320"/>
        </w:trPr>
        <w:tc>
          <w:tcPr>
            <w:shd w:val="clear" w:color="auto" w:fill="auto"/>
            <w:tcW w:w="1375" w:type="dxa"/>
            <w:vAlign w:val="center"/>
            <w:textDirection w:val="lrTb"/>
            <w:noWrap/>
          </w:tcPr>
          <w:p>
            <w:pPr>
              <w:jc w:val="center"/>
              <w:keepLines w:val="0"/>
              <w:keepNext w:val="0"/>
              <w:widowControl/>
              <w:rPr>
                <w:rFonts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光源类型</w:t>
            </w:r>
            <w:r/>
          </w:p>
        </w:tc>
        <w:tc>
          <w:tcPr>
            <w:shd w:val="clear" w:color="auto" w:fill="auto"/>
            <w:tcW w:w="934" w:type="dxa"/>
            <w:vAlign w:val="center"/>
            <w:textDirection w:val="lrTb"/>
            <w:noWrap/>
          </w:tcPr>
          <w:p>
            <w:pPr>
              <w:jc w:val="center"/>
              <w:keepLines w:val="0"/>
              <w:keepNext w:val="0"/>
              <w:widowControl/>
              <w:rPr>
                <w:rFonts w:hint="default"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数量（套）</w:t>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功率</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色温参数</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数量(套)</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综合</w:t>
            </w:r>
            <w:r/>
          </w:p>
          <w:p>
            <w:pPr>
              <w:jc w:val="center"/>
              <w:keepLines w:val="0"/>
              <w:keepNext w:val="0"/>
              <w:widowControl/>
              <w:rPr>
                <w:rFonts w:hint="default" w:ascii="黑体" w:hAnsi="宋体" w:eastAsia="黑体" w:cs="黑体"/>
                <w:i w:val="0"/>
                <w:iCs w:val="0"/>
                <w:color w:val="000000"/>
                <w:sz w:val="20"/>
                <w:szCs w:val="20"/>
                <w:u w:val="none"/>
                <w:lang w:val="en-US" w:eastAsia="zh-CN" w:bidi="ar"/>
              </w:rPr>
              <w:suppressLineNumbers w:val="0"/>
            </w:pPr>
            <w:r>
              <w:rPr>
                <w:rFonts w:hint="eastAsia" w:ascii="黑体" w:hAnsi="宋体" w:eastAsia="黑体" w:cs="黑体"/>
                <w:i w:val="0"/>
                <w:iCs w:val="0"/>
                <w:color w:val="000000"/>
                <w:sz w:val="20"/>
                <w:szCs w:val="20"/>
                <w:u w:val="none"/>
                <w:lang w:val="en-US" w:eastAsia="zh-CN" w:bidi="ar"/>
              </w:rPr>
              <w:t xml:space="preserve">单价（元）</w:t>
            </w:r>
            <w:r/>
          </w:p>
        </w:tc>
        <w:tc>
          <w:tcPr>
            <w:shd w:val="clear" w:color="auto" w:fill="auto"/>
            <w:tcW w:w="1100" w:type="dxa"/>
            <w:vAlign w:val="center"/>
            <w:textDirection w:val="lrTb"/>
            <w:noWrap/>
          </w:tcPr>
          <w:p>
            <w:pPr>
              <w:jc w:val="center"/>
              <w:keepLines w:val="0"/>
              <w:keepNext w:val="0"/>
              <w:widowControl/>
              <w:rPr>
                <w:rFonts w:hint="default" w:ascii="黑体" w:hAnsi="宋体" w:eastAsia="黑体" w:cs="黑体"/>
                <w:i w:val="0"/>
                <w:iCs w:val="0"/>
                <w:color w:val="000000"/>
                <w:sz w:val="20"/>
                <w:szCs w:val="20"/>
                <w:u w:val="none"/>
                <w:lang w:val="en-US" w:eastAsia="zh-CN"/>
              </w:rPr>
              <w:suppressLineNumbers w:val="0"/>
            </w:pPr>
            <w:r>
              <w:rPr>
                <w:rFonts w:hint="eastAsia" w:ascii="黑体" w:hAnsi="宋体" w:eastAsia="黑体" w:cs="黑体"/>
                <w:i w:val="0"/>
                <w:iCs w:val="0"/>
                <w:color w:val="000000"/>
                <w:sz w:val="20"/>
                <w:szCs w:val="20"/>
                <w:u w:val="none"/>
                <w:lang w:val="en-US" w:eastAsia="zh-CN"/>
              </w:rPr>
              <w:t xml:space="preserve">合价（元)</w:t>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rPr>
              <w:suppressLineNumbers w:val="0"/>
            </w:pPr>
            <w:r>
              <w:rPr>
                <w:rFonts w:hint="eastAsia" w:ascii="黑体" w:hAnsi="宋体" w:eastAsia="黑体" w:cs="黑体"/>
                <w:i w:val="0"/>
                <w:iCs w:val="0"/>
                <w:color w:val="ff0000"/>
                <w:sz w:val="20"/>
                <w:szCs w:val="20"/>
                <w:u w:val="none"/>
                <w:lang w:val="en-US" w:eastAsia="zh-CN"/>
              </w:rPr>
              <w:t xml:space="preserve">灯具</w:t>
            </w:r>
            <w:r/>
          </w:p>
          <w:p>
            <w:pPr>
              <w:jc w:val="center"/>
              <w:keepLines w:val="0"/>
              <w:keepNext w:val="0"/>
              <w:widowControl/>
              <w:rPr>
                <w:rFonts w:hint="default" w:ascii="黑体" w:hAnsi="宋体" w:eastAsia="黑体" w:cs="黑体"/>
                <w:i w:val="0"/>
                <w:iCs w:val="0"/>
                <w:color w:val="000000"/>
                <w:sz w:val="20"/>
                <w:szCs w:val="20"/>
                <w:u w:val="none"/>
                <w:lang w:val="en-US" w:eastAsia="zh-CN"/>
              </w:rPr>
              <w:suppressLineNumbers w:val="0"/>
            </w:pPr>
            <w:r>
              <w:rPr>
                <w:rFonts w:hint="eastAsia" w:ascii="黑体" w:hAnsi="宋体" w:eastAsia="黑体" w:cs="黑体"/>
                <w:i w:val="0"/>
                <w:iCs w:val="0"/>
                <w:color w:val="ff0000"/>
                <w:sz w:val="20"/>
                <w:szCs w:val="20"/>
                <w:u w:val="none"/>
                <w:lang w:val="en-US" w:eastAsia="zh-CN"/>
              </w:rPr>
              <w:t xml:space="preserve">品牌</w:t>
            </w:r>
            <w:r/>
          </w:p>
        </w:tc>
      </w:tr>
      <w:tr>
        <w:trPr>
          <w:jc w:val="center"/>
          <w:trHeight w:val="9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点光源</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288675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44469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242720</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点光像素灯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196085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湖蓝色</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12*1.2W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172836</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线性洗墙灯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11561</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12W/0.3m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12W/1.0m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2292</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both"/>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both"/>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37"/>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95"/>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线条灯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10418</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RGB-W4K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8058</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RGB-W4K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洗墙灯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9816</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18W/0.5m</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lang w:val="en-US" w:eastAsia="zh-CN" w:bidi="ar"/>
              </w:rPr>
              <w:t xml:space="preserve">2551</w:t>
            </w:r>
            <w:r/>
          </w:p>
        </w:tc>
        <w:tc>
          <w:tcPr>
            <w:shd w:val="clear" w:color="auto" w:fill="auto"/>
            <w:tcW w:w="996"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lang w:val="en-US" w:eastAsia="zh-CN" w:bidi="ar"/>
              </w:rPr>
              <w:suppressLineNumbers w:val="0"/>
            </w:pPr>
            <w:r>
              <w:rPr>
                <w:rFonts w:hint="eastAsia" w:ascii="黑体" w:hAnsi="宋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投光灯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6835</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G+3K(绿白)</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t xml:space="preserve">1856</w:t>
            </w:r>
            <w:r/>
          </w:p>
        </w:tc>
        <w:tc>
          <w:tcPr>
            <w:shd w:val="clear" w:color="auto" w:fill="auto"/>
            <w:tcW w:w="996"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c>
          <w:tcPr>
            <w:shd w:val="clear" w:color="auto" w:fill="auto"/>
            <w:tcW w:w="969" w:type="dxa"/>
            <w:vAlign w:val="center"/>
            <w:textDirection w:val="lrTb"/>
            <w:noWrap/>
          </w:tcPr>
          <w:p>
            <w:pPr>
              <w:jc w:val="center"/>
              <w:keepLines w:val="0"/>
              <w:keepNext w:val="0"/>
              <w:widowControl/>
              <w:rPr>
                <w:rFonts w:hint="eastAsia" w:ascii="黑体" w:hAnsi="黑体" w:eastAsia="黑体" w:cs="黑体"/>
                <w:i w:val="0"/>
                <w:iCs w:val="0"/>
                <w:color w:val="ff0000"/>
                <w:sz w:val="20"/>
                <w:szCs w:val="20"/>
                <w:u w:val="none"/>
                <w:lang w:val="en-US" w:eastAsia="zh-CN" w:bidi="ar"/>
              </w:rPr>
              <w:suppressLineNumbers w:val="0"/>
            </w:pPr>
            <w:r>
              <w:rPr>
                <w:rFonts w:hint="eastAsia" w:ascii="黑体" w:hAnsi="黑体" w:eastAsia="黑体" w:cs="黑体"/>
                <w:i w:val="0"/>
                <w:iCs w:val="0"/>
                <w:color w:val="ff0000"/>
                <w:sz w:val="20"/>
                <w:szCs w:val="20"/>
                <w:u w:val="none"/>
                <w:lang w:val="en-US" w:eastAsia="zh-CN" w:bidi="ar"/>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933</w:t>
            </w:r>
            <w:r/>
          </w:p>
        </w:tc>
        <w:tc>
          <w:tcPr>
            <w:shd w:val="clear" w:color="auto" w:fill="auto"/>
            <w:tcW w:w="99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r>
            <w:r/>
          </w:p>
        </w:tc>
        <w:tc>
          <w:tcPr>
            <w:shd w:val="clear" w:color="auto" w:fill="auto"/>
            <w:tcW w:w="1100"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c>
          <w:tcPr>
            <w:shd w:val="clear" w:color="auto" w:fill="auto"/>
            <w:tcW w:w="969" w:type="dxa"/>
            <w:vAlign w:val="center"/>
            <w:textDirection w:val="lrTb"/>
            <w:noWrap/>
          </w:tcPr>
          <w:p>
            <w:pPr>
              <w:jc w:val="center"/>
              <w:keepLines w:val="0"/>
              <w:keepNext w:val="0"/>
              <w:widowControl/>
              <w:rPr>
                <w:rFonts w:hint="eastAsia" w:ascii="黑体" w:hAnsi="宋体" w:eastAsia="黑体" w:cs="黑体"/>
                <w:i w:val="0"/>
                <w:iCs w:val="0"/>
                <w:color w:val="ff0000"/>
                <w:sz w:val="20"/>
                <w:szCs w:val="20"/>
                <w:u w:val="none"/>
              </w:rPr>
              <w:suppressLineNumbers w:val="0"/>
            </w:pPr>
            <w:r>
              <w:rPr>
                <w:rFonts w:hint="eastAsia" w:ascii="黑体" w:hAnsi="宋体" w:eastAsia="黑体" w:cs="黑体"/>
                <w:i w:val="0"/>
                <w:iCs w:val="0"/>
                <w:color w:val="ff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G+3K(绿白)</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1800~6500K可调</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RGB+3K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照树灯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987</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1016</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地插灯</w:t>
            </w:r>
            <w:r/>
          </w:p>
        </w:tc>
        <w:tc>
          <w:tcPr>
            <w:shd w:val="clear" w:color="auto" w:fill="auto"/>
            <w:tcW w:w="9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窗台灯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3000K</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投影灯</w:t>
            </w:r>
            <w:r/>
          </w:p>
        </w:tc>
        <w:tc>
          <w:tcPr>
            <w:shd w:val="clear" w:color="auto" w:fill="auto"/>
            <w:tcW w:w="9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W w:w="9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w:t>
            </w:r>
            <w:r/>
          </w:p>
        </w:tc>
        <w:tc>
          <w:tcPr>
            <w:shd w:val="clear" w:color="auto" w:fill="auto"/>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RGB</w:t>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20"/>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光束灯</w:t>
            </w:r>
            <w:r/>
          </w:p>
        </w:tc>
        <w:tc>
          <w:tcPr>
            <w:shd w:val="clear" w:color="auto" w:fill="auto"/>
            <w:tcW w:w="93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W w:w="13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w:t>
            </w:r>
            <w:r/>
          </w:p>
        </w:tc>
        <w:tc>
          <w:tcPr>
            <w:shd w:val="clear" w:color="auto" w:fill="auto"/>
            <w:tcW w:w="184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27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110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6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33"/>
        </w:trPr>
        <w:tc>
          <w:tcPr>
            <w:shd w:val="clear" w:color="auto" w:fill="auto"/>
            <w:tcW w:w="13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仿宋" w:hAnsi="仿宋" w:eastAsia="仿宋" w:cs="仿宋"/>
                <w:b/>
                <w:bCs/>
                <w:color w:val="000000"/>
                <w:sz w:val="24"/>
                <w:szCs w:val="24"/>
                <w:highlight w:val="none"/>
              </w:rPr>
              <w:t xml:space="preserve">合计</w:t>
            </w:r>
            <w:r/>
          </w:p>
        </w:tc>
        <w:tc>
          <w:tcPr>
            <w:gridSpan w:val="7"/>
            <w:shd w:val="clear" w:color="auto" w:fill="auto"/>
            <w:tcW w:w="8449" w:type="dxa"/>
            <w:vAlign w:val="center"/>
            <w:textDirection w:val="lrTb"/>
            <w:noWrap/>
          </w:tcPr>
          <w:p>
            <w:pPr>
              <w:jc w:val="center"/>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rPr>
              <w:t xml:space="preserve">人民币（大写）： </w:t>
            </w:r>
            <w:r>
              <w:rPr>
                <w:rFonts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（小写）：</w:t>
            </w:r>
            <w:r>
              <w:rPr>
                <w:rFonts w:ascii="Calibri" w:hAnsi="Calibri" w:eastAsia="仿宋" w:cs="Calibri"/>
                <w:b/>
                <w:bCs/>
                <w:sz w:val="24"/>
                <w:szCs w:val="24"/>
                <w:highlight w:val="none"/>
              </w:rPr>
              <w:t xml:space="preserve">¥</w:t>
            </w:r>
            <w:r>
              <w:rPr>
                <w:rFonts w:hint="eastAsia" w:ascii="Calibri" w:hAnsi="Calibri" w:eastAsia="仿宋" w:cs="Calibri"/>
                <w:b/>
                <w:bCs/>
                <w:sz w:val="24"/>
                <w:szCs w:val="24"/>
                <w:highlight w:val="none"/>
                <w:u w:val="single"/>
                <w:lang w:val="en-US" w:eastAsia="zh-CN"/>
              </w:rPr>
              <w:t xml:space="preserve">            </w:t>
            </w:r>
            <w:r>
              <w:rPr>
                <w:rFonts w:hint="eastAsia" w:ascii="Calibri" w:hAnsi="Calibri" w:eastAsia="仿宋" w:cs="Calibri"/>
                <w:b/>
                <w:bCs/>
                <w:sz w:val="24"/>
                <w:szCs w:val="24"/>
                <w:highlight w:val="none"/>
                <w:u w:val="none"/>
                <w:lang w:val="en-US" w:eastAsia="zh-CN"/>
              </w:rPr>
              <w:t xml:space="preserve">元</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ascii="Times New Roman" w:hAnsi="Times New Roman"/>
          <w:b/>
          <w:bCs/>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654"/>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654"/>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65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知》（工信部联企业〔2011〕300号)和《国家统计局关于印发〈统计上大中小微型企业划分办法（2017）〉的通知》（国统字〔2017〕213号）的规定，自行勾选承接企业的企业规模类型。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（十四）物业管理。从业人员1000人以下或营业收入5000万元以下的为中小微型企业。其中，从业人员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pStyle w:val="654"/>
        <w:ind w:firstLine="480"/>
        <w:jc w:val="both"/>
        <w:spacing w:beforeAutospacing="0" w:afterAutospacing="0" w:line="360" w:lineRule="auto"/>
        <w:rPr>
          <w:rFonts w:ascii="Times New Roman" w:hAnsi="Times New Roman" w:eastAsia="仿宋"/>
          <w:sz w:val="28"/>
          <w:szCs w:val="28"/>
        </w:rPr>
      </w:pPr>
      <w:r>
        <w:rPr>
          <w:rFonts w:eastAsia="方正黑体_GBK"/>
          <w:sz w:val="32"/>
          <w:szCs w:val="32"/>
        </w:rPr>
        <w:t xml:space="preserve">附件10</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残疾人福利性单位声明函（采购包号：**）</w:t>
      </w:r>
      <w:r>
        <w:rPr>
          <w:rFonts w:ascii="Cambria" w:hAnsi="Cambria" w:eastAsia="方正小标宋简体" w:cs="Cambria"/>
          <w:bCs/>
          <w:color w:val="000000"/>
          <w:sz w:val="30"/>
          <w:szCs w:val="30"/>
        </w:rPr>
        <w:t xml:space="preserve"> </w:t>
      </w:r>
      <w:r>
        <w:rPr>
          <w:rFonts w:hint="eastAsia" w:ascii="方正小标宋简体" w:hAnsi="方正小标宋简体" w:eastAsia="方正小标宋简体" w:cs="方正小标宋简体"/>
          <w:bCs/>
          <w:color w:val="000000"/>
          <w:sz w:val="30"/>
          <w:szCs w:val="30"/>
        </w:rPr>
        <w:t xml:space="preserve">（服务类项目）</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54"/>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80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654"/>
        <w:ind w:right="1559" w:firstLine="480"/>
        <w:jc w:val="center"/>
        <w:spacing w:beforeAutospacing="0" w:afterAutospacing="0" w:line="360" w:lineRule="auto"/>
        <w:tabs>
          <w:tab w:val="left" w:pos="4864" w:leader="none"/>
        </w:tabs>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bidi="ar"/>
        </w:rPr>
      </w:pPr>
      <w:r>
        <w:rPr>
          <w:rFonts w:eastAsia="方正黑体_GBK"/>
          <w:bCs/>
          <w:sz w:val="32"/>
          <w:szCs w:val="32"/>
          <w:lang w:bidi="ar"/>
        </w:rPr>
        <w:t xml:space="preserve">附件1</w:t>
      </w:r>
      <w:r>
        <w:rPr>
          <w:rFonts w:hint="eastAsia" w:eastAsia="方正黑体_GBK"/>
          <w:bCs/>
          <w:sz w:val="32"/>
          <w:szCs w:val="32"/>
          <w:lang w:val="en-US" w:eastAsia="zh-CN" w:bidi="ar"/>
        </w:rPr>
        <w:t xml:space="preserve">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r/>
      <w:r/>
    </w:p>
    <w:p>
      <w:r/>
      <w:r/>
    </w:p>
    <w:p>
      <w:r/>
      <w:r/>
    </w:p>
    <w:p>
      <w:r/>
      <w:r/>
    </w:p>
    <w:p>
      <w:r/>
      <w:r/>
    </w:p>
    <w:sectPr>
      <w:headerReference w:type="default" r:id="rId8"/>
      <w:footerReference w:type="default" r:id="rId9"/>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小标宋简体">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楷体_GB2312">
    <w:panose1 w:val="02010609060101010101"/>
  </w:font>
  <w:font w:name="方正仿宋_GBK">
    <w:panose1 w:val="020B0503020202020204"/>
  </w:font>
  <w:font w:name="方正黑体_GBK">
    <w:panose1 w:val="020B0503020202020204"/>
  </w:font>
  <w:font w:name="黑体">
    <w:panose1 w:val="02010609060101010101"/>
  </w:font>
  <w:font w:name="仿宋_GB2312">
    <w:panose1 w:val="02010609060101010101"/>
  </w:font>
  <w:font w:name="楷体">
    <w:panose1 w:val="02010609060101010101"/>
  </w:font>
  <w:font w:name="新宋体">
    <w:panose1 w:val="0201060903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9"/>
    <w:link w:val="14"/>
    <w:uiPriority w:val="9"/>
    <w:rPr>
      <w:rFonts w:ascii="Arial" w:hAnsi="Arial" w:eastAsia="Arial" w:cs="Arial"/>
      <w:sz w:val="34"/>
    </w:rPr>
  </w:style>
  <w:style w:type="character" w:styleId="17">
    <w:name w:val="Heading 3 Char"/>
    <w:basedOn w:val="649"/>
    <w:link w:val="646"/>
    <w:uiPriority w:val="9"/>
    <w:rPr>
      <w:rFonts w:ascii="Arial" w:hAnsi="Arial" w:eastAsia="Arial" w:cs="Arial"/>
      <w:sz w:val="30"/>
      <w:szCs w:val="30"/>
    </w:rPr>
  </w:style>
  <w:style w:type="character" w:styleId="19">
    <w:name w:val="Heading 4 Char"/>
    <w:basedOn w:val="649"/>
    <w:link w:val="647"/>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character" w:styleId="23">
    <w:name w:val="Heading 6 Char"/>
    <w:basedOn w:val="649"/>
    <w:link w:val="648"/>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3"/>
    <w:uiPriority w:val="99"/>
  </w:style>
  <w:style w:type="character" w:styleId="44">
    <w:name w:val="Footer Char"/>
    <w:basedOn w:val="649"/>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3"/>
    <w:basedOn w:val="645"/>
    <w:next w:val="645"/>
    <w:uiPriority w:val="99"/>
    <w:qFormat/>
    <w:pPr>
      <w:spacing w:before="100" w:beforeAutospacing="1" w:after="100" w:afterAutospacing="1"/>
      <w:outlineLvl w:val="2"/>
    </w:pPr>
    <w:rPr>
      <w:b/>
      <w:bCs/>
      <w:sz w:val="27"/>
      <w:szCs w:val="27"/>
    </w:rPr>
  </w:style>
  <w:style w:type="paragraph" w:styleId="647">
    <w:name w:val="Heading 4"/>
    <w:basedOn w:val="645"/>
    <w:next w:val="645"/>
    <w:uiPriority w:val="0"/>
    <w:qFormat/>
    <w:pPr>
      <w:jc w:val="center"/>
      <w:keepNext/>
      <w:outlineLvl w:val="3"/>
    </w:pPr>
    <w:rPr>
      <w:rFonts w:eastAsia="新宋体"/>
      <w:sz w:val="30"/>
      <w:szCs w:val="21"/>
    </w:rPr>
  </w:style>
  <w:style w:type="paragraph" w:styleId="648">
    <w:name w:val="Heading 6"/>
    <w:basedOn w:val="645"/>
    <w:next w:val="651"/>
    <w:uiPriority w:val="0"/>
    <w:qFormat/>
    <w:pPr>
      <w:jc w:val="center"/>
      <w:keepNext/>
      <w:outlineLvl w:val="5"/>
    </w:pPr>
    <w:rPr>
      <w:b/>
      <w:sz w:val="44"/>
      <w:szCs w:val="20"/>
    </w:rPr>
  </w:style>
  <w:style w:type="character" w:styleId="649" w:default="1">
    <w:name w:val="Default Paragraph Font"/>
    <w:uiPriority w:val="0"/>
    <w:semiHidden/>
    <w:qFormat/>
  </w:style>
  <w:style w:type="table" w:styleId="650" w:default="1">
    <w:name w:val="Normal Table"/>
    <w:uiPriority w:val="0"/>
    <w:semiHidden/>
    <w:qFormat/>
    <w:tblPr>
      <w:tblCellMar>
        <w:left w:w="108" w:type="dxa"/>
        <w:top w:w="0" w:type="dxa"/>
        <w:right w:w="108" w:type="dxa"/>
        <w:bottom w:w="0" w:type="dxa"/>
      </w:tblCellMar>
    </w:tblPr>
  </w:style>
  <w:style w:type="paragraph" w:styleId="651">
    <w:name w:val="Normal Indent"/>
    <w:basedOn w:val="645"/>
    <w:uiPriority w:val="0"/>
    <w:qFormat/>
    <w:pPr>
      <w:ind w:firstLine="420"/>
    </w:pPr>
    <w:rPr>
      <w:sz w:val="20"/>
      <w:szCs w:val="20"/>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character" w:styleId="656" w:customStyle="1">
    <w:name w:val="NormalCharacter"/>
    <w:uiPriority w:val="99"/>
    <w:qFormat/>
  </w:style>
  <w:style w:type="character" w:styleId="657" w:customStyle="1">
    <w:name w:val="NormalCharacter1"/>
    <w:uiPriority w:val="0"/>
    <w:qFormat/>
    <w:rPr>
      <w:rFonts w:ascii="Times New Roman" w:hAnsi="Times New Roman" w:eastAsia="宋体" w:cs="Times New Roman"/>
      <w:sz w:val="21"/>
      <w:lang w:val="en-US" w:eastAsia="zh-CN" w:bidi="ar-SA"/>
    </w:rPr>
  </w:style>
  <w:style w:type="numbering" w:styleId="16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燕儿</dc:creator>
  <cp:lastModifiedBy>徐卫生</cp:lastModifiedBy>
  <cp:revision>2</cp:revision>
  <dcterms:created xsi:type="dcterms:W3CDTF">2026-10-14T11:02:00Z</dcterms:created>
  <dcterms:modified xsi:type="dcterms:W3CDTF">2026-11-03T07:57:53Z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029147DFD73F4121A08D7A103129FBFF_13</vt:lpwstr>
  </property>
  <property fmtid="{D5CDD505-2E9C-101B-9397-08002B2CF9AE}" pid="4" name="KSOTemplateDocerSaveRecord">
    <vt:lpwstr>eyJoZGlkIjoiNGRiZjY4ZGM4MTI1ZDQ0NjI4OWIwMmU0MjU3ZDBkNDEiLCJ1c2VySWQiOiI5NTE5NDc2MTQifQ==</vt:lpwstr>
  </property>
</Properties>
</file>