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4"/>
        <w:ind w:firstLine="300"/>
        <w:spacing w:line="360" w:lineRule="auto"/>
        <w:rPr>
          <w:sz w:val="60"/>
          <w:szCs w:val="60"/>
        </w:rPr>
      </w:pPr>
      <w:r>
        <w:rPr>
          <w:sz w:val="60"/>
          <w:szCs w:val="60"/>
        </w:rPr>
      </w:r>
      <w:r/>
    </w:p>
    <w:p>
      <w:pPr>
        <w:pStyle w:val="1014"/>
        <w:jc w:val="center"/>
        <w:rPr>
          <w:b/>
          <w:bCs/>
          <w:sz w:val="60"/>
          <w:szCs w:val="60"/>
        </w:rPr>
      </w:pPr>
      <w:r>
        <w:rPr>
          <w:b/>
          <w:bCs/>
          <w:sz w:val="60"/>
          <w:szCs w:val="60"/>
        </w:rPr>
        <w:t xml:space="preserve">常州市政府采购项目</w:t>
      </w:r>
      <w:r>
        <w:rPr>
          <w:b/>
          <w:bCs/>
          <w:sz w:val="60"/>
          <w:szCs w:val="60"/>
        </w:rPr>
      </w:r>
      <w:r/>
    </w:p>
    <w:p>
      <w:pPr>
        <w:pStyle w:val="1014"/>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4"/>
        <w:jc w:val="center"/>
        <w:spacing w:line="360" w:lineRule="auto"/>
        <w:rPr>
          <w:rFonts w:ascii="宋体" w:hAnsi="宋体"/>
          <w:b/>
          <w:bCs/>
          <w:sz w:val="60"/>
          <w:szCs w:val="60"/>
        </w:rPr>
      </w:pPr>
      <w:r>
        <w:rPr>
          <w:rFonts w:ascii="宋体" w:hAnsi="宋体"/>
          <w:b/>
          <w:bCs/>
          <w:sz w:val="60"/>
          <w:szCs w:val="60"/>
        </w:rPr>
      </w:r>
      <w:r/>
    </w:p>
    <w:p>
      <w:pPr>
        <w:pStyle w:val="1014"/>
        <w:jc w:val="center"/>
        <w:spacing w:line="360" w:lineRule="auto"/>
        <w:rPr>
          <w:rFonts w:ascii="宋体" w:hAnsi="宋体"/>
          <w:b/>
          <w:bCs/>
          <w:sz w:val="60"/>
          <w:szCs w:val="60"/>
        </w:rPr>
      </w:pPr>
      <w:r>
        <w:rPr>
          <w:rFonts w:ascii="宋体" w:hAnsi="宋体"/>
          <w:b/>
          <w:bCs/>
          <w:sz w:val="60"/>
          <w:szCs w:val="60"/>
        </w:rPr>
      </w:r>
      <w:r/>
    </w:p>
    <w:p>
      <w:pPr>
        <w:pStyle w:val="1014"/>
        <w:ind w:left="2832" w:hanging="1900"/>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头部数字地图平台城市IP宣传合作</w:t>
      </w:r>
      <w:r>
        <w:rPr>
          <w:bCs/>
          <w:sz w:val="36"/>
          <w:szCs w:val="36"/>
        </w:rPr>
        <w:t xml:space="preserve">项目</w:t>
      </w:r>
      <w:r>
        <w:rPr>
          <w:bCs/>
          <w:sz w:val="36"/>
          <w:szCs w:val="36"/>
        </w:rPr>
      </w:r>
      <w:r/>
    </w:p>
    <w:p>
      <w:pPr>
        <w:pStyle w:val="1014"/>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eastAsia="宋体" w:cs="宋体"/>
          <w:bCs/>
          <w:sz w:val="36"/>
          <w:szCs w:val="36"/>
        </w:rPr>
        <w:t xml:space="preserve">JSZC-320400-CTZB-C2026-0143</w:t>
      </w:r>
      <w:r>
        <w:rPr>
          <w:bCs/>
          <w:sz w:val="36"/>
          <w:szCs w:val="36"/>
        </w:rPr>
      </w:r>
      <w:r/>
    </w:p>
    <w:p>
      <w:pPr>
        <w:pStyle w:val="1014"/>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ascii="宋体" w:hAnsi="宋体" w:eastAsia="宋体" w:cs="宋体"/>
          <w:bCs/>
          <w:color w:val="000000"/>
          <w:sz w:val="36"/>
          <w:szCs w:val="36"/>
        </w:rPr>
        <w:t xml:space="preserve">常州市文化广电和旅游局</w:t>
      </w:r>
      <w:r>
        <w:rPr>
          <w:bCs/>
          <w:sz w:val="36"/>
          <w:szCs w:val="36"/>
        </w:rPr>
      </w:r>
      <w:r/>
    </w:p>
    <w:p>
      <w:pPr>
        <w:pStyle w:val="1014"/>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4"/>
        <w:jc w:val="left"/>
        <w:widowControl/>
        <w:rPr>
          <w:color w:val="000000"/>
          <w:sz w:val="24"/>
        </w:rPr>
      </w:pPr>
      <w:r>
        <w:rPr>
          <w:b/>
          <w:bCs/>
          <w:sz w:val="44"/>
        </w:rPr>
        <w:br w:type="page" w:clear="all"/>
      </w:r>
      <w:r>
        <w:rPr>
          <w:color w:val="000000"/>
          <w:sz w:val="24"/>
        </w:rPr>
      </w:r>
      <w:r/>
    </w:p>
    <w:p>
      <w:pPr>
        <w:pStyle w:val="1014"/>
        <w:jc w:val="left"/>
        <w:widowControl/>
        <w:rPr>
          <w:color w:val="000000"/>
          <w:sz w:val="24"/>
        </w:rPr>
      </w:pPr>
      <w:r>
        <w:rPr>
          <w:color w:val="000000"/>
          <w:sz w:val="24"/>
        </w:rPr>
      </w:r>
      <w:r/>
    </w:p>
    <w:p>
      <w:pPr>
        <w:pStyle w:val="1192"/>
        <w:spacing w:line="360" w:lineRule="auto"/>
        <w:rPr>
          <w:rFonts w:ascii="Times New Roman" w:hAnsi="Times New Roman" w:cs="Times New Roman"/>
        </w:rPr>
      </w:pPr>
      <w:r>
        <w:rPr>
          <w:rFonts w:ascii="Times New Roman" w:hAnsi="Times New Roman" w:cs="Times New Roman"/>
        </w:rPr>
      </w:r>
      <w:r/>
    </w:p>
    <w:p>
      <w:pPr>
        <w:pStyle w:val="1014"/>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4"/>
      </w:pPr>
      <w:r/>
      <w:r/>
    </w:p>
    <w:p>
      <w:pPr>
        <w:pStyle w:val="1014"/>
      </w:pPr>
      <w:r/>
      <w:r/>
    </w:p>
    <w:p>
      <w:pPr>
        <w:pStyle w:val="1014"/>
      </w:pPr>
      <w:r/>
      <w:r/>
    </w:p>
    <w:p>
      <w:pPr>
        <w:pStyle w:val="1014"/>
      </w:pPr>
      <w:r/>
      <w:r/>
    </w:p>
    <w:p>
      <w:pPr>
        <w:pStyle w:val="1066"/>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"_Toc104818925"</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第一章</w:t>
      </w:r>
      <w:r>
        <w:rPr>
          <w:rStyle w:val="1089"/>
          <w:sz w:val="32"/>
          <w:szCs w:val="32"/>
        </w:rPr>
        <w:t xml:space="preserve">   </w:t>
      </w:r>
      <w:r>
        <w:rPr>
          <w:rStyle w:val="1089"/>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"_Toc104818926"</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第二章</w:t>
      </w:r>
      <w:r>
        <w:rPr>
          <w:rStyle w:val="1089"/>
          <w:sz w:val="32"/>
          <w:szCs w:val="32"/>
        </w:rPr>
        <w:t xml:space="preserve">   </w:t>
      </w:r>
      <w:r>
        <w:rPr>
          <w:rStyle w:val="1089"/>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"_Toc104818927"</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第三章</w:t>
      </w:r>
      <w:r>
        <w:rPr>
          <w:rStyle w:val="1089"/>
          <w:sz w:val="32"/>
          <w:szCs w:val="32"/>
        </w:rPr>
        <w:t xml:space="preserve">   </w:t>
      </w:r>
      <w:r>
        <w:rPr>
          <w:rStyle w:val="1089"/>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"_Toc104818928"</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第四章</w:t>
      </w:r>
      <w:r>
        <w:rPr>
          <w:rStyle w:val="1089"/>
          <w:sz w:val="32"/>
          <w:szCs w:val="32"/>
        </w:rPr>
        <w:t xml:space="preserve">   </w:t>
      </w:r>
      <w:r>
        <w:rPr>
          <w:rStyle w:val="1089"/>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"_Toc104818929"</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第五章</w:t>
      </w:r>
      <w:r>
        <w:rPr>
          <w:rStyle w:val="1089"/>
          <w:sz w:val="32"/>
          <w:szCs w:val="32"/>
        </w:rPr>
        <w:t xml:space="preserve">   </w:t>
      </w:r>
      <w:r>
        <w:rPr>
          <w:rStyle w:val="1089"/>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21"/>
          <w:szCs w:val="22"/>
        </w:rPr>
      </w:pPr>
      <w:r>
        <w:rPr>
          <w:rStyle w:val="1089"/>
          <w:sz w:val="32"/>
          <w:szCs w:val="32"/>
        </w:rPr>
        <w:fldChar w:fldCharType="begin"/>
      </w:r>
      <w:r>
        <w:rPr>
          <w:rStyle w:val="1089"/>
          <w:sz w:val="32"/>
          <w:szCs w:val="32"/>
        </w:rPr>
        <w:instrText xml:space="preserve"> </w:instrText>
      </w:r>
      <w:r>
        <w:rPr>
          <w:sz w:val="32"/>
          <w:szCs w:val="32"/>
        </w:rPr>
        <w:instrText xml:space="preserve">HYPERLINK \l "_Toc104818930"</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第六章</w:t>
      </w:r>
      <w:r>
        <w:rPr>
          <w:rStyle w:val="1089"/>
          <w:sz w:val="32"/>
          <w:szCs w:val="32"/>
        </w:rPr>
        <w:t xml:space="preserve">   </w:t>
      </w:r>
      <w:r>
        <w:rPr>
          <w:rStyle w:val="1089"/>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89"/>
          <w:sz w:val="32"/>
          <w:szCs w:val="32"/>
        </w:rPr>
        <w:fldChar w:fldCharType="end"/>
      </w:r>
      <w:r>
        <w:rPr>
          <w:rFonts w:ascii="Calibri" w:hAnsi="Calibri"/>
          <w:b w:val="0"/>
          <w:sz w:val="21"/>
          <w:szCs w:val="22"/>
        </w:rPr>
      </w:r>
      <w:r/>
    </w:p>
    <w:p>
      <w:pPr>
        <w:pStyle w:val="106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6"/>
        <w:spacing w:line="360" w:lineRule="auto"/>
        <w:tabs>
          <w:tab w:val="left" w:pos="1050" w:leader="none"/>
          <w:tab w:val="right" w:pos="8937" w:leader="dot"/>
        </w:tabs>
        <w:rPr>
          <w:b w:val="0"/>
          <w:sz w:val="36"/>
          <w:szCs w:val="36"/>
        </w:rPr>
      </w:pPr>
      <w:r>
        <w:rPr>
          <w:b w:val="0"/>
          <w:sz w:val="36"/>
          <w:szCs w:val="36"/>
        </w:rPr>
      </w:r>
      <w:r/>
    </w:p>
    <w:p>
      <w:pPr>
        <w:pStyle w:val="1014"/>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4"/>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790"/>
      <w:r/>
      <w:bookmarkStart w:id="4" w:name="_Toc28359002"/>
      <w:r/>
      <w:bookmarkStart w:id="5" w:name="_Toc35393621"/>
      <w:r/>
      <w:bookmarkStart w:id="6" w:name="_Hlk24379207"/>
      <w:r>
        <w:rPr>
          <w:b/>
          <w:sz w:val="36"/>
          <w:szCs w:val="36"/>
        </w:rPr>
      </w:r>
      <w:r/>
    </w:p>
    <w:p>
      <w:pPr>
        <w:pStyle w:val="1014"/>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4"/>
        <w:ind w:firstLine="643"/>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sz w:val="32"/>
          <w:szCs w:val="32"/>
        </w:rPr>
        <w:t xml:space="preserve">头部数字地图平台城市IP宣传合作项目</w:t>
      </w:r>
      <w:r>
        <w:rPr>
          <w:rFonts w:hint="eastAsia" w:ascii="仿宋" w:hAnsi="仿宋" w:eastAsia="仿宋" w:cs="宋体"/>
          <w:sz w:val="32"/>
          <w:szCs w:val="32"/>
        </w:rPr>
        <w:t xml:space="preserve">的潜在供应商应在“苏采云”政府采购一体化平台自行免费下载获取采购文件，并于</w:t>
      </w:r>
      <w:r>
        <w:rPr>
          <w:rFonts w:ascii="FangSong" w:hAnsi="FangSong" w:eastAsia="FangSong" w:cs="FangSong"/>
          <w:b/>
          <w:color w:val="000000"/>
          <w:sz w:val="32"/>
        </w:rPr>
        <w:t xml:space="preserve">2026-11-02 14:00</w:t>
      </w:r>
      <w:r>
        <w:rPr>
          <w:rFonts w:hint="eastAsia" w:ascii="仿宋" w:hAnsi="仿宋" w:eastAsia="仿宋" w:cs="宋体"/>
          <w:sz w:val="32"/>
          <w:szCs w:val="32"/>
        </w:rPr>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前提交响应文件</w:t>
      </w:r>
      <w:r>
        <w:rPr>
          <w:rFonts w:hint="eastAsia" w:ascii="仿宋" w:hAnsi="仿宋" w:eastAsia="仿宋" w:cs="宋体"/>
          <w:sz w:val="32"/>
          <w:szCs w:val="32"/>
        </w:rPr>
        <w:t xml:space="preserve">。</w:t>
      </w:r>
      <w:r>
        <w:rPr>
          <w:rFonts w:hint="eastAsia" w:ascii="仿宋" w:hAnsi="仿宋" w:eastAsia="仿宋" w:cs="宋体"/>
          <w:sz w:val="32"/>
          <w:szCs w:val="32"/>
        </w:rPr>
      </w:r>
      <w:r/>
    </w:p>
    <w:p>
      <w:pPr>
        <w:pStyle w:val="1016"/>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1.项目编号：JSZC-320400-CTZB-C2026-0143</w:t>
      </w:r>
      <w:r>
        <w:rPr>
          <w:rFonts w:ascii="仿宋" w:hAnsi="仿宋" w:eastAsia="仿宋"/>
          <w:sz w:val="32"/>
          <w:szCs w:val="32"/>
        </w:rPr>
      </w:r>
      <w:r/>
    </w:p>
    <w:p>
      <w:pPr>
        <w:pStyle w:val="1014"/>
        <w:ind w:firstLine="640"/>
        <w:spacing w:line="360" w:lineRule="auto"/>
        <w:rPr>
          <w:rFonts w:ascii="仿宋" w:hAnsi="仿宋" w:eastAsia="仿宋" w:cs="Times New Roman"/>
          <w:sz w:val="32"/>
          <w:szCs w:val="32"/>
        </w:rPr>
      </w:pPr>
      <w:r>
        <w:rPr>
          <w:rFonts w:ascii="仿宋" w:hAnsi="仿宋" w:eastAsia="仿宋"/>
          <w:sz w:val="32"/>
          <w:szCs w:val="32"/>
        </w:rPr>
        <w:t xml:space="preserve">2.项目名称：</w:t>
      </w:r>
      <w:r>
        <w:rPr>
          <w:rFonts w:hint="eastAsia" w:ascii="仿宋" w:hAnsi="仿宋" w:eastAsia="仿宋" w:cs="Times New Roman"/>
          <w:sz w:val="32"/>
          <w:szCs w:val="32"/>
        </w:rPr>
        <w:t xml:space="preserve">头部数字地图平台城市IP宣传合作项目</w:t>
      </w:r>
      <w:r>
        <w:rPr>
          <w:rFonts w:ascii="仿宋" w:hAnsi="仿宋" w:eastAsia="仿宋" w:cs="Times New Roman"/>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4"/>
        <w:ind w:firstLine="640"/>
        <w:spacing w:line="360" w:lineRule="auto"/>
        <w:rPr>
          <w:rFonts w:hint="eastAsia" w:ascii="仿宋" w:hAnsi="仿宋" w:eastAsia="仿宋"/>
          <w:color w:val="000000"/>
          <w:sz w:val="32"/>
          <w:szCs w:val="32"/>
        </w:rPr>
      </w:pPr>
      <w:r/>
      <w:bookmarkEnd w:id="6"/>
      <w:r>
        <w:rPr>
          <w:rFonts w:ascii="仿宋" w:hAnsi="仿宋" w:eastAsia="仿宋"/>
          <w:color w:val="000000"/>
          <w:sz w:val="32"/>
          <w:szCs w:val="32"/>
        </w:rPr>
        <w:t xml:space="preserve">4.项目预算金额：</w:t>
      </w:r>
      <w:r>
        <w:rPr>
          <w:rFonts w:hint="eastAsia" w:ascii="仿宋" w:hAnsi="仿宋" w:eastAsia="仿宋"/>
          <w:color w:val="000000"/>
          <w:sz w:val="32"/>
          <w:szCs w:val="32"/>
        </w:rPr>
        <w:t xml:space="preserve">116</w:t>
      </w:r>
      <w:r>
        <w:rPr>
          <w:rFonts w:ascii="仿宋" w:hAnsi="仿宋" w:eastAsia="仿宋"/>
          <w:color w:val="000000"/>
          <w:sz w:val="32"/>
          <w:szCs w:val="32"/>
        </w:rPr>
        <w:t xml:space="preserve">万元</w:t>
      </w:r>
      <w:r>
        <w:rPr>
          <w:rFonts w:hint="eastAsia"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项目最高限价（如有）：</w:t>
      </w:r>
      <w:r>
        <w:rPr>
          <w:rFonts w:hint="eastAsia" w:ascii="仿宋" w:hAnsi="仿宋" w:eastAsia="仿宋"/>
          <w:color w:val="000000"/>
          <w:sz w:val="32"/>
          <w:szCs w:val="32"/>
        </w:rPr>
        <w:t xml:space="preserve">116</w:t>
      </w:r>
      <w:r>
        <w:rPr>
          <w:rFonts w:ascii="仿宋" w:hAnsi="仿宋" w:eastAsia="仿宋"/>
          <w:color w:val="000000"/>
          <w:sz w:val="32"/>
          <w:szCs w:val="32"/>
        </w:rPr>
        <w:t xml:space="preserve">万元</w:t>
      </w:r>
      <w:r>
        <w:rPr>
          <w:rFonts w:ascii="仿宋" w:hAnsi="仿宋" w:eastAsia="仿宋"/>
          <w:color w:val="000000"/>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与数字地图生态开展“常宝”城市IP宣传合作，拟借助数字地图流量，加速推动文交商旅服务融合，把线上声量沉淀为可查、可玩、可转化的文旅场景。</w:t>
      </w:r>
      <w:r>
        <w:rPr>
          <w:rFonts w:ascii="仿宋" w:hAnsi="仿宋" w:eastAsia="仿宋"/>
          <w:sz w:val="32"/>
          <w:szCs w:val="32"/>
        </w:rPr>
      </w:r>
      <w:r/>
    </w:p>
    <w:p>
      <w:pPr>
        <w:pStyle w:val="101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本项目服务期限为合同签订之日起12个月。</w:t>
      </w:r>
      <w:r>
        <w:rPr>
          <w:rFonts w:ascii="仿宋" w:hAnsi="仿宋" w:eastAsia="仿宋"/>
          <w:color w:val="000000"/>
          <w:sz w:val="32"/>
          <w:szCs w:val="32"/>
          <w:highlight w:val="none"/>
        </w:rPr>
        <w:t xml:space="preserve"> </w:t>
      </w:r>
      <w:r>
        <w:rPr>
          <w:rFonts w:ascii="仿宋" w:hAnsi="仿宋" w:eastAsia="仿宋"/>
          <w:color w:val="000000"/>
          <w:sz w:val="32"/>
          <w:szCs w:val="32"/>
          <w:highlight w:val="none"/>
          <w:u w:val="singl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bookmarkStart w:id="7" w:name="_Toc35393622"/>
      <w:r/>
      <w:bookmarkStart w:id="8" w:name="_Toc28359003"/>
      <w:r/>
      <w:bookmarkStart w:id="9" w:name="_Toc35393791"/>
      <w:r/>
      <w:bookmarkStart w:id="10" w:name="_Toc28359080"/>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4"/>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14"/>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14"/>
        <w:ind w:firstLine="640"/>
        <w:spacing w:line="360" w:lineRule="auto"/>
        <w:rPr>
          <w:rFonts w:ascii="仿宋" w:hAnsi="仿宋" w:eastAsia="仿宋" w:cs="Times New Roman"/>
          <w:sz w:val="32"/>
          <w:szCs w:val="32"/>
        </w:rPr>
      </w:pPr>
      <w:r>
        <w:rPr>
          <w:rFonts w:ascii="仿宋" w:hAnsi="仿宋" w:eastAsia="仿宋"/>
          <w:sz w:val="32"/>
          <w:szCs w:val="32"/>
        </w:rPr>
        <w:t xml:space="preserve">□本项目预留部分采购项目预算专门面向中小企业采购</w:t>
      </w:r>
      <w:r>
        <w:rPr>
          <w:rFonts w:ascii="仿宋" w:hAnsi="仿宋" w:eastAsia="仿宋" w:cs="Times New Roman"/>
          <w:sz w:val="32"/>
          <w:szCs w:val="32"/>
        </w:rPr>
        <w:t xml:space="preserve">。</w:t>
      </w:r>
      <w:r>
        <w:rPr>
          <w:rFonts w:hint="eastAsia" w:ascii="仿宋" w:hAnsi="仿宋" w:eastAsia="仿宋" w:cs="Times New Roman"/>
          <w:sz w:val="32"/>
          <w:szCs w:val="32"/>
        </w:rPr>
        <w:t xml:space="preserve">对于预留份额，提供的服务由符合政策要求的中小企业承接。</w:t>
      </w:r>
      <w:r>
        <w:rPr>
          <w:rFonts w:ascii="仿宋" w:hAnsi="仿宋" w:eastAsia="仿宋" w:cs="Times New Roman"/>
          <w:sz w:val="32"/>
          <w:szCs w:val="32"/>
        </w:rPr>
        <w:t xml:space="preserve">预留份额通过以下措施进行：</w:t>
      </w:r>
      <w:r>
        <w:rPr>
          <w:rFonts w:hint="eastAsia" w:ascii="仿宋" w:hAnsi="仿宋" w:eastAsia="仿宋" w:cs="Times New Roman"/>
          <w:sz w:val="32"/>
          <w:szCs w:val="32"/>
        </w:rPr>
        <w:t xml:space="preserve">获得采购合同的供应商应承诺将采购项目中不低于40%的金额分包给一家或多家中小企业。</w:t>
      </w:r>
      <w:r>
        <w:rPr>
          <w:rFonts w:ascii="仿宋" w:hAnsi="仿宋" w:eastAsia="仿宋" w:cs="Times New Roman"/>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4"/>
        <w:ind w:firstLine="640"/>
        <w:spacing w:line="360" w:lineRule="auto"/>
        <w:rPr>
          <w:rFonts w:ascii="仿宋" w:hAnsi="仿宋" w:eastAsia="仿宋"/>
          <w:i/>
          <w:iCs/>
          <w:color w:val="000000"/>
          <w:sz w:val="32"/>
          <w:szCs w:val="32"/>
          <w:u w:val="single"/>
        </w:rPr>
      </w:pPr>
      <w:r>
        <w:rPr>
          <w:rFonts w:ascii="仿宋" w:hAnsi="仿宋" w:eastAsia="仿宋"/>
          <w:sz w:val="32"/>
          <w:szCs w:val="32"/>
        </w:rPr>
        <w:t xml:space="preserve">3.本项目的特定资</w:t>
      </w:r>
      <w:r>
        <w:rPr>
          <w:rFonts w:ascii="仿宋" w:hAnsi="仿宋" w:eastAsia="仿宋"/>
          <w:color w:val="000000"/>
          <w:sz w:val="32"/>
          <w:szCs w:val="32"/>
        </w:rPr>
        <w:t xml:space="preserve">格要求：</w:t>
      </w:r>
      <w:r>
        <w:rPr>
          <w:rFonts w:ascii="仿宋" w:hAnsi="仿宋" w:eastAsia="仿宋"/>
          <w:i/>
          <w:iCs/>
          <w:color w:val="000000"/>
          <w:sz w:val="32"/>
          <w:szCs w:val="32"/>
          <w:u w:val="single"/>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16"/>
        <w:ind w:firstLine="643"/>
        <w:jc w:val="left"/>
        <w:spacing w:before="0" w:line="360" w:lineRule="auto"/>
        <w:widowControl/>
        <w:rPr>
          <w:rFonts w:ascii="仿宋" w:hAnsi="仿宋" w:eastAsia="仿宋"/>
          <w:color w:val="000000"/>
          <w:sz w:val="32"/>
          <w:szCs w:val="32"/>
        </w:rPr>
      </w:pPr>
      <w:r/>
      <w:bookmarkEnd w:id="11"/>
      <w:r/>
      <w:bookmarkEnd w:id="12"/>
      <w:r/>
      <w:bookmarkStart w:id="13" w:name="_Toc35393792"/>
      <w:r/>
      <w:bookmarkStart w:id="14" w:name="_Toc35393623"/>
      <w:r>
        <w:rPr>
          <w:rFonts w:ascii="仿宋" w:hAnsi="仿宋" w:eastAsia="仿宋"/>
          <w:sz w:val="32"/>
          <w:szCs w:val="32"/>
        </w:rPr>
        <w:t xml:space="preserve">三</w:t>
      </w:r>
      <w:r>
        <w:rPr>
          <w:rFonts w:ascii="仿宋" w:hAnsi="仿宋" w:eastAsia="仿宋"/>
          <w:color w:val="000000"/>
          <w:sz w:val="32"/>
          <w:szCs w:val="32"/>
        </w:rPr>
        <w:t xml:space="preserve">、获取采购文件</w:t>
      </w:r>
      <w:bookmarkEnd w:id="13"/>
      <w:r/>
      <w:bookmarkEnd w:id="14"/>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ascii="FangSong" w:hAnsi="FangSong" w:eastAsia="FangSong" w:cs="FangSong"/>
          <w:color w:val="000000"/>
          <w:sz w:val="32"/>
        </w:rPr>
        <w:t xml:space="preserve">2026-10-20至2026-10-27</w:t>
      </w:r>
      <w:r>
        <w:rPr>
          <w:rFonts w:ascii="仿宋" w:hAnsi="仿宋" w:eastAsia="仿宋"/>
          <w:color w:val="000000"/>
          <w:sz w:val="32"/>
          <w:szCs w:val="32"/>
          <w:lang w:bidi="ar"/>
        </w:rPr>
      </w:r>
      <w:r>
        <w:rPr>
          <w:rFonts w:ascii="仿宋" w:hAnsi="仿宋" w:eastAsia="仿宋"/>
          <w:color w:val="000000"/>
          <w:sz w:val="32"/>
          <w:szCs w:val="32"/>
          <w:lang w:bidi="ar"/>
        </w:rPr>
        <w:t xml:space="preserve">。</w:t>
      </w:r>
      <w:r>
        <w:rPr>
          <w:rFonts w:ascii="仿宋" w:hAnsi="仿宋" w:eastAsia="仿宋"/>
          <w:color w:val="000000"/>
          <w:sz w:val="32"/>
          <w:szCs w:val="32"/>
          <w:lang w:bidi="ar"/>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4"/>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6"/>
        <w:ind w:firstLine="643"/>
        <w:jc w:val="left"/>
        <w:spacing w:before="0" w:line="360" w:lineRule="auto"/>
        <w:widowControl/>
        <w:rPr>
          <w:rFonts w:ascii="仿宋" w:hAnsi="仿宋" w:eastAsia="仿宋"/>
          <w:color w:val="000000"/>
          <w:sz w:val="32"/>
          <w:szCs w:val="32"/>
        </w:rPr>
      </w:pPr>
      <w:r/>
      <w:bookmarkStart w:id="15" w:name="_Toc35393793"/>
      <w:r/>
      <w:bookmarkStart w:id="16" w:name="_Toc28359005"/>
      <w:r/>
      <w:bookmarkStart w:id="17" w:name="_Toc35393624"/>
      <w:r/>
      <w:bookmarkStart w:id="18" w:name="_Toc28359082"/>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ascii="FangSong" w:hAnsi="FangSong" w:eastAsia="FangSong" w:cs="FangSong"/>
          <w:b/>
          <w:color w:val="000000"/>
          <w:sz w:val="32"/>
        </w:rPr>
        <w:t xml:space="preserve">2026-11-02 14:00</w:t>
      </w:r>
      <w:r>
        <w:rPr>
          <w:rFonts w:ascii="仿宋" w:hAnsi="仿宋" w:eastAsia="仿宋"/>
          <w:color w:val="000000"/>
          <w:sz w:val="32"/>
          <w:szCs w:val="32"/>
          <w:lang w:bidi="ar"/>
        </w:rPr>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4"/>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6"/>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2026-11-02 14:00</w:t>
      </w:r>
      <w:r>
        <w:rPr>
          <w:rFonts w:ascii="仿宋" w:hAnsi="仿宋" w:eastAsia="仿宋"/>
          <w:color w:val="000000"/>
          <w:sz w:val="32"/>
          <w:szCs w:val="32"/>
          <w:lang w:bidi="ar"/>
        </w:rPr>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14"/>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6"/>
        <w:ind w:firstLine="643"/>
        <w:jc w:val="left"/>
        <w:spacing w:before="0" w:line="360" w:lineRule="auto"/>
        <w:rPr>
          <w:rFonts w:ascii="仿宋" w:hAnsi="仿宋" w:eastAsia="仿宋"/>
          <w:color w:val="000000"/>
          <w:sz w:val="32"/>
          <w:szCs w:val="32"/>
        </w:rPr>
      </w:pPr>
      <w:r/>
      <w:bookmarkStart w:id="19" w:name="_Toc28359084"/>
      <w:r/>
      <w:bookmarkStart w:id="20" w:name="_Toc28359007"/>
      <w:r/>
      <w:bookmarkStart w:id="21" w:name="_Toc35393625"/>
      <w:r/>
      <w:bookmarkStart w:id="22" w:name="_Toc35393794"/>
      <w:r>
        <w:rPr>
          <w:rFonts w:ascii="仿宋" w:hAnsi="仿宋" w:eastAsia="仿宋"/>
          <w:color w:val="000000"/>
          <w:sz w:val="32"/>
          <w:szCs w:val="32"/>
        </w:rPr>
        <w:t xml:space="preserve">六、公告期限</w:t>
      </w:r>
      <w:bookmarkEnd w:id="19"/>
      <w:r/>
      <w:bookmarkEnd w:id="20"/>
      <w:r/>
      <w:bookmarkEnd w:id="21"/>
      <w:r/>
      <w:bookmarkEnd w:id="22"/>
      <w:r>
        <w:rPr>
          <w:rFonts w:ascii="仿宋" w:hAnsi="仿宋" w:eastAsia="仿宋"/>
          <w:color w:val="000000"/>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16"/>
        <w:ind w:firstLine="643"/>
        <w:jc w:val="left"/>
        <w:spacing w:before="0" w:line="360" w:lineRule="auto"/>
        <w:rPr>
          <w:rFonts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sz w:val="32"/>
          <w:szCs w:val="32"/>
        </w:rPr>
        <w:t xml:space="preserve">1.本</w:t>
      </w:r>
      <w:r>
        <w:rPr>
          <w:rFonts w:ascii="仿宋" w:hAnsi="仿宋" w:eastAsia="仿宋"/>
          <w:color w:val="000000"/>
          <w:sz w:val="32"/>
          <w:szCs w:val="32"/>
        </w:rPr>
        <w:t xml:space="preserve">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14"/>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6"/>
        <w:ind w:firstLine="643"/>
        <w:jc w:val="left"/>
        <w:spacing w:before="0" w:line="360" w:lineRule="auto"/>
        <w:rPr>
          <w:rFonts w:ascii="仿宋" w:hAnsi="仿宋" w:eastAsia="仿宋"/>
          <w:sz w:val="32"/>
          <w:szCs w:val="32"/>
        </w:rPr>
      </w:pPr>
      <w:r/>
      <w:bookmarkStart w:id="25" w:name="_Toc28359085"/>
      <w:r/>
      <w:bookmarkStart w:id="26" w:name="_Toc35393796"/>
      <w:r/>
      <w:bookmarkStart w:id="27" w:name="_Toc28359008"/>
      <w:r/>
      <w:bookmarkStart w:id="28" w:name="_Toc35393627"/>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4"/>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14"/>
        <w:ind w:left="-2" w:firstLine="640"/>
        <w:jc w:val="left"/>
        <w:spacing w:line="360" w:lineRule="auto"/>
        <w:rPr>
          <w:rFonts w:hint="eastAsia" w:ascii="仿宋" w:hAnsi="仿宋" w:eastAsia="仿宋"/>
          <w:color w:val="000000"/>
          <w:sz w:val="32"/>
          <w:szCs w:val="32"/>
          <w:highlight w:val="none"/>
        </w:rPr>
      </w:pPr>
      <w:r/>
      <w:bookmarkStart w:id="29" w:name="_Toc28359086"/>
      <w:r/>
      <w:bookmarkStart w:id="30" w:name="_Toc28359009"/>
      <w:r>
        <w:rPr>
          <w:rFonts w:hint="eastAsia" w:ascii="仿宋" w:hAnsi="仿宋" w:eastAsia="仿宋"/>
          <w:color w:val="000000"/>
          <w:sz w:val="32"/>
          <w:szCs w:val="32"/>
          <w:highlight w:val="none"/>
        </w:rPr>
        <w:t xml:space="preserve">名    称：常州市文化广电和旅游局 </w:t>
      </w:r>
      <w:r>
        <w:rPr>
          <w:rFonts w:hint="eastAsia" w:ascii="仿宋" w:hAnsi="仿宋" w:eastAsia="仿宋"/>
          <w:color w:val="000000"/>
          <w:sz w:val="32"/>
          <w:szCs w:val="32"/>
          <w:highlight w:val="none"/>
        </w:rPr>
      </w:r>
      <w:r/>
    </w:p>
    <w:p>
      <w:pPr>
        <w:pStyle w:val="1014"/>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址：江苏省常州市新北区龙城大道1280号行政中心1号楼B座5楼</w:t>
      </w:r>
      <w:r>
        <w:rPr>
          <w:rFonts w:hint="eastAsia" w:ascii="仿宋" w:hAnsi="仿宋" w:eastAsia="仿宋"/>
          <w:color w:val="000000"/>
          <w:sz w:val="32"/>
          <w:szCs w:val="32"/>
          <w:highlight w:val="none"/>
        </w:rPr>
      </w:r>
      <w:r/>
    </w:p>
    <w:p>
      <w:pPr>
        <w:pStyle w:val="1014"/>
        <w:ind w:left="-2" w:firstLine="640"/>
        <w:jc w:val="left"/>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联系方式：0519-85682361</w:t>
      </w:r>
      <w:r>
        <w:rPr>
          <w:rFonts w:hint="eastAsia" w:ascii="仿宋" w:hAnsi="仿宋" w:eastAsia="仿宋"/>
          <w:color w:val="000000"/>
          <w:sz w:val="32"/>
          <w:szCs w:val="32"/>
          <w:highlight w:val="none"/>
          <w:u w:val="single"/>
        </w:rPr>
      </w:r>
      <w:r/>
    </w:p>
    <w:p>
      <w:pPr>
        <w:pStyle w:val="1014"/>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14"/>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14"/>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14"/>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14"/>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53"/>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53"/>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014"/>
        <w:ind w:firstLine="640"/>
        <w:spacing w:line="360" w:lineRule="auto"/>
        <w:rPr>
          <w:rFonts w:hint="eastAsia" w:ascii="仿宋" w:hAnsi="仿宋" w:eastAsia="仿宋"/>
          <w:sz w:val="32"/>
          <w:szCs w:val="32"/>
        </w:rPr>
      </w:pPr>
      <w:r>
        <w:rPr>
          <w:rFonts w:hint="eastAsia" w:ascii="仿宋" w:hAnsi="仿宋" w:eastAsia="仿宋"/>
          <w:color w:val="000000"/>
          <w:sz w:val="32"/>
          <w:szCs w:val="32"/>
        </w:rPr>
        <w:t xml:space="preserve">本公示信息已征得相关当事人同</w:t>
      </w:r>
      <w:r>
        <w:rPr>
          <w:rFonts w:hint="eastAsia" w:ascii="仿宋" w:hAnsi="仿宋" w:eastAsia="仿宋"/>
          <w:sz w:val="32"/>
          <w:szCs w:val="32"/>
        </w:rPr>
        <w:t xml:space="preserve">意后发布。</w:t>
      </w:r>
      <w:r>
        <w:rPr>
          <w:rFonts w:hint="eastAsia" w:ascii="仿宋" w:hAnsi="仿宋" w:eastAsia="仿宋"/>
          <w:sz w:val="32"/>
          <w:szCs w:val="32"/>
        </w:rPr>
      </w:r>
      <w:r/>
    </w:p>
    <w:p>
      <w:pPr>
        <w:pStyle w:val="1014"/>
        <w:jc w:val="left"/>
        <w:spacing w:line="360" w:lineRule="auto"/>
        <w:widowControl/>
        <w:rPr>
          <w:sz w:val="24"/>
        </w:rPr>
      </w:pPr>
      <w:r>
        <w:rPr>
          <w:sz w:val="24"/>
        </w:rPr>
      </w:r>
      <w:r/>
    </w:p>
    <w:p>
      <w:pPr>
        <w:pStyle w:val="1014"/>
        <w:jc w:val="center"/>
        <w:spacing w:line="360" w:lineRule="auto"/>
        <w:rPr>
          <w:b/>
          <w:sz w:val="32"/>
          <w:szCs w:val="32"/>
        </w:rPr>
        <w:outlineLvl w:val="0"/>
      </w:pPr>
      <w:r>
        <w:rPr>
          <w:sz w:val="24"/>
        </w:rPr>
        <w:br w:type="page" w:clear="all"/>
      </w:r>
      <w:bookmarkStart w:id="33" w:name="_Toc150774783"/>
      <w:r/>
      <w:bookmarkStart w:id="34" w:name="_Toc353825548"/>
      <w:r/>
      <w:bookmarkStart w:id="35" w:name="_Toc265228423"/>
      <w:r/>
      <w:bookmarkStart w:id="36" w:name="_Toc305158854"/>
      <w:r/>
      <w:bookmarkStart w:id="37" w:name="_Toc264969275"/>
      <w:r/>
      <w:bookmarkStart w:id="38" w:name="_Toc512937850"/>
      <w:r/>
      <w:bookmarkStart w:id="39" w:name="_Toc353873938"/>
      <w:r/>
      <w:bookmarkStart w:id="40" w:name="_Toc195842950"/>
      <w:r/>
      <w:bookmarkStart w:id="41" w:name="_Toc127151777"/>
      <w:r/>
      <w:bookmarkStart w:id="42" w:name="_Toc305158928"/>
      <w:r/>
      <w:bookmarkStart w:id="43" w:name="_Toc226965856"/>
      <w:r/>
      <w:bookmarkStart w:id="44" w:name="_Toc127161488"/>
      <w:r/>
      <w:bookmarkStart w:id="45" w:name="_Toc104818926"/>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6"/>
        <w:spacing w:before="0" w:line="360" w:lineRule="auto"/>
        <w:tabs>
          <w:tab w:val="center" w:pos="4592" w:leader="none"/>
          <w:tab w:val="left" w:pos="7860" w:leader="none"/>
        </w:tabs>
        <w:rPr>
          <w:rFonts w:ascii="Times New Roman" w:hAnsi="Times New Roman" w:eastAsia="宋体"/>
          <w:b w:val="0"/>
          <w:sz w:val="28"/>
        </w:rPr>
      </w:pPr>
      <w:r/>
      <w:bookmarkStart w:id="46" w:name="_Toc226337215"/>
      <w:r/>
      <w:bookmarkStart w:id="47" w:name="_Toc150774619"/>
      <w:r/>
      <w:bookmarkStart w:id="48" w:name="_Toc151190146"/>
      <w:r/>
      <w:bookmarkStart w:id="49" w:name="_Toc150509270"/>
      <w:r/>
      <w:bookmarkStart w:id="50" w:name="_Toc142311021"/>
      <w:r/>
      <w:bookmarkStart w:id="51" w:name="_Toc149720812"/>
      <w:r/>
      <w:bookmarkStart w:id="52" w:name="_Toc151193907"/>
      <w:r/>
      <w:bookmarkStart w:id="53" w:name="_Toc127151720"/>
      <w:r/>
      <w:bookmarkStart w:id="54" w:name="_Toc164229214"/>
      <w:r/>
      <w:bookmarkStart w:id="55" w:name="_Toc164229360"/>
      <w:r/>
      <w:bookmarkStart w:id="56" w:name="_Toc164608633"/>
      <w:r/>
      <w:bookmarkStart w:id="57" w:name="_Toc195842884"/>
      <w:r/>
      <w:bookmarkStart w:id="58" w:name="_Toc150774724"/>
      <w:r/>
      <w:bookmarkStart w:id="59" w:name="_Toc164608788"/>
      <w:r/>
      <w:bookmarkStart w:id="60" w:name="_Toc226965792"/>
      <w:r/>
      <w:bookmarkStart w:id="61" w:name="_Toc150480757"/>
      <w:r/>
      <w:bookmarkStart w:id="62" w:name="_Toc164351613"/>
      <w:r/>
      <w:bookmarkStart w:id="63" w:name="_Toc151193689"/>
      <w:r/>
      <w:bookmarkStart w:id="64" w:name="_Toc127151519"/>
      <w:r/>
      <w:bookmarkStart w:id="65" w:name="_Toc151193617"/>
      <w:r/>
      <w:bookmarkStart w:id="66" w:name="_Toc520356144"/>
      <w:r/>
      <w:bookmarkStart w:id="67" w:name="_Toc226965709"/>
      <w:r/>
      <w:bookmarkStart w:id="68" w:name="_Toc127161433"/>
      <w:r/>
      <w:bookmarkStart w:id="69" w:name="_Toc151193761"/>
      <w:r/>
      <w:bookmarkStart w:id="70" w:name="_Toc226309763"/>
      <w:r/>
      <w:bookmarkStart w:id="71" w:name="_Toc151193833"/>
      <w:r>
        <w:rPr>
          <w:rFonts w:ascii="Times New Roman" w:hAnsi="Times New Roman" w:eastAsia="宋体"/>
          <w:sz w:val="28"/>
        </w:rPr>
        <w:t xml:space="preserve">供应商须知资料表</w:t>
      </w:r>
      <w:r>
        <w:rPr>
          <w:rFonts w:ascii="Times New Roman" w:hAnsi="Times New Roman" w:eastAsia="宋体"/>
          <w:b w:val="0"/>
          <w:sz w:val="28"/>
        </w:rPr>
      </w:r>
      <w:r/>
    </w:p>
    <w:p>
      <w:pPr>
        <w:pStyle w:val="1014"/>
        <w:jc w:val="center"/>
        <w:rPr>
          <w:b/>
          <w:sz w:val="28"/>
          <w:szCs w:val="28"/>
        </w:rPr>
      </w:pPr>
      <w:r>
        <w:rPr>
          <w:b/>
          <w:sz w:val="28"/>
          <w:szCs w:val="28"/>
        </w:rPr>
      </w:r>
      <w:r/>
    </w:p>
    <w:p>
      <w:pPr>
        <w:pStyle w:val="1014"/>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4"/>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4"/>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4"/>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4"/>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3"/>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4"/>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655"/>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rPr>
            </w:r>
            <w:r/>
          </w:p>
        </w:tc>
      </w:tr>
      <w:tr>
        <w:trPr>
          <w:trHeight w:val="1535"/>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4.9</w:t>
            </w:r>
            <w:r>
              <w:rPr>
                <w:rFonts w:hAnsi="宋体" w:cs="宋体"/>
                <w:sz w:val="24"/>
                <w:szCs w:val="24"/>
              </w:rPr>
            </w:r>
            <w:r/>
          </w:p>
        </w:tc>
        <w:tc>
          <w:tcPr>
            <w:tcW w:w="1701" w:type="dxa"/>
            <w:vAlign w:val="center"/>
            <w:textDirection w:val="lrTb"/>
            <w:noWrap w:val="false"/>
          </w:tcPr>
          <w:p>
            <w:pPr>
              <w:pStyle w:val="1014"/>
              <w:jc w:val="center"/>
              <w:spacing w:line="360" w:lineRule="exact"/>
              <w:rPr>
                <w:rFonts w:hint="eastAsia" w:ascii="宋体" w:hAnsi="宋体" w:cs="宋体"/>
                <w:color w:val="000000"/>
                <w:sz w:val="24"/>
              </w:rPr>
            </w:pPr>
            <w:r>
              <w:rPr>
                <w:rFonts w:hint="eastAsia"/>
                <w:color w:val="000000"/>
                <w:sz w:val="24"/>
              </w:rPr>
              <w:t xml:space="preserve">本国产品政策支持</w:t>
            </w:r>
            <w:r>
              <w:rPr>
                <w:rFonts w:hint="eastAsia" w:ascii="宋体" w:hAnsi="宋体" w:cs="宋体"/>
                <w:color w:val="000000"/>
                <w:sz w:val="24"/>
              </w:rPr>
            </w:r>
            <w:r/>
          </w:p>
        </w:tc>
        <w:tc>
          <w:tcPr>
            <w:tcW w:w="7253" w:type="dxa"/>
            <w:vAlign w:val="center"/>
            <w:textDirection w:val="lrTb"/>
            <w:noWrap w:val="false"/>
          </w:tcPr>
          <w:p>
            <w:pPr>
              <w:pStyle w:val="1014"/>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hint="eastAsia" w:ascii="宋体" w:hAnsi="宋体" w:cs="宋体"/>
                <w:sz w:val="24"/>
              </w:rPr>
              <w:t xml:space="preserve">□</w:t>
            </w:r>
            <w:r>
              <w:rPr>
                <w:rFonts w:hint="eastAsia"/>
                <w:color w:val="000000"/>
                <w:sz w:val="24"/>
              </w:rPr>
              <w:t xml:space="preserve">适用 </w:t>
            </w:r>
            <w:r>
              <w:rPr>
                <w:rFonts w:hint="eastAsia" w:ascii="宋体" w:hAnsi="宋体" w:cs="宋体"/>
                <w:color w:val="000000"/>
                <w:sz w:val="24"/>
              </w:rPr>
              <w:t xml:space="preserve">■</w:t>
            </w:r>
            <w:r>
              <w:rPr>
                <w:rFonts w:hint="eastAsia"/>
                <w:color w:val="000000"/>
                <w:sz w:val="24"/>
              </w:rPr>
              <w:t xml:space="preserve">不适用。</w:t>
            </w:r>
            <w:r>
              <w:rPr>
                <w:rFonts w:hint="eastAsia"/>
                <w:color w:val="000000"/>
                <w:sz w:val="24"/>
              </w:rPr>
            </w:r>
            <w:r/>
          </w:p>
          <w:p>
            <w:pPr>
              <w:pStyle w:val="1016"/>
              <w:jc w:val="both"/>
              <w:keepLines w:val="0"/>
              <w:keepNext w:val="0"/>
              <w:spacing w:before="0" w:line="360" w:lineRule="exact"/>
              <w:shd w:val="clear" w:color="auto" w:fill="ffffff"/>
              <w:widowControl/>
              <w:rPr>
                <w:rFonts w:hint="eastAsia" w:ascii="宋体" w:hAnsi="宋体" w:cs="宋体"/>
                <w:color w:val="000000"/>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rPr>
            </w:r>
            <w:r/>
          </w:p>
        </w:tc>
      </w:tr>
      <w:tr>
        <w:trPr>
          <w:trHeight w:val="89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4"/>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ascii="SimSun" w:hAnsi="SimSun" w:eastAsia="SimSun" w:cs="SimSun"/>
                <w:b/>
                <w:color w:val="000000"/>
                <w:sz w:val="24"/>
              </w:rPr>
              <w:t xml:space="preserve">2026年10月28日11点00分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14"/>
              <w:jc w:val="left"/>
              <w:rPr>
                <w:rFonts w:hint="eastAsia" w:ascii="宋体" w:hAnsi="宋体" w:cs="宋体"/>
                <w:color w:val="000000"/>
                <w:sz w:val="24"/>
              </w:rPr>
            </w:pPr>
            <w:r>
              <w:rPr>
                <w:rFonts w:hint="eastAsia" w:ascii="宋体" w:hAnsi="宋体" w:cs="宋体"/>
                <w:sz w:val="24"/>
              </w:rPr>
              <w:t xml:space="preserve">□采购</w:t>
            </w:r>
            <w:r>
              <w:rPr>
                <w:rFonts w:hint="eastAsia" w:ascii="宋体" w:hAnsi="宋体" w:cs="宋体"/>
                <w:color w:val="000000"/>
                <w:sz w:val="24"/>
              </w:rPr>
              <w:t xml:space="preserve">人</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bCs/>
                <w:color w:val="000000"/>
                <w:sz w:val="24"/>
              </w:rPr>
              <w:t xml:space="preserve">因采购人预算金额包含代理费，本项目向</w:t>
            </w:r>
            <w:r>
              <w:rPr>
                <w:rFonts w:hint="eastAsia" w:ascii="宋体" w:hAnsi="宋体" w:cs="宋体"/>
                <w:color w:val="000000"/>
                <w:sz w:val="24"/>
              </w:rPr>
              <w:t xml:space="preserve">成交供应商收取</w:t>
            </w:r>
            <w:r>
              <w:rPr>
                <w:rFonts w:hint="eastAsia" w:ascii="宋体" w:hAnsi="宋体" w:cs="宋体"/>
                <w:bCs/>
                <w:color w:val="000000"/>
                <w:sz w:val="24"/>
              </w:rPr>
              <w:t xml:space="preserve">代理费。</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b/>
                <w:color w:val="000000"/>
                <w:sz w:val="24"/>
              </w:rPr>
              <w:t xml:space="preserve">（2）收费标准：</w:t>
            </w:r>
            <w:r>
              <w:rPr>
                <w:rFonts w:hint="eastAsia" w:ascii="宋体" w:hAnsi="宋体" w:cs="宋体"/>
                <w:color w:val="000000"/>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4"/>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14"/>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14"/>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14"/>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14"/>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14"/>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14"/>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c>
                <w:tcPr>
                  <w:tcW w:w="3023"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c>
                <w:tcPr>
                  <w:tcW w:w="3023"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c>
                <w:tcPr>
                  <w:tcW w:w="3023"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14"/>
              <w:ind w:firstLine="480"/>
              <w:jc w:val="left"/>
              <w:rPr>
                <w:rFonts w:hint="eastAsia" w:ascii="宋体" w:hAnsi="宋体" w:cs="宋体"/>
                <w:sz w:val="24"/>
              </w:rPr>
            </w:pPr>
            <w:r>
              <w:rPr>
                <w:rFonts w:hint="eastAsia" w:ascii="宋体" w:hAnsi="宋体" w:cs="宋体"/>
                <w:sz w:val="24"/>
              </w:rPr>
              <w:t xml:space="preserve">代理费按差额定率累进法计算。 </w:t>
            </w:r>
            <w:r>
              <w:rPr>
                <w:rFonts w:hint="eastAsia" w:ascii="宋体" w:hAnsi="宋体" w:cs="宋体"/>
                <w:sz w:val="24"/>
              </w:rPr>
            </w:r>
            <w:r/>
          </w:p>
          <w:p>
            <w:pPr>
              <w:pStyle w:val="1014"/>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14"/>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成交供应商应在领取成交通知书时将代理费支付至常州市城投建设工程招标有限公司账户。</w:t>
            </w:r>
            <w:r>
              <w:rPr>
                <w:rFonts w:hint="eastAsia" w:ascii="宋体" w:hAnsi="宋体" w:cs="宋体"/>
                <w:color w:val="000000"/>
                <w:sz w:val="24"/>
              </w:rPr>
            </w:r>
            <w:r/>
          </w:p>
          <w:p>
            <w:pPr>
              <w:pStyle w:val="1014"/>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4"/>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14"/>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4"/>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w:t>
            </w:r>
            <w:r>
              <w:rPr>
                <w:rFonts w:hint="eastAsia" w:ascii="宋体" w:hAnsi="宋体" w:cs="宋体"/>
                <w:b/>
                <w:sz w:val="24"/>
                <w:lang w:val="en-US" w:eastAsia="zh-CN"/>
              </w:rPr>
              <w:t xml:space="preserve">采购</w:t>
            </w:r>
            <w:r>
              <w:rPr>
                <w:rFonts w:hint="eastAsia" w:ascii="宋体" w:hAnsi="宋体" w:cs="宋体"/>
                <w:b/>
                <w:sz w:val="24"/>
              </w:rPr>
              <w:t xml:space="preserve">邀请》）</w:t>
            </w:r>
            <w:r>
              <w:rPr>
                <w:rFonts w:hint="eastAsia" w:ascii="宋体" w:hAnsi="宋体" w:cs="宋体"/>
                <w:b/>
                <w:sz w:val="24"/>
              </w:rPr>
            </w:r>
            <w:r/>
          </w:p>
        </w:tc>
      </w:tr>
    </w:tbl>
    <w:p>
      <w:pPr>
        <w:pStyle w:val="1014"/>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4"/>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16"/>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0774723"/>
      <w:r/>
      <w:bookmarkStart w:id="75" w:name="_Toc305158860"/>
      <w:r/>
      <w:bookmarkStart w:id="76" w:name="_Toc150480756"/>
      <w:r/>
      <w:bookmarkStart w:id="77" w:name="_Toc150509269"/>
      <w:r/>
      <w:bookmarkStart w:id="78" w:name="_Toc142311020"/>
      <w:r/>
      <w:bookmarkStart w:id="79" w:name="_Toc151193616"/>
      <w:r/>
      <w:bookmarkStart w:id="80" w:name="_Toc151190145"/>
      <w:r/>
      <w:bookmarkStart w:id="81" w:name="_Toc264969208"/>
      <w:r/>
      <w:bookmarkStart w:id="82" w:name="_Toc150774618"/>
      <w:r/>
      <w:bookmarkStart w:id="83" w:name="_Toc195842883"/>
      <w:r/>
      <w:bookmarkStart w:id="84" w:name="_Toc151193760"/>
      <w:r/>
      <w:bookmarkStart w:id="85" w:name="_Toc151193832"/>
      <w:r/>
      <w:bookmarkStart w:id="86" w:name="_Toc151193688"/>
      <w:r/>
      <w:bookmarkStart w:id="87" w:name="_Toc226337214"/>
      <w:r/>
      <w:bookmarkStart w:id="88" w:name="_Toc226309762"/>
      <w:r/>
      <w:bookmarkStart w:id="89" w:name="_Toc226965791"/>
      <w:r/>
      <w:bookmarkStart w:id="90" w:name="_Toc151193906"/>
      <w:r/>
      <w:bookmarkStart w:id="91" w:name="_Toc305158786"/>
      <w:r/>
      <w:bookmarkStart w:id="92" w:name="_Toc265228356"/>
      <w:r/>
      <w:bookmarkStart w:id="93" w:name="_Toc226965708"/>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265228357"/>
      <w:r/>
      <w:bookmarkStart w:id="95" w:name="_Toc305158861"/>
      <w:r/>
      <w:bookmarkStart w:id="96" w:name="_Toc305158787"/>
      <w:r/>
      <w:bookmarkStart w:id="97" w:name="_Toc264969209"/>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305158862"/>
      <w:r/>
      <w:bookmarkStart w:id="99" w:name="_Toc305158788"/>
      <w:r/>
      <w:bookmarkStart w:id="100" w:name="_Toc149720813"/>
      <w:r/>
      <w:bookmarkStart w:id="101" w:name="_Toc164608634"/>
      <w:r/>
      <w:bookmarkStart w:id="102" w:name="_Toc127151520"/>
      <w:r/>
      <w:bookmarkStart w:id="103" w:name="_Toc164229361"/>
      <w:r/>
      <w:bookmarkStart w:id="104" w:name="_Toc151193834"/>
      <w:r/>
      <w:bookmarkStart w:id="105" w:name="_Toc127151721"/>
      <w:r/>
      <w:bookmarkStart w:id="106" w:name="_Toc151193908"/>
      <w:r/>
      <w:bookmarkStart w:id="107" w:name="_Toc151193690"/>
      <w:r/>
      <w:bookmarkStart w:id="108" w:name="_Toc151190147"/>
      <w:r/>
      <w:bookmarkStart w:id="109" w:name="_Toc164229215"/>
      <w:r/>
      <w:bookmarkStart w:id="110" w:name="_Toc226337216"/>
      <w:r/>
      <w:bookmarkStart w:id="111" w:name="_Toc150509271"/>
      <w:r/>
      <w:bookmarkStart w:id="112" w:name="_Toc164608789"/>
      <w:r/>
      <w:bookmarkStart w:id="113" w:name="_Toc150774725"/>
      <w:r/>
      <w:bookmarkStart w:id="114" w:name="_Toc151193618"/>
      <w:r/>
      <w:bookmarkStart w:id="115" w:name="_Toc226965710"/>
      <w:r/>
      <w:bookmarkStart w:id="116" w:name="_Toc150774620"/>
      <w:r/>
      <w:bookmarkStart w:id="117" w:name="_Toc226965793"/>
      <w:r/>
      <w:bookmarkStart w:id="118" w:name="_Toc127161434"/>
      <w:r/>
      <w:bookmarkStart w:id="119" w:name="_Toc150480758"/>
      <w:r/>
      <w:bookmarkStart w:id="120" w:name="_Toc151193762"/>
      <w:r/>
      <w:bookmarkStart w:id="121" w:name="_Toc265228358"/>
      <w:r/>
      <w:bookmarkStart w:id="122" w:name="_Toc195842885"/>
      <w:r/>
      <w:bookmarkStart w:id="123" w:name="_Toc264969210"/>
      <w:r/>
      <w:bookmarkStart w:id="124" w:name="_Toc142311022"/>
      <w:r/>
      <w:bookmarkStart w:id="125" w:name="_Toc226309764"/>
      <w:r/>
      <w:bookmarkStart w:id="126" w:name="_Toc164351614"/>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480760"/>
      <w:r/>
      <w:bookmarkStart w:id="128" w:name="_Toc127151522"/>
      <w:r/>
      <w:bookmarkStart w:id="129" w:name="_Toc305158790"/>
      <w:r/>
      <w:bookmarkStart w:id="130" w:name="_Toc226309766"/>
      <w:r/>
      <w:bookmarkStart w:id="131" w:name="_Toc150774727"/>
      <w:r/>
      <w:bookmarkStart w:id="132" w:name="_Toc226965712"/>
      <w:r/>
      <w:bookmarkStart w:id="133" w:name="_Toc226337218"/>
      <w:r/>
      <w:bookmarkStart w:id="134" w:name="_Toc150774622"/>
      <w:r/>
      <w:bookmarkStart w:id="135" w:name="_Toc226965795"/>
      <w:r/>
      <w:bookmarkStart w:id="136" w:name="_Toc151190149"/>
      <w:r/>
      <w:bookmarkStart w:id="137" w:name="_Toc520356146"/>
      <w:r/>
      <w:bookmarkStart w:id="138" w:name="_Toc151193764"/>
      <w:r/>
      <w:bookmarkStart w:id="139" w:name="_Toc151193836"/>
      <w:r/>
      <w:bookmarkStart w:id="140" w:name="_Toc151193910"/>
      <w:r/>
      <w:bookmarkStart w:id="141" w:name="_Toc265228360"/>
      <w:r/>
      <w:bookmarkStart w:id="142" w:name="_Toc150509273"/>
      <w:r/>
      <w:bookmarkStart w:id="143" w:name="_Toc151193620"/>
      <w:r/>
      <w:bookmarkStart w:id="144" w:name="_Toc195842887"/>
      <w:r/>
      <w:bookmarkStart w:id="145" w:name="_Toc142311024"/>
      <w:r/>
      <w:bookmarkStart w:id="146" w:name="_Toc264969212"/>
      <w:r/>
      <w:bookmarkStart w:id="147" w:name="_Toc151193692"/>
      <w:r/>
      <w:bookmarkStart w:id="148" w:name="_Toc305158864"/>
      <w:r>
        <w:rPr>
          <w:rFonts w:hint="eastAsia" w:ascii="宋体" w:hAnsi="宋体" w:cs="宋体"/>
          <w:sz w:val="28"/>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中小企业定义：</w:t>
      </w:r>
      <w:r>
        <w:rPr>
          <w:rFonts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残疾人福利性单位定义：享受政府采购支持政策的残疾人福利性单位应当同时满足以下条件：</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通过</w:t>
      </w:r>
      <w:r>
        <w:rPr>
          <w:rFonts w:hint="eastAsia" w:ascii="宋体" w:hAnsi="宋体" w:cs="宋体"/>
          <w:color w:val="000000"/>
          <w:sz w:val="24"/>
        </w:rPr>
        <w:t xml:space="preserve">银行</w:t>
      </w:r>
      <w:r>
        <w:rPr>
          <w:rFonts w:hint="eastAsia" w:ascii="宋体" w:hAnsi="宋体" w:cs="宋体"/>
          <w:sz w:val="24"/>
        </w:rPr>
        <w:t xml:space="preserve">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color w:val="000000"/>
          <w:sz w:val="28"/>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绿色采购政策</w:t>
      </w:r>
      <w:r>
        <w:rPr>
          <w:rFonts w:hint="eastAsia" w:ascii="宋体" w:hAnsi="宋体" w:eastAsia="宋体" w:cs="宋体"/>
          <w:b/>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1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4.9采购本国产品的支持政策</w:t>
      </w:r>
      <w:r>
        <w:rPr>
          <w:rFonts w:hint="eastAsia" w:ascii="宋体" w:hAnsi="宋体"/>
          <w:b/>
          <w:bCs/>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14"/>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27151724"/>
      <w:r/>
      <w:bookmarkStart w:id="151" w:name="_Toc264969213"/>
      <w:r/>
      <w:bookmarkStart w:id="152" w:name="_Toc151190150"/>
      <w:r/>
      <w:bookmarkStart w:id="153" w:name="_Toc150480761"/>
      <w:r/>
      <w:bookmarkStart w:id="154" w:name="_Toc164229218"/>
      <w:r/>
      <w:bookmarkStart w:id="155" w:name="_Toc151193837"/>
      <w:r/>
      <w:bookmarkStart w:id="156" w:name="_Toc164608637"/>
      <w:r/>
      <w:bookmarkStart w:id="157" w:name="_Toc195842888"/>
      <w:r/>
      <w:bookmarkStart w:id="158" w:name="_Toc164608792"/>
      <w:r/>
      <w:bookmarkStart w:id="159" w:name="_Toc151193693"/>
      <w:r/>
      <w:bookmarkStart w:id="160" w:name="_Toc226965796"/>
      <w:r/>
      <w:bookmarkStart w:id="161" w:name="_Toc142311025"/>
      <w:r/>
      <w:bookmarkStart w:id="162" w:name="_Toc164229364"/>
      <w:r/>
      <w:bookmarkStart w:id="163" w:name="_Toc150509274"/>
      <w:r/>
      <w:bookmarkStart w:id="164" w:name="_Toc151193765"/>
      <w:r/>
      <w:bookmarkStart w:id="165" w:name="_Toc150774728"/>
      <w:r/>
      <w:bookmarkStart w:id="166" w:name="_Toc226309767"/>
      <w:r/>
      <w:bookmarkStart w:id="167" w:name="_Toc151193911"/>
      <w:r/>
      <w:bookmarkStart w:id="168" w:name="_Toc151193621"/>
      <w:r/>
      <w:bookmarkStart w:id="169" w:name="_Toc305158865"/>
      <w:r/>
      <w:bookmarkStart w:id="170" w:name="_Toc305158791"/>
      <w:r/>
      <w:bookmarkStart w:id="171" w:name="_Toc265228361"/>
      <w:r/>
      <w:bookmarkStart w:id="172" w:name="_Toc149720816"/>
      <w:r/>
      <w:bookmarkStart w:id="173" w:name="_Toc127151523"/>
      <w:r/>
      <w:bookmarkStart w:id="174" w:name="_Toc127161437"/>
      <w:r/>
      <w:bookmarkStart w:id="175" w:name="_Toc150774623"/>
      <w:r/>
      <w:bookmarkStart w:id="176" w:name="_Toc164351617"/>
      <w:r/>
      <w:bookmarkStart w:id="177" w:name="_Toc520356147"/>
      <w:r/>
      <w:bookmarkStart w:id="178" w:name="_Toc226337219"/>
      <w:r/>
      <w:bookmarkStart w:id="179" w:name="_Toc226965713"/>
      <w:r>
        <w:rPr>
          <w:rFonts w:hint="eastAsia" w:ascii="宋体" w:hAnsi="宋体" w:cs="宋体"/>
          <w:b/>
          <w:sz w:val="24"/>
        </w:rPr>
        <w:t xml:space="preserve">响应费用</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4"/>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1193768"/>
      <w:r/>
      <w:bookmarkStart w:id="181" w:name="_Toc151193624"/>
      <w:r/>
      <w:bookmarkStart w:id="182" w:name="_Toc142311028"/>
      <w:r/>
      <w:bookmarkStart w:id="183" w:name="_Toc305158794"/>
      <w:r/>
      <w:bookmarkStart w:id="184" w:name="_Toc150774731"/>
      <w:r/>
      <w:bookmarkStart w:id="185" w:name="_Toc226337222"/>
      <w:r/>
      <w:bookmarkStart w:id="186" w:name="_Toc305158868"/>
      <w:r/>
      <w:bookmarkStart w:id="187" w:name="_Toc151190153"/>
      <w:r/>
      <w:bookmarkStart w:id="188" w:name="_Toc520356150"/>
      <w:r/>
      <w:bookmarkStart w:id="189" w:name="_Toc150774626"/>
      <w:r/>
      <w:bookmarkStart w:id="190" w:name="_Toc151193914"/>
      <w:r/>
      <w:bookmarkStart w:id="191" w:name="_Toc226309770"/>
      <w:r/>
      <w:bookmarkStart w:id="192" w:name="_Toc516367020"/>
      <w:r/>
      <w:bookmarkStart w:id="193" w:name="_Toc150509277"/>
      <w:r/>
      <w:bookmarkStart w:id="194" w:name="_Toc226965799"/>
      <w:r/>
      <w:bookmarkStart w:id="195" w:name="_Toc151193840"/>
      <w:r/>
      <w:bookmarkStart w:id="196" w:name="_Toc264969216"/>
      <w:r/>
      <w:bookmarkStart w:id="197" w:name="_Toc226965716"/>
      <w:r/>
      <w:bookmarkStart w:id="198" w:name="_Toc127151526"/>
      <w:r/>
      <w:bookmarkStart w:id="199" w:name="_Toc195842891"/>
      <w:r/>
      <w:bookmarkStart w:id="200" w:name="_Toc150480764"/>
      <w:r/>
      <w:bookmarkStart w:id="201" w:name="_Toc151193696"/>
      <w:r/>
      <w:bookmarkStart w:id="202" w:name="_Toc265228364"/>
      <w:r>
        <w:rPr>
          <w:rFonts w:hint="eastAsia" w:ascii="宋体" w:hAnsi="宋体" w:cs="宋体"/>
          <w:sz w:val="28"/>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305158869"/>
      <w:r/>
      <w:bookmarkStart w:id="204" w:name="_Toc164608796"/>
      <w:r/>
      <w:bookmarkStart w:id="205" w:name="_Toc151193915"/>
      <w:r/>
      <w:bookmarkStart w:id="206" w:name="_Toc149720820"/>
      <w:r/>
      <w:bookmarkStart w:id="207" w:name="_Toc127161441"/>
      <w:r/>
      <w:bookmarkStart w:id="208" w:name="_Toc164608641"/>
      <w:r/>
      <w:bookmarkStart w:id="209" w:name="_Toc265228365"/>
      <w:r/>
      <w:bookmarkStart w:id="210" w:name="_Toc226965800"/>
      <w:r/>
      <w:bookmarkStart w:id="211" w:name="_Toc151193625"/>
      <w:r/>
      <w:bookmarkStart w:id="212" w:name="_Toc226337223"/>
      <w:r/>
      <w:bookmarkStart w:id="213" w:name="_Toc151193841"/>
      <w:r/>
      <w:bookmarkStart w:id="214" w:name="_Toc226309771"/>
      <w:r/>
      <w:bookmarkStart w:id="215" w:name="_Toc520356151"/>
      <w:r/>
      <w:bookmarkStart w:id="216" w:name="_Toc150480765"/>
      <w:r/>
      <w:bookmarkStart w:id="217" w:name="_Toc150509278"/>
      <w:r/>
      <w:bookmarkStart w:id="218" w:name="_Toc195842892"/>
      <w:r/>
      <w:bookmarkStart w:id="219" w:name="_Toc127151728"/>
      <w:r/>
      <w:bookmarkStart w:id="220" w:name="_Toc150774732"/>
      <w:r/>
      <w:bookmarkStart w:id="221" w:name="_Toc164229222"/>
      <w:r/>
      <w:bookmarkStart w:id="222" w:name="_Toc164351621"/>
      <w:r/>
      <w:bookmarkStart w:id="223" w:name="_Toc151193697"/>
      <w:r/>
      <w:bookmarkStart w:id="224" w:name="_Toc516367021"/>
      <w:r/>
      <w:bookmarkStart w:id="225" w:name="_Toc305158795"/>
      <w:r/>
      <w:bookmarkStart w:id="226" w:name="_Toc127151527"/>
      <w:r/>
      <w:bookmarkStart w:id="227" w:name="_Toc264969217"/>
      <w:r/>
      <w:bookmarkStart w:id="228" w:name="_Toc151193769"/>
      <w:r/>
      <w:bookmarkStart w:id="229" w:name="_Toc164229368"/>
      <w:r/>
      <w:bookmarkStart w:id="230" w:name="_Toc150774627"/>
      <w:r/>
      <w:bookmarkStart w:id="231" w:name="_Toc142311029"/>
      <w:r/>
      <w:bookmarkStart w:id="232" w:name="_Toc226965717"/>
      <w:r/>
      <w:bookmarkStart w:id="233" w:name="_Toc151190154"/>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50480766"/>
      <w:r/>
      <w:bookmarkStart w:id="235" w:name="_Toc226965801"/>
      <w:r/>
      <w:bookmarkStart w:id="236" w:name="_Toc151193916"/>
      <w:r/>
      <w:bookmarkStart w:id="237" w:name="_Toc164229369"/>
      <w:r/>
      <w:bookmarkStart w:id="238" w:name="_Toc151193842"/>
      <w:r/>
      <w:bookmarkStart w:id="239" w:name="_Toc150774733"/>
      <w:r/>
      <w:bookmarkStart w:id="240" w:name="_Toc226965718"/>
      <w:r/>
      <w:bookmarkStart w:id="241" w:name="_Toc127161442"/>
      <w:r/>
      <w:bookmarkStart w:id="242" w:name="_Toc151190155"/>
      <w:r/>
      <w:bookmarkStart w:id="243" w:name="_Toc226309772"/>
      <w:r/>
      <w:bookmarkStart w:id="244" w:name="_Toc150774628"/>
      <w:r/>
      <w:bookmarkStart w:id="245" w:name="_Toc305158796"/>
      <w:r/>
      <w:bookmarkStart w:id="246" w:name="_Toc164229223"/>
      <w:r/>
      <w:bookmarkStart w:id="247" w:name="_Ref467306195"/>
      <w:r/>
      <w:bookmarkStart w:id="248" w:name="_Toc516367022"/>
      <w:r/>
      <w:bookmarkStart w:id="249" w:name="_Toc127151729"/>
      <w:r/>
      <w:bookmarkStart w:id="250" w:name="_Ref467306676"/>
      <w:r/>
      <w:bookmarkStart w:id="251" w:name="_Toc164608642"/>
      <w:r/>
      <w:bookmarkStart w:id="252" w:name="_Toc195842893"/>
      <w:r/>
      <w:bookmarkStart w:id="253" w:name="_Toc151193770"/>
      <w:r/>
      <w:bookmarkStart w:id="254" w:name="_Toc142311030"/>
      <w:r/>
      <w:bookmarkStart w:id="255" w:name="_Toc265228366"/>
      <w:r/>
      <w:bookmarkStart w:id="256" w:name="_Toc149720821"/>
      <w:r/>
      <w:bookmarkStart w:id="257" w:name="_Toc150509279"/>
      <w:r/>
      <w:bookmarkStart w:id="258" w:name="_Toc520356152"/>
      <w:r/>
      <w:bookmarkStart w:id="259" w:name="_Toc164608797"/>
      <w:r/>
      <w:bookmarkStart w:id="260" w:name="_Toc151193698"/>
      <w:r/>
      <w:bookmarkStart w:id="261" w:name="_Toc226337224"/>
      <w:r/>
      <w:bookmarkStart w:id="262" w:name="_Toc164351622"/>
      <w:r/>
      <w:bookmarkStart w:id="263" w:name="_Toc305158870"/>
      <w:r/>
      <w:bookmarkStart w:id="264" w:name="_Toc127151528"/>
      <w:r/>
      <w:bookmarkStart w:id="265" w:name="_Toc264969218"/>
      <w:r/>
      <w:bookmarkStart w:id="266" w:name="_Toc151193626"/>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164229371"/>
      <w:r/>
      <w:bookmarkStart w:id="270" w:name="_Toc127151530"/>
      <w:r/>
      <w:bookmarkStart w:id="271" w:name="_Toc142311032"/>
      <w:r/>
      <w:bookmarkStart w:id="272" w:name="_Toc150774735"/>
      <w:r/>
      <w:bookmarkStart w:id="273" w:name="_Toc164608644"/>
      <w:r/>
      <w:bookmarkStart w:id="274" w:name="_Toc150480768"/>
      <w:r/>
      <w:bookmarkStart w:id="275" w:name="_Toc127151731"/>
      <w:r/>
      <w:bookmarkStart w:id="276" w:name="_Toc150509281"/>
      <w:r/>
      <w:bookmarkStart w:id="277" w:name="_Toc151190157"/>
      <w:r/>
      <w:bookmarkStart w:id="278" w:name="_Toc164351624"/>
      <w:r/>
      <w:bookmarkStart w:id="279" w:name="_Toc164608799"/>
      <w:r/>
      <w:bookmarkStart w:id="280" w:name="_Toc195842895"/>
      <w:r/>
      <w:bookmarkStart w:id="281" w:name="_Toc150774630"/>
      <w:r/>
      <w:bookmarkStart w:id="282" w:name="_Toc151193772"/>
      <w:r/>
      <w:bookmarkStart w:id="283" w:name="_Toc520356155"/>
      <w:r/>
      <w:bookmarkStart w:id="284" w:name="_Toc151193918"/>
      <w:r/>
      <w:bookmarkStart w:id="285" w:name="_Toc151193844"/>
      <w:r/>
      <w:bookmarkStart w:id="286" w:name="_Toc151193700"/>
      <w:r/>
      <w:bookmarkStart w:id="287" w:name="_Toc164229225"/>
      <w:r/>
      <w:bookmarkStart w:id="288" w:name="_Toc127161444"/>
      <w:r/>
      <w:bookmarkStart w:id="289" w:name="_Toc151193628"/>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4"/>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51193775"/>
      <w:r/>
      <w:bookmarkStart w:id="291" w:name="_Toc127161447"/>
      <w:r/>
      <w:bookmarkStart w:id="292" w:name="_Toc226309777"/>
      <w:r/>
      <w:bookmarkStart w:id="293" w:name="_Toc151190160"/>
      <w:r/>
      <w:bookmarkStart w:id="294" w:name="_Toc164608802"/>
      <w:r/>
      <w:bookmarkStart w:id="295" w:name="_Toc150480771"/>
      <w:r/>
      <w:bookmarkStart w:id="296" w:name="_Toc142311035"/>
      <w:r/>
      <w:bookmarkStart w:id="297" w:name="_Toc164229228"/>
      <w:r/>
      <w:bookmarkStart w:id="298" w:name="_Toc150774738"/>
      <w:r/>
      <w:bookmarkStart w:id="299" w:name="_Toc305158875"/>
      <w:r/>
      <w:bookmarkStart w:id="300" w:name="_Toc127151734"/>
      <w:r/>
      <w:bookmarkStart w:id="301" w:name="_Toc226965723"/>
      <w:r/>
      <w:bookmarkStart w:id="302" w:name="_Toc151193847"/>
      <w:r/>
      <w:bookmarkStart w:id="303" w:name="_Toc149720826"/>
      <w:r/>
      <w:bookmarkStart w:id="304" w:name="_Toc264969223"/>
      <w:r/>
      <w:bookmarkStart w:id="305" w:name="_Toc164351627"/>
      <w:r/>
      <w:bookmarkStart w:id="306" w:name="_Toc151193703"/>
      <w:r/>
      <w:bookmarkStart w:id="307" w:name="_Toc151193921"/>
      <w:r/>
      <w:bookmarkStart w:id="308" w:name="_Toc127151533"/>
      <w:r/>
      <w:bookmarkStart w:id="309" w:name="_Toc164608647"/>
      <w:r/>
      <w:bookmarkStart w:id="310" w:name="_Toc150774633"/>
      <w:r/>
      <w:bookmarkStart w:id="311" w:name="_Toc265228371"/>
      <w:r/>
      <w:bookmarkStart w:id="312" w:name="_Toc226337229"/>
      <w:r/>
      <w:bookmarkStart w:id="313" w:name="_Toc226965806"/>
      <w:r/>
      <w:bookmarkStart w:id="314" w:name="_Toc151193631"/>
      <w:r/>
      <w:bookmarkStart w:id="315" w:name="_Toc164229374"/>
      <w:r/>
      <w:bookmarkStart w:id="316" w:name="_Toc305158801"/>
      <w:r/>
      <w:bookmarkStart w:id="317" w:name="_Toc150509284"/>
      <w:r/>
      <w:bookmarkStart w:id="318" w:name="_Toc520356158"/>
      <w:r/>
      <w:bookmarkStart w:id="319" w:name="_Toc195842898"/>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0774634"/>
      <w:r/>
      <w:bookmarkStart w:id="321" w:name="_Toc150480772"/>
      <w:r/>
      <w:bookmarkStart w:id="322" w:name="_Toc151193776"/>
      <w:r/>
      <w:bookmarkStart w:id="323" w:name="_Toc226309778"/>
      <w:r/>
      <w:bookmarkStart w:id="324" w:name="_Toc265228372"/>
      <w:r/>
      <w:bookmarkStart w:id="325" w:name="_Toc127151534"/>
      <w:r/>
      <w:bookmarkStart w:id="326" w:name="_Toc151193848"/>
      <w:r/>
      <w:bookmarkStart w:id="327" w:name="_Toc264969224"/>
      <w:r/>
      <w:bookmarkStart w:id="328" w:name="_Toc226965724"/>
      <w:r/>
      <w:bookmarkStart w:id="329" w:name="_Toc195842899"/>
      <w:r/>
      <w:bookmarkStart w:id="330" w:name="_Toc305158876"/>
      <w:r/>
      <w:bookmarkStart w:id="331" w:name="_Toc150509285"/>
      <w:r/>
      <w:bookmarkStart w:id="332" w:name="_Toc520356159"/>
      <w:r/>
      <w:bookmarkStart w:id="333" w:name="_Toc305158802"/>
      <w:r/>
      <w:bookmarkStart w:id="334" w:name="_Toc151193922"/>
      <w:r/>
      <w:bookmarkStart w:id="335" w:name="_Toc150774739"/>
      <w:r/>
      <w:bookmarkStart w:id="336" w:name="_Toc151190161"/>
      <w:r/>
      <w:bookmarkStart w:id="337" w:name="_Toc151193632"/>
      <w:r/>
      <w:bookmarkStart w:id="338" w:name="_Toc142311036"/>
      <w:r/>
      <w:bookmarkStart w:id="339" w:name="_Toc226337230"/>
      <w:r/>
      <w:bookmarkStart w:id="340" w:name="_Toc151193704"/>
      <w:r/>
      <w:bookmarkStart w:id="341" w:name="_Toc226965807"/>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4"/>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226337231"/>
      <w:r/>
      <w:bookmarkStart w:id="343" w:name="_Toc150480773"/>
      <w:r/>
      <w:bookmarkStart w:id="344" w:name="_Toc150774635"/>
      <w:r/>
      <w:bookmarkStart w:id="345" w:name="_Toc164351629"/>
      <w:r/>
      <w:bookmarkStart w:id="346" w:name="_Toc164229376"/>
      <w:r/>
      <w:bookmarkStart w:id="347" w:name="_Toc127151535"/>
      <w:r/>
      <w:bookmarkStart w:id="348" w:name="_Toc195842900"/>
      <w:r/>
      <w:bookmarkStart w:id="349" w:name="_Toc151193777"/>
      <w:r/>
      <w:bookmarkStart w:id="350" w:name="_Toc226309779"/>
      <w:r/>
      <w:bookmarkStart w:id="351" w:name="_Toc142311037"/>
      <w:r/>
      <w:bookmarkStart w:id="352" w:name="_Toc164608804"/>
      <w:r/>
      <w:bookmarkStart w:id="353" w:name="_Toc226965808"/>
      <w:r/>
      <w:bookmarkStart w:id="354" w:name="_Toc127151736"/>
      <w:r/>
      <w:bookmarkStart w:id="355" w:name="_Toc264969225"/>
      <w:r/>
      <w:bookmarkStart w:id="356" w:name="_Toc151193705"/>
      <w:r/>
      <w:bookmarkStart w:id="357" w:name="_Toc149720828"/>
      <w:r/>
      <w:bookmarkStart w:id="358" w:name="_Toc164229230"/>
      <w:r/>
      <w:bookmarkStart w:id="359" w:name="_Toc127161449"/>
      <w:r/>
      <w:bookmarkStart w:id="360" w:name="_Toc150774740"/>
      <w:r/>
      <w:bookmarkStart w:id="361" w:name="_Toc164608649"/>
      <w:r/>
      <w:bookmarkStart w:id="362" w:name="_Toc265228373"/>
      <w:r/>
      <w:bookmarkStart w:id="363" w:name="_Toc151193923"/>
      <w:r/>
      <w:bookmarkStart w:id="364" w:name="_Toc305158803"/>
      <w:r/>
      <w:bookmarkStart w:id="365" w:name="_Toc151190162"/>
      <w:r/>
      <w:bookmarkStart w:id="366" w:name="_Toc226965725"/>
      <w:r/>
      <w:bookmarkStart w:id="367" w:name="_Toc520356160"/>
      <w:r/>
      <w:bookmarkStart w:id="368" w:name="_Toc305158877"/>
      <w:r/>
      <w:bookmarkStart w:id="369" w:name="_Toc150509286"/>
      <w:r/>
      <w:bookmarkStart w:id="370" w:name="_Toc151193633"/>
      <w:r/>
      <w:bookmarkStart w:id="371" w:name="_Toc151193849"/>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520356161"/>
      <w:r/>
      <w:bookmarkStart w:id="373" w:name="_Toc164229377"/>
      <w:r/>
      <w:bookmarkStart w:id="374" w:name="_Toc164351630"/>
      <w:r/>
      <w:bookmarkStart w:id="375" w:name="_Toc127161450"/>
      <w:r/>
      <w:bookmarkStart w:id="376" w:name="_Toc195842901"/>
      <w:r/>
      <w:bookmarkStart w:id="377" w:name="_Toc151193850"/>
      <w:r/>
      <w:bookmarkStart w:id="378" w:name="_Toc142311038"/>
      <w:r/>
      <w:bookmarkStart w:id="379" w:name="_Toc150509287"/>
      <w:r/>
      <w:bookmarkStart w:id="380" w:name="_Toc127151737"/>
      <w:r/>
      <w:bookmarkStart w:id="381" w:name="_Toc151193706"/>
      <w:r/>
      <w:bookmarkStart w:id="382" w:name="_Toc150774741"/>
      <w:r/>
      <w:bookmarkStart w:id="383" w:name="_Toc305158804"/>
      <w:r/>
      <w:bookmarkStart w:id="384" w:name="_Toc305158878"/>
      <w:r/>
      <w:bookmarkStart w:id="385" w:name="_Toc151190163"/>
      <w:r/>
      <w:bookmarkStart w:id="386" w:name="_Toc127151536"/>
      <w:r/>
      <w:bookmarkStart w:id="387" w:name="_Toc150774636"/>
      <w:r/>
      <w:bookmarkStart w:id="388" w:name="_Toc149720829"/>
      <w:r/>
      <w:bookmarkStart w:id="389" w:name="_Toc226337232"/>
      <w:r/>
      <w:bookmarkStart w:id="390" w:name="_Toc164608650"/>
      <w:r/>
      <w:bookmarkStart w:id="391" w:name="_Toc226309780"/>
      <w:r/>
      <w:bookmarkStart w:id="392" w:name="_Toc226965809"/>
      <w:r/>
      <w:bookmarkStart w:id="393" w:name="_Toc151193924"/>
      <w:r/>
      <w:bookmarkStart w:id="394" w:name="_Toc164229231"/>
      <w:r/>
      <w:bookmarkStart w:id="395" w:name="_Toc151193778"/>
      <w:r/>
      <w:bookmarkStart w:id="396" w:name="_Toc164608805"/>
      <w:r/>
      <w:bookmarkStart w:id="397" w:name="_Toc264969226"/>
      <w:r/>
      <w:bookmarkStart w:id="398" w:name="_Toc265228374"/>
      <w:r/>
      <w:bookmarkStart w:id="399" w:name="_Toc150480774"/>
      <w:r/>
      <w:bookmarkStart w:id="400" w:name="_Toc226965726"/>
      <w:r/>
      <w:bookmarkStart w:id="401" w:name="_Toc151193634"/>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42311039"/>
      <w:r/>
      <w:bookmarkStart w:id="403" w:name="_Toc151190164"/>
      <w:r/>
      <w:bookmarkStart w:id="404" w:name="_Toc149720830"/>
      <w:r/>
      <w:bookmarkStart w:id="405" w:name="_Toc520356162"/>
      <w:r/>
      <w:bookmarkStart w:id="406" w:name="_Toc127161451"/>
      <w:r/>
      <w:bookmarkStart w:id="407" w:name="_Toc226965810"/>
      <w:r/>
      <w:bookmarkStart w:id="408" w:name="_Toc150774637"/>
      <w:r/>
      <w:bookmarkStart w:id="409" w:name="_Toc265228375"/>
      <w:r/>
      <w:bookmarkStart w:id="410" w:name="_Toc151193925"/>
      <w:r/>
      <w:bookmarkStart w:id="411" w:name="_Toc150480775"/>
      <w:r/>
      <w:bookmarkStart w:id="412" w:name="_Toc305158805"/>
      <w:r/>
      <w:bookmarkStart w:id="413" w:name="_Toc127151537"/>
      <w:r/>
      <w:bookmarkStart w:id="414" w:name="_Toc150774742"/>
      <w:r/>
      <w:bookmarkStart w:id="415" w:name="_Toc264969227"/>
      <w:r/>
      <w:bookmarkStart w:id="416" w:name="_Toc151193779"/>
      <w:r/>
      <w:bookmarkStart w:id="417" w:name="_Toc195842902"/>
      <w:r/>
      <w:bookmarkStart w:id="418" w:name="_Toc226309781"/>
      <w:r/>
      <w:bookmarkStart w:id="419" w:name="_Toc226337233"/>
      <w:r/>
      <w:bookmarkStart w:id="420" w:name="_Toc151193635"/>
      <w:r/>
      <w:bookmarkStart w:id="421" w:name="_Toc164351631"/>
      <w:r/>
      <w:bookmarkStart w:id="422" w:name="_Toc164608806"/>
      <w:r/>
      <w:bookmarkStart w:id="423" w:name="_Toc164229232"/>
      <w:r/>
      <w:bookmarkStart w:id="424" w:name="_Toc150509288"/>
      <w:r/>
      <w:bookmarkStart w:id="425" w:name="_Toc164229378"/>
      <w:r/>
      <w:bookmarkStart w:id="426" w:name="_Toc226965727"/>
      <w:r/>
      <w:bookmarkStart w:id="427" w:name="_Toc305158879"/>
      <w:r/>
      <w:bookmarkStart w:id="428" w:name="_Toc127151738"/>
      <w:r/>
      <w:bookmarkStart w:id="429" w:name="_Toc164608651"/>
      <w:r/>
      <w:bookmarkStart w:id="430" w:name="_Toc151193707"/>
      <w:r/>
      <w:bookmarkStart w:id="431" w:name="_Toc151193851"/>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4"/>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265228376"/>
      <w:r/>
      <w:bookmarkStart w:id="434" w:name="_Toc151193636"/>
      <w:r/>
      <w:bookmarkStart w:id="435" w:name="_Toc520356163"/>
      <w:r/>
      <w:bookmarkStart w:id="436" w:name="_Toc195842903"/>
      <w:r/>
      <w:bookmarkStart w:id="437" w:name="_Toc150480776"/>
      <w:r/>
      <w:bookmarkStart w:id="438" w:name="_Toc151193926"/>
      <w:r/>
      <w:bookmarkStart w:id="439" w:name="_Toc151193708"/>
      <w:r/>
      <w:bookmarkStart w:id="440" w:name="_Toc226337234"/>
      <w:r/>
      <w:bookmarkStart w:id="441" w:name="_Toc142311040"/>
      <w:r/>
      <w:bookmarkStart w:id="442" w:name="_Toc305158880"/>
      <w:r/>
      <w:bookmarkStart w:id="443" w:name="_Toc226965728"/>
      <w:r/>
      <w:bookmarkStart w:id="444" w:name="_Toc151190165"/>
      <w:r/>
      <w:bookmarkStart w:id="445" w:name="_Toc226965811"/>
      <w:r/>
      <w:bookmarkStart w:id="446" w:name="_Toc305158806"/>
      <w:r/>
      <w:bookmarkStart w:id="447" w:name="_Toc150774743"/>
      <w:r/>
      <w:bookmarkStart w:id="448" w:name="_Toc264969228"/>
      <w:r/>
      <w:bookmarkStart w:id="449" w:name="_Toc127151538"/>
      <w:r/>
      <w:bookmarkStart w:id="450" w:name="_Toc226309782"/>
      <w:r/>
      <w:bookmarkStart w:id="451" w:name="_Toc151193852"/>
      <w:r/>
      <w:bookmarkStart w:id="452" w:name="_Toc150509289"/>
      <w:r/>
      <w:bookmarkStart w:id="453" w:name="_Toc1511937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4"/>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4"/>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bookmarkStart w:id="457" w:name="_Toc226965818"/>
      <w:r/>
      <w:bookmarkStart w:id="458" w:name="_Toc151193859"/>
      <w:r/>
      <w:bookmarkStart w:id="459" w:name="_Toc226965735"/>
      <w:r/>
      <w:bookmarkStart w:id="460" w:name="_Toc226337241"/>
      <w:r/>
      <w:bookmarkStart w:id="461" w:name="_Toc127151545"/>
      <w:r/>
      <w:bookmarkStart w:id="462" w:name="_Toc150480783"/>
      <w:r/>
      <w:bookmarkStart w:id="463" w:name="_Toc305158887"/>
      <w:r/>
      <w:bookmarkStart w:id="464" w:name="_Toc150774645"/>
      <w:r/>
      <w:bookmarkStart w:id="465" w:name="_Toc151193715"/>
      <w:r/>
      <w:bookmarkStart w:id="466" w:name="_Toc151193933"/>
      <w:r/>
      <w:bookmarkStart w:id="467" w:name="_Toc195842910"/>
      <w:r/>
      <w:bookmarkStart w:id="468" w:name="_Toc265228383"/>
      <w:r/>
      <w:bookmarkStart w:id="469" w:name="_Toc151190172"/>
      <w:r/>
      <w:bookmarkStart w:id="470" w:name="_Toc150774750"/>
      <w:r/>
      <w:bookmarkStart w:id="471" w:name="_Toc151193643"/>
      <w:r/>
      <w:bookmarkStart w:id="472" w:name="_Toc151193787"/>
      <w:r/>
      <w:bookmarkStart w:id="473" w:name="_Toc264969235"/>
      <w:r/>
      <w:bookmarkStart w:id="474" w:name="_Toc305158813"/>
      <w:r/>
      <w:bookmarkStart w:id="475" w:name="_Toc150509296"/>
      <w:r/>
      <w:bookmarkStart w:id="476" w:name="_Toc226309789"/>
      <w:r/>
      <w:bookmarkStart w:id="477" w:name="_Toc142311047"/>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26337243"/>
      <w:r/>
      <w:bookmarkStart w:id="479" w:name="_Toc127151547"/>
      <w:r/>
      <w:bookmarkStart w:id="480" w:name="_Toc164608816"/>
      <w:r/>
      <w:bookmarkStart w:id="481" w:name="_Toc265228385"/>
      <w:r/>
      <w:bookmarkStart w:id="482" w:name="_Toc150774647"/>
      <w:r/>
      <w:bookmarkStart w:id="483" w:name="_Toc151190174"/>
      <w:r/>
      <w:bookmarkStart w:id="484" w:name="_Toc142311049"/>
      <w:r/>
      <w:bookmarkStart w:id="485" w:name="_Toc226309791"/>
      <w:r/>
      <w:bookmarkStart w:id="486" w:name="_Toc226965737"/>
      <w:r/>
      <w:bookmarkStart w:id="487" w:name="_Toc164608661"/>
      <w:r/>
      <w:bookmarkStart w:id="488" w:name="_Toc150774752"/>
      <w:r/>
      <w:bookmarkStart w:id="489" w:name="_Toc150509298"/>
      <w:r/>
      <w:bookmarkStart w:id="490" w:name="_Toc151193935"/>
      <w:r/>
      <w:bookmarkStart w:id="491" w:name="_Toc226965820"/>
      <w:r/>
      <w:bookmarkStart w:id="492" w:name="_Toc127151748"/>
      <w:r/>
      <w:bookmarkStart w:id="493" w:name="_Toc195842912"/>
      <w:r/>
      <w:bookmarkStart w:id="494" w:name="_Toc264969237"/>
      <w:r/>
      <w:bookmarkStart w:id="495" w:name="_Toc151193717"/>
      <w:r/>
      <w:bookmarkStart w:id="496" w:name="_Toc164229242"/>
      <w:r/>
      <w:bookmarkStart w:id="497" w:name="_Toc305158815"/>
      <w:r/>
      <w:bookmarkStart w:id="498" w:name="_Toc305158889"/>
      <w:r/>
      <w:bookmarkStart w:id="499" w:name="_Toc127161461"/>
      <w:r/>
      <w:bookmarkStart w:id="500" w:name="_Toc164229388"/>
      <w:r/>
      <w:bookmarkStart w:id="501" w:name="_Toc164351641"/>
      <w:r/>
      <w:bookmarkStart w:id="502" w:name="_Toc151193789"/>
      <w:r/>
      <w:bookmarkStart w:id="503" w:name="_Toc151193861"/>
      <w:r/>
      <w:bookmarkStart w:id="504" w:name="_Toc149720840"/>
      <w:r/>
      <w:bookmarkStart w:id="505" w:name="_Toc150480785"/>
      <w:r/>
      <w:bookmarkStart w:id="506" w:name="_Toc15119364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95842914"/>
      <w:r/>
      <w:bookmarkStart w:id="510" w:name="_Toc151193791"/>
      <w:r/>
      <w:bookmarkStart w:id="511" w:name="_Toc142311051"/>
      <w:r/>
      <w:bookmarkStart w:id="512" w:name="_Toc164608818"/>
      <w:r/>
      <w:bookmarkStart w:id="513" w:name="_Toc265228387"/>
      <w:r/>
      <w:bookmarkStart w:id="514" w:name="_Toc151193937"/>
      <w:r/>
      <w:bookmarkStart w:id="515" w:name="_Toc151193647"/>
      <w:r/>
      <w:bookmarkStart w:id="516" w:name="_Toc151190176"/>
      <w:r/>
      <w:bookmarkStart w:id="517" w:name="_Ref467306425"/>
      <w:r/>
      <w:bookmarkStart w:id="518" w:name="_Toc520356176"/>
      <w:r/>
      <w:bookmarkStart w:id="519" w:name="_Ref467307090"/>
      <w:r/>
      <w:bookmarkStart w:id="520" w:name="_Toc127161463"/>
      <w:r/>
      <w:bookmarkStart w:id="521" w:name="_Toc150774649"/>
      <w:r/>
      <w:bookmarkStart w:id="522" w:name="_Toc149720842"/>
      <w:r/>
      <w:bookmarkStart w:id="523" w:name="_Toc164229390"/>
      <w:r/>
      <w:bookmarkStart w:id="524" w:name="_Toc151193719"/>
      <w:r/>
      <w:bookmarkStart w:id="525" w:name="_Toc127151549"/>
      <w:r/>
      <w:bookmarkStart w:id="526" w:name="_Toc264969239"/>
      <w:r/>
      <w:bookmarkStart w:id="527" w:name="_Toc164229244"/>
      <w:r/>
      <w:bookmarkStart w:id="528" w:name="_Toc150774754"/>
      <w:r/>
      <w:bookmarkStart w:id="529" w:name="_Toc226309793"/>
      <w:r/>
      <w:bookmarkStart w:id="530" w:name="_Toc150509300"/>
      <w:r/>
      <w:bookmarkStart w:id="531" w:name="_Toc127151750"/>
      <w:r/>
      <w:bookmarkStart w:id="532" w:name="_Toc226965822"/>
      <w:r/>
      <w:bookmarkStart w:id="533" w:name="_Toc164351643"/>
      <w:r/>
      <w:bookmarkStart w:id="534" w:name="_Toc164608663"/>
      <w:r/>
      <w:bookmarkStart w:id="535" w:name="_Toc150480787"/>
      <w:r/>
      <w:bookmarkStart w:id="536" w:name="_Toc226337245"/>
      <w:r/>
      <w:bookmarkStart w:id="537" w:name="_Toc151193863"/>
      <w:r/>
      <w:bookmarkStart w:id="538" w:name="_Toc226965739"/>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4"/>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42311052"/>
      <w:r/>
      <w:bookmarkStart w:id="542" w:name="_Toc164608664"/>
      <w:r/>
      <w:bookmarkStart w:id="543" w:name="_Toc151193720"/>
      <w:r/>
      <w:bookmarkStart w:id="544" w:name="_Toc151193938"/>
      <w:r/>
      <w:bookmarkStart w:id="545" w:name="_Toc151193792"/>
      <w:r/>
      <w:bookmarkStart w:id="546" w:name="_Toc164351644"/>
      <w:r/>
      <w:bookmarkStart w:id="547" w:name="_Toc164229245"/>
      <w:r/>
      <w:bookmarkStart w:id="548" w:name="_Toc226965740"/>
      <w:r/>
      <w:bookmarkStart w:id="549" w:name="_Ref467306978"/>
      <w:r/>
      <w:bookmarkStart w:id="550" w:name="_Toc305158818"/>
      <w:r/>
      <w:bookmarkStart w:id="551" w:name="_Toc150774650"/>
      <w:r/>
      <w:bookmarkStart w:id="552" w:name="_Toc150509301"/>
      <w:r/>
      <w:bookmarkStart w:id="553" w:name="_Toc127161464"/>
      <w:r/>
      <w:bookmarkStart w:id="554" w:name="_Toc151190177"/>
      <w:r/>
      <w:bookmarkStart w:id="555" w:name="_Toc151193864"/>
      <w:r/>
      <w:bookmarkStart w:id="556" w:name="_Toc164608819"/>
      <w:r/>
      <w:bookmarkStart w:id="557" w:name="_Toc226337246"/>
      <w:r/>
      <w:bookmarkStart w:id="558" w:name="_Ref467307062"/>
      <w:r/>
      <w:bookmarkStart w:id="559" w:name="_Toc150774755"/>
      <w:r/>
      <w:bookmarkStart w:id="560" w:name="_Toc151193648"/>
      <w:r/>
      <w:bookmarkStart w:id="561" w:name="_Toc226965823"/>
      <w:r/>
      <w:bookmarkStart w:id="562" w:name="_Toc195842915"/>
      <w:r/>
      <w:bookmarkStart w:id="563" w:name="_Ref467307204"/>
      <w:r/>
      <w:bookmarkStart w:id="564" w:name="_Toc520356175"/>
      <w:r/>
      <w:bookmarkStart w:id="565" w:name="_Toc127151751"/>
      <w:r/>
      <w:bookmarkStart w:id="566" w:name="_Toc264969240"/>
      <w:r/>
      <w:bookmarkStart w:id="567" w:name="_Toc127151550"/>
      <w:r/>
      <w:bookmarkStart w:id="568" w:name="_Toc164229391"/>
      <w:r/>
      <w:bookmarkStart w:id="569" w:name="_Ref467306377"/>
      <w:r/>
      <w:bookmarkStart w:id="570" w:name="_Toc226309794"/>
      <w:r/>
      <w:bookmarkStart w:id="571" w:name="_Toc150480788"/>
      <w:r/>
      <w:bookmarkStart w:id="572" w:name="_Toc305158892"/>
      <w:r/>
      <w:bookmarkStart w:id="573" w:name="_Toc265228388"/>
      <w:r/>
      <w:bookmarkStart w:id="574" w:name="_Toc149720843"/>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4"/>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89"/>
          <w:rFonts w:hint="eastAsia" w:ascii="宋体" w:hAnsi="宋体" w:cs="宋体"/>
        </w:rPr>
        <w:t xml:space="preserve">http://gk</w:t>
      </w:r>
      <w:bookmarkStart w:id="575" w:name="_Hlt100654014"/>
      <w:r>
        <w:rPr>
          <w:rStyle w:val="1089"/>
          <w:rFonts w:hint="eastAsia" w:ascii="宋体" w:hAnsi="宋体" w:cs="宋体"/>
        </w:rPr>
        <w:t xml:space="preserve">s</w:t>
      </w:r>
      <w:bookmarkEnd w:id="575"/>
      <w:r>
        <w:rPr>
          <w:rStyle w:val="1089"/>
          <w:rFonts w:hint="eastAsia" w:ascii="宋体" w:hAnsi="宋体" w:cs="宋体"/>
        </w:rPr>
        <w:t xml:space="preserve">.m</w:t>
      </w:r>
      <w:bookmarkStart w:id="576" w:name="_Hlt100653993"/>
      <w:r/>
      <w:bookmarkStart w:id="577" w:name="_Hlt100653994"/>
      <w:r>
        <w:rPr>
          <w:rStyle w:val="1089"/>
          <w:rFonts w:hint="eastAsia" w:ascii="宋体" w:hAnsi="宋体" w:cs="宋体"/>
        </w:rPr>
        <w:t xml:space="preserve">o</w:t>
      </w:r>
      <w:bookmarkEnd w:id="576"/>
      <w:r/>
      <w:bookmarkEnd w:id="577"/>
      <w:r/>
      <w:bookmarkStart w:id="578" w:name="_Hlt101169156"/>
      <w:r>
        <w:rPr>
          <w:rStyle w:val="1089"/>
          <w:rFonts w:hint="eastAsia" w:ascii="宋体" w:hAnsi="宋体" w:cs="宋体"/>
        </w:rPr>
        <w:t xml:space="preserve">f</w:t>
      </w:r>
      <w:bookmarkEnd w:id="578"/>
      <w:r>
        <w:rPr>
          <w:rStyle w:val="1089"/>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4"/>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226965827"/>
      <w:r/>
      <w:bookmarkStart w:id="580" w:name="_Toc265228392"/>
      <w:r/>
      <w:bookmarkStart w:id="581" w:name="_Toc353825544"/>
      <w:r/>
      <w:bookmarkStart w:id="582" w:name="_Toc150480792"/>
      <w:r/>
      <w:bookmarkStart w:id="583" w:name="_Toc226337250"/>
      <w:r/>
      <w:bookmarkStart w:id="584" w:name="_Toc150774759"/>
      <w:r/>
      <w:bookmarkStart w:id="585" w:name="_Toc127151554"/>
      <w:r/>
      <w:bookmarkStart w:id="586" w:name="_Toc353873664"/>
      <w:r/>
      <w:bookmarkStart w:id="587" w:name="_Toc264969244"/>
      <w:r/>
      <w:bookmarkStart w:id="588" w:name="_Toc353873934"/>
      <w:r/>
      <w:bookmarkStart w:id="589" w:name="_Toc305158822"/>
      <w:r/>
      <w:bookmarkStart w:id="590" w:name="_Toc305158896"/>
      <w:r/>
      <w:bookmarkStart w:id="591" w:name="_Toc142311056"/>
      <w:r>
        <w:rPr>
          <w:rFonts w:hint="eastAsia" w:ascii="宋体" w:hAnsi="宋体" w:cs="宋体"/>
          <w:sz w:val="24"/>
        </w:rPr>
      </w:r>
      <w:r/>
    </w:p>
    <w:p>
      <w:pPr>
        <w:pStyle w:val="1014"/>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6"/>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4"/>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4"/>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50774746"/>
      <w:r/>
      <w:bookmarkStart w:id="595" w:name="_Toc150774641"/>
      <w:r/>
      <w:bookmarkStart w:id="596" w:name="_Toc265228379"/>
      <w:r/>
      <w:bookmarkStart w:id="597" w:name="_Toc151193855"/>
      <w:r/>
      <w:bookmarkStart w:id="598" w:name="_Toc127151742"/>
      <w:r/>
      <w:bookmarkStart w:id="599" w:name="_Toc226309785"/>
      <w:r/>
      <w:bookmarkStart w:id="600" w:name="_Toc264969231"/>
      <w:r/>
      <w:bookmarkStart w:id="601" w:name="_Toc164229382"/>
      <w:r/>
      <w:bookmarkStart w:id="602" w:name="_Toc195842906"/>
      <w:r/>
      <w:bookmarkStart w:id="603" w:name="_Toc150509292"/>
      <w:r/>
      <w:bookmarkStart w:id="604" w:name="_Toc305158809"/>
      <w:r/>
      <w:bookmarkStart w:id="605" w:name="_Toc149720834"/>
      <w:r/>
      <w:bookmarkStart w:id="606" w:name="_Toc150480779"/>
      <w:r/>
      <w:bookmarkStart w:id="607" w:name="_Toc164229236"/>
      <w:r/>
      <w:bookmarkStart w:id="608" w:name="_Toc226965731"/>
      <w:r/>
      <w:bookmarkStart w:id="609" w:name="_Toc151193639"/>
      <w:r/>
      <w:bookmarkStart w:id="610" w:name="_Toc226337237"/>
      <w:r/>
      <w:bookmarkStart w:id="611" w:name="_Toc164351635"/>
      <w:r/>
      <w:bookmarkStart w:id="612" w:name="_Toc142311043"/>
      <w:r/>
      <w:bookmarkStart w:id="613" w:name="_Toc151190168"/>
      <w:r/>
      <w:bookmarkStart w:id="614" w:name="_Toc164608655"/>
      <w:r/>
      <w:bookmarkStart w:id="615" w:name="_Toc127151541"/>
      <w:r/>
      <w:bookmarkStart w:id="616" w:name="_Toc164608810"/>
      <w:r/>
      <w:bookmarkStart w:id="617" w:name="_Toc127161455"/>
      <w:r/>
      <w:bookmarkStart w:id="618" w:name="_Toc151193783"/>
      <w:r/>
      <w:bookmarkStart w:id="619" w:name="_Toc226965814"/>
      <w:r/>
      <w:bookmarkStart w:id="620" w:name="_Toc151193929"/>
      <w:r/>
      <w:bookmarkStart w:id="621" w:name="_Toc305158883"/>
      <w:r/>
      <w:bookmarkStart w:id="622" w:name="_Toc151193711"/>
      <w:r/>
      <w:bookmarkStart w:id="623" w:name="_Toc353873665"/>
      <w:r/>
      <w:bookmarkStart w:id="624" w:name="_Toc305158897"/>
      <w:r/>
      <w:bookmarkStart w:id="625" w:name="_Toc305158823"/>
      <w:r/>
      <w:bookmarkStart w:id="626" w:name="_Toc353873941"/>
      <w:r/>
      <w:bookmarkStart w:id="627" w:name="_Toc353825551"/>
      <w:r/>
      <w:bookmarkStart w:id="628" w:name="_Toc142311057"/>
      <w:r/>
      <w:bookmarkStart w:id="629" w:name="_Toc150480793"/>
      <w:r/>
      <w:bookmarkStart w:id="630" w:name="_Toc264969245"/>
      <w:r/>
      <w:bookmarkStart w:id="631" w:name="_Toc353825545"/>
      <w:r/>
      <w:bookmarkStart w:id="632" w:name="_Toc353873935"/>
      <w:r/>
      <w:bookmarkStart w:id="633" w:name="_Toc150774760"/>
      <w:r/>
      <w:bookmarkStart w:id="634" w:name="_Toc195842920"/>
      <w:r/>
      <w:bookmarkStart w:id="635" w:name="_Toc127151555"/>
      <w:r/>
      <w:bookmarkStart w:id="636" w:name="_Toc265228393"/>
      <w:r/>
      <w:bookmarkStart w:id="637" w:name="_Toc226337251"/>
      <w:r/>
      <w:bookmarkStart w:id="638" w:name="_Toc226965828"/>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4"/>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4"/>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4"/>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014"/>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014"/>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014"/>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4"/>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4"/>
        <w:numPr>
          <w:ilvl w:val="1"/>
          <w:numId w:val="10"/>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4"/>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ascii="宋体" w:hAnsi="宋体" w:cs="宋体"/>
                <w:color w:val="000000"/>
                <w:sz w:val="24"/>
              </w:rPr>
            </w:pPr>
            <w:r>
              <w:rPr>
                <w:rFonts w:hint="eastAsia" w:ascii="宋体" w:hAnsi="宋体" w:cs="宋体"/>
                <w:color w:val="000000"/>
                <w:sz w:val="24"/>
              </w:rPr>
              <w:t xml:space="preserve">不存在《政府采购货物和服务招标</w:t>
            </w:r>
            <w:r>
              <w:rPr>
                <w:rFonts w:hint="eastAsia" w:ascii="宋体" w:hAnsi="宋体" w:cs="宋体"/>
                <w:color w:val="000000"/>
                <w:sz w:val="24"/>
                <w:lang w:val="en-US" w:eastAsia="zh-CN"/>
              </w:rPr>
              <w:t xml:space="preserve">投标</w:t>
            </w:r>
            <w:r>
              <w:rPr>
                <w:rFonts w:hint="eastAsia" w:ascii="宋体" w:hAnsi="宋体" w:cs="宋体"/>
                <w:color w:val="000000"/>
                <w:sz w:val="24"/>
              </w:rPr>
              <w:t xml:space="preserve">管理办法》视为供应商串通响应的情形：</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9"/>
            <w:r/>
            <w:bookmarkStart w:id="641" w:name="OLE_LINK8"/>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（四）不同供应商的响应文件异常一致或者响应报价呈规律性差异；</w:t>
            </w:r>
            <w:r>
              <w:rPr>
                <w:rFonts w:hint="eastAsia"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（五）不同供应商的响应文件相互混装；</w:t>
            </w:r>
            <w:r>
              <w:rPr>
                <w:rFonts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4"/>
        <w:numPr>
          <w:ilvl w:val="0"/>
          <w:numId w:val="10"/>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4"/>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4"/>
        <w:numPr>
          <w:ilvl w:val="1"/>
          <w:numId w:val="10"/>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sz w:val="24"/>
        </w:rPr>
        <w:t xml:space="preserve">已提交响应文件的供应商，在提交最终报价之前，可以根据磋商情况退</w:t>
      </w:r>
      <w:r>
        <w:rPr>
          <w:rFonts w:hint="eastAsia" w:ascii="宋体" w:hAnsi="宋体" w:cs="宋体"/>
          <w:color w:val="000000"/>
          <w:sz w:val="24"/>
          <w:highlight w:val="none"/>
        </w:rPr>
        <w:t xml:space="preserve">出磋商。</w:t>
      </w:r>
      <w:r>
        <w:rPr>
          <w:rFonts w:hint="eastAsia" w:ascii="宋体" w:hAnsi="宋体" w:cs="宋体"/>
          <w:color w:val="000000"/>
          <w:sz w:val="24"/>
          <w:highlight w:val="none"/>
        </w:rPr>
      </w:r>
      <w:r/>
    </w:p>
    <w:p>
      <w:pPr>
        <w:pStyle w:val="1014"/>
        <w:numPr>
          <w:ilvl w:val="1"/>
          <w:numId w:val="10"/>
        </w:numPr>
        <w:ind w:left="0" w:firstLine="420"/>
        <w:spacing w:line="360" w:lineRule="auto"/>
        <w:tabs>
          <w:tab w:val="left" w:pos="0" w:leader="none"/>
          <w:tab w:val="left" w:pos="420" w:leader="none"/>
        </w:tabs>
        <w:rPr>
          <w:rFonts w:ascii="宋体" w:hAnsi="宋体" w:cs="宋体"/>
          <w:color w:val="000000"/>
          <w:sz w:val="24"/>
          <w:highlight w:val="none"/>
        </w:rPr>
      </w:pPr>
      <w:r>
        <w:rPr>
          <w:rFonts w:hint="eastAsia" w:ascii="宋体" w:hAnsi="宋体" w:cs="宋体"/>
          <w:color w:val="000000"/>
          <w:sz w:val="24"/>
          <w:highlight w:val="none"/>
        </w:rPr>
        <w:t xml:space="preserve">评审过程中出现下列情形之一的，磋商小组应当启动异常低价响应审查程序：</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响应报价低于全部通过符合性审查供应商响应报价平均值50%的，即响应报价＜全部通过符合性审查供应商响应报价平均值×50%；</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响应报价低于通过符合性审查的次低报价供应商响应报价50%的，即响应报价＜通过符合性审查的次低报价供应商响应报价×50%；</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响应报价低于采购项目最高限价45%的，即响应报价＜采购项目最高限价×45%；</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磋商小组基于专业判断，认为供应商报价过低，有可能影响产品质量或者不能诚信履约的其他情形。</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最终报价的算术修正及政策调整</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color w:val="000000"/>
          <w:sz w:val="24"/>
          <w:highlight w:val="none"/>
        </w:rPr>
        <w:t xml:space="preserve">最终报价须包含竞争性磋商文件全部内容，如最后分项报价表有缺漏视为已含在其他各项报价</w:t>
      </w:r>
      <w:r>
        <w:rPr>
          <w:rFonts w:hint="eastAsia" w:ascii="宋体" w:hAnsi="宋体" w:cs="宋体"/>
          <w:sz w:val="24"/>
        </w:rPr>
        <w:t xml:space="preserve">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最终报价出现前后不一致的，按照下列规定修正：</w:t>
      </w:r>
      <w:r>
        <w:rPr>
          <w:rFonts w:hint="eastAsia" w:ascii="宋体" w:hAnsi="宋体" w:cs="宋体"/>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rPr>
          <w:rFonts w:hint="eastAsia" w:ascii="宋体" w:hAnsi="宋体" w:cs="宋体"/>
          <w:sz w:val="24"/>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sz w:val="24"/>
        </w:rPr>
        <w:t xml:space="preserve">同时出现两种以上不一致的，按照前款规定的顺序修正。修正后的报价经</w:t>
      </w:r>
      <w:r>
        <w:rPr>
          <w:rFonts w:hint="eastAsia" w:ascii="宋体" w:hAnsi="宋体" w:cs="宋体"/>
          <w:color w:val="000000"/>
          <w:sz w:val="24"/>
        </w:rPr>
        <w:t xml:space="preserve">供应商书面确认后产生约束力，供应商不确认的，</w:t>
      </w:r>
      <w:r>
        <w:rPr>
          <w:rFonts w:hint="eastAsia" w:ascii="宋体" w:hAnsi="宋体" w:cs="宋体"/>
          <w:b/>
          <w:color w:val="000000"/>
          <w:sz w:val="24"/>
        </w:rPr>
        <w:t xml:space="preserve">其响应无效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落实政府采购政策的价格调整：只有符合第二章《供应商须知》4.2、4.9条规定情形的，可以享受政府采购价格扶持政策，用扣除后的价格参加评审；否则，评审时价格不予扣除。</w:t>
      </w:r>
      <w:r>
        <w:rPr>
          <w:rFonts w:hint="eastAsia" w:ascii="宋体" w:hAnsi="宋体" w:cs="宋体"/>
          <w:color w:val="000000"/>
          <w:sz w:val="24"/>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color w:val="000000"/>
          <w:sz w:val="24"/>
        </w:rPr>
        <w:t xml:space="preserve">小微</w:t>
      </w:r>
      <w:r>
        <w:rPr>
          <w:rFonts w:hint="eastAsia" w:ascii="宋体" w:hAnsi="宋体" w:cs="宋体"/>
          <w:b/>
          <w:sz w:val="24"/>
        </w:rPr>
        <w:t xml:space="preserve">企业</w:t>
      </w:r>
      <w:r>
        <w:rPr>
          <w:rFonts w:hint="eastAsia" w:ascii="宋体" w:hAnsi="宋体" w:cs="宋体"/>
          <w:b/>
          <w:bCs/>
          <w:sz w:val="24"/>
        </w:rPr>
        <w:t xml:space="preserve">价格扣除</w:t>
      </w:r>
      <w:r>
        <w:rPr>
          <w:rFonts w:hint="eastAsia" w:ascii="宋体" w:hAnsi="宋体" w:cs="宋体"/>
          <w:b/>
          <w:bCs/>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sz w:val="24"/>
        </w:rPr>
      </w:pPr>
      <w:r>
        <w:rPr>
          <w:rFonts w:hint="eastAsia" w:ascii="宋体" w:hAnsi="宋体"/>
          <w:b/>
          <w:bCs/>
          <w:color w:val="000000"/>
          <w:sz w:val="24"/>
        </w:rPr>
        <w:t xml:space="preserve"> </w:t>
      </w:r>
      <w:bookmarkStart w:id="644" w:name="_Hlk231817212"/>
      <w:r>
        <w:rPr>
          <w:rFonts w:hint="eastAsia" w:ascii="宋体" w:hAnsi="宋体"/>
          <w:b/>
          <w:bCs/>
          <w:color w:val="000000"/>
          <w:sz w:val="24"/>
        </w:rPr>
        <w:t xml:space="preserve">采购本国产品的支持政策</w:t>
      </w:r>
      <w:bookmarkEnd w:id="644"/>
      <w:r>
        <w:rPr>
          <w:rFonts w:hint="eastAsia" w:ascii="宋体" w:hAnsi="宋体"/>
          <w:b/>
          <w:bCs/>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olor w:val="000000"/>
          <w:sz w:val="24"/>
          <w:lang w:val="en-US" w:eastAsia="zh-CN"/>
        </w:rPr>
        <w:t xml:space="preserve">六</w:t>
      </w:r>
      <w:r>
        <w:rPr>
          <w:rFonts w:hint="eastAsia" w:ascii="宋体" w:hAnsi="宋体"/>
          <w:color w:val="000000"/>
          <w:sz w:val="24"/>
        </w:rPr>
        <w:t xml:space="preserve">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供应商需按照</w:t>
      </w:r>
      <w:r>
        <w:rPr>
          <w:rFonts w:hint="eastAsia" w:ascii="宋体" w:hAnsi="宋体"/>
          <w:color w:val="000000"/>
          <w:sz w:val="24"/>
          <w:lang w:eastAsia="zh-CN"/>
        </w:rPr>
        <w:t xml:space="preserve">磋商文件</w:t>
      </w:r>
      <w:r>
        <w:rPr>
          <w:rFonts w:hint="eastAsia" w:ascii="宋体" w:hAnsi="宋体"/>
          <w:color w:val="000000"/>
          <w:sz w:val="24"/>
        </w:rPr>
        <w:t xml:space="preserve">的要求提供《关于符合本国产品标准的声明函》（以下简称《声明函》），如不提供将不享受本国产品价格评审优惠。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lang w:val="en-US" w:eastAsia="zh-CN"/>
        </w:rPr>
        <w:t xml:space="preserve">评审</w:t>
      </w:r>
      <w:r>
        <w:rPr>
          <w:rFonts w:hint="eastAsia" w:ascii="宋体" w:hAnsi="宋体"/>
          <w:color w:val="000000"/>
          <w:sz w:val="24"/>
        </w:rPr>
        <w:t xml:space="preserve">过程中，如发现供应商在《声明函》内容含义不明确、同类事项与投标（响应）文件表述不一致或者有明显文字错误等情况的，</w:t>
      </w:r>
      <w:r>
        <w:rPr>
          <w:rFonts w:hint="eastAsia" w:ascii="宋体" w:hAnsi="宋体"/>
          <w:color w:val="000000"/>
          <w:sz w:val="24"/>
          <w:lang w:eastAsia="zh-CN"/>
        </w:rPr>
        <w:t xml:space="preserve">磋商小组</w:t>
      </w:r>
      <w:r>
        <w:rPr>
          <w:rFonts w:hint="eastAsia" w:ascii="宋体" w:hAnsi="宋体"/>
          <w:color w:val="000000"/>
          <w:sz w:val="24"/>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olor w:val="000000"/>
          <w:sz w:val="24"/>
          <w:lang w:eastAsia="zh-CN"/>
        </w:rPr>
        <w:t xml:space="preserve">磋商文件</w:t>
      </w:r>
      <w:r>
        <w:rPr>
          <w:rFonts w:hint="eastAsia" w:ascii="宋体" w:hAnsi="宋体"/>
          <w:color w:val="000000"/>
          <w:sz w:val="24"/>
        </w:rPr>
        <w:t xml:space="preserve">规定的，供应商提供的相关产品视为不符合本国产品标准。</w:t>
      </w:r>
      <w:r>
        <w:rPr>
          <w:rFonts w:hint="eastAsia" w:ascii="宋体" w:hAnsi="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其他为落实政府采购政策实施的优先采购：</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sz w:val="24"/>
        </w:rPr>
        <w:outlineLvl w:val="1"/>
      </w:pPr>
      <w:r>
        <w:rPr>
          <w:rFonts w:hint="eastAsia" w:ascii="宋体" w:hAnsi="宋体" w:cs="宋体"/>
          <w:b/>
          <w:color w:val="000000"/>
          <w:sz w:val="24"/>
        </w:rPr>
        <w:t xml:space="preserve">磋商环节及提交最终报价后如出现以下情况的</w:t>
      </w:r>
      <w:r>
        <w:rPr>
          <w:rFonts w:hint="eastAsia" w:ascii="宋体" w:hAnsi="宋体" w:cs="宋体"/>
          <w:color w:val="000000"/>
          <w:sz w:val="24"/>
        </w:rPr>
        <w:t xml:space="preserve">，供应商的</w:t>
      </w:r>
      <w:r>
        <w:rPr>
          <w:rFonts w:hint="eastAsia" w:ascii="宋体" w:hAnsi="宋体" w:cs="宋体"/>
          <w:b/>
          <w:color w:val="000000"/>
          <w:sz w:val="24"/>
        </w:rPr>
        <w:t xml:space="preserve">响应文件无效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供应商对实质性变动不予确认的；</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color w:val="000000"/>
          <w:sz w:val="24"/>
        </w:rPr>
        <w:t xml:space="preserve">不满足磋商文件★号条款或磋商文件技术指标超出磋商文件《采购需求》中主要技术参数允许偏差的最</w:t>
      </w:r>
      <w:r>
        <w:rPr>
          <w:rFonts w:hint="eastAsia" w:ascii="宋体" w:hAnsi="宋体" w:cs="宋体"/>
          <w:sz w:val="24"/>
        </w:rPr>
        <w:t xml:space="preserve">大范围的（如有）；</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5" w:name="_Toc151193788"/>
      <w:r/>
      <w:bookmarkStart w:id="646" w:name="_Toc151190173"/>
      <w:r/>
      <w:bookmarkStart w:id="647" w:name="_Toc195842911"/>
      <w:r/>
      <w:bookmarkStart w:id="648" w:name="_Toc164229241"/>
      <w:r/>
      <w:bookmarkStart w:id="649" w:name="_Toc164351640"/>
      <w:r/>
      <w:bookmarkStart w:id="650" w:name="_Toc151193934"/>
      <w:r/>
      <w:bookmarkStart w:id="651" w:name="_Toc150774751"/>
      <w:r/>
      <w:bookmarkStart w:id="652" w:name="_Toc305158814"/>
      <w:r/>
      <w:bookmarkStart w:id="653" w:name="_Toc305158888"/>
      <w:r/>
      <w:bookmarkStart w:id="654" w:name="_Toc127151747"/>
      <w:r/>
      <w:bookmarkStart w:id="655" w:name="_Toc164229387"/>
      <w:r/>
      <w:bookmarkStart w:id="656" w:name="_Toc226337242"/>
      <w:r/>
      <w:bookmarkStart w:id="657" w:name="_Toc142311048"/>
      <w:r/>
      <w:bookmarkStart w:id="658" w:name="_Toc150774646"/>
      <w:r/>
      <w:bookmarkStart w:id="659" w:name="_Toc151193644"/>
      <w:r/>
      <w:bookmarkStart w:id="660" w:name="_Toc226965736"/>
      <w:r/>
      <w:bookmarkStart w:id="661" w:name="_Toc151193716"/>
      <w:r/>
      <w:bookmarkStart w:id="662" w:name="_Ref467307010"/>
      <w:r/>
      <w:bookmarkStart w:id="663" w:name="_Toc150480784"/>
      <w:r/>
      <w:bookmarkStart w:id="664" w:name="_Toc520356170"/>
      <w:r/>
      <w:bookmarkStart w:id="665" w:name="_Toc127161460"/>
      <w:r/>
      <w:bookmarkStart w:id="666" w:name="_Toc226309790"/>
      <w:r/>
      <w:bookmarkStart w:id="667" w:name="_Toc164608660"/>
      <w:r/>
      <w:bookmarkStart w:id="668" w:name="_Toc265228384"/>
      <w:r/>
      <w:bookmarkStart w:id="669" w:name="_Toc151193860"/>
      <w:r/>
      <w:bookmarkStart w:id="670" w:name="_Toc150509297"/>
      <w:r/>
      <w:bookmarkStart w:id="671" w:name="_Toc127151546"/>
      <w:r/>
      <w:bookmarkStart w:id="672" w:name="_Toc264969236"/>
      <w:r/>
      <w:bookmarkStart w:id="673" w:name="_Toc226965819"/>
      <w:r/>
      <w:bookmarkStart w:id="674" w:name="_Toc164608815"/>
      <w:r/>
      <w:bookmarkStart w:id="675" w:name="_Toc149720839"/>
      <w:r>
        <w:rPr>
          <w:rFonts w:hint="eastAsia" w:ascii="宋体" w:hAnsi="宋体" w:cs="宋体"/>
          <w:b/>
          <w:sz w:val="24"/>
        </w:rPr>
        <w:t xml:space="preserve">成交候选人名单</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4"/>
        <w:numPr>
          <w:ilvl w:val="1"/>
          <w:numId w:val="10"/>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6"/>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14"/>
        <w:spacing w:line="360" w:lineRule="auto"/>
        <w:tabs>
          <w:tab w:val="left" w:pos="360" w:leader="none"/>
          <w:tab w:val="left" w:pos="900" w:leader="none"/>
          <w:tab w:val="left" w:pos="1080" w:leader="none"/>
          <w:tab w:val="left" w:pos="2014" w:leader="none"/>
        </w:tabs>
        <w:rPr>
          <w:sz w:val="24"/>
        </w:rPr>
      </w:pPr>
      <w:r>
        <w:rPr>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54"/>
        <w:gridCol w:w="614"/>
        <w:gridCol w:w="4554"/>
        <w:gridCol w:w="2161"/>
      </w:tblGrid>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b/>
                <w:sz w:val="24"/>
                <w:szCs w:val="24"/>
              </w:rPr>
            </w:pPr>
            <w:r>
              <w:rPr>
                <w:rFonts w:ascii="宋体" w:hAnsi="宋体"/>
                <w:b/>
                <w:sz w:val="24"/>
                <w:szCs w:val="24"/>
              </w:rPr>
              <w:t xml:space="preserve">序号</w:t>
            </w:r>
            <w:r>
              <w:rPr>
                <w:rFonts w:ascii="宋体" w:hAnsi="宋体"/>
                <w:b/>
                <w:sz w:val="24"/>
                <w:szCs w:val="24"/>
              </w:rPr>
            </w:r>
            <w:r/>
          </w:p>
        </w:tc>
        <w:tc>
          <w:tcPr>
            <w:tcW w:w="675"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b/>
                <w:sz w:val="24"/>
                <w:szCs w:val="24"/>
              </w:rPr>
            </w:pPr>
            <w:r>
              <w:rPr>
                <w:rFonts w:ascii="宋体" w:hAnsi="宋体"/>
                <w:b/>
                <w:sz w:val="24"/>
                <w:szCs w:val="24"/>
              </w:rPr>
              <w:t xml:space="preserve">评分因素</w:t>
            </w:r>
            <w:r>
              <w:rPr>
                <w:rFonts w:ascii="宋体" w:hAnsi="宋体"/>
                <w:b/>
                <w:sz w:val="24"/>
                <w:szCs w:val="24"/>
              </w:rPr>
            </w:r>
            <w:r/>
          </w:p>
        </w:tc>
        <w:tc>
          <w:tcPr>
            <w:tcW w:w="330"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b/>
                <w:sz w:val="24"/>
                <w:szCs w:val="24"/>
              </w:rPr>
            </w:pPr>
            <w:r>
              <w:rPr>
                <w:rFonts w:ascii="宋体" w:hAnsi="宋体"/>
                <w:b/>
                <w:sz w:val="24"/>
                <w:szCs w:val="24"/>
              </w:rPr>
              <w:t xml:space="preserve">分值</w:t>
            </w:r>
            <w:r>
              <w:rPr>
                <w:rFonts w:ascii="宋体" w:hAnsi="宋体"/>
                <w:b/>
                <w:sz w:val="24"/>
                <w:szCs w:val="24"/>
              </w:rPr>
            </w:r>
            <w:r/>
          </w:p>
        </w:tc>
        <w:tc>
          <w:tcPr>
            <w:tcW w:w="2453"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b/>
                <w:sz w:val="24"/>
                <w:szCs w:val="24"/>
              </w:rPr>
            </w:pPr>
            <w:r>
              <w:rPr>
                <w:rFonts w:ascii="宋体" w:hAnsi="宋体"/>
                <w:b/>
                <w:sz w:val="24"/>
                <w:szCs w:val="24"/>
              </w:rPr>
              <w:t xml:space="preserve">评分标准</w:t>
            </w:r>
            <w:r>
              <w:rPr>
                <w:rFonts w:ascii="宋体" w:hAnsi="宋体"/>
                <w:b/>
                <w:sz w:val="24"/>
                <w:szCs w:val="24"/>
              </w:rPr>
            </w:r>
            <w:r/>
          </w:p>
        </w:tc>
        <w:tc>
          <w:tcPr>
            <w:tcW w:w="1164" w:type="dxa"/>
            <w:vAlign w:val="center"/>
            <w:textDirection w:val="lrTb"/>
            <w:noWrap w:val="false"/>
          </w:tcPr>
          <w:p>
            <w:pPr>
              <w:pStyle w:val="1258"/>
              <w:ind w:left="0"/>
              <w:keepLines w:val="0"/>
              <w:keepNext w:val="0"/>
              <w:pageBreakBefore w:val="0"/>
              <w:spacing w:before="0" w:after="0" w:line="400" w:lineRule="exact"/>
              <w:widowControl w:val="off"/>
              <w:rPr>
                <w:rFonts w:ascii="宋体" w:hAnsi="宋体" w:eastAsia="宋体"/>
                <w:sz w:val="24"/>
                <w:szCs w:val="24"/>
              </w:rPr>
            </w:pPr>
            <w:r>
              <w:rPr>
                <w:rFonts w:ascii="宋体" w:hAnsi="宋体" w:eastAsia="宋体"/>
                <w:sz w:val="24"/>
                <w:szCs w:val="24"/>
              </w:rPr>
              <w:t xml:space="preserve">说明</w:t>
            </w:r>
            <w:r>
              <w:rPr>
                <w:rFonts w:ascii="宋体" w:hAnsi="宋体" w:eastAsia="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b/>
                <w:sz w:val="24"/>
                <w:szCs w:val="24"/>
              </w:rPr>
            </w:pPr>
            <w:r>
              <w:rPr>
                <w:rFonts w:hint="eastAsia" w:ascii="宋体" w:hAnsi="宋体"/>
                <w:b/>
                <w:sz w:val="24"/>
                <w:szCs w:val="24"/>
              </w:rPr>
              <w:t xml:space="preserve">1</w:t>
            </w:r>
            <w:r>
              <w:rPr>
                <w:rFonts w:ascii="宋体" w:hAnsi="宋体"/>
                <w:b/>
                <w:sz w:val="24"/>
                <w:szCs w:val="24"/>
              </w:rPr>
            </w:r>
            <w:r/>
          </w:p>
        </w:tc>
        <w:tc>
          <w:tcPr>
            <w:tcW w:w="675"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价格分</w:t>
            </w:r>
            <w:r>
              <w:rPr>
                <w:rFonts w:ascii="宋体" w:hAnsi="宋体"/>
                <w:sz w:val="24"/>
                <w:szCs w:val="24"/>
              </w:rPr>
            </w:r>
            <w:r/>
          </w:p>
        </w:tc>
        <w:tc>
          <w:tcPr>
            <w:tcW w:w="330"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20</w:t>
            </w:r>
            <w:r>
              <w:rPr>
                <w:rFonts w:ascii="宋体" w:hAnsi="宋体" w:eastAsia="宋体"/>
                <w:sz w:val="24"/>
                <w:szCs w:val="24"/>
                <w:lang w:val="en-US" w:eastAsia="zh-CN"/>
              </w:rPr>
            </w:r>
            <w:r/>
          </w:p>
        </w:tc>
        <w:tc>
          <w:tcPr>
            <w:tcW w:w="2453"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满足磋商文件要求且最终报价最低的报价为评标基准价，其价格分为满分。其他供应商的价格分统一按照下列公式计算：</w:t>
            </w:r>
            <w:r>
              <w:rPr>
                <w:rFonts w:hint="eastAsia" w:ascii="宋体" w:hAnsi="宋体" w:eastAsia="宋体" w:cs="宋体"/>
                <w:sz w:val="24"/>
                <w:szCs w:val="24"/>
              </w:rPr>
            </w:r>
            <w:r/>
          </w:p>
          <w:p>
            <w:pPr>
              <w:pStyle w:val="101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价格分得分＝（评标基准价/最终报价）×分值。</w:t>
            </w:r>
            <w:r>
              <w:rPr>
                <w:rFonts w:hint="eastAsia" w:ascii="宋体" w:hAnsi="宋体" w:eastAsia="宋体" w:cs="宋体"/>
                <w:sz w:val="24"/>
                <w:szCs w:val="24"/>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此处最终报价指经过报价修正，及</w:t>
            </w:r>
            <w:r>
              <w:rPr>
                <w:rFonts w:ascii="宋体" w:hAnsi="宋体"/>
                <w:sz w:val="24"/>
                <w:szCs w:val="24"/>
              </w:rPr>
              <w:t xml:space="preserve">因落实政府采购政策进行价格调整</w:t>
            </w:r>
            <w:r>
              <w:rPr>
                <w:rFonts w:hint="eastAsia" w:ascii="宋体" w:hAnsi="宋体"/>
                <w:sz w:val="24"/>
                <w:szCs w:val="24"/>
              </w:rPr>
              <w:t xml:space="preserve">后</w:t>
            </w:r>
            <w:r>
              <w:rPr>
                <w:rFonts w:ascii="宋体" w:hAnsi="宋体"/>
                <w:sz w:val="24"/>
                <w:szCs w:val="24"/>
              </w:rPr>
              <w:t xml:space="preserve">的</w:t>
            </w:r>
            <w:r>
              <w:rPr>
                <w:rFonts w:hint="eastAsia" w:ascii="宋体" w:hAnsi="宋体"/>
                <w:sz w:val="24"/>
                <w:szCs w:val="24"/>
              </w:rPr>
              <w:t xml:space="preserve">最终报价</w:t>
            </w:r>
            <w:r>
              <w:rPr>
                <w:rFonts w:ascii="宋体" w:hAnsi="宋体"/>
                <w:sz w:val="24"/>
                <w:szCs w:val="24"/>
              </w:rPr>
              <w:t xml:space="preserve">，详见第</w:t>
            </w:r>
            <w:r>
              <w:rPr>
                <w:rFonts w:hint="eastAsia" w:ascii="宋体" w:hAnsi="宋体"/>
                <w:sz w:val="24"/>
                <w:szCs w:val="24"/>
              </w:rPr>
              <w:t xml:space="preserve">三</w:t>
            </w:r>
            <w:r>
              <w:rPr>
                <w:rFonts w:ascii="宋体" w:hAnsi="宋体"/>
                <w:sz w:val="24"/>
                <w:szCs w:val="24"/>
              </w:rPr>
              <w:t xml:space="preserve">章《</w:t>
            </w:r>
            <w:r>
              <w:rPr>
                <w:rFonts w:hint="eastAsia" w:ascii="宋体" w:hAnsi="宋体"/>
                <w:sz w:val="24"/>
                <w:szCs w:val="24"/>
              </w:rPr>
              <w:t xml:space="preserve">评审方法和评审标准</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w:t>
            </w: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675"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主观分</w:t>
            </w:r>
            <w:r>
              <w:rPr>
                <w:rFonts w:ascii="宋体" w:hAnsi="宋体"/>
                <w:sz w:val="24"/>
                <w:szCs w:val="24"/>
              </w:rPr>
            </w:r>
            <w:r/>
          </w:p>
        </w:tc>
        <w:tc>
          <w:tcPr>
            <w:tcW w:w="330"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ascii="宋体" w:hAnsi="宋体"/>
                <w:sz w:val="24"/>
                <w:szCs w:val="24"/>
              </w:rPr>
            </w:r>
            <w:r/>
          </w:p>
        </w:tc>
        <w:tc>
          <w:tcPr>
            <w:tcW w:w="2453"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供应商对项目理解程度</w:t>
            </w:r>
            <w:r>
              <w:rPr>
                <w:sz w:val="24"/>
                <w:szCs w:val="24"/>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10</w:t>
            </w:r>
            <w:r>
              <w:rPr>
                <w:sz w:val="24"/>
                <w:szCs w:val="24"/>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准确把握采购人平台品牌定位，对采购人过往活动、合作伙伴列举分析到位，项目合作定位拆解清晰，分析深入，方案针对性强的，得10分；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对采购人品牌定位认知基本准确，能提及过往活动及合作伙伴，理解项目合作定位并提供对应方案，但分析深度有所欠缺的，得7分；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对采购人品牌定位存在部分偏差，仅零散提及相关信息，未开展有效分析，仅理解项目表层需求，方案具备一定相关性的，得4分；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highlight w:val="none"/>
              </w:rPr>
              <w:t xml:space="preserve">未提供方案不得分。</w:t>
            </w:r>
            <w:r>
              <w:rPr>
                <w:rFonts w:hint="eastAsia" w:ascii="宋体" w:hAnsi="宋体" w:eastAsia="宋体" w:cs="宋体"/>
                <w:sz w:val="24"/>
                <w:szCs w:val="24"/>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2.2</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highlight w:val="none"/>
                <w:lang w:val="en-US" w:eastAsia="zh-CN" w:bidi="ar-SA"/>
              </w:rPr>
            </w:pPr>
            <w:r>
              <w:rPr>
                <w:rFonts w:hint="eastAsia" w:ascii="宋体" w:hAnsi="宋体"/>
                <w:b w:val="0"/>
                <w:sz w:val="24"/>
                <w:szCs w:val="24"/>
                <w:highlight w:val="none"/>
                <w:lang w:val="en-US" w:eastAsia="zh-CN"/>
              </w:rPr>
              <w:t xml:space="preserve">语音包</w:t>
            </w:r>
            <w:r>
              <w:rPr>
                <w:rFonts w:ascii="宋体" w:hAnsi="宋体" w:eastAsia="宋体"/>
                <w:b w:val="0"/>
                <w:sz w:val="24"/>
                <w:szCs w:val="24"/>
                <w:highlight w:val="none"/>
              </w:rPr>
              <w:t xml:space="preserve">展现与</w:t>
            </w:r>
            <w:r>
              <w:rPr>
                <w:rFonts w:hint="eastAsia" w:ascii="宋体" w:hAnsi="宋体"/>
                <w:b w:val="0"/>
                <w:sz w:val="24"/>
                <w:szCs w:val="24"/>
                <w:highlight w:val="none"/>
                <w:lang w:val="en-US" w:eastAsia="zh-CN"/>
              </w:rPr>
              <w:t xml:space="preserve">地方特色文化</w:t>
            </w:r>
            <w:r>
              <w:rPr>
                <w:rFonts w:ascii="宋体" w:hAnsi="宋体" w:eastAsia="宋体"/>
                <w:b w:val="0"/>
                <w:sz w:val="24"/>
                <w:szCs w:val="24"/>
                <w:highlight w:val="none"/>
              </w:rPr>
              <w:t xml:space="preserve">嵌入方案</w:t>
            </w:r>
            <w:r>
              <w:rPr>
                <w:sz w:val="24"/>
                <w:szCs w:val="24"/>
                <w:highlight w:val="none"/>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sz w:val="24"/>
                <w:szCs w:val="24"/>
                <w:highlight w:val="none"/>
                <w:lang w:val="en-US" w:eastAsia="zh-CN" w:bidi="ar-SA"/>
              </w:rPr>
            </w:pPr>
            <w:r>
              <w:rPr>
                <w:rFonts w:ascii="宋体" w:hAnsi="宋体" w:eastAsia="宋体"/>
                <w:b w:val="0"/>
                <w:sz w:val="24"/>
                <w:szCs w:val="24"/>
                <w:highlight w:val="none"/>
              </w:rPr>
              <w:t xml:space="preserve">10</w:t>
            </w:r>
            <w:r>
              <w:rPr>
                <w:sz w:val="24"/>
                <w:szCs w:val="24"/>
                <w:highlight w:val="none"/>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 w:val="0"/>
                <w:sz w:val="24"/>
                <w:szCs w:val="24"/>
                <w:highlight w:val="none"/>
                <w:lang w:val="en-US" w:eastAsia="zh-CN"/>
              </w:rPr>
              <w:t xml:space="preserve">根据供应商提供的语音包制作方案进行评分，</w:t>
            </w:r>
            <w:r>
              <w:rPr>
                <w:rFonts w:hint="eastAsia" w:ascii="宋体" w:hAnsi="宋体" w:eastAsia="宋体" w:cs="宋体"/>
                <w:b w:val="0"/>
                <w:sz w:val="24"/>
                <w:szCs w:val="24"/>
                <w:highlight w:val="none"/>
              </w:rPr>
              <w:t xml:space="preserve">方案详细全面、切实可行且针对性强；</w:t>
            </w:r>
            <w:r>
              <w:rPr>
                <w:rFonts w:hint="eastAsia" w:ascii="宋体" w:hAnsi="宋体" w:eastAsia="宋体" w:cs="宋体"/>
                <w:b w:val="0"/>
                <w:sz w:val="24"/>
                <w:szCs w:val="24"/>
                <w:highlight w:val="none"/>
                <w:lang w:val="en-US" w:eastAsia="zh-CN"/>
              </w:rPr>
              <w:t xml:space="preserve">能体现“常宝”IP特色，并与常州地方特色文化紧密结合的</w:t>
            </w:r>
            <w:r>
              <w:rPr>
                <w:rFonts w:hint="eastAsia" w:ascii="宋体" w:hAnsi="宋体" w:eastAsia="宋体" w:cs="宋体"/>
                <w:b w:val="0"/>
                <w:sz w:val="24"/>
                <w:szCs w:val="24"/>
                <w:highlight w:val="none"/>
              </w:rPr>
              <w:t xml:space="preserve">，得10分；</w:t>
            </w:r>
            <w:r>
              <w:rPr>
                <w:rFonts w:hint="eastAsia" w:ascii="宋体" w:hAnsi="宋体" w:eastAsia="宋体" w:cs="宋体"/>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方案无缺漏，具有一定的可行性及针对性</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lang w:val="en-US" w:eastAsia="zh-CN"/>
              </w:rPr>
              <w:t xml:space="preserve">常宝”IP形象清晰</w:t>
            </w:r>
            <w:r>
              <w:rPr>
                <w:rFonts w:hint="eastAsia" w:ascii="宋体" w:hAnsi="宋体" w:eastAsia="宋体" w:cs="宋体"/>
                <w:b w:val="0"/>
                <w:sz w:val="24"/>
                <w:szCs w:val="24"/>
                <w:highlight w:val="none"/>
                <w:lang w:val="en-US" w:eastAsia="zh-CN"/>
              </w:rPr>
              <w:t xml:space="preserve">的</w:t>
            </w:r>
            <w:r>
              <w:rPr>
                <w:rFonts w:hint="eastAsia" w:ascii="宋体" w:hAnsi="宋体" w:eastAsia="宋体" w:cs="宋体"/>
                <w:b w:val="0"/>
                <w:sz w:val="24"/>
                <w:szCs w:val="24"/>
                <w:highlight w:val="none"/>
              </w:rPr>
              <w:t xml:space="preserve">，得7分；</w:t>
            </w:r>
            <w:r>
              <w:rPr>
                <w:rFonts w:hint="eastAsia" w:ascii="宋体" w:hAnsi="宋体" w:eastAsia="宋体" w:cs="宋体"/>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方案不全面，可行性、针对性较差</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lang w:val="en-US" w:eastAsia="zh-CN"/>
              </w:rPr>
              <w:t xml:space="preserve">常宝”IP不鲜明、无特色</w:t>
            </w:r>
            <w:r>
              <w:rPr>
                <w:rFonts w:hint="eastAsia" w:ascii="宋体" w:hAnsi="宋体" w:eastAsia="宋体" w:cs="宋体"/>
                <w:b w:val="0"/>
                <w:sz w:val="24"/>
                <w:szCs w:val="24"/>
                <w:highlight w:val="none"/>
                <w:lang w:val="en-US" w:eastAsia="zh-CN"/>
              </w:rPr>
              <w:t xml:space="preserve">的</w:t>
            </w:r>
            <w:r>
              <w:rPr>
                <w:rFonts w:hint="eastAsia" w:ascii="宋体" w:hAnsi="宋体" w:eastAsia="宋体" w:cs="宋体"/>
                <w:b w:val="0"/>
                <w:sz w:val="24"/>
                <w:szCs w:val="24"/>
                <w:highlight w:val="none"/>
                <w:lang w:val="en-US" w:eastAsia="zh-CN"/>
              </w:rPr>
              <w:t xml:space="preserve">，得4分</w:t>
            </w:r>
            <w:r>
              <w:rPr>
                <w:rFonts w:hint="eastAsia" w:ascii="宋体" w:hAnsi="宋体" w:eastAsia="宋体" w:cs="宋体"/>
                <w:b w:val="0"/>
                <w:sz w:val="24"/>
                <w:szCs w:val="24"/>
                <w:highlight w:val="none"/>
              </w:rPr>
              <w:t xml:space="preserve">；</w:t>
            </w:r>
            <w:r>
              <w:rPr>
                <w:rFonts w:hint="eastAsia" w:ascii="宋体" w:hAnsi="宋体" w:eastAsia="宋体" w:cs="宋体"/>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sz w:val="24"/>
                <w:szCs w:val="24"/>
                <w:highlight w:val="none"/>
              </w:rPr>
              <w:t xml:space="preserve">未提供方案不得分。</w:t>
            </w:r>
            <w:r>
              <w:rPr>
                <w:rFonts w:hint="eastAsia" w:ascii="宋体" w:hAnsi="宋体" w:eastAsia="宋体" w:cs="宋体"/>
                <w:sz w:val="24"/>
                <w:szCs w:val="24"/>
                <w:highlight w:val="none"/>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2.3</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highlight w:val="none"/>
                <w:lang w:val="en-US" w:eastAsia="zh-CN" w:bidi="ar-SA"/>
              </w:rPr>
            </w:pPr>
            <w:r>
              <w:rPr>
                <w:rFonts w:hint="eastAsia" w:ascii="宋体" w:hAnsi="宋体" w:eastAsia="宋体"/>
                <w:b w:val="0"/>
                <w:sz w:val="24"/>
                <w:szCs w:val="24"/>
                <w:highlight w:val="none"/>
              </w:rPr>
              <w:t xml:space="preserve">常州城市服务专区</w:t>
            </w:r>
            <w:r>
              <w:rPr>
                <w:rFonts w:ascii="宋体" w:hAnsi="宋体" w:eastAsia="宋体"/>
                <w:b w:val="0"/>
                <w:sz w:val="24"/>
                <w:szCs w:val="24"/>
                <w:highlight w:val="none"/>
              </w:rPr>
              <w:t xml:space="preserve">建设与重点资源展示方案</w:t>
            </w:r>
            <w:r>
              <w:rPr>
                <w:sz w:val="24"/>
                <w:szCs w:val="24"/>
                <w:highlight w:val="none"/>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rFonts w:eastAsia="宋体"/>
                <w:sz w:val="24"/>
                <w:szCs w:val="24"/>
                <w:highlight w:val="none"/>
                <w:lang w:val="en-US" w:eastAsia="zh-CN" w:bidi="ar-SA"/>
              </w:rPr>
            </w:pPr>
            <w:r>
              <w:rPr>
                <w:rFonts w:hint="eastAsia" w:ascii="宋体" w:hAnsi="宋体"/>
                <w:b w:val="0"/>
                <w:sz w:val="24"/>
                <w:szCs w:val="24"/>
                <w:highlight w:val="none"/>
                <w:lang w:val="en-US" w:eastAsia="zh-CN"/>
              </w:rPr>
              <w:t xml:space="preserve">10</w:t>
            </w:r>
            <w:r>
              <w:rPr>
                <w:rFonts w:eastAsia="宋体"/>
                <w:sz w:val="24"/>
                <w:szCs w:val="24"/>
                <w:highlight w:val="none"/>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根据供应商提供的</w:t>
            </w:r>
            <w:r>
              <w:rPr>
                <w:rFonts w:hint="eastAsia" w:ascii="宋体" w:hAnsi="宋体" w:eastAsia="宋体" w:cs="宋体"/>
                <w:b w:val="0"/>
                <w:sz w:val="24"/>
                <w:szCs w:val="24"/>
                <w:highlight w:val="none"/>
                <w:lang w:val="en-US" w:eastAsia="zh-CN"/>
              </w:rPr>
              <w:t xml:space="preserve">城市服务专区</w:t>
            </w:r>
            <w:r>
              <w:rPr>
                <w:rFonts w:hint="eastAsia" w:ascii="宋体" w:hAnsi="宋体" w:eastAsia="宋体" w:cs="宋体"/>
                <w:b w:val="0"/>
                <w:sz w:val="24"/>
                <w:szCs w:val="24"/>
                <w:highlight w:val="none"/>
              </w:rPr>
              <w:t xml:space="preserve">建设与重点资源展示方案进行评分，重点考核以下三个维度：</w:t>
            </w:r>
            <w:r>
              <w:rPr>
                <w:rFonts w:hint="eastAsia" w:ascii="宋体" w:hAnsi="宋体" w:eastAsia="宋体" w:cs="宋体"/>
                <w:b w:val="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（1）采购人品牌形象植入：页面能充分展示采购人品牌形象，完整植入采购人IP形象、logo及品牌视觉元素，品牌形象清晰可见，体现供应商对采购人品牌的深入了解；</w:t>
            </w:r>
            <w:r>
              <w:rPr>
                <w:rFonts w:hint="eastAsia" w:ascii="宋体" w:hAnsi="宋体" w:eastAsia="宋体" w:cs="宋体"/>
                <w:b w:val="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（2）整体视觉设计氛围感：页面整体视觉设计具有氛围感与沉浸感，设计风格与采购人一贯的品牌属性和调性保持一致，视觉表达具有辨识度；</w:t>
            </w:r>
            <w:r>
              <w:rPr>
                <w:rFonts w:hint="eastAsia" w:ascii="宋体" w:hAnsi="宋体" w:eastAsia="宋体" w:cs="宋体"/>
                <w:b w:val="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数据资源呈现与可视化能力：页面能够良好呈现采购人各类数据资源，具备优秀的数据可视化能力（如路线、点位、广告信息等），且支持二跳链接跳转，用户可从承接页便捷进入各类资源详情页，实现资源深度触达与转化。</w:t>
            </w:r>
            <w:r>
              <w:rPr>
                <w:rFonts w:hint="eastAsia" w:ascii="宋体" w:hAnsi="宋体" w:eastAsia="宋体" w:cs="宋体"/>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同时满足以上三个维度、方案详细全面且切实可行的</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得</w:t>
            </w:r>
            <w:r>
              <w:rPr>
                <w:rFonts w:hint="eastAsia" w:ascii="宋体" w:hAnsi="宋体" w:eastAsia="宋体" w:cs="宋体"/>
                <w:b w:val="0"/>
                <w:sz w:val="24"/>
                <w:szCs w:val="24"/>
                <w:highlight w:val="none"/>
                <w:lang w:val="en-US" w:eastAsia="zh-CN"/>
              </w:rPr>
              <w:t xml:space="preserve">10</w:t>
            </w:r>
            <w:r>
              <w:rPr>
                <w:rFonts w:hint="eastAsia" w:ascii="宋体" w:hAnsi="宋体" w:eastAsia="宋体" w:cs="宋体"/>
                <w:b w:val="0"/>
                <w:sz w:val="24"/>
                <w:szCs w:val="24"/>
                <w:highlight w:val="none"/>
              </w:rPr>
              <w:t xml:space="preserve">分；</w:t>
            </w:r>
            <w:r>
              <w:rPr>
                <w:rFonts w:hint="eastAsia" w:ascii="宋体" w:hAnsi="宋体" w:eastAsia="宋体" w:cs="宋体"/>
                <w:b w:val="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三个维度设计维度执行深度不足的</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得</w:t>
            </w:r>
            <w:r>
              <w:rPr>
                <w:rFonts w:hint="eastAsia" w:ascii="宋体" w:hAnsi="宋体" w:eastAsia="宋体" w:cs="宋体"/>
                <w:b w:val="0"/>
                <w:sz w:val="24"/>
                <w:szCs w:val="24"/>
                <w:highlight w:val="none"/>
                <w:lang w:val="en-US" w:eastAsia="zh-CN"/>
              </w:rPr>
              <w:t xml:space="preserve">7</w:t>
            </w:r>
            <w:r>
              <w:rPr>
                <w:rFonts w:hint="eastAsia" w:ascii="宋体" w:hAnsi="宋体" w:eastAsia="宋体" w:cs="宋体"/>
                <w:b w:val="0"/>
                <w:sz w:val="24"/>
                <w:szCs w:val="24"/>
                <w:highlight w:val="none"/>
              </w:rPr>
              <w:t xml:space="preserve">分；</w:t>
            </w:r>
            <w:r>
              <w:rPr>
                <w:rFonts w:hint="eastAsia" w:ascii="宋体" w:hAnsi="宋体" w:eastAsia="宋体" w:cs="宋体"/>
                <w:b w:val="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上述维度存在明显缺失、方案不全面的</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得</w:t>
            </w:r>
            <w:r>
              <w:rPr>
                <w:rFonts w:hint="eastAsia" w:ascii="宋体" w:hAnsi="宋体" w:eastAsia="宋体" w:cs="宋体"/>
                <w:b w:val="0"/>
                <w:sz w:val="24"/>
                <w:szCs w:val="24"/>
                <w:highlight w:val="none"/>
                <w:lang w:val="en-US" w:eastAsia="zh-CN"/>
              </w:rPr>
              <w:t xml:space="preserve">4</w:t>
            </w:r>
            <w:r>
              <w:rPr>
                <w:rFonts w:hint="eastAsia" w:ascii="宋体" w:hAnsi="宋体" w:eastAsia="宋体" w:cs="宋体"/>
                <w:b w:val="0"/>
                <w:sz w:val="24"/>
                <w:szCs w:val="24"/>
                <w:highlight w:val="none"/>
              </w:rPr>
              <w:t xml:space="preserve">分；</w:t>
            </w:r>
            <w:r>
              <w:rPr>
                <w:rFonts w:hint="eastAsia" w:ascii="宋体" w:hAnsi="宋体" w:eastAsia="宋体" w:cs="宋体"/>
                <w:b w:val="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sz w:val="24"/>
                <w:szCs w:val="24"/>
                <w:highlight w:val="none"/>
              </w:rPr>
              <w:t xml:space="preserve">未提供方案的不得分。</w:t>
            </w:r>
            <w:r>
              <w:rPr>
                <w:rFonts w:hint="eastAsia" w:ascii="宋体" w:hAnsi="宋体" w:eastAsia="宋体" w:cs="宋体"/>
                <w:sz w:val="24"/>
                <w:szCs w:val="24"/>
                <w:highlight w:val="none"/>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2.4</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rFonts w:ascii="宋体" w:hAnsi="宋体" w:eastAsia="宋体"/>
                <w:b w:val="0"/>
                <w:sz w:val="24"/>
                <w:szCs w:val="24"/>
                <w:highlight w:val="none"/>
                <w:lang w:val="en-US" w:eastAsia="zh-CN" w:bidi="ar-SA"/>
              </w:rPr>
            </w:pPr>
            <w:r>
              <w:rPr>
                <w:rFonts w:hint="eastAsia" w:ascii="宋体" w:hAnsi="宋体"/>
                <w:b w:val="0"/>
                <w:sz w:val="24"/>
                <w:szCs w:val="24"/>
                <w:highlight w:val="none"/>
                <w:lang w:val="en-US" w:eastAsia="zh-CN"/>
              </w:rPr>
              <w:t xml:space="preserve">消费券发放方案</w:t>
            </w:r>
            <w:r>
              <w:rPr>
                <w:rFonts w:ascii="宋体" w:hAnsi="宋体" w:eastAsia="宋体"/>
                <w:b w:val="0"/>
                <w:sz w:val="24"/>
                <w:szCs w:val="24"/>
                <w:highlight w:val="none"/>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rFonts w:ascii="宋体" w:hAnsi="宋体" w:eastAsia="宋体"/>
                <w:b w:val="0"/>
                <w:sz w:val="24"/>
                <w:szCs w:val="24"/>
                <w:highlight w:val="none"/>
                <w:lang w:val="en-US" w:eastAsia="zh-CN" w:bidi="ar-SA"/>
              </w:rPr>
            </w:pPr>
            <w:r>
              <w:rPr>
                <w:rFonts w:hint="eastAsia" w:ascii="宋体" w:hAnsi="宋体"/>
                <w:b w:val="0"/>
                <w:sz w:val="24"/>
                <w:szCs w:val="24"/>
                <w:highlight w:val="none"/>
                <w:lang w:val="en-US" w:eastAsia="zh-CN"/>
              </w:rPr>
              <w:t xml:space="preserve">10</w:t>
            </w:r>
            <w:r>
              <w:rPr>
                <w:rFonts w:ascii="宋体" w:hAnsi="宋体" w:eastAsia="宋体"/>
                <w:b w:val="0"/>
                <w:sz w:val="24"/>
                <w:szCs w:val="24"/>
                <w:highlight w:val="none"/>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 xml:space="preserve">根据供应商提供的消费券发放方案进行评分。消费券发放方案完整（包含发放、核销、回流），消费券金额配置合理、领取与核销链路便捷通畅，能自然地与城市门户专区、线路、票务及核心文旅资源承接转化的，得10分；</w:t>
            </w:r>
            <w:r>
              <w:rPr>
                <w:rFonts w:hint="eastAsia" w:ascii="宋体" w:hAnsi="宋体" w:eastAsia="宋体" w:cs="宋体"/>
                <w:b w:val="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 xml:space="preserve">消费券发放方案完整，分层级配置金额，能顺畅领取与核销</w:t>
            </w:r>
            <w:r>
              <w:rPr>
                <w:rFonts w:hint="eastAsia" w:ascii="宋体" w:hAnsi="宋体" w:eastAsia="宋体" w:cs="宋体"/>
                <w:b w:val="0"/>
                <w:sz w:val="24"/>
                <w:szCs w:val="24"/>
                <w:highlight w:val="none"/>
                <w:lang w:val="en-US" w:eastAsia="zh-CN"/>
              </w:rPr>
              <w:t xml:space="preserve">的</w:t>
            </w:r>
            <w:r>
              <w:rPr>
                <w:rFonts w:hint="eastAsia" w:ascii="宋体" w:hAnsi="宋体" w:eastAsia="宋体" w:cs="宋体"/>
                <w:b w:val="0"/>
                <w:sz w:val="24"/>
                <w:szCs w:val="24"/>
                <w:highlight w:val="none"/>
                <w:lang w:val="en-US" w:eastAsia="zh-CN"/>
              </w:rPr>
              <w:t xml:space="preserve">，得7分；</w:t>
            </w:r>
            <w:r>
              <w:rPr>
                <w:rFonts w:hint="eastAsia" w:ascii="宋体" w:hAnsi="宋体" w:eastAsia="宋体" w:cs="宋体"/>
                <w:b w:val="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 xml:space="preserve">提供消费券发放方案，但是金额配置不合理，领取与使用方式不便捷</w:t>
            </w:r>
            <w:r>
              <w:rPr>
                <w:rFonts w:hint="eastAsia" w:ascii="宋体" w:hAnsi="宋体" w:eastAsia="宋体" w:cs="宋体"/>
                <w:b w:val="0"/>
                <w:sz w:val="24"/>
                <w:szCs w:val="24"/>
                <w:highlight w:val="none"/>
                <w:lang w:val="en-US" w:eastAsia="zh-CN"/>
              </w:rPr>
              <w:t xml:space="preserve">的</w:t>
            </w:r>
            <w:r>
              <w:rPr>
                <w:rFonts w:hint="eastAsia" w:ascii="宋体" w:hAnsi="宋体" w:eastAsia="宋体" w:cs="宋体"/>
                <w:b w:val="0"/>
                <w:sz w:val="24"/>
                <w:szCs w:val="24"/>
                <w:highlight w:val="none"/>
                <w:lang w:val="en-US" w:eastAsia="zh-CN"/>
              </w:rPr>
              <w:t xml:space="preserve">，得4分；</w:t>
            </w:r>
            <w:r>
              <w:rPr>
                <w:rFonts w:hint="eastAsia" w:ascii="宋体" w:hAnsi="宋体" w:eastAsia="宋体" w:cs="宋体"/>
                <w:b w:val="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rPr>
              <w:t xml:space="preserve">未提供方案的不得分。</w:t>
            </w:r>
            <w:r>
              <w:rPr>
                <w:rFonts w:hint="eastAsia" w:ascii="宋体" w:hAnsi="宋体" w:eastAsia="宋体" w:cs="宋体"/>
                <w:b w:val="0"/>
                <w:sz w:val="24"/>
                <w:szCs w:val="24"/>
                <w:highlight w:val="none"/>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2.5</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精准曝光引流服务方案</w:t>
            </w:r>
            <w:r>
              <w:rPr>
                <w:sz w:val="24"/>
                <w:szCs w:val="24"/>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10</w:t>
            </w:r>
            <w:r>
              <w:rPr>
                <w:sz w:val="24"/>
                <w:szCs w:val="24"/>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根据供应商提供的精准曝光引流服务方案进行评分，重点考核LBS精准营销能力、场景化推荐能力及引流转化效果。方案详细全面、切实可行且针对性强，具备LBS精准营销能力（基于用户实时位置、行为画像、出行意图进行精准触达），支持场景化推荐（周边游推荐、行程中推荐、目的地推荐等多场景），有明确的引流转化数据指标及效果评估机制的</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得10分；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方案无缺漏、具一定的可行性及针对性，具备基本LBS营销能力，支持部分场景化推荐，有引流效果评估机制的</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得7分；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方案不全面，可行性、针对性较差，缺乏LBS精准营销能力，场景化推荐不足的</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得4分；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rPr>
              <w:t xml:space="preserve">未提供方案的不得分。</w:t>
            </w:r>
            <w:r>
              <w:rPr>
                <w:rFonts w:hint="eastAsia" w:ascii="宋体" w:hAnsi="宋体" w:eastAsia="宋体" w:cs="宋体"/>
                <w:sz w:val="24"/>
                <w:szCs w:val="24"/>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2.6</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平台技术支撑服务方案</w:t>
            </w:r>
            <w:r>
              <w:rPr>
                <w:sz w:val="24"/>
                <w:szCs w:val="24"/>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10</w:t>
            </w:r>
            <w:r>
              <w:rPr>
                <w:sz w:val="24"/>
                <w:szCs w:val="24"/>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方案完整覆盖文旅POI展示、点位标注、地理解析、路线规划、底图加载、点位检索、页面跳转、数据同步全部业务场景；落实专人开展页面调试、故障排查、版本迭代、上线核验服务，明确平台规则、资源位、系统升级发生变动时的等价替代处置机制，整体方案技术路径清晰、可落地性强</w:t>
            </w:r>
            <w:r>
              <w:rPr>
                <w:rFonts w:hint="eastAsia" w:ascii="宋体" w:hAnsi="宋体" w:eastAsia="宋体" w:cs="宋体"/>
                <w:b w:val="0"/>
                <w:sz w:val="24"/>
                <w:szCs w:val="24"/>
                <w:lang w:val="en-US" w:eastAsia="zh-CN"/>
              </w:rPr>
              <w:t xml:space="preserve">的，</w:t>
            </w:r>
            <w:r>
              <w:rPr>
                <w:rFonts w:hint="eastAsia" w:ascii="宋体" w:hAnsi="宋体" w:eastAsia="宋体" w:cs="宋体"/>
                <w:b w:val="0"/>
                <w:sz w:val="24"/>
                <w:szCs w:val="24"/>
              </w:rPr>
              <w:t xml:space="preserve">得10分；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方案覆盖大部分业务场景，主要配套资源、费用约定、运维保障、替代处置机制、服务期限均有明确说明，但个别细节内容不够细化，技术实现路径基本可行，无重大缺项</w:t>
            </w:r>
            <w:r>
              <w:rPr>
                <w:rFonts w:hint="eastAsia" w:ascii="宋体" w:hAnsi="宋体" w:eastAsia="宋体" w:cs="宋体"/>
                <w:b w:val="0"/>
                <w:sz w:val="24"/>
                <w:szCs w:val="24"/>
                <w:lang w:val="en-US" w:eastAsia="zh-CN"/>
              </w:rPr>
              <w:t xml:space="preserve">的</w:t>
            </w:r>
            <w:r>
              <w:rPr>
                <w:rFonts w:hint="eastAsia" w:ascii="宋体" w:hAnsi="宋体" w:eastAsia="宋体" w:cs="宋体"/>
                <w:b w:val="0"/>
                <w:sz w:val="24"/>
                <w:szCs w:val="24"/>
              </w:rPr>
              <w:t xml:space="preserve">，得7分；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sz w:val="24"/>
                <w:szCs w:val="24"/>
              </w:rPr>
              <w:t xml:space="preserve">仅覆盖部分核心业务场景，配套资源、费用说明、运维保障条款存在较多缺失，替代处置机制表述笼统，部分需求无法明确落地</w:t>
            </w:r>
            <w:r>
              <w:rPr>
                <w:rFonts w:hint="eastAsia" w:ascii="宋体" w:hAnsi="宋体" w:eastAsia="宋体" w:cs="宋体"/>
                <w:b w:val="0"/>
                <w:sz w:val="24"/>
                <w:szCs w:val="24"/>
                <w:lang w:val="en-US" w:eastAsia="zh-CN"/>
              </w:rPr>
              <w:t xml:space="preserve">的</w:t>
            </w:r>
            <w:r>
              <w:rPr>
                <w:rFonts w:hint="eastAsia" w:ascii="宋体" w:hAnsi="宋体" w:eastAsia="宋体" w:cs="宋体"/>
                <w:b w:val="0"/>
                <w:sz w:val="24"/>
                <w:szCs w:val="24"/>
              </w:rPr>
              <w:t xml:space="preserve">，得4分；</w:t>
            </w:r>
            <w:r>
              <w:rPr>
                <w:rFonts w:hint="eastAsia" w:ascii="宋体" w:hAnsi="宋体" w:eastAsia="宋体" w:cs="宋体"/>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rPr>
              <w:t xml:space="preserve">未提供方案的不得分。</w:t>
            </w:r>
            <w:r>
              <w:rPr>
                <w:rFonts w:hint="eastAsia" w:ascii="宋体" w:hAnsi="宋体" w:eastAsia="宋体" w:cs="宋体"/>
                <w:sz w:val="24"/>
                <w:szCs w:val="24"/>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2.7</w:t>
            </w:r>
            <w:r>
              <w:rPr>
                <w:rFonts w:ascii="宋体" w:hAnsi="宋体" w:eastAsia="宋体"/>
                <w:sz w:val="24"/>
                <w:szCs w:val="24"/>
                <w:lang w:val="en-US" w:eastAsia="zh-CN"/>
              </w:rPr>
            </w:r>
            <w:r/>
          </w:p>
          <w:p>
            <w:pPr>
              <w:pStyle w:val="1014"/>
              <w:ind w:left="0" w:firstLine="28"/>
              <w:jc w:val="center"/>
              <w:keepLines w:val="0"/>
              <w:keepNext w:val="0"/>
              <w:pageBreakBefore w:val="0"/>
              <w:spacing w:line="400" w:lineRule="exact"/>
              <w:widowControl w:val="off"/>
              <w:rPr>
                <w:rFonts w:hint="eastAsia" w:ascii="宋体" w:hAnsi="宋体"/>
                <w:sz w:val="24"/>
                <w:szCs w:val="24"/>
                <w:lang w:val="en-US" w:eastAsia="zh-CN" w:bidi="ar-SA"/>
              </w:rPr>
            </w:pPr>
            <w:r>
              <w:rPr>
                <w:rFonts w:hint="eastAsia" w:ascii="宋体" w:hAnsi="宋体"/>
                <w:sz w:val="24"/>
                <w:szCs w:val="24"/>
                <w:lang w:val="en-US" w:eastAsia="zh-CN" w:bidi="ar-SA"/>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人员配置方案</w:t>
            </w:r>
            <w:r>
              <w:rPr>
                <w:sz w:val="24"/>
                <w:szCs w:val="24"/>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rFonts w:hint="eastAsia" w:eastAsia="宋体"/>
                <w:sz w:val="24"/>
                <w:szCs w:val="24"/>
                <w:lang w:val="en-US" w:eastAsia="zh-CN" w:bidi="ar-SA"/>
              </w:rPr>
            </w:pPr>
            <w:r>
              <w:rPr>
                <w:rFonts w:hint="eastAsia" w:ascii="宋体" w:hAnsi="宋体"/>
                <w:b w:val="0"/>
                <w:sz w:val="24"/>
                <w:szCs w:val="24"/>
                <w:lang w:val="en-US" w:eastAsia="zh-CN"/>
              </w:rPr>
              <w:t xml:space="preserve">5</w:t>
            </w:r>
            <w:r>
              <w:rPr>
                <w:rFonts w:hint="eastAsia" w:eastAsia="宋体"/>
                <w:sz w:val="24"/>
                <w:szCs w:val="24"/>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人员配置匹配本项目需求，各岗位职责分工明确、权责边界清晰，保障项目实施全过程人员稳定</w:t>
            </w:r>
            <w:r>
              <w:rPr>
                <w:rFonts w:hint="eastAsia" w:ascii="宋体" w:hAnsi="宋体" w:eastAsia="宋体" w:cs="宋体"/>
                <w:b w:val="0"/>
                <w:sz w:val="24"/>
                <w:szCs w:val="24"/>
                <w:lang w:val="en-US" w:eastAsia="zh-CN"/>
              </w:rPr>
              <w:t xml:space="preserve">的</w:t>
            </w:r>
            <w:r>
              <w:rPr>
                <w:rFonts w:hint="eastAsia" w:ascii="宋体" w:hAnsi="宋体" w:eastAsia="宋体" w:cs="宋体"/>
                <w:b w:val="0"/>
                <w:sz w:val="24"/>
                <w:szCs w:val="24"/>
              </w:rPr>
              <w:t xml:space="preserve">，得</w:t>
            </w:r>
            <w:r>
              <w:rPr>
                <w:rFonts w:hint="eastAsia" w:ascii="宋体" w:hAnsi="宋体" w:eastAsia="宋体" w:cs="宋体"/>
                <w:b w:val="0"/>
                <w:sz w:val="24"/>
                <w:szCs w:val="24"/>
                <w:lang w:val="en-US" w:eastAsia="zh-CN"/>
              </w:rPr>
              <w:t xml:space="preserve">5</w:t>
            </w:r>
            <w:r>
              <w:rPr>
                <w:rFonts w:hint="eastAsia" w:ascii="宋体" w:hAnsi="宋体" w:eastAsia="宋体" w:cs="宋体"/>
                <w:b w:val="0"/>
                <w:sz w:val="24"/>
                <w:szCs w:val="24"/>
              </w:rPr>
              <w:t xml:space="preserve">分；</w:t>
            </w:r>
            <w:r>
              <w:rPr>
                <w:rFonts w:hint="eastAsia" w:ascii="宋体" w:hAnsi="宋体" w:eastAsia="宋体" w:cs="宋体"/>
                <w:b w:val="0"/>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人员基本配置匹配本项目需求，各岗位职责分工基本明确、权责边界基本清晰</w:t>
            </w:r>
            <w:r>
              <w:rPr>
                <w:rFonts w:hint="eastAsia" w:ascii="宋体" w:hAnsi="宋体" w:eastAsia="宋体" w:cs="宋体"/>
                <w:b w:val="0"/>
                <w:sz w:val="24"/>
                <w:szCs w:val="24"/>
                <w:lang w:val="en-US" w:eastAsia="zh-CN"/>
              </w:rPr>
              <w:t xml:space="preserve">的</w:t>
            </w:r>
            <w:r>
              <w:rPr>
                <w:rFonts w:hint="eastAsia" w:ascii="宋体" w:hAnsi="宋体" w:eastAsia="宋体" w:cs="宋体"/>
                <w:b w:val="0"/>
                <w:sz w:val="24"/>
                <w:szCs w:val="24"/>
              </w:rPr>
              <w:t xml:space="preserve">，得</w:t>
            </w:r>
            <w:r>
              <w:rPr>
                <w:rFonts w:hint="eastAsia" w:ascii="宋体" w:hAnsi="宋体" w:eastAsia="宋体" w:cs="宋体"/>
                <w:b w:val="0"/>
                <w:sz w:val="24"/>
                <w:szCs w:val="24"/>
                <w:lang w:val="en-US" w:eastAsia="zh-CN"/>
              </w:rPr>
              <w:t xml:space="preserve">3</w:t>
            </w:r>
            <w:r>
              <w:rPr>
                <w:rFonts w:hint="eastAsia" w:ascii="宋体" w:hAnsi="宋体" w:eastAsia="宋体" w:cs="宋体"/>
                <w:b w:val="0"/>
                <w:sz w:val="24"/>
                <w:szCs w:val="24"/>
              </w:rPr>
              <w:t xml:space="preserve">分；</w:t>
            </w:r>
            <w:r>
              <w:rPr>
                <w:rFonts w:hint="eastAsia" w:ascii="宋体" w:hAnsi="宋体" w:eastAsia="宋体" w:cs="宋体"/>
                <w:b w:val="0"/>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提供团队架构、职责分工，但内容简略、逻辑不清，岗位权责划分模糊</w:t>
            </w:r>
            <w:r>
              <w:rPr>
                <w:rFonts w:hint="eastAsia" w:ascii="宋体" w:hAnsi="宋体" w:eastAsia="宋体" w:cs="宋体"/>
                <w:b w:val="0"/>
                <w:sz w:val="24"/>
                <w:szCs w:val="24"/>
                <w:lang w:val="en-US" w:eastAsia="zh-CN"/>
              </w:rPr>
              <w:t xml:space="preserve">的</w:t>
            </w:r>
            <w:r>
              <w:rPr>
                <w:rFonts w:hint="eastAsia" w:ascii="宋体" w:hAnsi="宋体" w:eastAsia="宋体" w:cs="宋体"/>
                <w:b w:val="0"/>
                <w:sz w:val="24"/>
                <w:szCs w:val="24"/>
              </w:rPr>
              <w:t xml:space="preserve">，得1分；</w:t>
            </w:r>
            <w:r>
              <w:rPr>
                <w:rFonts w:hint="eastAsia" w:ascii="宋体" w:hAnsi="宋体" w:eastAsia="宋体" w:cs="宋体"/>
                <w:b w:val="0"/>
                <w:sz w:val="24"/>
                <w:szCs w:val="24"/>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rPr>
              <w:t xml:space="preserve">未提供不得分。</w:t>
            </w:r>
            <w:r>
              <w:rPr>
                <w:rFonts w:hint="eastAsia" w:ascii="宋体" w:hAnsi="宋体" w:eastAsia="宋体" w:cs="宋体"/>
                <w:sz w:val="24"/>
                <w:szCs w:val="24"/>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675"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客观分</w:t>
            </w:r>
            <w:r>
              <w:rPr>
                <w:rFonts w:ascii="宋体" w:hAnsi="宋体"/>
                <w:sz w:val="24"/>
                <w:szCs w:val="24"/>
              </w:rPr>
            </w:r>
            <w:r/>
          </w:p>
        </w:tc>
        <w:tc>
          <w:tcPr>
            <w:tcW w:w="330"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ascii="宋体" w:hAnsi="宋体"/>
                <w:sz w:val="24"/>
                <w:szCs w:val="24"/>
              </w:rPr>
            </w:r>
            <w:r/>
          </w:p>
        </w:tc>
        <w:tc>
          <w:tcPr>
            <w:tcW w:w="2453"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3.1</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团队人员资质</w:t>
            </w:r>
            <w:r>
              <w:rPr>
                <w:sz w:val="24"/>
                <w:szCs w:val="24"/>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rFonts w:hint="eastAsia" w:eastAsia="宋体"/>
                <w:sz w:val="24"/>
                <w:szCs w:val="24"/>
                <w:lang w:val="en-US" w:eastAsia="zh-CN" w:bidi="ar-SA"/>
              </w:rPr>
            </w:pPr>
            <w:r>
              <w:rPr>
                <w:rFonts w:hint="eastAsia" w:ascii="宋体" w:hAnsi="宋体"/>
                <w:b w:val="0"/>
                <w:sz w:val="24"/>
                <w:szCs w:val="24"/>
                <w:lang w:val="en-US" w:eastAsia="zh-CN"/>
              </w:rPr>
              <w:t xml:space="preserve">4</w:t>
            </w:r>
            <w:r>
              <w:rPr>
                <w:rFonts w:hint="eastAsia" w:eastAsia="宋体"/>
                <w:sz w:val="24"/>
                <w:szCs w:val="24"/>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lang w:val="en-US" w:eastAsia="zh-CN"/>
              </w:rPr>
              <w:t xml:space="preserve">拟投入本</w:t>
            </w:r>
            <w:r>
              <w:rPr>
                <w:rFonts w:hint="eastAsia" w:ascii="宋体" w:hAnsi="宋体" w:eastAsia="宋体" w:cs="宋体"/>
                <w:b w:val="0"/>
                <w:sz w:val="24"/>
                <w:szCs w:val="24"/>
              </w:rPr>
              <w:t xml:space="preserve">项目负责人有相关领域合作项目经验，每提供一个得1分，最高得</w:t>
            </w:r>
            <w:r>
              <w:rPr>
                <w:rFonts w:hint="eastAsia" w:ascii="宋体" w:hAnsi="宋体" w:eastAsia="宋体" w:cs="宋体"/>
                <w:b w:val="0"/>
                <w:sz w:val="24"/>
                <w:szCs w:val="24"/>
                <w:lang w:val="en-US" w:eastAsia="zh-CN"/>
              </w:rPr>
              <w:t xml:space="preserve">4</w:t>
            </w:r>
            <w:r>
              <w:rPr>
                <w:rFonts w:hint="eastAsia" w:ascii="宋体" w:hAnsi="宋体" w:eastAsia="宋体" w:cs="宋体"/>
                <w:b w:val="0"/>
                <w:sz w:val="24"/>
                <w:szCs w:val="24"/>
              </w:rPr>
              <w:t xml:space="preserve">分。</w:t>
            </w:r>
            <w:r>
              <w:rPr>
                <w:rFonts w:hint="eastAsia" w:ascii="宋体" w:hAnsi="宋体" w:eastAsia="宋体" w:cs="宋体"/>
                <w:sz w:val="24"/>
                <w:szCs w:val="24"/>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hint="eastAsia" w:ascii="宋体" w:hAnsi="宋体" w:eastAsia="宋体" w:cs="宋体"/>
                <w:b w:val="0"/>
                <w:sz w:val="24"/>
                <w:szCs w:val="24"/>
              </w:rPr>
              <w:t xml:space="preserve">需提供其他服务单位盖章的证明或证明该项目的合同关键页</w:t>
            </w:r>
            <w:r>
              <w:rPr>
                <w:rFonts w:hint="eastAsia" w:ascii="宋体" w:hAnsi="宋体" w:eastAsia="宋体" w:cs="宋体"/>
                <w:b w:val="0"/>
                <w:sz w:val="24"/>
                <w:szCs w:val="24"/>
                <w:lang w:val="en-US" w:eastAsia="zh-CN"/>
              </w:rPr>
              <w:t xml:space="preserve">扫描件</w:t>
            </w:r>
            <w:r>
              <w:rPr>
                <w:rFonts w:hint="eastAsia" w:ascii="宋体" w:hAnsi="宋体" w:eastAsia="宋体" w:cs="宋体"/>
                <w:b w:val="0"/>
                <w:sz w:val="24"/>
                <w:szCs w:val="24"/>
              </w:rPr>
              <w:t xml:space="preserve">并加盖</w:t>
            </w:r>
            <w:r>
              <w:rPr>
                <w:rFonts w:hint="eastAsia" w:ascii="宋体" w:hAnsi="宋体" w:eastAsia="宋体" w:cs="宋体"/>
                <w:b w:val="0"/>
                <w:sz w:val="24"/>
                <w:szCs w:val="24"/>
                <w:lang w:val="en-US" w:eastAsia="zh-CN"/>
              </w:rPr>
              <w:t xml:space="preserve">供应商</w:t>
            </w:r>
            <w:r>
              <w:rPr>
                <w:rFonts w:hint="eastAsia" w:ascii="宋体" w:hAnsi="宋体" w:eastAsia="宋体" w:cs="宋体"/>
                <w:b w:val="0"/>
                <w:sz w:val="24"/>
                <w:szCs w:val="24"/>
              </w:rPr>
              <w:t xml:space="preserve">公章，</w:t>
            </w:r>
            <w:r>
              <w:rPr>
                <w:rFonts w:hint="eastAsia" w:ascii="宋体" w:hAnsi="宋体" w:eastAsia="宋体" w:cs="宋体"/>
                <w:b w:val="0"/>
                <w:sz w:val="24"/>
                <w:szCs w:val="24"/>
                <w:lang w:val="en-US" w:eastAsia="zh-CN"/>
              </w:rPr>
              <w:t xml:space="preserve">否则不得分。</w:t>
            </w:r>
            <w:r>
              <w:rPr>
                <w:rFonts w:ascii="宋体" w:hAnsi="宋体"/>
                <w:sz w:val="24"/>
                <w:szCs w:val="24"/>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3.2</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业绩案例</w:t>
            </w:r>
            <w:r>
              <w:rPr>
                <w:sz w:val="24"/>
                <w:szCs w:val="24"/>
                <w:lang w:val="en-US" w:eastAsia="zh-CN" w:bidi="ar-SA"/>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sz w:val="24"/>
                <w:szCs w:val="24"/>
                <w:lang w:val="en-US" w:eastAsia="zh-CN" w:bidi="ar-SA"/>
              </w:rPr>
            </w:pPr>
            <w:r>
              <w:rPr>
                <w:rFonts w:ascii="宋体" w:hAnsi="宋体" w:eastAsia="宋体"/>
                <w:b w:val="0"/>
                <w:sz w:val="24"/>
                <w:szCs w:val="24"/>
              </w:rPr>
              <w:t xml:space="preserve">6</w:t>
            </w:r>
            <w:r>
              <w:rPr>
                <w:sz w:val="24"/>
                <w:szCs w:val="24"/>
                <w:lang w:val="en-US" w:eastAsia="zh-CN" w:bidi="ar-SA"/>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rPr>
              <w:t xml:space="preserve">供应商提供相关领域推广服务项目业绩，每提供一个合同得2分，最</w:t>
            </w:r>
            <w:r>
              <w:rPr>
                <w:rFonts w:hint="eastAsia" w:ascii="宋体" w:hAnsi="宋体" w:eastAsia="宋体" w:cs="宋体"/>
                <w:b w:val="0"/>
                <w:sz w:val="24"/>
                <w:szCs w:val="24"/>
                <w:lang w:val="en-US" w:eastAsia="zh-CN"/>
              </w:rPr>
              <w:t xml:space="preserve">高</w:t>
            </w:r>
            <w:r>
              <w:rPr>
                <w:rFonts w:hint="eastAsia" w:ascii="宋体" w:hAnsi="宋体" w:eastAsia="宋体" w:cs="宋体"/>
                <w:b w:val="0"/>
                <w:sz w:val="24"/>
                <w:szCs w:val="24"/>
              </w:rPr>
              <w:t xml:space="preserve">得6分</w:t>
            </w:r>
            <w:r>
              <w:rPr>
                <w:rFonts w:hint="eastAsia" w:ascii="宋体" w:hAnsi="宋体" w:eastAsia="宋体" w:cs="宋体"/>
                <w:b w:val="0"/>
                <w:sz w:val="24"/>
                <w:szCs w:val="24"/>
                <w:lang w:eastAsia="zh-CN"/>
              </w:rPr>
              <w:t xml:space="preserve">。</w:t>
            </w:r>
            <w:r>
              <w:rPr>
                <w:rFonts w:hint="eastAsia" w:ascii="宋体" w:hAnsi="宋体" w:eastAsia="宋体" w:cs="宋体"/>
                <w:sz w:val="24"/>
                <w:szCs w:val="24"/>
                <w:lang w:val="en-US" w:eastAsia="zh-CN" w:bidi="ar-SA"/>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eastAsia="宋体" w:cs="宋体"/>
                <w:b w:val="0"/>
                <w:sz w:val="24"/>
                <w:szCs w:val="24"/>
              </w:rPr>
              <w:t xml:space="preserve">提供合同</w:t>
            </w:r>
            <w:r>
              <w:rPr>
                <w:rFonts w:hint="eastAsia" w:ascii="宋体" w:hAnsi="宋体" w:eastAsia="宋体" w:cs="宋体"/>
                <w:b w:val="0"/>
                <w:sz w:val="24"/>
                <w:szCs w:val="24"/>
                <w:lang w:val="en-US" w:eastAsia="zh-CN"/>
              </w:rPr>
              <w:t xml:space="preserve">扫描件</w:t>
            </w:r>
            <w:r>
              <w:rPr>
                <w:rFonts w:hint="eastAsia" w:ascii="宋体" w:hAnsi="宋体" w:eastAsia="宋体" w:cs="宋体"/>
                <w:b w:val="0"/>
                <w:sz w:val="24"/>
                <w:szCs w:val="24"/>
              </w:rPr>
              <w:t xml:space="preserve">并加盖</w:t>
            </w:r>
            <w:r>
              <w:rPr>
                <w:rFonts w:hint="eastAsia" w:ascii="宋体" w:hAnsi="宋体" w:eastAsia="宋体" w:cs="宋体"/>
                <w:b w:val="0"/>
                <w:sz w:val="24"/>
                <w:szCs w:val="24"/>
                <w:lang w:val="en-US" w:eastAsia="zh-CN"/>
              </w:rPr>
              <w:t xml:space="preserve">供应商</w:t>
            </w:r>
            <w:r>
              <w:rPr>
                <w:rFonts w:hint="eastAsia" w:ascii="宋体" w:hAnsi="宋体" w:eastAsia="宋体" w:cs="宋体"/>
                <w:b w:val="0"/>
                <w:sz w:val="24"/>
                <w:szCs w:val="24"/>
              </w:rPr>
              <w:t xml:space="preserve">公章，</w:t>
            </w:r>
            <w:r>
              <w:rPr>
                <w:rFonts w:hint="eastAsia" w:ascii="宋体" w:hAnsi="宋体" w:eastAsia="宋体" w:cs="宋体"/>
                <w:b w:val="0"/>
                <w:sz w:val="24"/>
                <w:szCs w:val="24"/>
                <w:lang w:val="en-US" w:eastAsia="zh-CN"/>
              </w:rPr>
              <w:t xml:space="preserve">否则不得分。</w:t>
            </w:r>
            <w:r>
              <w:rPr>
                <w:rFonts w:ascii="宋体" w:hAnsi="宋体" w:eastAsia="宋体"/>
                <w:sz w:val="24"/>
                <w:szCs w:val="24"/>
                <w:lang w:val="en-US" w:eastAsia="zh-CN"/>
              </w:rPr>
            </w:r>
            <w:r/>
          </w:p>
        </w:tc>
      </w:tr>
      <w:tr>
        <w:trPr/>
        <w:tc>
          <w:tcPr>
            <w:tcW w:w="376"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3.3</w:t>
            </w:r>
            <w:r>
              <w:rPr>
                <w:rFonts w:ascii="宋体" w:hAnsi="宋体" w:eastAsia="宋体"/>
                <w:sz w:val="24"/>
                <w:szCs w:val="24"/>
                <w:lang w:val="en-US" w:eastAsia="zh-CN"/>
              </w:rPr>
            </w:r>
            <w:r/>
          </w:p>
        </w:tc>
        <w:tc>
          <w:tcPr>
            <w:tcW w:w="675" w:type="dxa"/>
            <w:vAlign w:val="center"/>
            <w:textDirection w:val="lrTb"/>
            <w:noWrap w:val="false"/>
          </w:tcPr>
          <w:p>
            <w:pPr>
              <w:pStyle w:val="1014"/>
              <w:ind w:left="0"/>
              <w:jc w:val="center"/>
              <w:keepLines w:val="0"/>
              <w:keepNext w:val="0"/>
              <w:pageBreakBefore w:val="0"/>
              <w:spacing w:line="400" w:lineRule="exact"/>
              <w:widowControl w:val="off"/>
              <w:rPr>
                <w:rFonts w:ascii="宋体" w:hAnsi="宋体" w:eastAsia="宋体"/>
                <w:b w:val="0"/>
                <w:sz w:val="24"/>
                <w:szCs w:val="24"/>
              </w:rPr>
            </w:pPr>
            <w:r>
              <w:rPr>
                <w:rFonts w:hint="eastAsia"/>
                <w:sz w:val="24"/>
                <w:szCs w:val="24"/>
                <w:highlight w:val="none"/>
                <w:lang w:val="en-US" w:eastAsia="zh-CN"/>
              </w:rPr>
              <w:t xml:space="preserve">用户月活</w:t>
            </w:r>
            <w:r>
              <w:rPr>
                <w:rFonts w:ascii="宋体" w:hAnsi="宋体" w:eastAsia="宋体"/>
                <w:b w:val="0"/>
                <w:sz w:val="24"/>
                <w:szCs w:val="24"/>
              </w:rPr>
            </w:r>
            <w:r/>
          </w:p>
        </w:tc>
        <w:tc>
          <w:tcPr>
            <w:tcW w:w="330" w:type="dxa"/>
            <w:vAlign w:val="center"/>
            <w:textDirection w:val="lrTb"/>
            <w:noWrap w:val="false"/>
          </w:tcPr>
          <w:p>
            <w:pPr>
              <w:pStyle w:val="1014"/>
              <w:ind w:left="0"/>
              <w:jc w:val="center"/>
              <w:keepLines w:val="0"/>
              <w:keepNext w:val="0"/>
              <w:pageBreakBefore w:val="0"/>
              <w:spacing w:line="400" w:lineRule="exact"/>
              <w:widowControl w:val="off"/>
              <w:rPr>
                <w:rFonts w:ascii="宋体" w:hAnsi="宋体" w:eastAsia="宋体"/>
                <w:b w:val="0"/>
                <w:sz w:val="24"/>
                <w:szCs w:val="24"/>
              </w:rPr>
            </w:pPr>
            <w:r>
              <w:rPr>
                <w:rFonts w:hint="eastAsia" w:ascii="宋体" w:hAnsi="宋体"/>
                <w:b w:val="0"/>
                <w:sz w:val="24"/>
                <w:szCs w:val="24"/>
                <w:highlight w:val="none"/>
                <w:lang w:val="en-US" w:eastAsia="zh-CN"/>
              </w:rPr>
              <w:t xml:space="preserve">5</w:t>
            </w:r>
            <w:r>
              <w:rPr>
                <w:rFonts w:ascii="宋体" w:hAnsi="宋体" w:eastAsia="宋体"/>
                <w:b w:val="0"/>
                <w:sz w:val="24"/>
                <w:szCs w:val="24"/>
              </w:rPr>
            </w:r>
            <w:r/>
          </w:p>
        </w:tc>
        <w:tc>
          <w:tcPr>
            <w:tcW w:w="2453"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地图平台整体用户月活不低于8亿次，得5分；</w:t>
            </w:r>
            <w:r>
              <w:rPr>
                <w:rFonts w:hint="eastAsia" w:ascii="宋体" w:hAnsi="宋体" w:eastAsia="宋体" w:cs="宋体"/>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超过5亿次，低于8亿次的，得3分；超过3亿次，低于5亿次的，得1分；</w:t>
            </w:r>
            <w:r>
              <w:rPr>
                <w:rFonts w:hint="eastAsia" w:ascii="宋体" w:hAnsi="宋体" w:eastAsia="宋体" w:cs="宋体"/>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宋体"/>
                <w:b w:val="0"/>
                <w:sz w:val="24"/>
                <w:szCs w:val="24"/>
              </w:rPr>
            </w:pPr>
            <w:r>
              <w:rPr>
                <w:rFonts w:hint="eastAsia" w:ascii="宋体" w:hAnsi="宋体" w:eastAsia="宋体" w:cs="宋体"/>
                <w:sz w:val="24"/>
                <w:szCs w:val="24"/>
                <w:highlight w:val="none"/>
                <w:lang w:val="en-US" w:eastAsia="zh-CN"/>
              </w:rPr>
              <w:t xml:space="preserve">低于3亿次的不得分。</w:t>
            </w:r>
            <w:r>
              <w:rPr>
                <w:rFonts w:hint="eastAsia" w:ascii="宋体" w:hAnsi="宋体" w:eastAsia="宋体" w:cs="宋体"/>
                <w:b w:val="0"/>
                <w:sz w:val="24"/>
                <w:szCs w:val="24"/>
              </w:rPr>
            </w:r>
            <w:r/>
          </w:p>
        </w:tc>
        <w:tc>
          <w:tcPr>
            <w:tcW w:w="1164" w:type="dxa"/>
            <w:vAlign w:val="center"/>
            <w:textDirection w:val="lrTb"/>
            <w:noWrap w:val="false"/>
          </w:tcPr>
          <w:p>
            <w:pPr>
              <w:pStyle w:val="1014"/>
              <w:ind w:left="0"/>
              <w:keepLines w:val="0"/>
              <w:keepNext w:val="0"/>
              <w:pageBreakBefore w:val="0"/>
              <w:spacing w:line="400" w:lineRule="exact"/>
              <w:widowControl w:val="off"/>
              <w:rPr>
                <w:rFonts w:ascii="宋体" w:hAnsi="宋体" w:eastAsia="宋体"/>
                <w:sz w:val="24"/>
                <w:szCs w:val="24"/>
                <w:lang w:val="en-US" w:eastAsia="zh-CN"/>
              </w:rPr>
            </w:pPr>
            <w:r>
              <w:rPr>
                <w:rFonts w:hint="eastAsia"/>
                <w:b w:val="0"/>
                <w:bCs w:val="0"/>
                <w:color w:val="000000"/>
                <w:sz w:val="24"/>
                <w:szCs w:val="24"/>
                <w:highlight w:val="none"/>
                <w:lang w:val="en-US" w:eastAsia="zh-CN"/>
              </w:rPr>
              <w:t xml:space="preserve">提交</w:t>
            </w:r>
            <w:r>
              <w:rPr>
                <w:rFonts w:hint="eastAsia"/>
                <w:b w:val="0"/>
                <w:bCs w:val="0"/>
                <w:color w:val="000000"/>
                <w:sz w:val="24"/>
                <w:szCs w:val="24"/>
                <w:highlight w:val="none"/>
                <w:lang w:eastAsia="zh-CN"/>
              </w:rPr>
              <w:t xml:space="preserve">QuestMobile（官网</w:t>
            </w:r>
            <w:r>
              <w:rPr>
                <w:rFonts w:hint="eastAsia"/>
                <w:b w:val="0"/>
                <w:bCs w:val="0"/>
                <w:color w:val="000000"/>
                <w:sz w:val="24"/>
                <w:szCs w:val="24"/>
                <w:highlight w:val="none"/>
                <w:lang w:val="en-US" w:eastAsia="zh-CN"/>
              </w:rPr>
              <w:t xml:space="preserve">网址</w:t>
            </w:r>
            <w:r>
              <w:rPr>
                <w:rFonts w:hint="eastAsia"/>
                <w:b w:val="0"/>
                <w:bCs w:val="0"/>
                <w:color w:val="000000"/>
                <w:sz w:val="24"/>
                <w:szCs w:val="24"/>
                <w:highlight w:val="none"/>
                <w:lang w:eastAsia="zh-CN"/>
              </w:rPr>
              <w:t xml:space="preserve">：https://www.questmobile.com.cn/）</w:t>
            </w:r>
            <w:r>
              <w:rPr>
                <w:rFonts w:hint="eastAsia"/>
                <w:b w:val="0"/>
                <w:bCs w:val="0"/>
                <w:color w:val="000000"/>
                <w:sz w:val="24"/>
                <w:szCs w:val="24"/>
                <w:highlight w:val="none"/>
                <w:lang w:val="en-US" w:eastAsia="zh-CN"/>
              </w:rPr>
              <w:t xml:space="preserve">官方统计的平台月活数据截图加盖供应商公章，否则不得分。</w:t>
            </w:r>
            <w:r>
              <w:rPr>
                <w:rFonts w:ascii="宋体" w:hAnsi="宋体" w:eastAsia="宋体"/>
                <w:sz w:val="24"/>
                <w:szCs w:val="24"/>
                <w:lang w:val="en-US" w:eastAsia="zh-CN"/>
              </w:rPr>
            </w:r>
            <w:r/>
          </w:p>
        </w:tc>
      </w:tr>
      <w:tr>
        <w:trPr/>
        <w:tc>
          <w:tcPr>
            <w:gridSpan w:val="2"/>
            <w:tcW w:w="1952"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ascii="宋体" w:hAnsi="宋体"/>
                <w:sz w:val="24"/>
                <w:szCs w:val="24"/>
              </w:rPr>
              <w:t xml:space="preserve">合计</w:t>
            </w:r>
            <w:r>
              <w:rPr>
                <w:rFonts w:ascii="宋体" w:hAnsi="宋体"/>
                <w:sz w:val="24"/>
                <w:szCs w:val="24"/>
              </w:rPr>
            </w:r>
            <w:r/>
          </w:p>
        </w:tc>
        <w:tc>
          <w:tcPr>
            <w:tcW w:w="330"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sz w:val="24"/>
                <w:szCs w:val="24"/>
              </w:rPr>
            </w:pPr>
            <w:r>
              <w:rPr>
                <w:rFonts w:ascii="宋体" w:hAnsi="宋体"/>
                <w:sz w:val="24"/>
                <w:szCs w:val="24"/>
              </w:rPr>
              <w:t xml:space="preserve">100</w:t>
            </w:r>
            <w:r>
              <w:rPr>
                <w:rFonts w:ascii="宋体" w:hAnsi="宋体"/>
                <w:sz w:val="24"/>
                <w:szCs w:val="24"/>
              </w:rPr>
            </w:r>
            <w:r/>
          </w:p>
        </w:tc>
        <w:tc>
          <w:tcPr>
            <w:gridSpan w:val="2"/>
            <w:tcW w:w="6715" w:type="dxa"/>
            <w:vAlign w:val="center"/>
            <w:textDirection w:val="lrTb"/>
            <w:noWrap w:val="false"/>
          </w:tcPr>
          <w:p>
            <w:pPr>
              <w:pStyle w:val="1014"/>
              <w:ind w:left="0"/>
              <w:keepLines w:val="0"/>
              <w:keepNext w:val="0"/>
              <w:pageBreakBefore w:val="0"/>
              <w:spacing w:line="400" w:lineRule="exact"/>
              <w:widowControl w:val="off"/>
              <w:rPr>
                <w:rFonts w:ascii="宋体" w:hAnsi="宋体"/>
                <w:sz w:val="24"/>
                <w:szCs w:val="24"/>
              </w:rPr>
            </w:pPr>
            <w:r>
              <w:rPr>
                <w:rFonts w:ascii="宋体" w:hAnsi="宋体"/>
                <w:sz w:val="24"/>
                <w:szCs w:val="24"/>
              </w:rPr>
            </w:r>
            <w:r/>
          </w:p>
        </w:tc>
      </w:tr>
    </w:tbl>
    <w:p>
      <w:pPr>
        <w:shd w:val="nil" w:color="auto"/>
        <w:rPr>
          <w:color w:val="000000"/>
          <w:sz w:val="24"/>
          <w:szCs w:val="24"/>
        </w:rPr>
      </w:pPr>
      <w:r>
        <w:rPr>
          <w:color w:val="000000"/>
          <w:sz w:val="24"/>
        </w:rPr>
        <w:br w:type="page" w:clear="all"/>
      </w:r>
      <w:r>
        <w:rPr>
          <w:color w:val="000000"/>
          <w:sz w:val="24"/>
          <w:szCs w:val="24"/>
        </w:rPr>
      </w:r>
      <w:r/>
    </w:p>
    <w:p>
      <w:pPr>
        <w:pStyle w:val="1014"/>
        <w:jc w:val="center"/>
        <w:spacing w:line="360" w:lineRule="auto"/>
        <w:rPr>
          <w:b/>
          <w:sz w:val="36"/>
          <w:szCs w:val="36"/>
        </w:rPr>
        <w:outlineLvl w:val="0"/>
      </w:pPr>
      <w:r/>
      <w:bookmarkStart w:id="676" w:name="_Toc104818928"/>
      <w:r>
        <w:rPr>
          <w:b/>
          <w:sz w:val="36"/>
          <w:szCs w:val="36"/>
        </w:rPr>
        <w:t xml:space="preserve">第四章   采购需求</w:t>
      </w:r>
      <w:bookmarkEnd w:id="676"/>
      <w:r>
        <w:rPr>
          <w:b/>
          <w:sz w:val="36"/>
          <w:szCs w:val="36"/>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一、项目概况</w:t>
      </w:r>
      <w:r>
        <w:rPr>
          <w:rFonts w:hint="eastAsia" w:ascii="宋体" w:hAnsi="宋体" w:eastAsia="宋体" w:cs="宋体"/>
          <w:b/>
          <w:bCs w:val="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与数字地图生态开展“常宝”城市IP宣传合作，拟借助数字地图流量，加速推动文交商旅服务融合，把线上声量沉淀为可查、可玩、可转化的文旅场景。</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二、服务需求</w:t>
      </w:r>
      <w:r>
        <w:rPr>
          <w:rFonts w:hint="eastAsia" w:ascii="宋体" w:hAnsi="宋体" w:eastAsia="宋体" w:cs="宋体"/>
          <w:b/>
          <w:bCs w:val="0"/>
          <w:sz w:val="24"/>
          <w:szCs w:val="24"/>
        </w:rPr>
      </w:r>
      <w:r/>
    </w:p>
    <w:p>
      <w:pPr>
        <w:pStyle w:val="1014"/>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bCs w:val="0"/>
          <w:sz w:val="24"/>
          <w:szCs w:val="24"/>
        </w:rPr>
        <w:t xml:space="preserve">1.搭建常州城市服务专区</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成交供应商应依托其地图及本地生活平台能力，搭建常州官⽅城市文旅门户页面，搜索“常州”“常州市”直达页面，整合吃住⾏游购娱全要素，常宝IP形象贯穿全⻚。核心板块包括但不限于：城市总览、景区酒店推荐、官方精品线路、文旅活动、惠民政策、消费券和语音包推送等。</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2.定制常宝语音导览包</w:t>
      </w:r>
      <w:r>
        <w:rPr>
          <w:rFonts w:hint="eastAsia" w:ascii="宋体" w:hAnsi="宋体" w:eastAsia="宋体" w:cs="宋体"/>
          <w:b/>
          <w:bCs w:val="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以常宝既有声线为素材⽣成导航语⾳包，让游客在常州导航全程听常宝陪伴，并加载场景化播报设计：如出发抵达节点的常宝专属引导语；⾏驶途中途经景点的⼀句话讲解；常州⽅⾔⾦句彩蛋；导航中适时提示⽂旅消费券可领，为消费券导流。用户定位到常州境内，自动推送常宝语音包。</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3.发放文旅消费补贴</w:t>
      </w:r>
      <w:r>
        <w:rPr>
          <w:rFonts w:hint="eastAsia" w:ascii="宋体" w:hAnsi="宋体" w:eastAsia="宋体" w:cs="宋体"/>
          <w:b/>
          <w:bCs w:val="0"/>
          <w:sz w:val="24"/>
          <w:szCs w:val="24"/>
        </w:rPr>
      </w:r>
      <w:r/>
    </w:p>
    <w:p>
      <w:pPr>
        <w:pStyle w:val="1014"/>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bCs w:val="0"/>
          <w:sz w:val="24"/>
          <w:szCs w:val="24"/>
        </w:rPr>
        <w:t xml:space="preserve">依托常州文旅服务专区，发放文旅消费券，总额不超过人民币50万元（含发券、开票相关税费）</w:t>
      </w:r>
      <w:r>
        <w:rPr>
          <w:rFonts w:hint="eastAsia" w:ascii="宋体" w:hAnsi="宋体" w:eastAsia="宋体" w:cs="宋体"/>
          <w:b w:val="0"/>
          <w:bCs/>
          <w:sz w:val="24"/>
          <w:szCs w:val="24"/>
        </w:rPr>
        <w:t xml:space="preserve">。成交供应商负责发放、核销、回流，并配合第三方做好审计，形成惠民消费闭环。</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（1）发放方式：依托平台AI测算能力，基于用户消费行为精准测算并匹配补贴额度，组合消费券包自动投放，按产品价格的3%——15%测算，单张券在3元——100元区间。</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（2）使用方式：消费券直接锁定绑定景区、酒店对应商品，无需用户手动领取，消费者在地图平台选购常州文旅商品时自动抵扣。</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（3）补贴范围：限定为常州市域内景区门票、酒店住宿相关产品。</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（4）发放用户：向在数字地图搜索常州或常州产品的用户自动推送消费券包；</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（5）消费券有效期：3天有效，领取后未使用的消费券返回资金池循环发放。</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bCs w:val="0"/>
          <w:sz w:val="24"/>
          <w:szCs w:val="24"/>
        </w:rPr>
        <w:t xml:space="preserve">4.精准曝光引流</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成交供应商应依托平台流量资源，为常宝语音包提供定向曝光引流，总曝光量不低于500万次。曝光统计口径、资源排期、投放截图、曝光数据及阶段复盘报告应按采购人要求提供，并支持采购人查询或核验。若因成交供应商原因未达到约定曝光量，应在服务期内提供同等或更高价值资源进行补量，补量费用由成交供应商承担；未经采购人确认，不得以低价值资源替代原约定资源。</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三、服务评价要求</w:t>
      </w:r>
      <w:r>
        <w:rPr>
          <w:rFonts w:hint="eastAsia" w:ascii="宋体" w:hAnsi="宋体" w:eastAsia="宋体" w:cs="宋体"/>
          <w:b/>
          <w:bCs w:val="0"/>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1.服务质量要求</w:t>
      </w:r>
      <w:r>
        <w:rPr>
          <w:rFonts w:hint="eastAsia" w:ascii="宋体" w:hAnsi="宋体" w:eastAsia="宋体" w:cs="宋体"/>
          <w:b/>
          <w:bCs w:val="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成交供应商应全面满足采购人提出的合理服务需求，保证内容展示准确、页面运行稳定、投放资源真实有效。服务过程中涉及的用户数据、平台数据和业务数据，须符合国家法律法规及采购人数据安全、网络安全、个人信息保护等相关管理要求。未经采购人书面确认，不得擅自对外使用、披露或改变采购人提供的数据内容。</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成交供应商应建立项目响应机制，对页面异常、链接错误、内容错误、投放异常等问题及时处理。一般问题应在3个工作日内响应，重大问题应即时响应并提出处理方案。服务期内，成交供应商应根据采购人提供的数据和活动安排，及时完成相关页面、活动优惠等内容更新，并至少每月开展一次线上内容巡检，发现页面异常、链接失效、信息过期、跳转错误等问题应及时整改。</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2.交付成果要求</w:t>
      </w:r>
      <w:r>
        <w:rPr>
          <w:rFonts w:hint="eastAsia" w:ascii="宋体" w:hAnsi="宋体" w:eastAsia="宋体" w:cs="宋体"/>
          <w:b/>
          <w:bCs w:val="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（1）常州城市服务专区截图、访问量报告；</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（2）“常宝”语音包平台上线截图、下载链接、曝光量和下载量报告；</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（3）及时有效发放消费券，并提供符合审计标准的核销链路数据；</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（4）项目总结报告。</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3.本项目形成的，包括但不限于常宝语音包等数字资产/知识产权归采购人所有。</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四、人员及实施要求</w:t>
      </w:r>
      <w:r>
        <w:rPr>
          <w:rFonts w:hint="eastAsia" w:ascii="宋体" w:hAnsi="宋体" w:eastAsia="宋体" w:cs="宋体"/>
          <w:b/>
          <w:bCs w:val="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服务期内，成交供应商应组建专项服务团队，至少包括项目负责人、平台运营、数据分析、投放执行、内容传播等相关人员，建立常态化沟通响应机制，保障项目按期推进、稳定运行、可验收可追踪。</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五、报价方式</w:t>
      </w:r>
      <w:r>
        <w:rPr>
          <w:rFonts w:hint="eastAsia" w:ascii="宋体" w:hAnsi="宋体" w:eastAsia="宋体" w:cs="宋体"/>
          <w:b/>
          <w:bCs w:val="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本项目报价为</w:t>
      </w:r>
      <w:r>
        <w:rPr>
          <w:rFonts w:hint="eastAsia" w:ascii="宋体" w:hAnsi="宋体" w:eastAsia="宋体" w:cs="宋体"/>
          <w:b/>
          <w:bCs/>
          <w:color w:val="000000"/>
          <w:sz w:val="24"/>
          <w:szCs w:val="24"/>
          <w:highlight w:val="none"/>
          <w:u w:val="single"/>
          <w:lang w:val="en-US" w:eastAsia="zh-CN"/>
        </w:rPr>
        <w:t xml:space="preserve">城市服务专区和常宝语音包部分</w:t>
      </w:r>
      <w:r>
        <w:rPr>
          <w:rFonts w:hint="eastAsia" w:ascii="宋体" w:hAnsi="宋体" w:eastAsia="宋体" w:cs="宋体"/>
          <w:b/>
          <w:bCs/>
          <w:color w:val="000000"/>
          <w:sz w:val="24"/>
          <w:szCs w:val="24"/>
          <w:highlight w:val="none"/>
          <w:u w:val="single"/>
        </w:rPr>
        <w:t xml:space="preserve">固定总价</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t xml:space="preserve">消费券据实结算</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rPr>
        <w:t xml:space="preserve">磋商报价应包括竞争性磋商文件所确定的采购范围相应服务的提供、人员（包括工资和补贴）、</w:t>
      </w:r>
      <w:r>
        <w:rPr>
          <w:rFonts w:hint="eastAsia" w:ascii="宋体" w:hAnsi="宋体" w:eastAsia="宋体" w:cs="宋体"/>
          <w:b/>
          <w:bCs w:val="0"/>
          <w:sz w:val="24"/>
          <w:szCs w:val="24"/>
        </w:rPr>
        <w:t xml:space="preserve">成交供应商完成本采购需求所列服务所需的策划、设计、配置、页面上线、投放执行、内容维护、问题整改、项目管理、汇报支撑、验收材料整理及相关第三方平台资源协调等费用，</w:t>
      </w:r>
      <w:r>
        <w:rPr>
          <w:rFonts w:hint="eastAsia" w:ascii="宋体" w:hAnsi="宋体" w:eastAsia="宋体" w:cs="宋体"/>
          <w:b w:val="0"/>
          <w:bCs/>
          <w:sz w:val="24"/>
          <w:szCs w:val="24"/>
        </w:rPr>
        <w:t xml:space="preserve">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rPr>
      </w:pPr>
      <w:r>
        <w:rPr>
          <w:rFonts w:hint="eastAsia" w:ascii="宋体" w:hAnsi="宋体" w:cs="宋体"/>
          <w:b/>
          <w:bCs/>
          <w:color w:val="000000"/>
          <w:sz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ascii="宋体" w:hAnsi="宋体" w:eastAsia="宋体" w:cs="宋体"/>
          <w:b/>
          <w:bCs/>
          <w:color w:val="000000"/>
          <w:sz w:val="24"/>
          <w:szCs w:val="24"/>
          <w:highlight w:val="none"/>
        </w:rPr>
        <w:t xml:space="preserve">本项目报价中须包含</w:t>
      </w:r>
      <w:r>
        <w:rPr>
          <w:rStyle w:val="1085"/>
          <w:rFonts w:ascii="宋体" w:hAnsi="宋体" w:eastAsia="宋体" w:cs="宋体"/>
          <w:b/>
          <w:bCs/>
          <w:color w:val="000000"/>
          <w:sz w:val="24"/>
          <w:szCs w:val="24"/>
          <w:highlight w:val="none"/>
        </w:rPr>
        <w:t xml:space="preserve">消费券费用</w:t>
      </w:r>
      <w:r>
        <w:rPr>
          <w:rStyle w:val="1085"/>
          <w:rFonts w:ascii="宋体" w:hAnsi="宋体" w:eastAsia="宋体" w:cs="宋体"/>
          <w:b/>
          <w:bCs/>
          <w:color w:val="000000"/>
          <w:sz w:val="24"/>
          <w:szCs w:val="24"/>
          <w:highlight w:val="none"/>
          <w:u w:val="single"/>
        </w:rPr>
        <w:t xml:space="preserve">人民币 50 万元</w:t>
      </w:r>
      <w:r>
        <w:rPr>
          <w:rStyle w:val="1085"/>
          <w:rFonts w:ascii="宋体" w:hAnsi="宋体" w:eastAsia="宋体" w:cs="宋体"/>
          <w:b/>
          <w:bCs/>
          <w:color w:val="000000"/>
          <w:sz w:val="24"/>
          <w:szCs w:val="24"/>
          <w:highlight w:val="none"/>
        </w:rPr>
        <w:t xml:space="preserve">（含消费券券额及开具发票所涉相关税费）</w:t>
      </w:r>
      <w:r>
        <w:rPr>
          <w:rFonts w:ascii="宋体" w:hAnsi="宋体" w:eastAsia="宋体" w:cs="宋体"/>
          <w:b/>
          <w:bCs/>
          <w:color w:val="000000"/>
          <w:sz w:val="24"/>
          <w:szCs w:val="24"/>
          <w:highlight w:val="none"/>
        </w:rPr>
        <w:t xml:space="preserve">，该费用为</w:t>
      </w:r>
      <w:r>
        <w:rPr>
          <w:rStyle w:val="1085"/>
          <w:rFonts w:ascii="宋体" w:hAnsi="宋体" w:eastAsia="宋体" w:cs="宋体"/>
          <w:b/>
          <w:bCs/>
          <w:color w:val="000000"/>
          <w:sz w:val="24"/>
          <w:szCs w:val="24"/>
          <w:highlight w:val="none"/>
        </w:rPr>
        <w:t xml:space="preserve">不可竞争费用</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提供承诺函（格式自拟）。</w:t>
      </w:r>
      <w:r>
        <w:rPr>
          <w:rFonts w:ascii="宋体" w:hAnsi="宋体" w:eastAsia="宋体" w:cs="宋体"/>
          <w:b/>
          <w:bCs/>
          <w:color w:val="000000"/>
          <w:sz w:val="24"/>
          <w:szCs w:val="24"/>
          <w:highlight w:val="none"/>
        </w:rPr>
        <w:t xml:space="preserve">投标人须足额计列，不得下浮、让利或从报价中扣除；</w:t>
      </w:r>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在分项报价表</w:t>
      </w:r>
      <w:r>
        <w:rPr>
          <w:rFonts w:ascii="宋体" w:hAnsi="宋体" w:eastAsia="宋体" w:cs="宋体"/>
          <w:b/>
          <w:bCs/>
          <w:color w:val="000000"/>
          <w:sz w:val="24"/>
          <w:szCs w:val="24"/>
          <w:highlight w:val="none"/>
        </w:rPr>
        <w:t xml:space="preserve">未按上述要求计列的，将作无效响应处理</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）成交供应商应配合采购人完成项目推进、阶段复盘、中期验收、最终验收及相关汇报材料整理工作。相关材料包括但不限于页面截图、投放证明、上线链接、问题整改记录、阶段总结、成果展示材料等。</w:t>
      </w:r>
      <w:r>
        <w:rPr>
          <w:rFonts w:hint="eastAsia" w:ascii="宋体" w:hAnsi="宋体" w:eastAsia="宋体" w:cs="宋体"/>
          <w:b w:val="0"/>
          <w:bCs/>
          <w:sz w:val="24"/>
          <w:szCs w:val="24"/>
          <w:highlight w:val="none"/>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六、</w:t>
      </w:r>
      <w:r>
        <w:rPr>
          <w:rFonts w:hint="eastAsia" w:ascii="宋体" w:hAnsi="宋体" w:eastAsia="宋体" w:cs="宋体"/>
          <w:b/>
          <w:bCs w:val="0"/>
          <w:sz w:val="24"/>
          <w:szCs w:val="24"/>
          <w:highlight w:val="none"/>
        </w:rPr>
        <w:t xml:space="preserve">付款方式</w:t>
      </w:r>
      <w:r>
        <w:rPr>
          <w:rFonts w:hint="eastAsia" w:ascii="宋体" w:hAnsi="宋体" w:eastAsia="宋体" w:cs="宋体"/>
          <w:b/>
          <w:bCs w:val="0"/>
          <w:sz w:val="24"/>
          <w:szCs w:val="24"/>
          <w:highlight w:val="none"/>
        </w:rPr>
      </w:r>
      <w:r/>
    </w:p>
    <w:p>
      <w:pPr>
        <w:pStyle w:val="10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合同签订后支付合同总额50%（其中城市服务专区和语音包占该部分金额的70%，消费劵预支付占30%），城市服务专区和语音包制作完毕审核通过后支付该部分尾款。消费劵经审计核算后按实支付（不超过发放总额），消费劵结算金额低于发放总额的，成交供应商应按采购人规定退还差额。审计费用由采购人承担。</w:t>
      </w:r>
      <w:r>
        <w:rPr>
          <w:rFonts w:hint="eastAsia" w:ascii="宋体" w:hAnsi="宋体" w:eastAsia="宋体" w:cs="宋体"/>
          <w:b/>
          <w:bCs/>
          <w:color w:val="000000"/>
          <w:sz w:val="24"/>
          <w:szCs w:val="24"/>
          <w:highlight w:val="none"/>
          <w:u w:val="none"/>
          <w:lang w:val="en-US" w:eastAsia="zh-CN"/>
        </w:rPr>
      </w:r>
      <w:r/>
    </w:p>
    <w:p>
      <w:pPr>
        <w:pStyle w:val="101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采购人向成交供应商每次付款前，成交供应商需提供国家正规等额发票</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因国库集中支付审批原因导致甲方迟延付款的，采购人不承担违约责任。</w:t>
      </w:r>
      <w:r>
        <w:rPr>
          <w:rFonts w:hint="eastAsia" w:ascii="宋体" w:hAnsi="宋体" w:eastAsia="宋体" w:cs="宋体"/>
          <w:b w:val="0"/>
          <w:bCs/>
          <w:color w:val="000000"/>
          <w:sz w:val="24"/>
          <w:szCs w:val="24"/>
          <w:highlight w:val="none"/>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七、</w:t>
      </w:r>
      <w:r>
        <w:rPr>
          <w:rFonts w:hint="eastAsia" w:ascii="宋体" w:hAnsi="宋体" w:eastAsia="宋体" w:cs="宋体"/>
          <w:b/>
          <w:bCs w:val="0"/>
          <w:sz w:val="24"/>
          <w:szCs w:val="24"/>
        </w:rPr>
        <w:t xml:space="preserve">服务</w:t>
      </w:r>
      <w:r>
        <w:rPr>
          <w:rFonts w:hint="eastAsia" w:ascii="宋体" w:hAnsi="宋体" w:eastAsia="宋体" w:cs="宋体"/>
          <w:b/>
          <w:bCs w:val="0"/>
          <w:sz w:val="24"/>
          <w:szCs w:val="24"/>
          <w:lang w:val="en-US" w:eastAsia="zh-CN"/>
        </w:rPr>
        <w:t xml:space="preserve">期限</w:t>
      </w:r>
      <w:r>
        <w:rPr>
          <w:rFonts w:hint="eastAsia" w:ascii="宋体" w:hAnsi="宋体" w:eastAsia="宋体" w:cs="宋体"/>
          <w:b/>
          <w:bCs w:val="0"/>
          <w:sz w:val="24"/>
          <w:szCs w:val="24"/>
          <w:lang w:eastAsia="zh-CN"/>
        </w:rPr>
      </w:r>
      <w:r/>
    </w:p>
    <w:p>
      <w:pPr>
        <w:pStyle w:val="1014"/>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bCs w:val="0"/>
          <w:sz w:val="24"/>
          <w:szCs w:val="24"/>
        </w:rPr>
        <w:t xml:space="preserve">本项目服务周期为合同签订之日起12个月。</w:t>
      </w:r>
      <w:r>
        <w:rPr>
          <w:rFonts w:hint="eastAsia" w:ascii="宋体" w:hAnsi="宋体" w:eastAsia="宋体" w:cs="宋体"/>
          <w:b w:val="0"/>
          <w:bCs/>
          <w:sz w:val="24"/>
          <w:szCs w:val="24"/>
        </w:rPr>
        <w:t xml:space="preserve">合同签订后开展常州城市服务专区搭建和语音包制作，2026年</w:t>
      </w:r>
      <w:r>
        <w:rPr>
          <w:rFonts w:hint="eastAsia" w:ascii="宋体" w:hAnsi="宋体" w:eastAsia="宋体" w:cs="宋体"/>
          <w:b w:val="0"/>
          <w:bCs/>
          <w:sz w:val="24"/>
          <w:szCs w:val="24"/>
          <w:lang w:val="en-US" w:eastAsia="zh-CN"/>
        </w:rPr>
        <w:t xml:space="preserve">年底</w:t>
      </w:r>
      <w:r>
        <w:rPr>
          <w:rFonts w:hint="eastAsia" w:ascii="宋体" w:hAnsi="宋体" w:eastAsia="宋体" w:cs="宋体"/>
          <w:b w:val="0"/>
          <w:bCs/>
          <w:sz w:val="24"/>
          <w:szCs w:val="24"/>
        </w:rPr>
        <w:t xml:space="preserve">完成，并同步搭载消费券发放模块。2027年新年期间上线发放消费券。</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城市服务专区展示期限：上线之日起6个月；消费券发放期限：上线之日起6个月（用完即止）。</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具体上线节点、投放排期等由采购人结合年度重点活动安排确定。对于重大节日节点或</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rPr>
        <w:t xml:space="preserve">特殊时段所需要的视觉呈现调整和页面上新，</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rPr>
        <w:t xml:space="preserve">应该予以随时配合调整，满足</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rPr>
        <w:t xml:space="preserve">服务期限内的各项工作需要。</w:t>
      </w:r>
      <w:r>
        <w:rPr>
          <w:rFonts w:hint="eastAsia" w:ascii="宋体" w:hAnsi="宋体" w:eastAsia="宋体" w:cs="宋体"/>
          <w:b w:val="0"/>
          <w:bCs/>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八</w:t>
      </w:r>
      <w:r>
        <w:rPr>
          <w:rFonts w:hint="eastAsia" w:ascii="宋体" w:hAnsi="宋体" w:eastAsia="宋体" w:cs="宋体"/>
          <w:b/>
          <w:bCs w:val="0"/>
          <w:sz w:val="24"/>
          <w:szCs w:val="24"/>
        </w:rPr>
        <w:t xml:space="preserve">、其他</w:t>
      </w:r>
      <w:r>
        <w:rPr>
          <w:rFonts w:hint="eastAsia" w:ascii="宋体" w:hAnsi="宋体" w:eastAsia="宋体" w:cs="宋体"/>
          <w:b/>
          <w:bCs w:val="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形成的报告、页面内容、投放素材、汇报材料等成果，在不违反法律法规及平台数据安全规则的前提下，采购人有权用于项目宣传、工作汇报、内部研究、媒体发布及后续运营推广。成交供应商应保证其提供内容不侵犯第三方合法权益。</w:t>
      </w:r>
      <w:r>
        <w:rPr>
          <w:rFonts w:hint="eastAsia" w:ascii="宋体" w:hAnsi="宋体" w:eastAsia="宋体" w:cs="宋体"/>
          <w:b w:val="0"/>
          <w:bCs/>
          <w:sz w:val="24"/>
          <w:szCs w:val="24"/>
        </w:rPr>
      </w:r>
      <w:r/>
    </w:p>
    <w:p>
      <w:pPr>
        <w:shd w:val="nil" w:color="auto"/>
        <w:rPr>
          <w:b/>
          <w:bCs/>
          <w:sz w:val="36"/>
          <w:szCs w:val="36"/>
        </w:rPr>
      </w:pPr>
      <w:r>
        <w:rPr>
          <w:b/>
          <w:sz w:val="36"/>
          <w:szCs w:val="36"/>
          <w:highlight w:val="none"/>
        </w:rPr>
        <w:br w:type="page" w:clear="all"/>
      </w:r>
      <w:r>
        <w:rPr>
          <w:b/>
          <w:sz w:val="36"/>
          <w:szCs w:val="36"/>
          <w:highlight w:val="none"/>
        </w:rPr>
      </w:r>
      <w:r/>
    </w:p>
    <w:p>
      <w:pPr>
        <w:pStyle w:val="1014"/>
        <w:jc w:val="center"/>
        <w:keepLines w:val="0"/>
        <w:keepNext w:val="0"/>
        <w:pageBreakBefore w:val="0"/>
        <w:spacing w:line="360" w:lineRule="auto"/>
        <w:widowControl/>
        <w:rPr>
          <w:b/>
          <w:bCs/>
          <w:sz w:val="36"/>
          <w:szCs w:val="36"/>
          <w:highlight w:val="none"/>
        </w:rPr>
      </w:pPr>
      <w:r>
        <w:rPr>
          <w:b/>
          <w:sz w:val="36"/>
          <w:szCs w:val="36"/>
        </w:rPr>
        <w:t xml:space="preserve"> </w:t>
      </w:r>
      <w:bookmarkStart w:id="677" w:name="_Toc104818929"/>
      <w:r>
        <w:rPr>
          <w:b/>
          <w:sz w:val="36"/>
          <w:szCs w:val="36"/>
        </w:rPr>
        <w:t xml:space="preserve">第五章   合同草案条款</w:t>
      </w:r>
      <w:bookmarkEnd w:id="677"/>
      <w:r>
        <w:rPr>
          <w:b/>
          <w:sz w:val="36"/>
          <w:szCs w:val="36"/>
        </w:rPr>
      </w:r>
      <w:r/>
    </w:p>
    <w:p>
      <w:pPr>
        <w:pStyle w:val="1053"/>
        <w:spacing w:line="360" w:lineRule="auto"/>
        <w:rPr>
          <w:rFonts w:hint="eastAsia" w:ascii="宋体" w:hAnsi="宋体" w:eastAsia="宋体" w:cs="宋体"/>
          <w:color w:val="000000"/>
          <w:sz w:val="24"/>
          <w:szCs w:val="24"/>
        </w:rPr>
      </w:pPr>
      <w:r/>
      <w:bookmarkStart w:id="678" w:name="_Toc104818930"/>
      <w:r>
        <w:rPr>
          <w:rFonts w:hint="eastAsia" w:ascii="宋体" w:hAnsi="宋体" w:eastAsia="宋体" w:cs="宋体"/>
          <w:b/>
          <w:color w:val="000000"/>
          <w:sz w:val="24"/>
          <w:szCs w:val="24"/>
          <w:lang w:val="zh-CN"/>
        </w:rPr>
        <w:t xml:space="preserve">采购人（以下称甲</w:t>
      </w:r>
      <w:r>
        <w:rPr>
          <w:rFonts w:hint="eastAsia" w:ascii="宋体" w:hAnsi="宋体" w:eastAsia="宋体" w:cs="宋体"/>
          <w:b/>
          <w:color w:val="000000"/>
          <w:sz w:val="24"/>
          <w:szCs w:val="24"/>
        </w:rPr>
        <w:t xml:space="preserve">方）:                       </w:t>
      </w:r>
      <w:r>
        <w:rPr>
          <w:rFonts w:hint="eastAsia" w:ascii="宋体" w:hAnsi="宋体" w:eastAsia="宋体" w:cs="宋体"/>
          <w:color w:val="000000"/>
          <w:sz w:val="24"/>
          <w:szCs w:val="24"/>
        </w:rPr>
        <w:t xml:space="preserve">合同编号：</w:t>
      </w:r>
      <w:r>
        <w:rPr>
          <w:rFonts w:hint="eastAsia" w:ascii="宋体" w:hAnsi="宋体" w:eastAsia="宋体" w:cs="宋体"/>
          <w:color w:val="000000"/>
          <w:sz w:val="24"/>
          <w:szCs w:val="24"/>
        </w:rPr>
      </w:r>
      <w:r/>
    </w:p>
    <w:p>
      <w:pPr>
        <w:pStyle w:val="1053"/>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供应商（</w:t>
      </w:r>
      <w:r>
        <w:rPr>
          <w:rFonts w:hint="eastAsia" w:ascii="宋体" w:hAnsi="宋体" w:eastAsia="宋体" w:cs="宋体"/>
          <w:b/>
          <w:color w:val="000000"/>
          <w:sz w:val="24"/>
          <w:szCs w:val="24"/>
          <w:lang w:val="zh-CN"/>
        </w:rPr>
        <w:t xml:space="preserve">以下称</w:t>
      </w:r>
      <w:r>
        <w:rPr>
          <w:rFonts w:hint="eastAsia" w:ascii="宋体" w:hAnsi="宋体" w:eastAsia="宋体" w:cs="宋体"/>
          <w:b/>
          <w:color w:val="000000"/>
          <w:sz w:val="24"/>
          <w:szCs w:val="24"/>
        </w:rPr>
        <w:t xml:space="preserve">乙方）:                       </w:t>
      </w:r>
      <w:r>
        <w:rPr>
          <w:rFonts w:hint="eastAsia" w:ascii="宋体" w:hAnsi="宋体" w:eastAsia="宋体" w:cs="宋体"/>
          <w:color w:val="000000"/>
          <w:sz w:val="24"/>
          <w:szCs w:val="24"/>
        </w:rPr>
        <w:t xml:space="preserve">签订地点：</w:t>
      </w:r>
      <w:r>
        <w:rPr>
          <w:rFonts w:hint="eastAsia" w:ascii="宋体" w:hAnsi="宋体" w:eastAsia="宋体" w:cs="宋体"/>
          <w:color w:val="000000"/>
          <w:sz w:val="24"/>
          <w:szCs w:val="24"/>
          <w:u w:val="single"/>
        </w:rPr>
      </w:r>
      <w:r/>
    </w:p>
    <w:p>
      <w:pPr>
        <w:pStyle w:val="1028"/>
        <w:ind w:firstLine="52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合同时间：</w:t>
      </w:r>
      <w:r>
        <w:rPr>
          <w:rFonts w:hint="eastAsia" w:ascii="宋体" w:hAnsi="宋体" w:eastAsia="宋体" w:cs="宋体"/>
          <w:color w:val="000000"/>
          <w:sz w:val="24"/>
          <w:szCs w:val="24"/>
          <w:u w:val="single"/>
        </w:rPr>
        <w:t xml:space="preserve">    年   月   日</w:t>
      </w:r>
      <w:r>
        <w:rPr>
          <w:rFonts w:hint="eastAsia" w:ascii="宋体" w:hAnsi="宋体" w:eastAsia="宋体" w:cs="宋体"/>
          <w:b/>
          <w:color w:val="000000"/>
          <w:sz w:val="24"/>
          <w:szCs w:val="24"/>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rPr>
      </w:r>
      <w:r/>
    </w:p>
    <w:p>
      <w:pPr>
        <w:pStyle w:val="1053"/>
        <w:ind w:firstLine="487"/>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第一条 合同标的</w:t>
      </w:r>
      <w:r>
        <w:rPr>
          <w:rFonts w:hint="eastAsia" w:ascii="宋体" w:hAnsi="宋体" w:eastAsia="宋体" w:cs="宋体"/>
          <w:b/>
          <w:color w:val="000000"/>
          <w:sz w:val="24"/>
          <w:szCs w:val="24"/>
        </w:rPr>
      </w:r>
      <w:r/>
    </w:p>
    <w:p>
      <w:pPr>
        <w:pStyle w:val="1014"/>
        <w:ind w:firstLine="484"/>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乙方根据甲方需求提供下列服务：</w:t>
      </w:r>
      <w:r>
        <w:rPr>
          <w:rFonts w:hint="eastAsia" w:ascii="宋体" w:hAnsi="宋体" w:eastAsia="宋体" w:cs="宋体"/>
          <w:b/>
          <w:bCs/>
          <w:color w:val="000000"/>
          <w:sz w:val="24"/>
          <w:szCs w:val="24"/>
          <w:lang w:val="zh-CN"/>
        </w:rPr>
        <w:t xml:space="preserve">“头部数字地图平台城市IP宣传合作”</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t xml:space="preserve">系指根据合同规定乙方须承担与服务有关的所有辅助服务</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本项目形成的报告、页面内容、投放素材、汇报材料等成果，在不违反法律法规及平台数据安全规则的前提下，</w:t>
      </w:r>
      <w:r>
        <w:rPr>
          <w:rFonts w:hint="eastAsia" w:ascii="宋体" w:hAnsi="宋体" w:eastAsia="宋体" w:cs="宋体"/>
          <w:b w:val="0"/>
          <w:bCs/>
          <w:sz w:val="24"/>
          <w:szCs w:val="24"/>
          <w:lang w:val="en-US" w:eastAsia="zh-CN"/>
        </w:rPr>
        <w:t xml:space="preserve">甲方</w:t>
      </w:r>
      <w:r>
        <w:rPr>
          <w:rFonts w:hint="eastAsia" w:ascii="宋体" w:hAnsi="宋体" w:eastAsia="宋体" w:cs="宋体"/>
          <w:b w:val="0"/>
          <w:bCs/>
          <w:sz w:val="24"/>
          <w:szCs w:val="24"/>
        </w:rPr>
        <w:t xml:space="preserve">有权用于项目宣传、工作汇报、内部研究、媒体发布及后续运营推广。</w:t>
      </w:r>
      <w:r>
        <w:rPr>
          <w:rFonts w:hint="eastAsia" w:ascii="宋体" w:hAnsi="宋体" w:eastAsia="宋体" w:cs="宋体"/>
          <w:b w:val="0"/>
          <w:bCs/>
          <w:sz w:val="24"/>
          <w:szCs w:val="24"/>
          <w:lang w:val="en-US" w:eastAsia="zh-CN"/>
        </w:rPr>
        <w:t xml:space="preserve">乙方</w:t>
      </w:r>
      <w:r>
        <w:rPr>
          <w:rFonts w:hint="eastAsia" w:ascii="宋体" w:hAnsi="宋体" w:eastAsia="宋体" w:cs="宋体"/>
          <w:b w:val="0"/>
          <w:bCs/>
          <w:sz w:val="24"/>
          <w:szCs w:val="24"/>
        </w:rPr>
        <w:t xml:space="preserve">应保证其提供内容不侵犯第三方合法权益。</w:t>
      </w:r>
      <w:r>
        <w:rPr>
          <w:rFonts w:hint="eastAsia" w:ascii="宋体" w:hAnsi="宋体" w:eastAsia="宋体" w:cs="宋体"/>
          <w:b w:val="0"/>
          <w:bCs/>
          <w:sz w:val="24"/>
          <w:szCs w:val="24"/>
        </w:rPr>
      </w:r>
      <w:r/>
    </w:p>
    <w:p>
      <w:pPr>
        <w:pStyle w:val="1053"/>
        <w:ind w:firstLine="487"/>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合同价格</w:t>
      </w:r>
      <w:r>
        <w:rPr>
          <w:rFonts w:hint="eastAsia" w:ascii="宋体" w:hAnsi="宋体" w:eastAsia="宋体" w:cs="宋体"/>
          <w:b/>
          <w:color w:val="000000"/>
          <w:sz w:val="24"/>
          <w:szCs w:val="24"/>
        </w:rPr>
      </w:r>
      <w:r/>
    </w:p>
    <w:p>
      <w:pPr>
        <w:pStyle w:val="1053"/>
        <w:ind w:firstLine="487"/>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签约合同总价（人民币，下同）：</w:t>
      </w:r>
      <w:r>
        <w:rPr>
          <w:rFonts w:hint="eastAsia" w:ascii="宋体" w:hAnsi="宋体" w:eastAsia="宋体" w:cs="宋体"/>
          <w:b/>
          <w:color w:val="000000"/>
          <w:sz w:val="24"/>
          <w:szCs w:val="24"/>
          <w:u w:val="single"/>
        </w:rPr>
        <w:t xml:space="preserve">             元</w:t>
      </w:r>
      <w:r>
        <w:rPr>
          <w:rFonts w:hint="eastAsia" w:ascii="宋体" w:hAnsi="宋体" w:eastAsia="宋体" w:cs="宋体"/>
          <w:b/>
          <w:color w:val="000000"/>
          <w:sz w:val="24"/>
          <w:szCs w:val="24"/>
        </w:rPr>
        <w:t xml:space="preserve">（小写       ）。 </w:t>
      </w:r>
      <w:r>
        <w:rPr>
          <w:rFonts w:hint="eastAsia" w:ascii="宋体" w:hAnsi="宋体" w:eastAsia="宋体" w:cs="宋体"/>
          <w:b/>
          <w:color w:val="000000"/>
          <w:sz w:val="24"/>
          <w:szCs w:val="24"/>
        </w:rPr>
      </w:r>
      <w:r/>
    </w:p>
    <w:p>
      <w:pPr>
        <w:pStyle w:val="1053"/>
        <w:ind w:firstLine="484"/>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本合同总价包括竞争性磋商文件所确定的采购范围相应服务的提供、人员（包括工资和补贴）、</w:t>
      </w:r>
      <w:r>
        <w:rPr>
          <w:rFonts w:hint="eastAsia" w:ascii="宋体" w:hAnsi="宋体" w:eastAsia="宋体" w:cs="宋体"/>
          <w:b w:val="0"/>
          <w:bCs/>
          <w:sz w:val="24"/>
          <w:szCs w:val="24"/>
          <w:lang w:val="en-US" w:eastAsia="zh-CN"/>
        </w:rPr>
        <w:t xml:space="preserve">乙方</w:t>
      </w:r>
      <w:r>
        <w:rPr>
          <w:rFonts w:hint="eastAsia" w:ascii="宋体" w:hAnsi="宋体" w:eastAsia="宋体" w:cs="宋体"/>
          <w:b w:val="0"/>
          <w:bCs/>
          <w:sz w:val="24"/>
          <w:szCs w:val="24"/>
        </w:rPr>
        <w:t xml:space="preserve">完成本采购需求所列服务所需的策划、设计、配置、页面上线、投放执行、内容维护、问题整改、项目管理、汇报支撑、验收材料整理及相关第三方平台资源协调等费用，</w:t>
      </w:r>
      <w:r>
        <w:rPr>
          <w:rFonts w:hint="eastAsia" w:ascii="宋体" w:hAnsi="宋体" w:eastAsia="宋体" w:cs="宋体"/>
          <w:b w:val="0"/>
          <w:bCs w:val="0"/>
          <w:color w:val="000000"/>
          <w:sz w:val="24"/>
          <w:szCs w:val="24"/>
        </w:rPr>
        <w:t xml:space="preserve">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val="0"/>
          <w:bCs/>
          <w:sz w:val="24"/>
          <w:szCs w:val="24"/>
          <w:lang w:val="en-US" w:eastAsia="zh-CN"/>
        </w:rPr>
        <w:t xml:space="preserve">乙方</w:t>
      </w:r>
      <w:r>
        <w:rPr>
          <w:rFonts w:hint="eastAsia" w:ascii="宋体" w:hAnsi="宋体" w:eastAsia="宋体" w:cs="宋体"/>
          <w:b w:val="0"/>
          <w:bCs w:val="0"/>
          <w:color w:val="000000"/>
          <w:sz w:val="24"/>
          <w:szCs w:val="24"/>
        </w:rPr>
        <w:t xml:space="preserve">不再支付其他任何费用。</w:t>
      </w:r>
      <w:r>
        <w:rPr>
          <w:rFonts w:hint="eastAsia" w:ascii="宋体" w:hAnsi="宋体" w:eastAsia="宋体" w:cs="宋体"/>
          <w:b w:val="0"/>
          <w:bCs w:val="0"/>
          <w:color w:val="00000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乙方</w:t>
      </w:r>
      <w:r>
        <w:rPr>
          <w:rFonts w:hint="eastAsia" w:ascii="宋体" w:hAnsi="宋体" w:eastAsia="宋体" w:cs="宋体"/>
          <w:b w:val="0"/>
          <w:bCs/>
          <w:sz w:val="24"/>
          <w:szCs w:val="24"/>
        </w:rPr>
        <w:t xml:space="preserve">应配合</w:t>
      </w:r>
      <w:r>
        <w:rPr>
          <w:rFonts w:hint="eastAsia" w:ascii="宋体" w:hAnsi="宋体" w:eastAsia="宋体" w:cs="宋体"/>
          <w:b w:val="0"/>
          <w:bCs/>
          <w:sz w:val="24"/>
          <w:szCs w:val="24"/>
          <w:lang w:eastAsia="zh-CN"/>
        </w:rPr>
        <w:t xml:space="preserve">甲方</w:t>
      </w:r>
      <w:r>
        <w:rPr>
          <w:rFonts w:hint="eastAsia" w:ascii="宋体" w:hAnsi="宋体" w:eastAsia="宋体" w:cs="宋体"/>
          <w:b w:val="0"/>
          <w:bCs/>
          <w:sz w:val="24"/>
          <w:szCs w:val="24"/>
        </w:rPr>
        <w:t xml:space="preserve">完成项目推进、阶段复盘、中期验收、最终验收及相关汇报材料整理工作。相关材料包括但不限于页面截图、投放证明、上线链接、问题整改记录、阶段总结、成果展示材料等。</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本项目形成的页面内容、投放素材、汇报材料等成果，在不违反法律法规及平台数据安全规则的前提下，</w:t>
      </w:r>
      <w:r>
        <w:rPr>
          <w:rFonts w:hint="eastAsia" w:ascii="宋体" w:hAnsi="宋体" w:eastAsia="宋体" w:cs="宋体"/>
          <w:b w:val="0"/>
          <w:bCs/>
          <w:sz w:val="24"/>
          <w:szCs w:val="24"/>
          <w:lang w:eastAsia="zh-CN"/>
        </w:rPr>
        <w:t xml:space="preserve">甲方</w:t>
      </w:r>
      <w:r>
        <w:rPr>
          <w:rFonts w:hint="eastAsia" w:ascii="宋体" w:hAnsi="宋体" w:eastAsia="宋体" w:cs="宋体"/>
          <w:b w:val="0"/>
          <w:bCs/>
          <w:sz w:val="24"/>
          <w:szCs w:val="24"/>
        </w:rPr>
        <w:t xml:space="preserve">有权用于项目宣传、工作汇报、内部研究、媒体发布及后续运营推广。</w:t>
      </w:r>
      <w:r>
        <w:rPr>
          <w:rFonts w:hint="eastAsia" w:ascii="宋体" w:hAnsi="宋体" w:eastAsia="宋体" w:cs="宋体"/>
          <w:b w:val="0"/>
          <w:bCs/>
          <w:sz w:val="24"/>
          <w:szCs w:val="24"/>
          <w:lang w:eastAsia="zh-CN"/>
        </w:rPr>
        <w:t xml:space="preserve">乙方</w:t>
      </w:r>
      <w:r>
        <w:rPr>
          <w:rFonts w:hint="eastAsia" w:ascii="宋体" w:hAnsi="宋体" w:eastAsia="宋体" w:cs="宋体"/>
          <w:b w:val="0"/>
          <w:bCs/>
          <w:sz w:val="24"/>
          <w:szCs w:val="24"/>
        </w:rPr>
        <w:t xml:space="preserve">应保证其提供内容不侵犯第三方合法权益。</w:t>
      </w:r>
      <w:r>
        <w:rPr>
          <w:rFonts w:hint="eastAsia" w:ascii="宋体" w:hAnsi="宋体" w:eastAsia="宋体" w:cs="宋体"/>
          <w:b w:val="0"/>
          <w:bCs/>
          <w:sz w:val="24"/>
          <w:szCs w:val="24"/>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本合同总价款还包含乙方应当提供的伴随服务/售后服务费用。</w:t>
      </w:r>
      <w:r>
        <w:rPr>
          <w:rFonts w:hint="eastAsia" w:ascii="宋体" w:hAnsi="宋体" w:eastAsia="宋体" w:cs="宋体"/>
          <w:color w:val="000000"/>
          <w:sz w:val="24"/>
          <w:szCs w:val="24"/>
        </w:rPr>
      </w:r>
      <w:r/>
    </w:p>
    <w:p>
      <w:pPr>
        <w:pStyle w:val="105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合同履行期限</w:t>
      </w:r>
      <w:r>
        <w:rPr>
          <w:rFonts w:hint="eastAsia" w:ascii="宋体" w:hAnsi="宋体" w:eastAsia="宋体" w:cs="宋体"/>
          <w:b/>
          <w:color w:val="000000"/>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本项目服务周期为合同签订之日起12个月。合同签订后开展常州城市服务专区搭建和语音包制作，2026年</w:t>
      </w:r>
      <w:r>
        <w:rPr>
          <w:rFonts w:hint="eastAsia" w:ascii="宋体" w:hAnsi="宋体" w:eastAsia="宋体" w:cs="宋体"/>
          <w:b w:val="0"/>
          <w:bCs/>
          <w:sz w:val="24"/>
          <w:szCs w:val="24"/>
          <w:lang w:val="en-US" w:eastAsia="zh-CN"/>
        </w:rPr>
        <w:t xml:space="preserve">年底</w:t>
      </w:r>
      <w:r>
        <w:rPr>
          <w:rFonts w:hint="eastAsia" w:ascii="宋体" w:hAnsi="宋体" w:eastAsia="宋体" w:cs="宋体"/>
          <w:b w:val="0"/>
          <w:bCs/>
          <w:sz w:val="24"/>
          <w:szCs w:val="24"/>
        </w:rPr>
        <w:t xml:space="preserve">完成，并同步搭载消费券发放模块。2027年新年期间上线发放消费券。</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城市服务专区展示期限：上线之日起6个月；消费券发放期限：上线之日起6个月（用完即止）。</w:t>
      </w:r>
      <w:r>
        <w:rPr>
          <w:rFonts w:hint="eastAsia" w:ascii="宋体" w:hAnsi="宋体" w:eastAsia="宋体" w:cs="宋体"/>
          <w:b w:val="0"/>
          <w:bCs/>
          <w:sz w:val="24"/>
          <w:szCs w:val="24"/>
        </w:rPr>
      </w:r>
      <w:r/>
    </w:p>
    <w:p>
      <w:pPr>
        <w:pStyle w:val="1014"/>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具体上线节点、投放排期等由采购人结合年度重点活动安排确定。对于重大节日节点或</w:t>
      </w:r>
      <w:r>
        <w:rPr>
          <w:rFonts w:hint="eastAsia" w:ascii="宋体" w:hAnsi="宋体" w:eastAsia="宋体" w:cs="宋体"/>
          <w:b w:val="0"/>
          <w:bCs/>
          <w:sz w:val="24"/>
          <w:szCs w:val="24"/>
          <w:lang w:val="en-US" w:eastAsia="zh-CN"/>
        </w:rPr>
        <w:t xml:space="preserve">甲方</w:t>
      </w:r>
      <w:r>
        <w:rPr>
          <w:rFonts w:hint="eastAsia" w:ascii="宋体" w:hAnsi="宋体" w:eastAsia="宋体" w:cs="宋体"/>
          <w:b w:val="0"/>
          <w:bCs/>
          <w:sz w:val="24"/>
          <w:szCs w:val="24"/>
        </w:rPr>
        <w:t xml:space="preserve">特殊时段所需要的视觉呈现调整和页面上新，</w:t>
      </w:r>
      <w:r>
        <w:rPr>
          <w:rFonts w:hint="eastAsia" w:ascii="宋体" w:hAnsi="宋体" w:eastAsia="宋体" w:cs="宋体"/>
          <w:b w:val="0"/>
          <w:bCs/>
          <w:sz w:val="24"/>
          <w:szCs w:val="24"/>
          <w:lang w:val="en-US" w:eastAsia="zh-CN"/>
        </w:rPr>
        <w:t xml:space="preserve">乙方</w:t>
      </w:r>
      <w:r>
        <w:rPr>
          <w:rFonts w:hint="eastAsia" w:ascii="宋体" w:hAnsi="宋体" w:eastAsia="宋体" w:cs="宋体"/>
          <w:b w:val="0"/>
          <w:bCs/>
          <w:sz w:val="24"/>
          <w:szCs w:val="24"/>
        </w:rPr>
        <w:t xml:space="preserve">应该予以随时配合调整，满足</w:t>
      </w:r>
      <w:r>
        <w:rPr>
          <w:rFonts w:hint="eastAsia" w:ascii="宋体" w:hAnsi="宋体" w:eastAsia="宋体" w:cs="宋体"/>
          <w:b w:val="0"/>
          <w:bCs/>
          <w:sz w:val="24"/>
          <w:szCs w:val="24"/>
          <w:lang w:val="en-US" w:eastAsia="zh-CN"/>
        </w:rPr>
        <w:t xml:space="preserve">甲方</w:t>
      </w:r>
      <w:r>
        <w:rPr>
          <w:rFonts w:hint="eastAsia" w:ascii="宋体" w:hAnsi="宋体" w:eastAsia="宋体" w:cs="宋体"/>
          <w:b w:val="0"/>
          <w:bCs/>
          <w:sz w:val="24"/>
          <w:szCs w:val="24"/>
        </w:rPr>
        <w:t xml:space="preserve">服务期限内的各项工作需要。</w:t>
      </w:r>
      <w:r>
        <w:rPr>
          <w:rFonts w:hint="eastAsia" w:ascii="宋体" w:hAnsi="宋体" w:eastAsia="宋体" w:cs="宋体"/>
          <w:b w:val="0"/>
          <w:bCs/>
          <w:sz w:val="24"/>
          <w:szCs w:val="24"/>
        </w:rPr>
      </w:r>
      <w:r/>
    </w:p>
    <w:p>
      <w:pPr>
        <w:pStyle w:val="1053"/>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第四条 组成本合同的有关文件</w:t>
      </w:r>
      <w:r>
        <w:rPr>
          <w:rFonts w:hint="eastAsia" w:ascii="宋体" w:hAnsi="宋体" w:eastAsia="宋体" w:cs="宋体"/>
          <w:b/>
          <w:color w:val="000000"/>
          <w:sz w:val="24"/>
          <w:szCs w:val="24"/>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（1）竞争性磋商文件（编号：   ）          （2）乙方提供的磋商响应文件； </w:t>
      </w:r>
      <w:r>
        <w:rPr>
          <w:rFonts w:hint="eastAsia" w:ascii="宋体" w:hAnsi="宋体" w:eastAsia="宋体" w:cs="宋体"/>
          <w:color w:val="000000"/>
          <w:sz w:val="24"/>
          <w:szCs w:val="24"/>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（3）成交通知书；                         （4）甲乙双方商定的其他文件等。</w:t>
      </w:r>
      <w:r>
        <w:rPr>
          <w:rFonts w:hint="eastAsia" w:ascii="宋体" w:hAnsi="宋体" w:eastAsia="宋体" w:cs="宋体"/>
          <w:color w:val="000000"/>
          <w:sz w:val="24"/>
          <w:szCs w:val="24"/>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第五条 合同款结算及支付</w:t>
      </w:r>
      <w:r>
        <w:rPr>
          <w:rFonts w:hint="eastAsia" w:ascii="宋体" w:hAnsi="宋体" w:eastAsia="宋体" w:cs="宋体"/>
          <w:b/>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2.本合同项下的采购资金由甲方自行支付，乙方向甲方开具发票。</w:t>
      </w:r>
      <w:r>
        <w:rPr>
          <w:rFonts w:hint="eastAsia" w:ascii="宋体" w:hAnsi="宋体" w:eastAsia="宋体" w:cs="宋体"/>
          <w:sz w:val="24"/>
          <w:szCs w:val="24"/>
        </w:rPr>
      </w:r>
      <w:r/>
    </w:p>
    <w:p>
      <w:pPr>
        <w:pStyle w:val="1014"/>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3.结算原则：</w:t>
      </w:r>
      <w:r>
        <w:rPr>
          <w:rFonts w:hint="eastAsia" w:ascii="宋体" w:hAnsi="宋体" w:eastAsia="宋体" w:cs="宋体"/>
          <w:b/>
          <w:bCs w:val="0"/>
          <w:color w:val="000000"/>
          <w:sz w:val="24"/>
          <w:szCs w:val="24"/>
          <w:highlight w:val="none"/>
          <w:lang w:val="en-US" w:eastAsia="zh-CN"/>
        </w:rPr>
        <w:t xml:space="preserve">城市服务专区和常宝语音包部分</w:t>
      </w:r>
      <w:r>
        <w:rPr>
          <w:rFonts w:hint="eastAsia" w:ascii="宋体" w:hAnsi="宋体" w:eastAsia="宋体" w:cs="宋体"/>
          <w:b/>
          <w:bCs w:val="0"/>
          <w:color w:val="000000"/>
          <w:sz w:val="24"/>
          <w:szCs w:val="24"/>
          <w:highlight w:val="none"/>
        </w:rPr>
        <w:t xml:space="preserve">固定总价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消费券据实结算</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1014"/>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4.付款方式：</w:t>
      </w:r>
      <w:r>
        <w:rPr>
          <w:rFonts w:hint="eastAsia" w:ascii="宋体" w:hAnsi="宋体" w:eastAsia="宋体" w:cs="宋体"/>
          <w:b/>
          <w:bCs w:val="0"/>
          <w:color w:val="000000"/>
          <w:sz w:val="24"/>
          <w:szCs w:val="24"/>
          <w:highlight w:val="none"/>
          <w:lang w:val="en-US" w:eastAsia="zh-CN"/>
        </w:rPr>
        <w:t xml:space="preserve">合同签订后支付合同总额50%（其中城市服务专区和语音包占该部分金额的70%，消费劵预支付占30%），城市服务专区和语音包制作完毕审核通过后支付该部分尾款。消费劵经审计核算后按实支付（不超过发放总额），消费劵结算金额低于发放总额的，乙方应按甲方规定退还差额。审计费用由甲方承担。</w:t>
      </w:r>
      <w:r>
        <w:rPr>
          <w:rFonts w:hint="eastAsia" w:ascii="宋体" w:hAnsi="宋体" w:eastAsia="宋体" w:cs="宋体"/>
          <w:b/>
          <w:bCs w:val="0"/>
          <w:color w:val="000000"/>
          <w:sz w:val="24"/>
          <w:szCs w:val="24"/>
          <w:highlight w:val="none"/>
          <w:lang w:val="en-US" w:eastAsia="zh-CN"/>
        </w:rPr>
      </w:r>
      <w:r/>
    </w:p>
    <w:p>
      <w:pPr>
        <w:pStyle w:val="1014"/>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采购人向成交供应商每次付款前，成交供应商需提供国家正规等额发票，因国库集中支付审批原因导致甲方迟延付款的，采购人不承担违约责任。</w:t>
      </w:r>
      <w:r>
        <w:rPr>
          <w:rFonts w:hint="eastAsia" w:ascii="宋体" w:hAnsi="宋体" w:eastAsia="宋体" w:cs="宋体"/>
          <w:b/>
          <w:bCs w:val="0"/>
          <w:color w:val="000000"/>
          <w:sz w:val="24"/>
          <w:szCs w:val="24"/>
          <w:highlight w:val="none"/>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第六条 违约责任</w:t>
      </w:r>
      <w:r>
        <w:rPr>
          <w:rFonts w:hint="eastAsia" w:ascii="宋体" w:hAnsi="宋体" w:eastAsia="宋体" w:cs="宋体"/>
          <w:b/>
          <w:sz w:val="24"/>
          <w:szCs w:val="24"/>
        </w:rPr>
      </w:r>
      <w:r/>
    </w:p>
    <w:p>
      <w:pPr>
        <w:pStyle w:val="10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sz w:val="24"/>
          <w:szCs w:val="24"/>
        </w:rPr>
      </w:r>
      <w:r/>
    </w:p>
    <w:p>
      <w:pPr>
        <w:pStyle w:val="10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2.甲方未按合同规定的期限向乙方支付货款的，每逾期1天甲方向乙方偿付欠款总额的5‰滞纳金，但累计滞纳金总额不超过欠款总额的5%。</w:t>
      </w:r>
      <w:r>
        <w:rPr>
          <w:rFonts w:hint="eastAsia" w:ascii="宋体" w:hAnsi="宋体" w:eastAsia="宋体" w:cs="宋体"/>
          <w:sz w:val="24"/>
          <w:szCs w:val="24"/>
        </w:rPr>
      </w:r>
      <w:r/>
    </w:p>
    <w:p>
      <w:pPr>
        <w:pStyle w:val="10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3.乙方未按本合同的规定和“服务承诺”提供伴随服务的，甲方有权提前解除本合同，同时乙方应按合同总价款的5%向甲方承担违约责任。</w:t>
      </w:r>
      <w:r>
        <w:rPr>
          <w:rFonts w:hint="eastAsia" w:ascii="宋体" w:hAnsi="宋体" w:eastAsia="宋体" w:cs="宋体"/>
          <w:sz w:val="24"/>
          <w:szCs w:val="24"/>
        </w:rPr>
      </w:r>
      <w:r/>
    </w:p>
    <w:p>
      <w:pPr>
        <w:pStyle w:val="10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4"/>
          <w:szCs w:val="24"/>
        </w:rPr>
      </w:r>
      <w:r/>
    </w:p>
    <w:p>
      <w:pPr>
        <w:pStyle w:val="10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sz w:val="24"/>
          <w:szCs w:val="24"/>
        </w:rPr>
      </w:r>
      <w:r/>
    </w:p>
    <w:p>
      <w:pPr>
        <w:pStyle w:val="10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6.其他未尽事宜，以《民法典》等有关法律法规规定为准，无相关规定的，双方协商解决。</w:t>
      </w:r>
      <w:r>
        <w:rPr>
          <w:rFonts w:hint="eastAsia" w:ascii="宋体" w:hAnsi="宋体" w:eastAsia="宋体" w:cs="宋体"/>
          <w:sz w:val="24"/>
          <w:szCs w:val="24"/>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第七条 合同的变更和终止</w:t>
      </w:r>
      <w:r>
        <w:rPr>
          <w:rFonts w:hint="eastAsia" w:ascii="宋体" w:hAnsi="宋体" w:eastAsia="宋体" w:cs="宋体"/>
          <w:b/>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rPr>
          <w:rFonts w:hint="eastAsia" w:ascii="宋体" w:hAnsi="宋体" w:eastAsia="宋体" w:cs="宋体"/>
          <w:sz w:val="24"/>
          <w:szCs w:val="24"/>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第八条 合同的转让</w:t>
      </w:r>
      <w:r>
        <w:rPr>
          <w:rFonts w:hint="eastAsia" w:ascii="宋体" w:hAnsi="宋体" w:eastAsia="宋体" w:cs="宋体"/>
          <w:b/>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乙方不得擅自部分或全部转让其应履行的合同义务。</w:t>
      </w:r>
      <w:r>
        <w:rPr>
          <w:rFonts w:hint="eastAsia" w:ascii="宋体" w:hAnsi="宋体" w:eastAsia="宋体" w:cs="宋体"/>
          <w:sz w:val="24"/>
          <w:szCs w:val="24"/>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第九条 不可抗力</w:t>
      </w:r>
      <w:r>
        <w:rPr>
          <w:rFonts w:hint="eastAsia" w:ascii="宋体" w:hAnsi="宋体" w:eastAsia="宋体" w:cs="宋体"/>
          <w:b/>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sz w:val="24"/>
          <w:szCs w:val="24"/>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第十条 争议的解决</w:t>
      </w:r>
      <w:r>
        <w:rPr>
          <w:rFonts w:hint="eastAsia" w:ascii="宋体" w:hAnsi="宋体" w:eastAsia="宋体" w:cs="宋体"/>
          <w:b/>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（1）向甲方所在地人民法院提起诉讼；</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如没有约定，默认采取第2种方式解决争议。</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2.在法院审理和仲裁期间，除有争议部分外，本合同其他部分应继续履行。</w:t>
      </w:r>
      <w:r>
        <w:rPr>
          <w:rFonts w:hint="eastAsia" w:ascii="宋体" w:hAnsi="宋体" w:eastAsia="宋体" w:cs="宋体"/>
          <w:sz w:val="24"/>
          <w:szCs w:val="24"/>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第十一条 诚实信用 </w:t>
      </w:r>
      <w:r>
        <w:rPr>
          <w:rFonts w:hint="eastAsia" w:ascii="宋体" w:hAnsi="宋体" w:eastAsia="宋体" w:cs="宋体"/>
          <w:b/>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乙方应诚实信用，严格按照竞争性磋商文件要求和磋商承诺履行合同，不向甲方进行商业贿赂或者提供不正当利益。</w:t>
      </w:r>
      <w:r>
        <w:rPr>
          <w:rFonts w:hint="eastAsia" w:ascii="宋体" w:hAnsi="宋体" w:eastAsia="宋体" w:cs="宋体"/>
          <w:sz w:val="24"/>
          <w:szCs w:val="24"/>
        </w:rPr>
      </w:r>
      <w:r/>
    </w:p>
    <w:p>
      <w:pPr>
        <w:pStyle w:val="1014"/>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第十二条 合同生效及其他</w:t>
      </w:r>
      <w:r>
        <w:rPr>
          <w:rFonts w:hint="eastAsia" w:ascii="宋体" w:hAnsi="宋体" w:eastAsia="宋体" w:cs="宋体"/>
          <w:b/>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2.本合同一式伍份，甲乙双方各执贰份，代理机构执壹份存档。</w:t>
      </w:r>
      <w:r>
        <w:rPr>
          <w:rFonts w:hint="eastAsia" w:ascii="宋体" w:hAnsi="宋体" w:eastAsia="宋体" w:cs="宋体"/>
          <w:sz w:val="24"/>
          <w:szCs w:val="24"/>
        </w:rPr>
      </w:r>
      <w:r/>
    </w:p>
    <w:p>
      <w:pPr>
        <w:pStyle w:val="1014"/>
        <w:ind w:firstLine="484"/>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3.本合同应按照中华人民共和国的现行法律进行解释。</w:t>
      </w:r>
      <w:r>
        <w:rPr>
          <w:rFonts w:hint="eastAsia" w:ascii="宋体" w:hAnsi="宋体" w:eastAsia="宋体" w:cs="宋体"/>
          <w:color w:val="000000"/>
          <w:sz w:val="24"/>
          <w:szCs w:val="24"/>
        </w:rPr>
      </w:r>
      <w:r/>
    </w:p>
    <w:p>
      <w:pPr>
        <w:pStyle w:val="1014"/>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14"/>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1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08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14"/>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甲    方</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单位名称（章）：               </w:t>
            </w:r>
            <w:r>
              <w:rPr>
                <w:rFonts w:hint="eastAsia" w:ascii="宋体" w:hAnsi="宋体" w:eastAsia="宋体" w:cs="宋体"/>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  </w:t>
            </w:r>
            <w:r>
              <w:rPr>
                <w:rFonts w:hint="eastAsia" w:ascii="宋体" w:hAnsi="宋体" w:eastAsia="宋体" w:cs="宋体"/>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委托代理人：</w:t>
            </w:r>
            <w:r>
              <w:rPr>
                <w:rFonts w:hint="eastAsia" w:ascii="宋体" w:hAnsi="宋体" w:eastAsia="宋体" w:cs="宋体"/>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sz w:val="24"/>
                <w:szCs w:val="24"/>
              </w:rPr>
            </w:r>
            <w:r/>
          </w:p>
          <w:p>
            <w:pPr>
              <w:pStyle w:val="1014"/>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传真：                         </w:t>
            </w:r>
            <w:r>
              <w:rPr>
                <w:rFonts w:hint="eastAsia" w:ascii="宋体" w:hAnsi="宋体" w:eastAsia="宋体" w:cs="宋体"/>
                <w:b/>
                <w:bCs/>
                <w:sz w:val="24"/>
                <w:szCs w:val="24"/>
              </w:rPr>
            </w:r>
            <w:r/>
          </w:p>
        </w:tc>
        <w:tc>
          <w:tcPr>
            <w:tcW w:w="4332" w:type="dxa"/>
            <w:vAlign w:val="top"/>
            <w:textDirection w:val="lrTb"/>
            <w:noWrap w:val="false"/>
          </w:tcPr>
          <w:p>
            <w:pPr>
              <w:pStyle w:val="1014"/>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乙    方：</w:t>
            </w:r>
            <w:r>
              <w:rPr>
                <w:rFonts w:hint="eastAsia" w:ascii="宋体" w:hAnsi="宋体" w:eastAsia="宋体" w:cs="宋体"/>
                <w:b/>
                <w:bCs/>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单位名称（章）：</w:t>
            </w:r>
            <w:r>
              <w:rPr>
                <w:rFonts w:hint="eastAsia" w:ascii="宋体" w:hAnsi="宋体" w:eastAsia="宋体" w:cs="宋体"/>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委托代理人： </w:t>
            </w:r>
            <w:r>
              <w:rPr>
                <w:rFonts w:hint="eastAsia" w:ascii="宋体" w:hAnsi="宋体" w:eastAsia="宋体" w:cs="宋体"/>
                <w:sz w:val="24"/>
                <w:szCs w:val="24"/>
              </w:rPr>
            </w:r>
            <w:r/>
          </w:p>
          <w:p>
            <w:pPr>
              <w:pStyle w:val="101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传真：</w:t>
            </w:r>
            <w:r>
              <w:rPr>
                <w:rFonts w:hint="eastAsia" w:ascii="宋体" w:hAnsi="宋体" w:eastAsia="宋体" w:cs="宋体"/>
                <w:sz w:val="24"/>
                <w:szCs w:val="24"/>
              </w:rPr>
            </w:r>
            <w:r/>
          </w:p>
          <w:p>
            <w:pPr>
              <w:pStyle w:val="1014"/>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开户银行：        账号：   </w:t>
            </w:r>
            <w:r>
              <w:rPr>
                <w:rFonts w:hint="eastAsia" w:ascii="宋体" w:hAnsi="宋体" w:eastAsia="宋体" w:cs="宋体"/>
                <w:b/>
                <w:bCs/>
                <w:sz w:val="24"/>
                <w:szCs w:val="24"/>
              </w:rPr>
              <w:t xml:space="preserve">   </w:t>
            </w:r>
            <w:r>
              <w:rPr>
                <w:rFonts w:hint="eastAsia" w:ascii="宋体" w:hAnsi="宋体" w:eastAsia="宋体" w:cs="宋体"/>
                <w:b/>
                <w:bCs/>
                <w:sz w:val="24"/>
                <w:szCs w:val="24"/>
              </w:rPr>
            </w:r>
            <w:r/>
          </w:p>
        </w:tc>
      </w:tr>
    </w:tbl>
    <w:p>
      <w:pPr>
        <w:pStyle w:val="1014"/>
        <w:spacing w:line="400" w:lineRule="exac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14"/>
        <w:spacing w:line="400" w:lineRule="exact"/>
        <w:rPr>
          <w:rFonts w:ascii="宋体" w:hAnsi="宋体" w:cs="宋体"/>
          <w:b/>
          <w:bCs/>
          <w:color w:val="000000"/>
          <w:szCs w:val="21"/>
        </w:rPr>
      </w:pPr>
      <w:r>
        <w:rPr>
          <w:rFonts w:ascii="宋体" w:hAnsi="宋体" w:cs="宋体"/>
          <w:b/>
          <w:bCs/>
          <w:color w:val="000000"/>
          <w:szCs w:val="21"/>
        </w:rPr>
      </w:r>
      <w:r/>
    </w:p>
    <w:p>
      <w:pPr>
        <w:pStyle w:val="1014"/>
        <w:jc w:val="center"/>
        <w:rPr>
          <w:rFonts w:ascii="宋体" w:hAnsi="宋体" w:cs="宋体"/>
          <w:b/>
          <w:sz w:val="30"/>
          <w:szCs w:val="30"/>
        </w:rPr>
      </w:pPr>
      <w:r>
        <w:rPr>
          <w:rFonts w:ascii="宋体" w:hAnsi="宋体" w:cs="宋体"/>
          <w:b/>
          <w:sz w:val="30"/>
          <w:szCs w:val="30"/>
        </w:rPr>
      </w:r>
      <w:r/>
    </w:p>
    <w:p>
      <w:pPr>
        <w:pStyle w:val="1014"/>
        <w:jc w:val="center"/>
        <w:spacing w:line="360" w:lineRule="auto"/>
        <w:rPr>
          <w:b/>
          <w:sz w:val="36"/>
          <w:szCs w:val="36"/>
        </w:rPr>
        <w:outlineLvl w:val="0"/>
      </w:pPr>
      <w:r>
        <w:rPr>
          <w:b/>
          <w:sz w:val="36"/>
          <w:szCs w:val="36"/>
        </w:rPr>
        <w:br w:type="page" w:clear="all"/>
      </w:r>
      <w:r>
        <w:rPr>
          <w:b/>
          <w:sz w:val="36"/>
          <w:szCs w:val="36"/>
        </w:rPr>
        <w:t xml:space="preserve">第六章   响应文件格式</w:t>
      </w:r>
      <w:bookmarkEnd w:id="678"/>
      <w:r>
        <w:rPr>
          <w:b/>
          <w:sz w:val="36"/>
          <w:szCs w:val="36"/>
        </w:rPr>
      </w:r>
      <w:r/>
    </w:p>
    <w:p>
      <w:pPr>
        <w:pStyle w:val="1014"/>
        <w:jc w:val="left"/>
        <w:spacing w:line="360" w:lineRule="auto"/>
        <w:widowControl/>
        <w:rPr>
          <w:b/>
          <w:sz w:val="24"/>
        </w:rPr>
      </w:pPr>
      <w:r>
        <w:rPr>
          <w:b/>
          <w:sz w:val="24"/>
        </w:rPr>
      </w:r>
      <w:r/>
    </w:p>
    <w:p>
      <w:pPr>
        <w:pStyle w:val="1014"/>
        <w:jc w:val="left"/>
        <w:spacing w:line="360" w:lineRule="auto"/>
        <w:widowControl/>
        <w:rPr>
          <w:b/>
          <w:sz w:val="24"/>
        </w:rPr>
      </w:pPr>
      <w:r>
        <w:rPr>
          <w:b/>
          <w:sz w:val="24"/>
        </w:rPr>
      </w:r>
      <w:r/>
    </w:p>
    <w:p>
      <w:pPr>
        <w:pStyle w:val="1014"/>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4"/>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14"/>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1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1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4"/>
        <w:ind w:left="142"/>
        <w:spacing w:line="360" w:lineRule="auto"/>
        <w:tabs>
          <w:tab w:val="left" w:pos="900" w:leader="none"/>
          <w:tab w:val="left" w:pos="1980" w:leader="none"/>
        </w:tabs>
        <w:rPr>
          <w:sz w:val="24"/>
        </w:rPr>
      </w:pPr>
      <w:r>
        <w:rPr>
          <w:sz w:val="24"/>
        </w:rPr>
      </w:r>
      <w:r/>
    </w:p>
    <w:p>
      <w:pPr>
        <w:pStyle w:val="1014"/>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14"/>
        <w:jc w:val="center"/>
        <w:rPr>
          <w:szCs w:val="21"/>
        </w:rPr>
      </w:pPr>
      <w:r>
        <w:rPr>
          <w:szCs w:val="21"/>
        </w:rPr>
      </w:r>
      <w:r/>
    </w:p>
    <w:p>
      <w:pPr>
        <w:pStyle w:val="1014"/>
        <w:jc w:val="center"/>
        <w:rPr>
          <w:b/>
          <w:spacing w:val="60"/>
          <w:sz w:val="84"/>
          <w:szCs w:val="84"/>
        </w:rPr>
      </w:pPr>
      <w:r>
        <w:rPr>
          <w:b/>
          <w:spacing w:val="60"/>
          <w:sz w:val="84"/>
          <w:szCs w:val="84"/>
        </w:rPr>
        <w:t xml:space="preserve">响 应 文 件</w:t>
      </w:r>
      <w:r>
        <w:rPr>
          <w:b/>
          <w:spacing w:val="60"/>
          <w:sz w:val="84"/>
          <w:szCs w:val="84"/>
        </w:rPr>
      </w:r>
      <w:r/>
    </w:p>
    <w:p>
      <w:pPr>
        <w:pStyle w:val="1014"/>
        <w:jc w:val="center"/>
        <w:rPr>
          <w:b/>
          <w:spacing w:val="60"/>
          <w:sz w:val="52"/>
          <w:szCs w:val="52"/>
        </w:rPr>
      </w:pPr>
      <w:r>
        <w:rPr>
          <w:b/>
          <w:spacing w:val="60"/>
          <w:sz w:val="52"/>
          <w:szCs w:val="52"/>
        </w:rPr>
      </w:r>
      <w:r/>
    </w:p>
    <w:p>
      <w:pPr>
        <w:pStyle w:val="1014"/>
        <w:ind w:firstLine="542"/>
        <w:rPr>
          <w:b/>
          <w:spacing w:val="20"/>
          <w:sz w:val="32"/>
          <w:szCs w:val="32"/>
        </w:rPr>
      </w:pPr>
      <w:r>
        <w:rPr>
          <w:b/>
          <w:spacing w:val="20"/>
          <w:sz w:val="32"/>
          <w:szCs w:val="32"/>
        </w:rPr>
      </w:r>
      <w:r/>
    </w:p>
    <w:p>
      <w:pPr>
        <w:pStyle w:val="1014"/>
        <w:ind w:firstLine="542"/>
        <w:rPr>
          <w:b/>
          <w:spacing w:val="20"/>
          <w:sz w:val="32"/>
          <w:szCs w:val="32"/>
        </w:rPr>
      </w:pPr>
      <w:r>
        <w:rPr>
          <w:b/>
          <w:spacing w:val="20"/>
          <w:sz w:val="32"/>
          <w:szCs w:val="32"/>
        </w:rPr>
      </w:r>
      <w:r/>
    </w:p>
    <w:p>
      <w:pPr>
        <w:pStyle w:val="101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4"/>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4"/>
        <w:jc w:val="center"/>
        <w:rPr>
          <w:b/>
          <w:sz w:val="32"/>
          <w:szCs w:val="32"/>
        </w:rPr>
      </w:pPr>
      <w:r>
        <w:rPr>
          <w:b/>
          <w:sz w:val="32"/>
          <w:szCs w:val="32"/>
        </w:rPr>
      </w:r>
      <w:r/>
    </w:p>
    <w:p>
      <w:pPr>
        <w:pStyle w:val="1014"/>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17"/>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4"/>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28"/>
        <w:ind w:firstLine="480"/>
        <w:spacing w:line="460" w:lineRule="exact"/>
      </w:pPr>
      <w:r/>
      <w:r/>
    </w:p>
    <w:p>
      <w:pPr>
        <w:pStyle w:val="1028"/>
        <w:ind w:firstLine="0"/>
        <w:spacing w:line="460" w:lineRule="exact"/>
      </w:pPr>
      <w:r>
        <w:rPr>
          <w:rFonts w:hint="eastAsia"/>
        </w:rPr>
        <w:t xml:space="preserve">致：</w:t>
      </w:r>
      <w:r>
        <w:rPr>
          <w:rFonts w:hint="eastAsia" w:hAnsi="宋体"/>
        </w:rPr>
        <w:t xml:space="preserve">常州市城投建设工程招标有限公司</w:t>
      </w:r>
      <w:r/>
    </w:p>
    <w:p>
      <w:pPr>
        <w:pStyle w:val="1028"/>
        <w:ind w:firstLine="960"/>
        <w:spacing w:line="460" w:lineRule="exact"/>
        <w:rPr>
          <w:u w:val="single"/>
        </w:rPr>
      </w:pPr>
      <w:r>
        <w:rPr>
          <w:rFonts w:hint="eastAsia"/>
          <w:u w:val="single"/>
        </w:rPr>
        <w:t xml:space="preserve">（采购人名称）</w:t>
      </w:r>
      <w:r>
        <w:rPr>
          <w:u w:val="single"/>
        </w:rPr>
      </w:r>
      <w:r/>
    </w:p>
    <w:p>
      <w:pPr>
        <w:pStyle w:val="1028"/>
        <w:ind w:firstLine="480"/>
        <w:spacing w:line="460" w:lineRule="exact"/>
      </w:pPr>
      <w:r/>
      <w:r/>
    </w:p>
    <w:p>
      <w:pPr>
        <w:pStyle w:val="1028"/>
        <w:ind w:firstLine="480"/>
        <w:spacing w:line="460" w:lineRule="exact"/>
      </w:pPr>
      <w:r>
        <w:rPr>
          <w:rFonts w:hint="eastAsia"/>
        </w:rPr>
        <w:t xml:space="preserve">按照《中华人民共和国政府采购法》第二十二条和磋商文件的规定，我单位郑重声明如下：</w:t>
      </w:r>
      <w:r/>
    </w:p>
    <w:p>
      <w:pPr>
        <w:pStyle w:val="10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8"/>
        <w:ind w:firstLine="480"/>
        <w:spacing w:line="460" w:lineRule="exact"/>
      </w:pPr>
      <w:r>
        <w:rPr>
          <w:rFonts w:hint="eastAsia"/>
        </w:rPr>
        <w:t xml:space="preserve">二、我单位未被“国家企业信用信息系统”列入经营异常名录或者严重违法企业名单。</w:t>
      </w:r>
      <w:r/>
    </w:p>
    <w:p>
      <w:pPr>
        <w:pStyle w:val="1028"/>
        <w:ind w:firstLine="480"/>
        <w:spacing w:line="460" w:lineRule="exact"/>
      </w:pPr>
      <w:r>
        <w:rPr>
          <w:rFonts w:hint="eastAsia"/>
        </w:rPr>
        <w:t xml:space="preserve">三、我单位具有良好的商业信誉（指供应商经营状况良好，无本资格声明第十条情形）和健全的财务会计制度。</w:t>
      </w:r>
      <w:r/>
    </w:p>
    <w:p>
      <w:pPr>
        <w:pStyle w:val="1028"/>
        <w:ind w:firstLine="480"/>
        <w:spacing w:line="460" w:lineRule="exact"/>
      </w:pPr>
      <w:r>
        <w:rPr>
          <w:rFonts w:hint="eastAsia"/>
        </w:rPr>
        <w:t xml:space="preserve">四、我单位依法进行纳税和社会保险申报并实际履行了义务。</w:t>
      </w:r>
      <w:r/>
    </w:p>
    <w:p>
      <w:pPr>
        <w:pStyle w:val="102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8"/>
        <w:ind w:firstLine="480"/>
        <w:spacing w:line="460" w:lineRule="exact"/>
      </w:pPr>
      <w:r>
        <w:rPr>
          <w:rFonts w:hint="eastAsia"/>
        </w:rPr>
        <w:t xml:space="preserve">主要设备有：</w:t>
      </w:r>
      <w:r>
        <w:rPr>
          <w:u w:val="single"/>
        </w:rPr>
        <w:t xml:space="preserve">            </w:t>
      </w:r>
      <w:r/>
    </w:p>
    <w:p>
      <w:pPr>
        <w:pStyle w:val="1028"/>
        <w:ind w:firstLine="480"/>
        <w:spacing w:line="460" w:lineRule="exact"/>
      </w:pPr>
      <w:r>
        <w:rPr>
          <w:rFonts w:hint="eastAsia"/>
        </w:rPr>
        <w:t xml:space="preserve">主要专业技术能力有</w:t>
      </w:r>
      <w:r>
        <w:rPr>
          <w:rFonts w:hint="eastAsia"/>
          <w:u w:val="single"/>
        </w:rPr>
        <w:t xml:space="preserve">                 </w:t>
      </w:r>
      <w:r/>
    </w:p>
    <w:p>
      <w:pPr>
        <w:pStyle w:val="102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8"/>
        <w:ind w:firstLine="480"/>
        <w:spacing w:line="460" w:lineRule="exact"/>
      </w:pPr>
      <w:r>
        <w:rPr>
          <w:rFonts w:hint="eastAsia"/>
        </w:rPr>
        <w:t xml:space="preserve">七、我单位具备法律、行政法规规定的其他条件。</w:t>
      </w:r>
      <w:r/>
    </w:p>
    <w:p>
      <w:pPr>
        <w:pStyle w:val="102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28"/>
        <w:ind w:firstLine="480"/>
        <w:spacing w:line="460" w:lineRule="exact"/>
      </w:pPr>
      <w:r>
        <w:rPr>
          <w:rFonts w:hint="eastAsia"/>
        </w:rPr>
        <w:t xml:space="preserve">十、</w:t>
      </w:r>
      <w:r>
        <w:t xml:space="preserve">我单位无以下不良信用记录情形：</w:t>
      </w:r>
      <w:r/>
    </w:p>
    <w:p>
      <w:pPr>
        <w:pStyle w:val="1028"/>
        <w:ind w:firstLine="480"/>
        <w:spacing w:line="460" w:lineRule="exact"/>
      </w:pPr>
      <w:r>
        <w:t xml:space="preserve">1</w:t>
      </w:r>
      <w:r>
        <w:rPr>
          <w:rFonts w:hint="eastAsia"/>
        </w:rPr>
        <w:t xml:space="preserve">、在“信用中国”网站被列入失信被执行人和重大税收违法案件当事人名单；</w:t>
      </w:r>
      <w:r/>
    </w:p>
    <w:p>
      <w:pPr>
        <w:pStyle w:val="1028"/>
        <w:ind w:firstLine="480"/>
        <w:spacing w:line="460" w:lineRule="exact"/>
      </w:pPr>
      <w:r>
        <w:t xml:space="preserve">2</w:t>
      </w:r>
      <w:r>
        <w:rPr>
          <w:rFonts w:hint="eastAsia"/>
        </w:rPr>
        <w:t xml:space="preserve">、在“中国政府采购网”网站被列入政府采购严重违法失信行为记录名单；</w:t>
      </w:r>
      <w:r/>
    </w:p>
    <w:p>
      <w:pPr>
        <w:pStyle w:val="1028"/>
        <w:ind w:firstLine="480"/>
        <w:spacing w:line="460" w:lineRule="exact"/>
      </w:pPr>
      <w:r>
        <w:t xml:space="preserve">3</w:t>
      </w:r>
      <w:r>
        <w:rPr>
          <w:rFonts w:hint="eastAsia"/>
        </w:rPr>
        <w:t xml:space="preserve">、</w:t>
      </w:r>
      <w:r>
        <w:t xml:space="preserve">不符合《政府采购法》第二十二条规定的条件。</w:t>
      </w:r>
      <w:r/>
    </w:p>
    <w:p>
      <w:pPr>
        <w:pStyle w:val="1028"/>
        <w:ind w:firstLine="480"/>
        <w:spacing w:line="460" w:lineRule="exact"/>
      </w:pPr>
      <w:r/>
      <w:r/>
    </w:p>
    <w:p>
      <w:pPr>
        <w:pStyle w:val="10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8"/>
        <w:ind w:firstLine="480"/>
        <w:spacing w:line="460" w:lineRule="exact"/>
      </w:pPr>
      <w:r/>
      <w:r/>
    </w:p>
    <w:p>
      <w:pPr>
        <w:pStyle w:val="1028"/>
        <w:ind w:firstLine="480"/>
        <w:spacing w:line="460" w:lineRule="exact"/>
      </w:pPr>
      <w:r/>
      <w:r/>
    </w:p>
    <w:p>
      <w:pPr>
        <w:pStyle w:val="1028"/>
        <w:ind w:firstLine="480"/>
        <w:spacing w:line="460" w:lineRule="exact"/>
      </w:pPr>
      <w:r>
        <w:rPr>
          <w:rFonts w:hint="eastAsia"/>
        </w:rPr>
        <w:t xml:space="preserve">                                            供应商：（加盖公章）</w:t>
      </w:r>
      <w:r/>
    </w:p>
    <w:p>
      <w:pPr>
        <w:pStyle w:val="1028"/>
        <w:ind w:firstLine="480"/>
        <w:spacing w:line="460" w:lineRule="exact"/>
      </w:pPr>
      <w:r>
        <w:rPr>
          <w:rFonts w:hint="eastAsia"/>
        </w:rPr>
        <w:t xml:space="preserve">                                           法定代表人（或单位负责人）签字或盖章：</w:t>
      </w:r>
      <w:r/>
    </w:p>
    <w:p>
      <w:pPr>
        <w:pStyle w:val="1028"/>
        <w:ind w:firstLine="4920"/>
        <w:spacing w:line="460" w:lineRule="exact"/>
        <w:rPr>
          <w:rFonts w:hint="eastAsia"/>
        </w:rPr>
      </w:pPr>
      <w:r>
        <w:rPr>
          <w:rFonts w:hint="eastAsia"/>
        </w:rPr>
        <w:t xml:space="preserve">日期：    年    月    日</w:t>
      </w:r>
      <w:r>
        <w:rPr>
          <w:rFonts w:hint="eastAsia"/>
        </w:rPr>
      </w:r>
      <w:r/>
    </w:p>
    <w:p>
      <w:pPr>
        <w:pStyle w:val="1014"/>
        <w:spacing w:line="360" w:lineRule="auto"/>
        <w:rPr>
          <w:rFonts w:hint="eastAsia"/>
          <w:sz w:val="24"/>
        </w:rPr>
      </w:pPr>
      <w:r>
        <w:rPr>
          <w:rFonts w:hint="eastAsia"/>
          <w:sz w:val="24"/>
        </w:rPr>
      </w:r>
      <w:r/>
    </w:p>
    <w:p>
      <w:pPr>
        <w:pStyle w:val="101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14"/>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4"/>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14"/>
        <w:spacing w:line="360" w:lineRule="auto"/>
        <w:tabs>
          <w:tab w:val="left" w:pos="5580" w:leader="none"/>
        </w:tabs>
        <w:rPr>
          <w:sz w:val="24"/>
        </w:rPr>
      </w:pPr>
      <w:r>
        <w:rPr>
          <w:sz w:val="24"/>
        </w:rPr>
      </w:r>
      <w:r/>
    </w:p>
    <w:p>
      <w:pPr>
        <w:pStyle w:val="1014"/>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1014"/>
        <w:spacing w:line="360" w:lineRule="auto"/>
        <w:tabs>
          <w:tab w:val="left" w:pos="5580" w:leader="none"/>
        </w:tabs>
        <w:rPr>
          <w:sz w:val="24"/>
        </w:rPr>
      </w:pPr>
      <w:r>
        <w:rPr>
          <w:sz w:val="24"/>
        </w:rPr>
      </w:r>
      <w:r/>
    </w:p>
    <w:p>
      <w:pPr>
        <w:pStyle w:val="1014"/>
        <w:jc w:val="left"/>
        <w:widowControl/>
        <w:rPr>
          <w:sz w:val="24"/>
        </w:rPr>
      </w:pPr>
      <w:r>
        <w:rPr>
          <w:sz w:val="24"/>
        </w:rPr>
        <w:br w:type="page" w:clear="all"/>
      </w:r>
      <w:r>
        <w:rPr>
          <w:sz w:val="24"/>
        </w:rPr>
      </w:r>
      <w:r/>
    </w:p>
    <w:p>
      <w:pPr>
        <w:pStyle w:val="1014"/>
        <w:jc w:val="center"/>
        <w:spacing w:before="240" w:after="240" w:line="360" w:lineRule="auto"/>
        <w:rPr>
          <w:b/>
          <w:bCs/>
          <w:color w:val="000000"/>
          <w:sz w:val="36"/>
          <w:szCs w:val="36"/>
        </w:rPr>
      </w:pPr>
      <w:r>
        <w:rPr>
          <w:rFonts w:hint="eastAsia"/>
          <w:b/>
          <w:bCs/>
          <w:color w:val="000000"/>
          <w:sz w:val="36"/>
          <w:szCs w:val="36"/>
        </w:rPr>
        <w:t xml:space="preserve">中小企业声明函</w:t>
      </w:r>
      <w:r>
        <w:rPr>
          <w:rFonts w:hint="eastAsia"/>
          <w:b/>
          <w:bCs/>
          <w:color w:val="000000"/>
          <w:sz w:val="36"/>
          <w:szCs w:val="36"/>
        </w:rPr>
        <w:t xml:space="preserve">（服务）</w:t>
      </w:r>
      <w:r>
        <w:rPr>
          <w:rFonts w:hint="eastAsia"/>
          <w:b/>
          <w:bCs/>
          <w:color w:val="000000"/>
          <w:sz w:val="36"/>
          <w:szCs w:val="36"/>
        </w:rPr>
        <w:t xml:space="preserve">格式</w:t>
      </w:r>
      <w:r>
        <w:rPr>
          <w:b/>
          <w:bCs/>
          <w:color w:val="000000"/>
          <w:sz w:val="36"/>
          <w:szCs w:val="36"/>
        </w:rPr>
      </w:r>
      <w:r/>
    </w:p>
    <w:p>
      <w:pPr>
        <w:pStyle w:val="1014"/>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14"/>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，属于_____（中型企业、小型企业、微型企业）；</w:t>
      </w:r>
      <w:r>
        <w:rPr>
          <w:spacing w:val="6"/>
          <w:sz w:val="24"/>
        </w:rPr>
      </w:r>
      <w:r/>
    </w:p>
    <w:p>
      <w:pPr>
        <w:pStyle w:val="1014"/>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14"/>
        <w:ind w:firstLine="504"/>
        <w:spacing w:line="360" w:lineRule="auto"/>
        <w:rPr>
          <w:spacing w:val="6"/>
          <w:sz w:val="24"/>
        </w:rPr>
      </w:pPr>
      <w:r>
        <w:rPr>
          <w:spacing w:val="6"/>
          <w:sz w:val="24"/>
        </w:rPr>
      </w:r>
      <w:r/>
    </w:p>
    <w:p>
      <w:pPr>
        <w:pStyle w:val="1014"/>
        <w:ind w:firstLine="504"/>
        <w:spacing w:line="360" w:lineRule="auto"/>
        <w:rPr>
          <w:spacing w:val="6"/>
          <w:sz w:val="24"/>
        </w:rPr>
      </w:pPr>
      <w:r>
        <w:rPr>
          <w:spacing w:val="6"/>
          <w:sz w:val="24"/>
        </w:rPr>
        <w:t xml:space="preserve">……</w:t>
      </w:r>
      <w:r>
        <w:rPr>
          <w:spacing w:val="6"/>
          <w:sz w:val="24"/>
        </w:rPr>
      </w:r>
      <w:r/>
    </w:p>
    <w:p>
      <w:pPr>
        <w:pStyle w:val="1014"/>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4"/>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4"/>
        <w:ind w:right="360" w:firstLine="480"/>
        <w:jc w:val="right"/>
        <w:spacing w:line="360" w:lineRule="auto"/>
        <w:rPr>
          <w:color w:val="000000"/>
          <w:sz w:val="24"/>
        </w:rPr>
      </w:pPr>
      <w:r>
        <w:rPr>
          <w:color w:val="000000"/>
          <w:sz w:val="24"/>
        </w:rPr>
      </w:r>
      <w:r/>
    </w:p>
    <w:p>
      <w:pPr>
        <w:pStyle w:val="1014"/>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4"/>
        <w:ind w:right="360" w:firstLine="480"/>
        <w:jc w:val="right"/>
        <w:spacing w:line="360" w:lineRule="auto"/>
        <w:rPr>
          <w:color w:val="000000"/>
          <w:sz w:val="24"/>
        </w:rPr>
      </w:pPr>
      <w:r>
        <w:rPr>
          <w:color w:val="000000"/>
          <w:sz w:val="24"/>
        </w:rPr>
        <w:t xml:space="preserve">日 期：________</w:t>
      </w:r>
      <w:r>
        <w:rPr>
          <w:color w:val="000000"/>
          <w:sz w:val="24"/>
        </w:rPr>
      </w:r>
      <w:r/>
    </w:p>
    <w:p>
      <w:pPr>
        <w:pStyle w:val="1014"/>
        <w:jc w:val="left"/>
        <w:rPr>
          <w:color w:val="000000"/>
          <w:sz w:val="24"/>
          <w:szCs w:val="21"/>
        </w:rPr>
      </w:pPr>
      <w:r>
        <w:rPr>
          <w:color w:val="000000"/>
          <w:sz w:val="24"/>
          <w:szCs w:val="21"/>
        </w:rPr>
      </w:r>
      <w:r/>
    </w:p>
    <w:p>
      <w:pPr>
        <w:pStyle w:val="1014"/>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4"/>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4"/>
        <w:jc w:val="left"/>
        <w:rPr>
          <w:color w:val="000000"/>
          <w:szCs w:val="21"/>
          <w:vertAlign w:val="superscript"/>
        </w:rPr>
      </w:pPr>
      <w:r>
        <w:rPr>
          <w:color w:val="000000"/>
          <w:szCs w:val="21"/>
          <w:vertAlign w:val="superscript"/>
        </w:rPr>
      </w:r>
      <w:r/>
    </w:p>
    <w:p>
      <w:pPr>
        <w:pStyle w:val="1014"/>
        <w:ind w:right="360" w:firstLine="480"/>
        <w:jc w:val="right"/>
        <w:spacing w:line="360" w:lineRule="auto"/>
        <w:rPr>
          <w:color w:val="000000"/>
          <w:sz w:val="24"/>
        </w:rPr>
      </w:pPr>
      <w:r>
        <w:rPr>
          <w:color w:val="000000"/>
          <w:sz w:val="24"/>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4"/>
        <w:jc w:val="center"/>
        <w:rPr>
          <w:color w:val="000000"/>
          <w:sz w:val="36"/>
          <w:szCs w:val="36"/>
        </w:rPr>
      </w:pPr>
      <w:r>
        <w:rPr>
          <w:color w:val="000000"/>
          <w:sz w:val="36"/>
          <w:szCs w:val="36"/>
        </w:rPr>
      </w:r>
      <w:r/>
    </w:p>
    <w:p>
      <w:pPr>
        <w:pStyle w:val="1014"/>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14"/>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14"/>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4"/>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4"/>
        <w:ind w:firstLine="504"/>
        <w:spacing w:line="588" w:lineRule="exact"/>
        <w:rPr>
          <w:spacing w:val="6"/>
          <w:sz w:val="24"/>
        </w:rPr>
      </w:pPr>
      <w:r>
        <w:rPr>
          <w:spacing w:val="6"/>
          <w:sz w:val="24"/>
        </w:rPr>
      </w:r>
      <w:r/>
    </w:p>
    <w:p>
      <w:pPr>
        <w:pStyle w:val="1014"/>
        <w:ind w:firstLine="504"/>
        <w:spacing w:line="588" w:lineRule="exact"/>
        <w:rPr>
          <w:spacing w:val="6"/>
          <w:sz w:val="24"/>
        </w:rPr>
      </w:pPr>
      <w:r>
        <w:rPr>
          <w:spacing w:val="6"/>
          <w:sz w:val="24"/>
        </w:rPr>
      </w:r>
      <w:r/>
    </w:p>
    <w:p>
      <w:pPr>
        <w:pStyle w:val="1014"/>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14"/>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4"/>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4"/>
        <w:spacing w:line="360" w:lineRule="auto"/>
        <w:tabs>
          <w:tab w:val="left" w:pos="5580" w:leader="none"/>
        </w:tabs>
        <w:rPr>
          <w:sz w:val="24"/>
          <w:szCs w:val="20"/>
        </w:rPr>
      </w:pPr>
      <w:r>
        <w:rPr>
          <w:sz w:val="24"/>
          <w:szCs w:val="20"/>
        </w:rPr>
      </w:r>
      <w:r/>
    </w:p>
    <w:p>
      <w:pPr>
        <w:pStyle w:val="1014"/>
        <w:spacing w:line="360" w:lineRule="auto"/>
        <w:rPr>
          <w:rFonts w:ascii="宋体" w:hAnsi="宋体" w:eastAsia="宋体" w:cs="Times New Roman"/>
          <w:b/>
          <w:color w:val="000000"/>
          <w:sz w:val="24"/>
          <w:szCs w:val="20"/>
        </w:rPr>
        <w:outlineLvl w:val="2"/>
      </w:pPr>
      <w:r>
        <w:rPr>
          <w:b/>
          <w:sz w:val="24"/>
        </w:rPr>
        <w:br w:type="page" w:clear="all"/>
      </w:r>
      <w:bookmarkStart w:id="679" w:name="_Toc226337253"/>
      <w:r/>
      <w:bookmarkStart w:id="680" w:name="_Toc305158899"/>
      <w:r/>
      <w:bookmarkStart w:id="681" w:name="_Toc520356218"/>
      <w:r/>
      <w:bookmarkStart w:id="682" w:name="_Toc226309801"/>
      <w:r/>
      <w:bookmarkStart w:id="683" w:name="_Toc226965747"/>
      <w:r/>
      <w:bookmarkStart w:id="684" w:name="_Toc142311059"/>
      <w:r/>
      <w:bookmarkStart w:id="685" w:name="_Toc195842922"/>
      <w:r/>
      <w:bookmarkStart w:id="686" w:name="_Toc127151557"/>
      <w:r/>
      <w:bookmarkStart w:id="687" w:name="_Toc226965830"/>
      <w:r/>
      <w:bookmarkStart w:id="688" w:name="_Toc264969247"/>
      <w:r/>
      <w:bookmarkStart w:id="689" w:name="_Toc150774762"/>
      <w:r/>
      <w:bookmarkStart w:id="690" w:name="_Toc265228395"/>
      <w:r/>
      <w:bookmarkStart w:id="691" w:name="_Toc480942350"/>
      <w:r/>
      <w:bookmarkStart w:id="692" w:name="_Toc305158825"/>
      <w:r/>
      <w:bookmarkStart w:id="693" w:name="_Ref467988705"/>
      <w:r/>
      <w:bookmarkStart w:id="694" w:name="_Toc150480795"/>
      <w:r>
        <w:rPr>
          <w:rFonts w:hint="eastAsia" w:ascii="宋体" w:hAnsi="宋体" w:eastAsia="宋体" w:cs="Times New Roman"/>
          <w:b/>
          <w:color w:val="000000"/>
          <w:sz w:val="24"/>
          <w:szCs w:val="20"/>
        </w:rPr>
        <w:t xml:space="preserve">4</w:t>
      </w:r>
      <w:r>
        <w:rPr>
          <w:rFonts w:ascii="宋体" w:hAnsi="宋体" w:eastAsia="宋体" w:cs="Times New Roman"/>
          <w:b/>
          <w:color w:val="000000"/>
          <w:sz w:val="24"/>
          <w:szCs w:val="20"/>
        </w:rPr>
        <w:t xml:space="preserve">  响应</w:t>
      </w:r>
      <w:r>
        <w:rPr>
          <w:rFonts w:hint="eastAsia" w:ascii="宋体" w:hAnsi="宋体" w:eastAsia="宋体" w:cs="Times New Roman"/>
          <w:b/>
          <w:color w:val="000000"/>
          <w:sz w:val="24"/>
          <w:szCs w:val="20"/>
        </w:rPr>
        <w:t xml:space="preserve">函</w:t>
      </w:r>
      <w:r>
        <w:rPr>
          <w:rFonts w:ascii="宋体" w:hAnsi="宋体" w:eastAsia="宋体" w:cs="Times New Roman"/>
          <w:b/>
          <w:color w:val="000000"/>
          <w:sz w:val="24"/>
          <w:szCs w:val="20"/>
        </w:rPr>
        <w:t xml:space="preserve">（实质性格式）</w:t>
      </w:r>
      <w:r>
        <w:rPr>
          <w:rFonts w:ascii="宋体" w:hAnsi="宋体" w:eastAsia="宋体" w:cs="Times New Roman"/>
          <w:b/>
          <w:color w:val="000000"/>
          <w:sz w:val="24"/>
          <w:szCs w:val="20"/>
        </w:rPr>
      </w:r>
      <w:r/>
    </w:p>
    <w:p>
      <w:pPr>
        <w:pStyle w:val="1014"/>
        <w:spacing w:line="360" w:lineRule="auto"/>
        <w:tabs>
          <w:tab w:val="left" w:pos="5580" w:leader="none"/>
        </w:tabs>
        <w:rPr>
          <w:color w:val="000000"/>
          <w:sz w:val="24"/>
        </w:rPr>
      </w:pPr>
      <w:r>
        <w:rPr>
          <w:color w:val="000000"/>
          <w:sz w:val="24"/>
        </w:rPr>
      </w:r>
      <w:r/>
    </w:p>
    <w:p>
      <w:pPr>
        <w:pStyle w:val="1014"/>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4"/>
        <w:spacing w:line="360" w:lineRule="auto"/>
        <w:tabs>
          <w:tab w:val="left" w:pos="5580" w:leader="none"/>
        </w:tabs>
        <w:rPr>
          <w:color w:val="000000"/>
          <w:sz w:val="24"/>
          <w:szCs w:val="20"/>
        </w:rPr>
      </w:pP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（4）如我方中标，我方将在法律规定的期限内与你方签订合同，并在合同约定的期限内完成合同规定的全部义务。</w:t>
      </w:r>
      <w:r>
        <w:rPr>
          <w:color w:val="000000"/>
          <w:sz w:val="24"/>
        </w:rPr>
      </w:r>
      <w:r/>
    </w:p>
    <w:p>
      <w:pPr>
        <w:pStyle w:val="101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4"/>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4"/>
        <w:ind w:left="420"/>
        <w:spacing w:line="360" w:lineRule="auto"/>
        <w:tabs>
          <w:tab w:val="left" w:pos="5580" w:leader="none"/>
        </w:tabs>
        <w:rPr>
          <w:color w:val="000000"/>
          <w:sz w:val="24"/>
          <w:szCs w:val="20"/>
          <w:u w:val="single"/>
        </w:rPr>
      </w:pPr>
      <w:r>
        <w:rPr>
          <w:color w:val="000000"/>
          <w:sz w:val="24"/>
          <w:szCs w:val="20"/>
          <w:u w:val="single"/>
        </w:rPr>
      </w:r>
      <w:r/>
    </w:p>
    <w:p>
      <w:pPr>
        <w:pStyle w:val="1014"/>
        <w:jc w:val="left"/>
        <w:widowControl/>
        <w:rPr>
          <w:rFonts w:hint="eastAsia" w:ascii="宋体" w:hAnsi="宋体" w:eastAsia="宋体" w:cs="Times New Roman"/>
          <w:b/>
          <w:color w:val="000000"/>
          <w:sz w:val="24"/>
          <w:szCs w:val="20"/>
        </w:rPr>
      </w:pPr>
      <w:r/>
      <w:bookmarkStart w:id="695" w:name="_Hlt520355938"/>
      <w:r/>
      <w:bookmarkEnd w:id="695"/>
      <w:r/>
      <w:bookmarkStart w:id="696" w:name="_Hlt520356243"/>
      <w:r/>
      <w:bookmarkEnd w:id="696"/>
      <w:r>
        <w:rPr>
          <w:color w:val="000000"/>
          <w:sz w:val="24"/>
        </w:rPr>
        <w:br w:type="page" w:clear="all"/>
      </w:r>
      <w:r>
        <w:rPr>
          <w:rFonts w:hint="eastAsia" w:ascii="宋体" w:hAnsi="宋体" w:eastAsia="宋体" w:cs="Times New Roman"/>
          <w:b/>
          <w:color w:val="000000"/>
          <w:sz w:val="24"/>
          <w:szCs w:val="20"/>
        </w:rPr>
        <w:t xml:space="preserve">5  法定代表人资格证明书（实质性格式）</w:t>
      </w:r>
      <w:r>
        <w:rPr>
          <w:rFonts w:hint="eastAsia" w:ascii="宋体" w:hAnsi="宋体" w:eastAsia="宋体" w:cs="Times New Roman"/>
          <w:b/>
          <w:color w:val="000000"/>
          <w:sz w:val="24"/>
          <w:szCs w:val="20"/>
        </w:rPr>
      </w:r>
      <w:r/>
    </w:p>
    <w:p>
      <w:pPr>
        <w:pStyle w:val="1014"/>
        <w:jc w:val="center"/>
        <w:spacing w:line="360" w:lineRule="auto"/>
        <w:rPr>
          <w:rFonts w:hint="eastAsia" w:ascii="宋体" w:hAnsi="宋体"/>
          <w:b/>
          <w:sz w:val="32"/>
          <w:szCs w:val="32"/>
        </w:rPr>
      </w:pPr>
      <w:r>
        <w:rPr>
          <w:rFonts w:hint="eastAsia" w:ascii="宋体" w:hAnsi="宋体"/>
          <w:b/>
          <w:sz w:val="32"/>
          <w:szCs w:val="32"/>
        </w:rPr>
      </w:r>
      <w:r/>
    </w:p>
    <w:p>
      <w:pPr>
        <w:pStyle w:val="101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4"/>
        <w:spacing w:line="560" w:lineRule="exact"/>
        <w:rPr>
          <w:rFonts w:ascii="宋体" w:hAnsi="宋体"/>
          <w:sz w:val="24"/>
        </w:rPr>
      </w:pPr>
      <w:r>
        <w:rPr>
          <w:rFonts w:ascii="宋体" w:hAnsi="宋体"/>
          <w:sz w:val="24"/>
        </w:rPr>
      </w:r>
      <w:r/>
    </w:p>
    <w:p>
      <w:pPr>
        <w:pStyle w:val="104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4"/>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spacing w:line="360" w:lineRule="auto"/>
        <w:rPr>
          <w:rFonts w:hint="eastAsia"/>
          <w:b/>
          <w:color w:val="000000"/>
          <w:sz w:val="24"/>
        </w:rPr>
        <w:outlineLvl w:val="2"/>
      </w:pPr>
      <w:r>
        <w:rPr>
          <w:rFonts w:hint="eastAsia"/>
          <w:b/>
          <w:color w:val="000000"/>
          <w:sz w:val="24"/>
        </w:rPr>
      </w:r>
      <w:r/>
    </w:p>
    <w:p>
      <w:pPr>
        <w:pStyle w:val="1014"/>
        <w:jc w:val="left"/>
        <w:widowControl/>
        <w:rPr>
          <w:rFonts w:hint="eastAsia" w:ascii="宋体" w:hAnsi="宋体" w:eastAsia="宋体" w:cs="Times New Roman"/>
          <w:b/>
          <w:color w:val="000000"/>
          <w:sz w:val="24"/>
          <w:szCs w:val="20"/>
        </w:rPr>
      </w:pPr>
      <w:r>
        <w:rPr>
          <w:rFonts w:hint="eastAsia" w:ascii="宋体" w:hAnsi="宋体" w:eastAsia="宋体" w:cs="Times New Roman"/>
          <w:b/>
          <w:color w:val="000000"/>
          <w:sz w:val="24"/>
          <w:szCs w:val="20"/>
        </w:rPr>
        <w:t xml:space="preserve">6 </w:t>
      </w:r>
      <w:r>
        <w:rPr>
          <w:rFonts w:hint="eastAsia" w:ascii="宋体" w:hAnsi="宋体" w:eastAsia="宋体" w:cs="Times New Roman"/>
          <w:b/>
          <w:color w:val="000000"/>
          <w:sz w:val="24"/>
          <w:szCs w:val="20"/>
          <w:lang w:val="en-US" w:eastAsia="zh-CN"/>
        </w:rPr>
        <w:t xml:space="preserve"> </w:t>
      </w:r>
      <w:r>
        <w:rPr>
          <w:rFonts w:hint="eastAsia" w:ascii="宋体" w:hAnsi="宋体" w:eastAsia="宋体" w:cs="Times New Roman"/>
          <w:b/>
          <w:color w:val="000000"/>
          <w:sz w:val="24"/>
          <w:szCs w:val="20"/>
        </w:rPr>
        <w:t xml:space="preserve">授权委托书（实质性格式）</w:t>
      </w:r>
      <w:r>
        <w:rPr>
          <w:rFonts w:hint="eastAsia" w:ascii="宋体" w:hAnsi="宋体" w:eastAsia="宋体" w:cs="Times New Roman"/>
          <w:b/>
          <w:color w:val="000000"/>
          <w:sz w:val="24"/>
          <w:szCs w:val="20"/>
        </w:rPr>
      </w:r>
      <w:r/>
    </w:p>
    <w:p>
      <w:pPr>
        <w:pStyle w:val="1014"/>
        <w:jc w:val="center"/>
        <w:rPr>
          <w:rFonts w:hint="eastAsia" w:ascii="宋体" w:hAnsi="宋体"/>
          <w:b/>
          <w:sz w:val="32"/>
          <w:szCs w:val="32"/>
        </w:rPr>
      </w:pPr>
      <w:r>
        <w:rPr>
          <w:rFonts w:hint="eastAsia" w:ascii="宋体" w:hAnsi="宋体"/>
          <w:b/>
          <w:sz w:val="32"/>
          <w:szCs w:val="32"/>
        </w:rPr>
      </w:r>
      <w:r/>
    </w:p>
    <w:p>
      <w:pPr>
        <w:pStyle w:val="1263"/>
        <w:jc w:val="center"/>
        <w:spacing w:line="480" w:lineRule="auto"/>
        <w:rPr>
          <w:rFonts w:cs="宋体"/>
          <w:sz w:val="24"/>
        </w:rPr>
      </w:pPr>
      <w:r>
        <w:rPr>
          <w:rFonts w:hint="eastAsia"/>
          <w:b/>
          <w:sz w:val="36"/>
          <w:szCs w:val="36"/>
        </w:rPr>
        <w:t xml:space="preserve">授权委托书</w:t>
      </w:r>
      <w:r>
        <w:rPr>
          <w:rFonts w:cs="宋体"/>
          <w:sz w:val="24"/>
        </w:rPr>
      </w:r>
      <w:r/>
    </w:p>
    <w:p>
      <w:pPr>
        <w:pStyle w:val="1014"/>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4"/>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4"/>
        <w:spacing w:line="400" w:lineRule="exact"/>
        <w:rPr>
          <w:rFonts w:hint="eastAsia" w:ascii="宋体" w:hAnsi="宋体" w:cs="宋体"/>
          <w:szCs w:val="21"/>
        </w:rPr>
      </w:pPr>
      <w:r>
        <w:rPr>
          <w:rFonts w:hint="eastAsia" w:ascii="宋体" w:hAnsi="宋体" w:cs="宋体"/>
          <w:szCs w:val="21"/>
        </w:rPr>
      </w:r>
      <w:r/>
    </w:p>
    <w:p>
      <w:pPr>
        <w:pStyle w:val="1014"/>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4"/>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19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4"/>
        <w:spacing w:line="400" w:lineRule="exact"/>
        <w:rPr>
          <w:rFonts w:ascii="宋体" w:hAnsi="宋体" w:cs="宋体"/>
          <w:sz w:val="24"/>
        </w:rPr>
      </w:pPr>
      <w:r>
        <w:rPr>
          <w:rFonts w:ascii="宋体" w:hAnsi="宋体" w:cs="宋体"/>
          <w:sz w:val="24"/>
        </w:rPr>
      </w:r>
      <w:r/>
    </w:p>
    <w:p>
      <w:pPr>
        <w:pStyle w:val="1014"/>
        <w:spacing w:line="400" w:lineRule="exact"/>
        <w:rPr>
          <w:rFonts w:ascii="宋体" w:hAnsi="宋体" w:cs="宋体"/>
          <w:sz w:val="24"/>
        </w:rPr>
      </w:pPr>
      <w:r>
        <w:rPr>
          <w:rFonts w:ascii="宋体" w:hAnsi="宋体" w:cs="宋体"/>
          <w:sz w:val="24"/>
        </w:rPr>
      </w:r>
      <w:r/>
    </w:p>
    <w:p>
      <w:pPr>
        <w:pStyle w:val="1045"/>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tc>
      </w:tr>
    </w:tbl>
    <w:p>
      <w:pPr>
        <w:pStyle w:val="1014"/>
        <w:spacing w:line="360" w:lineRule="auto"/>
        <w:rPr>
          <w:rFonts w:hint="eastAsia" w:ascii="宋体" w:hAnsi="宋体" w:cs="宋体"/>
          <w:szCs w:val="21"/>
        </w:rPr>
      </w:pPr>
      <w:r>
        <w:rPr>
          <w:rFonts w:hint="eastAsia" w:ascii="宋体" w:hAnsi="宋体" w:cs="宋体"/>
          <w:szCs w:val="21"/>
        </w:rPr>
      </w:r>
      <w:r/>
    </w:p>
    <w:p>
      <w:pPr>
        <w:pStyle w:val="1045"/>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14"/>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4"/>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3"/>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4"/>
        <w:jc w:val="left"/>
        <w:widowControl/>
        <w:rPr>
          <w:rFonts w:hint="eastAsia"/>
          <w:color w:val="000000"/>
          <w:sz w:val="24"/>
        </w:rPr>
      </w:pPr>
      <w:r>
        <w:rPr>
          <w:rFonts w:hint="eastAsia"/>
          <w:color w:val="000000"/>
          <w:sz w:val="24"/>
        </w:rPr>
      </w:r>
      <w:r/>
    </w:p>
    <w:p>
      <w:pPr>
        <w:pStyle w:val="1014"/>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4"/>
        <w:ind w:firstLine="640"/>
      </w:pPr>
      <w:r/>
      <w:r/>
    </w:p>
    <w:p>
      <w:pPr>
        <w:pStyle w:val="101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rFonts w:hint="eastAsia" w:ascii="宋体" w:hAnsi="宋体" w:eastAsia="宋体" w:cs="宋体"/>
          <w:b/>
          <w:color w:val="000000"/>
          <w:sz w:val="24"/>
        </w:rPr>
      </w:r>
      <w:r/>
    </w:p>
    <w:p>
      <w:pPr>
        <w:pStyle w:val="1014"/>
        <w:jc w:val="center"/>
        <w:rPr>
          <w:b/>
          <w:color w:val="000000"/>
          <w:sz w:val="36"/>
          <w:szCs w:val="36"/>
        </w:rPr>
      </w:pPr>
      <w:r/>
      <w:bookmarkStart w:id="697" w:name="_Toc164608827"/>
      <w:r/>
      <w:bookmarkStart w:id="698" w:name="_Toc305158900"/>
      <w:r/>
      <w:bookmarkStart w:id="699" w:name="_Toc226337254"/>
      <w:r/>
      <w:bookmarkStart w:id="700" w:name="_Toc195842923"/>
      <w:r/>
      <w:bookmarkStart w:id="701" w:name="_Toc226965831"/>
      <w:r/>
      <w:bookmarkStart w:id="702" w:name="_Toc226965748"/>
      <w:r/>
      <w:bookmarkStart w:id="703" w:name="_Toc264969248"/>
      <w:r/>
      <w:bookmarkStart w:id="704" w:name="_Toc164608672"/>
      <w:r/>
      <w:bookmarkStart w:id="705" w:name="_Toc265228396"/>
      <w:r/>
      <w:bookmarkStart w:id="706" w:name="_Toc305158826"/>
      <w:r/>
      <w:bookmarkStart w:id="707" w:name="_Toc226309802"/>
      <w:r>
        <w:rPr>
          <w:rFonts w:hint="eastAsia"/>
          <w:b/>
          <w:color w:val="000000"/>
          <w:sz w:val="36"/>
          <w:szCs w:val="36"/>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Pr>
          <w:b/>
          <w:color w:val="000000"/>
          <w:sz w:val="36"/>
          <w:szCs w:val="36"/>
        </w:rPr>
      </w:r>
      <w:r/>
    </w:p>
    <w:p>
      <w:pPr>
        <w:pStyle w:val="1014"/>
        <w:jc w:val="left"/>
        <w:spacing w:line="360" w:lineRule="auto"/>
        <w:tabs>
          <w:tab w:val="left" w:pos="1800" w:leader="none"/>
          <w:tab w:val="left" w:pos="5580" w:leader="none"/>
        </w:tabs>
        <w:rPr>
          <w:color w:val="000000"/>
          <w:sz w:val="24"/>
        </w:rPr>
      </w:pPr>
      <w:r>
        <w:rPr>
          <w:color w:val="000000"/>
          <w:sz w:val="24"/>
        </w:rPr>
      </w:r>
      <w:r/>
    </w:p>
    <w:p>
      <w:pPr>
        <w:pStyle w:val="1014"/>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4"/>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14"/>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14"/>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4"/>
              <w:jc w:val="left"/>
              <w:widowControl/>
              <w:rPr>
                <w:b/>
                <w:sz w:val="24"/>
              </w:rPr>
            </w:pPr>
            <w:r>
              <w:rPr>
                <w:b/>
                <w:sz w:val="24"/>
              </w:rPr>
            </w:r>
            <w:r/>
          </w:p>
        </w:tc>
        <w:tc>
          <w:tcPr>
            <w:tcW w:w="3204" w:type="dxa"/>
            <w:vAlign w:val="center"/>
            <w:vMerge w:val="continue"/>
            <w:textDirection w:val="lrTb"/>
            <w:noWrap w:val="false"/>
          </w:tcPr>
          <w:p>
            <w:pPr>
              <w:pStyle w:val="1014"/>
              <w:jc w:val="left"/>
              <w:widowControl/>
              <w:rPr>
                <w:b/>
                <w:sz w:val="24"/>
              </w:rPr>
            </w:pPr>
            <w:r>
              <w:rPr>
                <w:b/>
                <w:sz w:val="24"/>
              </w:rPr>
            </w:r>
            <w:r/>
          </w:p>
        </w:tc>
        <w:tc>
          <w:tcPr>
            <w:tcW w:w="1239" w:type="dxa"/>
            <w:vAlign w:val="center"/>
            <w:textDirection w:val="lrTb"/>
            <w:noWrap w:val="false"/>
          </w:tcPr>
          <w:p>
            <w:pPr>
              <w:pStyle w:val="1014"/>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14"/>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14"/>
              <w:jc w:val="center"/>
              <w:tabs>
                <w:tab w:val="left" w:pos="5580" w:leader="none"/>
              </w:tabs>
              <w:rPr>
                <w:sz w:val="24"/>
              </w:rPr>
            </w:pPr>
            <w:r>
              <w:rPr>
                <w:sz w:val="24"/>
              </w:rPr>
            </w:r>
            <w:r/>
          </w:p>
        </w:tc>
        <w:tc>
          <w:tcPr>
            <w:tcW w:w="1960" w:type="dxa"/>
            <w:vAlign w:val="center"/>
            <w:textDirection w:val="lrTb"/>
            <w:noWrap w:val="false"/>
          </w:tcPr>
          <w:p>
            <w:pPr>
              <w:pStyle w:val="1014"/>
              <w:jc w:val="center"/>
              <w:tabs>
                <w:tab w:val="left" w:pos="5580" w:leader="none"/>
              </w:tabs>
              <w:rPr>
                <w:sz w:val="24"/>
              </w:rPr>
            </w:pPr>
            <w:r>
              <w:rPr>
                <w:sz w:val="24"/>
              </w:rPr>
            </w:r>
            <w:r/>
          </w:p>
        </w:tc>
        <w:tc>
          <w:tcPr>
            <w:tcW w:w="1239" w:type="dxa"/>
            <w:vAlign w:val="center"/>
            <w:textDirection w:val="lrTb"/>
            <w:noWrap w:val="false"/>
          </w:tcPr>
          <w:p>
            <w:pPr>
              <w:pStyle w:val="1014"/>
              <w:jc w:val="center"/>
              <w:tabs>
                <w:tab w:val="left" w:pos="5580" w:leader="none"/>
              </w:tabs>
              <w:rPr>
                <w:sz w:val="24"/>
              </w:rPr>
            </w:pPr>
            <w:r>
              <w:rPr>
                <w:sz w:val="24"/>
              </w:rPr>
            </w:r>
            <w:r/>
          </w:p>
        </w:tc>
        <w:tc>
          <w:tcPr>
            <w:tcW w:w="1304" w:type="dxa"/>
            <w:vAlign w:val="center"/>
            <w:textDirection w:val="lrTb"/>
            <w:noWrap w:val="false"/>
          </w:tcPr>
          <w:p>
            <w:pPr>
              <w:pStyle w:val="1014"/>
              <w:jc w:val="center"/>
              <w:tabs>
                <w:tab w:val="left" w:pos="5580" w:leader="none"/>
              </w:tabs>
              <w:rPr>
                <w:sz w:val="24"/>
              </w:rPr>
            </w:pPr>
            <w:r>
              <w:rPr>
                <w:sz w:val="24"/>
              </w:rPr>
            </w:r>
            <w:r/>
          </w:p>
        </w:tc>
      </w:tr>
    </w:tbl>
    <w:p>
      <w:pPr>
        <w:pStyle w:val="1014"/>
        <w:jc w:val="left"/>
        <w:rPr>
          <w:color w:val="000000"/>
          <w:sz w:val="24"/>
        </w:rPr>
      </w:pPr>
      <w:r>
        <w:rPr>
          <w:color w:val="000000"/>
          <w:sz w:val="24"/>
        </w:rPr>
      </w:r>
      <w:r/>
    </w:p>
    <w:p>
      <w:pPr>
        <w:pStyle w:val="1014"/>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4"/>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4"/>
        <w:spacing w:before="25" w:after="25" w:line="360" w:lineRule="auto"/>
        <w:rPr>
          <w:color w:val="000000"/>
          <w:sz w:val="24"/>
          <w:lang w:val="zh-CN"/>
        </w:rPr>
      </w:pPr>
      <w:r>
        <w:rPr>
          <w:color w:val="000000"/>
          <w:sz w:val="24"/>
          <w:lang w:val="zh-CN"/>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rPr>
        <w:outlineLvl w:val="2"/>
      </w:pPr>
      <w:r/>
      <w:bookmarkStart w:id="708" w:name="_Toc305158827"/>
      <w:r/>
      <w:bookmarkStart w:id="709" w:name="_Toc150774763"/>
      <w:r/>
      <w:bookmarkStart w:id="710" w:name="_Toc127151558"/>
      <w:r/>
      <w:bookmarkStart w:id="711" w:name="_Toc264969249"/>
      <w:r/>
      <w:bookmarkStart w:id="712" w:name="_Toc195842924"/>
      <w:r/>
      <w:bookmarkStart w:id="713" w:name="_Toc226965749"/>
      <w:r/>
      <w:bookmarkStart w:id="714" w:name="_Toc226965832"/>
      <w:r/>
      <w:bookmarkStart w:id="715" w:name="_Toc305158901"/>
      <w:r/>
      <w:bookmarkStart w:id="716" w:name="_Toc226309803"/>
      <w:r/>
      <w:bookmarkStart w:id="717" w:name="_Toc150480796"/>
      <w:r/>
      <w:bookmarkStart w:id="718" w:name="_Toc142311060"/>
      <w:r/>
      <w:bookmarkStart w:id="719" w:name="_Toc265228397"/>
      <w:r/>
      <w:bookmarkStart w:id="720" w:name="_Toc226337255"/>
      <w:r>
        <w:rPr>
          <w:color w:val="000000"/>
          <w:sz w:val="24"/>
          <w:szCs w:val="20"/>
        </w:rPr>
        <w:br w:type="page" w:clear="all"/>
      </w:r>
      <w:bookmarkStart w:id="721" w:name="_Hlk231817094"/>
      <w:r>
        <w:rPr>
          <w:rFonts w:hint="eastAsia" w:ascii="宋体" w:hAnsi="宋体" w:eastAsia="宋体" w:cs="宋体"/>
          <w:b/>
          <w:color w:val="000000"/>
          <w:sz w:val="24"/>
        </w:rPr>
        <w:t xml:space="preserve">9  分项报价表</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rFonts w:hint="eastAsia" w:ascii="宋体" w:hAnsi="宋体" w:eastAsia="宋体" w:cs="宋体"/>
          <w:b/>
          <w:color w:val="000000"/>
          <w:sz w:val="24"/>
        </w:rPr>
      </w:r>
      <w:r/>
    </w:p>
    <w:p>
      <w:pPr>
        <w:pStyle w:val="1014"/>
        <w:jc w:val="center"/>
        <w:spacing w:line="360" w:lineRule="exact"/>
        <w:rPr>
          <w:color w:val="000000"/>
          <w:sz w:val="36"/>
          <w:szCs w:val="36"/>
        </w:rPr>
      </w:pPr>
      <w:r>
        <w:rPr>
          <w:color w:val="000000"/>
          <w:sz w:val="36"/>
          <w:szCs w:val="36"/>
        </w:rPr>
      </w:r>
      <w:r/>
    </w:p>
    <w:p>
      <w:pPr>
        <w:pStyle w:val="1014"/>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4"/>
        <w:jc w:val="center"/>
        <w:spacing w:line="260" w:lineRule="exact"/>
        <w:rPr>
          <w:color w:val="000000"/>
          <w:sz w:val="36"/>
          <w:szCs w:val="36"/>
        </w:rPr>
      </w:pPr>
      <w:r>
        <w:rPr>
          <w:color w:val="000000"/>
          <w:sz w:val="36"/>
          <w:szCs w:val="36"/>
        </w:rPr>
      </w:r>
      <w:r/>
    </w:p>
    <w:p>
      <w:pPr>
        <w:pStyle w:val="1014"/>
        <w:tabs>
          <w:tab w:val="left" w:pos="1800" w:leader="none"/>
          <w:tab w:val="left" w:pos="5580" w:leader="none"/>
        </w:tabs>
        <w:rPr>
          <w:color w:val="000000"/>
          <w:sz w:val="24"/>
        </w:rPr>
      </w:pPr>
      <w:r/>
      <w:bookmarkEnd w:id="721"/>
      <w:r/>
      <w:bookmarkStart w:id="722" w:name="_Toc150480798"/>
      <w:r/>
      <w:bookmarkStart w:id="723" w:name="_Toc226337258"/>
      <w:r/>
      <w:bookmarkStart w:id="724" w:name="_Toc305158904"/>
      <w:r/>
      <w:bookmarkStart w:id="725" w:name="_Toc195842927"/>
      <w:r/>
      <w:bookmarkStart w:id="726" w:name="_Toc226309806"/>
      <w:r/>
      <w:bookmarkStart w:id="727" w:name="_Toc226965752"/>
      <w:r/>
      <w:bookmarkStart w:id="728" w:name="_Toc150774765"/>
      <w:r/>
      <w:bookmarkStart w:id="729" w:name="_Toc265228400"/>
      <w:r/>
      <w:bookmarkStart w:id="730" w:name="_Toc226965835"/>
      <w:r/>
      <w:bookmarkStart w:id="731" w:name="_Toc142311062"/>
      <w:r/>
      <w:bookmarkStart w:id="732" w:name="_Toc264969252"/>
      <w:r/>
      <w:bookmarkStart w:id="733" w:name="_Toc127151562"/>
      <w:r/>
      <w:bookmarkStart w:id="734" w:name="_Toc305158830"/>
      <w:r/>
      <w:bookmarkStart w:id="735" w:name="_Toc226309805"/>
      <w:r/>
      <w:bookmarkStart w:id="736" w:name="_Toc226337257"/>
      <w:r/>
      <w:bookmarkStart w:id="737" w:name="_Toc150774764"/>
      <w:r/>
      <w:bookmarkStart w:id="738" w:name="_Toc127151561"/>
      <w:r/>
      <w:bookmarkStart w:id="739" w:name="_Toc150480797"/>
      <w:r/>
      <w:bookmarkStart w:id="740" w:name="_Toc305158903"/>
      <w:r/>
      <w:bookmarkStart w:id="741" w:name="_Toc142311061"/>
      <w:r/>
      <w:bookmarkStart w:id="742" w:name="_Toc265228399"/>
      <w:r/>
      <w:bookmarkStart w:id="743" w:name="_Toc305158829"/>
      <w:r/>
      <w:bookmarkStart w:id="744" w:name="_Toc195842926"/>
      <w:r/>
      <w:bookmarkStart w:id="745" w:name="_Toc264969251"/>
      <w:r/>
      <w:bookmarkStart w:id="746" w:name="_Toc226965751"/>
      <w:r/>
      <w:bookmarkStart w:id="747" w:name="_Toc226965834"/>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bl>
    <w:p>
      <w:pPr>
        <w:pStyle w:val="1014"/>
        <w:jc w:val="left"/>
        <w:tabs>
          <w:tab w:val="left" w:pos="1800" w:leader="none"/>
          <w:tab w:val="left" w:pos="5580" w:leader="none"/>
        </w:tabs>
        <w:rPr>
          <w:rFonts w:hint="eastAsia"/>
          <w:color w:val="000000"/>
          <w:sz w:val="24"/>
        </w:rPr>
      </w:pPr>
      <w:r>
        <w:rPr>
          <w:rFonts w:hint="eastAsia"/>
          <w:color w:val="000000"/>
          <w:sz w:val="24"/>
        </w:rPr>
      </w:r>
      <w:r/>
    </w:p>
    <w:p>
      <w:pPr>
        <w:pStyle w:val="1014"/>
        <w:jc w:val="left"/>
        <w:tabs>
          <w:tab w:val="left" w:pos="1800" w:leader="none"/>
          <w:tab w:val="left" w:pos="5580" w:leader="none"/>
        </w:tabs>
        <w:rPr>
          <w:rFonts w:hint="eastAsia"/>
          <w:color w:val="000000"/>
          <w:sz w:val="24"/>
        </w:rPr>
      </w:pPr>
      <w:r>
        <w:rPr>
          <w:rFonts w:hint="eastAsia"/>
          <w:color w:val="000000"/>
          <w:sz w:val="24"/>
        </w:rPr>
      </w:r>
      <w:r/>
    </w:p>
    <w:p>
      <w:pPr>
        <w:pStyle w:val="1014"/>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4"/>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4"/>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4"/>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hint="eastAsia" w:ascii="宋体" w:hAnsi="宋体" w:eastAsia="宋体" w:cs="宋体"/>
          <w:b/>
          <w:color w:val="000000"/>
          <w:sz w:val="24"/>
        </w:rPr>
      </w:r>
      <w:r/>
    </w:p>
    <w:p>
      <w:pPr>
        <w:pStyle w:val="1014"/>
        <w:spacing w:line="360" w:lineRule="auto"/>
        <w:rPr>
          <w:color w:val="000000"/>
          <w:sz w:val="24"/>
          <w:szCs w:val="20"/>
        </w:rPr>
      </w:pPr>
      <w:r>
        <w:rPr>
          <w:color w:val="000000"/>
          <w:sz w:val="24"/>
          <w:szCs w:val="20"/>
        </w:rPr>
      </w:r>
      <w:r/>
    </w:p>
    <w:p>
      <w:pPr>
        <w:pStyle w:val="1014"/>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4"/>
        <w:jc w:val="center"/>
        <w:rPr>
          <w:color w:val="000000"/>
          <w:sz w:val="36"/>
          <w:szCs w:val="36"/>
        </w:rPr>
      </w:pPr>
      <w:r>
        <w:rPr>
          <w:color w:val="000000"/>
          <w:sz w:val="36"/>
          <w:szCs w:val="36"/>
        </w:rPr>
      </w:r>
      <w:r/>
    </w:p>
    <w:p>
      <w:pPr>
        <w:pStyle w:val="1014"/>
        <w:spacing w:line="360" w:lineRule="auto"/>
        <w:rPr>
          <w:color w:val="000000"/>
          <w:sz w:val="24"/>
          <w:szCs w:val="20"/>
        </w:rPr>
      </w:pPr>
      <w:r>
        <w:rPr>
          <w:color w:val="000000"/>
          <w:sz w:val="24"/>
          <w:szCs w:val="20"/>
        </w:rPr>
      </w:r>
      <w:r/>
    </w:p>
    <w:p>
      <w:pPr>
        <w:pStyle w:val="1014"/>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4"/>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4"/>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4"/>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jc w:val="left"/>
        <w:tabs>
          <w:tab w:val="left" w:pos="1800" w:leader="none"/>
          <w:tab w:val="left" w:pos="5580" w:leader="none"/>
        </w:tabs>
        <w:rPr>
          <w:color w:val="000000"/>
          <w:sz w:val="24"/>
        </w:rPr>
      </w:pPr>
      <w:r>
        <w:rPr>
          <w:color w:val="000000"/>
          <w:sz w:val="24"/>
        </w:rPr>
      </w:r>
      <w:r/>
    </w:p>
    <w:p>
      <w:pPr>
        <w:pStyle w:val="101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4"/>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4"/>
        <w:spacing w:line="360" w:lineRule="auto"/>
        <w:rPr>
          <w:rFonts w:ascii="宋体" w:hAnsi="宋体"/>
          <w:color w:val="000000"/>
          <w:sz w:val="24"/>
          <w:szCs w:val="20"/>
        </w:rPr>
      </w:pPr>
      <w:r>
        <w:rPr>
          <w:rFonts w:ascii="宋体" w:hAnsi="宋体"/>
          <w:color w:val="000000"/>
          <w:sz w:val="24"/>
          <w:szCs w:val="20"/>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11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rPr>
      </w:r>
      <w:r/>
    </w:p>
    <w:p>
      <w:pPr>
        <w:pStyle w:val="1014"/>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4"/>
        <w:jc w:val="center"/>
        <w:rPr>
          <w:color w:val="000000"/>
          <w:sz w:val="36"/>
          <w:szCs w:val="36"/>
        </w:rPr>
      </w:pPr>
      <w:r>
        <w:rPr>
          <w:color w:val="000000"/>
          <w:sz w:val="36"/>
          <w:szCs w:val="36"/>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14"/>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4"/>
        <w:rPr>
          <w:rFonts w:ascii="宋体" w:hAnsi="宋体"/>
          <w:color w:val="000000"/>
          <w:sz w:val="24"/>
          <w:szCs w:val="20"/>
        </w:rPr>
      </w:pPr>
      <w:r>
        <w:rPr>
          <w:rFonts w:ascii="宋体" w:hAnsi="宋体"/>
          <w:color w:val="000000"/>
          <w:sz w:val="24"/>
          <w:szCs w:val="20"/>
        </w:rPr>
      </w:r>
      <w:r/>
    </w:p>
    <w:p>
      <w:pPr>
        <w:pStyle w:val="101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4"/>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12</w:t>
      </w:r>
      <w:r>
        <w:rPr>
          <w:rFonts w:hint="eastAsia" w:ascii="宋体" w:hAnsi="宋体" w:eastAsia="宋体" w:cs="宋体"/>
          <w:b/>
          <w:color w:val="000000"/>
          <w:sz w:val="24"/>
        </w:rPr>
        <w:t xml:space="preserve">  关于符合本国产品标准的声明函（采购包号：**）</w:t>
      </w:r>
      <w:r>
        <w:rPr>
          <w:rFonts w:hint="eastAsia" w:ascii="宋体" w:hAnsi="宋体" w:eastAsia="宋体" w:cs="宋体"/>
          <w:b/>
          <w:color w:val="000000"/>
          <w:sz w:val="24"/>
        </w:rPr>
      </w:r>
      <w:r/>
    </w:p>
    <w:p>
      <w:pPr>
        <w:pStyle w:val="1075"/>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75"/>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088"/>
          <w:rFonts w:hint="eastAsia" w:ascii="方正魏碑_GBK" w:hAnsi="方正魏碑_GBK" w:eastAsia="方正魏碑_GBK" w:cs="方正魏碑_GBK"/>
          <w:color w:val="000000"/>
          <w:u w:val="single"/>
          <w:shd w:val="clear" w:color="auto" w:fill="ffffff"/>
        </w:rPr>
        <w:t xml:space="preserve">（产品名称1）</w:t>
      </w:r>
      <w:r>
        <w:rPr>
          <w:rStyle w:val="108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88"/>
          <w:rFonts w:hint="eastAsia" w:ascii="方正魏碑_GBK" w:hAnsi="方正魏碑_GBK" w:eastAsia="方正魏碑_GBK" w:cs="方正魏碑_GBK"/>
          <w:color w:val="000000"/>
          <w:u w:val="single"/>
          <w:shd w:val="clear" w:color="auto" w:fill="ffffff"/>
        </w:rPr>
        <w:t xml:space="preserve">（厂名）</w:t>
      </w:r>
      <w:r>
        <w:rPr>
          <w:rStyle w:val="108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88"/>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088"/>
          <w:rFonts w:hint="eastAsia" w:ascii="方正魏碑_GBK" w:hAnsi="方正魏碑_GBK" w:eastAsia="方正魏碑_GBK" w:cs="方正魏碑_GBK"/>
          <w:color w:val="000000"/>
          <w:u w:val="single"/>
          <w:shd w:val="clear" w:color="auto" w:fill="ffffff"/>
        </w:rPr>
        <w:t xml:space="preserve">（规定</w:t>
      </w:r>
      <w:r>
        <w:rPr>
          <w:rStyle w:val="1088"/>
          <w:rFonts w:ascii="方正魏碑_GBK" w:hAnsi="方正魏碑_GBK" w:eastAsia="方正魏碑_GBK" w:cs="方正魏碑_GBK"/>
          <w:color w:val="000000"/>
          <w:u w:val="single"/>
          <w:shd w:val="clear" w:color="auto" w:fill="ffffff"/>
        </w:rPr>
        <w:t xml:space="preserve">比例</w:t>
      </w:r>
      <w:r>
        <w:rPr>
          <w:rStyle w:val="1088"/>
          <w:rFonts w:hint="eastAsia" w:ascii="方正魏碑_GBK" w:hAnsi="方正魏碑_GBK" w:eastAsia="方正魏碑_GBK" w:cs="方正魏碑_GBK"/>
          <w:color w:val="000000"/>
          <w:u w:val="single"/>
          <w:shd w:val="clear" w:color="auto" w:fill="ffffff"/>
        </w:rPr>
        <w:t xml:space="preserve">）</w:t>
      </w:r>
      <w:r>
        <w:rPr>
          <w:rStyle w:val="108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w:t>
      </w:r>
      <w:r>
        <w:rPr>
          <w:rStyle w:val="1088"/>
          <w:rFonts w:ascii="方正魏碑_GBK" w:hAnsi="方正魏碑_GBK" w:eastAsia="方正魏碑_GBK" w:cs="方正魏碑_GBK"/>
          <w:color w:val="000000"/>
          <w:u w:val="single"/>
          <w:shd w:val="clear" w:color="auto" w:fill="ffffff"/>
        </w:rPr>
        <w:t xml:space="preserve">组件</w:t>
      </w:r>
      <w:r>
        <w:rPr>
          <w:rStyle w:val="1088"/>
          <w:rFonts w:hint="eastAsia" w:ascii="方正魏碑_GBK" w:hAnsi="方正魏碑_GBK" w:eastAsia="方正魏碑_GBK" w:cs="方正魏碑_GBK"/>
          <w:color w:val="000000"/>
          <w:u w:val="single"/>
          <w:shd w:val="clear" w:color="auto" w:fill="ffffff"/>
        </w:rPr>
        <w:t xml:space="preserve">）</w:t>
      </w:r>
      <w:r>
        <w:rPr>
          <w:rStyle w:val="108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0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（关键工序）</w:t>
      </w:r>
      <w:r>
        <w:rPr>
          <w:rStyle w:val="108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88"/>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088"/>
          <w:rFonts w:hint="eastAsia" w:ascii="方正魏碑_GBK" w:hAnsi="方正魏碑_GBK" w:eastAsia="方正魏碑_GBK" w:cs="方正魏碑_GBK"/>
          <w:color w:val="000000"/>
          <w:u w:val="single"/>
          <w:shd w:val="clear" w:color="auto" w:fill="ffffff"/>
        </w:rPr>
        <w:t xml:space="preserve">（规定</w:t>
      </w:r>
      <w:r>
        <w:rPr>
          <w:rStyle w:val="1088"/>
          <w:rFonts w:ascii="方正魏碑_GBK" w:hAnsi="方正魏碑_GBK" w:eastAsia="方正魏碑_GBK" w:cs="方正魏碑_GBK"/>
          <w:color w:val="000000"/>
          <w:u w:val="single"/>
          <w:shd w:val="clear" w:color="auto" w:fill="ffffff"/>
        </w:rPr>
        <w:t xml:space="preserve">比例</w:t>
      </w:r>
      <w:r>
        <w:rPr>
          <w:rStyle w:val="10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w:t>
      </w:r>
      <w:r>
        <w:rPr>
          <w:rStyle w:val="1088"/>
          <w:rFonts w:ascii="方正魏碑_GBK" w:hAnsi="方正魏碑_GBK" w:eastAsia="方正魏碑_GBK" w:cs="方正魏碑_GBK"/>
          <w:color w:val="000000"/>
          <w:u w:val="single"/>
          <w:shd w:val="clear" w:color="auto" w:fill="ffffff"/>
        </w:rPr>
        <w:t xml:space="preserve">组件</w:t>
      </w:r>
      <w:r>
        <w:rPr>
          <w:rStyle w:val="10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075"/>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075"/>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07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014"/>
        <w:spacing w:line="360" w:lineRule="auto"/>
        <w:rPr>
          <w:rFonts w:hint="eastAsia" w:ascii="宋体" w:hAnsi="宋体" w:eastAsia="宋体" w:cs="宋体"/>
          <w:b/>
          <w:color w:val="000000"/>
          <w:sz w:val="24"/>
          <w:lang w:val="en-US" w:eastAsia="zh-CN"/>
        </w:rPr>
        <w:outlineLvl w:val="2"/>
      </w:pPr>
      <w:r>
        <w:rPr>
          <w:rFonts w:hint="eastAsia"/>
          <w:b/>
          <w:color w:val="000000"/>
          <w:sz w:val="24"/>
        </w:rPr>
        <w:br w:type="page" w:clear="all"/>
      </w:r>
      <w:r>
        <w:rPr>
          <w:rFonts w:hint="eastAsia" w:ascii="宋体" w:hAnsi="宋体" w:eastAsia="宋体" w:cs="宋体"/>
          <w:b/>
          <w:color w:val="000000"/>
          <w:sz w:val="24"/>
          <w:lang w:val="en-US" w:eastAsia="zh-CN"/>
        </w:rPr>
        <w:t xml:space="preserve">13  项目实施方案等，包括但不限于如下主题：</w:t>
      </w:r>
      <w:r>
        <w:rPr>
          <w:rFonts w:hint="eastAsia" w:ascii="宋体" w:hAnsi="宋体" w:eastAsia="宋体" w:cs="宋体"/>
          <w:b/>
          <w:color w:val="000000"/>
          <w:sz w:val="24"/>
          <w:lang w:val="en-US" w:eastAsia="zh-CN"/>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4"/>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4"/>
        <w:spacing w:line="360" w:lineRule="auto"/>
        <w:rPr>
          <w:rFonts w:hint="eastAsia" w:ascii="宋体" w:hAnsi="宋体" w:eastAsia="宋体" w:cs="宋体"/>
          <w:b/>
          <w:color w:val="000000"/>
          <w:sz w:val="24"/>
          <w:lang w:val="en-US" w:eastAsia="zh-CN"/>
        </w:rPr>
        <w:outlineLvl w:val="2"/>
      </w:pPr>
      <w:r>
        <w:rPr>
          <w:color w:val="000000"/>
          <w:sz w:val="24"/>
          <w:szCs w:val="20"/>
        </w:rPr>
        <w:br w:type="page" w:clear="all"/>
      </w:r>
      <w:r>
        <w:rPr>
          <w:rFonts w:hint="eastAsia" w:ascii="宋体" w:hAnsi="宋体" w:eastAsia="宋体" w:cs="宋体"/>
          <w:b/>
          <w:color w:val="000000"/>
          <w:sz w:val="24"/>
          <w:lang w:val="en-US" w:eastAsia="zh-CN"/>
        </w:rPr>
        <w:t xml:space="preserve">14  参加本项目人员一览表</w:t>
      </w:r>
      <w:r>
        <w:rPr>
          <w:rFonts w:hint="eastAsia" w:ascii="宋体" w:hAnsi="宋体" w:eastAsia="宋体" w:cs="宋体"/>
          <w:b/>
          <w:color w:val="000000"/>
          <w:sz w:val="24"/>
          <w:lang w:val="en-US" w:eastAsia="zh-CN"/>
        </w:rPr>
      </w:r>
      <w:r/>
    </w:p>
    <w:p>
      <w:pPr>
        <w:pStyle w:val="1014"/>
        <w:jc w:val="center"/>
        <w:spacing w:line="360" w:lineRule="auto"/>
        <w:rPr>
          <w:rFonts w:hint="eastAsia" w:ascii="宋体" w:hAnsi="宋体"/>
          <w:b/>
          <w:sz w:val="32"/>
          <w:szCs w:val="32"/>
        </w:rPr>
      </w:pPr>
      <w:r>
        <w:rPr>
          <w:rFonts w:hint="eastAsia" w:ascii="宋体" w:hAnsi="宋体"/>
          <w:b/>
          <w:sz w:val="32"/>
          <w:szCs w:val="32"/>
        </w:rPr>
      </w:r>
      <w:r/>
    </w:p>
    <w:p>
      <w:pPr>
        <w:pStyle w:val="101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4"/>
        <w:spacing w:line="360" w:lineRule="auto"/>
        <w:rPr>
          <w:rFonts w:ascii="宋体" w:hAnsi="宋体"/>
          <w:sz w:val="22"/>
        </w:rPr>
      </w:pPr>
      <w:r>
        <w:rPr>
          <w:rFonts w:ascii="宋体" w:hAnsi="宋体"/>
          <w:sz w:val="22"/>
        </w:rPr>
      </w:r>
      <w:r/>
    </w:p>
    <w:p>
      <w:pPr>
        <w:pStyle w:val="101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4"/>
        <w:tabs>
          <w:tab w:val="left" w:pos="9765" w:leader="none"/>
        </w:tabs>
        <w:rPr>
          <w:rFonts w:ascii="宋体" w:hAnsi="宋体" w:cs="宋体"/>
          <w:b/>
          <w:sz w:val="24"/>
          <w:lang w:val="zh-CN"/>
        </w:rPr>
      </w:pPr>
      <w:r>
        <w:rPr>
          <w:rFonts w:ascii="宋体" w:hAnsi="宋体" w:cs="宋体"/>
          <w:b/>
          <w:sz w:val="24"/>
          <w:lang w:val="zh-CN"/>
        </w:rPr>
      </w:r>
      <w:r/>
    </w:p>
    <w:p>
      <w:pPr>
        <w:pStyle w:val="101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4"/>
        <w:spacing w:line="360" w:lineRule="auto"/>
        <w:rPr>
          <w:rFonts w:ascii="宋体" w:hAnsi="宋体"/>
          <w:sz w:val="24"/>
        </w:rPr>
      </w:pPr>
      <w:r>
        <w:rPr>
          <w:rFonts w:ascii="宋体" w:hAnsi="宋体"/>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lang w:val="en-US" w:eastAsia="zh-CN"/>
        </w:rPr>
        <w:outlineLvl w:val="2"/>
      </w:pPr>
      <w:r>
        <w:rPr>
          <w:sz w:val="22"/>
        </w:rPr>
        <w:br w:type="page" w:clear="all"/>
      </w:r>
      <w:bookmarkStart w:id="748" w:name="_Toc288738397"/>
      <w:r/>
      <w:bookmarkStart w:id="749" w:name="_Toc288738839"/>
      <w:r>
        <w:rPr>
          <w:rFonts w:hint="eastAsia" w:ascii="宋体" w:hAnsi="宋体" w:eastAsia="宋体" w:cs="宋体"/>
          <w:b/>
          <w:color w:val="000000"/>
          <w:sz w:val="24"/>
          <w:lang w:val="en-US" w:eastAsia="zh-CN"/>
        </w:rPr>
        <w:t xml:space="preserve">15  相关业绩案例一览表</w:t>
      </w:r>
      <w:r>
        <w:rPr>
          <w:rFonts w:hint="eastAsia" w:ascii="宋体" w:hAnsi="宋体" w:eastAsia="宋体" w:cs="宋体"/>
          <w:b/>
          <w:color w:val="000000"/>
          <w:sz w:val="24"/>
          <w:lang w:val="en-US" w:eastAsia="zh-CN"/>
        </w:rPr>
      </w:r>
      <w:r/>
    </w:p>
    <w:p>
      <w:pPr>
        <w:pStyle w:val="1014"/>
        <w:rPr>
          <w:color w:val="000000"/>
          <w:sz w:val="24"/>
          <w:szCs w:val="20"/>
        </w:rPr>
      </w:pPr>
      <w:r>
        <w:rPr>
          <w:color w:val="000000"/>
          <w:sz w:val="24"/>
          <w:szCs w:val="20"/>
        </w:rPr>
      </w:r>
      <w:r/>
    </w:p>
    <w:p>
      <w:pPr>
        <w:pStyle w:val="1014"/>
        <w:jc w:val="center"/>
        <w:rPr>
          <w:rFonts w:ascii="宋体" w:hAnsi="宋体"/>
          <w:b/>
          <w:sz w:val="32"/>
          <w:szCs w:val="32"/>
        </w:rPr>
      </w:pPr>
      <w:r>
        <w:rPr>
          <w:rFonts w:hint="eastAsia" w:ascii="宋体" w:hAnsi="宋体"/>
          <w:b/>
          <w:sz w:val="32"/>
          <w:szCs w:val="32"/>
        </w:rPr>
        <w:t xml:space="preserve">相关业绩案例一览表</w:t>
      </w:r>
      <w:bookmarkEnd w:id="748"/>
      <w:r/>
      <w:bookmarkEnd w:id="749"/>
      <w:r>
        <w:rPr>
          <w:rFonts w:ascii="宋体" w:hAnsi="宋体"/>
          <w:b/>
          <w:sz w:val="32"/>
          <w:szCs w:val="32"/>
        </w:rPr>
      </w:r>
      <w:r/>
    </w:p>
    <w:p>
      <w:pPr>
        <w:pStyle w:val="1014"/>
        <w:jc w:val="center"/>
        <w:spacing w:line="360" w:lineRule="auto"/>
        <w:rPr>
          <w:rFonts w:ascii="宋体" w:hAnsi="宋体"/>
          <w:b/>
          <w:sz w:val="28"/>
          <w:szCs w:val="30"/>
        </w:rPr>
      </w:pPr>
      <w:r>
        <w:rPr>
          <w:rFonts w:ascii="宋体" w:hAnsi="宋体"/>
          <w:b/>
          <w:sz w:val="28"/>
          <w:szCs w:val="30"/>
        </w:rPr>
      </w:r>
      <w:r/>
    </w:p>
    <w:p>
      <w:pPr>
        <w:pStyle w:val="101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bl>
    <w:p>
      <w:pPr>
        <w:pStyle w:val="1014"/>
        <w:tabs>
          <w:tab w:val="left" w:pos="9765" w:leader="none"/>
        </w:tabs>
        <w:rPr>
          <w:rFonts w:ascii="宋体" w:hAnsi="宋体" w:cs="宋体"/>
          <w:sz w:val="24"/>
          <w:lang w:val="zh-CN"/>
        </w:rPr>
      </w:pPr>
      <w:r>
        <w:rPr>
          <w:rFonts w:ascii="宋体" w:hAnsi="宋体" w:cs="宋体"/>
          <w:sz w:val="24"/>
          <w:lang w:val="zh-CN"/>
        </w:rPr>
      </w:r>
      <w:r/>
    </w:p>
    <w:p>
      <w:pPr>
        <w:pStyle w:val="1014"/>
        <w:spacing w:line="360" w:lineRule="auto"/>
        <w:rPr>
          <w:rFonts w:ascii="宋体" w:hAnsi="宋体" w:cs="宋体"/>
          <w:sz w:val="24"/>
        </w:rPr>
      </w:pPr>
      <w:r>
        <w:rPr>
          <w:rFonts w:ascii="宋体" w:hAnsi="宋体" w:cs="宋体"/>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sz w:val="24"/>
        </w:rPr>
      </w:r>
      <w:r/>
    </w:p>
    <w:p>
      <w:pPr>
        <w:pStyle w:val="1014"/>
        <w:rPr>
          <w:b/>
          <w:sz w:val="36"/>
          <w:szCs w:val="36"/>
        </w:rPr>
      </w:pPr>
      <w:r>
        <w:rPr>
          <w:b/>
          <w:sz w:val="36"/>
          <w:szCs w:val="36"/>
        </w:rPr>
      </w:r>
      <w:r/>
    </w:p>
    <w:p>
      <w:pPr>
        <w:pStyle w:val="1014"/>
        <w:rPr>
          <w:color w:val="000000"/>
          <w:sz w:val="24"/>
          <w:lang w:val="zh-CN"/>
        </w:rPr>
      </w:pPr>
      <w:r>
        <w:rPr>
          <w:color w:val="000000"/>
          <w:sz w:val="24"/>
          <w:szCs w:val="20"/>
        </w:rPr>
        <w:t xml:space="preserve"> </w:t>
      </w:r>
      <w:r>
        <w:rPr>
          <w:color w:val="000000"/>
          <w:sz w:val="24"/>
          <w:lang w:val="zh-CN"/>
        </w:rPr>
      </w:r>
      <w:r/>
    </w:p>
    <w:p>
      <w:pPr>
        <w:pStyle w:val="1014"/>
        <w:rPr>
          <w:rFonts w:ascii="宋体" w:hAnsi="宋体"/>
          <w:sz w:val="36"/>
          <w:szCs w:val="36"/>
        </w:rPr>
      </w:pPr>
      <w:r>
        <w:rPr>
          <w:rFonts w:ascii="宋体" w:hAnsi="宋体"/>
          <w:sz w:val="36"/>
          <w:szCs w:val="36"/>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本采购文件的最终解释权归常州市城投建设工程招标有限公司所有。</w:t>
      </w:r>
      <w:r>
        <w:rPr>
          <w:rFonts w:hint="eastAsia" w:ascii="微软雅黑" w:hAnsi="微软雅黑" w:eastAsia="微软雅黑" w:cs="微软雅黑"/>
          <w:b/>
          <w:bCs w:val="0"/>
          <w:sz w:val="28"/>
          <w:szCs w:val="28"/>
        </w:rPr>
      </w:r>
      <w:r/>
    </w:p>
    <w:p>
      <w:pPr>
        <w:pStyle w:val="1014"/>
        <w:jc w:val="center"/>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（全文完）</w:t>
      </w:r>
      <w:r>
        <w:rPr>
          <w:rFonts w:hint="eastAsia" w:ascii="微软雅黑" w:hAnsi="微软雅黑" w:eastAsia="微软雅黑" w:cs="微软雅黑"/>
          <w:b/>
          <w:bCs w:val="0"/>
          <w:sz w:val="28"/>
          <w:szCs w:val="28"/>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6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p>
    <w:pPr>
      <w:pStyle w:val="10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4"/>
        <w:ind w:left="4941" w:hanging="1140"/>
        <w:tabs>
          <w:tab w:val="num" w:pos="4941" w:leader="none"/>
        </w:tabs>
      </w:pPr>
      <w:rPr>
        <w:rFonts w:hint="eastAsia"/>
      </w:rPr>
    </w:lvl>
    <w:lvl w:ilvl="1">
      <w:start w:val="1"/>
      <w:numFmt w:val="lowerLetter"/>
      <w:isLgl w:val="false"/>
      <w:suff w:val="tab"/>
      <w:lvlText w:val="%2)"/>
      <w:lvlJc w:val="left"/>
      <w:pPr>
        <w:pStyle w:val="1014"/>
        <w:ind w:left="4641" w:hanging="420"/>
        <w:tabs>
          <w:tab w:val="num" w:pos="4641" w:leader="none"/>
        </w:tabs>
      </w:pPr>
    </w:lvl>
    <w:lvl w:ilvl="2">
      <w:start w:val="1"/>
      <w:numFmt w:val="lowerRoman"/>
      <w:isLgl w:val="false"/>
      <w:suff w:val="tab"/>
      <w:lvlText w:val="%3."/>
      <w:lvlJc w:val="right"/>
      <w:pPr>
        <w:pStyle w:val="1014"/>
        <w:ind w:left="5061" w:hanging="420"/>
        <w:tabs>
          <w:tab w:val="num" w:pos="5061" w:leader="none"/>
        </w:tabs>
      </w:pPr>
    </w:lvl>
    <w:lvl w:ilvl="3">
      <w:start w:val="1"/>
      <w:numFmt w:val="decimal"/>
      <w:isLgl w:val="false"/>
      <w:suff w:val="tab"/>
      <w:lvlText w:val="%4."/>
      <w:lvlJc w:val="left"/>
      <w:pPr>
        <w:pStyle w:val="1014"/>
        <w:ind w:left="5481" w:hanging="420"/>
        <w:tabs>
          <w:tab w:val="num" w:pos="5481" w:leader="none"/>
        </w:tabs>
      </w:pPr>
    </w:lvl>
    <w:lvl w:ilvl="4">
      <w:start w:val="1"/>
      <w:numFmt w:val="lowerLetter"/>
      <w:isLgl w:val="false"/>
      <w:suff w:val="tab"/>
      <w:lvlText w:val="%5)"/>
      <w:lvlJc w:val="left"/>
      <w:pPr>
        <w:pStyle w:val="1014"/>
        <w:ind w:left="5901" w:hanging="420"/>
        <w:tabs>
          <w:tab w:val="num" w:pos="5901" w:leader="none"/>
        </w:tabs>
      </w:pPr>
    </w:lvl>
    <w:lvl w:ilvl="5">
      <w:start w:val="1"/>
      <w:numFmt w:val="lowerRoman"/>
      <w:isLgl w:val="false"/>
      <w:suff w:val="tab"/>
      <w:lvlText w:val="%6."/>
      <w:lvlJc w:val="right"/>
      <w:pPr>
        <w:pStyle w:val="1014"/>
        <w:ind w:left="6321" w:hanging="420"/>
        <w:tabs>
          <w:tab w:val="num" w:pos="6321" w:leader="none"/>
        </w:tabs>
      </w:pPr>
    </w:lvl>
    <w:lvl w:ilvl="6">
      <w:start w:val="1"/>
      <w:numFmt w:val="decimal"/>
      <w:isLgl w:val="false"/>
      <w:suff w:val="tab"/>
      <w:lvlText w:val="%7."/>
      <w:lvlJc w:val="left"/>
      <w:pPr>
        <w:pStyle w:val="1014"/>
        <w:ind w:left="6741" w:hanging="420"/>
        <w:tabs>
          <w:tab w:val="num" w:pos="6741" w:leader="none"/>
        </w:tabs>
      </w:pPr>
    </w:lvl>
    <w:lvl w:ilvl="7">
      <w:start w:val="1"/>
      <w:numFmt w:val="lowerLetter"/>
      <w:isLgl w:val="false"/>
      <w:suff w:val="tab"/>
      <w:lvlText w:val="%8)"/>
      <w:lvlJc w:val="left"/>
      <w:pPr>
        <w:pStyle w:val="1014"/>
        <w:ind w:left="7161" w:hanging="420"/>
        <w:tabs>
          <w:tab w:val="num" w:pos="7161" w:leader="none"/>
        </w:tabs>
      </w:pPr>
    </w:lvl>
    <w:lvl w:ilvl="8">
      <w:start w:val="1"/>
      <w:numFmt w:val="lowerRoman"/>
      <w:isLgl w:val="false"/>
      <w:suff w:val="tab"/>
      <w:lvlText w:val="%9."/>
      <w:lvlJc w:val="right"/>
      <w:pPr>
        <w:pStyle w:val="1014"/>
        <w:ind w:left="7581" w:hanging="420"/>
        <w:tabs>
          <w:tab w:val="num" w:pos="7581" w:leader="none"/>
        </w:tabs>
      </w:pPr>
    </w:lvl>
  </w:abstractNum>
  <w:abstractNum w:abstractNumId="1">
    <w:multiLevelType w:val="hybridMultilevel"/>
    <w:lvl w:ilvl="0">
      <w:start w:val="1"/>
      <w:numFmt w:val="decimal"/>
      <w:pStyle w:val="1122"/>
      <w:isLgl w:val="false"/>
      <w:suff w:val="tab"/>
      <w:lvlText w:val="%1."/>
      <w:lvlJc w:val="left"/>
      <w:pPr>
        <w:pStyle w:val="1014"/>
        <w:ind w:left="420" w:hanging="420"/>
      </w:pPr>
    </w:lvl>
    <w:lvl w:ilvl="1">
      <w:start w:val="1"/>
      <w:numFmt w:val="decimal"/>
      <w:isLgl w:val="false"/>
      <w:suff w:val="tab"/>
      <w:lvlText w:val="（%2）"/>
      <w:lvlJc w:val="left"/>
      <w:pPr>
        <w:pStyle w:val="1014"/>
        <w:ind w:left="1140" w:hanging="720"/>
        <w:tabs>
          <w:tab w:val="num" w:pos="1140" w:leader="none"/>
        </w:tabs>
      </w:pPr>
      <w:rPr>
        <w:rFonts w:hint="eastAsia"/>
      </w:r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2">
    <w:multiLevelType w:val="hybridMultilevel"/>
    <w:lvl w:ilvl="0">
      <w:start w:val="1"/>
      <w:numFmt w:val="lowerLetter"/>
      <w:pStyle w:val="1197"/>
      <w:isLgl w:val="false"/>
      <w:suff w:val="tab"/>
      <w:lvlText w:val="%1)"/>
      <w:lvlJc w:val="left"/>
      <w:pPr>
        <w:pStyle w:val="1014"/>
        <w:ind w:left="902" w:hanging="420"/>
      </w:pPr>
      <w:rPr>
        <w:color w:val="000000"/>
      </w:rPr>
    </w:lvl>
    <w:lvl w:ilvl="1">
      <w:start w:val="1"/>
      <w:numFmt w:val="lowerLetter"/>
      <w:isLgl w:val="false"/>
      <w:suff w:val="tab"/>
      <w:lvlText w:val="%2)"/>
      <w:lvlJc w:val="left"/>
      <w:pPr>
        <w:pStyle w:val="1014"/>
        <w:ind w:left="1322" w:hanging="420"/>
      </w:pPr>
    </w:lvl>
    <w:lvl w:ilvl="2">
      <w:start w:val="1"/>
      <w:numFmt w:val="lowerRoman"/>
      <w:isLgl w:val="false"/>
      <w:suff w:val="tab"/>
      <w:lvlText w:val="%3."/>
      <w:lvlJc w:val="right"/>
      <w:pPr>
        <w:pStyle w:val="1014"/>
        <w:ind w:left="1742" w:hanging="420"/>
      </w:pPr>
    </w:lvl>
    <w:lvl w:ilvl="3">
      <w:start w:val="1"/>
      <w:numFmt w:val="decimal"/>
      <w:isLgl w:val="false"/>
      <w:suff w:val="tab"/>
      <w:lvlText w:val="%4."/>
      <w:lvlJc w:val="left"/>
      <w:pPr>
        <w:pStyle w:val="1014"/>
        <w:ind w:left="2162" w:hanging="420"/>
      </w:pPr>
    </w:lvl>
    <w:lvl w:ilvl="4">
      <w:start w:val="1"/>
      <w:numFmt w:val="lowerLetter"/>
      <w:isLgl w:val="false"/>
      <w:suff w:val="tab"/>
      <w:lvlText w:val="%5)"/>
      <w:lvlJc w:val="left"/>
      <w:pPr>
        <w:pStyle w:val="1014"/>
        <w:ind w:left="2582" w:hanging="420"/>
      </w:pPr>
    </w:lvl>
    <w:lvl w:ilvl="5">
      <w:start w:val="1"/>
      <w:numFmt w:val="lowerRoman"/>
      <w:isLgl w:val="false"/>
      <w:suff w:val="tab"/>
      <w:lvlText w:val="%6."/>
      <w:lvlJc w:val="right"/>
      <w:pPr>
        <w:pStyle w:val="1014"/>
        <w:ind w:left="3002" w:hanging="420"/>
      </w:pPr>
    </w:lvl>
    <w:lvl w:ilvl="6">
      <w:start w:val="1"/>
      <w:numFmt w:val="decimal"/>
      <w:isLgl w:val="false"/>
      <w:suff w:val="tab"/>
      <w:lvlText w:val="%7."/>
      <w:lvlJc w:val="left"/>
      <w:pPr>
        <w:pStyle w:val="1014"/>
        <w:ind w:left="3422" w:hanging="420"/>
      </w:pPr>
    </w:lvl>
    <w:lvl w:ilvl="7">
      <w:start w:val="1"/>
      <w:numFmt w:val="lowerLetter"/>
      <w:isLgl w:val="false"/>
      <w:suff w:val="tab"/>
      <w:lvlText w:val="%8)"/>
      <w:lvlJc w:val="left"/>
      <w:pPr>
        <w:pStyle w:val="1014"/>
        <w:ind w:left="3842" w:hanging="420"/>
      </w:pPr>
    </w:lvl>
    <w:lvl w:ilvl="8">
      <w:start w:val="1"/>
      <w:numFmt w:val="lowerRoman"/>
      <w:isLgl w:val="false"/>
      <w:suff w:val="tab"/>
      <w:lvlText w:val="%9."/>
      <w:lvlJc w:val="right"/>
      <w:pPr>
        <w:pStyle w:val="1014"/>
        <w:ind w:left="4262" w:hanging="420"/>
      </w:pPr>
    </w:lvl>
  </w:abstractNum>
  <w:abstractNum w:abstractNumId="3">
    <w:multiLevelType w:val="hybridMultilevel"/>
    <w:lvl w:ilvl="0">
      <w:start w:val="1"/>
      <w:numFmt w:val="decimal"/>
      <w:pStyle w:val="1167"/>
      <w:isLgl w:val="false"/>
      <w:suff w:val="tab"/>
      <w:lvlText w:val="%1."/>
      <w:lvlJc w:val="left"/>
      <w:pPr>
        <w:pStyle w:val="101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nothing"/>
      <w:lvlText w:val="%1　"/>
      <w:lvlJc w:val="left"/>
      <w:pPr>
        <w:pStyle w:val="10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4"/>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4"/>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4"/>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4"/>
        <w:ind w:left="768" w:hanging="360"/>
        <w:tabs>
          <w:tab w:val="num" w:pos="768" w:leader="none"/>
        </w:tabs>
      </w:pPr>
      <w:rPr>
        <w:rFonts w:hint="eastAsia"/>
      </w:rPr>
    </w:lvl>
    <w:lvl w:ilvl="1">
      <w:start w:val="1"/>
      <w:numFmt w:val="decimal"/>
      <w:pStyle w:val="1154"/>
      <w:isLgl w:val="false"/>
      <w:suff w:val="tab"/>
      <w:lvlText w:val="%2、"/>
      <w:lvlJc w:val="left"/>
      <w:pPr>
        <w:pStyle w:val="1014"/>
        <w:ind w:left="1188" w:hanging="360"/>
        <w:tabs>
          <w:tab w:val="num" w:pos="1188" w:leader="none"/>
        </w:tabs>
      </w:pPr>
      <w:rPr>
        <w:rFonts w:hint="eastAsia"/>
      </w:rPr>
    </w:lvl>
    <w:lvl w:ilvl="2">
      <w:start w:val="1"/>
      <w:numFmt w:val="decimal"/>
      <w:isLgl w:val="false"/>
      <w:suff w:val="tab"/>
      <w:lvlText w:val="（%3）"/>
      <w:lvlJc w:val="left"/>
      <w:pPr>
        <w:pStyle w:val="1014"/>
        <w:ind w:left="1968" w:hanging="720"/>
        <w:tabs>
          <w:tab w:val="num" w:pos="1968" w:leader="none"/>
        </w:tabs>
      </w:pPr>
      <w:rPr>
        <w:rFonts w:hint="eastAsia"/>
        <w:u w:val="none"/>
      </w:rPr>
    </w:lvl>
    <w:lvl w:ilvl="3">
      <w:start w:val="1"/>
      <w:numFmt w:val="decimal"/>
      <w:isLgl w:val="false"/>
      <w:suff w:val="tab"/>
      <w:lvlText w:val="%4."/>
      <w:lvlJc w:val="left"/>
      <w:pPr>
        <w:pStyle w:val="1014"/>
        <w:ind w:left="2088" w:hanging="420"/>
        <w:tabs>
          <w:tab w:val="num" w:pos="2088" w:leader="none"/>
        </w:tabs>
      </w:pPr>
    </w:lvl>
    <w:lvl w:ilvl="4">
      <w:start w:val="1"/>
      <w:numFmt w:val="lowerLetter"/>
      <w:isLgl w:val="false"/>
      <w:suff w:val="tab"/>
      <w:lvlText w:val="%5)"/>
      <w:lvlJc w:val="left"/>
      <w:pPr>
        <w:pStyle w:val="1014"/>
        <w:ind w:left="2508" w:hanging="420"/>
        <w:tabs>
          <w:tab w:val="num" w:pos="2508" w:leader="none"/>
        </w:tabs>
      </w:pPr>
    </w:lvl>
    <w:lvl w:ilvl="5">
      <w:start w:val="1"/>
      <w:numFmt w:val="lowerRoman"/>
      <w:isLgl w:val="false"/>
      <w:suff w:val="tab"/>
      <w:lvlText w:val="%6."/>
      <w:lvlJc w:val="right"/>
      <w:pPr>
        <w:pStyle w:val="1014"/>
        <w:ind w:left="2928" w:hanging="420"/>
        <w:tabs>
          <w:tab w:val="num" w:pos="2928" w:leader="none"/>
        </w:tabs>
      </w:pPr>
    </w:lvl>
    <w:lvl w:ilvl="6">
      <w:start w:val="1"/>
      <w:numFmt w:val="decimal"/>
      <w:isLgl w:val="false"/>
      <w:suff w:val="tab"/>
      <w:lvlText w:val="%7."/>
      <w:lvlJc w:val="left"/>
      <w:pPr>
        <w:pStyle w:val="1014"/>
        <w:ind w:left="3348" w:hanging="420"/>
        <w:tabs>
          <w:tab w:val="num" w:pos="3348" w:leader="none"/>
        </w:tabs>
      </w:pPr>
    </w:lvl>
    <w:lvl w:ilvl="7">
      <w:start w:val="1"/>
      <w:numFmt w:val="lowerLetter"/>
      <w:isLgl w:val="false"/>
      <w:suff w:val="tab"/>
      <w:lvlText w:val="%8)"/>
      <w:lvlJc w:val="left"/>
      <w:pPr>
        <w:pStyle w:val="1014"/>
        <w:ind w:left="3768" w:hanging="420"/>
        <w:tabs>
          <w:tab w:val="num" w:pos="3768" w:leader="none"/>
        </w:tabs>
      </w:pPr>
    </w:lvl>
    <w:lvl w:ilvl="8">
      <w:start w:val="1"/>
      <w:numFmt w:val="lowerRoman"/>
      <w:isLgl w:val="false"/>
      <w:suff w:val="tab"/>
      <w:lvlText w:val="%9."/>
      <w:lvlJc w:val="right"/>
      <w:pPr>
        <w:pStyle w:val="101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abstractNum w:abstractNumId="7">
    <w:multiLevelType w:val="hybridMultilevel"/>
    <w:lvl w:ilvl="0">
      <w:start w:val="1"/>
      <w:numFmt w:val="decimal"/>
      <w:pStyle w:val="1121"/>
      <w:isLgl w:val="false"/>
      <w:suff w:val="tab"/>
      <w:lvlText w:val="%1)"/>
      <w:lvlJc w:val="left"/>
      <w:pPr>
        <w:pStyle w:val="1014"/>
        <w:ind w:left="420" w:hanging="420"/>
      </w:pPr>
    </w:lvl>
    <w:lvl w:ilvl="1">
      <w:start w:val="1"/>
      <w:numFmt w:val="lowerLetter"/>
      <w:isLgl w:val="false"/>
      <w:suff w:val="tab"/>
      <w:lvlText w:val="%2)"/>
      <w:lvlJc w:val="left"/>
      <w:pPr>
        <w:pStyle w:val="1014"/>
        <w:ind w:left="840" w:hanging="420"/>
      </w:p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8">
    <w:multiLevelType w:val="hybridMultilevel"/>
    <w:lvl w:ilvl="0">
      <w:start w:val="1"/>
      <w:numFmt w:val="decimal"/>
      <w:pStyle w:val="1222"/>
      <w:isLgl w:val="false"/>
      <w:suff w:val="tab"/>
      <w:lvlText w:val="%1"/>
      <w:lvlJc w:val="left"/>
      <w:pPr>
        <w:pStyle w:val="1014"/>
        <w:ind w:left="680" w:hanging="680"/>
      </w:pPr>
      <w:rPr>
        <w:rFonts w:hint="eastAsia" w:ascii="宋体" w:hAnsi="宋体" w:eastAsia="宋体"/>
      </w:rPr>
    </w:lvl>
    <w:lvl w:ilvl="1">
      <w:start w:val="1"/>
      <w:numFmt w:val="decimal"/>
      <w:pStyle w:val="1223"/>
      <w:isLgl w:val="false"/>
      <w:suff w:val="tab"/>
      <w:lvlText w:val="%1.%2"/>
      <w:lvlJc w:val="left"/>
      <w:pPr>
        <w:pStyle w:val="1014"/>
        <w:ind w:left="851" w:hanging="851"/>
      </w:pPr>
      <w:rPr>
        <w:rFonts w:hint="eastAsia" w:ascii="宋体" w:hAnsi="宋体" w:eastAsia="宋体"/>
        <w:color w:val="000000"/>
      </w:rPr>
    </w:lvl>
    <w:lvl w:ilvl="2">
      <w:start w:val="1"/>
      <w:numFmt w:val="decimal"/>
      <w:pStyle w:val="1224"/>
      <w:isLgl w:val="false"/>
      <w:suff w:val="tab"/>
      <w:lvlText w:val="%1.%2.%3"/>
      <w:lvlJc w:val="left"/>
      <w:pPr>
        <w:pStyle w:val="1014"/>
        <w:ind w:left="851" w:hanging="851"/>
      </w:pPr>
      <w:rPr>
        <w:rFonts w:hint="eastAsia"/>
      </w:rPr>
    </w:lvl>
    <w:lvl w:ilvl="3">
      <w:start w:val="1"/>
      <w:numFmt w:val="decimal"/>
      <w:isLgl w:val="false"/>
      <w:suff w:val="tab"/>
      <w:lvlText w:val="%1.%2.%3.%4"/>
      <w:lvlJc w:val="left"/>
      <w:pPr>
        <w:pStyle w:val="1014"/>
        <w:ind w:left="680" w:hanging="680"/>
      </w:pPr>
      <w:rPr>
        <w:rFonts w:hint="eastAsia"/>
      </w:rPr>
    </w:lvl>
    <w:lvl w:ilvl="4">
      <w:start w:val="1"/>
      <w:numFmt w:val="decimal"/>
      <w:isLgl w:val="false"/>
      <w:suff w:val="tab"/>
      <w:lvlText w:val="%1.%2.%3.%4.%5"/>
      <w:lvlJc w:val="left"/>
      <w:pPr>
        <w:pStyle w:val="1014"/>
        <w:ind w:left="680" w:hanging="680"/>
      </w:pPr>
      <w:rPr>
        <w:rFonts w:hint="eastAsia"/>
      </w:rPr>
    </w:lvl>
    <w:lvl w:ilvl="5">
      <w:start w:val="1"/>
      <w:numFmt w:val="decimal"/>
      <w:isLgl w:val="false"/>
      <w:suff w:val="tab"/>
      <w:lvlText w:val="%1.%2.%3.%4.%5.%6"/>
      <w:lvlJc w:val="left"/>
      <w:pPr>
        <w:pStyle w:val="1014"/>
        <w:ind w:left="680" w:hanging="680"/>
      </w:pPr>
      <w:rPr>
        <w:rFonts w:hint="eastAsia"/>
      </w:rPr>
    </w:lvl>
    <w:lvl w:ilvl="6">
      <w:start w:val="1"/>
      <w:numFmt w:val="decimal"/>
      <w:isLgl w:val="false"/>
      <w:suff w:val="tab"/>
      <w:lvlText w:val="%1.%2.%3.%4.%5.%6.%7"/>
      <w:lvlJc w:val="left"/>
      <w:pPr>
        <w:pStyle w:val="1014"/>
        <w:ind w:left="680" w:hanging="680"/>
      </w:pPr>
      <w:rPr>
        <w:rFonts w:hint="eastAsia"/>
      </w:rPr>
    </w:lvl>
    <w:lvl w:ilvl="7">
      <w:start w:val="1"/>
      <w:numFmt w:val="decimal"/>
      <w:isLgl w:val="false"/>
      <w:suff w:val="tab"/>
      <w:lvlText w:val="%1.%2.%3.%4.%5.%6.%7.%8"/>
      <w:lvlJc w:val="left"/>
      <w:pPr>
        <w:pStyle w:val="1014"/>
        <w:ind w:left="680" w:hanging="680"/>
      </w:pPr>
      <w:rPr>
        <w:rFonts w:hint="eastAsia"/>
      </w:rPr>
    </w:lvl>
    <w:lvl w:ilvl="8">
      <w:start w:val="1"/>
      <w:numFmt w:val="decimal"/>
      <w:isLgl w:val="false"/>
      <w:suff w:val="tab"/>
      <w:lvlText w:val="%1.%2.%3.%4.%5.%6.%7.%8.%9"/>
      <w:lvlJc w:val="left"/>
      <w:pPr>
        <w:pStyle w:val="1014"/>
        <w:ind w:left="680" w:hanging="680"/>
      </w:pPr>
      <w:rPr>
        <w:rFonts w:hint="eastAsia"/>
      </w:rPr>
    </w:lvl>
  </w:abstractNum>
  <w:abstractNum w:abstractNumId="9">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4"/>
      <w:lang w:val="en-US" w:eastAsia="zh-CN" w:bidi="ar-SA"/>
    </w:rPr>
  </w:style>
  <w:style w:type="paragraph" w:styleId="1015">
    <w:name w:val="标题 1"/>
    <w:basedOn w:val="1014"/>
    <w:next w:val="1014"/>
    <w:link w:val="1026"/>
    <w:qFormat/>
    <w:pPr>
      <w:jc w:val="center"/>
      <w:keepLines/>
      <w:keepNext/>
      <w:spacing w:before="240" w:after="120" w:line="300" w:lineRule="auto"/>
      <w:outlineLvl w:val="0"/>
    </w:pPr>
    <w:rPr>
      <w:rFonts w:ascii="宋体"/>
      <w:b/>
      <w:sz w:val="32"/>
      <w:szCs w:val="20"/>
    </w:rPr>
  </w:style>
  <w:style w:type="paragraph" w:styleId="1016">
    <w:name w:val="标题 2"/>
    <w:basedOn w:val="1014"/>
    <w:next w:val="1028"/>
    <w:link w:val="1027"/>
    <w:qFormat/>
    <w:pPr>
      <w:jc w:val="center"/>
      <w:keepLines/>
      <w:keepNext/>
      <w:spacing w:before="120" w:line="300" w:lineRule="auto"/>
      <w:outlineLvl w:val="1"/>
    </w:pPr>
    <w:rPr>
      <w:rFonts w:ascii="Arial" w:hAnsi="Arial" w:eastAsia="黑体"/>
      <w:b/>
      <w:sz w:val="30"/>
      <w:szCs w:val="20"/>
    </w:rPr>
  </w:style>
  <w:style w:type="paragraph" w:styleId="1017">
    <w:name w:val="标题 3"/>
    <w:basedOn w:val="1014"/>
    <w:next w:val="1028"/>
    <w:link w:val="1030"/>
    <w:qFormat/>
    <w:pPr>
      <w:jc w:val="left"/>
      <w:keepLines/>
      <w:keepNext/>
      <w:spacing w:before="360" w:after="120"/>
      <w:outlineLvl w:val="2"/>
    </w:pPr>
    <w:rPr>
      <w:rFonts w:ascii="宋体"/>
      <w:b/>
      <w:sz w:val="24"/>
      <w:szCs w:val="20"/>
      <w:u w:val="single"/>
    </w:rPr>
  </w:style>
  <w:style w:type="paragraph" w:styleId="1018">
    <w:name w:val="标题 4"/>
    <w:basedOn w:val="1014"/>
    <w:next w:val="1014"/>
    <w:link w:val="1031"/>
    <w:qFormat/>
    <w:pPr>
      <w:keepLines/>
      <w:keepNext/>
      <w:spacing w:before="280" w:after="290" w:line="376" w:lineRule="atLeast"/>
      <w:outlineLvl w:val="3"/>
    </w:pPr>
    <w:rPr>
      <w:rFonts w:ascii="Arial" w:hAnsi="Arial" w:eastAsia="黑体"/>
      <w:b/>
      <w:sz w:val="28"/>
      <w:szCs w:val="20"/>
    </w:rPr>
  </w:style>
  <w:style w:type="paragraph" w:styleId="1019">
    <w:name w:val="标题 5"/>
    <w:basedOn w:val="1014"/>
    <w:next w:val="1014"/>
    <w:link w:val="1032"/>
    <w:qFormat/>
    <w:pPr>
      <w:keepLines/>
      <w:keepNext/>
      <w:spacing w:before="280" w:after="290" w:line="376" w:lineRule="atLeast"/>
      <w:outlineLvl w:val="4"/>
    </w:pPr>
    <w:rPr>
      <w:b/>
      <w:sz w:val="28"/>
      <w:szCs w:val="20"/>
    </w:rPr>
  </w:style>
  <w:style w:type="paragraph" w:styleId="1020">
    <w:name w:val="标题 6"/>
    <w:basedOn w:val="1014"/>
    <w:next w:val="1014"/>
    <w:link w:val="1033"/>
    <w:qFormat/>
    <w:pPr>
      <w:keepLines/>
      <w:keepNext/>
      <w:spacing w:before="240" w:after="64" w:line="320" w:lineRule="atLeast"/>
      <w:outlineLvl w:val="5"/>
    </w:pPr>
    <w:rPr>
      <w:rFonts w:ascii="Arial" w:hAnsi="Arial" w:eastAsia="黑体"/>
      <w:b/>
      <w:sz w:val="24"/>
      <w:szCs w:val="20"/>
    </w:rPr>
  </w:style>
  <w:style w:type="paragraph" w:styleId="1021">
    <w:name w:val="标题 7"/>
    <w:basedOn w:val="1014"/>
    <w:next w:val="1014"/>
    <w:link w:val="1034"/>
    <w:qFormat/>
    <w:pPr>
      <w:keepLines/>
      <w:keepNext/>
      <w:spacing w:before="240" w:after="64" w:line="320" w:lineRule="atLeast"/>
      <w:outlineLvl w:val="6"/>
    </w:pPr>
    <w:rPr>
      <w:b/>
      <w:sz w:val="24"/>
      <w:szCs w:val="20"/>
    </w:rPr>
  </w:style>
  <w:style w:type="paragraph" w:styleId="1022">
    <w:name w:val="标题 8"/>
    <w:basedOn w:val="1014"/>
    <w:next w:val="1014"/>
    <w:link w:val="1035"/>
    <w:qFormat/>
    <w:pPr>
      <w:keepLines/>
      <w:keepNext/>
      <w:spacing w:before="240" w:after="64" w:line="320" w:lineRule="atLeast"/>
      <w:outlineLvl w:val="7"/>
    </w:pPr>
    <w:rPr>
      <w:rFonts w:ascii="Arial" w:hAnsi="Arial" w:eastAsia="黑体"/>
      <w:sz w:val="24"/>
      <w:szCs w:val="20"/>
    </w:rPr>
  </w:style>
  <w:style w:type="paragraph" w:styleId="1023">
    <w:name w:val="标题 9"/>
    <w:basedOn w:val="1014"/>
    <w:next w:val="1014"/>
    <w:link w:val="1036"/>
    <w:qFormat/>
    <w:pPr>
      <w:keepLines/>
      <w:keepNext/>
      <w:spacing w:before="240" w:after="64" w:line="320" w:lineRule="atLeast"/>
      <w:outlineLvl w:val="8"/>
    </w:pPr>
    <w:rPr>
      <w:rFonts w:ascii="Arial" w:hAnsi="Arial" w:eastAsia="黑体"/>
      <w:szCs w:val="20"/>
    </w:rPr>
  </w:style>
  <w:style w:type="character" w:styleId="1024">
    <w:name w:val="默认段落字体"/>
    <w:next w:val="1024"/>
    <w:link w:val="1014"/>
    <w:uiPriority w:val="1"/>
    <w:unhideWhenUsed/>
    <w:qFormat/>
  </w:style>
  <w:style w:type="table" w:styleId="1025">
    <w:name w:val="普通表格"/>
    <w:next w:val="1025"/>
    <w:link w:val="1014"/>
    <w:uiPriority w:val="99"/>
    <w:unhideWhenUsed/>
    <w:qFormat/>
    <w:tblPr/>
  </w:style>
  <w:style w:type="character" w:styleId="1026">
    <w:name w:val="标题 1 字符"/>
    <w:next w:val="1026"/>
    <w:link w:val="1015"/>
    <w:qFormat/>
    <w:rPr>
      <w:rFonts w:ascii="宋体"/>
      <w:b/>
      <w:sz w:val="32"/>
    </w:rPr>
  </w:style>
  <w:style w:type="character" w:styleId="1027">
    <w:name w:val="标题 2 字符"/>
    <w:next w:val="1027"/>
    <w:link w:val="1016"/>
    <w:qFormat/>
    <w:rPr>
      <w:rFonts w:ascii="Arial" w:hAnsi="Arial" w:eastAsia="黑体"/>
      <w:b/>
      <w:sz w:val="30"/>
      <w:lang w:val="en-US" w:eastAsia="zh-CN" w:bidi="ar-SA"/>
    </w:rPr>
  </w:style>
  <w:style w:type="paragraph" w:styleId="1028">
    <w:name w:val="正文缩进"/>
    <w:basedOn w:val="1014"/>
    <w:next w:val="1014"/>
    <w:link w:val="1029"/>
    <w:qFormat/>
    <w:pPr>
      <w:ind w:firstLine="420"/>
      <w:jc w:val="left"/>
    </w:pPr>
    <w:rPr>
      <w:rFonts w:ascii="宋体"/>
      <w:sz w:val="24"/>
    </w:rPr>
  </w:style>
  <w:style w:type="character" w:styleId="1029">
    <w:name w:val="正文缩进 字符"/>
    <w:next w:val="1029"/>
    <w:link w:val="1028"/>
    <w:qFormat/>
    <w:rPr>
      <w:rFonts w:ascii="宋体" w:eastAsia="宋体"/>
      <w:sz w:val="24"/>
      <w:szCs w:val="24"/>
      <w:lang w:val="en-US" w:eastAsia="zh-CN" w:bidi="ar-SA"/>
    </w:rPr>
  </w:style>
  <w:style w:type="character" w:styleId="1030">
    <w:name w:val="标题 3 字符"/>
    <w:next w:val="1030"/>
    <w:link w:val="1017"/>
    <w:qFormat/>
    <w:rPr>
      <w:rFonts w:ascii="宋体" w:eastAsia="宋体"/>
      <w:b/>
      <w:sz w:val="24"/>
      <w:u w:val="single"/>
      <w:lang w:val="en-US" w:eastAsia="zh-CN" w:bidi="ar-SA"/>
    </w:rPr>
  </w:style>
  <w:style w:type="character" w:styleId="1031">
    <w:name w:val="标题 4 字符"/>
    <w:next w:val="1031"/>
    <w:link w:val="1018"/>
    <w:qFormat/>
    <w:rPr>
      <w:rFonts w:ascii="Arial" w:hAnsi="Arial" w:eastAsia="黑体"/>
      <w:b/>
      <w:sz w:val="28"/>
    </w:rPr>
  </w:style>
  <w:style w:type="character" w:styleId="1032">
    <w:name w:val="标题 5 字符"/>
    <w:next w:val="1032"/>
    <w:link w:val="1019"/>
    <w:qFormat/>
    <w:rPr>
      <w:b/>
      <w:sz w:val="28"/>
    </w:rPr>
  </w:style>
  <w:style w:type="character" w:styleId="1033">
    <w:name w:val="标题 6 字符"/>
    <w:next w:val="1033"/>
    <w:link w:val="1020"/>
    <w:qFormat/>
    <w:rPr>
      <w:rFonts w:ascii="Arial" w:hAnsi="Arial" w:eastAsia="黑体"/>
      <w:b/>
      <w:sz w:val="24"/>
    </w:rPr>
  </w:style>
  <w:style w:type="character" w:styleId="1034">
    <w:name w:val="标题 7 字符"/>
    <w:next w:val="1034"/>
    <w:link w:val="1021"/>
    <w:qFormat/>
    <w:rPr>
      <w:b/>
      <w:sz w:val="24"/>
    </w:rPr>
  </w:style>
  <w:style w:type="character" w:styleId="1035">
    <w:name w:val="标题 8 字符"/>
    <w:next w:val="1035"/>
    <w:link w:val="1022"/>
    <w:qFormat/>
    <w:rPr>
      <w:rFonts w:ascii="Arial" w:hAnsi="Arial" w:eastAsia="黑体"/>
      <w:sz w:val="24"/>
    </w:rPr>
  </w:style>
  <w:style w:type="character" w:styleId="1036">
    <w:name w:val="标题 9 字符"/>
    <w:next w:val="1036"/>
    <w:link w:val="1023"/>
    <w:qFormat/>
    <w:rPr>
      <w:rFonts w:ascii="Arial" w:hAnsi="Arial" w:eastAsia="黑体"/>
      <w:sz w:val="21"/>
    </w:rPr>
  </w:style>
  <w:style w:type="paragraph" w:styleId="1037">
    <w:name w:val="目录 7"/>
    <w:basedOn w:val="1014"/>
    <w:next w:val="1014"/>
    <w:link w:val="1014"/>
    <w:qFormat/>
    <w:pPr>
      <w:ind w:left="2520"/>
    </w:pPr>
  </w:style>
  <w:style w:type="paragraph" w:styleId="1038">
    <w:name w:val="题注"/>
    <w:basedOn w:val="1014"/>
    <w:next w:val="1014"/>
    <w:link w:val="1014"/>
    <w:qFormat/>
    <w:pPr>
      <w:spacing w:line="480" w:lineRule="auto"/>
    </w:pPr>
    <w:rPr>
      <w:rFonts w:ascii="华文中宋" w:hAnsi="华文中宋" w:eastAsia="华文中宋"/>
      <w:sz w:val="36"/>
      <w:szCs w:val="20"/>
    </w:rPr>
  </w:style>
  <w:style w:type="paragraph" w:styleId="1039">
    <w:name w:val="文档结构图"/>
    <w:basedOn w:val="1014"/>
    <w:next w:val="1039"/>
    <w:link w:val="1040"/>
    <w:qFormat/>
    <w:pPr>
      <w:shd w:val="clear" w:color="auto" w:fill="000080"/>
    </w:pPr>
  </w:style>
  <w:style w:type="character" w:styleId="1040">
    <w:name w:val="文档结构图 字符"/>
    <w:next w:val="1040"/>
    <w:link w:val="1039"/>
    <w:qFormat/>
    <w:rPr>
      <w:sz w:val="21"/>
      <w:szCs w:val="24"/>
      <w:shd w:val="clear" w:color="auto" w:fill="000080"/>
    </w:rPr>
  </w:style>
  <w:style w:type="paragraph" w:styleId="1041">
    <w:name w:val="批注文字"/>
    <w:basedOn w:val="1014"/>
    <w:next w:val="1041"/>
    <w:link w:val="1042"/>
    <w:uiPriority w:val="99"/>
    <w:qFormat/>
    <w:pPr>
      <w:jc w:val="left"/>
    </w:pPr>
  </w:style>
  <w:style w:type="character" w:styleId="1042">
    <w:name w:val="批注文字 字符1"/>
    <w:next w:val="1042"/>
    <w:link w:val="1041"/>
    <w:uiPriority w:val="99"/>
    <w:qFormat/>
    <w:rPr>
      <w:sz w:val="21"/>
      <w:szCs w:val="24"/>
    </w:rPr>
  </w:style>
  <w:style w:type="paragraph" w:styleId="1043">
    <w:name w:val="正文文本 3"/>
    <w:basedOn w:val="1014"/>
    <w:next w:val="1043"/>
    <w:link w:val="1044"/>
    <w:qFormat/>
    <w:pPr>
      <w:spacing w:after="120"/>
    </w:pPr>
    <w:rPr>
      <w:sz w:val="16"/>
      <w:szCs w:val="16"/>
    </w:rPr>
  </w:style>
  <w:style w:type="character" w:styleId="1044">
    <w:name w:val="正文文本 3 字符"/>
    <w:next w:val="1044"/>
    <w:link w:val="1043"/>
    <w:qFormat/>
    <w:rPr>
      <w:sz w:val="16"/>
      <w:szCs w:val="16"/>
    </w:rPr>
  </w:style>
  <w:style w:type="paragraph" w:styleId="1045">
    <w:name w:val="正文文本"/>
    <w:basedOn w:val="1014"/>
    <w:next w:val="1045"/>
    <w:link w:val="1046"/>
    <w:qFormat/>
    <w:pPr>
      <w:spacing w:before="120" w:line="22" w:lineRule="atLeast"/>
      <w:tabs>
        <w:tab w:val="left" w:pos="567" w:leader="none"/>
      </w:tabs>
    </w:pPr>
    <w:rPr>
      <w:rFonts w:ascii="宋体" w:hAnsi="宋体"/>
      <w:sz w:val="24"/>
    </w:rPr>
  </w:style>
  <w:style w:type="character" w:styleId="1046">
    <w:name w:val="正文文本 字符"/>
    <w:next w:val="1046"/>
    <w:link w:val="1045"/>
    <w:qFormat/>
    <w:rPr>
      <w:rFonts w:ascii="宋体" w:hAnsi="宋体"/>
      <w:sz w:val="24"/>
      <w:szCs w:val="24"/>
    </w:rPr>
  </w:style>
  <w:style w:type="paragraph" w:styleId="1047">
    <w:name w:val="正文文本缩进"/>
    <w:basedOn w:val="1014"/>
    <w:next w:val="1047"/>
    <w:link w:val="1048"/>
    <w:qFormat/>
    <w:pPr>
      <w:ind w:firstLine="570"/>
      <w:spacing w:line="360" w:lineRule="auto"/>
    </w:pPr>
    <w:rPr>
      <w:sz w:val="24"/>
    </w:rPr>
  </w:style>
  <w:style w:type="character" w:styleId="1048">
    <w:name w:val="正文文本缩进 字符"/>
    <w:next w:val="1048"/>
    <w:link w:val="1047"/>
    <w:qFormat/>
    <w:rPr>
      <w:rFonts w:eastAsia="宋体"/>
      <w:sz w:val="24"/>
      <w:szCs w:val="24"/>
      <w:lang w:val="en-US" w:eastAsia="zh-CN" w:bidi="ar-SA"/>
    </w:rPr>
  </w:style>
  <w:style w:type="paragraph" w:styleId="1049">
    <w:name w:val="列表 2"/>
    <w:basedOn w:val="1014"/>
    <w:next w:val="1049"/>
    <w:link w:val="1014"/>
    <w:qFormat/>
    <w:pPr>
      <w:ind w:left="100" w:hanging="200"/>
    </w:pPr>
  </w:style>
  <w:style w:type="paragraph" w:styleId="1050">
    <w:name w:val="文本块"/>
    <w:basedOn w:val="1014"/>
    <w:next w:val="1050"/>
    <w:link w:val="1014"/>
    <w:qFormat/>
    <w:pPr>
      <w:ind w:left="480" w:right="-341" w:firstLine="513"/>
      <w:widowControl/>
    </w:pPr>
    <w:rPr>
      <w:sz w:val="24"/>
      <w:szCs w:val="20"/>
    </w:rPr>
  </w:style>
  <w:style w:type="paragraph" w:styleId="1051">
    <w:name w:val="目录 5"/>
    <w:basedOn w:val="1014"/>
    <w:next w:val="1014"/>
    <w:link w:val="1014"/>
    <w:qFormat/>
    <w:pPr>
      <w:ind w:left="1680"/>
    </w:pPr>
  </w:style>
  <w:style w:type="paragraph" w:styleId="1052">
    <w:name w:val="目录 3"/>
    <w:basedOn w:val="1014"/>
    <w:next w:val="1014"/>
    <w:link w:val="1014"/>
    <w:uiPriority w:val="39"/>
    <w:qFormat/>
    <w:pPr>
      <w:ind w:left="840"/>
    </w:pPr>
  </w:style>
  <w:style w:type="paragraph" w:styleId="1053">
    <w:name w:val="纯文本"/>
    <w:basedOn w:val="1014"/>
    <w:next w:val="1028"/>
    <w:link w:val="1054"/>
    <w:uiPriority w:val="99"/>
    <w:qFormat/>
    <w:rPr>
      <w:rFonts w:hint="eastAsia" w:ascii="宋体" w:hAnsi="Courier New"/>
      <w:szCs w:val="20"/>
    </w:rPr>
  </w:style>
  <w:style w:type="character" w:styleId="1054">
    <w:name w:val="纯文本 字符2"/>
    <w:next w:val="1054"/>
    <w:link w:val="1053"/>
    <w:uiPriority w:val="99"/>
    <w:qFormat/>
    <w:rPr>
      <w:rFonts w:hint="eastAsia" w:ascii="宋体" w:hAnsi="Courier New" w:eastAsia="宋体" w:cs="宋体"/>
      <w:sz w:val="21"/>
    </w:rPr>
  </w:style>
  <w:style w:type="paragraph" w:styleId="1055">
    <w:name w:val="目录 8"/>
    <w:basedOn w:val="1014"/>
    <w:next w:val="1014"/>
    <w:link w:val="1014"/>
    <w:qFormat/>
    <w:pPr>
      <w:ind w:left="2940"/>
    </w:pPr>
  </w:style>
  <w:style w:type="paragraph" w:styleId="1056">
    <w:name w:val="日期"/>
    <w:basedOn w:val="1014"/>
    <w:next w:val="1014"/>
    <w:link w:val="1057"/>
    <w:qFormat/>
    <w:pPr>
      <w:ind w:left="100"/>
    </w:pPr>
    <w:rPr>
      <w:rFonts w:ascii="仿宋_GB2312" w:hAnsi="宋体" w:eastAsia="仿宋_GB2312"/>
      <w:color w:val="000000"/>
      <w:sz w:val="24"/>
    </w:rPr>
  </w:style>
  <w:style w:type="character" w:styleId="1057">
    <w:name w:val="日期 字符"/>
    <w:next w:val="1057"/>
    <w:link w:val="1056"/>
    <w:qFormat/>
    <w:rPr>
      <w:rFonts w:ascii="仿宋_GB2312" w:hAnsi="宋体" w:eastAsia="仿宋_GB2312"/>
      <w:color w:val="000000"/>
      <w:sz w:val="24"/>
      <w:szCs w:val="24"/>
    </w:rPr>
  </w:style>
  <w:style w:type="paragraph" w:styleId="1058">
    <w:name w:val="正文文本缩进 2"/>
    <w:basedOn w:val="1014"/>
    <w:next w:val="1058"/>
    <w:link w:val="1059"/>
    <w:qFormat/>
    <w:pPr>
      <w:ind w:firstLine="480"/>
    </w:pPr>
    <w:rPr>
      <w:rFonts w:ascii="仿宋_GB2312" w:eastAsia="仿宋_GB2312"/>
      <w:sz w:val="24"/>
    </w:rPr>
  </w:style>
  <w:style w:type="character" w:styleId="1059">
    <w:name w:val="正文文本缩进 2 字符"/>
    <w:next w:val="1059"/>
    <w:link w:val="1058"/>
    <w:qFormat/>
    <w:rPr>
      <w:rFonts w:ascii="仿宋_GB2312" w:eastAsia="仿宋_GB2312"/>
      <w:sz w:val="24"/>
      <w:szCs w:val="24"/>
    </w:rPr>
  </w:style>
  <w:style w:type="paragraph" w:styleId="1060">
    <w:name w:val="批注框文本"/>
    <w:basedOn w:val="1014"/>
    <w:next w:val="1060"/>
    <w:link w:val="1061"/>
    <w:qFormat/>
    <w:rPr>
      <w:sz w:val="18"/>
      <w:szCs w:val="18"/>
    </w:rPr>
  </w:style>
  <w:style w:type="character" w:styleId="1061">
    <w:name w:val="批注框文本 字符"/>
    <w:next w:val="1061"/>
    <w:link w:val="1060"/>
    <w:qFormat/>
    <w:rPr>
      <w:sz w:val="18"/>
      <w:szCs w:val="18"/>
    </w:rPr>
  </w:style>
  <w:style w:type="paragraph" w:styleId="1062">
    <w:name w:val="页脚"/>
    <w:basedOn w:val="1014"/>
    <w:next w:val="1062"/>
    <w:link w:val="1063"/>
    <w:uiPriority w:val="99"/>
    <w:qFormat/>
    <w:pPr>
      <w:jc w:val="left"/>
      <w:tabs>
        <w:tab w:val="center" w:pos="4153" w:leader="none"/>
        <w:tab w:val="right" w:pos="8306" w:leader="none"/>
      </w:tabs>
    </w:pPr>
    <w:rPr>
      <w:rFonts w:ascii="宋体"/>
      <w:sz w:val="18"/>
      <w:szCs w:val="20"/>
    </w:rPr>
  </w:style>
  <w:style w:type="character" w:styleId="1063">
    <w:name w:val="页脚 字符"/>
    <w:next w:val="1063"/>
    <w:link w:val="1062"/>
    <w:uiPriority w:val="99"/>
    <w:qFormat/>
    <w:rPr>
      <w:rFonts w:ascii="宋体" w:eastAsia="宋体"/>
      <w:sz w:val="18"/>
      <w:lang w:val="en-US" w:eastAsia="zh-CN" w:bidi="ar-SA"/>
    </w:rPr>
  </w:style>
  <w:style w:type="paragraph" w:styleId="1064">
    <w:name w:val="页眉"/>
    <w:basedOn w:val="1014"/>
    <w:next w:val="1064"/>
    <w:link w:val="1065"/>
    <w:qFormat/>
    <w:pPr>
      <w:jc w:val="center"/>
      <w:tabs>
        <w:tab w:val="center" w:pos="4153" w:leader="none"/>
        <w:tab w:val="right" w:pos="8306" w:leader="none"/>
      </w:tabs>
      <w:pBdr>
        <w:bottom w:val="single" w:color="000000" w:sz="6" w:space="1"/>
      </w:pBdr>
    </w:pPr>
    <w:rPr>
      <w:sz w:val="18"/>
      <w:szCs w:val="18"/>
    </w:rPr>
  </w:style>
  <w:style w:type="character" w:styleId="1065">
    <w:name w:val="页眉 字符"/>
    <w:next w:val="1065"/>
    <w:link w:val="1064"/>
    <w:qFormat/>
    <w:rPr>
      <w:rFonts w:eastAsia="宋体"/>
      <w:sz w:val="18"/>
      <w:szCs w:val="18"/>
      <w:lang w:val="en-US" w:eastAsia="zh-CN" w:bidi="ar-SA"/>
    </w:rPr>
  </w:style>
  <w:style w:type="paragraph" w:styleId="1066">
    <w:name w:val="目录 1"/>
    <w:basedOn w:val="1014"/>
    <w:next w:val="1014"/>
    <w:link w:val="1014"/>
    <w:uiPriority w:val="39"/>
    <w:qFormat/>
    <w:pPr>
      <w:spacing w:line="300" w:lineRule="auto"/>
      <w:tabs>
        <w:tab w:val="left" w:pos="1050" w:leader="none"/>
        <w:tab w:val="right" w:pos="8937" w:leader="dot"/>
      </w:tabs>
    </w:pPr>
    <w:rPr>
      <w:rFonts w:ascii="宋体" w:hAnsi="宋体"/>
      <w:b/>
      <w:sz w:val="24"/>
    </w:rPr>
  </w:style>
  <w:style w:type="paragraph" w:styleId="1067">
    <w:name w:val="目录 4"/>
    <w:basedOn w:val="1014"/>
    <w:next w:val="1014"/>
    <w:link w:val="1014"/>
    <w:qFormat/>
    <w:pPr>
      <w:ind w:left="1260"/>
    </w:pPr>
  </w:style>
  <w:style w:type="paragraph" w:styleId="1068">
    <w:name w:val="目录 6"/>
    <w:basedOn w:val="1014"/>
    <w:next w:val="1014"/>
    <w:link w:val="1014"/>
    <w:qFormat/>
    <w:pPr>
      <w:ind w:left="2100"/>
    </w:pPr>
  </w:style>
  <w:style w:type="paragraph" w:styleId="1069">
    <w:name w:val="正文文本缩进 3"/>
    <w:basedOn w:val="1014"/>
    <w:next w:val="1069"/>
    <w:link w:val="1070"/>
    <w:qFormat/>
    <w:pPr>
      <w:ind w:left="720" w:firstLine="480"/>
      <w:jc w:val="left"/>
      <w:spacing w:before="120" w:line="22" w:lineRule="atLeast"/>
    </w:pPr>
    <w:rPr>
      <w:rFonts w:ascii="宋体"/>
      <w:sz w:val="24"/>
      <w:szCs w:val="20"/>
    </w:rPr>
  </w:style>
  <w:style w:type="character" w:styleId="1070">
    <w:name w:val="正文文本缩进 3 字符"/>
    <w:next w:val="1070"/>
    <w:link w:val="1069"/>
    <w:qFormat/>
    <w:rPr>
      <w:rFonts w:ascii="宋体"/>
      <w:sz w:val="24"/>
    </w:rPr>
  </w:style>
  <w:style w:type="paragraph" w:styleId="1071">
    <w:name w:val="目录 2"/>
    <w:basedOn w:val="1014"/>
    <w:next w:val="1014"/>
    <w:link w:val="1014"/>
    <w:uiPriority w:val="39"/>
    <w:qFormat/>
    <w:pPr>
      <w:ind w:left="420"/>
      <w:spacing w:line="312" w:lineRule="auto"/>
      <w:tabs>
        <w:tab w:val="right" w:pos="8937" w:leader="dot"/>
      </w:tabs>
    </w:pPr>
  </w:style>
  <w:style w:type="paragraph" w:styleId="1072">
    <w:name w:val="目录 9"/>
    <w:basedOn w:val="1014"/>
    <w:next w:val="1014"/>
    <w:link w:val="1014"/>
    <w:qFormat/>
    <w:pPr>
      <w:ind w:left="3360"/>
    </w:pPr>
  </w:style>
  <w:style w:type="paragraph" w:styleId="1073">
    <w:name w:val="HTML 预设格式"/>
    <w:basedOn w:val="1014"/>
    <w:next w:val="1073"/>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4">
    <w:name w:val="HTML 预设格式 字符"/>
    <w:next w:val="1074"/>
    <w:link w:val="1073"/>
    <w:qFormat/>
    <w:rPr>
      <w:rFonts w:ascii="宋体" w:hAnsi="宋体" w:cs="宋体"/>
      <w:sz w:val="24"/>
      <w:szCs w:val="24"/>
    </w:rPr>
  </w:style>
  <w:style w:type="paragraph" w:styleId="1075">
    <w:name w:val="普通(网站)"/>
    <w:basedOn w:val="1014"/>
    <w:next w:val="1075"/>
    <w:link w:val="1014"/>
    <w:uiPriority w:val="99"/>
    <w:unhideWhenUsed/>
    <w:qFormat/>
    <w:pPr>
      <w:jc w:val="left"/>
      <w:spacing w:before="100" w:beforeAutospacing="1" w:after="100" w:afterAutospacing="1"/>
      <w:widowControl/>
    </w:pPr>
    <w:rPr>
      <w:rFonts w:ascii="宋体" w:hAnsi="宋体" w:cs="宋体"/>
      <w:sz w:val="24"/>
    </w:rPr>
  </w:style>
  <w:style w:type="paragraph" w:styleId="1076">
    <w:name w:val="索引 1"/>
    <w:basedOn w:val="1014"/>
    <w:next w:val="1014"/>
    <w:link w:val="1014"/>
    <w:qFormat/>
    <w:rPr>
      <w:szCs w:val="20"/>
    </w:rPr>
  </w:style>
  <w:style w:type="paragraph" w:styleId="1077">
    <w:name w:val="标题"/>
    <w:basedOn w:val="1014"/>
    <w:next w:val="1077"/>
    <w:link w:val="1078"/>
    <w:qFormat/>
    <w:pPr>
      <w:jc w:val="center"/>
      <w:outlineLvl w:val="0"/>
    </w:pPr>
    <w:rPr>
      <w:b/>
      <w:sz w:val="32"/>
      <w:szCs w:val="20"/>
    </w:rPr>
  </w:style>
  <w:style w:type="character" w:styleId="1078">
    <w:name w:val="标题 字符"/>
    <w:next w:val="1078"/>
    <w:link w:val="1077"/>
    <w:qFormat/>
    <w:rPr>
      <w:b/>
      <w:sz w:val="32"/>
    </w:rPr>
  </w:style>
  <w:style w:type="paragraph" w:styleId="1079">
    <w:name w:val="批注主题"/>
    <w:basedOn w:val="1041"/>
    <w:next w:val="1041"/>
    <w:link w:val="1080"/>
    <w:qFormat/>
    <w:rPr>
      <w:b/>
      <w:bCs/>
    </w:rPr>
  </w:style>
  <w:style w:type="character" w:styleId="1080">
    <w:name w:val="批注主题 字符"/>
    <w:next w:val="1080"/>
    <w:link w:val="1079"/>
    <w:qFormat/>
    <w:rPr>
      <w:rFonts w:ascii="Times New Roman" w:hAnsi="Times New Roman" w:eastAsia="宋体" w:cs="Times New Roman"/>
      <w:b/>
      <w:bCs/>
      <w:sz w:val="21"/>
      <w:szCs w:val="24"/>
      <w:lang w:val="en-US" w:eastAsia="zh-CN" w:bidi="ar-SA"/>
    </w:rPr>
  </w:style>
  <w:style w:type="paragraph" w:styleId="1081">
    <w:name w:val="正文首行缩进 2"/>
    <w:basedOn w:val="1047"/>
    <w:next w:val="1081"/>
    <w:link w:val="1082"/>
    <w:qFormat/>
    <w:pPr>
      <w:ind w:left="420" w:firstLine="420"/>
      <w:spacing w:after="120" w:line="480" w:lineRule="exact"/>
    </w:pPr>
    <w:rPr>
      <w:szCs w:val="20"/>
    </w:rPr>
  </w:style>
  <w:style w:type="character" w:styleId="1082">
    <w:name w:val="正文文本首行缩进 2 字符"/>
    <w:next w:val="1082"/>
    <w:link w:val="1081"/>
    <w:qFormat/>
    <w:rPr>
      <w:rFonts w:eastAsia="宋体"/>
      <w:sz w:val="24"/>
      <w:szCs w:val="24"/>
      <w:lang w:val="en-US" w:eastAsia="zh-CN" w:bidi="ar-SA"/>
    </w:rPr>
  </w:style>
  <w:style w:type="table" w:styleId="1083">
    <w:name w:val="网格型"/>
    <w:basedOn w:val="1025"/>
    <w:next w:val="1083"/>
    <w:link w:val="1014"/>
    <w:uiPriority w:val="39"/>
    <w:qFormat/>
    <w:tblPr/>
  </w:style>
  <w:style w:type="table" w:styleId="1084">
    <w:name w:val="中等深浅网格 1 - 强调文字颜色 2"/>
    <w:basedOn w:val="1025"/>
    <w:next w:val="1084"/>
    <w:link w:val="1014"/>
    <w:qFormat/>
    <w:rPr>
      <w:sz w:val="21"/>
      <w:szCs w:val="24"/>
    </w:rPr>
    <w:tblPr/>
  </w:style>
  <w:style w:type="character" w:styleId="1085">
    <w:name w:val="要点"/>
    <w:next w:val="1085"/>
    <w:link w:val="1014"/>
    <w:qFormat/>
    <w:rPr>
      <w:b/>
      <w:bCs/>
    </w:rPr>
  </w:style>
  <w:style w:type="character" w:styleId="1086">
    <w:name w:val="页码"/>
    <w:next w:val="1086"/>
    <w:link w:val="1014"/>
    <w:qFormat/>
  </w:style>
  <w:style w:type="character" w:styleId="1087">
    <w:name w:val="已访问的超链接"/>
    <w:next w:val="1087"/>
    <w:link w:val="1014"/>
    <w:qFormat/>
    <w:rPr>
      <w:color w:val="800080"/>
      <w:u w:val="single"/>
    </w:rPr>
  </w:style>
  <w:style w:type="character" w:styleId="1088">
    <w:name w:val="强调"/>
    <w:next w:val="1088"/>
    <w:link w:val="1014"/>
    <w:qFormat/>
    <w:rPr>
      <w:color w:val="cc0033"/>
    </w:rPr>
  </w:style>
  <w:style w:type="character" w:styleId="1089">
    <w:name w:val="超链接"/>
    <w:next w:val="1089"/>
    <w:link w:val="1014"/>
    <w:uiPriority w:val="99"/>
    <w:qFormat/>
    <w:rPr>
      <w:color w:val="0000ff"/>
      <w:u w:val="single"/>
    </w:rPr>
  </w:style>
  <w:style w:type="character" w:styleId="1090">
    <w:name w:val="批注引用"/>
    <w:next w:val="1090"/>
    <w:link w:val="1014"/>
    <w:uiPriority w:val="99"/>
    <w:qFormat/>
    <w:rPr>
      <w:sz w:val="21"/>
      <w:szCs w:val="21"/>
    </w:rPr>
  </w:style>
  <w:style w:type="character" w:styleId="1091">
    <w:name w:val="HTML 引文"/>
    <w:next w:val="1091"/>
    <w:link w:val="1014"/>
    <w:qFormat/>
    <w:rPr>
      <w:i/>
      <w:iCs/>
    </w:rPr>
  </w:style>
  <w:style w:type="character" w:styleId="1092">
    <w:name w:val="批注文字 字符"/>
    <w:next w:val="1092"/>
    <w:link w:val="1014"/>
    <w:uiPriority w:val="99"/>
    <w:qFormat/>
    <w:rPr>
      <w:rFonts w:ascii="Times New Roman" w:hAnsi="Times New Roman" w:eastAsia="宋体" w:cs="Times New Roman"/>
      <w:sz w:val="24"/>
      <w:lang w:val="en-US" w:eastAsia="zh-CN" w:bidi="ar-SA"/>
    </w:rPr>
  </w:style>
  <w:style w:type="character" w:styleId="1093">
    <w:name w:val="c21"/>
    <w:next w:val="1093"/>
    <w:link w:val="1014"/>
    <w:qFormat/>
    <w:rPr>
      <w:rFonts w:ascii="ˎ̥" w:hAnsi="ˎ̥"/>
      <w:color w:val="000000"/>
      <w:sz w:val="20"/>
      <w:szCs w:val="20"/>
      <w:u w:val="none"/>
    </w:rPr>
  </w:style>
  <w:style w:type="character" w:styleId="1094">
    <w:name w:val="title4"/>
    <w:next w:val="1094"/>
    <w:link w:val="1014"/>
    <w:qFormat/>
    <w:rPr>
      <w:b/>
      <w:bCs/>
      <w:color w:val="1d87b3"/>
      <w:sz w:val="15"/>
      <w:szCs w:val="15"/>
    </w:rPr>
  </w:style>
  <w:style w:type="character" w:styleId="1095">
    <w:name w:val="标题 2 Char Char"/>
    <w:next w:val="1095"/>
    <w:link w:val="1014"/>
    <w:qFormat/>
    <w:rPr>
      <w:rFonts w:ascii="Arial" w:hAnsi="Arial" w:eastAsia="黑体"/>
      <w:b/>
      <w:bCs/>
      <w:sz w:val="32"/>
      <w:szCs w:val="32"/>
      <w:lang w:val="en-US" w:eastAsia="zh-CN" w:bidi="ar-SA"/>
    </w:rPr>
  </w:style>
  <w:style w:type="character" w:styleId="1096">
    <w:name w:val="black1"/>
    <w:next w:val="1096"/>
    <w:link w:val="1014"/>
    <w:qFormat/>
    <w:rPr>
      <w:color w:val="000000"/>
    </w:rPr>
  </w:style>
  <w:style w:type="character" w:styleId="1097">
    <w:name w:val="street-address"/>
    <w:next w:val="1097"/>
    <w:link w:val="1014"/>
    <w:qFormat/>
  </w:style>
  <w:style w:type="character" w:styleId="1098">
    <w:name w:val="locality"/>
    <w:next w:val="1098"/>
    <w:link w:val="1014"/>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4"/>
    <w:next w:val="1100"/>
    <w:link w:val="1099"/>
    <w:qFormat/>
    <w:pPr>
      <w:ind w:firstLine="480"/>
      <w:spacing w:line="480" w:lineRule="exact"/>
    </w:pPr>
    <w:rPr>
      <w:rFonts w:ascii="宋体" w:hAnsi="宋体"/>
      <w:sz w:val="24"/>
    </w:rPr>
  </w:style>
  <w:style w:type="character" w:styleId="1101">
    <w:name w:val="Char Char11"/>
    <w:next w:val="1101"/>
    <w:link w:val="1014"/>
    <w:qFormat/>
    <w:rPr>
      <w:rFonts w:ascii="宋体" w:eastAsia="宋体"/>
      <w:b/>
      <w:sz w:val="24"/>
      <w:u w:val="single"/>
      <w:lang w:val="en-US" w:eastAsia="zh-CN" w:bidi="ar-SA"/>
    </w:rPr>
  </w:style>
  <w:style w:type="character" w:styleId="1102">
    <w:name w:val="txt"/>
    <w:next w:val="1102"/>
    <w:link w:val="1014"/>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4"/>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4"/>
    <w:qFormat/>
    <w:rPr>
      <w:rFonts w:ascii="宋体" w:hAnsi="Courier New" w:eastAsia="宋体"/>
      <w:sz w:val="21"/>
      <w:lang w:val="en-US" w:eastAsia="zh-CN" w:bidi="ar-SA"/>
    </w:rPr>
  </w:style>
  <w:style w:type="character" w:styleId="1106">
    <w:name w:val="chanpin1"/>
    <w:next w:val="1106"/>
    <w:link w:val="1014"/>
    <w:qFormat/>
    <w:rPr>
      <w:rFonts w:ascii="ˎ̥" w:hAnsi="ˎ̥"/>
      <w:color w:val="000000"/>
      <w:sz w:val="20"/>
      <w:szCs w:val="20"/>
      <w:u w:val="none"/>
    </w:rPr>
  </w:style>
  <w:style w:type="character" w:styleId="1107">
    <w:name w:val="列表段落 字符"/>
    <w:next w:val="1107"/>
    <w:link w:val="1108"/>
    <w:uiPriority w:val="34"/>
    <w:qFormat/>
    <w:rPr>
      <w:rFonts w:ascii="Calibri" w:hAnsi="Calibri" w:eastAsia="宋体"/>
      <w:sz w:val="21"/>
      <w:szCs w:val="22"/>
      <w:lang w:val="en-US" w:eastAsia="zh-CN" w:bidi="ar-SA"/>
    </w:rPr>
  </w:style>
  <w:style w:type="paragraph" w:styleId="1108">
    <w:name w:val="列表段落"/>
    <w:basedOn w:val="1014"/>
    <w:next w:val="1108"/>
    <w:link w:val="1107"/>
    <w:uiPriority w:val="34"/>
    <w:qFormat/>
    <w:pPr>
      <w:ind w:firstLine="420"/>
    </w:pPr>
    <w:rPr>
      <w:rFonts w:ascii="Calibri" w:hAnsi="Calibri"/>
      <w:szCs w:val="22"/>
    </w:rPr>
  </w:style>
  <w:style w:type="character" w:styleId="1109">
    <w:name w:val="标题 3 Char Char"/>
    <w:next w:val="1109"/>
    <w:link w:val="1014"/>
    <w:qFormat/>
    <w:rPr>
      <w:rFonts w:eastAsia="宋体"/>
      <w:b/>
      <w:bCs/>
      <w:sz w:val="32"/>
      <w:szCs w:val="32"/>
      <w:lang w:val="en-US" w:eastAsia="zh-CN" w:bidi="ar-SA"/>
    </w:rPr>
  </w:style>
  <w:style w:type="character" w:styleId="1110">
    <w:name w:val="段1 Char"/>
    <w:next w:val="1110"/>
    <w:link w:val="1014"/>
    <w:qFormat/>
    <w:rPr>
      <w:rFonts w:ascii="宋体" w:eastAsia="宋体"/>
      <w:sz w:val="24"/>
      <w:lang w:val="en-US" w:eastAsia="zh-CN" w:bidi="ar-SA"/>
    </w:rPr>
  </w:style>
  <w:style w:type="character" w:styleId="1111">
    <w:name w:val="chanpin拷贝"/>
    <w:next w:val="1111"/>
    <w:link w:val="1014"/>
    <w:qFormat/>
  </w:style>
  <w:style w:type="character" w:styleId="1112">
    <w:name w:val="纯文本 Char1"/>
    <w:next w:val="1112"/>
    <w:link w:val="1014"/>
    <w:qFormat/>
    <w:rPr>
      <w:rFonts w:ascii="宋体" w:hAnsi="Courier New" w:eastAsia="宋体"/>
      <w:sz w:val="21"/>
      <w:lang w:val="en-US" w:eastAsia="zh-CN" w:bidi="ar-SA"/>
    </w:rPr>
  </w:style>
  <w:style w:type="character" w:styleId="1113">
    <w:name w:val="apple-style-span"/>
    <w:next w:val="1113"/>
    <w:link w:val="1014"/>
    <w:qFormat/>
    <w:rPr>
      <w:rFonts w:cs="Times New Roman"/>
    </w:rPr>
  </w:style>
  <w:style w:type="paragraph" w:styleId="1114">
    <w:name w:val="二级条标题"/>
    <w:basedOn w:val="1115"/>
    <w:next w:val="1014"/>
    <w:link w:val="1014"/>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4"/>
    <w:link w:val="1014"/>
    <w:qFormat/>
    <w:pPr>
      <w:numPr>
        <w:ilvl w:val="1"/>
      </w:numPr>
      <w:ind w:left="0" w:hanging="840"/>
      <w:tabs>
        <w:tab w:val="left" w:pos="360" w:leader="none"/>
        <w:tab w:val="left" w:pos="840" w:leader="none"/>
      </w:tabs>
      <w:outlineLvl w:val="1"/>
    </w:pPr>
  </w:style>
  <w:style w:type="paragraph" w:styleId="1116">
    <w:name w:val="章标题"/>
    <w:next w:val="1014"/>
    <w:link w:val="10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4"/>
    <w:next w:val="1117"/>
    <w:link w:val="1014"/>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4"/>
    <w:next w:val="1118"/>
    <w:link w:val="1014"/>
    <w:qFormat/>
    <w:rPr>
      <w:rFonts w:ascii="Tahoma" w:hAnsi="Tahoma"/>
      <w:sz w:val="24"/>
      <w:szCs w:val="20"/>
    </w:rPr>
  </w:style>
  <w:style w:type="paragraph" w:styleId="1119">
    <w:name w:val="Char3 Char Char Char"/>
    <w:basedOn w:val="1014"/>
    <w:next w:val="1119"/>
    <w:link w:val="1014"/>
    <w:qFormat/>
    <w:rPr>
      <w:rFonts w:ascii="Tahoma" w:hAnsi="Tahoma"/>
      <w:sz w:val="24"/>
      <w:szCs w:val="20"/>
    </w:rPr>
  </w:style>
  <w:style w:type="paragraph" w:styleId="1120">
    <w:name w:val="font6"/>
    <w:basedOn w:val="1014"/>
    <w:next w:val="1120"/>
    <w:link w:val="1014"/>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4"/>
    <w:qFormat/>
    <w:pPr>
      <w:numPr>
        <w:numId w:val="3"/>
      </w:numPr>
    </w:pPr>
  </w:style>
  <w:style w:type="paragraph" w:styleId="1122">
    <w:name w:val="项目编号1"/>
    <w:basedOn w:val="1014"/>
    <w:next w:val="1122"/>
    <w:link w:val="1014"/>
    <w:qFormat/>
    <w:pPr>
      <w:numPr>
        <w:ilvl w:val="0"/>
        <w:numId w:val="2"/>
      </w:numPr>
      <w:spacing w:before="100" w:beforeAutospacing="1" w:after="100" w:afterAutospacing="1" w:line="360" w:lineRule="auto"/>
    </w:pPr>
    <w:rPr>
      <w:sz w:val="24"/>
    </w:rPr>
  </w:style>
  <w:style w:type="paragraph" w:styleId="1123">
    <w:name w:val="图中文字"/>
    <w:basedOn w:val="1014"/>
    <w:next w:val="1123"/>
    <w:link w:val="1014"/>
    <w:qFormat/>
    <w:pPr>
      <w:jc w:val="center"/>
      <w:spacing w:line="0" w:lineRule="atLeast"/>
    </w:pPr>
    <w:rPr>
      <w:sz w:val="24"/>
      <w:szCs w:val="20"/>
    </w:rPr>
  </w:style>
  <w:style w:type="paragraph" w:styleId="1124">
    <w:name w:val="xl46"/>
    <w:basedOn w:val="1014"/>
    <w:next w:val="1124"/>
    <w:link w:val="10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4"/>
    <w:next w:val="112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4"/>
    <w:next w:val="1126"/>
    <w:link w:val="1014"/>
    <w:qFormat/>
    <w:rPr>
      <w:rFonts w:ascii="Tahoma" w:hAnsi="Tahoma"/>
      <w:sz w:val="24"/>
      <w:szCs w:val="20"/>
    </w:rPr>
  </w:style>
  <w:style w:type="paragraph" w:styleId="1127">
    <w:name w:val="xl35"/>
    <w:basedOn w:val="1014"/>
    <w:next w:val="1127"/>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4"/>
    <w:next w:val="1128"/>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4"/>
    <w:next w:val="112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4"/>
    <w:next w:val="1130"/>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4"/>
    <w:next w:val="1131"/>
    <w:link w:val="1014"/>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4"/>
    <w:next w:val="1132"/>
    <w:link w:val="1014"/>
    <w:qFormat/>
    <w:pPr>
      <w:ind w:firstLine="200"/>
      <w:spacing w:line="360" w:lineRule="auto"/>
    </w:pPr>
    <w:rPr>
      <w:rFonts w:eastAsia="仿宋_GB2312"/>
      <w:sz w:val="24"/>
    </w:rPr>
  </w:style>
  <w:style w:type="paragraph" w:styleId="1133">
    <w:name w:val="xl38"/>
    <w:basedOn w:val="1014"/>
    <w:next w:val="113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4"/>
    <w:next w:val="1134"/>
    <w:link w:val="10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4"/>
    <w:next w:val="1135"/>
    <w:link w:val="1014"/>
    <w:qFormat/>
    <w:pPr>
      <w:ind w:left="360" w:hanging="360"/>
      <w:jc w:val="left"/>
      <w:widowControl/>
    </w:pPr>
    <w:rPr>
      <w:rFonts w:ascii="宋体" w:hAnsi="宋体" w:cs="宋体"/>
      <w:b/>
      <w:bCs/>
      <w:color w:val="000000"/>
      <w:sz w:val="18"/>
      <w:szCs w:val="18"/>
    </w:rPr>
  </w:style>
  <w:style w:type="paragraph" w:styleId="1136">
    <w:name w:val="正文列项_数字"/>
    <w:basedOn w:val="1014"/>
    <w:next w:val="1136"/>
    <w:link w:val="1014"/>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4"/>
    <w:next w:val="113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4"/>
    <w:next w:val="1138"/>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4"/>
    <w:next w:val="113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4"/>
    <w:next w:val="1140"/>
    <w:link w:val="1014"/>
    <w:qFormat/>
    <w:pPr>
      <w:jc w:val="left"/>
      <w:spacing w:before="100" w:beforeAutospacing="1" w:after="100" w:afterAutospacing="1"/>
      <w:widowControl/>
    </w:pPr>
    <w:rPr>
      <w:sz w:val="36"/>
      <w:szCs w:val="36"/>
    </w:rPr>
  </w:style>
  <w:style w:type="paragraph" w:styleId="1141">
    <w:name w:val="Char"/>
    <w:basedOn w:val="1014"/>
    <w:next w:val="1141"/>
    <w:link w:val="1014"/>
    <w:qFormat/>
    <w:pPr>
      <w:tabs>
        <w:tab w:val="left" w:pos="360" w:leader="none"/>
      </w:tabs>
    </w:pPr>
    <w:rPr>
      <w:sz w:val="24"/>
    </w:rPr>
  </w:style>
  <w:style w:type="paragraph" w:styleId="1142">
    <w:name w:val="Char Char Char Char Char Char Char Char Char Char Char Char Char Char Char Char"/>
    <w:basedOn w:val="1014"/>
    <w:next w:val="1142"/>
    <w:link w:val="1014"/>
    <w:qFormat/>
    <w:pPr>
      <w:jc w:val="center"/>
      <w:spacing w:after="160" w:line="240" w:lineRule="exact"/>
      <w:widowControl/>
    </w:pPr>
    <w:rPr>
      <w:rFonts w:ascii="宋体" w:hAnsi="宋体"/>
      <w:b/>
      <w:sz w:val="30"/>
      <w:szCs w:val="30"/>
      <w:lang w:eastAsia="en-US"/>
    </w:rPr>
  </w:style>
  <w:style w:type="paragraph" w:styleId="1143">
    <w:name w:val="xl45"/>
    <w:basedOn w:val="1014"/>
    <w:next w:val="1143"/>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4"/>
    <w:next w:val="1144"/>
    <w:link w:val="1014"/>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39"/>
    <w:next w:val="1145"/>
    <w:link w:val="1014"/>
    <w:qFormat/>
    <w:rPr>
      <w:rFonts w:ascii="Tahoma" w:hAnsi="Tahoma"/>
      <w:sz w:val="24"/>
    </w:rPr>
  </w:style>
  <w:style w:type="paragraph" w:styleId="1146">
    <w:name w:val="xl26"/>
    <w:basedOn w:val="1014"/>
    <w:next w:val="114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4"/>
    <w:next w:val="114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4"/>
    <w:next w:val="1148"/>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4"/>
    <w:next w:val="1149"/>
    <w:link w:val="1014"/>
    <w:qFormat/>
    <w:pPr>
      <w:jc w:val="left"/>
    </w:pPr>
    <w:rPr>
      <w:rFonts w:ascii="宋体" w:hAnsi="宋体"/>
      <w:szCs w:val="20"/>
    </w:rPr>
  </w:style>
  <w:style w:type="paragraph" w:styleId="1150">
    <w:name w:val="Char1 Char Char Char1"/>
    <w:basedOn w:val="1014"/>
    <w:next w:val="1150"/>
    <w:link w:val="1014"/>
    <w:qFormat/>
    <w:rPr>
      <w:rFonts w:ascii="Tahoma" w:hAnsi="Tahoma" w:cs="仿宋_GB2312"/>
      <w:sz w:val="24"/>
      <w:szCs w:val="28"/>
    </w:rPr>
  </w:style>
  <w:style w:type="paragraph" w:styleId="1151">
    <w:name w:val="四级条标题"/>
    <w:basedOn w:val="1152"/>
    <w:next w:val="1014"/>
    <w:link w:val="1014"/>
    <w:qFormat/>
    <w:pPr>
      <w:numPr>
        <w:ilvl w:val="4"/>
      </w:numPr>
      <w:ind w:left="0" w:hanging="840"/>
      <w:tabs>
        <w:tab w:val="left" w:pos="360" w:leader="none"/>
        <w:tab w:val="left" w:pos="840" w:leader="none"/>
      </w:tabs>
      <w:outlineLvl w:val="4"/>
    </w:pPr>
  </w:style>
  <w:style w:type="paragraph" w:styleId="1152">
    <w:name w:val="三级条标题"/>
    <w:basedOn w:val="1114"/>
    <w:next w:val="1014"/>
    <w:link w:val="1014"/>
    <w:qFormat/>
    <w:pPr>
      <w:numPr>
        <w:ilvl w:val="3"/>
        <w:numId w:val="1"/>
      </w:numPr>
      <w:ind w:left="0" w:hanging="840"/>
      <w:tabs>
        <w:tab w:val="left" w:pos="360" w:leader="none"/>
        <w:tab w:val="left" w:pos="840" w:leader="none"/>
      </w:tabs>
      <w:outlineLvl w:val="3"/>
    </w:pPr>
  </w:style>
  <w:style w:type="paragraph" w:styleId="1153">
    <w:name w:val="??"/>
    <w:next w:val="1153"/>
    <w:link w:val="1014"/>
    <w:qFormat/>
    <w:pPr>
      <w:jc w:val="both"/>
      <w:widowControl w:val="off"/>
    </w:pPr>
    <w:rPr>
      <w:sz w:val="21"/>
      <w:lang w:val="en-US" w:eastAsia="en-US" w:bidi="ar-SA"/>
    </w:rPr>
  </w:style>
  <w:style w:type="paragraph" w:styleId="1154">
    <w:name w:val="样式 标题 2 + 宋体 五号 行距: 单倍行距"/>
    <w:basedOn w:val="1016"/>
    <w:next w:val="1154"/>
    <w:link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4"/>
    <w:next w:val="1155"/>
    <w:link w:val="1014"/>
    <w:qFormat/>
    <w:pPr>
      <w:ind w:firstLine="420"/>
    </w:pPr>
    <w:rPr>
      <w:rFonts w:ascii="Calibri" w:hAnsi="Calibri"/>
      <w:szCs w:val="22"/>
    </w:rPr>
  </w:style>
  <w:style w:type="paragraph" w:styleId="1156">
    <w:name w:val="项目符号1"/>
    <w:basedOn w:val="1157"/>
    <w:next w:val="1156"/>
    <w:link w:val="1014"/>
    <w:qFormat/>
    <w:pPr>
      <w:ind w:left="-25" w:firstLine="0"/>
    </w:pPr>
  </w:style>
  <w:style w:type="paragraph" w:styleId="1157">
    <w:name w:val="正文文本样式"/>
    <w:basedOn w:val="1014"/>
    <w:next w:val="1157"/>
    <w:link w:val="1014"/>
    <w:qFormat/>
    <w:pPr>
      <w:ind w:firstLine="482"/>
      <w:spacing w:line="360" w:lineRule="auto"/>
    </w:pPr>
    <w:rPr>
      <w:rFonts w:cs="宋体"/>
      <w:sz w:val="24"/>
      <w:szCs w:val="20"/>
    </w:rPr>
  </w:style>
  <w:style w:type="paragraph" w:styleId="1158">
    <w:name w:val="xl27"/>
    <w:basedOn w:val="1014"/>
    <w:next w:val="115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4"/>
    <w:next w:val="1159"/>
    <w:link w:val="1014"/>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4"/>
    <w:link w:val="1014"/>
    <w:qFormat/>
    <w:pPr>
      <w:numPr>
        <w:ilvl w:val="5"/>
      </w:numPr>
      <w:ind w:left="0" w:hanging="840"/>
      <w:tabs>
        <w:tab w:val="left" w:pos="360" w:leader="none"/>
        <w:tab w:val="left" w:pos="840" w:leader="none"/>
      </w:tabs>
      <w:outlineLvl w:val="5"/>
    </w:pPr>
  </w:style>
  <w:style w:type="paragraph" w:styleId="1161">
    <w:name w:val="xl49"/>
    <w:basedOn w:val="1014"/>
    <w:next w:val="1161"/>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4"/>
    <w:next w:val="1162"/>
    <w:link w:val="1014"/>
    <w:qFormat/>
    <w:pPr>
      <w:spacing w:before="120" w:after="120" w:line="180" w:lineRule="auto"/>
    </w:pPr>
    <w:rPr>
      <w:rFonts w:ascii="Arial" w:hAnsi="Arial"/>
      <w:szCs w:val="20"/>
    </w:rPr>
  </w:style>
  <w:style w:type="paragraph" w:styleId="1163">
    <w:name w:val="xl33"/>
    <w:basedOn w:val="1014"/>
    <w:next w:val="116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4"/>
    <w:next w:val="116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4"/>
    <w:next w:val="1165"/>
    <w:link w:val="1014"/>
    <w:qFormat/>
    <w:rPr>
      <w:rFonts w:ascii="Tahoma" w:hAnsi="Tahoma"/>
      <w:sz w:val="24"/>
      <w:szCs w:val="20"/>
    </w:rPr>
  </w:style>
  <w:style w:type="paragraph" w:styleId="1166">
    <w:name w:val="xl44"/>
    <w:basedOn w:val="1014"/>
    <w:next w:val="1166"/>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4"/>
    <w:next w:val="1167"/>
    <w:link w:val="1014"/>
    <w:qFormat/>
    <w:pPr>
      <w:numPr>
        <w:ilvl w:val="0"/>
        <w:numId w:val="5"/>
      </w:numPr>
      <w:spacing w:before="120"/>
      <w:tabs>
        <w:tab w:val="left" w:pos="360" w:leader="none"/>
      </w:tabs>
    </w:pPr>
    <w:rPr>
      <w:rFonts w:ascii="宋体"/>
      <w:sz w:val="28"/>
      <w:szCs w:val="20"/>
    </w:rPr>
  </w:style>
  <w:style w:type="paragraph" w:styleId="1168">
    <w:name w:val="font9"/>
    <w:basedOn w:val="1014"/>
    <w:next w:val="1168"/>
    <w:link w:val="1014"/>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4"/>
    <w:next w:val="1169"/>
    <w:link w:val="1014"/>
    <w:qFormat/>
    <w:rPr>
      <w:rFonts w:ascii="Tahoma" w:hAnsi="Tahoma"/>
      <w:sz w:val="24"/>
      <w:szCs w:val="20"/>
    </w:rPr>
  </w:style>
  <w:style w:type="paragraph" w:styleId="1170">
    <w:name w:val="Char Char Char Char Char Char Char Char Char Char"/>
    <w:basedOn w:val="1014"/>
    <w:next w:val="1170"/>
    <w:link w:val="1014"/>
    <w:qFormat/>
  </w:style>
  <w:style w:type="paragraph" w:styleId="1171">
    <w:name w:val="Char Char1 Char Char Char Char Char Char Char Char"/>
    <w:basedOn w:val="1014"/>
    <w:next w:val="1171"/>
    <w:link w:val="1014"/>
    <w:qFormat/>
    <w:pPr>
      <w:jc w:val="left"/>
      <w:spacing w:after="160" w:line="240" w:lineRule="exact"/>
      <w:widowControl/>
    </w:pPr>
    <w:rPr>
      <w:rFonts w:ascii="Verdana" w:hAnsi="Verdana"/>
      <w:sz w:val="20"/>
      <w:szCs w:val="20"/>
      <w:lang w:eastAsia="en-US"/>
    </w:rPr>
  </w:style>
  <w:style w:type="paragraph" w:styleId="1172">
    <w:name w:val="Char1"/>
    <w:basedOn w:val="1014"/>
    <w:next w:val="1172"/>
    <w:link w:val="1014"/>
    <w:qFormat/>
    <w:pPr>
      <w:tabs>
        <w:tab w:val="left" w:pos="360" w:leader="none"/>
      </w:tabs>
    </w:pPr>
    <w:rPr>
      <w:sz w:val="24"/>
    </w:rPr>
  </w:style>
  <w:style w:type="paragraph" w:styleId="1173">
    <w:name w:val="正文列项_字母"/>
    <w:basedOn w:val="1014"/>
    <w:next w:val="1173"/>
    <w:link w:val="1014"/>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4"/>
    <w:next w:val="117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4"/>
    <w:next w:val="1175"/>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4"/>
    <w:next w:val="1176"/>
    <w:link w:val="1014"/>
    <w:qFormat/>
    <w:rPr>
      <w:rFonts w:ascii="Arial" w:hAnsi="Arial" w:cs="Arial"/>
      <w:szCs w:val="21"/>
    </w:rPr>
  </w:style>
  <w:style w:type="paragraph" w:styleId="1177">
    <w:name w:val="xl48"/>
    <w:basedOn w:val="1014"/>
    <w:next w:val="117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4"/>
    <w:next w:val="1178"/>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4"/>
    <w:next w:val="117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4"/>
    <w:next w:val="1180"/>
    <w:link w:val="1014"/>
    <w:qFormat/>
    <w:rPr>
      <w:rFonts w:ascii="Tahoma" w:hAnsi="Tahoma"/>
      <w:sz w:val="24"/>
      <w:szCs w:val="20"/>
    </w:rPr>
  </w:style>
  <w:style w:type="paragraph" w:styleId="1181">
    <w:name w:val="xl50"/>
    <w:basedOn w:val="1014"/>
    <w:next w:val="118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4"/>
    <w:next w:val="1182"/>
    <w:link w:val="1014"/>
    <w:qFormat/>
    <w:pPr>
      <w:jc w:val="left"/>
    </w:pPr>
    <w:rPr>
      <w:sz w:val="24"/>
    </w:rPr>
  </w:style>
  <w:style w:type="paragraph" w:styleId="1183">
    <w:name w:val="Char Char Char1"/>
    <w:basedOn w:val="1014"/>
    <w:next w:val="1183"/>
    <w:link w:val="1014"/>
    <w:qFormat/>
    <w:rPr>
      <w:rFonts w:ascii="Tahoma" w:hAnsi="Tahoma"/>
      <w:sz w:val="24"/>
      <w:szCs w:val="20"/>
    </w:rPr>
  </w:style>
  <w:style w:type="paragraph" w:styleId="1184">
    <w:name w:val="Char Char Char Char Char Char Char1"/>
    <w:basedOn w:val="1014"/>
    <w:next w:val="1184"/>
    <w:link w:val="1014"/>
    <w:qFormat/>
    <w:pPr>
      <w:ind w:firstLine="200"/>
      <w:spacing w:line="360" w:lineRule="auto"/>
    </w:pPr>
    <w:rPr>
      <w:rFonts w:eastAsia="仿宋_GB2312"/>
      <w:sz w:val="24"/>
    </w:rPr>
  </w:style>
  <w:style w:type="paragraph" w:styleId="1185">
    <w:name w:val="xl51"/>
    <w:basedOn w:val="1014"/>
    <w:next w:val="1185"/>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6"/>
    <w:next w:val="1186"/>
    <w:link w:val="1014"/>
    <w:qFormat/>
    <w:pPr>
      <w:jc w:val="center"/>
      <w:spacing w:line="360" w:lineRule="auto"/>
    </w:pPr>
    <w:rPr>
      <w:sz w:val="24"/>
    </w:rPr>
  </w:style>
  <w:style w:type="paragraph" w:styleId="1187">
    <w:name w:val="xl24"/>
    <w:basedOn w:val="1014"/>
    <w:next w:val="118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4"/>
    <w:next w:val="118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4"/>
    <w:next w:val="1189"/>
    <w:link w:val="1014"/>
    <w:qFormat/>
    <w:pPr>
      <w:jc w:val="left"/>
      <w:widowControl/>
    </w:pPr>
    <w:rPr>
      <w:rFonts w:ascii="楷体_GB2312" w:eastAsia="楷体_GB2312" w:cs="Arial"/>
      <w:sz w:val="24"/>
    </w:rPr>
  </w:style>
  <w:style w:type="paragraph" w:styleId="1190">
    <w:name w:val="xl34"/>
    <w:basedOn w:val="1014"/>
    <w:next w:val="119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4"/>
    <w:next w:val="1191"/>
    <w:link w:val="1014"/>
    <w:qFormat/>
    <w:rPr>
      <w:rFonts w:ascii="Tahoma" w:hAnsi="Tahoma"/>
      <w:sz w:val="24"/>
      <w:szCs w:val="20"/>
    </w:rPr>
  </w:style>
  <w:style w:type="paragraph" w:styleId="1192">
    <w:name w:val="Default"/>
    <w:next w:val="1192"/>
    <w:link w:val="1014"/>
    <w:qFormat/>
    <w:pPr>
      <w:widowControl w:val="off"/>
    </w:pPr>
    <w:rPr>
      <w:rFonts w:ascii="Symbol" w:hAnsi="Symbol" w:cs="Symbol"/>
      <w:color w:val="000000"/>
      <w:sz w:val="24"/>
      <w:szCs w:val="24"/>
      <w:lang w:val="en-US" w:eastAsia="zh-CN" w:bidi="ar-SA"/>
    </w:rPr>
  </w:style>
  <w:style w:type="paragraph" w:styleId="1193">
    <w:name w:val="列出段落1"/>
    <w:basedOn w:val="1014"/>
    <w:next w:val="1193"/>
    <w:link w:val="1014"/>
    <w:qFormat/>
    <w:pPr>
      <w:ind w:firstLine="420"/>
    </w:pPr>
    <w:rPr>
      <w:rFonts w:ascii="Calibri" w:hAnsi="Calibri"/>
      <w:szCs w:val="22"/>
    </w:rPr>
  </w:style>
  <w:style w:type="paragraph" w:styleId="1194">
    <w:name w:val="default"/>
    <w:basedOn w:val="1014"/>
    <w:next w:val="1194"/>
    <w:link w:val="1014"/>
    <w:qFormat/>
    <w:pPr>
      <w:jc w:val="left"/>
      <w:spacing w:before="100" w:beforeAutospacing="1" w:after="100" w:afterAutospacing="1"/>
      <w:widowControl/>
    </w:pPr>
    <w:rPr>
      <w:rFonts w:ascii="宋体" w:hAnsi="宋体" w:cs="宋体"/>
      <w:sz w:val="24"/>
    </w:rPr>
  </w:style>
  <w:style w:type="paragraph" w:styleId="1195">
    <w:name w:val="字元 字元1"/>
    <w:basedOn w:val="1014"/>
    <w:next w:val="1195"/>
    <w:link w:val="1014"/>
    <w:qFormat/>
    <w:rPr>
      <w:rFonts w:ascii="Tahoma" w:hAnsi="Tahoma"/>
      <w:sz w:val="24"/>
      <w:szCs w:val="20"/>
    </w:rPr>
  </w:style>
  <w:style w:type="paragraph" w:styleId="1196">
    <w:name w:val="_Style 160"/>
    <w:next w:val="1196"/>
    <w:link w:val="1014"/>
    <w:qFormat/>
    <w:rPr>
      <w:sz w:val="21"/>
      <w:szCs w:val="24"/>
      <w:lang w:val="en-US" w:eastAsia="zh-CN" w:bidi="ar-SA"/>
    </w:rPr>
  </w:style>
  <w:style w:type="paragraph" w:styleId="1197">
    <w:name w:val="项目编号3"/>
    <w:basedOn w:val="1157"/>
    <w:next w:val="1197"/>
    <w:link w:val="1014"/>
    <w:qFormat/>
    <w:pPr>
      <w:numPr>
        <w:ilvl w:val="0"/>
        <w:numId w:val="6"/>
      </w:numPr>
    </w:pPr>
  </w:style>
  <w:style w:type="paragraph" w:styleId="1198">
    <w:name w:val="Char21"/>
    <w:basedOn w:val="1014"/>
    <w:next w:val="1198"/>
    <w:link w:val="1014"/>
    <w:qFormat/>
    <w:rPr>
      <w:rFonts w:ascii="Tahoma" w:hAnsi="Tahoma"/>
      <w:sz w:val="24"/>
      <w:szCs w:val="20"/>
    </w:rPr>
  </w:style>
  <w:style w:type="paragraph" w:styleId="1199">
    <w:name w:val="表格文字"/>
    <w:basedOn w:val="1047"/>
    <w:next w:val="1199"/>
    <w:link w:val="1014"/>
    <w:qFormat/>
    <w:pPr>
      <w:ind w:firstLine="0"/>
      <w:spacing w:before="20" w:after="20" w:line="240" w:lineRule="auto"/>
    </w:pPr>
    <w:rPr>
      <w:rFonts w:ascii="Century Gothic" w:hAnsi="Century Gothic"/>
      <w:sz w:val="20"/>
      <w:szCs w:val="20"/>
    </w:rPr>
  </w:style>
  <w:style w:type="paragraph" w:styleId="1200">
    <w:name w:val="Char Char Char Char Char Char Char Char Char Char1"/>
    <w:basedOn w:val="1014"/>
    <w:next w:val="1200"/>
    <w:link w:val="1014"/>
    <w:qFormat/>
    <w:rPr>
      <w:rFonts w:ascii="宋体" w:hAnsi="宋体" w:cs="Courier New"/>
      <w:sz w:val="32"/>
      <w:szCs w:val="32"/>
    </w:rPr>
  </w:style>
  <w:style w:type="paragraph" w:styleId="1201">
    <w:name w:val="正文文本样式 加粗"/>
    <w:basedOn w:val="1157"/>
    <w:next w:val="1201"/>
    <w:link w:val="1014"/>
    <w:qFormat/>
    <w:rPr>
      <w:b/>
    </w:rPr>
  </w:style>
  <w:style w:type="paragraph" w:styleId="1202">
    <w:name w:val="Char2 Char Char Char Char Char Char"/>
    <w:basedOn w:val="1014"/>
    <w:next w:val="1202"/>
    <w:link w:val="1014"/>
    <w:qFormat/>
    <w:pPr>
      <w:jc w:val="center"/>
      <w:spacing w:line="400" w:lineRule="exact"/>
      <w:widowControl/>
    </w:pPr>
  </w:style>
  <w:style w:type="paragraph" w:styleId="1203">
    <w:name w:val="Char Char4"/>
    <w:basedOn w:val="1014"/>
    <w:next w:val="1203"/>
    <w:link w:val="1014"/>
    <w:qFormat/>
    <w:pPr>
      <w:jc w:val="center"/>
      <w:spacing w:line="400" w:lineRule="exact"/>
      <w:widowControl/>
    </w:pPr>
  </w:style>
  <w:style w:type="paragraph" w:styleId="1204">
    <w:name w:val="Char3 Char Char Char1"/>
    <w:basedOn w:val="1014"/>
    <w:next w:val="1204"/>
    <w:link w:val="1014"/>
    <w:qFormat/>
    <w:rPr>
      <w:rFonts w:ascii="Tahoma" w:hAnsi="Tahoma"/>
      <w:sz w:val="24"/>
      <w:szCs w:val="20"/>
    </w:rPr>
  </w:style>
  <w:style w:type="paragraph" w:styleId="1205">
    <w:name w:val="无间隔"/>
    <w:next w:val="1205"/>
    <w:link w:val="1014"/>
    <w:qFormat/>
    <w:pPr>
      <w:jc w:val="both"/>
      <w:widowControl w:val="off"/>
    </w:pPr>
    <w:rPr>
      <w:sz w:val="21"/>
      <w:szCs w:val="24"/>
      <w:lang w:val="en-US" w:eastAsia="zh-CN" w:bidi="ar-SA"/>
    </w:rPr>
  </w:style>
  <w:style w:type="paragraph" w:styleId="1206">
    <w:name w:val="22222222222222"/>
    <w:basedOn w:val="1014"/>
    <w:next w:val="1206"/>
    <w:link w:val="1014"/>
    <w:qFormat/>
    <w:pPr>
      <w:ind w:firstLine="480"/>
      <w:jc w:val="left"/>
      <w:spacing w:line="360" w:lineRule="auto"/>
      <w:widowControl/>
    </w:pPr>
    <w:rPr>
      <w:color w:val="ff0000"/>
      <w:sz w:val="24"/>
      <w:szCs w:val="20"/>
    </w:rPr>
  </w:style>
  <w:style w:type="character" w:styleId="1207">
    <w:name w:val="中等深浅网格 1 - 强调文字颜色 2 Char"/>
    <w:next w:val="1207"/>
    <w:link w:val="1208"/>
    <w:qFormat/>
    <w:rPr>
      <w:sz w:val="21"/>
      <w:szCs w:val="24"/>
      <w:lang w:val="zh-CN" w:eastAsia="zh-CN" w:bidi="ar-SA"/>
    </w:rPr>
  </w:style>
  <w:style w:type="paragraph" w:styleId="1208">
    <w:name w:val="1"/>
    <w:next w:val="1208"/>
    <w:link w:val="1207"/>
    <w:qFormat/>
    <w:rPr>
      <w:sz w:val="21"/>
      <w:szCs w:val="24"/>
      <w:lang w:val="zh-CN" w:eastAsia="zh-CN" w:bidi="ar-SA"/>
    </w:rPr>
  </w:style>
  <w:style w:type="paragraph" w:styleId="1209">
    <w:name w:val="图文"/>
    <w:basedOn w:val="1014"/>
    <w:next w:val="1209"/>
    <w:link w:val="1014"/>
    <w:qFormat/>
    <w:pPr>
      <w:spacing w:after="50" w:line="360" w:lineRule="auto"/>
    </w:pPr>
    <w:rPr>
      <w:sz w:val="24"/>
    </w:rPr>
  </w:style>
  <w:style w:type="paragraph" w:styleId="1210">
    <w:name w:val="xl23"/>
    <w:basedOn w:val="1014"/>
    <w:next w:val="1210"/>
    <w:link w:val="1014"/>
    <w:qFormat/>
    <w:pPr>
      <w:spacing w:before="100" w:beforeAutospacing="1" w:after="100" w:afterAutospacing="1" w:line="360" w:lineRule="auto"/>
      <w:widowControl/>
    </w:pPr>
    <w:rPr>
      <w:sz w:val="24"/>
      <w:szCs w:val="20"/>
    </w:rPr>
  </w:style>
  <w:style w:type="paragraph" w:styleId="1211">
    <w:name w:val="正文表格"/>
    <w:basedOn w:val="1014"/>
    <w:next w:val="1211"/>
    <w:link w:val="1212"/>
    <w:qFormat/>
    <w:pPr>
      <w:jc w:val="left"/>
    </w:pPr>
    <w:rPr>
      <w:rFonts w:ascii="宋体" w:hAnsi="宋体"/>
      <w:color w:val="000000"/>
      <w:szCs w:val="21"/>
    </w:rPr>
  </w:style>
  <w:style w:type="character" w:styleId="1212">
    <w:name w:val="正文表格 Char"/>
    <w:next w:val="1212"/>
    <w:link w:val="1211"/>
    <w:qFormat/>
    <w:rPr>
      <w:rFonts w:ascii="宋体" w:hAnsi="宋体"/>
      <w:color w:val="000000"/>
      <w:sz w:val="21"/>
      <w:szCs w:val="21"/>
    </w:rPr>
  </w:style>
  <w:style w:type="paragraph" w:styleId="1213">
    <w:name w:val="正文重点"/>
    <w:basedOn w:val="1014"/>
    <w:next w:val="1213"/>
    <w:link w:val="1214"/>
    <w:qFormat/>
    <w:pPr>
      <w:ind w:firstLine="482"/>
      <w:jc w:val="left"/>
      <w:spacing w:line="360" w:lineRule="auto"/>
    </w:pPr>
    <w:rPr>
      <w:b/>
      <w:sz w:val="24"/>
      <w:szCs w:val="20"/>
    </w:rPr>
  </w:style>
  <w:style w:type="character" w:styleId="1214">
    <w:name w:val="正文重点 Char"/>
    <w:next w:val="1214"/>
    <w:link w:val="1213"/>
    <w:qFormat/>
    <w:rPr>
      <w:b/>
      <w:sz w:val="24"/>
    </w:rPr>
  </w:style>
  <w:style w:type="paragraph" w:styleId="1215">
    <w:name w:val="标题1-附件"/>
    <w:basedOn w:val="1015"/>
    <w:next w:val="1215"/>
    <w:link w:val="1014"/>
    <w:qFormat/>
    <w:pPr>
      <w:jc w:val="left"/>
    </w:pPr>
    <w:rPr>
      <w:sz w:val="24"/>
      <w:szCs w:val="24"/>
    </w:rPr>
  </w:style>
  <w:style w:type="paragraph" w:styleId="1216">
    <w:name w:val="正文小标题"/>
    <w:basedOn w:val="1014"/>
    <w:next w:val="1028"/>
    <w:link w:val="1217"/>
    <w:qFormat/>
    <w:pPr>
      <w:ind w:firstLine="482"/>
      <w:jc w:val="left"/>
      <w:spacing w:before="312" w:after="312"/>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paragraph" w:styleId="1218">
    <w:name w:val="正文大标题"/>
    <w:basedOn w:val="1216"/>
    <w:next w:val="1028"/>
    <w:link w:val="1219"/>
    <w:qFormat/>
    <w:pPr>
      <w:jc w:val="center"/>
    </w:pPr>
    <w:rPr>
      <w:i w:val="0"/>
      <w:color w:val="000000"/>
      <w:sz w:val="28"/>
      <w:szCs w:val="21"/>
    </w:rPr>
  </w:style>
  <w:style w:type="character" w:styleId="1219">
    <w:name w:val="正文大标题 Char"/>
    <w:next w:val="1219"/>
    <w:link w:val="1218"/>
    <w:qFormat/>
    <w:rPr>
      <w:rFonts w:ascii="宋体" w:hAnsi="宋体"/>
      <w:b/>
      <w:color w:val="000000"/>
      <w:sz w:val="28"/>
      <w:szCs w:val="21"/>
    </w:rPr>
  </w:style>
  <w:style w:type="paragraph" w:styleId="1220">
    <w:name w:val="注释"/>
    <w:basedOn w:val="1014"/>
    <w:next w:val="1220"/>
    <w:link w:val="1221"/>
    <w:qFormat/>
    <w:pPr>
      <w:ind w:left="420" w:hanging="420"/>
      <w:jc w:val="left"/>
    </w:pPr>
    <w:rPr>
      <w:rFonts w:ascii="宋体" w:hAnsi="宋体"/>
      <w:szCs w:val="21"/>
    </w:rPr>
  </w:style>
  <w:style w:type="character" w:styleId="1221">
    <w:name w:val="注释 Char"/>
    <w:next w:val="1221"/>
    <w:link w:val="1220"/>
    <w:qFormat/>
    <w:rPr>
      <w:rFonts w:ascii="宋体" w:hAnsi="宋体"/>
      <w:sz w:val="21"/>
      <w:szCs w:val="21"/>
    </w:rPr>
  </w:style>
  <w:style w:type="paragraph" w:styleId="1222">
    <w:name w:val="正文须知-1级"/>
    <w:basedOn w:val="1014"/>
    <w:next w:val="1014"/>
    <w:link w:val="1014"/>
    <w:qFormat/>
    <w:pPr>
      <w:numPr>
        <w:ilvl w:val="0"/>
        <w:numId w:val="7"/>
      </w:numPr>
      <w:spacing w:line="300" w:lineRule="auto"/>
    </w:pPr>
    <w:rPr>
      <w:rFonts w:ascii="宋体" w:hAnsi="Calibri"/>
      <w:sz w:val="24"/>
      <w:szCs w:val="21"/>
    </w:rPr>
  </w:style>
  <w:style w:type="paragraph" w:styleId="1223">
    <w:name w:val="正文须知-2级"/>
    <w:basedOn w:val="1014"/>
    <w:next w:val="1223"/>
    <w:link w:val="1014"/>
    <w:qFormat/>
    <w:pPr>
      <w:numPr>
        <w:ilvl w:val="1"/>
        <w:numId w:val="7"/>
      </w:numPr>
      <w:spacing w:line="300" w:lineRule="auto"/>
    </w:pPr>
    <w:rPr>
      <w:rFonts w:ascii="宋体" w:hAnsi="Calibri"/>
      <w:sz w:val="24"/>
      <w:szCs w:val="21"/>
    </w:rPr>
  </w:style>
  <w:style w:type="paragraph" w:styleId="1224">
    <w:name w:val="正文须知-3级"/>
    <w:basedOn w:val="1014"/>
    <w:next w:val="1224"/>
    <w:link w:val="1014"/>
    <w:qFormat/>
    <w:pPr>
      <w:numPr>
        <w:ilvl w:val="2"/>
        <w:numId w:val="7"/>
      </w:numPr>
      <w:ind w:hanging="355"/>
      <w:spacing w:line="300" w:lineRule="auto"/>
    </w:pPr>
    <w:rPr>
      <w:rFonts w:ascii="宋体" w:hAnsi="Calibri"/>
      <w:sz w:val="24"/>
      <w:szCs w:val="21"/>
    </w:rPr>
  </w:style>
  <w:style w:type="character" w:styleId="1225">
    <w:name w:val="纯文本 字符"/>
    <w:next w:val="1225"/>
    <w:link w:val="1014"/>
    <w:uiPriority w:val="99"/>
    <w:qFormat/>
    <w:rPr>
      <w:rFonts w:ascii="宋体" w:hAnsi="Courier New" w:eastAsia="宋体" w:cs="Times New Roman"/>
      <w:sz w:val="21"/>
      <w:szCs w:val="21"/>
      <w:lang w:val="en-US" w:eastAsia="zh-CN" w:bidi="ar-SA"/>
    </w:rPr>
  </w:style>
  <w:style w:type="paragraph" w:styleId="1226">
    <w:name w:val="表格1"/>
    <w:basedOn w:val="1014"/>
    <w:next w:val="1226"/>
    <w:link w:val="1014"/>
    <w:qFormat/>
    <w:pPr>
      <w:ind w:firstLine="480"/>
      <w:jc w:val="center"/>
    </w:pPr>
    <w:rPr>
      <w:sz w:val="24"/>
      <w:szCs w:val="20"/>
    </w:rPr>
  </w:style>
  <w:style w:type="character" w:styleId="1227">
    <w:name w:val="纯文本 字符1"/>
    <w:next w:val="1227"/>
    <w:link w:val="1014"/>
    <w:qFormat/>
    <w:rPr>
      <w:rFonts w:ascii="宋体" w:hAnsi="Courier New"/>
    </w:rPr>
  </w:style>
  <w:style w:type="character" w:styleId="1228">
    <w:name w:val="bjh-p"/>
    <w:next w:val="1228"/>
    <w:link w:val="1014"/>
    <w:qFormat/>
  </w:style>
  <w:style w:type="paragraph" w:styleId="1229">
    <w:name w:val="无标题条"/>
    <w:next w:val="1014"/>
    <w:link w:val="1014"/>
    <w:qFormat/>
    <w:pPr>
      <w:jc w:val="both"/>
    </w:pPr>
    <w:rPr>
      <w:sz w:val="21"/>
      <w:lang w:val="en-US" w:eastAsia="zh-CN" w:bidi="ar-SA"/>
    </w:rPr>
  </w:style>
  <w:style w:type="character" w:styleId="1230">
    <w:name w:val="正文格式 Char"/>
    <w:next w:val="1230"/>
    <w:link w:val="1231"/>
    <w:qFormat/>
    <w:rPr>
      <w:rFonts w:ascii="宋体" w:hAnsi="宋体"/>
      <w:sz w:val="24"/>
      <w:szCs w:val="24"/>
      <w:lang w:val="en-GB"/>
    </w:rPr>
  </w:style>
  <w:style w:type="paragraph" w:styleId="1231">
    <w:name w:val="正文格式"/>
    <w:basedOn w:val="1014"/>
    <w:next w:val="1231"/>
    <w:link w:val="1230"/>
    <w:qFormat/>
    <w:pPr>
      <w:ind w:firstLine="480"/>
      <w:spacing w:line="360" w:lineRule="auto"/>
    </w:pPr>
    <w:rPr>
      <w:rFonts w:ascii="宋体" w:hAnsi="宋体"/>
      <w:sz w:val="24"/>
      <w:lang w:val="en-GB"/>
    </w:rPr>
  </w:style>
  <w:style w:type="character" w:styleId="1232">
    <w:name w:val="标题 3 Char"/>
    <w:next w:val="1232"/>
    <w:link w:val="1014"/>
    <w:qFormat/>
    <w:rPr>
      <w:rFonts w:ascii="宋体" w:eastAsia="宋体"/>
      <w:b/>
      <w:sz w:val="24"/>
      <w:u w:val="single"/>
      <w:lang w:val="en-US" w:eastAsia="zh-CN" w:bidi="ar-SA"/>
    </w:rPr>
  </w:style>
  <w:style w:type="character" w:styleId="1233">
    <w:name w:val="正文缩进 Char"/>
    <w:next w:val="1233"/>
    <w:link w:val="1014"/>
    <w:qFormat/>
    <w:rPr>
      <w:rFonts w:ascii="宋体" w:eastAsia="宋体"/>
      <w:sz w:val="24"/>
      <w:szCs w:val="24"/>
      <w:lang w:val="en-US" w:eastAsia="zh-CN" w:bidi="ar-SA"/>
    </w:rPr>
  </w:style>
  <w:style w:type="character" w:styleId="1234">
    <w:name w:val="Char Char111"/>
    <w:next w:val="1234"/>
    <w:link w:val="1014"/>
    <w:qFormat/>
    <w:rPr>
      <w:rFonts w:ascii="宋体" w:eastAsia="宋体"/>
      <w:b/>
      <w:sz w:val="24"/>
      <w:u w:val="single"/>
      <w:lang w:val="en-US" w:eastAsia="zh-CN" w:bidi="ar-SA"/>
    </w:rPr>
  </w:style>
  <w:style w:type="character" w:styleId="1235">
    <w:name w:val="正文文本缩进 Char"/>
    <w:next w:val="1235"/>
    <w:link w:val="1014"/>
    <w:qFormat/>
    <w:rPr>
      <w:rFonts w:eastAsia="宋体"/>
      <w:sz w:val="24"/>
      <w:szCs w:val="24"/>
      <w:lang w:val="en-US" w:eastAsia="zh-CN" w:bidi="ar-SA"/>
    </w:rPr>
  </w:style>
  <w:style w:type="character" w:styleId="1236">
    <w:name w:val="列出段落 Char"/>
    <w:next w:val="1236"/>
    <w:link w:val="1014"/>
    <w:qFormat/>
    <w:rPr>
      <w:rFonts w:ascii="Calibri" w:hAnsi="Calibri" w:eastAsia="宋体"/>
      <w:sz w:val="21"/>
      <w:szCs w:val="22"/>
      <w:lang w:val="en-US" w:eastAsia="zh-CN" w:bidi="ar-SA"/>
    </w:rPr>
  </w:style>
  <w:style w:type="character" w:styleId="1237">
    <w:name w:val="页眉 Char"/>
    <w:next w:val="1237"/>
    <w:link w:val="1014"/>
    <w:qFormat/>
    <w:rPr>
      <w:rFonts w:eastAsia="宋体"/>
      <w:sz w:val="18"/>
      <w:szCs w:val="18"/>
      <w:lang w:val="en-US" w:eastAsia="zh-CN" w:bidi="ar-SA"/>
    </w:rPr>
  </w:style>
  <w:style w:type="character" w:styleId="1238">
    <w:name w:val="标题 2 Char"/>
    <w:next w:val="1238"/>
    <w:link w:val="1014"/>
    <w:qFormat/>
    <w:rPr>
      <w:rFonts w:ascii="Arial" w:hAnsi="Arial" w:eastAsia="黑体"/>
      <w:b/>
      <w:sz w:val="30"/>
      <w:lang w:val="en-US" w:eastAsia="zh-CN" w:bidi="ar-SA"/>
    </w:rPr>
  </w:style>
  <w:style w:type="paragraph" w:styleId="1239">
    <w:name w:val="字元 字元2"/>
    <w:basedOn w:val="1014"/>
    <w:next w:val="1239"/>
    <w:link w:val="1014"/>
    <w:qFormat/>
    <w:rPr>
      <w:rFonts w:ascii="Tahoma" w:hAnsi="Tahoma"/>
      <w:sz w:val="24"/>
      <w:szCs w:val="20"/>
    </w:rPr>
  </w:style>
  <w:style w:type="paragraph" w:styleId="1240">
    <w:name w:val="Char3 Char Char Char2"/>
    <w:basedOn w:val="1014"/>
    <w:next w:val="1240"/>
    <w:link w:val="1014"/>
    <w:qFormat/>
    <w:rPr>
      <w:rFonts w:ascii="Tahoma" w:hAnsi="Tahoma"/>
      <w:sz w:val="24"/>
      <w:szCs w:val="20"/>
    </w:rPr>
  </w:style>
  <w:style w:type="paragraph" w:styleId="1241">
    <w:name w:val="正文文本缩进2"/>
    <w:basedOn w:val="1014"/>
    <w:next w:val="1241"/>
    <w:link w:val="1014"/>
    <w:qFormat/>
    <w:pPr>
      <w:ind w:firstLine="480"/>
      <w:spacing w:line="480" w:lineRule="exact"/>
    </w:pPr>
    <w:rPr>
      <w:rFonts w:ascii="宋体" w:hAnsi="宋体"/>
      <w:sz w:val="24"/>
      <w:lang w:val="zh-CN" w:eastAsia="zh-CN"/>
    </w:rPr>
  </w:style>
  <w:style w:type="paragraph" w:styleId="1242">
    <w:name w:val="Char3"/>
    <w:basedOn w:val="1014"/>
    <w:next w:val="1242"/>
    <w:link w:val="1014"/>
    <w:qFormat/>
    <w:pPr>
      <w:tabs>
        <w:tab w:val="left" w:pos="360" w:leader="none"/>
      </w:tabs>
    </w:pPr>
    <w:rPr>
      <w:sz w:val="24"/>
    </w:rPr>
  </w:style>
  <w:style w:type="paragraph" w:styleId="1243">
    <w:name w:val="Char Char Char Char Char Char Char Char Char Char Char Char Char Char Char Char1"/>
    <w:basedOn w:val="1014"/>
    <w:next w:val="1243"/>
    <w:link w:val="1014"/>
    <w:qFormat/>
    <w:pPr>
      <w:jc w:val="center"/>
      <w:spacing w:after="160" w:line="240" w:lineRule="exact"/>
      <w:widowControl/>
    </w:pPr>
    <w:rPr>
      <w:rFonts w:ascii="宋体" w:hAnsi="宋体"/>
      <w:b/>
      <w:sz w:val="30"/>
      <w:szCs w:val="30"/>
      <w:lang w:eastAsia="en-US"/>
    </w:rPr>
  </w:style>
  <w:style w:type="paragraph" w:styleId="1244">
    <w:name w:val="Char Char1 Char Char Char Char Char Char1"/>
    <w:basedOn w:val="1014"/>
    <w:next w:val="1244"/>
    <w:link w:val="1014"/>
    <w:qFormat/>
    <w:pPr>
      <w:jc w:val="left"/>
      <w:spacing w:after="160" w:line="240" w:lineRule="exact"/>
      <w:widowControl/>
    </w:pPr>
    <w:rPr>
      <w:rFonts w:ascii="Verdana" w:hAnsi="Verdana" w:eastAsia="仿宋_GB2312"/>
      <w:sz w:val="24"/>
      <w:szCs w:val="20"/>
      <w:lang w:eastAsia="en-US"/>
    </w:rPr>
  </w:style>
  <w:style w:type="paragraph" w:styleId="1245">
    <w:name w:val="列出段落2"/>
    <w:basedOn w:val="1014"/>
    <w:next w:val="1245"/>
    <w:link w:val="1014"/>
    <w:qFormat/>
    <w:pPr>
      <w:ind w:firstLine="420"/>
    </w:pPr>
    <w:rPr>
      <w:rFonts w:ascii="Calibri" w:hAnsi="Calibri"/>
      <w:szCs w:val="22"/>
    </w:rPr>
  </w:style>
  <w:style w:type="paragraph" w:styleId="1246">
    <w:name w:val="Char Char Char1 Char2"/>
    <w:basedOn w:val="1014"/>
    <w:next w:val="1246"/>
    <w:link w:val="1014"/>
    <w:qFormat/>
    <w:rPr>
      <w:rFonts w:ascii="Tahoma" w:hAnsi="Tahoma"/>
      <w:sz w:val="24"/>
      <w:szCs w:val="20"/>
    </w:rPr>
  </w:style>
  <w:style w:type="paragraph" w:styleId="1247">
    <w:name w:val="Char Char Char2"/>
    <w:basedOn w:val="1014"/>
    <w:next w:val="1247"/>
    <w:link w:val="1014"/>
    <w:qFormat/>
    <w:rPr>
      <w:rFonts w:ascii="Tahoma" w:hAnsi="Tahoma"/>
      <w:sz w:val="24"/>
      <w:szCs w:val="20"/>
    </w:rPr>
  </w:style>
  <w:style w:type="paragraph" w:styleId="1248">
    <w:name w:val="Char Char Char Char Char Char Char2"/>
    <w:basedOn w:val="1014"/>
    <w:next w:val="1248"/>
    <w:link w:val="1014"/>
    <w:qFormat/>
    <w:pPr>
      <w:ind w:firstLine="200"/>
      <w:spacing w:line="360" w:lineRule="auto"/>
    </w:pPr>
    <w:rPr>
      <w:rFonts w:eastAsia="仿宋_GB2312"/>
      <w:sz w:val="24"/>
    </w:rPr>
  </w:style>
  <w:style w:type="paragraph" w:styleId="1249">
    <w:name w:val="正文缩进2"/>
    <w:basedOn w:val="1014"/>
    <w:next w:val="1249"/>
    <w:link w:val="1014"/>
    <w:qFormat/>
    <w:pPr>
      <w:ind w:firstLine="567"/>
      <w:spacing w:line="480" w:lineRule="exact"/>
      <w:widowControl/>
    </w:pPr>
    <w:rPr>
      <w:rFonts w:ascii="宋体"/>
      <w:color w:val="000000"/>
      <w:sz w:val="28"/>
      <w:szCs w:val="20"/>
      <w:lang w:val="zh-CN" w:eastAsia="zh-CN"/>
    </w:rPr>
  </w:style>
  <w:style w:type="paragraph" w:styleId="1250">
    <w:name w:val="Revision"/>
    <w:next w:val="1250"/>
    <w:link w:val="1014"/>
    <w:qFormat/>
    <w:rPr>
      <w:sz w:val="21"/>
      <w:szCs w:val="24"/>
      <w:lang w:val="en-US" w:eastAsia="zh-CN" w:bidi="ar-SA"/>
    </w:rPr>
  </w:style>
  <w:style w:type="paragraph" w:styleId="1251">
    <w:name w:val="Char22"/>
    <w:basedOn w:val="1014"/>
    <w:next w:val="1251"/>
    <w:link w:val="1014"/>
    <w:qFormat/>
    <w:rPr>
      <w:rFonts w:ascii="Tahoma" w:hAnsi="Tahoma"/>
      <w:sz w:val="24"/>
      <w:szCs w:val="20"/>
    </w:rPr>
  </w:style>
  <w:style w:type="paragraph" w:styleId="1252">
    <w:name w:val="Char Char Char Char Char Char Char Char Char Char2"/>
    <w:basedOn w:val="1014"/>
    <w:next w:val="1252"/>
    <w:link w:val="1014"/>
    <w:qFormat/>
    <w:rPr>
      <w:rFonts w:ascii="宋体" w:hAnsi="宋体" w:cs="Courier New"/>
      <w:sz w:val="32"/>
      <w:szCs w:val="32"/>
    </w:rPr>
  </w:style>
  <w:style w:type="paragraph" w:styleId="1253">
    <w:name w:val="Char2 Char Char Char Char Char Char1"/>
    <w:basedOn w:val="1014"/>
    <w:next w:val="1253"/>
    <w:link w:val="1014"/>
    <w:qFormat/>
    <w:pPr>
      <w:jc w:val="center"/>
      <w:spacing w:line="400" w:lineRule="exact"/>
      <w:widowControl/>
    </w:pPr>
  </w:style>
  <w:style w:type="character" w:styleId="1254">
    <w:name w:val="页脚 Char"/>
    <w:next w:val="1254"/>
    <w:link w:val="1014"/>
    <w:qFormat/>
    <w:rPr>
      <w:rFonts w:ascii="宋体" w:eastAsia="宋体"/>
      <w:sz w:val="18"/>
      <w:lang w:val="en-US" w:eastAsia="zh-CN" w:bidi="ar-SA"/>
    </w:rPr>
  </w:style>
  <w:style w:type="paragraph" w:styleId="1255">
    <w:name w:val="Char Char41"/>
    <w:basedOn w:val="1014"/>
    <w:next w:val="1255"/>
    <w:link w:val="1014"/>
    <w:qFormat/>
    <w:pPr>
      <w:jc w:val="center"/>
      <w:spacing w:line="400" w:lineRule="exact"/>
      <w:widowControl/>
    </w:pPr>
  </w:style>
  <w:style w:type="character" w:styleId="1256">
    <w:name w:val="批注文字 Char"/>
    <w:next w:val="1256"/>
    <w:link w:val="1014"/>
    <w:uiPriority w:val="99"/>
    <w:qFormat/>
    <w:rPr>
      <w:sz w:val="21"/>
      <w:szCs w:val="24"/>
    </w:rPr>
  </w:style>
  <w:style w:type="character" w:styleId="1257">
    <w:name w:val="标题 Char"/>
    <w:next w:val="1257"/>
    <w:link w:val="1014"/>
    <w:qFormat/>
    <w:rPr>
      <w:b/>
      <w:sz w:val="32"/>
    </w:rPr>
  </w:style>
  <w:style w:type="paragraph" w:styleId="1258">
    <w:name w:val="图例"/>
    <w:basedOn w:val="1014"/>
    <w:next w:val="1258"/>
    <w:link w:val="1014"/>
    <w:qFormat/>
    <w:pPr>
      <w:jc w:val="center"/>
      <w:spacing w:before="120" w:after="120" w:line="360" w:lineRule="auto"/>
    </w:pPr>
    <w:rPr>
      <w:rFonts w:eastAsia="仿宋_GB2312"/>
      <w:b/>
      <w:sz w:val="24"/>
      <w:szCs w:val="20"/>
    </w:rPr>
  </w:style>
  <w:style w:type="paragraph" w:styleId="1259">
    <w:name w:val="Table Paragraph"/>
    <w:basedOn w:val="1014"/>
    <w:next w:val="1259"/>
    <w:link w:val="1014"/>
    <w:uiPriority w:val="1"/>
    <w:qFormat/>
    <w:pPr>
      <w:jc w:val="left"/>
    </w:pPr>
    <w:rPr>
      <w:rFonts w:ascii="宋体" w:hAnsi="宋体" w:cs="宋体"/>
      <w:sz w:val="22"/>
      <w:szCs w:val="22"/>
      <w:lang w:eastAsia="en-US"/>
    </w:rPr>
  </w:style>
  <w:style w:type="table" w:styleId="1260">
    <w:name w:val="Table Normal"/>
    <w:next w:val="1260"/>
    <w:link w:val="1014"/>
    <w:uiPriority w:val="2"/>
    <w:semiHidden/>
    <w:qFormat/>
    <w:pPr>
      <w:widowControl w:val="off"/>
    </w:pPr>
    <w:rPr>
      <w:rFonts w:ascii="Calibri" w:hAnsi="Calibri"/>
      <w:sz w:val="22"/>
      <w:szCs w:val="22"/>
      <w:lang w:val="en-US" w:eastAsia="en-US" w:bidi="ar-SA"/>
    </w:rPr>
    <w:tblPr/>
  </w:style>
  <w:style w:type="paragraph" w:styleId="1261">
    <w:name w:val="成文日期"/>
    <w:basedOn w:val="1014"/>
    <w:next w:val="1261"/>
    <w:link w:val="1262"/>
    <w:qFormat/>
    <w:pPr>
      <w:ind w:right="400" w:firstLine="200"/>
      <w:jc w:val="right"/>
      <w:spacing w:line="570" w:lineRule="exact"/>
    </w:pPr>
    <w:rPr>
      <w:rFonts w:ascii="仿宋_GB2312" w:eastAsia="仿宋_GB2312"/>
      <w:sz w:val="32"/>
      <w:szCs w:val="20"/>
    </w:rPr>
  </w:style>
  <w:style w:type="character" w:styleId="1262">
    <w:name w:val="成文日期 Char"/>
    <w:next w:val="1262"/>
    <w:link w:val="1261"/>
    <w:rPr>
      <w:rFonts w:ascii="仿宋_GB2312" w:eastAsia="仿宋_GB2312"/>
      <w:sz w:val="32"/>
    </w:rPr>
  </w:style>
  <w:style w:type="paragraph" w:styleId="1263">
    <w:name w:val="纯文本1"/>
    <w:next w:val="1067"/>
    <w:link w:val="1014"/>
    <w:qFormat/>
    <w:pPr>
      <w:jc w:val="both"/>
      <w:widowControl w:val="off"/>
    </w:pPr>
    <w:rPr>
      <w:rFonts w:ascii="宋体" w:hAnsi="宋体"/>
      <w:sz w:val="26"/>
      <w:szCs w:val="24"/>
      <w:lang w:val="en-US" w:eastAsia="zh-CN" w:bidi="ar-SA"/>
    </w:rPr>
  </w:style>
  <w:style w:type="character" w:styleId="1264">
    <w:name w:val="标题 2 Char1"/>
    <w:next w:val="1264"/>
    <w:link w:val="1014"/>
    <w:qFormat/>
    <w:rPr>
      <w:rFonts w:ascii="Arial" w:hAnsi="Arial" w:eastAsia="黑体"/>
      <w:b/>
      <w:sz w:val="30"/>
      <w:lang w:val="en-US" w:eastAsia="zh-CN" w:bidi="ar-SA"/>
    </w:rPr>
  </w:style>
  <w:style w:type="character" w:styleId="1265">
    <w:name w:val="正文文本 Char"/>
    <w:next w:val="1265"/>
    <w:link w:val="1014"/>
    <w:qFormat/>
    <w:rPr>
      <w:rFonts w:ascii="宋体" w:hAnsi="宋体"/>
      <w:sz w:val="24"/>
      <w:szCs w:val="24"/>
    </w:rPr>
  </w:style>
  <w:style w:type="character" w:styleId="1266">
    <w:name w:val="正文文本缩进 Char2"/>
    <w:next w:val="1266"/>
    <w:link w:val="1014"/>
    <w:qFormat/>
    <w:rPr>
      <w:rFonts w:eastAsia="宋体"/>
      <w:sz w:val="24"/>
      <w:szCs w:val="24"/>
      <w:lang w:val="en-US" w:eastAsia="zh-CN" w:bidi="ar-SA"/>
    </w:rPr>
  </w:style>
  <w:style w:type="character" w:styleId="1267">
    <w:name w:val="纯文本 Char"/>
    <w:next w:val="1267"/>
    <w:link w:val="1014"/>
    <w:uiPriority w:val="99"/>
    <w:qFormat/>
    <w:rPr>
      <w:rFonts w:hint="eastAsia" w:ascii="宋体" w:hAnsi="Courier New" w:eastAsia="宋体" w:cs="宋体"/>
      <w:sz w:val="21"/>
    </w:rPr>
  </w:style>
  <w:style w:type="paragraph" w:styleId="1268">
    <w:name w:val="AONormal"/>
    <w:next w:val="1268"/>
    <w:link w:val="1014"/>
    <w:qFormat/>
    <w:pPr>
      <w:ind w:firstLine="440"/>
      <w:spacing w:line="400" w:lineRule="exact"/>
    </w:pPr>
    <w:rPr>
      <w:rFonts w:ascii="华文楷体" w:hAnsi="华文楷体" w:eastAsia="华文楷体" w:cs="华文楷体"/>
      <w:sz w:val="22"/>
      <w:szCs w:val="21"/>
      <w:lang w:val="en-US" w:eastAsia="zh-CN" w:bidi="ar-SA"/>
    </w:rPr>
  </w:style>
  <w:style w:type="character" w:styleId="1269" w:default="1">
    <w:name w:val="Default Paragraph Font"/>
    <w:uiPriority w:val="1"/>
    <w:semiHidden/>
    <w:unhideWhenUsed/>
  </w:style>
  <w:style w:type="numbering" w:styleId="1270" w:default="1">
    <w:name w:val="No List"/>
    <w:uiPriority w:val="99"/>
    <w:semiHidden/>
    <w:unhideWhenUsed/>
  </w:style>
  <w:style w:type="table" w:styleId="12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4</cp:revision>
  <dcterms:created xsi:type="dcterms:W3CDTF">2022-05-30T08:03:00Z</dcterms:created>
  <dcterms:modified xsi:type="dcterms:W3CDTF">2026-10-19T08:12:22Z</dcterms:modified>
</cp:coreProperties>
</file>