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jc w:val="center"/>
        <w:spacing w:line="85" w:lineRule="atLeast"/>
        <w:rPr>
          <w:rFonts w:ascii="宋体" w:hAnsi="宋体" w:eastAsia="宋体" w:cs="宋体"/>
          <w:b/>
          <w:sz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太仓市政府采购</w:t>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招 标 文 件</w:t>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right"/>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 </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项目编号：JSZC-320585-JZCG-G2026-0098</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项目名称：太仓市不动产登记系统改造项目（2026年）</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采购单位：太仓市不动产登记中心</w:t>
      </w:r>
      <w:bookmarkEnd w:id="0"/>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2026年</w:t>
      </w:r>
      <w:r>
        <w:rPr>
          <w:rFonts w:hint="eastAsia" w:ascii="宋体" w:hAnsi="宋体" w:eastAsia="宋体" w:cs="宋体"/>
          <w:sz w:val="44"/>
          <w:lang w:val="en-US" w:eastAsia="zh-CN"/>
        </w:rPr>
        <w:t xml:space="preserve">11</w:t>
      </w:r>
      <w:r>
        <w:rPr>
          <w:rFonts w:hint="eastAsia"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rPr>
          <w:rFonts w:ascii="宋体" w:hAnsi="宋体" w:eastAsia="宋体" w:cs="宋体"/>
          <w:b/>
          <w:sz w:val="44"/>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r/>
    </w:p>
    <w:tbl>
      <w:tblPr>
        <w:tblStyle w:val="65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685"/>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项目概况</w:t>
            </w:r>
            <w:r/>
          </w:p>
          <w:p>
            <w:pPr>
              <w:pStyle w:val="685"/>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太仓市不动产登记系统改造项目（2026年） JSZC-320585-JZCG-G2026-0098招标项目的潜在投标人应在“苏采云</w:t>
            </w:r>
            <w:r>
              <w:rPr>
                <w:rFonts w:hint="eastAsia" w:ascii="宋体" w:hAnsi="宋体" w:eastAsia="宋体" w:cs="宋体"/>
                <w:sz w:val="24"/>
                <w:szCs w:val="24"/>
                <w:shd w:val="clear" w:color="auto" w:fill="ffffff"/>
                <w:lang w:eastAsia="zh-CN"/>
              </w:rPr>
              <w:t xml:space="preserve">”系统（网址：http://jszfcg.jsczt.cn/）自行下载获取招标文件，并于</w:t>
            </w:r>
            <w:r>
              <w:rPr>
                <w:rFonts w:hint="eastAsia" w:ascii="宋体" w:hAnsi="宋体" w:eastAsia="宋体" w:cs="宋体"/>
                <w:sz w:val="24"/>
                <w:szCs w:val="24"/>
                <w:highlight w:val="none"/>
                <w:shd w:val="clear" w:color="auto" w:fill="ffffff"/>
                <w:lang w:eastAsia="zh-CN"/>
              </w:rPr>
              <w:t xml:space="preserve">2026-11-24 09:30 </w:t>
            </w:r>
            <w:r>
              <w:rPr>
                <w:rFonts w:hint="eastAsia" w:ascii="宋体" w:hAnsi="宋体" w:eastAsia="宋体" w:cs="宋体"/>
                <w:sz w:val="24"/>
                <w:szCs w:val="24"/>
                <w:shd w:val="clear" w:color="auto" w:fill="ffffff"/>
                <w:lang w:eastAsia="zh-CN"/>
              </w:rPr>
              <w:t xml:space="preserve">（北京时间）前递交投标文件。</w:t>
            </w:r>
            <w:r/>
          </w:p>
        </w:tc>
      </w:tr>
    </w:tbl>
    <w:p>
      <w:pPr>
        <w:pStyle w:val="646"/>
        <w:keepLines w:val="0"/>
        <w:keepNext w:val="0"/>
        <w:spacing w:before="0" w:after="0" w:line="48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一、项目基本情况</w:t>
      </w:r>
      <w:r/>
    </w:p>
    <w:p>
      <w:pPr>
        <w:pStyle w:val="685"/>
        <w:ind w:firstLine="480"/>
        <w:spacing w:after="0" w:line="480" w:lineRule="exact"/>
        <w:rPr>
          <w:rFonts w:ascii="宋体" w:hAnsi="宋体" w:eastAsia="宋体" w:cs="宋体"/>
          <w:sz w:val="24"/>
          <w:szCs w:val="24"/>
          <w:lang w:eastAsia="zh-CN"/>
        </w:rPr>
      </w:pPr>
      <w:r/>
      <w:bookmarkStart w:id="1" w:name="OLE_LINK14"/>
      <w:r>
        <w:rPr>
          <w:rFonts w:hint="eastAsia" w:ascii="宋体" w:hAnsi="宋体" w:eastAsia="宋体" w:cs="宋体"/>
          <w:sz w:val="24"/>
          <w:szCs w:val="24"/>
          <w:shd w:val="clear" w:color="auto" w:fill="ffffff"/>
          <w:lang w:eastAsia="zh-CN"/>
        </w:rPr>
        <w:t xml:space="preserve">项目编号：JSZC-320585-JZCG-G2026-0098</w:t>
      </w:r>
      <w:bookmarkEnd w:id="1"/>
      <w:r/>
    </w:p>
    <w:p>
      <w:pPr>
        <w:pStyle w:val="685"/>
        <w:ind w:firstLine="4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项目名称：标段一：2026年太仓市不动产登记系统改造项目</w:t>
      </w:r>
      <w:r/>
    </w:p>
    <w:p>
      <w:pPr>
        <w:pStyle w:val="685"/>
        <w:ind w:firstLine="16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标段二：2026年太仓市“互联网+不动产登记”综合服务平台改造项目</w:t>
      </w:r>
      <w:r/>
    </w:p>
    <w:p>
      <w:pPr>
        <w:pStyle w:val="685"/>
        <w:ind w:firstLine="4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w:t>
      </w:r>
      <w:bookmarkStart w:id="2" w:name="OLE_LINK18"/>
      <w:r/>
      <w:r/>
    </w:p>
    <w:p>
      <w:pPr>
        <w:pStyle w:val="685"/>
        <w:ind w:firstLine="16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第一标段：50万元；</w:t>
      </w:r>
      <w:r/>
    </w:p>
    <w:p>
      <w:pPr>
        <w:pStyle w:val="685"/>
        <w:ind w:firstLine="16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第二标段：40万元；</w:t>
      </w:r>
      <w:bookmarkEnd w:id="2"/>
      <w:r/>
      <w:r/>
    </w:p>
    <w:p>
      <w:pPr>
        <w:pStyle w:val="685"/>
        <w:ind w:firstLine="4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最高限价：无；</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w:t>
      </w:r>
      <w:r/>
    </w:p>
    <w:p>
      <w:pPr>
        <w:pStyle w:val="685"/>
        <w:ind w:firstLine="480"/>
        <w:spacing w:after="0" w:line="560" w:lineRule="exact"/>
        <w:rPr>
          <w:rFonts w:ascii="宋体" w:hAnsi="宋体" w:eastAsia="宋体" w:cs="宋体"/>
          <w:sz w:val="24"/>
          <w:szCs w:val="24"/>
          <w:shd w:val="clear" w:color="auto" w:fill="ffffff"/>
          <w:lang w:eastAsia="zh-CN"/>
        </w:rPr>
      </w:pPr>
      <w:r/>
      <w:bookmarkStart w:id="3" w:name="OLE_LINK58"/>
      <w:r>
        <w:rPr>
          <w:rFonts w:hint="eastAsia" w:ascii="宋体" w:hAnsi="宋体" w:eastAsia="宋体" w:cs="宋体"/>
          <w:sz w:val="24"/>
          <w:szCs w:val="24"/>
          <w:shd w:val="clear" w:color="auto" w:fill="ffffff"/>
          <w:lang w:eastAsia="zh-CN"/>
        </w:rPr>
        <w:t xml:space="preserve">1、本项目为太仓市不动产登记系统改造项目（2026年）</w:t>
      </w:r>
      <w:r>
        <w:rPr>
          <w:rFonts w:hint="eastAsia" w:eastAsia="宋体"/>
          <w:sz w:val="24"/>
          <w:szCs w:val="24"/>
          <w:lang w:eastAsia="zh-CN"/>
        </w:rPr>
        <w:t xml:space="preserve">，</w:t>
      </w:r>
      <w:r>
        <w:rPr>
          <w:rFonts w:hint="eastAsia" w:eastAsia="宋体"/>
          <w:sz w:val="24"/>
          <w:szCs w:val="24"/>
          <w:lang w:val="en-US" w:eastAsia="zh-CN"/>
        </w:rPr>
        <w:t xml:space="preserve">本项目分为两个标段，标段一为</w:t>
      </w:r>
      <w:r>
        <w:rPr>
          <w:rFonts w:hint="eastAsia" w:ascii="宋体" w:hAnsi="宋体" w:eastAsia="宋体" w:cs="宋体"/>
          <w:sz w:val="24"/>
          <w:szCs w:val="24"/>
          <w:shd w:val="clear" w:color="auto" w:fill="ffffff"/>
          <w:lang w:eastAsia="zh-CN"/>
        </w:rPr>
        <w:t xml:space="preserve">2026年太仓市不动产登记系统改造项目，</w:t>
      </w:r>
      <w:r>
        <w:rPr>
          <w:rFonts w:hint="eastAsia" w:ascii="宋体" w:hAnsi="宋体" w:eastAsia="宋体" w:cs="宋体"/>
          <w:sz w:val="24"/>
          <w:szCs w:val="24"/>
          <w:shd w:val="clear" w:color="auto" w:fill="ffffff"/>
          <w:lang w:val="en-US" w:eastAsia="zh-CN"/>
        </w:rPr>
        <w:t xml:space="preserve">标段二</w:t>
      </w:r>
      <w:r>
        <w:rPr>
          <w:rFonts w:hint="eastAsia" w:eastAsia="宋体"/>
          <w:sz w:val="24"/>
          <w:szCs w:val="24"/>
          <w:lang w:val="en-US" w:eastAsia="zh-CN"/>
        </w:rPr>
        <w:t xml:space="preserve">为</w:t>
      </w:r>
      <w:r>
        <w:rPr>
          <w:rFonts w:hint="eastAsia" w:ascii="宋体" w:hAnsi="宋体" w:eastAsia="宋体" w:cs="宋体"/>
          <w:sz w:val="24"/>
          <w:szCs w:val="24"/>
          <w:shd w:val="clear" w:color="auto" w:fill="ffffff"/>
          <w:lang w:eastAsia="zh-CN"/>
        </w:rPr>
        <w:t xml:space="preserve">2026年太仓市“互联网+不动产登记”综合服务平台改造项目，具体内容详见第三部分项目需求。</w:t>
      </w:r>
      <w:bookmarkEnd w:id="3"/>
      <w:r/>
    </w:p>
    <w:p>
      <w:pPr>
        <w:pStyle w:val="685"/>
        <w:ind w:firstLine="4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2、投标人可以投其中一个标段，也可以同时投所有标段，开标顺序按标段号一、二顺序确定。一个投标人最多只能就其中一个标段中标，每个标段中标单位为一名。按先开先中的原则，确定投标人的中标标段。</w:t>
      </w:r>
      <w:r/>
    </w:p>
    <w:p>
      <w:pPr>
        <w:pStyle w:val="685"/>
        <w:ind w:firstLine="480"/>
        <w:spacing w:after="0" w:line="56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r/>
    </w:p>
    <w:p>
      <w:pPr>
        <w:pStyle w:val="685"/>
        <w:ind w:firstLine="480"/>
        <w:spacing w:after="0" w:line="500" w:lineRule="exact"/>
        <w:shd w:val="clear" w:color="auto" w:fill="ffff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合同履行期限：合同签订后12个月内完成全部建设内容并交付验收，其中系统试运行不少于1个月。</w:t>
      </w:r>
      <w:r/>
    </w:p>
    <w:p>
      <w:pPr>
        <w:pStyle w:val="685"/>
        <w:ind w:firstLine="480"/>
        <w:spacing w:after="0" w:line="500" w:lineRule="exact"/>
        <w:shd w:val="clear" w:color="auto" w:fill="ffff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646"/>
        <w:ind w:firstLine="562"/>
        <w:keepLines w:val="0"/>
        <w:keepNext w:val="0"/>
        <w:spacing w:before="0" w:after="0" w:line="48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二、申请人的资格要求</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685"/>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6.未被“信用中国”网站（www.creditchina.gov.cn）列入失信被执行人、重大税收违法案</w:t>
      </w:r>
      <w:r>
        <w:rPr>
          <w:rFonts w:hint="eastAsia" w:ascii="宋体" w:hAnsi="宋体" w:eastAsia="宋体" w:cs="宋体"/>
          <w:sz w:val="24"/>
          <w:szCs w:val="24"/>
          <w:shd w:val="clear" w:color="auto" w:fill="ffffff"/>
          <w:lang w:eastAsia="zh-CN"/>
        </w:rPr>
        <w:t xml:space="preserve">件当事人名单、政府采购严重失信行为记录名单。</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p>
    <w:p>
      <w:pPr>
        <w:pStyle w:val="685"/>
        <w:ind w:firstLine="482"/>
        <w:spacing w:after="0" w:line="48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lang w:eastAsia="zh-CN"/>
        </w:rPr>
        <w:t xml:space="preserve">标段一：</w:t>
      </w:r>
      <w:r>
        <w:rPr>
          <w:rFonts w:hint="eastAsia" w:ascii="宋体" w:hAnsi="宋体" w:eastAsia="宋体" w:cs="宋体"/>
          <w:b/>
          <w:bCs/>
          <w:sz w:val="24"/>
          <w:szCs w:val="24"/>
          <w:shd w:val="clear" w:color="auto" w:fill="ffffff"/>
          <w:lang w:eastAsia="zh-CN"/>
        </w:rPr>
        <w:t xml:space="preserve">非专门面向中小企业采购</w:t>
      </w:r>
      <w:r>
        <w:rPr>
          <w:b/>
          <w:bCs/>
        </w:rPr>
      </w:r>
    </w:p>
    <w:p>
      <w:pPr>
        <w:pStyle w:val="685"/>
        <w:ind w:firstLine="482"/>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标段二：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3、法人的分支机构不得参加响应活动（除银行、保险、石油石化、电力、电信等行业特殊情况外）。</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46"/>
        <w:ind w:firstLine="562"/>
        <w:keepLines w:val="0"/>
        <w:keepNext w:val="0"/>
        <w:spacing w:before="0" w:after="0" w:line="48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三、获取招标文件</w:t>
      </w:r>
      <w:r/>
    </w:p>
    <w:p>
      <w:pPr>
        <w:pStyle w:val="685"/>
        <w:ind w:firstLine="480"/>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时间：自招标文件公告发布之日起5个工作日</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646"/>
        <w:ind w:firstLine="562"/>
        <w:keepLines w:val="0"/>
        <w:keepNext w:val="0"/>
        <w:spacing w:before="0" w:after="0" w:line="48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四、提交投标文件截止时间、开标时间和地点</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highlight w:val="none"/>
          <w:shd w:val="clear" w:color="auto" w:fill="ffffff"/>
          <w:lang w:eastAsia="zh-CN"/>
        </w:rPr>
        <w:t xml:space="preserve">2026-11-24 09:30 （</w:t>
      </w:r>
      <w:r>
        <w:rPr>
          <w:rFonts w:hint="eastAsia" w:ascii="宋体" w:hAnsi="宋体" w:eastAsia="宋体" w:cs="宋体"/>
          <w:sz w:val="24"/>
          <w:szCs w:val="24"/>
          <w:shd w:val="clear" w:color="auto" w:fill="ffffff"/>
          <w:lang w:eastAsia="zh-CN"/>
        </w:rPr>
        <w:t xml:space="preserve">北京时间）</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 </w:t>
      </w:r>
      <w:r/>
    </w:p>
    <w:p>
      <w:pPr>
        <w:pStyle w:val="646"/>
        <w:ind w:firstLine="562"/>
        <w:keepLines w:val="0"/>
        <w:keepNext w:val="0"/>
        <w:spacing w:before="0" w:after="0" w:line="480" w:lineRule="exact"/>
        <w:shd w:val="clear" w:color="auto" w:fill="ffffff"/>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五、公告期限</w:t>
      </w:r>
      <w:r/>
    </w:p>
    <w:p>
      <w:pPr>
        <w:pStyle w:val="685"/>
        <w:ind w:firstLine="480"/>
        <w:spacing w:after="0" w:line="480" w:lineRule="exact"/>
        <w:shd w:val="clear" w:color="auto" w:fill="ffffff"/>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646"/>
        <w:keepLines w:val="0"/>
        <w:keepNext w:val="0"/>
        <w:spacing w:before="0" w:after="0" w:line="44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六、其他补充事宜</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1、本项目需要使用CA数字证书制作、上传电子投标文件完成电子投标，请供应商在参加投标活动前办理好CA数字证书申领及电子签章等操作。</w:t>
      </w:r>
      <w:r/>
    </w:p>
    <w:p>
      <w:pPr>
        <w:ind w:firstLine="482"/>
        <w:spacing w:after="0" w:line="500" w:lineRule="atLeast"/>
        <w:rPr>
          <w:rFonts w:ascii="宋体" w:hAnsi="宋体" w:eastAsia="宋体" w:cs="宋体"/>
          <w:b/>
          <w:sz w:val="24"/>
          <w:szCs w:val="24"/>
          <w:lang w:eastAsia="zh-CN"/>
        </w:rPr>
      </w:pPr>
      <w:r>
        <w:rPr>
          <w:rFonts w:hint="eastAsia" w:ascii="宋体" w:hAnsi="宋体" w:eastAsia="宋体" w:cs="宋体"/>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after="0" w:line="500" w:lineRule="atLeast"/>
        <w:rPr>
          <w:rFonts w:ascii="宋体" w:hAnsi="宋体" w:eastAsia="宋体" w:cs="宋体"/>
          <w:sz w:val="24"/>
          <w:szCs w:val="24"/>
          <w:lang w:eastAsia="zh-CN"/>
        </w:rPr>
      </w:pPr>
      <w:r>
        <w:rPr>
          <w:rFonts w:hint="eastAsia" w:ascii="宋体" w:hAnsi="宋体" w:eastAsia="宋体" w:cs="宋体"/>
          <w:b/>
          <w:sz w:val="24"/>
          <w:szCs w:val="24"/>
          <w:lang w:eastAsia="zh-CN"/>
        </w:rPr>
        <w:t xml:space="preserve">3、本项目采用不见面开标，投标人开标时无需到开标现场进行解密，采取网上开标大厅解密电子投标文件，投标人远程解密要求如下：</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2）投标人登录苏采云系统，点击开标大厅，选择开标项目，完成不见面开标流程。</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3）投标截止时间后根据系统提示解密电子投标文件。</w:t>
      </w:r>
      <w:r>
        <w:rPr>
          <w:rFonts w:hint="eastAsia" w:ascii="宋体" w:hAnsi="宋体" w:eastAsia="宋体" w:cs="宋体"/>
          <w:b/>
          <w:sz w:val="24"/>
          <w:szCs w:val="24"/>
          <w:lang w:eastAsia="zh-CN"/>
        </w:rPr>
        <w:t xml:space="preserve">解密时间为15分钟，</w:t>
      </w:r>
      <w:r>
        <w:rPr>
          <w:rFonts w:hint="eastAsia" w:ascii="宋体" w:hAnsi="宋体" w:eastAsia="宋体" w:cs="宋体"/>
          <w:sz w:val="24"/>
          <w:szCs w:val="24"/>
          <w:lang w:eastAsia="zh-CN"/>
        </w:rPr>
        <w:t xml:space="preserve">未在规定时间内完成解密，其投标文件将被拒绝，不参与后续投标流程。</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b/>
          <w:sz w:val="24"/>
          <w:szCs w:val="24"/>
          <w:lang w:eastAsia="zh-CN"/>
        </w:rPr>
        <w:t xml:space="preserve">有关苏采云系统驱动安装，</w:t>
      </w:r>
      <w:r>
        <w:rPr>
          <w:rFonts w:hint="eastAsia" w:ascii="宋体" w:hAnsi="宋体" w:eastAsia="宋体" w:cs="宋体"/>
          <w:sz w:val="24"/>
          <w:szCs w:val="24"/>
          <w:lang w:eastAsia="zh-CN"/>
        </w:rPr>
        <w:t xml:space="preserve">登录苏州政府采购网，点击页面底部苏采云图标，进入苏采云政府采购一体化平台，点击“驱动下载”，下载</w:t>
      </w:r>
      <w:r>
        <w:rPr>
          <w:rFonts w:hint="eastAsia" w:ascii="宋体" w:hAnsi="宋体" w:eastAsia="宋体" w:cs="宋体"/>
          <w:b/>
          <w:sz w:val="24"/>
          <w:szCs w:val="24"/>
          <w:lang w:eastAsia="zh-CN"/>
        </w:rPr>
        <w:t xml:space="preserve">“政务CA、方正签章控件驱动安装包及安装说明”</w:t>
      </w:r>
      <w:r>
        <w:rPr>
          <w:rFonts w:hint="eastAsia" w:ascii="宋体" w:hAnsi="宋体" w:eastAsia="宋体" w:cs="宋体"/>
          <w:sz w:val="24"/>
          <w:szCs w:val="24"/>
          <w:lang w:eastAsia="zh-CN"/>
        </w:rPr>
        <w:t xml:space="preserve">文件，按要求安装驱动。</w:t>
      </w:r>
      <w:r/>
    </w:p>
    <w:p>
      <w:pPr>
        <w:ind w:firstLine="480"/>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b/>
          <w:sz w:val="24"/>
          <w:szCs w:val="24"/>
          <w:lang w:eastAsia="zh-CN"/>
        </w:rPr>
        <w:t xml:space="preserve">有关供应商注册、报名、下载电子招标文件、制作上传电子投标文件</w:t>
      </w:r>
      <w:r>
        <w:rPr>
          <w:rFonts w:hint="eastAsia" w:ascii="宋体" w:hAnsi="宋体" w:eastAsia="宋体" w:cs="宋体"/>
          <w:sz w:val="24"/>
          <w:szCs w:val="24"/>
          <w:lang w:eastAsia="zh-CN"/>
        </w:rPr>
        <w:t xml:space="preserve">、不见面开标及其他注意事项登录苏州政府采购网，在“下载中心”栏目下载“</w:t>
      </w:r>
      <w:r>
        <w:rPr>
          <w:rFonts w:hint="eastAsia" w:ascii="宋体" w:hAnsi="宋体" w:eastAsia="宋体" w:cs="宋体"/>
          <w:b/>
          <w:sz w:val="24"/>
          <w:szCs w:val="24"/>
          <w:lang w:eastAsia="zh-CN"/>
        </w:rPr>
        <w:t xml:space="preserve">苏采云系统供应商操作</w:t>
      </w:r>
      <w:r>
        <w:rPr>
          <w:rFonts w:hint="eastAsia" w:ascii="宋体" w:hAnsi="宋体" w:eastAsia="宋体" w:cs="宋体"/>
          <w:b/>
          <w:bCs/>
          <w:sz w:val="24"/>
          <w:szCs w:val="24"/>
          <w:lang w:eastAsia="zh-CN"/>
        </w:rPr>
        <w:t xml:space="preserve">手册</w:t>
      </w:r>
      <w:r>
        <w:rPr>
          <w:rFonts w:hint="eastAsia" w:ascii="宋体" w:hAnsi="宋体" w:eastAsia="宋体" w:cs="宋体"/>
          <w:sz w:val="24"/>
          <w:szCs w:val="24"/>
          <w:lang w:eastAsia="zh-CN"/>
        </w:rPr>
        <w:t xml:space="preserve">”查阅。</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7、有关电子投标制作技术疑问，请咨询苏采云软件公司客服：13914088964、18261002950、0519-86722802</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8、政府采购监督电话：0512-53512539</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9、本次招标投标保证金：本项目无须缴纳投标保证金。</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10、政府采购信用融资政策：中标供应商可凭政府采购合同办理融资贷款，详情请见江苏政府采购网“政采贷”专栏。</w:t>
      </w:r>
      <w:r/>
    </w:p>
    <w:p>
      <w:pPr>
        <w:pStyle w:val="685"/>
        <w:ind w:firstLine="480"/>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646"/>
        <w:keepLines w:val="0"/>
        <w:keepNext w:val="0"/>
        <w:spacing w:before="0" w:after="0" w:line="480" w:lineRule="exact"/>
        <w:rPr>
          <w:rFonts w:ascii="宋体" w:hAnsi="宋体" w:eastAsia="宋体" w:cs="宋体"/>
          <w:lang w:eastAsia="zh-CN"/>
        </w:rPr>
      </w:pPr>
      <w:r>
        <w:rPr>
          <w:rStyle w:val="691"/>
          <w:rFonts w:hint="eastAsia" w:ascii="宋体" w:hAnsi="宋体" w:eastAsia="宋体" w:cs="宋体"/>
          <w:sz w:val="28"/>
          <w:szCs w:val="28"/>
          <w:shd w:val="clear" w:color="auto" w:fill="ffffff"/>
          <w:lang w:eastAsia="zh-CN"/>
        </w:rPr>
        <w:t xml:space="preserve">七、对本次招标提出询问，请按以下方式联系</w:t>
      </w:r>
      <w:r/>
    </w:p>
    <w:p>
      <w:pPr>
        <w:pStyle w:val="685"/>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685"/>
        <w:ind w:firstLine="480"/>
        <w:spacing w:after="0" w:line="50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单位名称：太仓市不动产登记中心</w:t>
      </w:r>
      <w:r/>
    </w:p>
    <w:p>
      <w:pPr>
        <w:pStyle w:val="685"/>
        <w:ind w:firstLine="480"/>
        <w:spacing w:after="0" w:line="50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单位地址：太仓市县府东街99号3号楼</w:t>
      </w:r>
      <w:r/>
    </w:p>
    <w:p>
      <w:pPr>
        <w:pStyle w:val="685"/>
        <w:ind w:firstLine="480"/>
        <w:spacing w:after="0" w:line="50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 徐琴</w:t>
      </w:r>
      <w:r/>
    </w:p>
    <w:p>
      <w:pPr>
        <w:pStyle w:val="685"/>
        <w:ind w:firstLine="480"/>
        <w:spacing w:after="0" w:line="50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 ：53890693 </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2.采购代理机构信息（如有）</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单位名称：苏州市公共资源交易中心太仓分中心</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单位地址：太仓市陆渡街道万金北路88号3栋</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联系人：张倩</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联系电话：0512-53890581</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项目联系人：张倩</w:t>
      </w:r>
      <w:r/>
    </w:p>
    <w:p>
      <w:pPr>
        <w:pStyle w:val="685"/>
        <w:ind w:firstLine="480"/>
        <w:spacing w:after="0" w:line="50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电话：0512-53890581</w:t>
      </w:r>
      <w:r/>
    </w:p>
    <w:p>
      <w:pPr>
        <w:pStyle w:val="685"/>
        <w:spacing w:after="0" w:line="480" w:lineRule="exact"/>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after="0" w:line="312"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lang w:eastAsia="zh-CN"/>
        </w:rPr>
        <w:t xml:space="preserve">第二部分  投标人须知</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一、说明和释义</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 说明</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1.1本招标文件仅适用于苏州市公共资源交易中心太仓分中心组织的招标活动。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1.2本次招标活动及因本次招标产生的合同受中国法律制约和保护。</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1.3本招标文件的解释权属于苏州市公共资源交易中心太仓分中心。</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 词语释义</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2.2投标人：经认定有资格响应招标，参加投标竞争的法人或其他组织和自然人。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2.9知识产权：指专利权、商标权、著作权等无形财产专有权的统称。</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2.10天：日历日。</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2.11交货地点：合同中明确约定的乙方提交的货物和服务最终到达地点。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2.12 合同价款：根据合同规定，乙方在正确地履行合同义务后甲方应支付乙方的价款。</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2.13 产地：货物开采、生长、生产、最终制造、加工或提供服务的来源地。</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2.14不可抗力：不能预见、不能避免并且不能克服的客观情况。</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2.17进口产品：指通过中国海关报关验收进入中国境内且产自境外的产品。</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2.18书面形式：指书面文字、合同书、信件和传真等可以有形地表现所载内容的形式。</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二、 投标人</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 合格投标人的基本条件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3.1符合《中华人民共和国政府采购法》第二十二条第一款之规定；</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3.2满足本文件实质性条款的规定。</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4．合格投标人的特定条件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4.1 按招标公告规定。</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5. 投标人代表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6. 联合投标</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6.1按招标公告规定。</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7. 投标费用 </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7.2 本次招标项目不收取标书费及中标服务费，请投标人在投标时充分考虑这一因素。</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三、招标文件说明</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8. 招标文件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9. 招标文件的澄清</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9.2如有必要，问题答复将以“变更公告”形式由采购代理机构按照本须知第10条的规定发出。</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10.招标文件的修改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11.质疑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11.3上述应知其权益受到损害之日是指：</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11.3.1对采购文件提出质疑的，为获取采购文件或者采购文件公告期限届满之日起计算；</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11.3.2对采购过程提出质疑的，自采购程序环节结束之日起计算；</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11.3.3对中标结果提出质疑的，自中标结果公告期限届满之日起计算。</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 供应商提出质疑应当提交质疑函和必要的证明材料。质疑函应当包括下列内容：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11.4.1 供应商的姓名或者名称、地址、邮编、联系人及联系电话；</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11.4.2 质疑项目的名称、编号；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11.4.3 具体、明确的质疑事项和与质疑事项相关的请求；</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11.4.4 事实依据；</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11.4.5 必要的法律依据；</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11.4.6 提出质疑的日期。</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11.6 提交质疑函同时应当附如下证明材料：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11.6.1对采购文件提出质疑的供应商提供参加本项目的“交易文件下载确认单”；</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11.6.2质疑供应商的营业执照复印件加盖单位公章；</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11.6.3质疑供应商法定代表人身份证复印件加盖单位公章；</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11.10接受质疑函联系方式见采购公告联系事项。</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四、 投标文件说明</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12、提示与要求</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12.2无论是否递交投标文件，投标人都应将招标文件及以后的所有通知、文件等视为保密文件。</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13. 投标文件计量单位和使用文字</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14. 知识产权</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 投标文件的组成</w:t>
      </w:r>
      <w:r/>
    </w:p>
    <w:p>
      <w:pPr>
        <w:ind w:firstLine="1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15.1报价部分（详见投标文件格式）：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15.1.1封面</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15.1.2《开标一览表》(统一格式)；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15.1.3公开分项报价表；</w:t>
      </w:r>
      <w:r/>
    </w:p>
    <w:p>
      <w:pPr>
        <w:ind w:firstLine="1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15.2 投标正文部分（包含资质证明和技术部分）</w:t>
      </w:r>
      <w:r/>
    </w:p>
    <w:p>
      <w:pPr>
        <w:ind w:firstLine="361"/>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15.2.1资质证明文件部分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15.2.1.1关于资格文件的声明函（详见投标文件格式）；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15.2.1.2投标承诺函（详见投标文件格式）；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15.2.1.3投标人基本情况表（详见投标文件格式）；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15.2.1.4投标人法定代表人身份证复印件；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15.2.1.5投标人法定代表人授权委托书原件（如有授权）（详见投标文件格式）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15.2.1.6投标人授权代理人身份证复印件（如有授权）</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15.2.1.7投标单位营业执照副本或三证合一营业执照复印件；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15.2.1.8投标人参加本次政府采购活动前的财务状况报告或者银行出具的资信证明；</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15.2.1.9投标人根据项目需求提供履行合同所必需的设备和专业技术能力的证明材料；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15.2.1.13中小企业声明函</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15.2.1.14残疾人福利性单位声明函（如有）；</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15.2.1.15监狱企业证明文件（如有）</w:t>
      </w:r>
      <w:r/>
    </w:p>
    <w:p>
      <w:pPr>
        <w:ind w:firstLine="361"/>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15.2.2技术部分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15.2.2.1服务要求偏离表（详见投标文件格式）；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15.2.2.2商务要求偏离表（详见投标文件格式）；</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15.2.2.3项目的技术及服务方案；</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15.2.2.4项目实施方案和进度方案；</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15.2.2.5质量保证措施和承诺；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15.2.2.6售后服务内容；</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15.2.2.7企业类似业绩一览表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15.2.2.8投入本项目技术（服务）人员一览表及相关证明材料；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15.2.2.9其他投标人认为需要提供的材料；</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15.3投标文件由15.1、15.2款规定的内容共同组成。</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16. 投标文件编制要求   </w:t>
      </w:r>
      <w:r/>
    </w:p>
    <w:p>
      <w:pPr>
        <w:ind w:firstLine="424"/>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16.1</w:t>
      </w:r>
      <w:r>
        <w:rPr>
          <w:rFonts w:hint="eastAsia" w:ascii="宋体" w:hAnsi="宋体" w:eastAsia="宋体" w:cs="宋体"/>
          <w:b/>
          <w:sz w:val="24"/>
          <w:lang w:eastAsia="zh-CN"/>
        </w:rPr>
        <w:t xml:space="preserve">电子投标文件编制要求：</w:t>
      </w:r>
      <w:r>
        <w:rPr>
          <w:rFonts w:hint="eastAsia" w:ascii="宋体" w:hAnsi="宋体" w:eastAsia="宋体" w:cs="宋体"/>
          <w:sz w:val="24"/>
          <w:lang w:eastAsia="zh-CN"/>
        </w:rPr>
        <w:t xml:space="preserve">投标人应使用</w:t>
      </w:r>
      <w:r>
        <w:rPr>
          <w:rFonts w:hint="eastAsia" w:ascii="宋体" w:hAnsi="宋体" w:eastAsia="宋体" w:cs="宋体"/>
          <w:b/>
          <w:sz w:val="24"/>
          <w:lang w:eastAsia="zh-CN"/>
        </w:rPr>
        <w:t xml:space="preserve">招标文件要求的投标文件制作软件制作电子投标文件</w:t>
      </w:r>
      <w:r>
        <w:rPr>
          <w:rFonts w:hint="eastAsia" w:ascii="宋体" w:hAnsi="宋体" w:eastAsia="宋体" w:cs="宋体"/>
          <w:sz w:val="24"/>
          <w:lang w:eastAsia="zh-CN"/>
        </w:rPr>
        <w:t xml:space="preserve">，电子投标文件按招标文件规定的格式制作，如果未按要求制作上传，可能导致投标无效。</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17. 投标报价（编制）要求的说明</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17.3 一项投标内容只允许一个报价，采购代理机构不接受任何有选择性的投标报价。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17.4投标文件报价中的单价和总价全部采用人民币表示，除非合同的特殊条款另有规定。</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17.5最低的投标报价或最高的折扣比例是中标的重要条件，但不是中标的唯一条件。</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18. 投标保证金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本项目无须缴纳投标保证金</w:t>
      </w:r>
      <w:r>
        <w:rPr>
          <w:rFonts w:hint="eastAsia" w:ascii="宋体" w:hAnsi="宋体" w:eastAsia="宋体" w:cs="宋体"/>
          <w:b/>
          <w:sz w:val="24"/>
          <w:lang w:eastAsia="zh-CN"/>
        </w:rPr>
        <w:t xml:space="preserve">。</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19. 投标文件的有效期</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19.1在本招标文件规定的开标之日起九十（90）天内，投标人所提交的投标文件应保持有效。</w:t>
      </w:r>
      <w:r>
        <w:rPr>
          <w:rFonts w:hint="eastAsia" w:ascii="宋体" w:hAnsi="宋体" w:eastAsia="宋体" w:cs="宋体"/>
          <w:b/>
          <w:sz w:val="24"/>
          <w:lang w:eastAsia="zh-CN"/>
        </w:rPr>
        <w:t xml:space="preserve">有效期短于这个规定期限的投标文件，将被认定为未实质性响应招标文件要求。</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五、 投标文件的提交、撤回和修改</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20. 投标文件的上传、提交</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20.</w:t>
      </w:r>
      <w:r>
        <w:rPr>
          <w:rFonts w:hint="eastAsia" w:ascii="宋体" w:hAnsi="宋体" w:eastAsia="宋体" w:cs="宋体"/>
          <w:b/>
          <w:sz w:val="24"/>
          <w:lang w:eastAsia="zh-CN"/>
        </w:rPr>
        <w:t xml:space="preserve">1投标人应将制作好的加密电子投标文件按要求在投标截止时间前上传到交易系统平台中。</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21. 投标截止时间</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21.1</w:t>
      </w:r>
      <w:r>
        <w:rPr>
          <w:rFonts w:hint="eastAsia" w:ascii="宋体" w:hAnsi="宋体" w:eastAsia="宋体" w:cs="宋体"/>
          <w:b/>
          <w:sz w:val="24"/>
          <w:lang w:eastAsia="zh-CN"/>
        </w:rPr>
        <w:t xml:space="preserve">电子投标文件必须按招标公告中规定的网上投标截止时间前提交</w:t>
      </w:r>
      <w:r>
        <w:rPr>
          <w:rFonts w:hint="eastAsia" w:ascii="宋体" w:hAnsi="宋体" w:eastAsia="宋体" w:cs="宋体"/>
          <w:sz w:val="24"/>
          <w:lang w:eastAsia="zh-CN"/>
        </w:rPr>
        <w:t xml:space="preserve">，</w:t>
      </w:r>
      <w:r>
        <w:rPr>
          <w:rFonts w:hint="eastAsia" w:ascii="宋体" w:hAnsi="宋体" w:eastAsia="宋体" w:cs="宋体"/>
          <w:b/>
          <w:sz w:val="24"/>
          <w:lang w:eastAsia="zh-CN"/>
        </w:rPr>
        <w:t xml:space="preserve">否则投标无效</w:t>
      </w:r>
      <w:r>
        <w:rPr>
          <w:rFonts w:hint="eastAsia" w:ascii="宋体" w:hAnsi="宋体" w:eastAsia="宋体" w:cs="宋体"/>
          <w:sz w:val="24"/>
          <w:lang w:eastAsia="zh-CN"/>
        </w:rPr>
        <w:t xml:space="preserve">。</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22. 投标文件的修改和撤回</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22.1投标人在提交投标文件截止时间前，可对其投标文件进行撤回或修改。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23.2开标后投标人不得撤回投标。</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六、开标和评标</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23. 开标</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23.2</w:t>
      </w:r>
      <w:r>
        <w:rPr>
          <w:rFonts w:hint="eastAsia" w:ascii="宋体" w:hAnsi="宋体" w:eastAsia="宋体" w:cs="宋体"/>
          <w:b/>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23.3</w:t>
      </w:r>
      <w:r>
        <w:rPr>
          <w:rFonts w:hint="eastAsia" w:ascii="宋体" w:hAnsi="宋体" w:eastAsia="宋体" w:cs="宋体"/>
          <w:b/>
          <w:sz w:val="24"/>
          <w:lang w:eastAsia="zh-CN"/>
        </w:rPr>
        <w:t xml:space="preserve">本项目开标后在规定的解密时间内，投标人须自行登录网上开标大厅解密投标文件，解密时间为</w:t>
      </w:r>
      <w:r>
        <w:rPr>
          <w:rFonts w:hint="eastAsia" w:ascii="宋体" w:hAnsi="宋体" w:eastAsia="宋体" w:cs="宋体"/>
          <w:b/>
          <w:sz w:val="24"/>
          <w:lang w:val="en-US" w:eastAsia="zh-CN"/>
        </w:rPr>
        <w:t xml:space="preserve">15</w:t>
      </w:r>
      <w:r>
        <w:rPr>
          <w:rFonts w:hint="eastAsia" w:ascii="宋体" w:hAnsi="宋体" w:eastAsia="宋体" w:cs="宋体"/>
          <w:b/>
          <w:sz w:val="24"/>
          <w:lang w:eastAsia="zh-CN"/>
        </w:rPr>
        <w:t xml:space="preserve">分钟，因自身原因导致解密失败的，由投标人自行承担相关责任。</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23.4采购代理机构在开标仪式上，将公布投标人的名称、投标价格，并将作唱标记录。</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23.5投标人代表对开标过程和开标记录有疑义，以及认为采购人、采购代理机构相关工作人员有需要回避的情形的，</w:t>
      </w:r>
      <w:r>
        <w:rPr>
          <w:rFonts w:hint="eastAsia" w:ascii="宋体" w:hAnsi="宋体" w:eastAsia="宋体" w:cs="宋体"/>
          <w:b/>
          <w:sz w:val="24"/>
          <w:lang w:eastAsia="zh-CN"/>
        </w:rPr>
        <w:t xml:space="preserve">应通过不见面开标大厅提出</w:t>
      </w:r>
      <w:r>
        <w:rPr>
          <w:rFonts w:hint="eastAsia" w:ascii="宋体" w:hAnsi="宋体" w:eastAsia="宋体" w:cs="宋体"/>
          <w:sz w:val="24"/>
          <w:lang w:eastAsia="zh-CN"/>
        </w:rPr>
        <w:t xml:space="preserve">询问或者回避申请。采购人、采购代理机构对投标人代表提出的询问或者回避申请应当及时处理。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24. 评标委员会</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24.1评标委员会由采购人或委托采购代理机构依法组建，负责本项目的评标事务。</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24.2评标委员会独立履行下列职责：</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24.2.1审查投标文件是否符合招标文件的要求，并作出评价；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24.2.2可以要求投标供应商对投标文件有关事项作出解释或澄清；</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24.2.3推荐中标候选供应商名单，或者受采购人委托按照事先确定的办法直接确定中标供应商；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24.2.4向采购代理机构或者有关部门报告非法干预评标工作的行为；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24.3评标委员会成员应当履行下列义务：</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24.3.1遵纪守法，客观、公正、廉洁地履行职责；</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24.3.2按照招标文件规定的评标办法和评标标准进行评标，对评审意见承担个人责任；</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24.3.3对评标过程和结果，以及投标人的商业秘密保密；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24.3.4参与评标报告的起草；</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24.3.5配合采购代理机构答复投标供应商提出的质疑；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24.3.6配合相关部门的投诉处理工作；</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25. 评标内容的保密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25.3在评标期间，采购代理机构将通过指定联络人与投标人进行联系。</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26.对投标文件初审</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26.1投标文件初审分为资格性检查和符合性检查。</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26.1.2 关于信用记录查询：</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26.1.2.1查询时间：评标阶段</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26.1.2.2查询渠道：通过“信用中国”网站、中国政府采购网等渠道查询相关主体信用记录。</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26.2.1 不同投标人的投标文件由同一单位或者个人编制；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26.2.2不同投标人委托同一单位或者个人办理投标事宜；</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26.2.3不同投标人的投标文件载明的项目管理成员或者联系人员为同一人；</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26.2.4不同投标人的投标文件异常一致或者投标报价呈规律性差异；</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26.2.5不同投标人的投标文件相互混装；</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26.6.2大写金额和小写金额不一致的，以大写金额为准；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26.6.3单价金额小数点或者百分比有明显错位的，以开标一览表的总价为准，并修改单价；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26.6.4总价金额与按单价汇总金额不一致的，以单价金额计算结果为准。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同时出现两种以上不一致的，按照前款规定的顺序修正。修正后的报价按照本须知26.6条规定经投标人确认后产生约束力，投标人不确认的，其投标无效。</w:t>
      </w:r>
      <w:r/>
    </w:p>
    <w:p>
      <w:pPr>
        <w:pStyle w:val="844"/>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44"/>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4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4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4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44"/>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44"/>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4"/>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44"/>
        <w:ind w:firstLine="480"/>
        <w:spacing w:line="480" w:lineRule="exact"/>
        <w:rPr>
          <w:rFonts w:ascii="宋体" w:hAnsi="宋体" w:eastAsia="宋体" w:cs="宋体"/>
          <w:sz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27.投标的澄清</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28.无效投标和废标</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28.1无效投标的具体情形有：  </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28.1.1投标文件未按招标文件要求签署、盖章或电子签章的；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28.1.2不具备招标文件中规定的资格要求的；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28.1.3报价超过招标文件中规定的预算金额或者最高限价的；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28.1.4</w:t>
      </w:r>
      <w:r>
        <w:rPr>
          <w:rFonts w:hint="eastAsia" w:ascii="宋体" w:hAnsi="宋体" w:eastAsia="宋体" w:cs="宋体"/>
          <w:b/>
          <w:sz w:val="24"/>
          <w:lang w:eastAsia="zh-CN"/>
        </w:rPr>
        <w:t xml:space="preserve">不同投标人的投标文件使用同一台电脑编制的；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28.1.5投标文件含有采购人不能接受的附加条件的；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28.1.6法律、法规和招标文件规定的其他无效情形。</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 在招标采购中，出现下列情形之一的，应予废标：</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28.2.1符合专业条件的供应商或者对招标文件作实质响应的供应商不足三家的；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28.2.2出现影响采购公正的违法、违规行为的；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28.2.3投标人的报价均超过了采购预算，采购人不能支付的；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28.2.4因重大变故，采购任务取消的。</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28.3 废标后，采购人应当将废标理由通知所有投标人。</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29. 投标文件的评价和比较</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29.2.1服务的质量保证（保障）内容；</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29.2.2服务配备的人员；</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29.2.3投标者的资信情况和履约能力；</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29.2.4投标者提供的其他优惠条件；</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29.2.5参与本项目政府采购工作的态度及信誉；</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29.2.6最低的投标报价或最高的折扣比例是中标的重要条件，但不是唯一条件。</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七、授予合同</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30. 中标供应商的确认          </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30.4质疑函递交地点及联系方式详见公告内容</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31. 合同授予标准</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32. 中标通知书</w:t>
      </w:r>
      <w:r/>
    </w:p>
    <w:p>
      <w:pPr>
        <w:ind w:firstLine="48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jc w:val="both"/>
        <w:spacing w:after="0" w:line="439" w:lineRule="atLeas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48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r/>
    </w:p>
    <w:p>
      <w:pPr>
        <w:ind w:firstLine="48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32.4中标通知书将成为合同的组成部分。</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32.5采购代理机构对未中标供应商不承担解释未中标原因的义务。</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33.履约保证金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33.1中标供应商按合同约定要求提交履约保证金。</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33.3履约保证金（无息）将在中标供应商合同履行完毕且质保期满后，采购人在五个工作日内退返中标供应商。</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34. 合同的签订</w:t>
      </w:r>
      <w:r/>
    </w:p>
    <w:p>
      <w:pPr>
        <w:ind w:firstLine="36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34.3签订合同及合同条款应以招标文件和中标供应商的投标文件及其澄清文件为依据。</w:t>
      </w:r>
      <w:r/>
    </w:p>
    <w:p>
      <w:pPr>
        <w:ind w:firstLine="36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八、政府采购相关政策</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35.节能产品和环境标志产品</w:t>
      </w:r>
      <w:r/>
    </w:p>
    <w:p>
      <w:pPr>
        <w:ind w:firstLine="36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50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36.</w:t>
      </w:r>
      <w:r>
        <w:rPr>
          <w:rFonts w:ascii="宋体" w:hAnsi="宋体" w:eastAsia="宋体" w:cs="宋体"/>
          <w:b/>
          <w:bCs/>
          <w:sz w:val="24"/>
          <w:szCs w:val="24"/>
          <w:lang w:eastAsia="zh-CN"/>
        </w:rPr>
        <w:t xml:space="preserve">中小企业相关政策：</w:t>
      </w:r>
      <w:r/>
    </w:p>
    <w:p>
      <w:pPr>
        <w:ind w:firstLine="482"/>
        <w:spacing w:after="0" w:line="5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36.1标段一</w:t>
      </w:r>
      <w:r>
        <w:rPr>
          <w:rFonts w:ascii="宋体" w:hAnsi="宋体" w:eastAsia="宋体" w:cs="宋体"/>
          <w:b/>
          <w:bCs/>
          <w:color w:val="auto"/>
          <w:sz w:val="24"/>
          <w:szCs w:val="24"/>
          <w:highlight w:val="none"/>
          <w:lang w:eastAsia="zh-CN"/>
        </w:rPr>
        <w:t xml:space="preserve">中小企业相关政策：</w:t>
      </w:r>
      <w:r/>
    </w:p>
    <w:p>
      <w:pPr>
        <w:ind w:firstLine="482"/>
        <w:spacing w:after="0" w:line="460" w:lineRule="exact"/>
        <w:rPr>
          <w:rFonts w:cs="宋体" w:asciiTheme="minorEastAsia" w:hAnsiTheme="minorEastAsia"/>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根据《政府采购促进中小企业发展管理办法》（财库﹝</w:t>
      </w:r>
      <w:r>
        <w:rPr>
          <w:rFonts w:cs="仿宋" w:asciiTheme="minorEastAsia" w:hAnsiTheme="minorEastAsia"/>
          <w:color w:val="auto"/>
          <w:sz w:val="24"/>
          <w:szCs w:val="24"/>
          <w:highlight w:val="none"/>
          <w:lang w:eastAsia="zh-CN"/>
        </w:rPr>
        <w:t xml:space="preserve">2020﹞46号）</w:t>
      </w:r>
      <w:r>
        <w:rPr>
          <w:rFonts w:hint="eastAsia" w:cs="仿宋" w:asciiTheme="minorEastAsia" w:hAnsiTheme="minorEastAsia"/>
          <w:color w:val="auto"/>
          <w:sz w:val="24"/>
          <w:szCs w:val="24"/>
          <w:highlight w:val="none"/>
          <w:lang w:eastAsia="zh-CN"/>
        </w:rPr>
        <w:t xml:space="preserve">规定，</w:t>
      </w:r>
      <w:r>
        <w:rPr>
          <w:rFonts w:cs="仿宋" w:asciiTheme="minorEastAsia" w:hAnsiTheme="minorEastAsia"/>
          <w:color w:val="auto"/>
          <w:sz w:val="24"/>
          <w:szCs w:val="24"/>
          <w:highlight w:val="none"/>
          <w:lang w:eastAsia="zh-CN"/>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auto"/>
          <w:sz w:val="24"/>
          <w:szCs w:val="24"/>
          <w:highlight w:val="none"/>
          <w:lang w:eastAsia="zh-CN"/>
        </w:rPr>
        <w:t xml:space="preserve">但与大企业的负责人为同一人，或者与大企业存在直接控股、管理关系的除外</w:t>
      </w:r>
      <w:r>
        <w:rPr>
          <w:rFonts w:cs="仿宋" w:asciiTheme="minorEastAsia" w:hAnsiTheme="minorEastAsia"/>
          <w:color w:val="auto"/>
          <w:sz w:val="24"/>
          <w:szCs w:val="24"/>
          <w:highlight w:val="none"/>
          <w:lang w:eastAsia="zh-CN"/>
        </w:rPr>
        <w:t xml:space="preserve">。符合中小企业划分标准的个体工商户，</w:t>
      </w:r>
      <w:r>
        <w:rPr>
          <w:rFonts w:cs="仿宋" w:asciiTheme="minorEastAsia" w:hAnsiTheme="minorEastAsia"/>
          <w:color w:val="auto"/>
          <w:sz w:val="24"/>
          <w:highlight w:val="none"/>
          <w:lang w:eastAsia="zh-CN"/>
        </w:rPr>
        <w:t xml:space="preserve">在政府采购活动中视同中小企业。</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1</w:t>
      </w:r>
      <w:r>
        <w:rPr>
          <w:rFonts w:cs="仿宋" w:asciiTheme="minorEastAsia" w:hAnsiTheme="minorEastAsia"/>
          <w:color w:val="auto"/>
          <w:sz w:val="24"/>
          <w:highlight w:val="none"/>
          <w:lang w:eastAsia="zh-CN"/>
        </w:rPr>
        <w:t xml:space="preserve">）在货物采购项目中，货物由小、微企业制造，即货物由小、微企业生产且使用该小、微企业商号或者注册商标。对其报价给予20%的扣除，扣除后的价格参与价格评审。</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2</w:t>
      </w:r>
      <w:r>
        <w:rPr>
          <w:rFonts w:cs="仿宋" w:asciiTheme="minorEastAsia" w:hAnsiTheme="minorEastAsia"/>
          <w:color w:val="auto"/>
          <w:sz w:val="24"/>
          <w:highlight w:val="none"/>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3</w:t>
      </w:r>
      <w:r>
        <w:rPr>
          <w:rFonts w:cs="仿宋" w:asciiTheme="minorEastAsia" w:hAnsiTheme="minorEastAsia"/>
          <w:color w:val="auto"/>
          <w:sz w:val="24"/>
          <w:highlight w:val="none"/>
          <w:lang w:eastAsia="zh-CN"/>
        </w:rPr>
        <w:t xml:space="preserve">）在货物采购项目中，供应商提供的货物既有小、微企业制造货物，也有中、大型企业制造货物的，不享受本办法规定的小、微企业价格扶持政策。</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4</w:t>
      </w:r>
      <w:r>
        <w:rPr>
          <w:rFonts w:cs="仿宋" w:asciiTheme="minorEastAsia" w:hAnsiTheme="minorEastAsia"/>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5</w:t>
      </w:r>
      <w:r>
        <w:rPr>
          <w:rFonts w:cs="仿宋" w:asciiTheme="minorEastAsia" w:hAnsiTheme="minorEastAsia"/>
          <w:color w:val="auto"/>
          <w:sz w:val="24"/>
          <w:highlight w:val="none"/>
          <w:lang w:eastAsia="zh-CN"/>
        </w:rPr>
        <w:t xml:space="preserve">）符合中小企业划分标准的个体工商户，在政府采购活动中视同中小企业。</w:t>
      </w:r>
      <w:r/>
    </w:p>
    <w:p>
      <w:pPr>
        <w:ind w:firstLine="482"/>
        <w:spacing w:after="0" w:line="460" w:lineRule="exact"/>
        <w:rPr>
          <w:rFonts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6</w:t>
      </w:r>
      <w:r>
        <w:rPr>
          <w:rFonts w:cs="仿宋" w:asciiTheme="minorEastAsia" w:hAnsiTheme="minorEastAsia"/>
          <w:color w:val="auto"/>
          <w:sz w:val="24"/>
          <w:highlight w:val="none"/>
          <w:lang w:eastAsia="zh-CN"/>
        </w:rPr>
        <w:t xml:space="preserve">）残疾人福利性单位及监狱企业视同小型企业，享受评审中价格扣除等促进中小企业发展的政府采购政策。</w:t>
      </w:r>
      <w:r/>
    </w:p>
    <w:p>
      <w:pPr>
        <w:ind w:firstLine="480"/>
        <w:jc w:val="both"/>
        <w:spacing w:after="0" w:line="439" w:lineRule="atLeast"/>
        <w:rPr>
          <w:rFonts w:hint="eastAsia" w:cs="仿宋"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highlight w:val="none"/>
          <w:lang w:eastAsia="zh-CN"/>
        </w:rPr>
        <w:t xml:space="preserve">（</w:t>
      </w:r>
      <w:r>
        <w:rPr>
          <w:rFonts w:hint="eastAsia" w:cs="仿宋" w:asciiTheme="minorEastAsia" w:hAnsiTheme="minorEastAsia"/>
          <w:color w:val="auto"/>
          <w:sz w:val="24"/>
          <w:highlight w:val="none"/>
          <w:lang w:eastAsia="zh-CN"/>
        </w:rPr>
        <w:t xml:space="preserve">7</w:t>
      </w:r>
      <w:r>
        <w:rPr>
          <w:rFonts w:cs="仿宋" w:asciiTheme="minorEastAsia" w:hAnsiTheme="minorEastAsia"/>
          <w:color w:val="auto"/>
          <w:sz w:val="24"/>
          <w:highlight w:val="none"/>
          <w:lang w:eastAsia="zh-CN"/>
        </w:rPr>
        <w:t xml:space="preserve">）供应商按照本办法规定提供声明函内容不实的，属于提供虚假材料谋取中标、 </w:t>
      </w:r>
      <w:r>
        <w:rPr>
          <w:rFonts w:hint="eastAsia" w:cs="仿宋" w:asciiTheme="minorEastAsia" w:hAnsiTheme="minorEastAsia"/>
          <w:color w:val="auto"/>
          <w:sz w:val="24"/>
          <w:highlight w:val="none"/>
          <w:lang w:eastAsia="zh-CN"/>
        </w:rPr>
        <w:t xml:space="preserve">成交，</w:t>
      </w:r>
      <w:r>
        <w:rPr>
          <w:rFonts w:cs="仿宋" w:asciiTheme="minorEastAsia" w:hAnsiTheme="minorEastAsia"/>
          <w:color w:val="auto"/>
          <w:sz w:val="24"/>
          <w:highlight w:val="none"/>
          <w:lang w:eastAsia="zh-CN"/>
        </w:rPr>
        <w:t xml:space="preserve"> </w:t>
      </w:r>
      <w:r>
        <w:rPr>
          <w:rFonts w:hint="eastAsia" w:cs="仿宋" w:asciiTheme="minorEastAsia" w:hAnsiTheme="minorEastAsia"/>
          <w:color w:val="auto"/>
          <w:sz w:val="24"/>
          <w:highlight w:val="none"/>
          <w:lang w:eastAsia="zh-CN"/>
        </w:rPr>
        <w:t xml:space="preserve">依照《中华人民共和国政府采购法》</w:t>
      </w:r>
      <w:r>
        <w:rPr>
          <w:rFonts w:cs="仿宋" w:asciiTheme="minorEastAsia" w:hAnsiTheme="minorEastAsia"/>
          <w:color w:val="auto"/>
          <w:sz w:val="24"/>
          <w:highlight w:val="none"/>
          <w:lang w:eastAsia="zh-CN"/>
        </w:rPr>
        <w:t xml:space="preserve"> </w:t>
      </w:r>
      <w:r>
        <w:rPr>
          <w:rFonts w:hint="eastAsia" w:cs="仿宋" w:asciiTheme="minorEastAsia" w:hAnsiTheme="minorEastAsia"/>
          <w:color w:val="auto"/>
          <w:sz w:val="24"/>
          <w:highlight w:val="none"/>
          <w:lang w:eastAsia="zh-CN"/>
        </w:rPr>
        <w:t xml:space="preserve">等国家有关规定追究相应责任。</w:t>
      </w:r>
      <w:r/>
    </w:p>
    <w:p>
      <w:pPr>
        <w:ind w:firstLine="482"/>
        <w:jc w:val="both"/>
        <w:spacing w:after="0" w:line="439" w:lineRule="atLeas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val="0"/>
          <w:color w:val="auto"/>
          <w:sz w:val="24"/>
          <w:highlight w:val="none"/>
          <w:lang w:eastAsia="zh-CN"/>
        </w:rPr>
        <w:t xml:space="preserve">36.2</w:t>
      </w:r>
      <w:r>
        <w:rPr>
          <w:rFonts w:hint="eastAsia" w:cs="仿宋" w:asciiTheme="minorEastAsia" w:hAnsiTheme="minorEastAsia"/>
          <w:b/>
          <w:bCs/>
          <w:color w:val="auto"/>
          <w:sz w:val="24"/>
          <w:highlight w:val="none"/>
          <w:lang w:val="en-US" w:eastAsia="zh-CN"/>
        </w:rPr>
        <w:t xml:space="preserve">标段二</w:t>
      </w:r>
      <w:r>
        <w:rPr>
          <w:rFonts w:ascii="宋体" w:hAnsi="宋体" w:eastAsia="宋体" w:cs="宋体"/>
          <w:b/>
          <w:bCs/>
          <w:color w:val="auto"/>
          <w:sz w:val="24"/>
          <w:szCs w:val="24"/>
          <w:highlight w:val="none"/>
          <w:lang w:eastAsia="zh-CN"/>
        </w:rPr>
        <w:t xml:space="preserve">中小企业相关政策：</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36.2</w:t>
      </w:r>
      <w:r>
        <w:rPr>
          <w:rFonts w:cs="仿宋" w:asciiTheme="minorEastAsia" w:hAnsiTheme="minorEastAsia" w:eastAsiaTheme="minorEastAsia"/>
          <w:bCs/>
          <w:color w:val="auto"/>
          <w:sz w:val="24"/>
          <w:szCs w:val="24"/>
          <w:highlight w:val="none"/>
          <w:shd w:val="clear" w:color="auto" w:fill="ffffff"/>
          <w:lang w:eastAsia="zh-CN"/>
        </w:rPr>
        <w:t xml:space="preserve">.1、</w:t>
      </w:r>
      <w:r>
        <w:rPr>
          <w:rFonts w:hint="eastAsia" w:cs="仿宋" w:asciiTheme="minorEastAsia" w:hAnsiTheme="minorEastAsia" w:eastAsiaTheme="minorEastAsia"/>
          <w:bCs/>
          <w:color w:val="auto"/>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 xml:space="preserve">2022</w:t>
      </w:r>
      <w:r>
        <w:rPr>
          <w:rFonts w:hint="eastAsia" w:cs="仿宋" w:asciiTheme="minorEastAsia" w:hAnsiTheme="minorEastAsia" w:eastAsiaTheme="minorEastAsia"/>
          <w:bCs/>
          <w:color w:val="auto"/>
          <w:sz w:val="24"/>
          <w:szCs w:val="24"/>
          <w:highlight w:val="none"/>
          <w:shd w:val="clear" w:color="auto" w:fill="ffffff"/>
          <w:lang w:eastAsia="zh-CN"/>
        </w:rPr>
        <w:t xml:space="preserve">〕</w:t>
      </w:r>
      <w:r>
        <w:rPr>
          <w:rFonts w:cs="仿宋" w:asciiTheme="minorEastAsia" w:hAnsiTheme="minorEastAsia" w:eastAsiaTheme="minorEastAsia"/>
          <w:bCs/>
          <w:color w:val="auto"/>
          <w:sz w:val="24"/>
          <w:szCs w:val="24"/>
          <w:highlight w:val="none"/>
          <w:shd w:val="clear" w:color="auto" w:fill="ffffff"/>
          <w:lang w:eastAsia="zh-CN"/>
        </w:rPr>
        <w:t xml:space="preserve">16号</w:t>
      </w:r>
      <w:r>
        <w:rPr>
          <w:rFonts w:hint="eastAsia" w:cs="仿宋" w:asciiTheme="minorEastAsia" w:hAnsiTheme="minorEastAsia" w:eastAsiaTheme="minorEastAsia"/>
          <w:bCs/>
          <w:color w:val="auto"/>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auto"/>
          <w:sz w:val="24"/>
          <w:szCs w:val="24"/>
          <w:highlight w:val="none"/>
          <w:shd w:val="clear" w:color="auto" w:fill="ffffff"/>
          <w:lang w:eastAsia="zh-CN"/>
        </w:rPr>
        <w:t xml:space="preserve">36.2</w:t>
      </w:r>
      <w:r>
        <w:rPr>
          <w:rFonts w:cs="仿宋" w:asciiTheme="minorEastAsia" w:hAnsiTheme="minorEastAsia" w:eastAsiaTheme="minorEastAsia"/>
          <w:bCs/>
          <w:color w:val="auto"/>
          <w:sz w:val="24"/>
          <w:szCs w:val="24"/>
          <w:highlight w:val="none"/>
          <w:shd w:val="clear" w:color="auto" w:fill="ffffff"/>
          <w:lang w:eastAsia="zh-CN"/>
        </w:rPr>
        <w:t xml:space="preserve">.2、中小企业划分：</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auto"/>
          <w:sz w:val="24"/>
          <w:szCs w:val="24"/>
          <w:highlight w:val="none"/>
          <w:shd w:val="clear" w:color="auto" w:fill="ffffff"/>
          <w:lang w:eastAsia="zh-CN"/>
        </w:rPr>
        <w:t xml:space="preserve">36.2</w:t>
      </w:r>
      <w:r>
        <w:rPr>
          <w:rFonts w:cs="仿宋" w:asciiTheme="minorEastAsia" w:hAnsiTheme="minorEastAsia" w:eastAsiaTheme="minorEastAsia"/>
          <w:bCs/>
          <w:color w:val="auto"/>
          <w:sz w:val="24"/>
          <w:szCs w:val="24"/>
          <w:highlight w:val="none"/>
          <w:shd w:val="clear" w:color="auto" w:fill="ffffff"/>
          <w:lang w:eastAsia="zh-CN"/>
        </w:rPr>
        <w:t xml:space="preserve">.3残疾人福利性单位政策：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auto"/>
          <w:sz w:val="24"/>
          <w:szCs w:val="24"/>
          <w:highlight w:val="none"/>
          <w:shd w:val="clear" w:color="auto" w:fill="ffffff"/>
          <w:lang w:eastAsia="zh-CN"/>
        </w:rPr>
        <w:t xml:space="preserve">36.2</w:t>
      </w:r>
      <w:r>
        <w:rPr>
          <w:rFonts w:cs="仿宋" w:asciiTheme="minorEastAsia" w:hAnsiTheme="minorEastAsia" w:eastAsiaTheme="minorEastAsia"/>
          <w:bCs/>
          <w:color w:val="auto"/>
          <w:sz w:val="24"/>
          <w:szCs w:val="24"/>
          <w:highlight w:val="none"/>
          <w:shd w:val="clear" w:color="auto" w:fill="ffffff"/>
          <w:lang w:eastAsia="zh-CN"/>
        </w:rPr>
        <w:t xml:space="preserve">.4监狱企业发展政策：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ascii="宋体" w:hAnsi="宋体" w:eastAsia="宋体" w:cs="宋体"/>
          <w:b/>
          <w:bCs/>
          <w:sz w:val="24"/>
          <w:szCs w:val="24"/>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36.2</w:t>
      </w:r>
      <w:r>
        <w:rPr>
          <w:rFonts w:cs="仿宋" w:asciiTheme="minorEastAsia" w:hAnsiTheme="minorEastAsia" w:eastAsiaTheme="minorEastAsia"/>
          <w:bCs/>
          <w:color w:val="auto"/>
          <w:sz w:val="24"/>
          <w:szCs w:val="24"/>
          <w:highlight w:val="none"/>
          <w:shd w:val="clear" w:color="auto" w:fill="ffffff"/>
          <w:lang w:eastAsia="zh-CN"/>
        </w:rPr>
        <w:t xml:space="preserve">.5、中标、成交供应商享受规定的中小企业扶持政策的，其声明函及相关证明材料应当随中标、成交结果同时公告，接受社会监督。</w:t>
      </w:r>
      <w:r/>
    </w:p>
    <w:p>
      <w:pPr>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37.绿色数据中心政策</w:t>
      </w:r>
      <w:r/>
    </w:p>
    <w:p>
      <w:pPr>
        <w:ind w:firstLine="480"/>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37.1 依据《绿色数据中心政府采购需求标准（试行）》（财办库〔2023〕7 号）文件精神，采购</w:t>
      </w:r>
      <w:r>
        <w:rPr>
          <w:rFonts w:hint="eastAsia" w:ascii="宋体" w:hAnsi="宋体" w:eastAsia="宋体" w:cs="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38.商品包装、快递包装政策</w:t>
      </w:r>
      <w:r/>
    </w:p>
    <w:p>
      <w:pPr>
        <w:ind w:firstLine="480"/>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500" w:lineRule="exact"/>
        <w:rPr>
          <w:rFonts w:ascii="宋体" w:hAnsi="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3</w:t>
      </w:r>
      <w:r>
        <w:rPr>
          <w:rFonts w:ascii="宋体" w:hAnsi="宋体" w:cs="宋体"/>
          <w:b/>
          <w:sz w:val="24"/>
          <w:lang w:eastAsia="zh-CN"/>
        </w:rPr>
        <w:t xml:space="preserve">9</w:t>
      </w:r>
      <w:r>
        <w:rPr>
          <w:rFonts w:hint="eastAsia" w:ascii="宋体" w:hAnsi="宋体" w:cs="宋体"/>
          <w:b/>
          <w:sz w:val="24"/>
          <w:lang w:eastAsia="zh-CN"/>
        </w:rPr>
        <w:t xml:space="preserve">.采购本国产品的支持政策</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2</w:t>
      </w:r>
      <w:r>
        <w:rPr>
          <w:rFonts w:hint="eastAsia" w:ascii="宋体" w:hAnsi="宋体" w:cs="宋体"/>
          <w:sz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3</w:t>
      </w:r>
      <w:r>
        <w:rPr>
          <w:rFonts w:hint="eastAsia" w:ascii="宋体" w:hAnsi="宋体" w:cs="宋体"/>
          <w:sz w:val="24"/>
          <w:lang w:eastAsia="zh-CN"/>
        </w:rPr>
        <w:t xml:space="preserve"> 本项目政府采购活动中既有本国产品又有非本国产品参与竞争的，依法对本国产品给予价格评审优惠，</w:t>
      </w:r>
      <w:r>
        <w:rPr>
          <w:rFonts w:hint="eastAsia" w:ascii="宋体" w:hAnsi="宋体" w:cs="宋体"/>
          <w:b/>
          <w:sz w:val="24"/>
          <w:lang w:eastAsia="zh-CN"/>
        </w:rPr>
        <w:t xml:space="preserve">对本国产品的报价给予20%的价格扣除，用扣除后的价格参与评审。</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4</w:t>
      </w:r>
      <w:r>
        <w:rPr>
          <w:rFonts w:hint="eastAsia" w:ascii="宋体" w:hAnsi="宋体" w:cs="宋体"/>
          <w:sz w:val="24"/>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5</w:t>
      </w:r>
      <w:r>
        <w:rPr>
          <w:rFonts w:hint="eastAsia" w:ascii="宋体" w:hAnsi="宋体" w:cs="宋体"/>
          <w:sz w:val="24"/>
          <w:lang w:eastAsia="zh-CN"/>
        </w:rPr>
        <w:t xml:space="preserve"> 供应商需按照招标文件的要求提供《关于符合本国产品标准的声明函》（以下简称《声明函》），</w:t>
      </w:r>
      <w:r>
        <w:rPr>
          <w:rFonts w:hint="eastAsia" w:ascii="宋体" w:hAnsi="宋体" w:cs="宋体"/>
          <w:b/>
          <w:sz w:val="24"/>
          <w:lang w:eastAsia="zh-CN"/>
        </w:rPr>
        <w:t xml:space="preserve">如不提供将不享受本国产品价格评审优惠。</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6</w:t>
      </w:r>
      <w:r>
        <w:rPr>
          <w:rFonts w:hint="eastAsia" w:ascii="宋体" w:hAnsi="宋体" w:cs="宋体"/>
          <w:b/>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7</w:t>
      </w:r>
      <w:r>
        <w:rPr>
          <w:rFonts w:hint="eastAsia" w:ascii="宋体" w:hAnsi="宋体" w:cs="宋体"/>
          <w:sz w:val="24"/>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九、其他事项</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40</w:t>
      </w:r>
      <w:r>
        <w:rPr>
          <w:rFonts w:hint="eastAsia" w:ascii="宋体" w:hAnsi="宋体" w:cs="宋体"/>
          <w:b/>
          <w:sz w:val="24"/>
          <w:lang w:eastAsia="zh-CN"/>
        </w:rPr>
        <w:t xml:space="preserve">. 监督和公证</w:t>
      </w:r>
      <w:r/>
    </w:p>
    <w:p>
      <w:pPr>
        <w:ind w:firstLine="360"/>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40</w:t>
      </w:r>
      <w:r>
        <w:rPr>
          <w:rFonts w:hint="eastAsia" w:ascii="宋体" w:hAnsi="宋体" w:cs="宋体"/>
          <w:sz w:val="24"/>
          <w:lang w:eastAsia="zh-CN"/>
        </w:rPr>
        <w:t xml:space="preserve">.1政府有关监督部门将对招投标全过程进行监督。</w:t>
      </w:r>
      <w:r/>
    </w:p>
    <w:p>
      <w:pPr>
        <w:ind w:firstLine="360"/>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40</w:t>
      </w:r>
      <w:r>
        <w:rPr>
          <w:rFonts w:hint="eastAsia" w:ascii="宋体" w:hAnsi="宋体" w:cs="宋体"/>
          <w:sz w:val="24"/>
          <w:lang w:eastAsia="zh-CN"/>
        </w:rPr>
        <w:t xml:space="preserve">.2采购代理机构的招标过程将依采购人申请，通过公证机关进行公证。</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4</w:t>
      </w:r>
      <w:r>
        <w:rPr>
          <w:rFonts w:ascii="宋体" w:hAnsi="宋体" w:cs="宋体"/>
          <w:b/>
          <w:bCs/>
          <w:sz w:val="24"/>
          <w:lang w:eastAsia="zh-CN"/>
        </w:rPr>
        <w:t xml:space="preserve">1</w:t>
      </w:r>
      <w:r>
        <w:rPr>
          <w:rFonts w:hint="eastAsia" w:ascii="宋体" w:hAnsi="宋体" w:cs="宋体"/>
          <w:b/>
          <w:bCs/>
          <w:sz w:val="24"/>
          <w:lang w:eastAsia="zh-CN"/>
        </w:rPr>
        <w:t xml:space="preserve">.未尽事宜</w:t>
      </w:r>
      <w:r/>
    </w:p>
    <w:p>
      <w:pPr>
        <w:ind w:firstLine="480"/>
        <w:spacing w:after="0" w:line="440" w:lineRule="exact"/>
        <w:rPr>
          <w:rFonts w:ascii="宋体" w:hAnsi="宋体" w:cs="宋体"/>
          <w:b/>
          <w:sz w:val="24"/>
          <w:lang w:eastAsia="zh-CN"/>
        </w:rPr>
      </w:pPr>
      <w:r>
        <w:rPr>
          <w:rFonts w:hint="eastAsia" w:ascii="宋体" w:hAnsi="宋体" w:cs="宋体"/>
          <w:sz w:val="24"/>
          <w:lang w:eastAsia="zh-CN"/>
        </w:rPr>
        <w:t xml:space="preserve">按《中华人民共和国政府采购法》及其他有关法律法规的规定执行。</w:t>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4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center"/>
        <w:spacing w:after="0" w:line="440" w:lineRule="exac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bookmarkStart w:id="4" w:name="OLE_LINK4"/>
      <w:r>
        <w:rPr>
          <w:rFonts w:hint="eastAsia" w:ascii="宋体" w:hAnsi="宋体" w:eastAsia="宋体" w:cs="宋体"/>
          <w:b/>
          <w:sz w:val="44"/>
          <w:lang w:eastAsia="zh-CN"/>
        </w:rPr>
        <w:t xml:space="preserve">第三部分   项目需求</w:t>
      </w:r>
      <w:bookmarkEnd w:id="4"/>
      <w:r/>
      <w:bookmarkStart w:id="5" w:name="_Toc19021"/>
      <w:r/>
      <w:bookmarkEnd w:id="5"/>
      <w:r/>
    </w:p>
    <w:p>
      <w:pPr>
        <w:jc w:val="both"/>
        <w:spacing w:after="0" w:line="480" w:lineRule="exact"/>
        <w:rPr>
          <w:rFonts w:ascii="宋体" w:hAnsi="宋体" w:eastAsia="宋体" w:cs="宋体"/>
          <w:b/>
          <w:sz w:val="30"/>
          <w:szCs w:val="30"/>
          <w:lang w:eastAsia="zh-CN"/>
        </w:rPr>
      </w:pPr>
      <w:r>
        <w:rPr>
          <w:rFonts w:hint="eastAsia" w:ascii="宋体" w:hAnsi="宋体" w:eastAsia="宋体" w:cs="宋体"/>
          <w:b/>
          <w:sz w:val="30"/>
          <w:szCs w:val="30"/>
          <w:lang w:eastAsia="zh-CN"/>
        </w:rPr>
        <w:t xml:space="preserve">标段一：2026年太仓市不动产登记系统改造项目项目需求</w:t>
      </w:r>
      <w:r/>
    </w:p>
    <w:p>
      <w:pPr>
        <w:jc w:val="both"/>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一、项目背景</w:t>
      </w:r>
      <w:r/>
    </w:p>
    <w:p>
      <w:pPr>
        <w:ind w:firstLine="482"/>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（一）项目概述</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随着《网络安全法》《个人信息保护法》相继实施以及国家信息技术应用创新战略的推进，政务核心业务系统实现</w:t>
      </w:r>
      <w:r>
        <w:rPr>
          <w:rFonts w:hint="eastAsia" w:ascii="宋体" w:hAnsi="宋体" w:eastAsia="宋体" w:cs="宋体"/>
          <w:sz w:val="24"/>
          <w:szCs w:val="24"/>
          <w:highlight w:val="none"/>
          <w:lang w:eastAsia="zh-CN"/>
        </w:rPr>
        <w:t xml:space="preserve">自主可控已成为立项和验收的刚性要求。江苏省及苏州市在政务信息化项目管理中，也已将满足《安全可靠测评工作指南（试行）》要求作为项目建设的必要条件。</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太仓市不动产登记系统现部署在x86架构服务器上，数据库为Oracle，操作系统为Windows Server，应用为单体烟囱式架构。系统目前支撑首次登记、转移登记、变更登记、抵押登记、查封登记、注销登记、合并登记等基础登记业务，支持不动产权属查询、证书查询、登记簿查询、档案查询，支持人员绩效、商品房信息、存量房信息、证书量等统计，并已与移动端、互联网端实现接口交互，与财政、税务、水电气等部门完成业务贯通。系统总体运行平稳，是全市不动产登记业务的主要承载平台。</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从技术架构和运行保障角度看，现有系统存在以下问题：内部系统按条线建设，模块之间耦合度高，与税务、住建、公安、民政等外部单位的接口稳定性不足，需求响应依赖原厂改造；安全防护以边界防护为主，应用层和主机层的自主可控能力不足，与等级保护第三级要求尚有差距。</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本项目即针对上述问题，在不中断日常登记业务的前提下，将系统替换为完全自主可控技术栈，同步完成应用架构升级、界面重构、配置能力升级和历史业务功能重构，实现不动产登记平台的自主可控。</w:t>
      </w:r>
      <w:r/>
    </w:p>
    <w:p>
      <w:pPr>
        <w:ind w:firstLine="482"/>
        <w:jc w:val="both"/>
        <w:spacing w:after="0" w:line="480" w:lineRule="exact"/>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 xml:space="preserve">（二）建设目标</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本项目满足《安全可靠测评工作指南（试行）》要求，建设新一代不动产登记平台，使系统适配国内主流软硬件环境，形成可持续迭代的技术底座。具体目标如下：</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完成核心软硬件的完全自主可控替代。应用系统在CPU、操作系统、数据库、中间件和浏览器环境下功能完整、性能达标，摆脱对国外基础软硬件的依赖，并取得相应的兼容性验证结果。</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完成应用架构的整体升级。由单体烟囱式架构升级为微服务分布式架构，按业务域拆分子系统，各子系统独立开发、独立部署、独立迭代，支持集群部署、弹性扩容和蓝绿发布，改变以往一处修改、整体停机的方式。</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系统运行指标达到约定水平。系统可用性不低于99.9%，一般页面响应时间不超过5秒，关键业务查询响应时间不超过10秒，支持每秒1000次以上并发访问，现场维护响应时间不超过60分钟。</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完成历史业务功能的全面重构。原系统地方特色功能点、功能模块和对外接口在新架构下重新实现，功能不减少、交互不降级、接口保持兼容，为后续长期运维和功能迭代提供支撑。</w:t>
      </w:r>
      <w:r/>
    </w:p>
    <w:p>
      <w:pPr>
        <w:ind w:firstLine="482"/>
        <w:jc w:val="both"/>
        <w:spacing w:after="0"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二、项目需求</w:t>
      </w:r>
      <w:r/>
    </w:p>
    <w:p>
      <w:pPr>
        <w:ind w:firstLine="482"/>
        <w:jc w:val="both"/>
        <w:spacing w:after="0" w:line="480" w:lineRule="exact"/>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 xml:space="preserve">（一）建设需求</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本项目建设内容分为软硬件适配、不动产登记系统改造、历史业务功能全面重构三个部分。三部分工作在同一平台版本内完成，不单独交付中间版本。</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（1）软硬件适配</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硬件环境适配。完成应用系统与通过安全可靠测评的CPU适配。针对指令集、字节序、并发调度和内存管理差异，通过应用层代码优化、虚拟机参数调优、SQL执行计划优化和缓存策略调整，降低CPU架构差异对系统性能的影响。投标人应说明拟支持的CPU型号和性能基准测试方法。</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外设适配。完成高拍仪、身份证读卡器、摄像头、证照打印机、普通打印机、扫码设备、电子签章设备等常用外设的接口适配。对完全自主可控操作系统下无可用驱动的设备，应与设备厂商配合完成驱动适配或接口封装，保证设备在受理、审核、缮证、收费等环节正常使用，并提交设备兼容清单和测试记录。</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操作系统适配。完成通过安全可靠测评的操作系统下的适配，包括环境变量、服务注册与开机自启、文件路径与大小写敏感差异、字体库、系统权限、时间同步等配置项，完成安装部署、启停、升级、日志输出和故障恢复的全流程验证。</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数据库适配。完成由Oracle向关系型数据库（通过安全可靠测评）的适配，内容包括SQL语法差异、内置函数替换、数据类型映射、存储过程与触发器改造、序列与自增主键处理、分页语法、字符集与排序规则、空值语义、大对象和空间数据存储等。通过索引优化和执行计划分析提升数据库访问性能，保证业务含义和业务逻辑不因数据类型转换而改变。</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⑤中间件适配。完成JDK、缓存中间件、消息中间件、分布式搜索和分析引擎、Web应用服务器、反向代理服务器的完全自主可控化替换。通过接口抽象封装中间件调用逻辑，避免因中间件更换引起业务代码大面积重构，并说明拟选用的完全自主可控中间件版本。</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⑥浏览器适配。从兼容性、插件、安全性、性能、用户体验五个维度完成浏览器适配，覆盖国内主流浏览器。重点解决电子签章控件、打印控件、读卡控件、文件上传下载等插件在浏览器中的加载与调用问题，适配完成后提交多浏览器测试报告。</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（2）不动产登记系统改造</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架构升级。将原有单体烟囱式架构升级为微服务分布式架构，按业务维度拆分子系统，覆盖业务受理、查询分析、统计分析、业务上报、接口交互、系统管理和API接口平台等模块。模块之间通过服务接口调用，避免共享数据库表带来的强耦合。系统应支持蓝绿部署，升级或更新时快速无感切换，切换失败可即时回退。</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界面重构。对系统界面进行重构，优化功能模块布局和信息层级，在提升操作体验和界面观感的同时不增加用户学习成本。页面应提供资源检索、快速导航和常用功能收藏能力，常用业务入口不超过两次点击可达，并保证在浏览器和现有办公终端主流分辨率下的显示一致性。</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配置管理升级。业务流程按需定制，支持任意组合业务和批量业务的快速定制，业务类型、环节顺序、岗位分工、办理时限等要素通过配置完成，不修改代码；工作流事件按需定制，通过配置批量化处理减少配置不同业务流程工作流事件所需的操作次数；表单按需定制，提供在线表单设计器，支持拖拽式设计、取值逻辑可视化配置、验证组件集成和表单权限自定义；接口自定义，提供接口管理模块，支持接口查询、配置、测试、导入导出和字段映射。</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功能升级。业务创建单复自动转换，创建业务流程后发现少选不动产单元的，可在流程中追加选择，系统自动将单业务转换为批量业务，已录入信息不丢失；证书预览，将证书预览嵌入受理、审核、登簿、缮证等环节，便于提前发现问题；</w:t>
      </w:r>
      <w:r>
        <w:rPr>
          <w:rFonts w:hint="eastAsia" w:ascii="宋体" w:hAnsi="宋体" w:eastAsia="宋体" w:cs="宋体"/>
          <w:sz w:val="24"/>
          <w:szCs w:val="24"/>
          <w:lang w:eastAsia="zh-CN"/>
        </w:rPr>
        <w:t xml:space="preserve">智能审核，通过规则引擎对必填项、附件材料、转发规则和逻辑关系进行自动校验，形成“智能校验+人工确认”的办理模式，审核规则支持配置和维护；一站式购物车，支持自由选择待打证对象生成证书，提供批量选择、分组打证和结果反馈；综合查询，整合查询入口，实现土地、房屋等各类不动产的产权、抵押、查封、预告、异议信息查询，支持历史关系和关联关系查看、档案附件查看，以及有房无房证明、房地权属证明、抵押证明等证明的展示和打印；楼盘表管理升级，支持户室全选、反选和按用途筛选，证书生成支持部分户室发证、部分户室只登簿等多种组合方式。</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⑤业务功能覆盖。改造后系统应完整支撑现有登记业务</w:t>
      </w:r>
      <w:r>
        <w:rPr>
          <w:rFonts w:hint="eastAsia" w:ascii="宋体" w:hAnsi="宋体" w:eastAsia="宋体" w:cs="宋体"/>
          <w:sz w:val="24"/>
          <w:szCs w:val="24"/>
          <w:lang w:eastAsia="zh-CN"/>
        </w:rPr>
        <w:t xml:space="preserve">，包括首次登记、转移登记、变更登记、注销登记、更正登记、异议登记、预告登记、查封登记、其他登记及各类组合登记和批量业务；支持产权证书查询、登记簿查询、抵押查询、查封查询、预告查询、档案资料查询、楼盘表查询、宗地信息查询和不动产单元查询；支持证书证明颁发清册、办件绩效、抵押办理清册、查封办理清册等报表的生成、导出和打印；支持不动产历史登记信息维护、楼盘表维护和权籍问题处理；支持在线缴纳登记费及相关税费并回写业务结果；支持生成符合国家标准的电子不动产权证书和登记证明，与纸质证照具有同等法律效力，并支持扫码核验。</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⑥接口与业务协同。保持</w:t>
      </w:r>
      <w:r>
        <w:rPr>
          <w:rFonts w:hint="eastAsia" w:ascii="宋体" w:hAnsi="宋体" w:eastAsia="宋体" w:cs="宋体"/>
          <w:sz w:val="24"/>
          <w:szCs w:val="24"/>
          <w:lang w:eastAsia="zh-CN"/>
        </w:rPr>
        <w:t xml:space="preserve">并优化与外部单位的接口对接，包括与税务部门的“一窗受理”接口，实现在线获取核税结果、推送完税信息；与住建部门的交易信息交互接口；与金融机构的抵押登记、注销登记线上办理接口；与司法部门的查封、解封裁定书和协助执行通知书接收接口，接收后可自动触发相应业务；与公安、民政部门的自然人身份信息和婚姻状况核验接口；与省、市政务服务平台及省自然资源厅的办件上报接口，支撑“一件事、一次办”业务实时上报；与互联网端、移动端和自助终端的对外服务接口。对外接口应具备超时控制、失败重试、幂等处理和补偿机制，关键接口应提供对账功能。</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⑦用户体系与权限。系统目前未接入政务统一用户认证体系，用户按岗位分配权限，岗位包括收件、受理、审核、核定、缮证、收费等。改造后应保持这一权限模型，支持按行政区划和业务范围控制可见范围，并预留与省、市统一身份认证体系的对接能力，支持电子证书密钥认证、人脸识别等增强认证方式接入。</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⑧性能与安全。系统可用性不低于99.9%，一般页面响应时间不超过5秒，关键业务查询响应时间不超过10秒，支持每秒1000次以上并发访问，现场维护</w:t>
      </w:r>
      <w:r>
        <w:rPr>
          <w:rFonts w:hint="eastAsia" w:ascii="宋体" w:hAnsi="宋体" w:eastAsia="宋体" w:cs="宋体"/>
          <w:sz w:val="24"/>
          <w:szCs w:val="24"/>
          <w:lang w:eastAsia="zh-CN"/>
        </w:rPr>
        <w:t xml:space="preserve">响应时间不超过60分钟。系统按网络安全等级保护第三级要求设计，覆盖身份鉴别、访问控制、安全审计、入侵防范、通信完整性与保密性、软件容错、剩余信息保护、抗抵赖和资源控制等方面。口令长度不少于8位且包含数字、字母、特殊字符中的至少两类，有效期不超过90天；连续登录失败5次锁定账户，闲置30分钟自动退出会话；系统管理员、安全管理员、安全审计员三员分立；登录、查询、修改、删除、导出、权限变更等操作全程留痕，审计记录不可修改和删除，留存时间不少于6个月；敏感信息加密存储、脱敏展示，密码算法支持完全可控的商用密码算法。</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（3）历史业务功能全面重构</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①模块化重构。从系统整体层面将原有代码重组为独立模块，实现功能解耦，降低模块间依赖，完善各模块功能细节，提升代码可维护性和可复用性，为长期迭代运维提供支撑。</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功能重构。对原系统地方特色功能点进行重构，完善既有功能模块，功能点数量以《原登记2.0地方特色内容》《2.0登记系统升级》清单为准，上述清单作为本需求的组成部分和合同附件。重构后功能不得减少，业务规则和计算结果与原系统一致，原有快捷操作、批量操作、默认值带出等便利性设计应予保留。重构完成后应逐项验证，形成功能点对照验证记录。</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接口重构。对原系统API接口平台清单所列接口进行重构，接口数量以清单为准。重构后接口的报文格式、字段定义、调用方式和返回码不应发生影响已接入单位的变更，确需调整的应提前书面告知采购人并同步提供联调支持。</w:t>
      </w:r>
      <w:r/>
    </w:p>
    <w:p>
      <w:pPr>
        <w:pStyle w:val="844"/>
        <w:spacing w:line="500" w:lineRule="exact"/>
        <w:rPr>
          <w:rStyle w:val="691"/>
          <w:rFonts w:ascii="宋体" w:hAnsi="宋体" w:eastAsia="宋体" w:cs="宋体"/>
          <w:sz w:val="24"/>
          <w:szCs w:val="24"/>
          <w:shd w:val="clear" w:color="auto" w:fill="ffffff"/>
          <w:lang w:eastAsia="zh-CN"/>
        </w:rPr>
      </w:pPr>
      <w:r>
        <w:rPr>
          <w:rStyle w:val="691"/>
          <w:rFonts w:hint="eastAsia" w:ascii="宋体" w:hAnsi="宋体" w:eastAsia="宋体" w:cs="宋体"/>
          <w:sz w:val="24"/>
          <w:szCs w:val="24"/>
          <w:shd w:val="clear" w:color="auto" w:fill="ffffff"/>
          <w:lang w:eastAsia="zh-CN"/>
        </w:rPr>
        <w:t xml:space="preserve">三、一般技术服务要求</w:t>
      </w:r>
      <w:r/>
    </w:p>
    <w:p>
      <w:pPr>
        <w:pStyle w:val="844"/>
        <w:ind w:firstLine="480"/>
        <w:spacing w:line="50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四、商务要求</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（一）服务方案要求：</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项目实施方案：内容包含但不限于：①项目组织管理方案，包含项目人员的组成、人员详细配置计划以及各团队人员的主要职责；②项目进度计划，按需求梳理、平台开发、试运行、验收等阶段合理划分，并提供可考核的进度安排；③实施过程管理，按准备工作、项目实施、上线切换等阶段说明各阶段的管理内容；④质量管理保障方案，包含质量目标、质量范围和质量管理措施。</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总体架构设计：内容包含但不限于：①拓展性，架构清晰、可扩展，支持未来业务增长；②层级设计，系统分层设计合理，耦合度低；③可用性，在完全自主可控的软硬件环境下具备高可用、可伸缩、易维护特性；④架构设计，架构图完整、规范、表达清晰。</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核心业务功能实现：内容包含但不限于：①适用性，需求覆盖满足所有使用人需求；②业务流程设计，符合各类登记业务实际场景；③逻辑设计，功能逻辑正确、无明显缺陷；④关键节点设计，具备校验、留痕、追溯等环节。</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系统安全与权限控制：内容包含但不限于：①身份与权限，身份认证与权限模型精细，覆盖角色、用户组和权限范围；②安全机制设定，涵盖加密、日志、审计、漏洞防护；③权限控制，满足合规要求，支持脱敏展示、访问控制和操作留痕；④方案可行性，安全方案可落地、可验证。</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易用性与UI/UE设计：内容包含但不限于：①界面设计，布局合理、操作流畅、交互逻辑清晰；②系统适配，支持国内主流浏览器和现有办公终端适配；③人性化，提供引导式操作和提示文案；④规范符合，符合用户习惯与行业规范。</w:t>
      </w:r>
      <w:r/>
    </w:p>
    <w:p>
      <w:pPr>
        <w:ind w:firstLine="480"/>
        <w:jc w:val="both"/>
        <w:spacing w:after="0" w:line="48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运维、监控与日志设计：内容包含但不限于：①系统监控，监控体系完整，覆盖性能、错误和可用性；②操作回溯，日志可审计、可追溯、可分析；③完善运维，运维流程覆盖部署、升级、回滚和备份；④问题提示，告警机制规范，响应要求明确。</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val="0"/>
          <w:bCs w:val="0"/>
          <w:sz w:val="24"/>
          <w:szCs w:val="24"/>
          <w:lang w:eastAsia="zh-CN"/>
        </w:rPr>
        <w:t xml:space="preserve">7、售后服务方案设计：内容包含但不限于：①人员配备，针对本项目提供专属服务团队，人员配置专业且具有自然资源或不动产信息化项目服务经验；②应急处理，明确故障响应和问题解决的时效标准，区分</w:t>
      </w:r>
      <w:r>
        <w:rPr>
          <w:rFonts w:hint="eastAsia" w:ascii="宋体" w:hAnsi="宋体" w:eastAsia="宋体" w:cs="宋体"/>
          <w:sz w:val="24"/>
          <w:szCs w:val="24"/>
          <w:lang w:eastAsia="zh-CN"/>
        </w:rPr>
        <w:t xml:space="preserve">线上咨询、系统故障和紧急问题的处理流程；③系统维护，包含系统维保、日常运维、漏洞修复和版本迭代等长期服务内容；④支持服务，提供定制化培训和技术支持，并有服务考核机制。</w:t>
      </w:r>
      <w:r/>
    </w:p>
    <w:p>
      <w:pPr>
        <w:ind w:firstLine="480"/>
        <w:jc w:val="both"/>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（二）人员要求</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投标人应按下表配置项目团队，各岗位人员不得重复。投标文件中应提供人员名单、证书扫描件。</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928"/>
        <w:gridCol w:w="1361"/>
        <w:gridCol w:w="5102"/>
      </w:tblGrid>
      <w:tr>
        <w:trPr>
          <w:jc w:val="center"/>
          <w:tblHeader/>
        </w:trPr>
        <w:tc>
          <w:tcPr>
            <w:tcW w:w="907" w:type="dxa"/>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b/>
                <w:sz w:val="24"/>
                <w:szCs w:val="24"/>
              </w:rPr>
              <w:t xml:space="preserve">序号</w:t>
            </w:r>
            <w:r/>
          </w:p>
        </w:tc>
        <w:tc>
          <w:tcPr>
            <w:tcW w:w="1928" w:type="dxa"/>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b/>
                <w:sz w:val="24"/>
                <w:szCs w:val="24"/>
              </w:rPr>
              <w:t xml:space="preserve">岗位</w:t>
            </w:r>
            <w:r/>
          </w:p>
        </w:tc>
        <w:tc>
          <w:tcPr>
            <w:tcW w:w="1361" w:type="dxa"/>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b/>
                <w:sz w:val="24"/>
                <w:szCs w:val="24"/>
              </w:rPr>
              <w:t xml:space="preserve">人数下限</w:t>
            </w:r>
            <w:r/>
          </w:p>
        </w:tc>
        <w:tc>
          <w:tcPr>
            <w:tcW w:w="5102" w:type="dxa"/>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b/>
                <w:sz w:val="24"/>
                <w:szCs w:val="24"/>
              </w:rPr>
              <w:t xml:space="preserve">基本要求</w:t>
            </w:r>
            <w:r/>
          </w:p>
        </w:tc>
      </w:tr>
      <w:tr>
        <w:trPr>
          <w:jc w:val="center"/>
        </w:trPr>
        <w:tc>
          <w:tcPr>
            <w:tcW w:w="907"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1928"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项目总负责人</w:t>
            </w:r>
            <w:r/>
          </w:p>
        </w:tc>
        <w:tc>
          <w:tcPr>
            <w:tcW w:w="1361"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5102" w:type="dxa"/>
            <w:textDirection w:val="lrTb"/>
            <w:noWrap w:val="false"/>
          </w:tcPr>
          <w:p>
            <w:pPr>
              <w:spacing w:before="20" w:after="20" w:line="3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具有与本项目服务内容相关的专业基础理论知识和专业技术知识，负责项目的整体实施以及实施过程中的一般问题。</w:t>
            </w:r>
            <w:r/>
          </w:p>
        </w:tc>
      </w:tr>
      <w:tr>
        <w:trPr>
          <w:jc w:val="center"/>
        </w:trPr>
        <w:tc>
          <w:tcPr>
            <w:tcW w:w="907"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1928"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W w:w="1361"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5102" w:type="dxa"/>
            <w:textDirection w:val="lrTb"/>
            <w:noWrap w:val="false"/>
          </w:tcPr>
          <w:p>
            <w:pPr>
              <w:spacing w:before="20" w:after="20" w:line="3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具有与本项目服务内容相关的专业基础理论知识和专业技术知识，负责项目技术方案的落实和技术问题处置。</w:t>
            </w:r>
            <w:r/>
          </w:p>
        </w:tc>
      </w:tr>
      <w:tr>
        <w:trPr>
          <w:jc w:val="center"/>
        </w:trPr>
        <w:tc>
          <w:tcPr>
            <w:tcW w:w="907"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1928"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质量负责人</w:t>
            </w:r>
            <w:r/>
          </w:p>
        </w:tc>
        <w:tc>
          <w:tcPr>
            <w:tcW w:w="1361"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5102" w:type="dxa"/>
            <w:textDirection w:val="lrTb"/>
            <w:noWrap w:val="false"/>
          </w:tcPr>
          <w:p>
            <w:pPr>
              <w:spacing w:before="20" w:after="20" w:line="3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具有与本项目服务内容相关的专业基础理论知识和专业技术知识，负责项目实施过程的质量控制。</w:t>
            </w:r>
            <w:r/>
          </w:p>
        </w:tc>
      </w:tr>
      <w:tr>
        <w:trPr>
          <w:jc w:val="center"/>
        </w:trPr>
        <w:tc>
          <w:tcPr>
            <w:tcW w:w="907"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1928" w:type="dxa"/>
            <w:vAlign w:val="center"/>
            <w:textDirection w:val="lrTb"/>
            <w:noWrap w:val="false"/>
          </w:tcPr>
          <w:p>
            <w:pPr>
              <w:jc w:val="center"/>
              <w:spacing w:before="20" w:after="20" w:line="320" w:lineRule="exact"/>
              <w:rPr>
                <w:rFonts w:ascii="宋体" w:hAnsi="宋体" w:eastAsia="宋体" w:cs="宋体"/>
                <w:sz w:val="24"/>
                <w:szCs w:val="24"/>
              </w:rPr>
            </w:pPr>
            <w:r>
              <w:rPr>
                <w:rFonts w:hint="eastAsia" w:ascii="宋体" w:hAnsi="宋体" w:eastAsia="宋体" w:cs="宋体"/>
                <w:sz w:val="24"/>
                <w:szCs w:val="24"/>
              </w:rPr>
              <w:t xml:space="preserve">项目组成员</w:t>
            </w:r>
            <w:r/>
          </w:p>
        </w:tc>
        <w:tc>
          <w:tcPr>
            <w:tcW w:w="1361" w:type="dxa"/>
            <w:vAlign w:val="center"/>
            <w:textDirection w:val="lrTb"/>
            <w:noWrap w:val="false"/>
          </w:tcPr>
          <w:p>
            <w:pPr>
              <w:jc w:val="center"/>
              <w:spacing w:before="20" w:after="20" w:line="3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5102" w:type="dxa"/>
            <w:textDirection w:val="lrTb"/>
            <w:noWrap w:val="false"/>
          </w:tcPr>
          <w:p>
            <w:pPr>
              <w:spacing w:before="20" w:after="20" w:line="3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具有与本项目服务内容相关的专业基础理论知识和专业技术知识，承担开发、测试、实施等工作。</w:t>
            </w:r>
            <w:r/>
          </w:p>
        </w:tc>
      </w:tr>
    </w:tbl>
    <w:p>
      <w:pPr>
        <w:spacing w:after="0"/>
        <w:rPr>
          <w:rFonts w:ascii="宋体" w:hAnsi="宋体" w:eastAsia="宋体" w:cs="宋体"/>
          <w:sz w:val="24"/>
          <w:szCs w:val="24"/>
          <w:lang w:eastAsia="zh-CN"/>
        </w:rPr>
      </w:pPr>
      <w:r>
        <w:rPr>
          <w:rFonts w:ascii="宋体" w:hAnsi="宋体" w:eastAsia="宋体" w:cs="宋体"/>
          <w:sz w:val="24"/>
          <w:szCs w:val="24"/>
          <w:lang w:eastAsia="zh-CN"/>
        </w:rPr>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实施期间，项目总负责人和技术负责人不得随意更换，确需更换的应提前书面报采购人同意，替换人员的资历和经验不低于原人员。系统上线和试运行期间，投标人应安排不少于2名技术人员在采购人现场驻场。</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（三）服务保障要求：</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须提供一年的免费售后服务，售后服务期从项目验收合格双方签字之日起计算。售后服务期内投标人应免费提供各种技术服务，包括系统修改、在线答疑、定期回访，并根据采购人需要提供阶段性驻场服务。</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故障响应：售后服务期内，各类故障应在1小时内响应，2小时内提供应急解决方案；影响系统正常使用的缺陷在使用方提出后8小时内修正；系统安全漏洞的修复在使用方提出后24小时内解决。现场维护响应时间不超过60分钟。投标人未按时限解决问题的，采购人有权自行处理，所发生费用由投标人承担。</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技术支持：售后服务期内提供7×24小时技术支持服务，提供热线电话、电子邮件、传真、网站等受理途径，随时接受使用人员提出的技术问题，并在24小时内提供解决方案，对每个问题建立闭环跟踪机制。远程维护无法解决的，应派遣技术人员上门处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培训要求：投标人应依据采购人实际情况制定完整培训计划。面向系统管理员开展部署架构、配置管理、权限管理、日志审计和故障处置培训；面向登记机构业务人员开展业务流程和功能操作培训，按批次覆盖登记中心及下属机构。培训应使相关人员掌握系统的使用、维护和管理方法，能够独立完成系统管理、故障处理和日常维护，并提供培训教材和操作手册。</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（四）合同履行期限：</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合同签订后12个月内完成全部建设内容并交付验收，其中系统试运行不少于1个月。</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（五）付款方式：</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签订合同后30个自然日内预付中标金额的30%，余款在项目验收通过后30个自然日内一次性付清。</w:t>
      </w:r>
      <w:r/>
    </w:p>
    <w:p>
      <w:pPr>
        <w:jc w:val="both"/>
        <w:spacing w:before="120"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五、报价要求</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包括但不限于完成本项目所需的软件开发、适配调优、部署实施、测试、培训、验收、售后服务、人工、差旅、办公、各种税费及合同包含的所有风险和责任等各项应有费用。本项目不含服务器、存储、网络及安全硬件设备，系统运行环境由采购人通过市级政务云统一提供。招标文件未列明但为完成本项目采购需求所必需的其他费用，亦包含在投标报价中，采购人不再支付其他款项。如有漏项，视同已包含在其他项目中，合同总价不作调整。</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须具备独立完成本项目的能力和较强的售后服务能力。投标人可在投标前自行调研了解项目情况，但不得因此使采购人承担有关责任或蒙受损失，投标人应自行承担前期调研的责任和风险。中标后不得以不了解项目情况为由向采购人提出索赔。</w:t>
      </w:r>
      <w:r/>
    </w:p>
    <w:p>
      <w:pPr>
        <w:jc w:val="both"/>
        <w:spacing w:before="120"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六、综合说明：</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功能配置和软件功能的条款，还需提供相关图纸或图片资料予以说明。标书中的任何偏差都必须列入投标文件中的偏差表，未按要求列明的投标文件承担被拒绝接受的风险。中标后，中标方在合同谈判中的任何偏差都不得超越偏差表中已被采购方确认的条款。所有应答不得完全照抄、复制招标文件所列条款、指标和参数；非量化指标可以直接应答，量化指标必须应答具体数值。采购人保留最终产品测试的权利，发现虚假应标的，取消投标资格并承担相应责任。</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使用本次招标的软件而引起第三方提出的侵犯专利权、商标权或工业设计权的起诉、行动、行政程序、索赔、请求等，以及采购方为此产生的损失、损害、费用和支出（包括律师费）。本项目定制开发形成的源代码和技术文档归采购人所有。</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必须保证全部投标资料的真实性。如有虚假或对招标文件要求说明的情况故意隐瞒、虚报，视为不实质性响应招标文件，作无效投标处理；已中标的取消中标资格，并按《中华人民共和国政府采购法》第七十七条“提供虚假材料谋取中标、成交”的相关规定处理。</w:t>
      </w:r>
      <w:r/>
    </w:p>
    <w:p>
      <w:pPr>
        <w:ind w:firstLine="480"/>
        <w:jc w:val="both"/>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七、凡涉及招标文件的补充说明和修改，均以江苏省政府采购网、苏州政府采购网发布的内容为准。</w:t>
      </w:r>
      <w:r/>
    </w:p>
    <w:p>
      <w:pPr>
        <w:pStyle w:val="844"/>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ind w:firstLine="482"/>
        <w:spacing w:line="50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spacing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44"/>
        <w:spacing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44"/>
        <w:spacing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r>
      <w:r/>
    </w:p>
    <w:p>
      <w:pPr>
        <w:pStyle w:val="844"/>
        <w:keepLines w:val="0"/>
        <w:keepNext w:val="0"/>
        <w:pageBreakBefore w:val="0"/>
        <w:spacing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标段二：2026年太仓市“互联网+不动产登记”综合服务平台改造项目项目需求</w:t>
      </w:r>
      <w:r/>
    </w:p>
    <w:p>
      <w:pPr>
        <w:ind w:firstLine="482"/>
        <w:keepLines w:val="0"/>
        <w:keepNext w:val="0"/>
        <w:pageBreakBefore w:val="0"/>
        <w:spacing w:after="0"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一、项目背景</w:t>
      </w:r>
      <w:r/>
    </w:p>
    <w:p>
      <w:pPr>
        <w:ind w:firstLine="482"/>
        <w:keepLines w:val="0"/>
        <w:keepNext w:val="0"/>
        <w:pageBreakBefore w:val="0"/>
        <w:spacing w:after="0" w:line="500" w:lineRule="exac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（一）项目概述</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为落实国家网络安全战略要求，贯彻《自然资源部信息化建设总体方案》部署，衔接自然资源领域相关技术标准等政策要求，进一步提升不动产登记领域信息安全保障水平与技术架构安全防护能，有必要对太仓市“互联网+不动产登记”综合服务平台实施技术架构升级改造，保障不动产登记业务在新型技术架构下安全、稳定、高效运行，提升不动产登记领域信息安全水平，促进营商环境优化和政务服务能力提升。</w:t>
      </w:r>
      <w:r/>
    </w:p>
    <w:p>
      <w:pPr>
        <w:pStyle w:val="685"/>
        <w:ind w:firstLine="482"/>
        <w:jc w:val="both"/>
        <w:keepLines w:val="0"/>
        <w:keepNext w:val="0"/>
        <w:pageBreakBefore w:val="0"/>
        <w:spacing w:after="0" w:line="500" w:lineRule="exact"/>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（二）建设目标</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需通过本次自然资源和不动产登记信息平台升级改造建设，打造具备高安全性、高可用性、高兼容性和高效性的新一代不动产登记平台，实现升级环境下抵押登记等业务的全流程线上化、智能化办理，提升政府部门管理水平和服务效能，保障不动产权利人合法权益。包括以下项目目标：</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1.安全稳定：实现从底层基础设施到上层应用软件（操作系统、数据库、中间件、应用）的全栈式安全稳定替代，形成安全稳定的技术体系。</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2.平稳过渡：保障业务连续性，实现数据的无损、平滑迁移，确保在迁移过程中及迁移后，不动产登记业务办理“不间断、体验佳、更稳定”。</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3.效能提升：利用新型技术平台，优化系统架构，提升高并发处理能力和业务办理效率，缩短办事时限。</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4.生态融合：完成与省级政务服务平台、税务、法院、公安等系统在新架构环境下的深度适配与无缝集成。</w:t>
      </w:r>
      <w:r/>
    </w:p>
    <w:p>
      <w:pPr>
        <w:pStyle w:val="685"/>
        <w:ind w:firstLine="480"/>
        <w:jc w:val="both"/>
        <w:keepLines w:val="0"/>
        <w:keepNext w:val="0"/>
        <w:pageBreakBefore w:val="0"/>
        <w:spacing w:after="0" w:line="50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旨在提升不动产登记领域信息安全水平，促进营商环境优化和政务服务能力提升。对太仓市“互联网+不动产登记”综合服务平台实施一次全面、彻底的技术架构升级。其核心目标是构建一个安全稳定、业务高效的新一代政务服务平台。</w:t>
      </w:r>
      <w:r/>
    </w:p>
    <w:p>
      <w:pPr>
        <w:ind w:firstLine="482"/>
        <w:keepLines w:val="0"/>
        <w:keepNext w:val="0"/>
        <w:pageBreakBefore w:val="0"/>
        <w:spacing w:after="0" w:line="500" w:lineRule="exact"/>
        <w:rPr>
          <w:rFonts w:hint="eastAsia" w:ascii="宋体" w:hAnsi="宋体" w:eastAsia="宋体" w:cs="宋体"/>
          <w:sz w:val="24"/>
          <w:lang w:val="zh-CN" w:eastAsia="zh-CN"/>
        </w:rPr>
      </w:pPr>
      <w:r>
        <w:rPr>
          <w:rFonts w:hint="eastAsia" w:ascii="宋体" w:hAnsi="宋体" w:eastAsia="宋体" w:cs="宋体"/>
          <w:b/>
          <w:sz w:val="24"/>
          <w:lang w:eastAsia="zh-CN"/>
        </w:rPr>
        <w:t xml:space="preserve">二、项目需求</w:t>
      </w:r>
      <w:r/>
    </w:p>
    <w:p>
      <w:pPr>
        <w:ind w:firstLine="482"/>
        <w:keepLines w:val="0"/>
        <w:keepNext w:val="0"/>
        <w:pageBreakBefore w:val="0"/>
        <w:spacing w:after="0" w:line="500" w:lineRule="exact"/>
        <w:rPr>
          <w:rFonts w:hint="eastAsia" w:ascii="宋体" w:hAnsi="宋体" w:eastAsia="宋体" w:cs="宋体"/>
          <w:b/>
          <w:bCs/>
          <w:sz w:val="24"/>
          <w:lang w:val="zh-CN" w:eastAsia="zh-CN"/>
        </w:rPr>
      </w:pPr>
      <w:r>
        <w:rPr>
          <w:rFonts w:hint="eastAsia" w:ascii="宋体" w:hAnsi="宋体" w:eastAsia="宋体" w:cs="宋体"/>
          <w:b/>
          <w:bCs/>
          <w:sz w:val="24"/>
          <w:lang w:val="zh-CN" w:eastAsia="zh-CN"/>
        </w:rPr>
        <w:t xml:space="preserve">（</w:t>
      </w:r>
      <w:r>
        <w:rPr>
          <w:rFonts w:hint="eastAsia" w:ascii="宋体" w:hAnsi="宋体" w:eastAsia="宋体" w:cs="宋体"/>
          <w:b/>
          <w:bCs/>
          <w:sz w:val="24"/>
          <w:lang w:eastAsia="zh-CN"/>
        </w:rPr>
        <w:t xml:space="preserve">一）</w:t>
      </w:r>
      <w:r>
        <w:rPr>
          <w:rFonts w:hint="eastAsia" w:ascii="宋体" w:hAnsi="宋体" w:eastAsia="宋体" w:cs="宋体"/>
          <w:b/>
          <w:bCs/>
          <w:sz w:val="24"/>
          <w:lang w:val="zh-CN" w:eastAsia="zh-CN"/>
        </w:rPr>
        <w:t xml:space="preserve">工作内容</w:t>
      </w:r>
      <w:r/>
    </w:p>
    <w:p>
      <w:pPr>
        <w:ind w:firstLine="482"/>
        <w:keepLines w:val="0"/>
        <w:keepNext w:val="0"/>
        <w:pageBreakBefore w:val="0"/>
        <w:spacing w:after="0" w:line="500" w:lineRule="exact"/>
        <w:rPr>
          <w:rFonts w:hint="eastAsia" w:ascii="宋体" w:hAnsi="宋体" w:eastAsia="宋体" w:cs="宋体"/>
          <w:b/>
          <w:bCs w:val="0"/>
          <w:sz w:val="24"/>
          <w:lang w:eastAsia="zh-CN"/>
        </w:rPr>
      </w:pPr>
      <w:r>
        <w:rPr>
          <w:rFonts w:hint="eastAsia" w:ascii="宋体" w:hAnsi="宋体" w:eastAsia="宋体" w:cs="宋体"/>
          <w:b/>
          <w:bCs w:val="0"/>
          <w:sz w:val="24"/>
          <w:lang w:eastAsia="zh-CN"/>
        </w:rPr>
        <w:t xml:space="preserve">1、2026年太仓市“互联网+不动产登记”综合服务平台改造升级</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本部分建设内容包含“互联网+不动产登记”综合服务平台改造升级、共享查询系统升级改造要求、登记系统接口升级改造要求，完成系统环境适配、代码改造、接口重构、数据安全加固与业务兼容适配，保障改造后系统安全合规、业务连续、平稳适配，具体要求如下：</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（1）“互联网+不动产登记”综合服务平台升级改造要求</w:t>
      </w:r>
      <w:r/>
    </w:p>
    <w:p>
      <w:pPr>
        <w:ind w:firstLine="480"/>
        <w:jc w:val="both"/>
        <w:keepLines w:val="0"/>
        <w:keepNext w:val="0"/>
        <w:pageBreakBefore w:val="0"/>
        <w:spacing w:after="0" w:line="500" w:lineRule="exact"/>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完成综合服务平台适配与安全改造，实现加密数据可控查询、标准化数据脱敏、SQL操作合规管控及苏易登平台业务兼容。</w:t>
      </w:r>
      <w:r>
        <w:rPr>
          <w:rFonts w:hint="eastAsia" w:ascii="宋体" w:hAnsi="宋体" w:eastAsia="宋体" w:cs="宋体"/>
          <w:sz w:val="24"/>
          <w:szCs w:val="24"/>
          <w:lang w:eastAsia="zh-CN" w:bidi="ar"/>
        </w:rPr>
        <w:t xml:space="preserve">按照升级后的软硬件环境（操作系统、数据库、中间件）完成平台部署适配与代码改造，确保平台在新环境下安全稳定运行；对涉及不动产登记信息的查询场景实行加密数据可控查询，做到加密存储、授权访问、查询可溯，敏感字段按统一规则脱敏展示；规范SQL操作的合规管控与审计，防范注入攻击及违规数据操作；同步完成与苏易登平台的业务兼容适配，保障改造后各项登记业务正常办理、连续不中断。</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（2）“互联网+”共享查询系统升级改造要求</w:t>
      </w:r>
      <w:r/>
    </w:p>
    <w:p>
      <w:pPr>
        <w:ind w:firstLine="480"/>
        <w:jc w:val="both"/>
        <w:keepLines w:val="0"/>
        <w:keepNext w:val="0"/>
        <w:pageBreakBefore w:val="0"/>
        <w:spacing w:after="0" w:line="500" w:lineRule="exact"/>
        <w:widowControl w:val="off"/>
        <w:rPr>
          <w:rFonts w:hint="eastAsia" w:ascii="宋体" w:hAnsi="宋体" w:eastAsia="宋体" w:cs="宋体"/>
          <w:lang w:eastAsia="zh-CN"/>
        </w:rPr>
      </w:pPr>
      <w:r>
        <w:rPr>
          <w:rFonts w:hint="eastAsia" w:ascii="宋体" w:hAnsi="宋体" w:eastAsia="宋体" w:cs="宋体"/>
          <w:sz w:val="24"/>
          <w:lang w:eastAsia="zh-CN"/>
        </w:rPr>
        <w:t xml:space="preserve">完成共享查询系统适配不动产登记数据库，实现环境适配、脚本重构、代码改造、按照等保要求实现接口传输</w:t>
      </w:r>
      <w:r>
        <w:rPr>
          <w:rFonts w:hint="eastAsia" w:ascii="宋体" w:hAnsi="宋体" w:eastAsia="宋体" w:cs="宋体"/>
          <w:lang w:eastAsia="zh-CN"/>
        </w:rPr>
        <w:t xml:space="preserve">数据加密，并与平台业务兼容。对数据库访问连接、查询脚本及业务代码进行重构调整，确保共享查询功能完整可用；按等级保护要求对接口传输链路实施数据加密，保障数据传输的机密性与完整性；改造后共享查询与升级后平台业务无缝衔接，查询结果实时、准确，业务办理连续稳定。</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（3）不动产登记系统接口升级改造要求</w:t>
      </w:r>
      <w:r/>
    </w:p>
    <w:p>
      <w:pPr>
        <w:ind w:firstLine="480"/>
        <w:keepLines w:val="0"/>
        <w:keepNext w:val="0"/>
        <w:pageBreakBefore w:val="0"/>
        <w:spacing w:after="0" w:line="500" w:lineRule="exact"/>
        <w:rPr>
          <w:rFonts w:hint="eastAsia" w:ascii="宋体" w:hAnsi="宋体" w:eastAsia="宋体" w:cs="宋体"/>
          <w:lang w:eastAsia="zh-CN"/>
        </w:rPr>
      </w:pPr>
      <w:r>
        <w:rPr>
          <w:rFonts w:hint="eastAsia" w:ascii="宋体" w:hAnsi="宋体" w:eastAsia="宋体" w:cs="宋体"/>
          <w:sz w:val="24"/>
          <w:lang w:eastAsia="zh-CN"/>
        </w:rPr>
        <w:t xml:space="preserve">全面梳理与不动产登记系统的交互链路，完成所有数据交互、信息同步节点的适配改造，完成近50个对接接口的功能改造、协议适配、数据联调，保障跨系统数据同步实时、准确、稳定，实现全链路业务贯通。</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szCs w:val="24"/>
          <w:lang w:eastAsia="zh-CN" w:bidi="ar"/>
        </w:rPr>
        <w:t xml:space="preserve">按照升级后环境及接口规范逐接口完成改造与联调验证，改造期间业务不间断，为后续业务扩展预留接口可扩展性。</w:t>
      </w:r>
      <w:r/>
    </w:p>
    <w:p>
      <w:pPr>
        <w:ind w:firstLine="482"/>
        <w:keepLines w:val="0"/>
        <w:keepNext w:val="0"/>
        <w:pageBreakBefore w:val="0"/>
        <w:spacing w:after="0" w:line="500" w:lineRule="exact"/>
        <w:rPr>
          <w:rFonts w:hint="eastAsia" w:ascii="宋体" w:hAnsi="宋体" w:eastAsia="宋体" w:cs="宋体"/>
          <w:b/>
          <w:sz w:val="24"/>
          <w:lang w:eastAsia="zh-CN"/>
        </w:rPr>
      </w:pPr>
      <w:r>
        <w:rPr>
          <w:rFonts w:hint="eastAsia" w:ascii="宋体" w:hAnsi="宋体" w:eastAsia="宋体" w:cs="宋体"/>
          <w:b/>
          <w:sz w:val="24"/>
          <w:lang w:eastAsia="zh-CN"/>
        </w:rPr>
        <w:t xml:space="preserve">2、建设市不动产登记智能审核系统</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本系统聚焦不动产登记业务场景与实际办理需求，建设不动产纯抵押登记、抵押注销登记等业务受理前的智能审核系统，实现申请材料的自动识别、自动比对与智能辅助审核，减少人工重复劳动，提升登记审核的准确率与办理效率。</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系统须全栈适配平台升级后软硬件环境，服务器、操作系统、数据库与中间件的部署运行；并支持业务规则的可配置化管理与持续优化。</w:t>
      </w:r>
      <w:r/>
    </w:p>
    <w:p>
      <w:pPr>
        <w:ind w:firstLine="482"/>
        <w:keepLines w:val="0"/>
        <w:keepNext w:val="0"/>
        <w:pageBreakBefore w:val="0"/>
        <w:spacing w:after="0" w:line="500" w:lineRule="exact"/>
        <w:rPr>
          <w:rFonts w:hint="eastAsia" w:ascii="宋体" w:hAnsi="宋体" w:eastAsia="宋体" w:cs="宋体"/>
          <w:b/>
          <w:sz w:val="24"/>
          <w:lang w:eastAsia="zh-CN"/>
        </w:rPr>
      </w:pPr>
      <w:r>
        <w:rPr>
          <w:rFonts w:hint="eastAsia" w:ascii="宋体" w:hAnsi="宋体" w:eastAsia="宋体" w:cs="宋体"/>
          <w:b/>
          <w:bCs/>
          <w:sz w:val="24"/>
          <w:lang w:eastAsia="zh-CN"/>
        </w:rPr>
        <w:t xml:space="preserve">3、</w:t>
      </w:r>
      <w:r>
        <w:rPr>
          <w:rFonts w:hint="eastAsia" w:ascii="宋体" w:hAnsi="宋体" w:eastAsia="宋体" w:cs="宋体"/>
          <w:b/>
          <w:sz w:val="24"/>
          <w:lang w:eastAsia="zh-CN"/>
        </w:rPr>
        <w:t xml:space="preserve">建设市不动产登记电子档案智能质检系统</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本系统构建以电子档案智能全检为主、人工复核为辅的档案质检体系，基于OCR与自然语言处理（NLP）技术建立智能质检模型，对不动产登记电子档案的完整性、一致性、规范性与影像质量进行自动化全面检查，实现档案质检从抽检到全检的智能化升级。</w:t>
      </w:r>
      <w:r/>
    </w:p>
    <w:p>
      <w:pPr>
        <w:ind w:firstLine="480"/>
        <w:keepLines w:val="0"/>
        <w:keepNext w:val="0"/>
        <w:pageBreakBefore w:val="0"/>
        <w:spacing w:after="0"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人工复核与闭环整改：对智能质检判定存疑的档案转入人工复核队列，复核意见可回溯并用于质检模型的持续训练优化，形成“智能全检—人工复核—模型优化”的闭环机制。满足不动产登记电子档案归档与管理的相关标准要求。</w:t>
      </w:r>
      <w:r/>
    </w:p>
    <w:p>
      <w:pPr>
        <w:pStyle w:val="844"/>
        <w:ind w:firstLine="482"/>
        <w:keepLines w:val="0"/>
        <w:keepNext w:val="0"/>
        <w:pageBreakBefore w:val="0"/>
        <w:spacing w:after="0" w:line="500" w:lineRule="exact"/>
        <w:rPr>
          <w:rStyle w:val="691"/>
          <w:rFonts w:hint="eastAsia" w:ascii="宋体" w:hAnsi="宋体" w:eastAsia="宋体" w:cs="宋体"/>
          <w:sz w:val="24"/>
          <w:shd w:val="clear" w:color="auto" w:fill="ffffff"/>
          <w:lang w:eastAsia="zh-CN"/>
        </w:rPr>
      </w:pPr>
      <w:r>
        <w:rPr>
          <w:rStyle w:val="691"/>
          <w:rFonts w:hint="eastAsia" w:ascii="宋体" w:hAnsi="宋体" w:eastAsia="宋体" w:cs="宋体"/>
          <w:sz w:val="24"/>
          <w:shd w:val="clear" w:color="auto" w:fill="ffffff"/>
          <w:lang w:eastAsia="zh-CN"/>
        </w:rPr>
        <w:t xml:space="preserve">三、一般技术服务要求</w:t>
      </w:r>
      <w:r/>
    </w:p>
    <w:p>
      <w:pPr>
        <w:pStyle w:val="844"/>
        <w:ind w:firstLine="480"/>
        <w:keepLines w:val="0"/>
        <w:keepNext w:val="0"/>
        <w:pageBreakBefore w:val="0"/>
        <w:spacing w:after="0" w:line="500" w:lineRule="exact"/>
        <w:rPr>
          <w:rFonts w:hint="eastAsia" w:ascii="宋体" w:hAnsi="宋体" w:eastAsia="宋体" w:cs="宋体"/>
          <w:b/>
          <w:lang w:eastAsia="zh-CN"/>
        </w:rPr>
      </w:pPr>
      <w:r>
        <w:rPr>
          <w:rFonts w:hint="eastAsia" w:ascii="宋体" w:hAnsi="宋体" w:eastAsia="宋体" w:cs="宋体"/>
          <w:sz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44"/>
        <w:ind w:firstLine="482"/>
        <w:keepLines w:val="0"/>
        <w:keepNext w:val="0"/>
        <w:pageBreakBefore w:val="0"/>
        <w:spacing w:after="0" w:line="500" w:lineRule="exact"/>
        <w:rPr>
          <w:rStyle w:val="691"/>
          <w:rFonts w:hint="eastAsia" w:ascii="宋体" w:hAnsi="宋体" w:eastAsia="宋体" w:cs="宋体"/>
          <w:sz w:val="24"/>
          <w:shd w:val="clear" w:color="auto" w:fill="ffffff"/>
          <w:lang w:eastAsia="zh-CN"/>
        </w:rPr>
      </w:pPr>
      <w:r>
        <w:rPr>
          <w:rStyle w:val="691"/>
          <w:rFonts w:hint="eastAsia" w:ascii="宋体" w:hAnsi="宋体" w:eastAsia="宋体" w:cs="宋体"/>
          <w:sz w:val="24"/>
          <w:shd w:val="clear" w:color="auto" w:fill="ffffff"/>
          <w:lang w:eastAsia="zh-CN"/>
        </w:rPr>
        <w:t xml:space="preserve">四、商务要求</w:t>
      </w:r>
      <w:r/>
    </w:p>
    <w:p>
      <w:pPr>
        <w:ind w:firstLine="482"/>
        <w:keepLines w:val="0"/>
        <w:keepNext w:val="0"/>
        <w:pageBreakBefore w:val="0"/>
        <w:spacing w:after="0" w:line="500" w:lineRule="exac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（一）服务方案要求：</w:t>
      </w:r>
      <w:r/>
    </w:p>
    <w:p>
      <w:pPr>
        <w:pStyle w:val="685"/>
        <w:ind w:firstLine="482"/>
        <w:keepLines w:val="0"/>
        <w:keepNext w:val="0"/>
        <w:pageBreakBefore w:val="0"/>
        <w:spacing w:after="0" w:line="50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1、</w:t>
      </w:r>
      <w:r>
        <w:rPr>
          <w:rFonts w:hint="eastAsia" w:ascii="宋体" w:hAnsi="宋体" w:eastAsia="宋体" w:cs="宋体"/>
          <w:b/>
          <w:sz w:val="24"/>
          <w:szCs w:val="24"/>
          <w:lang w:eastAsia="zh-CN"/>
        </w:rPr>
        <w:t xml:space="preserve">平台升级改造：</w:t>
      </w:r>
      <w:r>
        <w:rPr>
          <w:rFonts w:hint="eastAsia" w:ascii="宋体" w:hAnsi="宋体" w:eastAsia="宋体" w:cs="宋体"/>
          <w:sz w:val="24"/>
          <w:szCs w:val="24"/>
          <w:lang w:eastAsia="zh-CN"/>
        </w:rPr>
        <w:t xml:space="preserve">①总体架构：明确系统总的处理方案；②应用架构设计：做到安全性、数据保护和系统兼容性设计；③系统功能设计：充分考虑综合服务平台升级改造的管理特性，实现加密数据可控查询、标准化数据脱敏、SQL操作合规管控及苏易登平台业务兼容；④技术路线设计内容：设计系统间数据交换的机制与实现方式；⑤环境适配：完成与服务器、操作系统、数据库、中间件的适配、测试与调优，列明适配清单、测试方法与调优指标。</w:t>
      </w:r>
      <w:r/>
    </w:p>
    <w:p>
      <w:pPr>
        <w:ind w:firstLine="482"/>
        <w:keepLines w:val="0"/>
        <w:keepNext w:val="0"/>
        <w:pageBreakBefore w:val="0"/>
        <w:spacing w:after="0" w:line="500" w:lineRule="exact"/>
        <w:rPr>
          <w:rFonts w:hint="eastAsia" w:ascii="宋体" w:hAnsi="宋体" w:eastAsia="宋体" w:cs="宋体"/>
          <w:color w:val="auto"/>
          <w:sz w:val="24"/>
          <w:szCs w:val="24"/>
          <w:lang w:eastAsia="zh-CN"/>
        </w:rPr>
      </w:pPr>
      <w:r>
        <w:rPr>
          <w:rFonts w:hint="eastAsia" w:ascii="宋体" w:hAnsi="宋体" w:eastAsia="宋体" w:cs="宋体"/>
          <w:b/>
          <w:bCs/>
          <w:sz w:val="24"/>
          <w:szCs w:val="24"/>
          <w:lang w:eastAsia="zh-CN"/>
        </w:rPr>
        <w:t xml:space="preserve">2、</w:t>
      </w:r>
      <w:r>
        <w:rPr>
          <w:rFonts w:hint="eastAsia" w:ascii="宋体" w:hAnsi="宋体" w:eastAsia="宋体" w:cs="宋体"/>
          <w:b/>
          <w:sz w:val="24"/>
          <w:szCs w:val="24"/>
          <w:lang w:eastAsia="zh-CN"/>
        </w:rPr>
        <w:t xml:space="preserve">建设市不动产登记智能审核系统：</w:t>
      </w:r>
      <w:r>
        <w:rPr>
          <w:rFonts w:hint="eastAsia" w:ascii="宋体" w:hAnsi="宋体" w:eastAsia="宋体" w:cs="宋体"/>
          <w:sz w:val="24"/>
          <w:szCs w:val="24"/>
          <w:lang w:eastAsia="zh-CN"/>
        </w:rPr>
        <w:t xml:space="preserve">①总体架构：明确系统总的处理方案；②应用架构设计：做到安全性、数据保护和系统兼容性设计；③系统功能设计：充分考虑不动产纯抵押登记、抵押注销登记受理前智能审核的业务管理特性，实现材料齐备性、信息一致性与填报规范性自动校验，缺失材料定位到具体要件，审核结论留痕可追溯；④技术路线设计内容：设计系统间数据交换的机制与实现方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⑤性能指标：系统应在满足日常业务办理时效要求的前提下，实现材料识别、审核响应的及时处理，智能审核结果具备较高的规则命中准确率，并具备与业务量相适应的并发处理能力。</w:t>
      </w:r>
      <w:r/>
    </w:p>
    <w:p>
      <w:pPr>
        <w:pStyle w:val="685"/>
        <w:ind w:firstLine="482"/>
        <w:keepLines w:val="0"/>
        <w:keepNext w:val="0"/>
        <w:pageBreakBefore w:val="0"/>
        <w:spacing w:after="0" w:line="500" w:lineRule="exact"/>
        <w:rPr>
          <w:rFonts w:hint="eastAsia" w:ascii="宋体" w:hAnsi="宋体" w:eastAsia="宋体" w:cs="宋体"/>
          <w:b/>
          <w:sz w:val="24"/>
          <w:szCs w:val="24"/>
          <w:lang w:eastAsia="zh-CN"/>
        </w:rPr>
      </w:pPr>
      <w:r>
        <w:rPr>
          <w:rFonts w:hint="eastAsia" w:ascii="宋体" w:hAnsi="宋体" w:eastAsia="宋体" w:cs="宋体"/>
          <w:b/>
          <w:bCs/>
          <w:sz w:val="24"/>
          <w:szCs w:val="24"/>
          <w:lang w:eastAsia="zh-CN"/>
        </w:rPr>
        <w:t xml:space="preserve">3、建设市不动产登记电子档案智能质检系统方案要求：</w:t>
      </w:r>
      <w:r>
        <w:rPr>
          <w:rFonts w:hint="eastAsia" w:ascii="宋体" w:hAnsi="宋体" w:eastAsia="宋体" w:cs="宋体"/>
          <w:sz w:val="24"/>
          <w:szCs w:val="24"/>
          <w:lang w:eastAsia="zh-CN"/>
        </w:rPr>
        <w:t xml:space="preserve">①总</w:t>
      </w:r>
      <w:r>
        <w:rPr>
          <w:rFonts w:hint="eastAsia" w:ascii="宋体" w:hAnsi="宋体" w:eastAsia="宋体" w:cs="宋体"/>
          <w:sz w:val="24"/>
          <w:szCs w:val="24"/>
          <w:lang w:eastAsia="zh-CN"/>
        </w:rPr>
        <w:t xml:space="preserve">体架构：明确系统总的处理方案；②应用架构设计：做到安全性、数据保护和系统兼容性设计；③系统功能设计：充分考虑电子档案智能全检为主、人工复核为辅的档案质检体系管理特性，实现登记业务办结归档时自动触发档案质检、全量档案逐件智能检查，质检结果实时反馈、不合格项自动定位到具体页与具体问题，支持质检报告自动生成；④技术路线设计内容：设计系统间数据交换的机制与实现方式；⑤人工复核与闭环整改：实现智能质检判定存疑档案转入人工复核队列、复核意见可回溯并用于质检模型持续训练优化，形成“智能全检—人工复核—模型优化”闭环机制。</w:t>
      </w:r>
      <w:r/>
    </w:p>
    <w:p>
      <w:pPr>
        <w:ind w:firstLine="482"/>
        <w:spacing w:after="0"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（二）人员要求</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投标人应按下表配置项目团队，各岗位人员不得重复。投标文件中应提供人员名单、证书扫描件。</w:t>
      </w:r>
      <w:r/>
    </w:p>
    <w:tbl>
      <w:tblPr>
        <w:tblStyle w:val="69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694"/>
        <w:gridCol w:w="1175"/>
        <w:gridCol w:w="5550"/>
      </w:tblGrid>
      <w:tr>
        <w:trPr>
          <w:jc w:val="center"/>
          <w:tblHeader/>
        </w:trPr>
        <w:tc>
          <w:tcPr>
            <w:tcW w:w="761" w:type="dxa"/>
            <w:vAlign w:val="center"/>
            <w:textDirection w:val="lrTb"/>
            <w:noWrap w:val="false"/>
          </w:tcPr>
          <w:p>
            <w:pPr>
              <w:jc w:val="center"/>
              <w:spacing w:before="20" w:after="20" w:line="500" w:lineRule="exact"/>
            </w:pPr>
            <w:r>
              <w:rPr>
                <w:b/>
              </w:rPr>
              <w:t xml:space="preserve">序号</w:t>
            </w:r>
            <w:r/>
          </w:p>
        </w:tc>
        <w:tc>
          <w:tcPr>
            <w:tcW w:w="1694" w:type="dxa"/>
            <w:vAlign w:val="center"/>
            <w:textDirection w:val="lrTb"/>
            <w:noWrap w:val="false"/>
          </w:tcPr>
          <w:p>
            <w:pPr>
              <w:ind w:firstLine="440"/>
              <w:spacing w:before="20" w:after="20" w:line="500" w:lineRule="exact"/>
            </w:pPr>
            <w:r>
              <w:rPr>
                <w:b/>
              </w:rPr>
              <w:t xml:space="preserve">岗位</w:t>
            </w:r>
            <w:r/>
          </w:p>
        </w:tc>
        <w:tc>
          <w:tcPr>
            <w:tcW w:w="1175" w:type="dxa"/>
            <w:vAlign w:val="center"/>
            <w:textDirection w:val="lrTb"/>
            <w:noWrap w:val="false"/>
          </w:tcPr>
          <w:p>
            <w:pPr>
              <w:jc w:val="center"/>
              <w:spacing w:before="20" w:after="20" w:line="500" w:lineRule="exact"/>
            </w:pPr>
            <w:r>
              <w:rPr>
                <w:b/>
              </w:rPr>
              <w:t xml:space="preserve">人数下限</w:t>
            </w:r>
            <w:r/>
          </w:p>
        </w:tc>
        <w:tc>
          <w:tcPr>
            <w:tcW w:w="5550" w:type="dxa"/>
            <w:vAlign w:val="center"/>
            <w:textDirection w:val="lrTb"/>
            <w:noWrap w:val="false"/>
          </w:tcPr>
          <w:p>
            <w:pPr>
              <w:ind w:firstLine="440"/>
              <w:jc w:val="center"/>
              <w:spacing w:before="20" w:after="20" w:line="500" w:lineRule="exact"/>
            </w:pPr>
            <w:r>
              <w:rPr>
                <w:b/>
              </w:rPr>
              <w:t xml:space="preserve">基本要求</w:t>
            </w:r>
            <w:r/>
          </w:p>
        </w:tc>
      </w:tr>
      <w:tr>
        <w:trPr>
          <w:jc w:val="center"/>
        </w:trPr>
        <w:tc>
          <w:tcPr>
            <w:tcW w:w="761" w:type="dxa"/>
            <w:vAlign w:val="center"/>
            <w:textDirection w:val="lrTb"/>
            <w:noWrap w:val="false"/>
          </w:tcPr>
          <w:p>
            <w:pPr>
              <w:jc w:val="center"/>
              <w:spacing w:before="20" w:after="20" w:line="500" w:lineRule="exact"/>
            </w:pPr>
            <w:r>
              <w:t xml:space="preserve">1</w:t>
            </w:r>
            <w:r/>
          </w:p>
        </w:tc>
        <w:tc>
          <w:tcPr>
            <w:tcW w:w="1694" w:type="dxa"/>
            <w:vAlign w:val="center"/>
            <w:textDirection w:val="lrTb"/>
            <w:noWrap w:val="false"/>
          </w:tcPr>
          <w:p>
            <w:pPr>
              <w:jc w:val="center"/>
              <w:spacing w:before="20" w:after="20" w:line="500" w:lineRule="exact"/>
            </w:pPr>
            <w:r>
              <w:t xml:space="preserve">项目总负责人</w:t>
            </w:r>
            <w:r/>
          </w:p>
        </w:tc>
        <w:tc>
          <w:tcPr>
            <w:tcW w:w="1175" w:type="dxa"/>
            <w:vAlign w:val="center"/>
            <w:textDirection w:val="lrTb"/>
            <w:noWrap w:val="false"/>
          </w:tcPr>
          <w:p>
            <w:pPr>
              <w:jc w:val="center"/>
              <w:spacing w:before="20" w:after="20" w:line="500" w:lineRule="exact"/>
            </w:pPr>
            <w:r>
              <w:t xml:space="preserve">1</w:t>
            </w:r>
            <w:r/>
          </w:p>
        </w:tc>
        <w:tc>
          <w:tcPr>
            <w:tcW w:w="5550" w:type="dxa"/>
            <w:vAlign w:val="center"/>
            <w:textDirection w:val="lrTb"/>
            <w:noWrap w:val="false"/>
          </w:tcPr>
          <w:p>
            <w:pPr>
              <w:spacing w:before="20" w:after="20" w:line="500" w:lineRule="exact"/>
              <w:rPr>
                <w:lang w:eastAsia="zh-CN"/>
              </w:rPr>
            </w:pPr>
            <w:r>
              <w:rPr>
                <w:lang w:eastAsia="zh-CN"/>
              </w:rPr>
              <w:t xml:space="preserve">具有与本项目服务内容相关的专业基础理论知识和专业技术知识，负责项目技术方案的落实和技术问题处置。</w:t>
            </w:r>
            <w:r/>
          </w:p>
        </w:tc>
      </w:tr>
      <w:tr>
        <w:trPr>
          <w:jc w:val="center"/>
        </w:trPr>
        <w:tc>
          <w:tcPr>
            <w:tcW w:w="761" w:type="dxa"/>
            <w:vAlign w:val="center"/>
            <w:textDirection w:val="lrTb"/>
            <w:noWrap w:val="false"/>
          </w:tcPr>
          <w:p>
            <w:pPr>
              <w:jc w:val="center"/>
              <w:spacing w:before="20" w:after="20" w:line="500" w:lineRule="exact"/>
            </w:pPr>
            <w:r>
              <w:t xml:space="preserve">2</w:t>
            </w:r>
            <w:r/>
          </w:p>
        </w:tc>
        <w:tc>
          <w:tcPr>
            <w:tcW w:w="1694" w:type="dxa"/>
            <w:vAlign w:val="center"/>
            <w:textDirection w:val="lrTb"/>
            <w:noWrap w:val="false"/>
          </w:tcPr>
          <w:p>
            <w:pPr>
              <w:jc w:val="center"/>
              <w:spacing w:before="20" w:after="20" w:line="500" w:lineRule="exact"/>
            </w:pPr>
            <w:r>
              <w:rPr>
                <w:rFonts w:hint="eastAsia"/>
                <w:lang w:eastAsia="zh-CN"/>
              </w:rPr>
              <w:t xml:space="preserve">质量</w:t>
            </w:r>
            <w:r>
              <w:t xml:space="preserve">技术负责人</w:t>
            </w:r>
            <w:r/>
          </w:p>
        </w:tc>
        <w:tc>
          <w:tcPr>
            <w:tcW w:w="1175" w:type="dxa"/>
            <w:vAlign w:val="center"/>
            <w:textDirection w:val="lrTb"/>
            <w:noWrap w:val="false"/>
          </w:tcPr>
          <w:p>
            <w:pPr>
              <w:jc w:val="center"/>
              <w:spacing w:before="20" w:after="20" w:line="500" w:lineRule="exact"/>
            </w:pPr>
            <w:r>
              <w:t xml:space="preserve">1</w:t>
            </w:r>
            <w:r/>
          </w:p>
        </w:tc>
        <w:tc>
          <w:tcPr>
            <w:tcW w:w="5550" w:type="dxa"/>
            <w:vAlign w:val="center"/>
            <w:textDirection w:val="lrTb"/>
            <w:noWrap w:val="false"/>
          </w:tcPr>
          <w:p>
            <w:pPr>
              <w:spacing w:before="20" w:after="20" w:line="500" w:lineRule="exact"/>
              <w:rPr>
                <w:lang w:eastAsia="zh-CN"/>
              </w:rPr>
            </w:pPr>
            <w:r>
              <w:rPr>
                <w:lang w:eastAsia="zh-CN"/>
              </w:rPr>
              <w:t xml:space="preserve">具有与本项目服务内容相关的专业基础理论知识和专业技术知识，承担开发、测试、实施等工作。</w:t>
            </w:r>
            <w:r/>
          </w:p>
        </w:tc>
      </w:tr>
      <w:tr>
        <w:trPr>
          <w:jc w:val="center"/>
        </w:trPr>
        <w:tc>
          <w:tcPr>
            <w:tcW w:w="761" w:type="dxa"/>
            <w:vAlign w:val="center"/>
            <w:textDirection w:val="lrTb"/>
            <w:noWrap w:val="false"/>
          </w:tcPr>
          <w:p>
            <w:pPr>
              <w:jc w:val="center"/>
              <w:spacing w:before="20" w:after="20" w:line="500" w:lineRule="exact"/>
              <w:rPr>
                <w:rFonts w:eastAsia="宋体"/>
                <w:lang w:eastAsia="zh-CN"/>
              </w:rPr>
            </w:pPr>
            <w:r>
              <w:rPr>
                <w:rFonts w:hint="eastAsia"/>
                <w:lang w:eastAsia="zh-CN"/>
              </w:rPr>
              <w:t xml:space="preserve">3</w:t>
            </w:r>
            <w:r/>
          </w:p>
        </w:tc>
        <w:tc>
          <w:tcPr>
            <w:tcW w:w="1694" w:type="dxa"/>
            <w:vAlign w:val="center"/>
            <w:textDirection w:val="lrTb"/>
            <w:noWrap w:val="false"/>
          </w:tcPr>
          <w:p>
            <w:pPr>
              <w:jc w:val="center"/>
              <w:spacing w:before="20" w:after="20" w:line="500" w:lineRule="exact"/>
            </w:pPr>
            <w:r>
              <w:t xml:space="preserve">项目组成员</w:t>
            </w:r>
            <w:r/>
          </w:p>
        </w:tc>
        <w:tc>
          <w:tcPr>
            <w:tcW w:w="1175" w:type="dxa"/>
            <w:vAlign w:val="center"/>
            <w:textDirection w:val="lrTb"/>
            <w:noWrap w:val="false"/>
          </w:tcPr>
          <w:p>
            <w:pPr>
              <w:jc w:val="center"/>
              <w:spacing w:before="20" w:after="20" w:line="500" w:lineRule="exact"/>
              <w:rPr>
                <w:rFonts w:eastAsia="宋体"/>
                <w:lang w:eastAsia="zh-CN"/>
              </w:rPr>
            </w:pPr>
            <w:r>
              <w:rPr>
                <w:rFonts w:hint="eastAsia"/>
                <w:lang w:eastAsia="zh-CN"/>
              </w:rPr>
              <w:t xml:space="preserve">2</w:t>
            </w:r>
            <w:r/>
          </w:p>
        </w:tc>
        <w:tc>
          <w:tcPr>
            <w:tcW w:w="5550" w:type="dxa"/>
            <w:vAlign w:val="center"/>
            <w:textDirection w:val="lrTb"/>
            <w:noWrap w:val="false"/>
          </w:tcPr>
          <w:p>
            <w:pPr>
              <w:spacing w:before="20" w:after="20" w:line="500" w:lineRule="exact"/>
              <w:rPr>
                <w:lang w:eastAsia="zh-CN"/>
              </w:rPr>
            </w:pPr>
            <w:r>
              <w:rPr>
                <w:lang w:eastAsia="zh-CN"/>
              </w:rPr>
              <w:t xml:space="preserve">具备计算机相关专业背景，</w:t>
            </w:r>
            <w:r>
              <w:rPr>
                <w:rFonts w:hint="eastAsia"/>
                <w:lang w:eastAsia="zh-CN"/>
              </w:rPr>
              <w:t xml:space="preserve">具</w:t>
            </w:r>
            <w:r>
              <w:rPr>
                <w:lang w:eastAsia="zh-CN"/>
              </w:rPr>
              <w:t xml:space="preserve">有与本项目服务内容相关的专业基础理论知识和专业技术知识，承担开发、测试、实施等工作。</w:t>
            </w:r>
            <w:r/>
          </w:p>
        </w:tc>
      </w:tr>
    </w:tbl>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实施期间，项目总负责人和技术负责人不得随意更换，确需更换的应提前书面报采购人同意，替换人员的资历和经验不低于原人员。系统上线和试运行期间，投标人应安排不少于2名技术人员在采购人现场驻场。</w:t>
      </w:r>
      <w:r/>
    </w:p>
    <w:p>
      <w:pPr>
        <w:ind w:firstLine="482"/>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（三）服务保障要求：</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须提供一年的免费售后服务，售后服务期从项目验收合格双方签字之日起计算。售后服务期内投标人应免费提供各种技术服务，包括系统修改、在线答疑、定期回访，并根据采购人需要提供阶段性驻场服务。</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故障响应：售后服务期内，各类故障应在1小时内响应，2小时内提供应急解决方案；影响系统正常使用的缺陷在使用方提出后8小时内修正；系统安全漏洞的修复在使用方提出后24小时内解决。现场维护响应时间不超过60分钟。投标人未按时限解决问题的，采购人有权自行处理，所发生费用由投标人承担。</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技术支持：售后服务期内提供7×24小时技术支持服务，提供热线电话、电子邮件、传真、网站等受理途径，随时接受使用人员提出的技术问题，并在24小时内提供解决方案，对每个问题建立闭环跟踪机制。远程维护无法解决的，应派遣技术人员上门处理。</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培训要求：投标人应依据采购人实际情况制定完整培训计划。面向系统管理员开展部署架构、配置管理、权限管理、日志审计和故障处置培训；面向登记机构业务人员开展业务流程和功能操作培训，按批次覆盖登记中心及下属机构。培训应使相关人员掌握系统的使用、维护和管理方法，能够独立完成系统管理、故障处理和日常维护，并提供培训教材和操作手册。</w:t>
      </w:r>
      <w:r/>
    </w:p>
    <w:p>
      <w:pPr>
        <w:ind w:firstLine="482"/>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（四）合同履行期限：</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合同签订后12个月内完成全部建设内容并交付验收，其中系统试运行不少于1个月。</w:t>
      </w:r>
      <w:r/>
    </w:p>
    <w:p>
      <w:pPr>
        <w:ind w:firstLine="482"/>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（五）付款方式：</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签订合同后30个自然日内预付中标金额的30%，余款在项目验收通过后30个自然日内一次性付清。</w:t>
      </w:r>
      <w:r/>
    </w:p>
    <w:p>
      <w:pPr>
        <w:ind w:firstLine="482"/>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五、报价要求</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包括但不限于完成本项目所需的软件开发、适配调优、部署实施、测试、培训、验收、售后服务、人工、差旅、办公、各种税费及合同包含的所有风险和责任等各项应有费用。本项目不含服务器、存储、网络及安全硬件设备，系统运行环境由采购人通过市级政务云统一提供。招标文件未列明但为完成本项目采购需求所必需的其他费用，亦包含在投标报价中，采购人不再支付其他款项。如有漏项，视同已包含在其他项目中，合同总价不作调整。</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须具备独立完成本项目的能力和较强的售后服务能力。投标人可在投标前自行调研了解项目情况，但不得因此使采购人承担有关责任或蒙受损失，投标人应自行承担前期调研的责任和风险。中标后不得以不了解项目情况为由向采购人提出索赔。</w:t>
      </w:r>
      <w:r/>
    </w:p>
    <w:p>
      <w:pPr>
        <w:ind w:firstLine="482"/>
        <w:spacing w:after="0" w:line="5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六、综合说明：</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功能配置和软件功能的条款，还需提供相关图纸或图片资料予以说明。标书中的任何偏差都必须列入投标文件中的偏差表，未按要求列明的投标文件承担被拒绝接受的风险。中标后，中标方在合同谈判中的任何偏差都不得超越偏差表中已被采购方确认的条款。所有应答不得完全照抄、复制招标文件所列条款、指标和参数；非量化指标可以直接应答，量化指标必须应答具体数值。采购人保留最终产品测试的权利，发现虚假应标的，取消投标资格并承担相应责任。</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使用本次招标的软件而引起第三方提出的侵犯专利权、商标权或工业设计权的起诉、行动、行政程序、索赔、请求等，以及采购方为此产生的损失、损害、费用和支出（包括律师费）。本项目定制开发形成的源代码和技术文档归采购人所有。</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必须保证全部投标资料的真实性。如有虚假或对招标文件要求说明的情况故意隐瞒、虚报，视为不实质性响应招标文件，作无效投标处理；已中标的取消中标资格，并按《中华人民共和国政府采购法》第七十七条“提供虚假材料谋取中标、成交”的相关规定处理。</w:t>
      </w:r>
      <w:r/>
    </w:p>
    <w:p>
      <w:pPr>
        <w:ind w:firstLine="482"/>
        <w:spacing w:after="0"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七、凡涉及招标文件的补充说明和修改，均以江苏省政府采购网、苏州政府采购网发布的内容为准。</w:t>
      </w:r>
      <w:r/>
    </w:p>
    <w:p>
      <w:pPr>
        <w:pStyle w:val="844"/>
        <w:ind w:firstLine="482"/>
        <w:spacing w:line="50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ind w:firstLine="482"/>
        <w:spacing w:line="50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44"/>
        <w:spacing w:line="46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4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4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4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4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44"/>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4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4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4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4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44"/>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44"/>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pStyle w:val="844"/>
        <w:spacing w:line="460" w:lineRule="exact"/>
        <w:rPr>
          <w:rFonts w:ascii="宋体" w:hAnsi="宋体" w:eastAsia="宋体" w:cs="宋体"/>
          <w:spacing w:val="9"/>
          <w:sz w:val="24"/>
          <w:szCs w:val="24"/>
          <w:lang w:eastAsia="zh-CN"/>
        </w:rPr>
      </w:pPr>
      <w:r>
        <w:rPr>
          <w:rFonts w:ascii="宋体" w:hAnsi="宋体" w:eastAsia="宋体" w:cs="宋体"/>
          <w:spacing w:val="9"/>
          <w:sz w:val="24"/>
          <w:szCs w:val="24"/>
          <w:lang w:eastAsia="zh-CN"/>
        </w:rPr>
      </w:r>
      <w:r/>
    </w:p>
    <w:p>
      <w:pPr>
        <w:pStyle w:val="844"/>
        <w:spacing w:line="460" w:lineRule="exact"/>
        <w:rPr>
          <w:rFonts w:ascii="宋体" w:hAnsi="宋体" w:eastAsia="宋体" w:cs="宋体"/>
          <w:spacing w:val="9"/>
          <w:sz w:val="24"/>
          <w:szCs w:val="24"/>
          <w:lang w:eastAsia="zh-CN"/>
        </w:rPr>
      </w:pPr>
      <w:r>
        <w:rPr>
          <w:rFonts w:ascii="宋体" w:hAnsi="宋体" w:eastAsia="宋体" w:cs="宋体"/>
          <w:spacing w:val="9"/>
          <w:sz w:val="24"/>
          <w:szCs w:val="24"/>
          <w:lang w:eastAsia="zh-CN"/>
        </w:rPr>
      </w:r>
      <w:r/>
    </w:p>
    <w:p>
      <w:pPr>
        <w:pStyle w:val="844"/>
        <w:spacing w:line="460" w:lineRule="exact"/>
        <w:rPr>
          <w:rFonts w:ascii="宋体" w:hAnsi="宋体" w:eastAsia="宋体" w:cs="宋体"/>
          <w:spacing w:val="9"/>
          <w:sz w:val="24"/>
          <w:szCs w:val="24"/>
          <w:lang w:eastAsia="zh-CN"/>
        </w:rPr>
      </w:pPr>
      <w:r>
        <w:rPr>
          <w:rFonts w:ascii="宋体" w:hAnsi="宋体" w:eastAsia="宋体" w:cs="宋体"/>
          <w:spacing w:val="9"/>
          <w:sz w:val="24"/>
          <w:szCs w:val="24"/>
          <w:lang w:eastAsia="zh-CN"/>
        </w:rPr>
      </w:r>
      <w:r/>
    </w:p>
    <w:p>
      <w:pPr>
        <w:pStyle w:val="844"/>
        <w:spacing w:line="460" w:lineRule="exact"/>
        <w:rPr>
          <w:rFonts w:ascii="宋体" w:hAnsi="宋体" w:eastAsia="宋体" w:cs="宋体"/>
          <w:spacing w:val="9"/>
          <w:sz w:val="24"/>
          <w:szCs w:val="24"/>
          <w:lang w:eastAsia="zh-CN"/>
        </w:rPr>
      </w:pPr>
      <w:r>
        <w:rPr>
          <w:rFonts w:ascii="宋体" w:hAnsi="宋体" w:eastAsia="宋体" w:cs="宋体"/>
          <w:spacing w:val="9"/>
          <w:sz w:val="24"/>
          <w:szCs w:val="24"/>
          <w:lang w:eastAsia="zh-CN"/>
        </w:rPr>
      </w:r>
      <w:r/>
    </w:p>
    <w:p>
      <w:pPr>
        <w:pStyle w:val="844"/>
        <w:spacing w:line="460" w:lineRule="exact"/>
        <w:rPr>
          <w:rFonts w:ascii="宋体" w:hAnsi="宋体" w:eastAsia="宋体" w:cs="宋体"/>
          <w:spacing w:val="9"/>
          <w:sz w:val="24"/>
          <w:szCs w:val="24"/>
          <w:lang w:eastAsia="zh-CN"/>
        </w:rPr>
      </w:pPr>
      <w:r>
        <w:rPr>
          <w:rFonts w:ascii="宋体" w:hAnsi="宋体" w:eastAsia="宋体" w:cs="宋体"/>
          <w:spacing w:val="9"/>
          <w:sz w:val="24"/>
          <w:szCs w:val="24"/>
          <w:lang w:eastAsia="zh-CN"/>
        </w:rPr>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5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□自行简易验收</w:t>
            </w:r>
            <w:r/>
          </w:p>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□验收小组验收</w:t>
            </w:r>
            <w:r/>
          </w:p>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bidi="ar"/>
              </w:rPr>
            </w:pPr>
            <w:r>
              <w:rPr>
                <w:rFonts w:ascii="宋体" w:hAnsi="宋体" w:eastAsia="宋体" w:cs="宋体"/>
                <w:sz w:val="18"/>
                <w:szCs w:val="18"/>
                <w:lang w:eastAsia="zh-CN"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lang w:eastAsia="zh-CN" w:bidi="ar"/>
              </w:rPr>
            </w:pPr>
            <w:r>
              <w:rPr>
                <w:rFonts w:ascii="宋体" w:hAnsi="宋体" w:eastAsia="宋体" w:cs="宋体"/>
                <w:sz w:val="18"/>
                <w:szCs w:val="18"/>
                <w:lang w:eastAsia="zh-CN"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lang w:bidi="ar"/>
              </w:rPr>
            </w:pPr>
            <w:r>
              <w:rPr>
                <w:rFonts w:ascii="宋体" w:hAnsi="宋体" w:eastAsia="宋体" w:cs="宋体"/>
                <w:sz w:val="18"/>
                <w:szCs w:val="18"/>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bidi="ar"/>
              </w:rPr>
            </w:pPr>
            <w:r>
              <w:rPr>
                <w:rFonts w:ascii="宋体" w:hAnsi="宋体" w:eastAsia="宋体" w:cs="宋体"/>
                <w:sz w:val="18"/>
                <w:szCs w:val="18"/>
                <w:lang w:eastAsia="zh-CN" w:bidi="ar"/>
              </w:rPr>
            </w:r>
            <w:r/>
          </w:p>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ascii="宋体" w:hAnsi="宋体" w:eastAsia="宋体" w:cs="宋体"/>
                <w:sz w:val="18"/>
                <w:szCs w:val="18"/>
                <w:lang w:eastAsia="zh-CN" w:bidi="ar"/>
              </w:rPr>
            </w:pPr>
            <w:r>
              <w:rPr>
                <w:rFonts w:ascii="宋体" w:hAnsi="宋体" w:eastAsia="宋体" w:cs="宋体"/>
                <w:sz w:val="18"/>
                <w:szCs w:val="18"/>
                <w:lang w:eastAsia="zh-CN" w:bidi="ar"/>
              </w:rPr>
            </w:r>
            <w:r/>
          </w:p>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供应商确认：</w:t>
            </w:r>
            <w:r/>
          </w:p>
          <w:p>
            <w:pPr>
              <w:spacing w:line="300" w:lineRule="exact"/>
              <w:rPr>
                <w:rFonts w:ascii="宋体" w:hAnsi="宋体" w:eastAsia="宋体" w:cs="宋体"/>
                <w:sz w:val="18"/>
                <w:szCs w:val="18"/>
                <w:lang w:eastAsia="zh-CN" w:bidi="ar"/>
              </w:rPr>
            </w:pPr>
            <w:r>
              <w:rPr>
                <w:rFonts w:ascii="宋体" w:hAnsi="宋体" w:eastAsia="宋体" w:cs="宋体"/>
                <w:sz w:val="18"/>
                <w:szCs w:val="18"/>
                <w:lang w:eastAsia="zh-CN" w:bidi="ar"/>
              </w:rPr>
            </w:r>
            <w:r/>
          </w:p>
          <w:p>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（单位公章或授权代表签字）</w:t>
            </w:r>
            <w:r/>
          </w:p>
        </w:tc>
      </w:tr>
    </w:tbl>
    <w:p>
      <w:pPr>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tbl>
      <w:tblPr>
        <w:tblStyle w:val="655"/>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eastAsia="宋体" w:cs="宋体"/>
                <w:sz w:val="40"/>
                <w:szCs w:val="40"/>
                <w:lang w:eastAsia="zh-CN"/>
              </w:rPr>
            </w:pPr>
            <w:r>
              <w:rPr>
                <w:rFonts w:hint="eastAsia" w:ascii="宋体" w:hAnsi="宋体" w:eastAsia="宋体" w:cs="宋体"/>
                <w:sz w:val="40"/>
                <w:szCs w:val="40"/>
                <w:lang w:eastAsia="zh-CN"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bidi="ar"/>
              </w:rPr>
              <w:t xml:space="preserve">供应商：</w:t>
            </w:r>
            <w:r/>
          </w:p>
        </w:tc>
        <w:tc>
          <w:tcPr>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合同编号</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合同金额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验收时间</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验收地点</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r/>
          </w:p>
          <w:p>
            <w:pPr>
              <w:jc w:val="center"/>
              <w:rPr>
                <w:rFonts w:ascii="宋体" w:hAnsi="宋体" w:eastAsia="宋体" w:cs="宋体"/>
                <w:sz w:val="24"/>
                <w:szCs w:val="24"/>
                <w:lang w:eastAsia="zh-CN" w:bidi="ar"/>
              </w:rPr>
            </w:pPr>
            <w:r>
              <w:rPr>
                <w:rFonts w:ascii="宋体" w:hAnsi="宋体" w:eastAsia="宋体" w:cs="宋体"/>
                <w:sz w:val="24"/>
                <w:szCs w:val="24"/>
                <w:lang w:eastAsia="zh-CN" w:bidi="ar"/>
              </w:rPr>
            </w:r>
            <w:r/>
          </w:p>
          <w:p>
            <w:pPr>
              <w:jc w:val="center"/>
              <w:rPr>
                <w:rFonts w:ascii="宋体" w:hAnsi="宋体" w:eastAsia="宋体" w:cs="宋体"/>
                <w:sz w:val="24"/>
                <w:szCs w:val="24"/>
                <w:lang w:eastAsia="zh-CN" w:bidi="ar"/>
              </w:rPr>
            </w:pPr>
            <w:r>
              <w:rPr>
                <w:rFonts w:ascii="宋体" w:hAnsi="宋体" w:eastAsia="宋体" w:cs="宋体"/>
                <w:sz w:val="24"/>
                <w:szCs w:val="24"/>
                <w:lang w:eastAsia="zh-CN" w:bidi="ar"/>
              </w:rPr>
            </w:r>
            <w:r/>
          </w:p>
          <w:p>
            <w:pPr>
              <w:jc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r/>
          </w:p>
          <w:p>
            <w:pPr>
              <w:jc w:val="center"/>
              <w:rPr>
                <w:rFonts w:ascii="宋体" w:hAnsi="宋体" w:eastAsia="宋体" w:cs="宋体"/>
                <w:sz w:val="24"/>
                <w:szCs w:val="24"/>
              </w:rPr>
            </w:pPr>
            <w:r>
              <w:rPr>
                <w:rFonts w:hint="eastAsia" w:ascii="宋体" w:hAnsi="宋体" w:eastAsia="宋体" w:cs="宋体"/>
                <w:sz w:val="24"/>
                <w:szCs w:val="24"/>
                <w:lang w:eastAsia="zh-CN"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558"/>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lang w:eastAsia="zh-CN"/>
        </w:rPr>
        <w:t xml:space="preserve">第四部分 投标文件格式</w:t>
      </w:r>
      <w:r/>
    </w:p>
    <w:p>
      <w:pPr>
        <w:jc w:val="center"/>
        <w:spacing w:after="0" w:line="38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说明：</w:t>
      </w:r>
      <w:r/>
    </w:p>
    <w:p>
      <w:pPr>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对本章所有的投标书格式，投标方可根据自身情况进行补充和修改，但补充和修改不得造成与本格式内容有实质性的违背。</w:t>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w:t>
      </w:r>
      <w:r>
        <w:rPr>
          <w:rFonts w:hint="eastAsia" w:ascii="宋体" w:hAnsi="宋体" w:eastAsia="宋体" w:cs="宋体"/>
          <w:b/>
          <w:sz w:val="28"/>
          <w:lang w:eastAsia="zh-CN"/>
        </w:rPr>
        <w:t xml:space="preserve">关于资格文件的声明函</w:t>
      </w:r>
      <w:r/>
    </w:p>
    <w:p>
      <w:pPr>
        <w:ind w:left="1260"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 </w:t>
      </w:r>
      <w:r/>
    </w:p>
    <w:p>
      <w:pPr>
        <w:ind w:left="1260"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 </w:t>
      </w:r>
      <w:r/>
    </w:p>
    <w:p>
      <w:pPr>
        <w:ind w:left="1260" w:firstLine="177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关于资格文件的声明函</w:t>
      </w:r>
      <w:r/>
    </w:p>
    <w:p>
      <w:pPr>
        <w:ind w:left="1260" w:firstLine="420"/>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240"/>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苏州市公共资源交易中心太仓分中心</w:t>
      </w:r>
      <w:r>
        <w:rPr>
          <w:rFonts w:hint="eastAsia" w:ascii="宋体" w:hAnsi="宋体" w:eastAsia="宋体" w:cs="宋体"/>
          <w:sz w:val="24"/>
          <w:lang w:eastAsia="zh-CN"/>
        </w:rPr>
        <w:t xml:space="preserve">：</w:t>
      </w:r>
      <w:r/>
    </w:p>
    <w:p>
      <w:pPr>
        <w:ind w:left="283" w:right="445" w:firstLine="540"/>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JSZC-320585-JZCG-G2026-0098</w:t>
      </w:r>
      <w:r>
        <w:rPr>
          <w:rFonts w:hint="eastAsia" w:ascii="宋体" w:hAnsi="宋体" w:eastAsia="宋体" w:cs="宋体"/>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left="1259" w:firstLine="426"/>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投标单位（单位盖章）：</w:t>
      </w:r>
      <w:r/>
    </w:p>
    <w:p>
      <w:pPr>
        <w:ind w:firstLine="420"/>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法定代表人或授权代理人（签字或盖章）：</w:t>
      </w:r>
      <w:r/>
    </w:p>
    <w:p>
      <w:pPr>
        <w:ind w:firstLine="420"/>
        <w:jc w:val="both"/>
        <w:spacing w:after="0" w:line="49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投标日期：年月日</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2、投标承诺函</w:t>
      </w:r>
      <w:r/>
    </w:p>
    <w:p>
      <w:pPr>
        <w:jc w:val="center"/>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投标承诺函</w:t>
      </w:r>
      <w:r/>
    </w:p>
    <w:p>
      <w:pPr>
        <w:jc w:val="both"/>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苏州市公共资源交易中心太仓分中心 </w:t>
      </w:r>
      <w:r>
        <w:rPr>
          <w:rFonts w:hint="eastAsia" w:ascii="宋体" w:hAnsi="宋体" w:eastAsia="宋体" w:cs="宋体"/>
          <w:sz w:val="24"/>
          <w:lang w:eastAsia="zh-CN"/>
        </w:rPr>
        <w:t xml:space="preserve">：       </w:t>
      </w:r>
      <w:r/>
    </w:p>
    <w:p>
      <w:pPr>
        <w:jc w:val="both"/>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我们收到贵单位</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太仓市不动产登记系统改造项目（2026年）</w:t>
      </w:r>
      <w:r>
        <w:rPr>
          <w:rFonts w:hint="eastAsia" w:ascii="宋体" w:hAnsi="宋体" w:eastAsia="宋体" w:cs="宋体"/>
          <w:sz w:val="24"/>
          <w:lang w:eastAsia="zh-CN"/>
        </w:rPr>
        <w:t xml:space="preserve">招标文件（项目编号：</w:t>
      </w:r>
      <w:r>
        <w:rPr>
          <w:rFonts w:hint="eastAsia" w:ascii="宋体" w:hAnsi="宋体" w:eastAsia="宋体" w:cs="宋体"/>
          <w:b/>
          <w:sz w:val="24"/>
          <w:szCs w:val="24"/>
          <w:u w:val="single"/>
          <w:lang w:eastAsia="zh-CN"/>
        </w:rPr>
        <w:t xml:space="preserve">JSZC-320585-JZCG-G2026-0098</w:t>
      </w:r>
      <w:r>
        <w:rPr>
          <w:rFonts w:hint="eastAsia" w:ascii="宋体" w:hAnsi="宋体" w:eastAsia="宋体" w:cs="宋体"/>
          <w:sz w:val="24"/>
          <w:lang w:eastAsia="zh-CN"/>
        </w:rPr>
        <w:t xml:space="preserve">），经仔细阅读和研究，我们决定参加投标。</w:t>
      </w:r>
      <w:r/>
    </w:p>
    <w:p>
      <w:pPr>
        <w:ind w:firstLine="24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1、我们愿意按照招标文件的一切要求，提供包括完成该项目全部内容的材料及人工、机械、保险、劳保、各种税费以及质保期间的一切费用。</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3、我们同意按招标文件中的规定，本投标书的有效期限为开标后</w:t>
      </w:r>
      <w:r>
        <w:rPr>
          <w:rFonts w:hint="eastAsia" w:ascii="宋体" w:hAnsi="宋体" w:eastAsia="宋体" w:cs="宋体"/>
          <w:b/>
          <w:sz w:val="24"/>
          <w:u w:val="single"/>
          <w:lang w:eastAsia="zh-CN"/>
        </w:rPr>
        <w:t xml:space="preserve">90</w:t>
      </w:r>
      <w:r>
        <w:rPr>
          <w:rFonts w:hint="eastAsia" w:ascii="宋体" w:hAnsi="宋体" w:eastAsia="宋体" w:cs="宋体"/>
          <w:sz w:val="24"/>
          <w:lang w:eastAsia="zh-CN"/>
        </w:rPr>
        <w:t xml:space="preserve">天。</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4、我们愿意提供招标方在招标文件中要求的所有资料。</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5、我们认为你们有权决定中标者，还认为你们有权接受或拒绝所有的投标者。</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6、我们完全理解贵方不一定要接受最低报价的投标或收到的任何投标。</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7、我们承诺该项投标在开标后的全过程中保持有效，不作任何更改和变动。</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8、</w:t>
      </w:r>
      <w:r>
        <w:rPr>
          <w:rFonts w:hint="eastAsia" w:ascii="宋体" w:hAnsi="宋体" w:eastAsia="宋体" w:cs="宋体"/>
          <w:b/>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9、综合说明：</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（1）伴随服务及配合措施；</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（2）要求甲方提供的配合；</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（3）对招标文件有不同意见的偏离说明；</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（4）其它说明。</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所有有关标书的函电，请按下列地址联系：</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单位：联系人：</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地址：邮政编码：</w:t>
      </w:r>
      <w:r/>
    </w:p>
    <w:p>
      <w:pPr>
        <w:ind w:firstLine="48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联系电话：传真：</w:t>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投标单位：（单位盖章）</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法定代表人或授权代理人（签字或盖章）</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投标日期：年月日</w:t>
      </w:r>
      <w:r/>
    </w:p>
    <w:p>
      <w:pPr>
        <w:jc w:val="both"/>
        <w:spacing w:after="0" w:line="312"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312"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3、参加政府采购活动前三年内，在经营活动中没有重大违法记录声明</w:t>
      </w:r>
      <w:r/>
    </w:p>
    <w:p>
      <w:pPr>
        <w:ind w:left="-210" w:right="-210"/>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 </w:t>
      </w:r>
      <w:r/>
    </w:p>
    <w:p>
      <w:pPr>
        <w:jc w:val="center"/>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参加政府采购活动前三年内，在经营活动中没有重大违法记录声明</w:t>
      </w:r>
      <w:r/>
    </w:p>
    <w:p>
      <w:pPr>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我单位</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投标日期： 年 月 日</w:t>
      </w:r>
      <w:r/>
    </w:p>
    <w:p>
      <w:pPr>
        <w:jc w:val="both"/>
        <w:spacing w:after="0" w:line="40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40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4、投标单位情况表</w:t>
      </w:r>
      <w:r/>
    </w:p>
    <w:p>
      <w:pPr>
        <w:ind w:left="1260" w:firstLine="2175"/>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投标单位情况表</w:t>
      </w:r>
      <w:r/>
    </w:p>
    <w:p>
      <w:pPr>
        <w:ind w:firstLine="48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单位名称（盖章）：</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2025</w:t>
            </w:r>
            <w:r>
              <w:rPr>
                <w:rFonts w:hint="eastAsia" w:ascii="宋体" w:hAnsi="宋体" w:eastAsia="宋体" w:cs="宋体"/>
                <w:b/>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2025</w:t>
            </w:r>
            <w:r>
              <w:rPr>
                <w:rFonts w:hint="eastAsia" w:ascii="宋体" w:hAnsi="宋体" w:eastAsia="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rPr>
                <w:rFonts w:hint="eastAsia" w:ascii="宋体" w:hAnsi="宋体" w:eastAsia="宋体" w:cs="宋体"/>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自有面积    平方米</w:t>
            </w:r>
            <w:r/>
          </w:p>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5、法定代表人授权委托书 （如有）</w:t>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授权委托书</w:t>
      </w:r>
      <w:r/>
    </w:p>
    <w:p>
      <w:pPr>
        <w:ind w:firstLine="42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本授权委托书声明：我</w:t>
      </w:r>
      <w:r>
        <w:rPr>
          <w:rFonts w:hint="eastAsia" w:ascii="宋体" w:hAnsi="宋体" w:eastAsia="宋体" w:cs="宋体"/>
          <w:sz w:val="24"/>
          <w:u w:val="single"/>
          <w:lang w:eastAsia="zh-CN"/>
        </w:rPr>
        <w:t xml:space="preserve">（姓名）</w:t>
      </w:r>
      <w:r>
        <w:rPr>
          <w:rFonts w:hint="eastAsia" w:ascii="宋体" w:hAnsi="宋体" w:eastAsia="宋体" w:cs="宋体"/>
          <w:sz w:val="24"/>
          <w:lang w:eastAsia="zh-CN"/>
        </w:rPr>
        <w:t xml:space="preserve">系</w:t>
      </w:r>
      <w:r>
        <w:rPr>
          <w:rFonts w:hint="eastAsia" w:ascii="宋体" w:hAnsi="宋体" w:eastAsia="宋体" w:cs="宋体"/>
          <w:sz w:val="24"/>
          <w:u w:val="single"/>
          <w:lang w:eastAsia="zh-CN"/>
        </w:rPr>
        <w:t xml:space="preserve">（投标单位名称）</w:t>
      </w:r>
      <w:r>
        <w:rPr>
          <w:rFonts w:hint="eastAsia" w:ascii="宋体" w:hAnsi="宋体" w:eastAsia="宋体" w:cs="宋体"/>
          <w:sz w:val="24"/>
          <w:lang w:eastAsia="zh-CN"/>
        </w:rPr>
        <w:t xml:space="preserve">的法定代表人，现授权委托</w:t>
      </w:r>
      <w:r>
        <w:rPr>
          <w:rFonts w:hint="eastAsia" w:ascii="宋体" w:hAnsi="宋体" w:eastAsia="宋体" w:cs="宋体"/>
          <w:sz w:val="24"/>
          <w:u w:val="single"/>
          <w:lang w:eastAsia="zh-CN"/>
        </w:rPr>
        <w:t xml:space="preserve">（单位名称）</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（姓名）</w:t>
      </w:r>
      <w:r>
        <w:rPr>
          <w:rFonts w:hint="eastAsia" w:ascii="宋体" w:hAnsi="宋体" w:eastAsia="宋体" w:cs="宋体"/>
          <w:sz w:val="24"/>
          <w:lang w:eastAsia="zh-CN"/>
        </w:rPr>
        <w:t xml:space="preserve">为我公司代理人，以本公司的名义参加</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组织实施的编号为</w:t>
      </w:r>
      <w:r>
        <w:rPr>
          <w:rFonts w:hint="eastAsia" w:ascii="宋体" w:hAnsi="宋体" w:eastAsia="宋体" w:cs="宋体"/>
          <w:b/>
          <w:sz w:val="24"/>
          <w:lang w:eastAsia="zh-CN"/>
        </w:rPr>
        <w:t xml:space="preserve"> </w:t>
      </w:r>
      <w:r>
        <w:rPr>
          <w:rFonts w:hint="eastAsia" w:ascii="宋体" w:hAnsi="宋体" w:eastAsia="宋体" w:cs="宋体"/>
          <w:b/>
          <w:sz w:val="24"/>
          <w:szCs w:val="24"/>
          <w:u w:val="single"/>
          <w:lang w:eastAsia="zh-CN"/>
        </w:rPr>
        <w:t xml:space="preserve">JSZC-320585-JZCG-G2026-0098</w:t>
      </w:r>
      <w:r>
        <w:rPr>
          <w:rFonts w:hint="eastAsia" w:ascii="宋体" w:hAnsi="宋体" w:eastAsia="宋体" w:cs="宋体"/>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代理人无转委托权。特此委托！</w:t>
      </w:r>
      <w:r/>
    </w:p>
    <w:p>
      <w:pPr>
        <w:ind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投标单位：（盖章）</w:t>
      </w:r>
      <w:r/>
    </w:p>
    <w:p>
      <w:pPr>
        <w:ind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法定代表人：（签字或盖章）</w:t>
      </w:r>
      <w:r/>
    </w:p>
    <w:p>
      <w:pPr>
        <w:ind w:firstLine="4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授权代理人：（签字或盖章）</w:t>
      </w:r>
      <w:r/>
    </w:p>
    <w:p>
      <w:pPr>
        <w:ind w:firstLine="48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投标日期：年月日</w:t>
      </w:r>
      <w:r/>
    </w:p>
    <w:p>
      <w:pPr>
        <w:jc w:val="both"/>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6、开标一览表</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lang w:eastAsia="zh-CN"/>
        </w:rPr>
        <w:t xml:space="preserve"> </w:t>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开标一览表</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72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投标人全称（加盖公章）：供应商名称</w:t>
      </w:r>
      <w:r/>
    </w:p>
    <w:p>
      <w:pPr>
        <w:ind w:firstLine="72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项目编号：</w:t>
      </w:r>
      <w:r>
        <w:rPr>
          <w:rFonts w:hint="eastAsia" w:ascii="宋体" w:hAnsi="宋体" w:eastAsia="宋体" w:cs="宋体"/>
          <w:b/>
          <w:sz w:val="24"/>
          <w:szCs w:val="24"/>
          <w:lang w:eastAsia="zh-CN"/>
        </w:rPr>
        <w:t xml:space="preserve">JSZC-320585-JZCG-G2026-0098</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lang w:eastAsia="zh-CN"/>
              </w:rPr>
              <w:t xml:space="preserve">太仓市不动产登记系统改造项目（2026年）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w:t>
            </w:r>
            <w:r/>
          </w:p>
        </w:tc>
      </w:tr>
    </w:tbl>
    <w:p>
      <w:pPr>
        <w:ind w:firstLine="723"/>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3360"/>
        <w:jc w:val="both"/>
        <w:spacing w:after="0" w:line="4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日期：年月日</w:t>
      </w:r>
      <w:r/>
    </w:p>
    <w:p>
      <w:pPr>
        <w:jc w:val="both"/>
        <w:spacing w:after="0" w:line="4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7、投标报价明细表</w:t>
      </w:r>
      <w:r/>
    </w:p>
    <w:p>
      <w:pPr>
        <w:ind w:firstLine="3012"/>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6" w:name="OLE_LINK57"/>
      <w:r>
        <w:rPr>
          <w:rFonts w:ascii="宋体" w:hAnsi="宋体" w:eastAsia="宋体" w:cs="宋体"/>
          <w:b/>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注：1、本表报价的合计金额应与开标一览表报价一致</w:t>
      </w:r>
      <w:r/>
    </w:p>
    <w:p>
      <w:pPr>
        <w:spacing w:after="0" w:line="49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spacing w:after="0" w:line="49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 年 月 日</w:t>
      </w:r>
      <w:r/>
    </w:p>
    <w:p>
      <w:pPr>
        <w:ind w:firstLine="1506"/>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lang w:eastAsia="zh-CN"/>
        </w:rPr>
        <w:t xml:space="preserve"> </w:t>
      </w:r>
      <w:r/>
    </w:p>
    <w:p>
      <w:pPr>
        <w:ind w:firstLine="1200"/>
        <w:rPr>
          <w:rFonts w:ascii="宋体" w:hAnsi="宋体" w:eastAsia="宋体" w:cs="宋体"/>
          <w:sz w:val="24"/>
          <w:lang w:eastAsia="zh-CN"/>
        </w:rPr>
      </w:pPr>
      <w:r>
        <w:rPr>
          <w:rFonts w:hint="eastAsia" w:ascii="宋体" w:hAnsi="宋体" w:eastAsia="宋体" w:cs="宋体"/>
          <w:sz w:val="24"/>
          <w:lang w:eastAsia="zh-CN"/>
        </w:rPr>
        <w:t xml:space="preserve"> </w:t>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sz w:val="30"/>
          <w:szCs w:val="30"/>
          <w:lang w:eastAsia="zh-CN"/>
        </w:rPr>
      </w:pPr>
      <w:r>
        <w:rPr>
          <w:rFonts w:ascii="宋体" w:hAnsi="宋体" w:eastAsia="宋体" w:cs="宋体"/>
          <w:b/>
          <w:sz w:val="30"/>
          <w:szCs w:val="30"/>
          <w:lang w:eastAsia="zh-CN"/>
        </w:rPr>
      </w:r>
      <w:r/>
    </w:p>
    <w:p>
      <w:pPr>
        <w:ind w:firstLine="1506"/>
        <w:rPr>
          <w:rFonts w:ascii="宋体" w:hAnsi="宋体" w:eastAsia="宋体" w:cs="宋体"/>
          <w:b/>
          <w:bCs/>
          <w:sz w:val="24"/>
          <w:szCs w:val="24"/>
          <w:lang w:eastAsia="zh-CN"/>
        </w:rPr>
      </w:pPr>
      <w:r>
        <w:rPr>
          <w:rFonts w:hint="eastAsia" w:ascii="宋体" w:hAnsi="宋体" w:eastAsia="宋体" w:cs="宋体"/>
          <w:b/>
          <w:sz w:val="30"/>
          <w:szCs w:val="30"/>
          <w:lang w:eastAsia="zh-CN"/>
        </w:rPr>
        <w:t xml:space="preserve">（二）投标报价合理性说明（如有）</w:t>
      </w:r>
      <w:r/>
    </w:p>
    <w:p>
      <w:pPr>
        <w:spacing w:line="42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line="420" w:lineRule="exact"/>
        <w:rPr>
          <w:rFonts w:ascii="宋体" w:hAnsi="宋体"/>
          <w:b/>
          <w:lang w:eastAsia="zh-CN"/>
        </w:rPr>
      </w:pPr>
      <w:r>
        <w:rPr>
          <w:rFonts w:ascii="宋体" w:hAnsi="宋体"/>
          <w:b/>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r>
      <w:r>
        <w:rPr>
          <w:rFonts w:hint="eastAsia" w:ascii="宋体" w:hAnsi="宋体" w:cs="宋体"/>
          <w:b/>
          <w:sz w:val="24"/>
          <w:lang w:eastAsia="zh-CN"/>
        </w:rPr>
        <w:t xml:space="preserve">；</w:t>
      </w:r>
      <w:r/>
    </w:p>
    <w:p>
      <w:pPr>
        <w:ind w:firstLine="480"/>
        <w:spacing w:line="420" w:lineRule="exact"/>
        <w:rPr>
          <w:rFonts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420" w:lineRule="exact"/>
        <w:rPr>
          <w:rFonts w:ascii="宋体" w:hAnsi="宋体" w:cs="宋体"/>
          <w:b/>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r>
      <w:r/>
    </w:p>
    <w:p>
      <w:pPr>
        <w:spacing w:line="420" w:lineRule="exact"/>
        <w:rPr>
          <w:rFonts w:ascii="宋体" w:hAnsi="宋体"/>
          <w:b/>
          <w:lang w:eastAsia="zh-CN"/>
        </w:rPr>
      </w:pPr>
      <w:r>
        <w:rPr>
          <w:rFonts w:ascii="宋体" w:hAnsi="宋体"/>
          <w:b/>
          <w:lang w:eastAsia="zh-CN"/>
        </w:rPr>
      </w:r>
      <w:r/>
    </w:p>
    <w:p>
      <w:pPr>
        <w:spacing w:line="420" w:lineRule="exact"/>
        <w:rPr>
          <w:rFonts w:ascii="宋体" w:hAnsi="宋体"/>
          <w:b/>
          <w:lang w:eastAsia="zh-CN"/>
        </w:rPr>
      </w:pPr>
      <w:r>
        <w:rPr>
          <w:rFonts w:ascii="宋体" w:hAnsi="宋体"/>
          <w:b/>
          <w:lang w:eastAsia="zh-CN"/>
        </w:rPr>
      </w:r>
      <w:r/>
    </w:p>
    <w:p>
      <w:pPr>
        <w:spacing w:line="500" w:lineRule="exact"/>
        <w:rPr>
          <w:rFonts w:ascii="宋体" w:hAnsi="宋体" w:eastAsia="宋体" w:cs="宋体"/>
          <w:sz w:val="24"/>
          <w:lang w:eastAsia="zh-CN"/>
        </w:rPr>
      </w:pPr>
      <w:r>
        <w:rPr>
          <w:rFonts w:hint="eastAsia" w:ascii="宋体" w:hAnsi="宋体" w:eastAsia="宋体" w:cs="宋体"/>
          <w:sz w:val="24"/>
          <w:lang w:eastAsia="zh-CN"/>
        </w:rPr>
        <w:t xml:space="preserve">投标单位：（公章）</w:t>
      </w:r>
      <w:r/>
    </w:p>
    <w:p>
      <w:pPr>
        <w:spacing w:line="500" w:lineRule="exact"/>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r/>
    </w:p>
    <w:p>
      <w:pPr>
        <w:pStyle w:val="665"/>
        <w:ind w:firstLine="0"/>
        <w:rPr>
          <w:rFonts w:hAnsi="宋体" w:eastAsia="宋体" w:cs="宋体"/>
          <w:lang w:eastAsia="zh-CN"/>
        </w:rPr>
      </w:pPr>
      <w:r>
        <w:rPr>
          <w:rFonts w:hint="eastAsia" w:hAnsi="宋体" w:eastAsia="宋体" w:cs="宋体"/>
          <w:sz w:val="24"/>
          <w:lang w:eastAsia="zh-CN"/>
        </w:rPr>
        <w:t xml:space="preserve">日期：      年     月     日</w:t>
      </w:r>
      <w:bookmarkEnd w:id="6"/>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32"/>
          <w:lang w:eastAsia="zh-CN"/>
        </w:rPr>
        <w:t xml:space="preserve">8、</w:t>
      </w:r>
      <w:r>
        <w:rPr>
          <w:rFonts w:ascii="宋体" w:hAnsi="宋体" w:eastAsia="宋体" w:cs="宋体"/>
          <w:b/>
          <w:sz w:val="32"/>
          <w:lang w:eastAsia="zh-CN"/>
        </w:rPr>
        <w:t xml:space="preserve">服务要求偏离表</w:t>
      </w:r>
      <w:r/>
    </w:p>
    <w:p>
      <w:pPr>
        <w:jc w:val="center"/>
        <w:rPr>
          <w:rFonts w:ascii="宋体" w:hAnsi="宋体" w:eastAsia="宋体" w:cs="宋体"/>
          <w:b/>
          <w:sz w:val="30"/>
          <w:szCs w:val="30"/>
          <w:lang w:eastAsia="zh-CN"/>
        </w:rPr>
      </w:pPr>
      <w:r>
        <w:rPr>
          <w:rFonts w:ascii="宋体" w:hAnsi="宋体" w:eastAsia="宋体" w:cs="宋体"/>
          <w:b/>
          <w:sz w:val="30"/>
          <w:szCs w:val="30"/>
          <w:lang w:eastAsia="zh-CN"/>
        </w:rPr>
      </w:r>
      <w:r/>
    </w:p>
    <w:p>
      <w:pPr>
        <w:jc w:val="center"/>
        <w:rPr>
          <w:rFonts w:ascii="宋体" w:hAnsi="宋体" w:eastAsia="宋体" w:cs="宋体"/>
          <w:b/>
          <w:sz w:val="30"/>
          <w:szCs w:val="30"/>
          <w:lang w:eastAsia="zh-CN"/>
        </w:rPr>
      </w:pPr>
      <w:r>
        <w:rPr>
          <w:rFonts w:hint="eastAsia" w:ascii="宋体" w:hAnsi="宋体" w:eastAsia="宋体" w:cs="宋体"/>
          <w:b/>
          <w:sz w:val="30"/>
          <w:szCs w:val="30"/>
          <w:lang w:eastAsia="zh-CN"/>
        </w:rPr>
        <w:t xml:space="preserve">服务要求偏离表</w:t>
      </w:r>
      <w:r/>
    </w:p>
    <w:p>
      <w:pPr>
        <w:pStyle w:val="663"/>
        <w:ind w:left="220"/>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招标文件编号： </w:t>
      </w:r>
      <w:r/>
    </w:p>
    <w:tbl>
      <w:tblPr>
        <w:tblStyle w:val="655"/>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w:t>
            </w:r>
            <w:r/>
          </w:p>
          <w:p>
            <w:pPr>
              <w:jc w:val="center"/>
              <w:rPr>
                <w:rFonts w:ascii="宋体" w:hAnsi="宋体" w:eastAsia="宋体" w:cs="宋体"/>
                <w:sz w:val="24"/>
                <w:szCs w:val="24"/>
              </w:rPr>
            </w:pPr>
            <w:r>
              <w:rPr>
                <w:rFonts w:hint="eastAsia" w:ascii="宋体" w:hAnsi="宋体" w:eastAsia="宋体" w:cs="宋体"/>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投标文件</w:t>
            </w:r>
            <w:r/>
          </w:p>
          <w:p>
            <w:pPr>
              <w:jc w:val="center"/>
              <w:rPr>
                <w:rFonts w:ascii="宋体" w:hAnsi="宋体" w:eastAsia="宋体" w:cs="宋体"/>
                <w:sz w:val="24"/>
                <w:szCs w:val="24"/>
              </w:rPr>
            </w:pPr>
            <w:r>
              <w:rPr>
                <w:rFonts w:hint="eastAsia" w:ascii="宋体" w:hAnsi="宋体" w:eastAsia="宋体" w:cs="宋体"/>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 xml:space="preserve">9、商务要求偏离表</w:t>
      </w:r>
      <w:r/>
    </w:p>
    <w:p>
      <w:pPr>
        <w:jc w:val="center"/>
        <w:spacing w:line="360" w:lineRule="auto"/>
        <w:rPr>
          <w:rFonts w:ascii="宋体" w:hAnsi="宋体" w:eastAsia="宋体" w:cs="宋体"/>
          <w:b/>
          <w:spacing w:val="20"/>
          <w:sz w:val="32"/>
          <w:szCs w:val="32"/>
        </w:rPr>
      </w:pPr>
      <w:r>
        <w:rPr>
          <w:rFonts w:hint="eastAsia" w:ascii="宋体" w:hAnsi="宋体" w:eastAsia="宋体" w:cs="宋体"/>
          <w:b/>
          <w:spacing w:val="20"/>
          <w:sz w:val="32"/>
          <w:szCs w:val="32"/>
        </w:rPr>
        <w:t xml:space="preserve">商务要求偏离表</w:t>
      </w:r>
      <w:r/>
    </w:p>
    <w:tbl>
      <w:tblPr>
        <w:tblStyle w:val="65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 xml:space="preserve">注：</w:t>
      </w:r>
      <w:r>
        <w:rPr>
          <w:rFonts w:hint="eastAsia" w:ascii="宋体" w:hAnsi="宋体" w:eastAsia="宋体" w:cs="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59"/>
        <w:ind w:firstLine="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供应商：（公章）</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ind w:firstLine="480"/>
        <w:spacing w:line="360" w:lineRule="auto"/>
        <w:rPr>
          <w:rFonts w:ascii="宋体" w:hAnsi="宋体" w:eastAsia="宋体" w:cs="宋体"/>
          <w:sz w:val="24"/>
          <w:szCs w:val="24"/>
          <w:lang w:eastAsia="zh-CN"/>
        </w:rPr>
      </w:pPr>
      <w:r>
        <w:rPr>
          <w:rFonts w:hint="eastAsia" w:ascii="宋体" w:hAnsi="宋体" w:eastAsia="宋体" w:cs="宋体"/>
          <w:bCs/>
          <w:sz w:val="24"/>
          <w:szCs w:val="24"/>
          <w:lang w:eastAsia="zh-CN"/>
        </w:rPr>
        <w:t xml:space="preserve">投标日期:  年  月   日</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10、项目技术方案及服务方案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80"/>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投标人根据项目需求编写针对本项目的技术方案及服务方案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11、项目实施方案及进度方案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80"/>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投标人根据项目需求编写针对本项目的实施方案及进度方案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12、项目质量保证措施及承诺</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ind w:firstLine="480"/>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投标人根据项目需求编写针对本项目的质量保证措施及承诺</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spacing w:before="240" w:after="24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spacing w:before="240" w:after="24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spacing w:before="240" w:after="24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13、项目售后服务方案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投标人根据项目需求编写针对本项目的售后服务方案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szCs w:val="32"/>
          <w:lang w:eastAsia="zh-CN"/>
        </w:rPr>
      </w:pPr>
      <w:r>
        <w:rPr>
          <w:rFonts w:hint="eastAsia" w:ascii="宋体" w:hAnsi="宋体" w:eastAsia="宋体" w:cs="宋体"/>
          <w:b/>
          <w:bCs/>
          <w:sz w:val="32"/>
          <w:szCs w:val="32"/>
          <w:lang w:eastAsia="zh-CN"/>
        </w:rPr>
        <w:t xml:space="preserve">14、</w:t>
      </w:r>
      <w:r>
        <w:rPr>
          <w:rFonts w:hint="eastAsia" w:ascii="宋体" w:hAnsi="宋体" w:eastAsia="宋体" w:cs="宋体"/>
          <w:b/>
          <w:sz w:val="32"/>
          <w:szCs w:val="32"/>
          <w:lang w:eastAsia="zh-CN"/>
        </w:rPr>
        <w:t xml:space="preserve">企业类似业绩一览表</w:t>
      </w:r>
      <w:r/>
    </w:p>
    <w:p>
      <w:pPr>
        <w:jc w:val="center"/>
        <w:spacing w:line="360" w:lineRule="auto"/>
        <w:rPr>
          <w:rFonts w:ascii="宋体" w:hAnsi="宋体" w:eastAsia="宋体" w:cs="宋体"/>
          <w:b/>
          <w:sz w:val="28"/>
          <w:szCs w:val="28"/>
          <w:lang w:eastAsia="zh-CN"/>
        </w:rPr>
      </w:pPr>
      <w:r>
        <w:rPr>
          <w:rFonts w:ascii="宋体" w:hAnsi="宋体" w:eastAsia="宋体" w:cs="宋体"/>
          <w:b/>
          <w:sz w:val="28"/>
          <w:szCs w:val="28"/>
          <w:lang w:eastAsia="zh-CN"/>
        </w:rPr>
      </w:r>
      <w:r/>
    </w:p>
    <w:p>
      <w:pPr>
        <w:jc w:val="center"/>
        <w:spacing w:line="360" w:lineRule="auto"/>
        <w:rPr>
          <w:rFonts w:ascii="宋体" w:hAnsi="宋体" w:eastAsia="宋体" w:cs="宋体"/>
          <w:b/>
          <w:sz w:val="28"/>
          <w:szCs w:val="28"/>
          <w:lang w:eastAsia="zh-CN"/>
        </w:rPr>
      </w:pPr>
      <w:r>
        <w:rPr>
          <w:rFonts w:hint="eastAsia" w:ascii="宋体" w:hAnsi="宋体" w:eastAsia="宋体" w:cs="宋体"/>
          <w:b/>
          <w:sz w:val="28"/>
          <w:szCs w:val="28"/>
          <w:lang w:eastAsia="zh-CN"/>
        </w:rPr>
        <w:t xml:space="preserve">企业类似业绩一览表</w:t>
      </w:r>
      <w:r/>
    </w:p>
    <w:tbl>
      <w:tblPr>
        <w:tblStyle w:val="65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35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2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sz w:val="24"/>
              </w:rPr>
            </w:pPr>
            <w:r>
              <w:rPr>
                <w:rFonts w:hint="eastAsia" w:ascii="宋体" w:hAnsi="宋体" w:eastAsia="宋体" w:cs="宋体"/>
                <w:sz w:val="24"/>
              </w:rPr>
              <w:t xml:space="preserve">合同金额</w:t>
            </w:r>
            <w:r/>
          </w:p>
          <w:p>
            <w:pPr>
              <w:jc w:val="center"/>
              <w:tabs>
                <w:tab w:val="left" w:pos="6252" w:leader="none"/>
              </w:tabs>
              <w:rPr>
                <w:rFonts w:ascii="宋体" w:hAnsi="宋体" w:eastAsia="宋体" w:cs="宋体"/>
                <w:sz w:val="24"/>
              </w:rPr>
            </w:pPr>
            <w:r>
              <w:rPr>
                <w:rFonts w:hint="eastAsia" w:ascii="宋体" w:hAnsi="宋体" w:eastAsia="宋体" w:cs="宋体"/>
                <w:sz w:val="24"/>
              </w:rPr>
              <w:t xml:space="preserve">（人民币）</w:t>
            </w:r>
            <w:r/>
          </w:p>
        </w:tc>
        <w:tc>
          <w:tcPr>
            <w:tcW w:w="196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业主单位</w:t>
            </w:r>
            <w:r/>
          </w:p>
        </w:tc>
        <w:tc>
          <w:tcPr>
            <w:tcW w:w="1274"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c>
          <w:tcPr>
            <w:tcW w:w="123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W w:w="135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27"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34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96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W w:w="127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240"/>
        <w:spacing w:line="440" w:lineRule="exact"/>
        <w:rPr>
          <w:rFonts w:ascii="宋体" w:hAnsi="宋体" w:eastAsia="宋体" w:cs="宋体"/>
          <w:sz w:val="24"/>
          <w:lang w:eastAsia="zh-CN"/>
        </w:rPr>
      </w:pPr>
      <w:r>
        <w:rPr>
          <w:rFonts w:hint="eastAsia" w:ascii="宋体" w:hAnsi="宋体" w:eastAsia="宋体" w:cs="宋体"/>
          <w:sz w:val="24"/>
          <w:lang w:eastAsia="zh-CN"/>
        </w:rPr>
        <w:t xml:space="preserve">附：按照招标文件要求及评分标准提供相应证明材料</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ind w:firstLine="480"/>
        <w:rPr>
          <w:rFonts w:ascii="宋体" w:hAnsi="宋体" w:eastAsia="宋体" w:cs="宋体"/>
          <w:lang w:eastAsia="zh-CN"/>
        </w:rPr>
      </w:pPr>
      <w:r>
        <w:rPr>
          <w:rFonts w:hint="eastAsia" w:ascii="宋体" w:hAnsi="宋体" w:eastAsia="宋体" w:cs="宋体"/>
          <w:sz w:val="24"/>
          <w:szCs w:val="24"/>
          <w:lang w:eastAsia="zh-CN"/>
        </w:rPr>
        <w:t xml:space="preserve">日期：         年         月       日</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rPr>
          <w:rFonts w:ascii="宋体" w:hAnsi="宋体" w:eastAsia="宋体" w:cs="宋体"/>
          <w:b/>
          <w:bCs/>
          <w:sz w:val="32"/>
          <w:szCs w:val="32"/>
          <w:lang w:eastAsia="zh-CN"/>
        </w:rPr>
      </w:pPr>
      <w:r>
        <w:rPr>
          <w:rFonts w:hint="eastAsia" w:ascii="宋体" w:hAnsi="宋体" w:eastAsia="宋体" w:cs="宋体"/>
          <w:b/>
          <w:bCs/>
          <w:sz w:val="32"/>
          <w:szCs w:val="32"/>
          <w:lang w:eastAsia="zh-CN"/>
        </w:rPr>
        <w:t xml:space="preserve">15、拟投入本项目的专业技术（服务）人员情况一览表</w:t>
      </w:r>
      <w:r/>
    </w:p>
    <w:p>
      <w:pPr>
        <w:pStyle w:val="848"/>
        <w:ind w:firstLine="1043"/>
        <w:rPr>
          <w:rFonts w:ascii="宋体" w:hAnsi="宋体" w:eastAsia="宋体" w:cs="宋体"/>
          <w:b/>
          <w:sz w:val="28"/>
          <w:szCs w:val="28"/>
          <w:lang w:eastAsia="zh-CN"/>
        </w:rPr>
      </w:pPr>
      <w:r>
        <w:rPr>
          <w:rFonts w:hint="eastAsia" w:ascii="宋体" w:hAnsi="宋体" w:eastAsia="宋体" w:cs="宋体"/>
          <w:b/>
          <w:sz w:val="28"/>
          <w:szCs w:val="28"/>
          <w:lang w:eastAsia="zh-CN"/>
        </w:rPr>
        <w:t xml:space="preserve">拟投入本项目的专业技术（服务）人员情况一览表</w:t>
      </w:r>
      <w:r/>
    </w:p>
    <w:tbl>
      <w:tblPr>
        <w:tblStyle w:val="65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rPr>
            </w:pPr>
            <w:r>
              <w:rPr>
                <w:rFonts w:hint="eastAsia" w:ascii="宋体" w:hAnsi="宋体" w:eastAsia="宋体" w:cs="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bl>
    <w:p>
      <w:pPr>
        <w:spacing w:line="420" w:lineRule="exact"/>
        <w:rPr>
          <w:rFonts w:ascii="宋体" w:hAnsi="宋体" w:eastAsia="宋体" w:cs="宋体"/>
          <w:sz w:val="24"/>
          <w:lang w:eastAsia="zh-CN"/>
        </w:rPr>
      </w:pPr>
      <w:r>
        <w:rPr>
          <w:rFonts w:hint="eastAsia" w:ascii="宋体" w:hAnsi="宋体" w:eastAsia="宋体" w:cs="宋体"/>
          <w:sz w:val="24"/>
          <w:lang w:eastAsia="zh-CN"/>
        </w:rPr>
        <w:t xml:space="preserve">附：1、按照招标文件要求提供相应资质证明材料。</w:t>
      </w:r>
      <w:r/>
    </w:p>
    <w:p>
      <w:pPr>
        <w:spacing w:line="420" w:lineRule="exact"/>
        <w:rPr>
          <w:rFonts w:ascii="宋体" w:hAnsi="宋体" w:eastAsia="宋体" w:cs="宋体"/>
          <w:sz w:val="24"/>
          <w:lang w:eastAsia="zh-CN"/>
        </w:rPr>
      </w:pPr>
      <w:r>
        <w:rPr>
          <w:rFonts w:ascii="宋体" w:hAnsi="宋体" w:eastAsia="宋体" w:cs="宋体"/>
          <w:sz w:val="24"/>
          <w:lang w:eastAsia="zh-CN"/>
        </w:rPr>
      </w:r>
      <w:r/>
    </w:p>
    <w:p>
      <w:pPr>
        <w:pStyle w:val="665"/>
        <w:rPr>
          <w:rFonts w:hAnsi="宋体" w:eastAsia="宋体" w:cs="宋体"/>
          <w:lang w:eastAsia="zh-CN"/>
        </w:rPr>
      </w:pPr>
      <w:r>
        <w:rPr>
          <w:rFonts w:hAnsi="宋体" w:eastAsia="宋体" w:cs="宋体"/>
          <w:lang w:eastAsia="zh-CN"/>
        </w:rPr>
      </w:r>
      <w:r/>
    </w:p>
    <w:p>
      <w:pPr>
        <w:pStyle w:val="665"/>
        <w:rPr>
          <w:rFonts w:hAnsi="宋体" w:eastAsia="宋体" w:cs="宋体"/>
          <w:lang w:eastAsia="zh-CN"/>
        </w:rPr>
      </w:pPr>
      <w:r>
        <w:rPr>
          <w:rFonts w:hAnsi="宋体" w:eastAsia="宋体" w:cs="宋体"/>
          <w:lang w:eastAsia="zh-CN"/>
        </w:rPr>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pStyle w:val="665"/>
        <w:rPr>
          <w:rFonts w:hAnsi="宋体" w:eastAsia="宋体" w:cs="宋体"/>
          <w:sz w:val="24"/>
          <w:lang w:eastAsia="zh-CN"/>
        </w:rPr>
      </w:pPr>
      <w:r>
        <w:rPr>
          <w:rFonts w:hint="eastAsia" w:hAnsi="宋体" w:eastAsia="宋体" w:cs="宋体"/>
          <w:sz w:val="24"/>
          <w:szCs w:val="24"/>
          <w:lang w:eastAsia="zh-CN"/>
        </w:rPr>
        <w:t xml:space="preserve">日期：    年    月    日</w:t>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r/>
    </w:p>
    <w:p>
      <w:pPr>
        <w:spacing w:line="400" w:lineRule="exact"/>
        <w:rPr>
          <w:rFonts w:ascii="宋体" w:hAnsi="宋体" w:eastAsia="宋体" w:cs="宋体"/>
          <w:b/>
          <w:lang w:eastAsia="zh-CN"/>
        </w:rPr>
      </w:pPr>
      <w:r>
        <w:rPr>
          <w:rFonts w:hint="eastAsia" w:ascii="宋体" w:hAnsi="宋体" w:eastAsia="宋体" w:cs="宋体"/>
          <w:b/>
          <w:lang w:eastAsia="zh-CN"/>
        </w:rPr>
        <w:t xml:space="preserve"> </w:t>
      </w:r>
      <w:r>
        <w:rPr>
          <w:rFonts w:hint="eastAsia" w:ascii="宋体" w:hAnsi="宋体" w:eastAsia="宋体" w:cs="宋体"/>
          <w:b/>
          <w:sz w:val="32"/>
          <w:szCs w:val="32"/>
          <w:lang w:eastAsia="zh-CN"/>
        </w:rPr>
        <w:t xml:space="preserve">标段一中小企业声明函： </w:t>
      </w:r>
      <w:r>
        <w:rPr>
          <w:rFonts w:hint="eastAsia" w:ascii="宋体" w:hAnsi="宋体" w:eastAsia="宋体" w:cs="宋体"/>
          <w:b/>
          <w:lang w:eastAsia="zh-CN"/>
        </w:rPr>
        <w:t xml:space="preserve">                     </w:t>
      </w:r>
      <w:r/>
    </w:p>
    <w:p>
      <w:pPr>
        <w:jc w:val="center"/>
        <w:spacing w:line="4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中小企业声明函（服务）</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太仓市不动产登记中心  </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太仓市不动产登记系统改造项目（2026年）</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 xml:space="preserve">JSZC-320585-JZCG-G2026-0098</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号采购活动，服务全部由符合政策要求的中小企业承接。相关企业的具体情况如下：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line="440" w:lineRule="exact"/>
        <w:rPr>
          <w:rFonts w:ascii="宋体" w:hAnsi="宋体" w:cs="宋体"/>
          <w:sz w:val="24"/>
          <w:lang w:eastAsia="zh-CN"/>
        </w:rPr>
      </w:pPr>
      <w:r>
        <w:rPr>
          <w:rFonts w:ascii="宋体" w:hAnsi="宋体" w:cs="宋体"/>
          <w:sz w:val="24"/>
          <w:lang w:eastAsia="zh-CN"/>
        </w:rPr>
      </w:r>
      <w:r/>
    </w:p>
    <w:p>
      <w:pPr>
        <w:ind w:firstLine="480"/>
        <w:spacing w:line="360" w:lineRule="exact"/>
        <w:rPr>
          <w:rFonts w:ascii="宋体" w:hAnsi="宋体" w:cs="Calibri"/>
          <w:sz w:val="24"/>
          <w:lang w:eastAsia="zh-CN"/>
        </w:rPr>
      </w:pPr>
      <w:r>
        <w:rPr>
          <w:rFonts w:hint="eastAsia" w:ascii="宋体" w:hAnsi="宋体" w:cs="Calibri"/>
          <w:sz w:val="24"/>
          <w:lang w:eastAsia="zh-CN"/>
        </w:rPr>
        <w:t xml:space="preserve">1、投标人参加政府采购活动，应当出具《中小企业声明函》，否则不得享受相关中小企业扶持政策。</w:t>
      </w:r>
      <w:r/>
    </w:p>
    <w:p>
      <w:pPr>
        <w:ind w:firstLine="480"/>
        <w:spacing w:line="360" w:lineRule="exact"/>
        <w:rPr>
          <w:rFonts w:ascii="宋体" w:hAnsi="宋体" w:cs="Calibri"/>
          <w:sz w:val="24"/>
          <w:lang w:eastAsia="zh-CN"/>
        </w:rPr>
      </w:pPr>
      <w:r>
        <w:rPr>
          <w:rFonts w:hint="eastAsia" w:ascii="宋体" w:hAnsi="宋体" w:cs="Calibri"/>
          <w:sz w:val="24"/>
          <w:lang w:eastAsia="zh-CN"/>
        </w:rPr>
        <w:t xml:space="preserve">2、投标人提供的中小企业声明函必须包含本项目所有服务及其服务承接企业，并按照声明函格式填写完整、明确，否则不得享受相关中小企业扶持政策。</w:t>
      </w:r>
      <w:r/>
    </w:p>
    <w:p>
      <w:pPr>
        <w:ind w:firstLine="480"/>
        <w:spacing w:line="439" w:lineRule="atLeast"/>
        <w:rPr>
          <w:rFonts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Calibri"/>
          <w:sz w:val="24"/>
          <w:lang w:eastAsia="zh-CN"/>
        </w:rPr>
        <w:t xml:space="preserve">3、中标、成交供应商享受规定的中小企业扶持政策的，《中小企业声明函》应当随中标、成交结果同时公告，接受社会监督。</w:t>
      </w:r>
      <w:r>
        <w:rPr>
          <w:rFonts w:hint="eastAsia" w:ascii="宋体" w:hAnsi="宋体" w:cs="宋体"/>
          <w:b/>
          <w:sz w:val="32"/>
          <w:lang w:eastAsia="zh-CN"/>
        </w:rPr>
        <w:t xml:space="preserve"> </w:t>
      </w:r>
      <w:r/>
    </w:p>
    <w:p>
      <w:pPr>
        <w:ind w:firstLine="480"/>
        <w:spacing w:line="400" w:lineRule="exact"/>
        <w:rPr>
          <w:rFonts w:ascii="仿宋" w:hAnsi="仿宋" w:eastAsia="仿宋" w:cs="仿宋"/>
          <w:sz w:val="24"/>
          <w:szCs w:val="24"/>
          <w:lang w:eastAsia="zh-CN"/>
        </w:rPr>
      </w:pPr>
      <w:r>
        <w:rPr>
          <w:rFonts w:ascii="仿宋" w:hAnsi="仿宋" w:eastAsia="仿宋" w:cs="仿宋"/>
          <w:sz w:val="24"/>
          <w:szCs w:val="24"/>
          <w:lang w:eastAsia="zh-CN"/>
        </w:rPr>
      </w:r>
      <w:r/>
    </w:p>
    <w:p>
      <w:pPr>
        <w:spacing w:after="0" w:line="440" w:lineRule="exact"/>
        <w:rPr>
          <w:rFonts w:ascii="宋体" w:hAnsi="宋体" w:eastAsia="宋体" w:cs="宋体"/>
          <w:sz w:val="24"/>
          <w:szCs w:val="24"/>
          <w:lang w:eastAsia="zh-CN"/>
        </w:rPr>
      </w:pPr>
      <w:r>
        <w:rPr>
          <w:rFonts w:hint="eastAsia" w:ascii="宋体" w:hAnsi="宋体" w:eastAsia="宋体" w:cs="宋体"/>
          <w:b/>
          <w:sz w:val="32"/>
          <w:szCs w:val="32"/>
          <w:lang w:eastAsia="zh-CN"/>
        </w:rPr>
        <w:t xml:space="preserve">标段二中小企业声明函： </w:t>
      </w:r>
      <w:r/>
    </w:p>
    <w:p>
      <w:pPr>
        <w:jc w:val="center"/>
        <w:spacing w:line="4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中小企业声明函（服务）</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太仓市不动产登记中心  </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太仓市不动产登记系统改造项目（2026年）</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 xml:space="preserve">JSZC-320585-JZCG-G2026-0098</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号采购活动，服务全部由符合政策要求的中小企业承接。相关企业的具体情况如下：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b/>
          <w:bCs/>
          <w:sz w:val="24"/>
          <w:szCs w:val="24"/>
          <w:lang w:eastAsia="zh-CN"/>
        </w:rPr>
        <w:t xml:space="preserve">本</w:t>
      </w:r>
      <w:r>
        <w:rPr>
          <w:rFonts w:hint="eastAsia" w:ascii="宋体" w:hAnsi="宋体" w:eastAsia="宋体" w:cs="宋体"/>
          <w:b/>
          <w:bCs/>
          <w:sz w:val="24"/>
          <w:szCs w:val="24"/>
          <w:lang w:val="en-US" w:eastAsia="zh-CN"/>
        </w:rPr>
        <w:t xml:space="preserve">标段</w:t>
      </w:r>
      <w:r>
        <w:rPr>
          <w:rFonts w:hint="eastAsia" w:ascii="宋体" w:hAnsi="宋体" w:eastAsia="宋体" w:cs="宋体"/>
          <w:b/>
          <w:bCs/>
          <w:sz w:val="24"/>
          <w:szCs w:val="24"/>
          <w:lang w:eastAsia="zh-CN"/>
        </w:rPr>
        <w:t xml:space="preserve">专门面向</w:t>
      </w:r>
      <w:r>
        <w:rPr>
          <w:rFonts w:hint="eastAsia" w:ascii="宋体" w:hAnsi="宋体" w:eastAsia="宋体" w:cs="宋体"/>
          <w:sz w:val="24"/>
          <w:szCs w:val="24"/>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ind w:firstLine="640"/>
        <w:spacing w:line="439" w:lineRule="atLeast"/>
        <w:rPr>
          <w:rFonts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 </w:t>
      </w:r>
      <w:r/>
    </w:p>
    <w:p>
      <w:pPr>
        <w:ind w:firstLine="480"/>
        <w:spacing w:line="400" w:lineRule="exact"/>
        <w:rPr>
          <w:rFonts w:ascii="仿宋" w:hAnsi="仿宋" w:eastAsia="仿宋" w:cs="仿宋"/>
          <w:sz w:val="24"/>
          <w:szCs w:val="24"/>
          <w:lang w:eastAsia="zh-CN"/>
        </w:rPr>
      </w:pPr>
      <w:r>
        <w:rPr>
          <w:rFonts w:ascii="仿宋" w:hAnsi="仿宋" w:eastAsia="仿宋" w:cs="仿宋"/>
          <w:sz w:val="24"/>
          <w:szCs w:val="24"/>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17、残疾人福利性单位声明函（如有）</w:t>
      </w:r>
      <w:r/>
    </w:p>
    <w:p>
      <w:pPr>
        <w:spacing w:after="0" w:line="439"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标段一：残疾人福利性单位声明函（如有）</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56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残疾人福利性单位声明函</w:t>
      </w:r>
      <w:r/>
    </w:p>
    <w:p>
      <w:pPr>
        <w:ind w:firstLine="1928"/>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ind w:firstLine="48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本单位对上述声明的真实性负责。如有虚假，将依法承担相应责任。</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单位名称（盖章）：</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line="439"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标段二：残疾人福利性单位声明函（如有）</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 </w:t>
      </w:r>
      <w:r/>
    </w:p>
    <w:p>
      <w:pPr>
        <w:spacing w:after="0" w:line="439"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残疾人福利性单位声明函（如有）</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ind w:firstLine="256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残疾人福利性单位声明函</w:t>
      </w:r>
      <w:r/>
    </w:p>
    <w:p>
      <w:pPr>
        <w:ind w:firstLine="1928"/>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 </w:t>
      </w:r>
      <w:r/>
    </w:p>
    <w:p>
      <w:pPr>
        <w:ind w:firstLine="48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本单位对上述声明的真实性负责。如有虚假，将依法承担相应责任。</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单位名称（盖章）：</w:t>
      </w:r>
      <w:r/>
    </w:p>
    <w:p>
      <w:pPr>
        <w:spacing w:after="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 </w:t>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注：</w:t>
      </w:r>
      <w:r>
        <w:rPr>
          <w:rFonts w:hint="eastAsia" w:ascii="宋体" w:hAnsi="宋体" w:eastAsia="宋体" w:cs="宋体"/>
          <w:b/>
          <w:bCs/>
          <w:sz w:val="24"/>
          <w:szCs w:val="24"/>
          <w:lang w:eastAsia="zh-CN"/>
        </w:rPr>
        <w:t xml:space="preserve">本</w:t>
      </w:r>
      <w:r>
        <w:rPr>
          <w:rFonts w:hint="eastAsia" w:ascii="宋体" w:hAnsi="宋体" w:eastAsia="宋体" w:cs="宋体"/>
          <w:b/>
          <w:bCs/>
          <w:sz w:val="24"/>
          <w:szCs w:val="24"/>
          <w:lang w:val="en-US" w:eastAsia="zh-CN"/>
        </w:rPr>
        <w:t xml:space="preserve">标段</w:t>
      </w:r>
      <w:r>
        <w:rPr>
          <w:rFonts w:hint="eastAsia" w:ascii="宋体" w:hAnsi="宋体" w:eastAsia="宋体" w:cs="宋体"/>
          <w:b/>
          <w:sz w:val="24"/>
          <w:lang w:eastAsia="zh-CN"/>
        </w:rPr>
        <w:t xml:space="preserve">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360" w:lineRule="auto"/>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360" w:lineRule="auto"/>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18、监狱企业证明文件（如有）</w:t>
      </w:r>
      <w:r/>
    </w:p>
    <w:p>
      <w:pPr>
        <w:jc w:val="both"/>
        <w:spacing w:after="0" w:line="360" w:lineRule="auto"/>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360" w:lineRule="auto"/>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hint="eastAsia" w:ascii="宋体" w:hAnsi="宋体" w:eastAsia="宋体" w:cs="宋体"/>
          <w:sz w:val="32"/>
          <w:lang w:eastAsia="zh-CN"/>
        </w:rPr>
        <w:t xml:space="preserve">监狱企业证明文件</w:t>
      </w:r>
      <w:r>
        <w:rPr>
          <w:rFonts w:hint="eastAsia" w:ascii="宋体" w:hAnsi="宋体" w:eastAsia="宋体" w:cs="宋体"/>
          <w:sz w:val="32"/>
          <w:lang w:eastAsia="zh-CN"/>
        </w:rPr>
        <w:br/>
      </w:r>
      <w:r>
        <w:rPr>
          <w:rFonts w:hint="eastAsia" w:ascii="宋体" w:hAnsi="宋体" w:eastAsia="宋体" w:cs="宋体"/>
          <w:sz w:val="32"/>
          <w:lang w:eastAsia="zh-CN"/>
        </w:rPr>
        <w:br/>
      </w:r>
      <w:r>
        <w:rPr>
          <w:rFonts w:hint="eastAsia" w:ascii="宋体" w:hAnsi="宋体" w:eastAsia="宋体" w:cs="宋体"/>
          <w:sz w:val="32"/>
          <w:lang w:eastAsia="zh-CN"/>
        </w:rPr>
        <w:t xml:space="preserve"> </w:t>
      </w:r>
      <w:r>
        <w:rPr>
          <w:rFonts w:hint="eastAsia" w:ascii="宋体" w:hAnsi="宋体" w:eastAsia="宋体" w:cs="宋体"/>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lang w:eastAsia="zh-CN"/>
        </w:rPr>
        <w:t xml:space="preserve">第五部分  评标方法与评标标准</w:t>
      </w:r>
      <w:r/>
    </w:p>
    <w:p>
      <w:pPr>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评标方法</w:t>
      </w:r>
      <w:r/>
    </w:p>
    <w:p>
      <w:pPr>
        <w:jc w:val="both"/>
        <w:spacing w:after="0" w:line="43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标段一：</w:t>
      </w:r>
      <w:r/>
    </w:p>
    <w:p>
      <w:pPr>
        <w:pStyle w:val="844"/>
        <w:ind w:firstLine="480"/>
        <w:spacing w:line="480" w:lineRule="exact"/>
        <w:rPr>
          <w:rFonts w:ascii="宋体" w:hAnsi="宋体" w:eastAsia="宋体" w:cs="宋体"/>
          <w:sz w:val="24"/>
          <w:szCs w:val="24"/>
          <w:lang w:eastAsia="zh-CN"/>
        </w:rPr>
      </w:pPr>
      <w:r>
        <w:rPr>
          <w:rFonts w:hint="eastAsia" w:ascii="宋体" w:hAnsi="宋体" w:eastAsia="宋体" w:cs="宋体"/>
          <w:sz w:val="24"/>
          <w:lang w:eastAsia="zh-CN"/>
        </w:rPr>
        <w:t xml:space="preserve">一、</w:t>
      </w:r>
      <w:r>
        <w:rPr>
          <w:rFonts w:hint="eastAsia" w:ascii="宋体" w:hAnsi="宋体" w:cs="宋体"/>
          <w:sz w:val="24"/>
          <w:lang w:eastAsia="zh-CN"/>
        </w:rPr>
        <w:t xml:space="preserve">本次招标评标采用为综合评分法，即在满足招标文件实质性要求前提下，按照招标文件中规定的评分标准和各项因素进行综合评审，</w:t>
      </w:r>
      <w:r>
        <w:rPr>
          <w:rFonts w:hint="eastAsia" w:ascii="宋体" w:hAnsi="宋体"/>
          <w:b/>
          <w:sz w:val="24"/>
          <w:lang w:eastAsia="zh-CN"/>
        </w:rPr>
        <w:t xml:space="preserve">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60" w:lineRule="atLeast"/>
        <w:rPr>
          <w:rFonts w:ascii="宋体" w:hAnsi="宋体" w:eastAsia="宋体" w:cs="宋体"/>
          <w:lang w:eastAsia="zh-CN"/>
        </w:rP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w:t>
      </w:r>
      <w:r/>
    </w:p>
    <w:p>
      <w:pPr>
        <w:spacing w:after="0" w:line="500" w:lineRule="exact"/>
        <w:rPr>
          <w:rFonts w:ascii="宋体" w:hAnsi="宋体" w:cs="宋体"/>
          <w:sz w:val="24"/>
          <w:lang w:eastAsia="zh-CN"/>
        </w:rPr>
      </w:pPr>
      <w:r>
        <w:rPr>
          <w:rFonts w:hint="eastAsia" w:ascii="宋体" w:hAnsi="宋体" w:cs="宋体"/>
          <w:b/>
          <w:bCs/>
          <w:sz w:val="24"/>
          <w:lang w:eastAsia="zh-CN"/>
        </w:rPr>
        <w:t xml:space="preserve">标段二： </w:t>
      </w:r>
      <w:r/>
    </w:p>
    <w:p>
      <w:pPr>
        <w:pStyle w:val="844"/>
        <w:ind w:firstLine="480"/>
        <w:spacing w:line="480" w:lineRule="exact"/>
        <w:rPr>
          <w:rFonts w:ascii="宋体" w:hAnsi="宋体" w:eastAsia="宋体" w:cs="宋体"/>
          <w:sz w:val="24"/>
          <w:szCs w:val="24"/>
          <w:lang w:eastAsia="zh-CN"/>
        </w:rPr>
      </w:pPr>
      <w:r>
        <w:rPr>
          <w:rFonts w:hint="eastAsia" w:ascii="宋体" w:hAnsi="宋体" w:eastAsia="宋体" w:cs="宋体"/>
          <w:sz w:val="24"/>
          <w:lang w:eastAsia="zh-CN"/>
        </w:rPr>
        <w:t xml:space="preserve">一、</w:t>
      </w:r>
      <w:r>
        <w:rPr>
          <w:rFonts w:hint="eastAsia" w:ascii="宋体" w:hAnsi="宋体" w:cs="宋体"/>
          <w:sz w:val="24"/>
          <w:lang w:eastAsia="zh-CN"/>
        </w:rPr>
        <w:t xml:space="preserve">本次招标评标采用为综合评分法，即在满足招标文件实质性要求前提下，按照招标文件中规定的评分标准和各项因素进行综合评审，</w:t>
      </w:r>
      <w:r>
        <w:rPr>
          <w:rFonts w:hint="eastAsia" w:ascii="宋体" w:hAnsi="宋体"/>
          <w:b/>
          <w:sz w:val="24"/>
          <w:lang w:eastAsia="zh-CN"/>
        </w:rPr>
        <w:t xml:space="preserve">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p>
    <w:p>
      <w:pPr>
        <w:ind w:firstLine="480"/>
        <w:jc w:val="both"/>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 xml:space="preserve">但与大企业的负责人为同一人，或者与大企业存在直接控股、管理关系的除外。</w:t>
      </w:r>
      <w:r>
        <w:rPr>
          <w:rFonts w:hint="eastAsia" w:ascii="宋体" w:hAnsi="宋体" w:eastAsia="宋体" w:cs="宋体"/>
          <w:sz w:val="24"/>
          <w:lang w:eastAsia="zh-CN"/>
        </w:rPr>
        <w:t xml:space="preserve">符合中小企业划分标准的个体工商户，在政府采购活动中视同中小企业.</w:t>
      </w:r>
      <w:r/>
    </w:p>
    <w:p>
      <w:pPr>
        <w:ind w:firstLine="482"/>
        <w:jc w:val="both"/>
        <w:spacing w:after="0" w:line="460" w:lineRule="atLeast"/>
        <w:rPr>
          <w:rFonts w:ascii="宋体" w:hAnsi="宋体" w:eastAsia="宋体" w:cs="宋体"/>
          <w:lang w:eastAsia="zh-CN"/>
        </w:rPr>
      </w:pPr>
      <w:r>
        <w:rPr>
          <w:rFonts w:hint="eastAsia" w:ascii="宋体" w:hAnsi="宋体" w:eastAsia="宋体" w:cs="宋体"/>
          <w:b/>
          <w:bCs/>
          <w:sz w:val="24"/>
          <w:szCs w:val="24"/>
          <w:lang w:eastAsia="zh-CN"/>
        </w:rPr>
        <w:t xml:space="preserve">本</w:t>
      </w:r>
      <w:r>
        <w:rPr>
          <w:rFonts w:hint="eastAsia" w:ascii="宋体" w:hAnsi="宋体" w:eastAsia="宋体" w:cs="宋体"/>
          <w:b/>
          <w:bCs/>
          <w:sz w:val="24"/>
          <w:szCs w:val="24"/>
          <w:lang w:val="en-US" w:eastAsia="zh-CN"/>
        </w:rPr>
        <w:t xml:space="preserve">标段</w:t>
      </w:r>
      <w:r>
        <w:rPr>
          <w:rFonts w:hint="eastAsia" w:ascii="宋体" w:hAnsi="宋体" w:eastAsia="宋体" w:cs="宋体"/>
          <w:b/>
          <w:sz w:val="24"/>
          <w:lang w:eastAsia="zh-CN"/>
        </w:rPr>
        <w:t xml:space="preserve">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lang w:eastAsia="zh-CN"/>
        </w:rPr>
      </w:pPr>
      <w:r>
        <w:rPr>
          <w:rFonts w:hint="eastAsia" w:ascii="宋体" w:hAnsi="宋体" w:eastAsia="宋体" w:cs="宋体"/>
          <w:b/>
          <w:sz w:val="24"/>
          <w:lang w:eastAsia="zh-CN"/>
        </w:rPr>
        <w:t xml:space="preserve">专门面向中小企业采购的项目，不再执行价格评审优惠的扶持政策。</w:t>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46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44"/>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 xml:space="preserve">评分标准</w:t>
      </w:r>
      <w:bookmarkStart w:id="7" w:name="_Hlk166575460"/>
      <w:r/>
      <w:bookmarkStart w:id="8" w:name="OLE_LINK22"/>
      <w:r/>
      <w:r/>
    </w:p>
    <w:p>
      <w:pPr>
        <w:pStyle w:val="848"/>
        <w:ind w:firstLine="0"/>
        <w:spacing w:after="0"/>
        <w:rPr>
          <w:b/>
          <w:bCs/>
          <w:lang w:eastAsia="zh-CN"/>
        </w:rPr>
      </w:pPr>
      <w:r>
        <w:rPr>
          <w:rFonts w:hint="eastAsia"/>
          <w:b/>
          <w:bCs/>
          <w:lang w:eastAsia="zh-CN"/>
        </w:rPr>
        <w:t xml:space="preserve">标段一：2026年太仓市不动产登记系统改造项目</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一、投标报价（20分）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第一步：投标报价低于或等于财政预算价格的为有效投标报价。超财政预算的投标报价或招标文件规定为无效投标报价的，其投标文件不进行评审，也不得标。</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第二步：在所有有效投标报价中，满足招标文件要求且投标价格最低的投标报价为评标基准价，其价格分为本项满分；其他投标人的价格分按照下列公式计算（计算结果四舍五入保留两位小数）：</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投标报价得分＝（评标基准价/投标报价）×20%×100</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二、技术方案（52分）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1、项目实施方案（8分）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根据项目需求的内容，投标人结合本项目实际情况，提供针对本项目的项目实施方案，方案内容至少包含：①项目组织管理方案；②项目进度计划；③实施过程管理；④质量管理保障方案。</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2、总体架构设计（8分）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根据项目需求的内容，投标人结合本项目实际情况，提供针对本项目的总体架构设计，内容至少包含：①拓展性；②层级设计；③可用性；④架构设计。</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numPr>
          <w:ilvl w:val="0"/>
          <w:numId w:val="3"/>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核心业务功能实现（8分）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根据项目需求的内容，投标人结合本项目实际情况，提供针对本项目的核心业务功能实现方案，内容至少包含：①适用性；②业务流程设计；③逻辑设计；④关键节点设计。</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numPr>
          <w:ilvl w:val="0"/>
          <w:numId w:val="3"/>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系统安全与权限控制（8分）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根据项目需求的内容，投标人结合本项目实际情况，提供针对本项目的系统安全与权限控制方案，内容至少包含：①身份与权限；②安全机制设定；③权限控制；④方案可行性。</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numPr>
          <w:ilvl w:val="0"/>
          <w:numId w:val="3"/>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易用性与UI/UE设计（8分）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根据项目需求的内容，投标人结合本项目实际情况，提供针对本项目的易用性与UI/UE设计方案，内容至少包含：①界面设计；②系统适配；③人性化；④规范符合。</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numPr>
          <w:ilvl w:val="0"/>
          <w:numId w:val="3"/>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运维、监控与日志设计（6分）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根据项目需求的内容，投标人结合本项目实际情况，提供针对本项目的运维、监控与日志设计，内容至少包含：①系统监控；②操作回溯；③完善运维。</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numPr>
          <w:ilvl w:val="0"/>
          <w:numId w:val="3"/>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售后服务方案（6分）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根据项目需求的内容，投标人结合本项目实际情况，提供针对本项目的售后服务方案，内容至少包含：①人员配备；②应急处理；③系统维护。</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三、人员配置（16分）</w:t>
      </w:r>
      <w:r/>
    </w:p>
    <w:p>
      <w:p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b/>
          <w:bCs/>
          <w:sz w:val="24"/>
          <w:szCs w:val="24"/>
          <w:lang w:eastAsia="zh-CN"/>
        </w:rPr>
        <w:t xml:space="preserve">项目总负责人（1人，不与其他人员重复）（4分）</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拟派项目总负责人具</w:t>
      </w:r>
      <w:r>
        <w:rPr>
          <w:rFonts w:hint="eastAsia" w:ascii="宋体" w:hAnsi="宋体" w:eastAsia="宋体" w:cs="宋体"/>
          <w:sz w:val="24"/>
          <w:szCs w:val="24"/>
          <w:highlight w:val="none"/>
          <w:lang w:eastAsia="zh-CN"/>
        </w:rPr>
        <w:t xml:space="preserve">备人力资源和社会保障部门及工业和信息化部门颁发的高级信息系统项目管理师证书，具备人力资源和社会保障部门及工业和信息化部门颁发的高级系统分析师证书，每提供一个证书得2分，本项最高4分。</w:t>
      </w:r>
      <w:r/>
    </w:p>
    <w:p>
      <w:pPr>
        <w:numPr>
          <w:ilvl w:val="0"/>
          <w:numId w:val="4"/>
        </w:numPr>
        <w:ind w:firstLine="480"/>
        <w:jc w:val="both"/>
        <w:spacing w:after="0" w:line="48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技术负责人（1人，不与其他人员重复）（4分）</w:t>
      </w:r>
      <w:r/>
    </w:p>
    <w:p>
      <w:pPr>
        <w:ind w:firstLine="480"/>
        <w:jc w:val="both"/>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拟派项目技术负责人具备人力资源和社会保障部门及工业和信息化部门颁发的高级信息系统项目管理师证书，具备人力资源和社会保障部门及工业和信息化部门颁发的高级系统规划与管理师证书，每提供一个证书得2分，本项最高4分。</w:t>
      </w:r>
      <w:r/>
    </w:p>
    <w:p>
      <w:pPr>
        <w:numPr>
          <w:ilvl w:val="0"/>
          <w:numId w:val="4"/>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质量负责人（1人，不与其他人员重复）（4分）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拟派项目质量负责人具备人力资源和社会保障部门及工业和信息化部门颁发的高级信息系统项目管理师证书，人力资源和社会保障部门及工业和信息化部门颁发的系统集成项目管理工程师证书，每提供一个证书得2分，本项最高4分。</w:t>
      </w:r>
      <w:r/>
    </w:p>
    <w:p>
      <w:pPr>
        <w:numPr>
          <w:ilvl w:val="0"/>
          <w:numId w:val="4"/>
        </w:numPr>
        <w:ind w:firstLine="480"/>
        <w:jc w:val="both"/>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项目组成员（4人，不与其他人员重复）（4分）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拟派项目组成员中具备人力资源和社会保障部门及工业和信息化部门颁发的高级信息系统项目管理师证书，每有一人得1分，本项最高4分。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上述人员应提供证书扫描件，不提供的不予计分。</w:t>
      </w:r>
      <w:r/>
    </w:p>
    <w:p>
      <w:pPr>
        <w:ind w:firstLine="480"/>
        <w:jc w:val="both"/>
        <w:spacing w:after="0"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四、</w:t>
      </w:r>
      <w:bookmarkStart w:id="9" w:name="_GoBack"/>
      <w:r>
        <w:rPr>
          <w:rFonts w:hint="eastAsia" w:ascii="宋体" w:hAnsi="宋体" w:eastAsia="宋体" w:cs="宋体"/>
          <w:b/>
          <w:sz w:val="24"/>
          <w:szCs w:val="24"/>
          <w:lang w:eastAsia="zh-CN"/>
        </w:rPr>
        <w:t xml:space="preserve">类似业绩（12分）</w:t>
      </w:r>
      <w:r/>
    </w:p>
    <w:p>
      <w:pPr>
        <w:ind w:firstLine="240"/>
        <w:jc w:val="both"/>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供应商自2023年1月1日以来参与类似信息化建设相关项目业绩，有一项得2分，本项最高12分。需提供销售合同扫描件并加盖投标人公章，否则不得分。</w:t>
      </w:r>
      <w:bookmarkEnd w:id="9"/>
      <w:r/>
    </w:p>
    <w:p>
      <w:pPr>
        <w:pStyle w:val="848"/>
        <w:ind w:firstLine="0"/>
        <w:spacing w:after="0"/>
        <w:rPr>
          <w:b/>
          <w:bCs/>
          <w:lang w:eastAsia="zh-CN"/>
        </w:rPr>
      </w:pPr>
      <w:r>
        <w:rPr>
          <w:b/>
          <w:bCs/>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844"/>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标段二：2026年太仓市“互联网+不动产登记”综合服务平台改造项目</w:t>
      </w:r>
      <w:r/>
    </w:p>
    <w:p>
      <w:pPr>
        <w:pStyle w:val="645"/>
        <w:keepLines w:val="0"/>
        <w:keepNext w:val="0"/>
        <w:spacing w:before="0" w:after="0" w:line="500" w:lineRule="exact"/>
        <w:rPr>
          <w:rFonts w:ascii="宋体" w:hAnsi="宋体" w:cs="宋体"/>
          <w:b/>
          <w:bCs/>
          <w:sz w:val="24"/>
          <w:szCs w:val="24"/>
          <w:lang w:eastAsia="zh-CN"/>
        </w:rPr>
      </w:pPr>
      <w:r>
        <w:rPr>
          <w:rFonts w:hint="eastAsia" w:ascii="宋体" w:hAnsi="宋体" w:cs="宋体"/>
          <w:b/>
          <w:bCs/>
          <w:sz w:val="24"/>
          <w:szCs w:val="24"/>
          <w:lang w:eastAsia="zh-CN"/>
        </w:rPr>
        <w:t xml:space="preserve">一、 价格分（20分）</w:t>
      </w:r>
      <w:r/>
    </w:p>
    <w:p>
      <w:pPr>
        <w:pStyle w:val="844"/>
        <w:ind w:firstLine="480"/>
        <w:spacing w:line="500" w:lineRule="exact"/>
        <w:rPr>
          <w:rFonts w:ascii="宋体" w:hAnsi="宋体" w:cs="宋体"/>
          <w:sz w:val="24"/>
          <w:lang w:eastAsia="zh-CN"/>
        </w:rPr>
      </w:pPr>
      <w:r>
        <w:rPr>
          <w:rFonts w:hint="eastAsia" w:ascii="宋体" w:hAnsi="宋体" w:cs="宋体"/>
          <w:sz w:val="24"/>
          <w:lang w:eastAsia="zh-CN"/>
        </w:rPr>
        <w:t xml:space="preserve">第一步：投标报价低于或等于财政预算价格的，为有效投标报价。超财政预算的投标报价为无效投标报价。</w:t>
      </w:r>
      <w:r/>
    </w:p>
    <w:p>
      <w:pPr>
        <w:pStyle w:val="844"/>
        <w:ind w:firstLine="480"/>
        <w:spacing w:line="500" w:lineRule="exact"/>
        <w:rPr>
          <w:rFonts w:ascii="宋体" w:hAnsi="宋体" w:cs="宋体"/>
          <w:sz w:val="24"/>
          <w:lang w:eastAsia="zh-CN"/>
        </w:rPr>
      </w:pPr>
      <w:r>
        <w:rPr>
          <w:rFonts w:hint="eastAsia" w:ascii="宋体" w:hAnsi="宋体" w:cs="宋体"/>
          <w:sz w:val="24"/>
          <w:lang w:eastAsia="zh-CN"/>
        </w:rPr>
        <w:t xml:space="preserve">第二步：在所有有效投标报价中满足采购文件要求，且投标价格最低的投标报价为评标基准价，其他投标人的价格分按照下列公式计算（计算结果四舍五入保留两位小数）。</w:t>
      </w:r>
      <w:r/>
    </w:p>
    <w:p>
      <w:pPr>
        <w:pStyle w:val="844"/>
        <w:ind w:firstLine="480"/>
        <w:spacing w:line="500" w:lineRule="exact"/>
        <w:rPr>
          <w:lang w:eastAsia="zh-CN"/>
        </w:rPr>
      </w:pPr>
      <w:r>
        <w:rPr>
          <w:rFonts w:hint="eastAsia" w:ascii="宋体" w:hAnsi="宋体" w:cs="宋体"/>
          <w:sz w:val="24"/>
          <w:lang w:eastAsia="zh-CN"/>
        </w:rPr>
        <w:t xml:space="preserve">报价得分=(评标基准价/投标报价)×</w:t>
      </w:r>
      <w:r>
        <w:rPr>
          <w:rFonts w:hint="eastAsia" w:ascii="宋体" w:hAnsi="宋体" w:eastAsia="宋体" w:cs="宋体"/>
          <w:sz w:val="24"/>
          <w:lang w:eastAsia="zh-CN"/>
        </w:rPr>
        <w:t xml:space="preserve">2</w:t>
      </w:r>
      <w:r>
        <w:rPr>
          <w:rFonts w:hint="eastAsia" w:ascii="宋体" w:hAnsi="宋体" w:cs="宋体"/>
          <w:sz w:val="24"/>
          <w:lang w:eastAsia="zh-CN"/>
        </w:rPr>
        <w:t xml:space="preserve">0%×100</w:t>
      </w:r>
      <w:r/>
    </w:p>
    <w:p>
      <w:pPr>
        <w:pStyle w:val="645"/>
        <w:keepLines w:val="0"/>
        <w:keepNext w:val="0"/>
        <w:spacing w:before="0" w:after="0" w:line="500" w:lineRule="exact"/>
        <w:rPr>
          <w:rFonts w:ascii="宋体" w:hAnsi="宋体" w:cs="宋体"/>
          <w:b/>
          <w:bCs/>
          <w:sz w:val="24"/>
          <w:szCs w:val="24"/>
          <w:lang w:eastAsia="zh-CN"/>
        </w:rPr>
      </w:pPr>
      <w:r>
        <w:rPr>
          <w:rFonts w:hint="eastAsia" w:ascii="宋体" w:hAnsi="宋体" w:cs="宋体"/>
          <w:b/>
          <w:bCs/>
          <w:sz w:val="24"/>
          <w:szCs w:val="24"/>
          <w:lang w:eastAsia="zh-CN"/>
        </w:rPr>
        <w:t xml:space="preserve">二、 技术分（60分）</w:t>
      </w:r>
      <w:r/>
    </w:p>
    <w:p>
      <w:pPr>
        <w:ind w:firstLine="480"/>
        <w:spacing w:after="0" w:line="500" w:lineRule="exact"/>
        <w:rPr>
          <w:rFonts w:ascii="宋体" w:hAnsi="宋体" w:cs="宋体"/>
          <w:b/>
          <w:sz w:val="24"/>
          <w:lang w:eastAsia="zh-CN"/>
        </w:rPr>
        <w:outlineLvl w:val="1"/>
      </w:pPr>
      <w:r>
        <w:rPr>
          <w:rFonts w:hint="eastAsia" w:ascii="宋体" w:hAnsi="宋体" w:cs="宋体"/>
          <w:b/>
          <w:sz w:val="24"/>
          <w:lang w:eastAsia="zh-CN"/>
        </w:rPr>
        <w:t xml:space="preserve"> 1.2026年太仓市“互联网+不动产登记”综合服务平台改造升级（10分）</w:t>
      </w:r>
      <w:r/>
    </w:p>
    <w:p>
      <w:pPr>
        <w:pStyle w:val="685"/>
        <w:ind w:firstLine="420"/>
        <w:spacing w:after="0" w:line="500" w:lineRule="exact"/>
        <w:rPr>
          <w:lang w:eastAsia="zh-CN"/>
        </w:rPr>
      </w:pPr>
      <w:r>
        <w:rPr>
          <w:rFonts w:hint="eastAsia"/>
          <w:lang w:eastAsia="zh-CN"/>
        </w:rPr>
        <w:t xml:space="preserve">根据投标人提供的太仓市“互联网+不动产登记”综合服务平台升级改造的系统建设方案进行评分，内容至少包括：</w:t>
      </w:r>
      <w:r>
        <w:rPr>
          <w:lang w:eastAsia="zh-CN"/>
        </w:rPr>
        <w:t xml:space="preserve">①总体架构：明确系统总的处理方案</w:t>
      </w:r>
      <w:r>
        <w:rPr>
          <w:rFonts w:hint="eastAsia"/>
          <w:lang w:eastAsia="zh-CN"/>
        </w:rPr>
        <w:t xml:space="preserve">；</w:t>
      </w:r>
      <w:r>
        <w:rPr>
          <w:lang w:eastAsia="zh-CN"/>
        </w:rPr>
        <w:t xml:space="preserve">②</w:t>
      </w:r>
      <w:r>
        <w:rPr>
          <w:rFonts w:hint="eastAsia"/>
          <w:lang w:eastAsia="zh-CN"/>
        </w:rPr>
        <w:t xml:space="preserve">应用架构设计；</w:t>
      </w:r>
      <w:r>
        <w:rPr>
          <w:lang w:eastAsia="zh-CN"/>
        </w:rPr>
        <w:t xml:space="preserve">③系统功能设计</w:t>
      </w:r>
      <w:r>
        <w:rPr>
          <w:rFonts w:hint="eastAsia"/>
          <w:lang w:eastAsia="zh-CN"/>
        </w:rPr>
        <w:t xml:space="preserve">；</w:t>
      </w:r>
      <w:r>
        <w:rPr>
          <w:lang w:eastAsia="zh-CN"/>
        </w:rPr>
        <w:t xml:space="preserve">④技术路线设计内容</w:t>
      </w:r>
      <w:r>
        <w:rPr>
          <w:rFonts w:hint="eastAsia"/>
          <w:lang w:eastAsia="zh-CN"/>
        </w:rPr>
        <w:t xml:space="preserve">；</w:t>
      </w:r>
      <w:r>
        <w:rPr>
          <w:lang w:eastAsia="zh-CN"/>
        </w:rPr>
        <w:t xml:space="preserve">⑤环境适配。</w:t>
      </w:r>
      <w:r>
        <w:rPr>
          <w:rFonts w:hint="eastAsia" w:asciiTheme="minorEastAsia" w:hAnsiTheme="minorEastAsia" w:eastAsiaTheme="minorEastAsia"/>
          <w:lang w:eastAsia="zh-CN"/>
        </w:rPr>
        <w:t xml:space="preserve">方案内容每有一项内容针对本项目且符合本项目实际需求的，得2分，满分10分。每缺少一项内容，或内容非专门针对本项目，或内容不能满足本项目实际需求的，不得分。</w:t>
      </w:r>
      <w:r/>
    </w:p>
    <w:p>
      <w:pPr>
        <w:ind w:firstLine="480"/>
        <w:spacing w:after="0" w:line="500" w:lineRule="exact"/>
        <w:rPr>
          <w:rFonts w:ascii="宋体" w:hAnsi="宋体" w:cs="宋体"/>
          <w:b/>
          <w:sz w:val="24"/>
          <w:lang w:eastAsia="zh-CN"/>
        </w:rPr>
        <w:outlineLvl w:val="1"/>
      </w:pPr>
      <w:r>
        <w:rPr>
          <w:rFonts w:hint="eastAsia" w:ascii="宋体" w:hAnsi="宋体" w:cs="宋体"/>
          <w:b/>
          <w:sz w:val="24"/>
          <w:lang w:eastAsia="zh-CN"/>
        </w:rPr>
        <w:t xml:space="preserve">2.共享查询系统对接（10分）</w:t>
      </w:r>
      <w:r/>
    </w:p>
    <w:p>
      <w:pPr>
        <w:ind w:firstLine="480"/>
        <w:spacing w:after="0" w:line="500" w:lineRule="exact"/>
        <w:rPr>
          <w:sz w:val="24"/>
          <w:lang w:eastAsia="zh-CN"/>
        </w:rPr>
      </w:pPr>
      <w:r>
        <w:rPr>
          <w:rFonts w:hint="eastAsia"/>
          <w:sz w:val="24"/>
          <w:lang w:eastAsia="zh-CN"/>
        </w:rPr>
        <w:t xml:space="preserve">根据投标人提供的太仓市不动产登记信息共享查询系统对接的系统建设方案进行评分，内容至少包括：</w:t>
      </w:r>
      <w:r>
        <w:rPr>
          <w:sz w:val="24"/>
          <w:lang w:eastAsia="zh-CN"/>
        </w:rPr>
        <w:t xml:space="preserve">①总体架构：明确系统总的处理方案</w:t>
      </w:r>
      <w:r>
        <w:rPr>
          <w:rFonts w:hint="eastAsia"/>
          <w:sz w:val="24"/>
          <w:lang w:eastAsia="zh-CN"/>
        </w:rPr>
        <w:t xml:space="preserve">；</w:t>
      </w:r>
      <w:r>
        <w:rPr>
          <w:sz w:val="24"/>
          <w:lang w:eastAsia="zh-CN"/>
        </w:rPr>
        <w:t xml:space="preserve">②</w:t>
      </w:r>
      <w:r>
        <w:rPr>
          <w:rFonts w:hint="eastAsia"/>
          <w:sz w:val="24"/>
          <w:lang w:eastAsia="zh-CN"/>
        </w:rPr>
        <w:t xml:space="preserve">应用架构设计</w:t>
      </w:r>
      <w:r>
        <w:rPr>
          <w:sz w:val="24"/>
          <w:lang w:eastAsia="zh-CN"/>
        </w:rPr>
        <w:t xml:space="preserve">；③系统功能设计；④技术路线设计内容</w:t>
      </w:r>
      <w:r>
        <w:rPr>
          <w:rFonts w:hint="eastAsia"/>
          <w:sz w:val="24"/>
          <w:lang w:eastAsia="zh-CN"/>
        </w:rPr>
        <w:t xml:space="preserve">；</w:t>
      </w:r>
      <w:r>
        <w:rPr>
          <w:sz w:val="24"/>
          <w:lang w:eastAsia="zh-CN"/>
        </w:rPr>
        <w:t xml:space="preserve">⑤性能指标。</w:t>
      </w:r>
      <w:r>
        <w:rPr>
          <w:rFonts w:hint="eastAsia" w:asciiTheme="minorEastAsia" w:hAnsiTheme="minorEastAsia" w:eastAsiaTheme="minorEastAsia"/>
          <w:sz w:val="24"/>
          <w:lang w:eastAsia="zh-CN"/>
        </w:rPr>
        <w:t xml:space="preserve">方案内容每有一项内容针对本项目且符合本项目实际需求的，得2分，满分10分。每缺少一项内容，或内容非专门针对本项目，或内容不能满足本项目实际需求的，不得分。</w:t>
      </w:r>
      <w:r/>
    </w:p>
    <w:p>
      <w:pPr>
        <w:ind w:firstLine="480"/>
        <w:spacing w:after="0" w:line="500" w:lineRule="exact"/>
        <w:rPr>
          <w:rFonts w:ascii="宋体" w:hAnsi="宋体" w:cs="宋体"/>
          <w:b/>
          <w:sz w:val="24"/>
          <w:lang w:eastAsia="zh-CN"/>
        </w:rPr>
        <w:outlineLvl w:val="1"/>
      </w:pPr>
      <w:r>
        <w:rPr>
          <w:rFonts w:hint="eastAsia" w:ascii="宋体" w:hAnsi="宋体" w:cs="宋体"/>
          <w:b/>
          <w:sz w:val="24"/>
          <w:lang w:eastAsia="zh-CN"/>
        </w:rPr>
        <w:t xml:space="preserve"> 3.登记系统接口升级改造（10分）</w:t>
      </w:r>
      <w:r/>
    </w:p>
    <w:p>
      <w:pPr>
        <w:ind w:firstLine="440"/>
        <w:spacing w:after="0" w:line="500" w:lineRule="exact"/>
        <w:rPr>
          <w:rFonts w:eastAsiaTheme="minorEastAsia"/>
          <w:lang w:eastAsia="zh-CN"/>
        </w:rPr>
      </w:pPr>
      <w:r>
        <w:rPr>
          <w:rFonts w:hint="eastAsia"/>
          <w:lang w:eastAsia="zh-CN"/>
        </w:rPr>
        <w:t xml:space="preserve">根据投标人提供的太仓市不动产登记系统接口对接改造的系统建设方案进行评分，内容至少包括：</w:t>
      </w:r>
      <w:r>
        <w:rPr>
          <w:rFonts w:hint="eastAsia"/>
          <w:sz w:val="24"/>
          <w:lang w:eastAsia="zh-CN"/>
        </w:rPr>
        <w:t xml:space="preserve">：</w:t>
      </w:r>
      <w:r>
        <w:rPr>
          <w:sz w:val="24"/>
          <w:lang w:eastAsia="zh-CN"/>
        </w:rPr>
        <w:t xml:space="preserve">①总体架构：明确系统总的处理方案</w:t>
      </w:r>
      <w:r>
        <w:rPr>
          <w:rFonts w:hint="eastAsia"/>
          <w:sz w:val="24"/>
          <w:lang w:eastAsia="zh-CN"/>
        </w:rPr>
        <w:t xml:space="preserve">；</w:t>
      </w:r>
      <w:r>
        <w:rPr>
          <w:sz w:val="24"/>
          <w:lang w:eastAsia="zh-CN"/>
        </w:rPr>
        <w:t xml:space="preserve">②</w:t>
      </w:r>
      <w:r>
        <w:rPr>
          <w:rFonts w:hint="eastAsia"/>
          <w:sz w:val="24"/>
          <w:lang w:eastAsia="zh-CN"/>
        </w:rPr>
        <w:t xml:space="preserve">应用架构设计</w:t>
      </w:r>
      <w:r>
        <w:rPr>
          <w:sz w:val="24"/>
          <w:lang w:eastAsia="zh-CN"/>
        </w:rPr>
        <w:t xml:space="preserve">；③系统功能设计；④技术路线设计内容</w:t>
      </w:r>
      <w:r>
        <w:rPr>
          <w:rFonts w:hint="eastAsia"/>
          <w:sz w:val="24"/>
          <w:lang w:eastAsia="zh-CN"/>
        </w:rPr>
        <w:t xml:space="preserve">；</w:t>
      </w:r>
      <w:r>
        <w:rPr>
          <w:sz w:val="24"/>
          <w:lang w:eastAsia="zh-CN"/>
        </w:rPr>
        <w:t xml:space="preserve">⑤性能指标。</w:t>
      </w:r>
      <w:r>
        <w:rPr>
          <w:rFonts w:hint="eastAsia" w:asciiTheme="minorEastAsia" w:hAnsiTheme="minorEastAsia" w:eastAsiaTheme="minorEastAsia"/>
          <w:sz w:val="24"/>
          <w:lang w:eastAsia="zh-CN"/>
        </w:rPr>
        <w:t xml:space="preserve">方案内容每有一项内容针对本项目且符合本项目实际需求的，得2分，满分10分。每缺少一项内容，或内容非专门针对本项目，或内容不能满足本项目实际需求的，不得分。</w:t>
      </w:r>
      <w:r/>
    </w:p>
    <w:p>
      <w:pPr>
        <w:ind w:firstLine="480"/>
        <w:spacing w:after="0" w:line="500" w:lineRule="exact"/>
        <w:rPr>
          <w:rFonts w:ascii="宋体" w:hAnsi="宋体" w:cs="宋体"/>
          <w:b/>
          <w:sz w:val="24"/>
          <w:lang w:eastAsia="zh-CN"/>
        </w:rPr>
        <w:outlineLvl w:val="1"/>
      </w:pPr>
      <w:r>
        <w:rPr>
          <w:rFonts w:hint="eastAsia" w:ascii="宋体" w:hAnsi="宋体" w:cs="宋体"/>
          <w:b/>
          <w:sz w:val="24"/>
          <w:lang w:eastAsia="zh-CN"/>
        </w:rPr>
        <w:t xml:space="preserve"> 4.不动产登记智能审核系统（10分）</w:t>
      </w:r>
      <w:r/>
    </w:p>
    <w:p>
      <w:pPr>
        <w:ind w:firstLine="480"/>
        <w:spacing w:after="0" w:line="500" w:lineRule="exact"/>
        <w:rPr>
          <w:lang w:eastAsia="zh-CN"/>
        </w:rPr>
      </w:pPr>
      <w:r>
        <w:rPr>
          <w:rFonts w:hint="eastAsia" w:asciiTheme="minorEastAsia" w:hAnsiTheme="minorEastAsia" w:eastAsiaTheme="minorEastAsia"/>
          <w:sz w:val="24"/>
          <w:lang w:eastAsia="zh-CN"/>
        </w:rPr>
        <w:t xml:space="preserve">根据投标人提供的太仓市不动产登记智能审核系统的系统建设方案进行评分，内容至少包括：①总体架构：明确系统总的处理方案；②应用架构设计；③系统功能设计；④技术路线设计内容；⑤性能指标。方案内容每有一项内容针对本项目且符合本项目实际需求的，得2分，满分10分。每缺少一项内容，或内容非专门针对本项目，或内容不能满足本项目实际需求的，不得分。</w:t>
      </w:r>
      <w:r/>
    </w:p>
    <w:p>
      <w:pPr>
        <w:ind w:firstLine="480"/>
        <w:spacing w:after="0" w:line="500" w:lineRule="exact"/>
        <w:rPr>
          <w:rFonts w:ascii="宋体" w:hAnsi="宋体" w:cs="宋体"/>
          <w:b/>
          <w:sz w:val="24"/>
          <w:lang w:eastAsia="zh-CN"/>
        </w:rPr>
        <w:outlineLvl w:val="1"/>
      </w:pPr>
      <w:r>
        <w:rPr>
          <w:rFonts w:hint="eastAsia" w:ascii="宋体" w:hAnsi="宋体" w:cs="宋体"/>
          <w:b/>
          <w:sz w:val="24"/>
          <w:lang w:eastAsia="zh-CN"/>
        </w:rPr>
        <w:t xml:space="preserve">5.不动产登记电子档案智能质检系统（10分）</w:t>
      </w:r>
      <w:r/>
    </w:p>
    <w:p>
      <w:pPr>
        <w:ind w:firstLine="440"/>
        <w:spacing w:after="0" w:line="500" w:lineRule="exact"/>
        <w:rPr>
          <w:lang w:eastAsia="zh-CN"/>
        </w:rPr>
      </w:pPr>
      <w:r>
        <w:rPr>
          <w:rFonts w:hint="eastAsia"/>
          <w:lang w:eastAsia="zh-CN"/>
        </w:rPr>
        <w:t xml:space="preserve">根据投标人提供的太仓市不动产登记电子档案智能质检系统的系统建设方案进行评分，内容至少包括：</w:t>
      </w:r>
      <w:r>
        <w:rPr>
          <w:rFonts w:hint="eastAsia" w:asciiTheme="minorEastAsia" w:hAnsiTheme="minorEastAsia" w:eastAsiaTheme="minorEastAsia"/>
          <w:sz w:val="24"/>
          <w:lang w:eastAsia="zh-CN"/>
        </w:rPr>
        <w:t xml:space="preserve">①总体架构：明确系统总的处理方案；②应用架构设计；③系统功能设计；④技术路线设计内容；⑤性能指标。方案内容每有一项内容针对本项目且符合本项目实际需求的，得2分，满分10分。每缺少一项内容，或内容非专门针对本项目，或内容不能满足本项目实际需求的，不得分。</w:t>
      </w:r>
      <w:r/>
    </w:p>
    <w:p>
      <w:pPr>
        <w:pStyle w:val="646"/>
        <w:ind w:firstLine="480"/>
        <w:keepLines w:val="0"/>
        <w:keepNext w:val="0"/>
        <w:spacing w:before="0" w:after="0" w:line="500" w:lineRule="exact"/>
        <w:rPr>
          <w:rFonts w:ascii="宋体" w:hAnsi="宋体" w:cs="宋体"/>
          <w:b/>
          <w:bCs/>
          <w:sz w:val="24"/>
          <w:szCs w:val="24"/>
          <w:lang w:eastAsia="zh-CN"/>
        </w:rPr>
      </w:pPr>
      <w:r>
        <w:rPr>
          <w:rFonts w:hint="eastAsia" w:ascii="宋体" w:hAnsi="宋体" w:cs="宋体"/>
          <w:b/>
          <w:bCs/>
          <w:sz w:val="24"/>
          <w:szCs w:val="24"/>
          <w:lang w:eastAsia="zh-CN"/>
        </w:rPr>
        <w:t xml:space="preserve">6.项目安全方案（4分）</w:t>
      </w:r>
      <w:r/>
    </w:p>
    <w:p>
      <w:pPr>
        <w:pStyle w:val="685"/>
        <w:ind w:firstLine="440"/>
        <w:jc w:val="both"/>
        <w:spacing w:after="0" w:line="500" w:lineRule="exact"/>
        <w:rPr>
          <w:lang w:eastAsia="zh-CN"/>
        </w:rPr>
        <w:pBdr>
          <w:top w:val="none" w:color="000000" w:sz="0" w:space="0"/>
        </w:pBdr>
      </w:pPr>
      <w:r>
        <w:rPr>
          <w:rFonts w:hint="eastAsia"/>
          <w:lang w:eastAsia="zh-CN"/>
        </w:rPr>
        <w:t xml:space="preserve">根据投标人提供的项目安全方案进行评分，平台涉及隐私数据，需要提供安全可靠的保护举措，确保各类数据的存储、传输安全。建设内容至少包括: ①项目安全设计方案;②平台涉及隐私数据加密方案。</w:t>
      </w:r>
      <w:r/>
    </w:p>
    <w:p>
      <w:pPr>
        <w:ind w:firstLine="480"/>
        <w:spacing w:after="0"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方案内容针对本项目且完全符合本项目实际需求的，得</w:t>
      </w:r>
      <w:r>
        <w:rPr>
          <w:rFonts w:hint="eastAsia" w:ascii="宋体" w:hAnsi="宋体" w:cs="宋体"/>
          <w:sz w:val="24"/>
          <w:szCs w:val="24"/>
          <w:lang w:eastAsia="zh-CN"/>
        </w:rPr>
        <w:t xml:space="preserve">2</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，满分4分。</w:t>
      </w:r>
      <w:r>
        <w:rPr>
          <w:rFonts w:hint="eastAsia" w:ascii="宋体" w:hAnsi="宋体" w:eastAsia="宋体" w:cs="Times New Roman"/>
          <w:sz w:val="24"/>
          <w:lang w:eastAsia="zh-CN" w:bidi="ar"/>
        </w:rPr>
        <w:t xml:space="preserve">每缺少一项内容，或内容非专门针对本项目，或内容不能满足本项目实际需求的，不得分。</w:t>
      </w:r>
      <w:r/>
    </w:p>
    <w:p>
      <w:pPr>
        <w:pStyle w:val="646"/>
        <w:ind w:firstLine="480"/>
        <w:keepLines w:val="0"/>
        <w:keepNext w:val="0"/>
        <w:spacing w:before="0" w:after="0" w:line="500" w:lineRule="exact"/>
        <w:rPr>
          <w:rFonts w:ascii="宋体" w:hAnsi="宋体" w:cs="宋体"/>
          <w:b/>
          <w:bCs/>
          <w:sz w:val="24"/>
          <w:szCs w:val="24"/>
          <w:lang w:eastAsia="zh-CN"/>
        </w:rPr>
      </w:pPr>
      <w:r>
        <w:rPr>
          <w:rFonts w:hint="eastAsia" w:ascii="宋体" w:hAnsi="宋体" w:cs="宋体"/>
          <w:b/>
          <w:bCs/>
          <w:sz w:val="24"/>
          <w:szCs w:val="24"/>
          <w:lang w:eastAsia="zh-CN"/>
        </w:rPr>
        <w:t xml:space="preserve">7.项目售后方案（6分）</w:t>
      </w:r>
      <w:r/>
    </w:p>
    <w:p>
      <w:pPr>
        <w:ind w:firstLine="480"/>
        <w:jc w:val="both"/>
        <w:spacing w:after="0" w:line="480" w:lineRule="exact"/>
        <w:rPr>
          <w:lang w:eastAsia="zh-CN"/>
        </w:rPr>
      </w:pPr>
      <w:r>
        <w:rPr>
          <w:rFonts w:hint="eastAsia" w:ascii="宋体" w:hAnsi="宋体" w:eastAsia="宋体" w:cs="Times New Roman"/>
          <w:sz w:val="24"/>
          <w:lang w:eastAsia="zh-CN" w:bidi="ar"/>
        </w:rPr>
        <w:t xml:space="preserve">根据项目需求的内容，投标人结合本项目实际情况，提供针对本项目的售后服务方案，内容至少包含：①人员配备；②应急处理；③系统维护。</w:t>
      </w:r>
      <w:r/>
    </w:p>
    <w:p>
      <w:pPr>
        <w:ind w:firstLine="480"/>
        <w:jc w:val="both"/>
        <w:spacing w:after="0" w:line="480" w:lineRule="exact"/>
        <w:rPr>
          <w:lang w:eastAsia="zh-CN"/>
        </w:rPr>
      </w:pPr>
      <w:r>
        <w:rPr>
          <w:rFonts w:hint="eastAsia" w:ascii="宋体" w:hAnsi="宋体" w:eastAsia="宋体" w:cs="Times New Roman"/>
          <w:sz w:val="24"/>
          <w:lang w:eastAsia="zh-CN" w:bidi="ar"/>
        </w:rPr>
        <w:t xml:space="preserve">方案内容每有一项内容针对本项目且符合本项目实际需求的，得2分，满分</w:t>
      </w:r>
      <w:r>
        <w:rPr>
          <w:rFonts w:hint="eastAsia" w:ascii="宋体" w:hAnsi="宋体" w:cs="Times New Roman"/>
          <w:sz w:val="24"/>
          <w:lang w:eastAsia="zh-CN" w:bidi="ar"/>
        </w:rPr>
        <w:t xml:space="preserve">6</w:t>
      </w:r>
      <w:r>
        <w:rPr>
          <w:rFonts w:hint="eastAsia" w:ascii="宋体" w:hAnsi="宋体" w:eastAsia="宋体" w:cs="Times New Roman"/>
          <w:sz w:val="24"/>
          <w:lang w:eastAsia="zh-CN" w:bidi="ar"/>
        </w:rPr>
        <w:t xml:space="preserve">分。每缺少一项内容，或内容非专门针对本项目，或内容不能满足本项目实际需求的，不得分。</w:t>
      </w:r>
      <w:r/>
    </w:p>
    <w:p>
      <w:pPr>
        <w:pStyle w:val="645"/>
        <w:keepLines w:val="0"/>
        <w:keepNext w:val="0"/>
        <w:spacing w:before="0" w:after="0" w:line="50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三、人员配备要求（8分）</w:t>
      </w:r>
      <w:r/>
    </w:p>
    <w:p>
      <w:pPr>
        <w:pStyle w:val="685"/>
        <w:ind w:firstLine="442"/>
        <w:jc w:val="both"/>
        <w:spacing w:after="0" w:line="500" w:lineRule="exact"/>
        <w:rPr>
          <w:rFonts w:ascii="宋体" w:hAnsi="宋体" w:eastAsia="宋体" w:cs="宋体"/>
          <w:lang w:eastAsia="zh-CN"/>
        </w:rPr>
        <w:pBdr>
          <w:top w:val="none" w:color="000000" w:sz="0" w:space="0"/>
        </w:pBdr>
      </w:pPr>
      <w:r>
        <w:rPr>
          <w:rFonts w:hint="eastAsia" w:ascii="宋体" w:hAnsi="宋体" w:eastAsia="宋体" w:cs="宋体"/>
          <w:b/>
          <w:bCs/>
          <w:lang w:eastAsia="zh-CN"/>
        </w:rPr>
        <w:t xml:space="preserve">1.项目总负责人（1人，不与其他人员重复）（3分）</w:t>
      </w:r>
      <w:r/>
    </w:p>
    <w:p>
      <w:pPr>
        <w:pStyle w:val="685"/>
        <w:ind w:firstLine="440"/>
        <w:jc w:val="both"/>
        <w:spacing w:after="0" w:line="500" w:lineRule="exact"/>
        <w:rPr>
          <w:rFonts w:ascii="宋体" w:hAnsi="宋体" w:eastAsia="宋体" w:cs="宋体"/>
          <w:highlight w:val="none"/>
          <w:lang w:eastAsia="zh-CN"/>
        </w:rPr>
        <w:pBdr>
          <w:top w:val="none" w:color="000000" w:sz="0" w:space="0"/>
        </w:pBdr>
      </w:pPr>
      <w:r>
        <w:rPr>
          <w:rFonts w:hint="eastAsia" w:ascii="宋体" w:hAnsi="宋体" w:eastAsia="宋体" w:cs="宋体"/>
          <w:lang w:eastAsia="zh-CN"/>
        </w:rPr>
        <w:t xml:space="preserve">拟派项目总负责人具备</w:t>
      </w:r>
      <w:r>
        <w:rPr>
          <w:rFonts w:hint="eastAsia" w:ascii="宋体" w:hAnsi="宋体" w:eastAsia="宋体" w:cs="宋体"/>
          <w:highlight w:val="none"/>
          <w:lang w:eastAsia="zh-CN"/>
        </w:rPr>
        <w:t xml:space="preserve">人力资源和社会保障部门及工业和信息化部门颁发的中级软件设计师资格证书，每提供一个证书得3分，本项最高3分。</w:t>
      </w:r>
      <w:r/>
    </w:p>
    <w:p>
      <w:pPr>
        <w:pStyle w:val="685"/>
        <w:ind w:firstLine="442"/>
        <w:jc w:val="both"/>
        <w:spacing w:after="0" w:line="500" w:lineRule="exact"/>
        <w:rPr>
          <w:rFonts w:ascii="宋体" w:hAnsi="宋体" w:eastAsia="宋体" w:cs="宋体"/>
          <w:b/>
          <w:bCs/>
          <w:highlight w:val="none"/>
          <w:lang w:eastAsia="zh-CN"/>
        </w:rPr>
        <w:pBdr>
          <w:top w:val="none" w:color="000000" w:sz="0" w:space="0"/>
        </w:pBdr>
      </w:pPr>
      <w:r>
        <w:rPr>
          <w:rFonts w:hint="eastAsia" w:ascii="宋体" w:hAnsi="宋体" w:eastAsia="宋体" w:cs="宋体"/>
          <w:b/>
          <w:bCs/>
          <w:highlight w:val="none"/>
          <w:lang w:eastAsia="zh-CN"/>
        </w:rPr>
        <w:t xml:space="preserve">2.技术质量负责人（1人，不与其他人员重复）（3分）</w:t>
      </w:r>
      <w:r/>
    </w:p>
    <w:p>
      <w:pPr>
        <w:pStyle w:val="685"/>
        <w:ind w:firstLine="440"/>
        <w:jc w:val="both"/>
        <w:spacing w:after="0" w:line="500" w:lineRule="exact"/>
        <w:rPr>
          <w:rFonts w:ascii="宋体" w:hAnsi="宋体" w:eastAsia="宋体" w:cs="宋体"/>
          <w:highlight w:val="none"/>
          <w:lang w:eastAsia="zh-CN"/>
        </w:rPr>
        <w:pBdr>
          <w:top w:val="none" w:color="000000" w:sz="0" w:space="0"/>
        </w:pBdr>
      </w:pPr>
      <w:r>
        <w:rPr>
          <w:rFonts w:hint="eastAsia" w:ascii="宋体" w:hAnsi="宋体" w:eastAsia="宋体" w:cs="宋体"/>
          <w:highlight w:val="none"/>
          <w:lang w:eastAsia="zh-CN"/>
        </w:rPr>
        <w:t xml:space="preserve">拟派技术质量负责人具备人力资源和社会保障部门及工业和信息化部门颁发的中级数据库系统工程师资格证书，每提供一个证书得3分，本项最高3分。</w:t>
      </w:r>
      <w:r/>
    </w:p>
    <w:p>
      <w:pPr>
        <w:pStyle w:val="685"/>
        <w:ind w:firstLine="442"/>
        <w:jc w:val="both"/>
        <w:spacing w:after="0" w:line="500" w:lineRule="exact"/>
        <w:rPr>
          <w:rFonts w:ascii="宋体" w:hAnsi="宋体" w:eastAsia="宋体" w:cs="宋体"/>
          <w:b/>
          <w:bCs/>
          <w:highlight w:val="none"/>
          <w:lang w:eastAsia="zh-CN"/>
        </w:rPr>
        <w:pBdr>
          <w:top w:val="none" w:color="000000" w:sz="0" w:space="0"/>
        </w:pBdr>
      </w:pPr>
      <w:r>
        <w:rPr>
          <w:rFonts w:hint="eastAsia" w:ascii="宋体" w:hAnsi="宋体" w:eastAsia="宋体" w:cs="宋体"/>
          <w:b/>
          <w:bCs/>
          <w:highlight w:val="none"/>
          <w:lang w:eastAsia="zh-CN"/>
        </w:rPr>
        <w:t xml:space="preserve">3.项目组成员（2人，不与其他人员重复）（2分）</w:t>
      </w:r>
      <w:r/>
    </w:p>
    <w:p>
      <w:pPr>
        <w:pStyle w:val="685"/>
        <w:ind w:firstLine="440"/>
        <w:jc w:val="both"/>
        <w:spacing w:after="0" w:line="500" w:lineRule="exact"/>
        <w:rPr>
          <w:rFonts w:ascii="宋体" w:hAnsi="宋体" w:eastAsia="宋体" w:cs="宋体"/>
          <w:highlight w:val="none"/>
          <w:lang w:eastAsia="zh-CN"/>
        </w:rPr>
        <w:pBdr>
          <w:top w:val="none" w:color="000000" w:sz="0" w:space="0"/>
        </w:pBdr>
      </w:pPr>
      <w:r>
        <w:rPr>
          <w:rFonts w:hint="eastAsia" w:ascii="宋体" w:hAnsi="宋体" w:eastAsia="宋体" w:cs="宋体"/>
          <w:highlight w:val="none"/>
          <w:lang w:eastAsia="zh-CN"/>
        </w:rPr>
        <w:t xml:space="preserve">拟派项目组成员具备人力资源和社会保障部门及工业和信息化部门颁发的信息系统类资格证书，每提供1人得1分，本项最高2分。</w:t>
      </w:r>
      <w:r/>
    </w:p>
    <w:p>
      <w:pPr>
        <w:pStyle w:val="685"/>
        <w:ind w:firstLine="480"/>
        <w:jc w:val="both"/>
        <w:spacing w:after="0" w:line="500" w:lineRule="exact"/>
        <w:rPr>
          <w:rFonts w:ascii="宋体" w:hAnsi="宋体" w:eastAsia="宋体" w:cs="宋体"/>
          <w:highlight w:val="none"/>
          <w:lang w:eastAsia="zh-CN"/>
        </w:rPr>
        <w:pBdr>
          <w:top w:val="none" w:color="000000" w:sz="0" w:space="0"/>
        </w:pBdr>
      </w:pPr>
      <w:r>
        <w:rPr>
          <w:rFonts w:hint="eastAsia" w:ascii="宋体" w:hAnsi="宋体" w:eastAsia="宋体" w:cs="宋体"/>
          <w:sz w:val="24"/>
          <w:szCs w:val="22"/>
          <w:highlight w:val="none"/>
          <w:lang w:eastAsia="zh-CN" w:bidi="ar"/>
        </w:rPr>
        <w:t xml:space="preserve">上述人员应提供证书扫描件，不提供的不予计分。</w:t>
      </w:r>
      <w:r/>
    </w:p>
    <w:p>
      <w:pPr>
        <w:ind w:firstLine="480"/>
        <w:spacing w:after="0" w:line="480" w:lineRule="exact"/>
        <w:rPr>
          <w:rFonts w:ascii="宋体" w:hAnsi="宋体" w:eastAsia="宋体" w:cs="宋体"/>
          <w:b/>
          <w:bCs/>
          <w:sz w:val="24"/>
          <w:lang w:eastAsia="zh-CN"/>
        </w:rPr>
        <w:outlineLvl w:val="0"/>
      </w:pPr>
      <w:r>
        <w:rPr>
          <w:rFonts w:hint="eastAsia" w:ascii="宋体" w:hAnsi="宋体" w:eastAsia="宋体" w:cs="宋体"/>
          <w:b/>
          <w:bCs/>
          <w:sz w:val="24"/>
          <w:lang w:eastAsia="zh-CN"/>
        </w:rPr>
        <w:t xml:space="preserve">四、类似业绩（12分）</w:t>
      </w:r>
      <w:r/>
    </w:p>
    <w:p>
      <w:pPr>
        <w:ind w:firstLine="480"/>
        <w:jc w:val="both"/>
        <w:spacing w:after="0" w:line="480" w:lineRule="exact"/>
        <w:rPr>
          <w:rFonts w:ascii="宋体" w:hAnsi="宋体" w:eastAsia="宋体" w:cs="宋体"/>
          <w:lang w:eastAsia="zh-CN"/>
        </w:rPr>
      </w:pPr>
      <w:r>
        <w:rPr>
          <w:rFonts w:hint="eastAsia" w:ascii="宋体" w:hAnsi="宋体" w:eastAsia="宋体" w:cs="宋体"/>
          <w:sz w:val="24"/>
          <w:lang w:eastAsia="zh-CN" w:bidi="ar"/>
        </w:rPr>
        <w:t xml:space="preserve">供应商自2023年1月1日以来参与类似项目业绩的，每具备一项得2分，本项最高12分。需提供销售合同扫描件并加盖投标人公章，否则不得分。</w:t>
      </w:r>
      <w:r/>
    </w:p>
    <w:p>
      <w:pPr>
        <w:pStyle w:val="844"/>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bookmarkEnd w:id="7"/>
      <w:bookmarkEnd w:id="8"/>
      <w:r/>
    </w:p>
    <w:p>
      <w:pPr>
        <w:pStyle w:val="844"/>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注： 1、报价超过采购预算的为无效投标。</w:t>
      </w:r>
      <w:r/>
    </w:p>
    <w:p>
      <w:pPr>
        <w:pStyle w:val="844"/>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44"/>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3、所有复印件字迹须复印清晰可见,复印不全或字迹不清晰的，视为未提供。</w:t>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lang w:eastAsia="zh-CN"/>
        </w:rPr>
        <w:t xml:space="preserve">第六部分 合同格式</w:t>
      </w:r>
      <w:r/>
    </w:p>
    <w:p>
      <w:pPr>
        <w:ind w:firstLine="643"/>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合同主要条款</w:t>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采购人（以下称甲方）供应商：（以下称乙方）</w:t>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地址：地址：</w:t>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电话：电话：</w:t>
      </w:r>
      <w:r/>
    </w:p>
    <w:p>
      <w:pPr>
        <w:ind w:firstLine="480"/>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太仓市不动产登记系统改造项目（2026年）项目</w:t>
      </w:r>
      <w:r>
        <w:rPr>
          <w:rFonts w:hint="eastAsia" w:ascii="宋体" w:hAnsi="宋体" w:eastAsia="宋体" w:cs="宋体"/>
          <w:color w:val="000000"/>
          <w:sz w:val="24"/>
          <w:lang w:eastAsia="zh-CN"/>
        </w:rPr>
        <w:t xml:space="preserve">（</w:t>
      </w:r>
      <w:r>
        <w:rPr>
          <w:rFonts w:hint="eastAsia"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JSZC-320585-JZCG-G2026-0098</w:t>
      </w:r>
      <w:r>
        <w:rPr>
          <w:rFonts w:hint="eastAsia" w:ascii="宋体" w:hAnsi="宋体" w:eastAsia="宋体" w:cs="宋体"/>
          <w:color w:val="000000"/>
          <w:sz w:val="24"/>
          <w:lang w:eastAsia="zh-CN"/>
        </w:rPr>
        <w:t xml:space="preserve">）的招标结果，签订本合同。</w:t>
      </w:r>
      <w:r/>
    </w:p>
    <w:p>
      <w:pPr>
        <w:ind w:firstLine="47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第一条 服务范围</w:t>
      </w:r>
      <w:r/>
    </w:p>
    <w:p>
      <w:pPr>
        <w:ind w:left="42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甲方聘请乙方提供以下服务：</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（1）本合同项下的服务指：</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（2）服务内容：</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（3）服务标准：</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（4）交付时间、地点：甲方指定。</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第二条 组成本合同的有关文件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5"/>
        </w:num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招标采购文件（</w:t>
      </w:r>
      <w:r>
        <w:rPr>
          <w:rFonts w:hint="eastAsia"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JSZC-320585-JZCG-G2026-0098</w:t>
      </w:r>
      <w:r>
        <w:rPr>
          <w:rFonts w:hint="eastAsia" w:ascii="宋体" w:hAnsi="宋体" w:eastAsia="宋体" w:cs="宋体"/>
          <w:color w:val="000000"/>
          <w:sz w:val="24"/>
          <w:lang w:eastAsia="zh-CN"/>
        </w:rPr>
        <w:t xml:space="preserve">）</w:t>
      </w:r>
      <w:r/>
    </w:p>
    <w:p>
      <w:pPr>
        <w:numPr>
          <w:ilvl w:val="0"/>
          <w:numId w:val="5"/>
        </w:num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乙方提供的投标文件和投标报价表；</w:t>
      </w:r>
      <w:r/>
    </w:p>
    <w:p>
      <w:pPr>
        <w:numPr>
          <w:ilvl w:val="0"/>
          <w:numId w:val="5"/>
        </w:num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乙方在投标过程中所作的其他承诺、声明、书面澄清等；</w:t>
      </w:r>
      <w:r/>
    </w:p>
    <w:p>
      <w:pPr>
        <w:numPr>
          <w:ilvl w:val="0"/>
          <w:numId w:val="5"/>
        </w:numPr>
        <w:jc w:val="both"/>
        <w:spacing w:after="0" w:line="4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中标通知书；</w:t>
      </w:r>
      <w:r/>
    </w:p>
    <w:p>
      <w:pPr>
        <w:numPr>
          <w:ilvl w:val="0"/>
          <w:numId w:val="5"/>
        </w:num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甲乙双方商定的其他文件等。</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第三条 合同总价款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合同价格按此次成交价格执行，合同总金额为人民币___________（大写）人民币，小写：（￥：）元整。</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第四条 合同款支付</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4、付款步骤：</w:t>
      </w:r>
      <w:r/>
    </w:p>
    <w:p>
      <w:pPr>
        <w:pStyle w:val="663"/>
        <w:rPr>
          <w:rFonts w:ascii="宋体" w:hAnsi="宋体" w:eastAsia="宋体" w:cs="宋体"/>
          <w:lang w:eastAsia="zh-CN"/>
        </w:rPr>
      </w:pPr>
      <w:r>
        <w:rPr>
          <w:rFonts w:ascii="宋体" w:hAnsi="宋体" w:eastAsia="宋体" w:cs="宋体"/>
          <w:lang w:eastAsia="zh-CN"/>
        </w:rPr>
      </w:r>
      <w:r/>
    </w:p>
    <w:p>
      <w:pPr>
        <w:ind w:firstLine="482"/>
        <w:jc w:val="both"/>
        <w:spacing w:after="0"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第五条 服务质量、成果要求</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第六条 甲、乙双方权利义务</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pStyle w:val="663"/>
        <w:ind w:firstLine="480"/>
        <w:rPr>
          <w:rFonts w:ascii="宋体" w:hAnsi="宋体" w:eastAsia="宋体" w:cs="宋体"/>
          <w:lang w:eastAsia="zh-CN"/>
        </w:rPr>
      </w:pPr>
      <w:r>
        <w:rPr>
          <w:rFonts w:hint="eastAsia" w:ascii="宋体" w:hAnsi="宋体" w:eastAsia="宋体" w:cs="宋体"/>
          <w:color w:val="000000"/>
          <w:sz w:val="24"/>
          <w:lang w:eastAsia="zh-CN"/>
        </w:rPr>
        <w:t xml:space="preserve">6、</w:t>
      </w:r>
      <w:r>
        <w:rPr>
          <w:rFonts w:hint="eastAsia" w:ascii="宋体" w:hAnsi="宋体" w:eastAsia="宋体" w:cs="宋体"/>
          <w:bCs/>
          <w:sz w:val="21"/>
          <w:szCs w:val="21"/>
          <w:lang w:eastAsia="zh-CN"/>
        </w:rPr>
        <w:t xml:space="preserve">服务期内，乙方应承诺免费提供二次移机服务。</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第七条 知识产权</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第八条 保密条款</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第九条 风险责任</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第十条 履约保证金（本项目不涉及）</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第十一条 合同的变更和终止</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第十二条 合同的转让</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第十三条 违约责任</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第十四条 不可抗力</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第十五条 索赔</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第十六条 争议的解决</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第十七条 诚实信用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第十八条 合同生效及其他</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2、本合同一式肆份，甲乙双方各执贰份。</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甲方（采购人）：（盖章）                     乙方（供应商）：（盖章）</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代表人：                   代表人：</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电话：                    电话：</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开户银行：                                   开户银行：</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帐号：                                       帐号：</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日期： 年 月  日                             日期：    年  月   日</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line="312"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line="46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（全文完）</w:t>
      </w:r>
      <w:r/>
    </w:p>
    <w:p>
      <w:pPr>
        <w:rPr>
          <w:rFonts w:ascii="宋体" w:hAnsi="宋体" w:eastAsia="宋体" w:cs="宋体"/>
          <w:lang w:eastAsia="zh-CN"/>
        </w:rPr>
      </w:pPr>
      <w:r>
        <w:rPr>
          <w:rFonts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Wingdings">
    <w:panose1 w:val="05000000000000000000"/>
  </w:font>
  <w:font w:name="华文楷体">
    <w:panose1 w:val="02010600040101010101"/>
  </w:font>
  <w:font w:name="Cambria Math">
    <w:panose1 w:val="02040503050406030204"/>
  </w:font>
  <w:font w:name="仿宋">
    <w:panose1 w:val="02010609060101010101"/>
  </w:font>
  <w:font w:name="Tahoma">
    <w:panose1 w:val="020B0604030504040204"/>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61"/>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45"/>
    <w:uiPriority w:val="9"/>
    <w:rPr>
      <w:rFonts w:ascii="Arial" w:hAnsi="Arial" w:eastAsia="Arial" w:cs="Arial"/>
      <w:sz w:val="40"/>
      <w:szCs w:val="40"/>
    </w:rPr>
  </w:style>
  <w:style w:type="character" w:styleId="15">
    <w:name w:val="Heading 2 Char"/>
    <w:basedOn w:val="654"/>
    <w:link w:val="646"/>
    <w:uiPriority w:val="9"/>
    <w:rPr>
      <w:rFonts w:ascii="Arial" w:hAnsi="Arial" w:eastAsia="Arial" w:cs="Arial"/>
      <w:sz w:val="34"/>
    </w:rPr>
  </w:style>
  <w:style w:type="character" w:styleId="17">
    <w:name w:val="Heading 3 Char"/>
    <w:basedOn w:val="654"/>
    <w:link w:val="873"/>
    <w:uiPriority w:val="9"/>
    <w:rPr>
      <w:rFonts w:ascii="Arial" w:hAnsi="Arial" w:eastAsia="Arial" w:cs="Arial"/>
      <w:sz w:val="30"/>
      <w:szCs w:val="30"/>
    </w:rPr>
  </w:style>
  <w:style w:type="character" w:styleId="19">
    <w:name w:val="Heading 4 Char"/>
    <w:basedOn w:val="654"/>
    <w:link w:val="648"/>
    <w:uiPriority w:val="9"/>
    <w:rPr>
      <w:rFonts w:ascii="Arial" w:hAnsi="Arial" w:eastAsia="Arial" w:cs="Arial"/>
      <w:b/>
      <w:bCs/>
      <w:sz w:val="26"/>
      <w:szCs w:val="26"/>
    </w:rPr>
  </w:style>
  <w:style w:type="character" w:styleId="21">
    <w:name w:val="Heading 5 Char"/>
    <w:basedOn w:val="654"/>
    <w:link w:val="649"/>
    <w:uiPriority w:val="9"/>
    <w:rPr>
      <w:rFonts w:ascii="Arial" w:hAnsi="Arial" w:eastAsia="Arial" w:cs="Arial"/>
      <w:b/>
      <w:bCs/>
      <w:sz w:val="24"/>
      <w:szCs w:val="24"/>
    </w:rPr>
  </w:style>
  <w:style w:type="character" w:styleId="23">
    <w:name w:val="Heading 6 Char"/>
    <w:basedOn w:val="654"/>
    <w:link w:val="650"/>
    <w:uiPriority w:val="9"/>
    <w:rPr>
      <w:rFonts w:ascii="Arial" w:hAnsi="Arial" w:eastAsia="Arial" w:cs="Arial"/>
      <w:b/>
      <w:bCs/>
      <w:sz w:val="22"/>
      <w:szCs w:val="22"/>
    </w:rPr>
  </w:style>
  <w:style w:type="character" w:styleId="25">
    <w:name w:val="Heading 7 Char"/>
    <w:basedOn w:val="654"/>
    <w:link w:val="651"/>
    <w:uiPriority w:val="9"/>
    <w:rPr>
      <w:rFonts w:ascii="Arial" w:hAnsi="Arial" w:eastAsia="Arial" w:cs="Arial"/>
      <w:b/>
      <w:bCs/>
      <w:i/>
      <w:iCs/>
      <w:sz w:val="22"/>
      <w:szCs w:val="22"/>
    </w:rPr>
  </w:style>
  <w:style w:type="character" w:styleId="27">
    <w:name w:val="Heading 8 Char"/>
    <w:basedOn w:val="654"/>
    <w:link w:val="652"/>
    <w:uiPriority w:val="9"/>
    <w:rPr>
      <w:rFonts w:ascii="Arial" w:hAnsi="Arial" w:eastAsia="Arial" w:cs="Arial"/>
      <w:i/>
      <w:iCs/>
      <w:sz w:val="22"/>
      <w:szCs w:val="22"/>
    </w:rPr>
  </w:style>
  <w:style w:type="character" w:styleId="29">
    <w:name w:val="Heading 9 Char"/>
    <w:basedOn w:val="654"/>
    <w:link w:val="653"/>
    <w:uiPriority w:val="9"/>
    <w:rPr>
      <w:rFonts w:ascii="Arial" w:hAnsi="Arial" w:eastAsia="Arial" w:cs="Arial"/>
      <w:i/>
      <w:iCs/>
      <w:sz w:val="21"/>
      <w:szCs w:val="21"/>
    </w:rPr>
  </w:style>
  <w:style w:type="character" w:styleId="34">
    <w:name w:val="Title Char"/>
    <w:basedOn w:val="654"/>
    <w:link w:val="686"/>
    <w:uiPriority w:val="10"/>
    <w:rPr>
      <w:sz w:val="48"/>
      <w:szCs w:val="48"/>
    </w:rPr>
  </w:style>
  <w:style w:type="character" w:styleId="36">
    <w:name w:val="Subtitle Char"/>
    <w:basedOn w:val="654"/>
    <w:link w:val="678"/>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character" w:styleId="42">
    <w:name w:val="Header Char"/>
    <w:basedOn w:val="654"/>
    <w:link w:val="675"/>
    <w:uiPriority w:val="99"/>
  </w:style>
  <w:style w:type="character" w:styleId="46">
    <w:name w:val="Caption Char"/>
    <w:basedOn w:val="660"/>
    <w:link w:val="673"/>
    <w:uiPriority w:val="99"/>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1"/>
    <w:uiPriority w:val="99"/>
    <w:rPr>
      <w:sz w:val="20"/>
    </w:rPr>
  </w:style>
  <w:style w:type="paragraph" w:styleId="189">
    <w:name w:val="TOC Heading"/>
    <w:uiPriority w:val="39"/>
    <w:unhideWhenUsed/>
  </w:style>
  <w:style w:type="paragraph" w:styleId="644"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45">
    <w:name w:val="Heading 1"/>
    <w:basedOn w:val="644"/>
    <w:next w:val="644"/>
    <w:link w:val="698"/>
    <w:uiPriority w:val="9"/>
    <w:qFormat/>
    <w:pPr>
      <w:keepLines/>
      <w:keepNext/>
      <w:spacing w:before="480"/>
      <w:outlineLvl w:val="0"/>
    </w:pPr>
    <w:rPr>
      <w:rFonts w:ascii="Arial" w:hAnsi="Arial" w:eastAsia="Arial" w:cs="Arial"/>
      <w:sz w:val="40"/>
      <w:szCs w:val="40"/>
    </w:rPr>
  </w:style>
  <w:style w:type="paragraph" w:styleId="646">
    <w:name w:val="Heading 2"/>
    <w:basedOn w:val="644"/>
    <w:next w:val="644"/>
    <w:link w:val="699"/>
    <w:uiPriority w:val="9"/>
    <w:unhideWhenUsed/>
    <w:qFormat/>
    <w:pPr>
      <w:keepLines/>
      <w:keepNext/>
      <w:spacing w:before="360"/>
      <w:outlineLvl w:val="1"/>
    </w:pPr>
    <w:rPr>
      <w:rFonts w:ascii="Arial" w:hAnsi="Arial" w:eastAsia="Arial" w:cs="Arial"/>
      <w:sz w:val="34"/>
    </w:rPr>
  </w:style>
  <w:style w:type="paragraph" w:styleId="647">
    <w:name w:val="Heading 3"/>
    <w:basedOn w:val="644"/>
    <w:next w:val="644"/>
    <w:link w:val="700"/>
    <w:uiPriority w:val="9"/>
    <w:unhideWhenUsed/>
    <w:qFormat/>
    <w:pPr>
      <w:keepLines/>
      <w:keepNext/>
      <w:spacing w:before="320"/>
      <w:outlineLvl w:val="2"/>
    </w:pPr>
    <w:rPr>
      <w:rFonts w:ascii="Arial" w:hAnsi="Arial" w:eastAsia="Arial" w:cs="Arial"/>
      <w:sz w:val="30"/>
      <w:szCs w:val="30"/>
    </w:rPr>
  </w:style>
  <w:style w:type="paragraph" w:styleId="648">
    <w:name w:val="Heading 4"/>
    <w:basedOn w:val="644"/>
    <w:next w:val="644"/>
    <w:link w:val="701"/>
    <w:uiPriority w:val="9"/>
    <w:unhideWhenUsed/>
    <w:qFormat/>
    <w:pPr>
      <w:keepLines/>
      <w:keepNext/>
      <w:spacing w:before="320"/>
      <w:outlineLvl w:val="3"/>
    </w:pPr>
    <w:rPr>
      <w:rFonts w:ascii="Arial" w:hAnsi="Arial" w:eastAsia="Arial" w:cs="Arial"/>
      <w:b/>
      <w:bCs/>
      <w:sz w:val="26"/>
      <w:szCs w:val="26"/>
    </w:rPr>
  </w:style>
  <w:style w:type="paragraph" w:styleId="649">
    <w:name w:val="Heading 5"/>
    <w:basedOn w:val="644"/>
    <w:next w:val="644"/>
    <w:link w:val="702"/>
    <w:uiPriority w:val="9"/>
    <w:unhideWhenUsed/>
    <w:qFormat/>
    <w:pPr>
      <w:keepLines/>
      <w:keepNext/>
      <w:spacing w:before="320"/>
      <w:outlineLvl w:val="4"/>
    </w:pPr>
    <w:rPr>
      <w:rFonts w:ascii="Arial" w:hAnsi="Arial" w:eastAsia="Arial" w:cs="Arial"/>
      <w:b/>
      <w:bCs/>
      <w:sz w:val="24"/>
      <w:szCs w:val="24"/>
    </w:rPr>
  </w:style>
  <w:style w:type="paragraph" w:styleId="650">
    <w:name w:val="Heading 6"/>
    <w:basedOn w:val="644"/>
    <w:next w:val="644"/>
    <w:link w:val="703"/>
    <w:uiPriority w:val="9"/>
    <w:unhideWhenUsed/>
    <w:qFormat/>
    <w:pPr>
      <w:keepLines/>
      <w:keepNext/>
      <w:spacing w:before="320"/>
      <w:outlineLvl w:val="5"/>
    </w:pPr>
    <w:rPr>
      <w:rFonts w:ascii="Arial" w:hAnsi="Arial" w:eastAsia="Arial" w:cs="Arial"/>
      <w:b/>
      <w:bCs/>
    </w:rPr>
  </w:style>
  <w:style w:type="paragraph" w:styleId="651">
    <w:name w:val="Heading 7"/>
    <w:basedOn w:val="644"/>
    <w:next w:val="644"/>
    <w:link w:val="704"/>
    <w:uiPriority w:val="9"/>
    <w:unhideWhenUsed/>
    <w:qFormat/>
    <w:pPr>
      <w:keepLines/>
      <w:keepNext/>
      <w:spacing w:before="320"/>
      <w:outlineLvl w:val="6"/>
    </w:pPr>
    <w:rPr>
      <w:rFonts w:ascii="Arial" w:hAnsi="Arial" w:eastAsia="Arial" w:cs="Arial"/>
      <w:b/>
      <w:bCs/>
      <w:i/>
      <w:iCs/>
    </w:rPr>
  </w:style>
  <w:style w:type="paragraph" w:styleId="652">
    <w:name w:val="Heading 8"/>
    <w:basedOn w:val="644"/>
    <w:next w:val="644"/>
    <w:link w:val="705"/>
    <w:uiPriority w:val="9"/>
    <w:unhideWhenUsed/>
    <w:qFormat/>
    <w:pPr>
      <w:keepLines/>
      <w:keepNext/>
      <w:spacing w:before="320"/>
      <w:outlineLvl w:val="7"/>
    </w:pPr>
    <w:rPr>
      <w:rFonts w:ascii="Arial" w:hAnsi="Arial" w:eastAsia="Arial" w:cs="Arial"/>
      <w:i/>
      <w:iCs/>
    </w:rPr>
  </w:style>
  <w:style w:type="paragraph" w:styleId="653">
    <w:name w:val="Heading 9"/>
    <w:basedOn w:val="644"/>
    <w:next w:val="644"/>
    <w:link w:val="706"/>
    <w:uiPriority w:val="9"/>
    <w:unhideWhenUsed/>
    <w:qFormat/>
    <w:pPr>
      <w:keepLines/>
      <w:keepNext/>
      <w:spacing w:before="32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macro"/>
    <w:link w:val="856"/>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57">
    <w:name w:val="toc 7"/>
    <w:basedOn w:val="644"/>
    <w:next w:val="644"/>
    <w:uiPriority w:val="39"/>
    <w:unhideWhenUsed/>
    <w:qFormat/>
    <w:pPr>
      <w:ind w:left="1701"/>
      <w:spacing w:after="57"/>
    </w:pPr>
  </w:style>
  <w:style w:type="paragraph" w:styleId="658">
    <w:name w:val="index 8"/>
    <w:basedOn w:val="644"/>
    <w:next w:val="644"/>
    <w:uiPriority w:val="0"/>
    <w:qFormat/>
    <w:pPr>
      <w:ind w:left="1400"/>
      <w:jc w:val="both"/>
      <w:spacing w:after="0" w:line="288" w:lineRule="auto"/>
      <w:widowControl w:val="off"/>
    </w:pPr>
    <w:rPr>
      <w:rFonts w:ascii="MiSans" w:hAnsi="MiSans" w:eastAsia="MiSans"/>
      <w:lang w:eastAsia="zh-CN"/>
    </w:rPr>
  </w:style>
  <w:style w:type="paragraph" w:styleId="659">
    <w:name w:val="Normal Indent"/>
    <w:basedOn w:val="644"/>
    <w:next w:val="644"/>
    <w:uiPriority w:val="0"/>
    <w:qFormat/>
    <w:pPr>
      <w:ind w:firstLine="420"/>
    </w:pPr>
  </w:style>
  <w:style w:type="paragraph" w:styleId="660">
    <w:name w:val="Caption"/>
    <w:basedOn w:val="644"/>
    <w:next w:val="644"/>
    <w:uiPriority w:val="35"/>
    <w:semiHidden/>
    <w:unhideWhenUsed/>
    <w:qFormat/>
    <w:rPr>
      <w:b/>
      <w:bCs/>
      <w:color w:val="5b9bd5" w:themeColor="accent1"/>
      <w:sz w:val="18"/>
      <w:szCs w:val="18"/>
      <w14:textFill>
        <w14:solidFill>
          <w14:schemeClr w14:val="accent1"/>
        </w14:solidFill>
      </w14:textFill>
    </w:rPr>
  </w:style>
  <w:style w:type="paragraph" w:styleId="661">
    <w:name w:val="List Bullet"/>
    <w:basedOn w:val="644"/>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62">
    <w:name w:val="Document Map"/>
    <w:basedOn w:val="644"/>
    <w:next w:val="663"/>
    <w:uiPriority w:val="99"/>
    <w:qFormat/>
    <w:pPr>
      <w:shd w:val="clear" w:color="auto" w:fill="000080"/>
    </w:pPr>
  </w:style>
  <w:style w:type="paragraph" w:styleId="663">
    <w:name w:val="Body Text"/>
    <w:basedOn w:val="644"/>
    <w:next w:val="659"/>
    <w:uiPriority w:val="0"/>
    <w:qFormat/>
    <w:rPr>
      <w:rFonts w:ascii="楷体_GB2312" w:hAnsi="Arial" w:eastAsia="楷体_GB2312"/>
      <w:sz w:val="28"/>
    </w:rPr>
  </w:style>
  <w:style w:type="paragraph" w:styleId="664">
    <w:name w:val="annotation text"/>
    <w:basedOn w:val="644"/>
    <w:link w:val="871"/>
    <w:uiPriority w:val="99"/>
    <w:qFormat/>
    <w:rPr>
      <w:rFonts w:ascii="Calibri" w:hAnsi="Calibri"/>
    </w:rPr>
  </w:style>
  <w:style w:type="paragraph" w:styleId="665">
    <w:name w:val="Body Text Indent"/>
    <w:basedOn w:val="644"/>
    <w:next w:val="663"/>
    <w:link w:val="852"/>
    <w:uiPriority w:val="0"/>
    <w:qFormat/>
    <w:pPr>
      <w:ind w:firstLine="574"/>
      <w:spacing w:line="312" w:lineRule="atLeast"/>
    </w:pPr>
    <w:rPr>
      <w:rFonts w:ascii="宋体"/>
      <w:sz w:val="28"/>
    </w:rPr>
  </w:style>
  <w:style w:type="paragraph" w:styleId="666">
    <w:name w:val="Block Text"/>
    <w:basedOn w:val="644"/>
    <w:next w:val="663"/>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67">
    <w:name w:val="toc 5"/>
    <w:basedOn w:val="644"/>
    <w:next w:val="644"/>
    <w:uiPriority w:val="39"/>
    <w:unhideWhenUsed/>
    <w:qFormat/>
    <w:pPr>
      <w:ind w:left="1134"/>
      <w:spacing w:after="57"/>
    </w:pPr>
  </w:style>
  <w:style w:type="paragraph" w:styleId="668">
    <w:name w:val="toc 3"/>
    <w:basedOn w:val="644"/>
    <w:next w:val="644"/>
    <w:uiPriority w:val="39"/>
    <w:unhideWhenUsed/>
    <w:qFormat/>
    <w:pPr>
      <w:ind w:left="567"/>
      <w:spacing w:after="57"/>
    </w:pPr>
  </w:style>
  <w:style w:type="paragraph" w:styleId="669">
    <w:name w:val="Plain Text"/>
    <w:basedOn w:val="644"/>
    <w:uiPriority w:val="99"/>
    <w:qFormat/>
    <w:rPr>
      <w:rFonts w:ascii="宋体" w:hAnsi="Courier New"/>
    </w:rPr>
  </w:style>
  <w:style w:type="paragraph" w:styleId="670">
    <w:name w:val="toc 8"/>
    <w:basedOn w:val="644"/>
    <w:next w:val="644"/>
    <w:uiPriority w:val="39"/>
    <w:unhideWhenUsed/>
    <w:qFormat/>
    <w:pPr>
      <w:ind w:left="1984"/>
      <w:spacing w:after="57"/>
    </w:pPr>
  </w:style>
  <w:style w:type="paragraph" w:styleId="671">
    <w:name w:val="endnote text"/>
    <w:basedOn w:val="644"/>
    <w:link w:val="842"/>
    <w:uiPriority w:val="99"/>
    <w:semiHidden/>
    <w:unhideWhenUsed/>
    <w:qFormat/>
    <w:pPr>
      <w:spacing w:after="0" w:line="240" w:lineRule="auto"/>
    </w:pPr>
    <w:rPr>
      <w:sz w:val="20"/>
    </w:rPr>
  </w:style>
  <w:style w:type="paragraph" w:styleId="672">
    <w:name w:val="Balloon Text"/>
    <w:basedOn w:val="644"/>
    <w:link w:val="855"/>
    <w:uiPriority w:val="99"/>
    <w:semiHidden/>
    <w:unhideWhenUsed/>
    <w:qFormat/>
    <w:pPr>
      <w:spacing w:after="0" w:line="240" w:lineRule="auto"/>
    </w:pPr>
    <w:rPr>
      <w:sz w:val="18"/>
      <w:szCs w:val="18"/>
    </w:rPr>
  </w:style>
  <w:style w:type="paragraph" w:styleId="673">
    <w:name w:val="Footer"/>
    <w:basedOn w:val="644"/>
    <w:link w:val="715"/>
    <w:uiPriority w:val="99"/>
    <w:unhideWhenUsed/>
    <w:qFormat/>
    <w:pPr>
      <w:spacing w:after="0" w:line="240" w:lineRule="auto"/>
      <w:tabs>
        <w:tab w:val="center" w:pos="7143" w:leader="none"/>
        <w:tab w:val="right" w:pos="14287" w:leader="none"/>
      </w:tabs>
    </w:pPr>
  </w:style>
  <w:style w:type="paragraph" w:styleId="674">
    <w:name w:val="envelope return"/>
    <w:basedOn w:val="644"/>
    <w:uiPriority w:val="0"/>
    <w:qFormat/>
    <w:rPr>
      <w:rFonts w:ascii="Arial" w:hAnsi="Arial" w:cs="Arial"/>
      <w:szCs w:val="20"/>
    </w:rPr>
  </w:style>
  <w:style w:type="paragraph" w:styleId="675">
    <w:name w:val="Header"/>
    <w:basedOn w:val="644"/>
    <w:link w:val="713"/>
    <w:uiPriority w:val="99"/>
    <w:unhideWhenUsed/>
    <w:qFormat/>
    <w:pPr>
      <w:spacing w:after="0" w:line="240" w:lineRule="auto"/>
      <w:tabs>
        <w:tab w:val="center" w:pos="7143" w:leader="none"/>
        <w:tab w:val="right" w:pos="14287" w:leader="none"/>
      </w:tabs>
    </w:pPr>
  </w:style>
  <w:style w:type="paragraph" w:styleId="676">
    <w:name w:val="toc 1"/>
    <w:basedOn w:val="644"/>
    <w:next w:val="644"/>
    <w:uiPriority w:val="39"/>
    <w:unhideWhenUsed/>
    <w:qFormat/>
    <w:pPr>
      <w:spacing w:after="57"/>
    </w:pPr>
  </w:style>
  <w:style w:type="paragraph" w:styleId="677">
    <w:name w:val="toc 4"/>
    <w:basedOn w:val="644"/>
    <w:next w:val="644"/>
    <w:uiPriority w:val="39"/>
    <w:unhideWhenUsed/>
    <w:qFormat/>
    <w:pPr>
      <w:ind w:left="850"/>
      <w:spacing w:after="57"/>
    </w:pPr>
  </w:style>
  <w:style w:type="paragraph" w:styleId="678">
    <w:name w:val="Subtitle"/>
    <w:basedOn w:val="644"/>
    <w:next w:val="644"/>
    <w:link w:val="708"/>
    <w:uiPriority w:val="11"/>
    <w:qFormat/>
    <w:pPr>
      <w:spacing w:before="200"/>
    </w:pPr>
    <w:rPr>
      <w:sz w:val="24"/>
      <w:szCs w:val="24"/>
    </w:rPr>
  </w:style>
  <w:style w:type="paragraph" w:styleId="679">
    <w:name w:val="footnote text"/>
    <w:basedOn w:val="644"/>
    <w:link w:val="841"/>
    <w:uiPriority w:val="99"/>
    <w:semiHidden/>
    <w:unhideWhenUsed/>
    <w:qFormat/>
    <w:pPr>
      <w:spacing w:after="40" w:line="240" w:lineRule="auto"/>
    </w:pPr>
    <w:rPr>
      <w:sz w:val="18"/>
    </w:rPr>
  </w:style>
  <w:style w:type="paragraph" w:styleId="680">
    <w:name w:val="toc 6"/>
    <w:basedOn w:val="644"/>
    <w:next w:val="644"/>
    <w:uiPriority w:val="39"/>
    <w:unhideWhenUsed/>
    <w:qFormat/>
    <w:pPr>
      <w:ind w:left="1417"/>
      <w:spacing w:after="57"/>
    </w:pPr>
  </w:style>
  <w:style w:type="paragraph" w:styleId="681">
    <w:name w:val="table of figures"/>
    <w:basedOn w:val="644"/>
    <w:next w:val="644"/>
    <w:uiPriority w:val="99"/>
    <w:unhideWhenUsed/>
    <w:qFormat/>
    <w:pPr>
      <w:spacing w:after="0"/>
    </w:pPr>
  </w:style>
  <w:style w:type="paragraph" w:styleId="682">
    <w:name w:val="toc 2"/>
    <w:basedOn w:val="644"/>
    <w:next w:val="644"/>
    <w:uiPriority w:val="39"/>
    <w:unhideWhenUsed/>
    <w:qFormat/>
    <w:pPr>
      <w:ind w:left="283"/>
      <w:spacing w:after="57"/>
    </w:pPr>
  </w:style>
  <w:style w:type="paragraph" w:styleId="683">
    <w:name w:val="toc 9"/>
    <w:basedOn w:val="644"/>
    <w:next w:val="644"/>
    <w:uiPriority w:val="39"/>
    <w:unhideWhenUsed/>
    <w:qFormat/>
    <w:pPr>
      <w:ind w:left="2268"/>
      <w:spacing w:after="57"/>
    </w:pPr>
  </w:style>
  <w:style w:type="paragraph" w:styleId="684">
    <w:name w:val="HTML Preformatted"/>
    <w:basedOn w:val="644"/>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685">
    <w:name w:val="Normal (Web)"/>
    <w:basedOn w:val="644"/>
    <w:uiPriority w:val="0"/>
    <w:qFormat/>
    <w:rPr>
      <w:szCs w:val="20"/>
    </w:rPr>
  </w:style>
  <w:style w:type="paragraph" w:styleId="686">
    <w:name w:val="Title"/>
    <w:basedOn w:val="644"/>
    <w:next w:val="644"/>
    <w:link w:val="707"/>
    <w:uiPriority w:val="10"/>
    <w:qFormat/>
    <w:pPr>
      <w:contextualSpacing/>
      <w:spacing w:before="300"/>
    </w:pPr>
    <w:rPr>
      <w:sz w:val="48"/>
      <w:szCs w:val="48"/>
    </w:rPr>
  </w:style>
  <w:style w:type="paragraph" w:styleId="687">
    <w:name w:val="annotation subject"/>
    <w:basedOn w:val="664"/>
    <w:next w:val="664"/>
    <w:link w:val="872"/>
    <w:uiPriority w:val="99"/>
    <w:semiHidden/>
    <w:unhideWhenUsed/>
    <w:qFormat/>
    <w:rPr>
      <w:rFonts w:asciiTheme="minorHAnsi" w:hAnsiTheme="minorHAnsi"/>
      <w:b/>
      <w:bCs/>
    </w:rPr>
  </w:style>
  <w:style w:type="paragraph" w:styleId="688">
    <w:name w:val="Body Text First Indent"/>
    <w:basedOn w:val="644"/>
    <w:next w:val="644"/>
    <w:uiPriority w:val="0"/>
    <w:qFormat/>
    <w:pPr>
      <w:ind w:firstLine="420"/>
      <w:spacing w:after="120"/>
    </w:pPr>
    <w:rPr>
      <w:rFonts w:ascii="Tahoma" w:hAnsi="Tahoma" w:eastAsia="Times New Roman"/>
    </w:rPr>
  </w:style>
  <w:style w:type="paragraph" w:styleId="689">
    <w:name w:val="Body Text First Indent 2"/>
    <w:basedOn w:val="665"/>
    <w:uiPriority w:val="0"/>
    <w:unhideWhenUsed/>
    <w:qFormat/>
    <w:pPr>
      <w:ind w:firstLine="420"/>
    </w:pPr>
    <w:rPr>
      <w:rFonts w:ascii="Times New Roman"/>
      <w:sz w:val="24"/>
      <w:szCs w:val="24"/>
    </w:rPr>
  </w:style>
  <w:style w:type="table" w:styleId="690">
    <w:name w:val="Table Grid"/>
    <w:basedOn w:val="6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Strong"/>
    <w:basedOn w:val="654"/>
    <w:uiPriority w:val="22"/>
    <w:qFormat/>
    <w:rPr>
      <w:b/>
    </w:rPr>
  </w:style>
  <w:style w:type="character" w:styleId="692">
    <w:name w:val="endnote reference"/>
    <w:uiPriority w:val="99"/>
    <w:semiHidden/>
    <w:unhideWhenUsed/>
    <w:qFormat/>
    <w:rPr>
      <w:vertAlign w:val="superscript"/>
    </w:rPr>
  </w:style>
  <w:style w:type="character" w:styleId="693">
    <w:name w:val="Emphasis"/>
    <w:basedOn w:val="654"/>
    <w:uiPriority w:val="0"/>
    <w:qFormat/>
    <w:rPr>
      <w:i/>
    </w:rPr>
  </w:style>
  <w:style w:type="character" w:styleId="694">
    <w:name w:val="Hyperlink"/>
    <w:uiPriority w:val="99"/>
    <w:unhideWhenUsed/>
    <w:qFormat/>
    <w:rPr>
      <w:color w:val="0563c1" w:themeColor="hyperlink"/>
      <w:u w:val="single"/>
      <w14:textFill>
        <w14:solidFill>
          <w14:schemeClr w14:val="hlink"/>
        </w14:solidFill>
      </w14:textFill>
    </w:rPr>
  </w:style>
  <w:style w:type="character" w:styleId="695">
    <w:name w:val="annotation reference"/>
    <w:basedOn w:val="654"/>
    <w:uiPriority w:val="99"/>
    <w:semiHidden/>
    <w:unhideWhenUsed/>
    <w:qFormat/>
    <w:rPr>
      <w:sz w:val="21"/>
      <w:szCs w:val="21"/>
    </w:rPr>
  </w:style>
  <w:style w:type="character" w:styleId="696">
    <w:name w:val="footnote reference"/>
    <w:uiPriority w:val="99"/>
    <w:unhideWhenUsed/>
    <w:qFormat/>
    <w:rPr>
      <w:vertAlign w:val="superscript"/>
    </w:rPr>
  </w:style>
  <w:style w:type="paragraph" w:styleId="697" w:customStyle="1">
    <w:name w:val="正文文本缩进1"/>
    <w:next w:val="644"/>
    <w:uiPriority w:val="0"/>
    <w:qFormat/>
    <w:pPr>
      <w:ind w:firstLine="645"/>
      <w:jc w:val="both"/>
      <w:widowControl w:val="off"/>
    </w:pPr>
    <w:rPr>
      <w:rFonts w:ascii="楷体_GB2312" w:hAnsi="宋体" w:eastAsia="楷体_GB2312" w:cs="宋体"/>
      <w:sz w:val="32"/>
      <w:szCs w:val="32"/>
      <w:lang w:val="en-US" w:eastAsia="zh-CN" w:bidi="ar-SA"/>
    </w:rPr>
  </w:style>
  <w:style w:type="character" w:styleId="698" w:customStyle="1">
    <w:name w:val="标题 1 Char"/>
    <w:link w:val="645"/>
    <w:uiPriority w:val="9"/>
    <w:qFormat/>
    <w:rPr>
      <w:rFonts w:ascii="Arial" w:hAnsi="Arial" w:eastAsia="Arial" w:cs="Arial"/>
      <w:sz w:val="40"/>
      <w:szCs w:val="40"/>
    </w:rPr>
  </w:style>
  <w:style w:type="character" w:styleId="699" w:customStyle="1">
    <w:name w:val="标题 2 Char"/>
    <w:link w:val="646"/>
    <w:uiPriority w:val="9"/>
    <w:qFormat/>
    <w:rPr>
      <w:rFonts w:ascii="Arial" w:hAnsi="Arial" w:eastAsia="Arial" w:cs="Arial"/>
      <w:sz w:val="34"/>
    </w:rPr>
  </w:style>
  <w:style w:type="character" w:styleId="700" w:customStyle="1">
    <w:name w:val="标题 3 Char"/>
    <w:link w:val="647"/>
    <w:uiPriority w:val="9"/>
    <w:qFormat/>
    <w:rPr>
      <w:rFonts w:ascii="Arial" w:hAnsi="Arial" w:eastAsia="Arial" w:cs="Arial"/>
      <w:sz w:val="30"/>
      <w:szCs w:val="30"/>
    </w:rPr>
  </w:style>
  <w:style w:type="character" w:styleId="701" w:customStyle="1">
    <w:name w:val="标题 4 Char"/>
    <w:link w:val="648"/>
    <w:uiPriority w:val="9"/>
    <w:qFormat/>
    <w:rPr>
      <w:rFonts w:ascii="Arial" w:hAnsi="Arial" w:eastAsia="Arial" w:cs="Arial"/>
      <w:b/>
      <w:bCs/>
      <w:sz w:val="26"/>
      <w:szCs w:val="26"/>
    </w:rPr>
  </w:style>
  <w:style w:type="character" w:styleId="702" w:customStyle="1">
    <w:name w:val="标题 5 Char"/>
    <w:link w:val="649"/>
    <w:uiPriority w:val="9"/>
    <w:qFormat/>
    <w:rPr>
      <w:rFonts w:ascii="Arial" w:hAnsi="Arial" w:eastAsia="Arial" w:cs="Arial"/>
      <w:b/>
      <w:bCs/>
      <w:sz w:val="24"/>
      <w:szCs w:val="24"/>
    </w:rPr>
  </w:style>
  <w:style w:type="character" w:styleId="703" w:customStyle="1">
    <w:name w:val="标题 6 Char"/>
    <w:link w:val="650"/>
    <w:uiPriority w:val="9"/>
    <w:qFormat/>
    <w:rPr>
      <w:rFonts w:ascii="Arial" w:hAnsi="Arial" w:eastAsia="Arial" w:cs="Arial"/>
      <w:b/>
      <w:bCs/>
      <w:sz w:val="22"/>
      <w:szCs w:val="22"/>
    </w:rPr>
  </w:style>
  <w:style w:type="character" w:styleId="704" w:customStyle="1">
    <w:name w:val="标题 7 Char"/>
    <w:link w:val="651"/>
    <w:uiPriority w:val="9"/>
    <w:qFormat/>
    <w:rPr>
      <w:rFonts w:ascii="Arial" w:hAnsi="Arial" w:eastAsia="Arial" w:cs="Arial"/>
      <w:b/>
      <w:bCs/>
      <w:i/>
      <w:iCs/>
      <w:sz w:val="22"/>
      <w:szCs w:val="22"/>
    </w:rPr>
  </w:style>
  <w:style w:type="character" w:styleId="705" w:customStyle="1">
    <w:name w:val="标题 8 Char"/>
    <w:link w:val="652"/>
    <w:uiPriority w:val="9"/>
    <w:qFormat/>
    <w:rPr>
      <w:rFonts w:ascii="Arial" w:hAnsi="Arial" w:eastAsia="Arial" w:cs="Arial"/>
      <w:i/>
      <w:iCs/>
      <w:sz w:val="22"/>
      <w:szCs w:val="22"/>
    </w:rPr>
  </w:style>
  <w:style w:type="character" w:styleId="706" w:customStyle="1">
    <w:name w:val="标题 9 Char"/>
    <w:link w:val="653"/>
    <w:uiPriority w:val="9"/>
    <w:qFormat/>
    <w:rPr>
      <w:rFonts w:ascii="Arial" w:hAnsi="Arial" w:eastAsia="Arial" w:cs="Arial"/>
      <w:i/>
      <w:iCs/>
      <w:sz w:val="21"/>
      <w:szCs w:val="21"/>
    </w:rPr>
  </w:style>
  <w:style w:type="character" w:styleId="707" w:customStyle="1">
    <w:name w:val="标题 Char"/>
    <w:link w:val="686"/>
    <w:uiPriority w:val="10"/>
    <w:qFormat/>
    <w:rPr>
      <w:sz w:val="48"/>
      <w:szCs w:val="48"/>
    </w:rPr>
  </w:style>
  <w:style w:type="character" w:styleId="708" w:customStyle="1">
    <w:name w:val="副标题 Char"/>
    <w:link w:val="678"/>
    <w:uiPriority w:val="11"/>
    <w:qFormat/>
    <w:rPr>
      <w:sz w:val="24"/>
      <w:szCs w:val="24"/>
    </w:rPr>
  </w:style>
  <w:style w:type="paragraph" w:styleId="709">
    <w:name w:val="Quote"/>
    <w:basedOn w:val="644"/>
    <w:next w:val="644"/>
    <w:link w:val="710"/>
    <w:uiPriority w:val="29"/>
    <w:qFormat/>
    <w:pPr>
      <w:ind w:left="720" w:right="720"/>
    </w:pPr>
    <w:rPr>
      <w:i/>
    </w:rPr>
  </w:style>
  <w:style w:type="character" w:styleId="710" w:customStyle="1">
    <w:name w:val="引用 Char"/>
    <w:link w:val="709"/>
    <w:uiPriority w:val="29"/>
    <w:qFormat/>
    <w:rPr>
      <w:i/>
    </w:rPr>
  </w:style>
  <w:style w:type="paragraph" w:styleId="711">
    <w:name w:val="Intense Quote"/>
    <w:basedOn w:val="644"/>
    <w:next w:val="644"/>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Char"/>
    <w:link w:val="711"/>
    <w:uiPriority w:val="30"/>
    <w:qFormat/>
    <w:rPr>
      <w:i/>
    </w:rPr>
  </w:style>
  <w:style w:type="character" w:styleId="713" w:customStyle="1">
    <w:name w:val="页眉 Char"/>
    <w:link w:val="675"/>
    <w:uiPriority w:val="99"/>
    <w:qFormat/>
  </w:style>
  <w:style w:type="character" w:styleId="714" w:customStyle="1">
    <w:name w:val="Footer Char"/>
    <w:uiPriority w:val="99"/>
    <w:qFormat/>
  </w:style>
  <w:style w:type="character" w:styleId="715" w:customStyle="1">
    <w:name w:val="页脚 Char"/>
    <w:link w:val="673"/>
    <w:uiPriority w:val="99"/>
    <w:qFormat/>
  </w:style>
  <w:style w:type="table" w:styleId="716" w:customStyle="1">
    <w:name w:val="Table Grid Light"/>
    <w:basedOn w:val="6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无格式表格 11"/>
    <w:basedOn w:val="6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21"/>
    <w:basedOn w:val="6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无格式表格 31"/>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无格式表格 41"/>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无格式表格 51"/>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网格表 1 浅色1"/>
    <w:basedOn w:val="6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9" w:customStyle="1">
    <w:name w:val="网格表 21"/>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5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5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6" w:customStyle="1">
    <w:name w:val="网格表 31"/>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5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5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网格表 41"/>
    <w:basedOn w:val="6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5" w:customStyle="1">
    <w:name w:val="Grid Table 4 - Accent 2"/>
    <w:basedOn w:val="6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6" w:customStyle="1">
    <w:name w:val="Grid Table 4 - Accent 3"/>
    <w:basedOn w:val="6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7" w:customStyle="1">
    <w:name w:val="Grid Table 4 - Accent 4"/>
    <w:basedOn w:val="6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8" w:customStyle="1">
    <w:name w:val="Grid Table 4 - Accent 5"/>
    <w:basedOn w:val="6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9" w:customStyle="1">
    <w:name w:val="Grid Table 4 - Accent 6"/>
    <w:basedOn w:val="6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0" w:customStyle="1">
    <w:name w:val="网格表 5 深色1"/>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2" w:customStyle="1">
    <w:name w:val="Grid Table 5 Dark - Accent 2"/>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3" w:customStyle="1">
    <w:name w:val="Grid Table 5 Dark - Accent 3"/>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4" w:customStyle="1">
    <w:name w:val="Grid Table 5 Dark- Accent 4"/>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5" w:customStyle="1">
    <w:name w:val="Grid Table 5 Dark - Accent 5"/>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6" w:customStyle="1">
    <w:name w:val="Grid Table 5 Dark - Accent 6"/>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7" w:customStyle="1">
    <w:name w:val="网格表 6 彩色1"/>
    <w:basedOn w:val="6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1" w:customStyle="1">
    <w:name w:val="Grid Table 6 Colorful - Accent 4"/>
    <w:basedOn w:val="6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3" w:customStyle="1">
    <w:name w:val="Grid Table 6 Colorful - Accent 6"/>
    <w:basedOn w:val="6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4" w:customStyle="1">
    <w:name w:val="网格表 7 彩色1"/>
    <w:basedOn w:val="6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1" w:customStyle="1">
    <w:name w:val="清单表 1 浅色1"/>
    <w:basedOn w:val="6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5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5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5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5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5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5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清单表 21"/>
    <w:basedOn w:val="6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0" w:customStyle="1">
    <w:name w:val="List Table 2 - Accent 2"/>
    <w:basedOn w:val="6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1" w:customStyle="1">
    <w:name w:val="List Table 2 - Accent 3"/>
    <w:basedOn w:val="6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2" w:customStyle="1">
    <w:name w:val="List Table 2 - Accent 4"/>
    <w:basedOn w:val="6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3" w:customStyle="1">
    <w:name w:val="List Table 2 - Accent 5"/>
    <w:basedOn w:val="6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4" w:customStyle="1">
    <w:name w:val="List Table 2 - Accent 6"/>
    <w:basedOn w:val="6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5" w:customStyle="1">
    <w:name w:val="清单表 31"/>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3 - Accent 2"/>
    <w:basedOn w:val="6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2" w:customStyle="1">
    <w:name w:val="清单表 41"/>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4 - Accent 2"/>
    <w:basedOn w:val="6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5" w:customStyle="1">
    <w:name w:val="List Table 4 - Accent 3"/>
    <w:basedOn w:val="6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6" w:customStyle="1">
    <w:name w:val="List Table 4 - Accent 4"/>
    <w:basedOn w:val="6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7" w:customStyle="1">
    <w:name w:val="List Table 4 - Accent 5"/>
    <w:basedOn w:val="6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8" w:customStyle="1">
    <w:name w:val="List Table 4 - Accent 6"/>
    <w:basedOn w:val="6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9" w:customStyle="1">
    <w:name w:val="清单表 5 深色1"/>
    <w:basedOn w:val="6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6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5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8" w:customStyle="1">
    <w:name w:val="List Table 6 Colorful - Accent 2"/>
    <w:basedOn w:val="65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9" w:customStyle="1">
    <w:name w:val="List Table 6 Colorful - Accent 3"/>
    <w:basedOn w:val="65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0" w:customStyle="1">
    <w:name w:val="List Table 6 Colorful - Accent 4"/>
    <w:basedOn w:val="65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1" w:customStyle="1">
    <w:name w:val="List Table 6 Colorful - Accent 5"/>
    <w:basedOn w:val="65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2" w:customStyle="1">
    <w:name w:val="List Table 6 Colorful - Accent 6"/>
    <w:basedOn w:val="65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3" w:customStyle="1">
    <w:name w:val="清单表 7 彩色1"/>
    <w:basedOn w:val="6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5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5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5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5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5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5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Lined - Accent 2"/>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Lined - Accent 3"/>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Lined - Accent 4"/>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Lined - Accent 5"/>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Lined - Accent 6"/>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amp; Lined - Accent"/>
    <w:basedOn w:val="6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Bordered &amp; Lined - Accent 2"/>
    <w:basedOn w:val="6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Bordered &amp; Lined - Accent 3"/>
    <w:basedOn w:val="6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Bordered &amp; Lined - Accent 4"/>
    <w:basedOn w:val="6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Bordered &amp; Lined - Accent 5"/>
    <w:basedOn w:val="6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Bordered &amp; Lined - Accent 6"/>
    <w:basedOn w:val="6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w:basedOn w:val="6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6" w:customStyle="1">
    <w:name w:val="Bordered - Accent 2"/>
    <w:basedOn w:val="6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7" w:customStyle="1">
    <w:name w:val="Bordered - Accent 3"/>
    <w:basedOn w:val="6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8" w:customStyle="1">
    <w:name w:val="Bordered - Accent 4"/>
    <w:basedOn w:val="6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9" w:customStyle="1">
    <w:name w:val="Bordered - Accent 5"/>
    <w:basedOn w:val="6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0" w:customStyle="1">
    <w:name w:val="Bordered - Accent 6"/>
    <w:basedOn w:val="6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1" w:customStyle="1">
    <w:name w:val="脚注文本 Char"/>
    <w:link w:val="679"/>
    <w:uiPriority w:val="99"/>
    <w:qFormat/>
    <w:rPr>
      <w:sz w:val="18"/>
    </w:rPr>
  </w:style>
  <w:style w:type="character" w:styleId="842" w:customStyle="1">
    <w:name w:val="尾注文本 Char"/>
    <w:link w:val="671"/>
    <w:uiPriority w:val="99"/>
    <w:qFormat/>
    <w:rPr>
      <w:sz w:val="20"/>
    </w:rPr>
  </w:style>
  <w:style w:type="paragraph" w:styleId="843"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44">
    <w:name w:val="No Spacing"/>
    <w:basedOn w:val="644"/>
    <w:uiPriority w:val="99"/>
    <w:qFormat/>
    <w:pPr>
      <w:spacing w:after="0" w:line="240" w:lineRule="auto"/>
    </w:pPr>
  </w:style>
  <w:style w:type="paragraph" w:styleId="845">
    <w:name w:val="List Paragraph"/>
    <w:basedOn w:val="644"/>
    <w:uiPriority w:val="34"/>
    <w:qFormat/>
    <w:pPr>
      <w:contextualSpacing/>
      <w:ind w:left="720"/>
    </w:pPr>
  </w:style>
  <w:style w:type="paragraph" w:styleId="846" w:customStyle="1">
    <w:name w:val="Plain Text2"/>
    <w:basedOn w:val="644"/>
    <w:uiPriority w:val="99"/>
    <w:qFormat/>
    <w:rPr>
      <w:rFonts w:ascii="宋体" w:hAnsi="Courier New" w:eastAsia="楷体_GB2312"/>
      <w:sz w:val="28"/>
    </w:rPr>
  </w:style>
  <w:style w:type="paragraph" w:styleId="847" w:customStyle="1">
    <w:name w:val="纯文本6"/>
    <w:basedOn w:val="644"/>
    <w:uiPriority w:val="0"/>
    <w:qFormat/>
    <w:rPr>
      <w:rFonts w:ascii="宋体" w:hAnsi="Courier New" w:eastAsia="楷体_GB2312"/>
      <w:sz w:val="26"/>
    </w:rPr>
  </w:style>
  <w:style w:type="paragraph" w:styleId="848" w:customStyle="1">
    <w:name w:val="_正文"/>
    <w:basedOn w:val="644"/>
    <w:uiPriority w:val="0"/>
    <w:qFormat/>
    <w:pPr>
      <w:ind w:firstLine="200"/>
      <w:spacing w:line="360" w:lineRule="auto"/>
    </w:pPr>
    <w:rPr>
      <w:sz w:val="24"/>
      <w:szCs w:val="24"/>
    </w:rPr>
  </w:style>
  <w:style w:type="paragraph" w:styleId="849" w:customStyle="1">
    <w:name w:val="纯文本1"/>
    <w:basedOn w:val="644"/>
    <w:uiPriority w:val="0"/>
    <w:qFormat/>
    <w:rPr>
      <w:rFonts w:ascii="宋体" w:hAnsi="Courier New" w:eastAsia="楷体_GB2312"/>
      <w:sz w:val="26"/>
    </w:rPr>
  </w:style>
  <w:style w:type="paragraph" w:styleId="850" w:customStyle="1">
    <w:name w:val="段"/>
    <w:next w:val="644"/>
    <w:uiPriority w:val="0"/>
    <w:qFormat/>
    <w:pPr>
      <w:ind w:firstLine="200"/>
      <w:jc w:val="both"/>
    </w:pPr>
    <w:rPr>
      <w:rFonts w:ascii="宋体" w:hAnsi="Times New Roman" w:eastAsia="宋体" w:cs="Times New Roman"/>
      <w:lang w:val="en-US" w:eastAsia="zh-CN" w:bidi="ar-SA"/>
    </w:rPr>
  </w:style>
  <w:style w:type="paragraph" w:styleId="851" w:customStyle="1">
    <w:name w:val="纯文本2"/>
    <w:basedOn w:val="644"/>
    <w:uiPriority w:val="0"/>
    <w:qFormat/>
    <w:rPr>
      <w:rFonts w:ascii="宋体" w:hAnsi="Courier New" w:eastAsia="楷体_GB2312" w:cs="Times New Roman"/>
      <w:sz w:val="26"/>
      <w:szCs w:val="20"/>
    </w:rPr>
  </w:style>
  <w:style w:type="character" w:styleId="852" w:customStyle="1">
    <w:name w:val="正文文本缩进 Char"/>
    <w:basedOn w:val="654"/>
    <w:link w:val="665"/>
    <w:uiPriority w:val="0"/>
    <w:qFormat/>
    <w:rPr>
      <w:rFonts w:hint="default" w:ascii="Arial" w:hAnsi="Arial" w:eastAsia="Arial" w:cs="Times New Roman"/>
      <w:sz w:val="22"/>
      <w:szCs w:val="22"/>
      <w:lang w:eastAsia="en-US"/>
    </w:rPr>
  </w:style>
  <w:style w:type="paragraph" w:styleId="853" w:customStyle="1">
    <w:name w:val="纯文本11"/>
    <w:basedOn w:val="644"/>
    <w:next w:val="854"/>
    <w:uiPriority w:val="0"/>
    <w:qFormat/>
    <w:pPr>
      <w:jc w:val="both"/>
      <w:widowControl w:val="off"/>
    </w:pPr>
    <w:rPr>
      <w:rFonts w:ascii="宋体" w:hAnsi="Courier New" w:eastAsia="楷体_GB2312"/>
      <w:sz w:val="28"/>
      <w:szCs w:val="20"/>
    </w:rPr>
  </w:style>
  <w:style w:type="paragraph" w:styleId="854" w:customStyle="1">
    <w:name w:val="页眉1"/>
    <w:basedOn w:val="644"/>
    <w:next w:val="644"/>
    <w:uiPriority w:val="0"/>
    <w:qFormat/>
    <w:pPr>
      <w:jc w:val="center"/>
      <w:tabs>
        <w:tab w:val="center" w:pos="4153" w:leader="none"/>
        <w:tab w:val="right" w:pos="8306" w:leader="none"/>
      </w:tabs>
      <w:pBdr>
        <w:bottom w:val="single" w:color="000000" w:sz="6" w:space="1"/>
      </w:pBdr>
    </w:pPr>
    <w:rPr>
      <w:sz w:val="18"/>
      <w:szCs w:val="18"/>
    </w:rPr>
  </w:style>
  <w:style w:type="character" w:styleId="855" w:customStyle="1">
    <w:name w:val="批注框文本 Char"/>
    <w:basedOn w:val="654"/>
    <w:link w:val="672"/>
    <w:uiPriority w:val="99"/>
    <w:semiHidden/>
    <w:qFormat/>
    <w:rPr>
      <w:rFonts w:asciiTheme="minorHAnsi" w:hAnsiTheme="minorHAnsi" w:eastAsiaTheme="minorHAnsi" w:cstheme="minorBidi"/>
      <w:sz w:val="18"/>
      <w:szCs w:val="18"/>
      <w:lang w:eastAsia="en-US"/>
    </w:rPr>
  </w:style>
  <w:style w:type="character" w:styleId="856" w:customStyle="1">
    <w:name w:val="宏文本 Char"/>
    <w:basedOn w:val="654"/>
    <w:link w:val="656"/>
    <w:uiPriority w:val="0"/>
    <w:qFormat/>
    <w:rPr>
      <w:rFonts w:ascii="Courier New" w:hAnsi="Courier New" w:cs="Courier New"/>
      <w:sz w:val="24"/>
      <w:szCs w:val="24"/>
    </w:rPr>
  </w:style>
  <w:style w:type="paragraph" w:styleId="857" w:customStyle="1">
    <w:name w:val="纯文本3"/>
    <w:basedOn w:val="644"/>
    <w:uiPriority w:val="0"/>
    <w:qFormat/>
    <w:rPr>
      <w:rFonts w:ascii="仿宋" w:hAnsi="Cambria Math" w:eastAsia="Wingdings" w:cs="华文楷体"/>
      <w:sz w:val="26"/>
      <w:szCs w:val="20"/>
    </w:rPr>
  </w:style>
  <w:style w:type="paragraph" w:styleId="858" w:customStyle="1">
    <w:name w:val="普通(网站)1"/>
    <w:basedOn w:val="644"/>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59" w:customStyle="1">
    <w:name w:val="NormalCharacter"/>
    <w:link w:val="860"/>
    <w:uiPriority w:val="0"/>
    <w:semiHidden/>
    <w:qFormat/>
    <w:rPr>
      <w:rFonts w:asciiTheme="minorHAnsi" w:hAnsiTheme="minorHAnsi" w:eastAsiaTheme="minorEastAsia" w:cstheme="minorBidi"/>
      <w:szCs w:val="22"/>
    </w:rPr>
  </w:style>
  <w:style w:type="paragraph" w:styleId="860" w:customStyle="1">
    <w:name w:val="UserStyle_3"/>
    <w:basedOn w:val="644"/>
    <w:link w:val="859"/>
    <w:uiPriority w:val="0"/>
    <w:qFormat/>
    <w:pPr>
      <w:spacing w:after="160" w:line="240" w:lineRule="exact"/>
    </w:pPr>
    <w:rPr>
      <w:rFonts w:eastAsiaTheme="minorEastAsia"/>
    </w:rPr>
  </w:style>
  <w:style w:type="character" w:styleId="861" w:customStyle="1">
    <w:name w:val="font11"/>
    <w:basedOn w:val="654"/>
    <w:uiPriority w:val="0"/>
    <w:qFormat/>
    <w:rPr>
      <w:rFonts w:hint="eastAsia" w:ascii="宋体" w:hAnsi="宋体" w:eastAsia="宋体" w:cs="宋体"/>
      <w:color w:val="000000"/>
      <w:sz w:val="21"/>
      <w:szCs w:val="21"/>
      <w:u w:val="none"/>
    </w:rPr>
  </w:style>
  <w:style w:type="character" w:styleId="862" w:customStyle="1">
    <w:name w:val="font21"/>
    <w:basedOn w:val="654"/>
    <w:uiPriority w:val="0"/>
    <w:qFormat/>
    <w:rPr>
      <w:rFonts w:ascii="Calibri" w:hAnsi="Calibri" w:cs="Calibri"/>
      <w:color w:val="000000"/>
      <w:sz w:val="21"/>
      <w:szCs w:val="21"/>
      <w:u w:val="none"/>
    </w:rPr>
  </w:style>
  <w:style w:type="character" w:styleId="863" w:customStyle="1">
    <w:name w:val="font31"/>
    <w:basedOn w:val="654"/>
    <w:uiPriority w:val="0"/>
    <w:qFormat/>
    <w:rPr>
      <w:rFonts w:ascii="Arial" w:hAnsi="Arial" w:cs="Arial"/>
      <w:color w:val="000000"/>
      <w:sz w:val="20"/>
      <w:szCs w:val="20"/>
      <w:u w:val="none"/>
    </w:rPr>
  </w:style>
  <w:style w:type="character" w:styleId="864" w:customStyle="1">
    <w:name w:val="font41"/>
    <w:basedOn w:val="654"/>
    <w:uiPriority w:val="0"/>
    <w:qFormat/>
    <w:rPr>
      <w:rFonts w:hint="eastAsia" w:ascii="微软雅黑" w:hAnsi="微软雅黑" w:eastAsia="微软雅黑" w:cs="微软雅黑"/>
      <w:color w:val="000000"/>
      <w:sz w:val="20"/>
      <w:szCs w:val="20"/>
      <w:u w:val="none"/>
      <w:vertAlign w:val="superscript"/>
    </w:rPr>
  </w:style>
  <w:style w:type="paragraph" w:styleId="865" w:customStyle="1">
    <w:name w:val="无间隔1"/>
    <w:basedOn w:val="644"/>
    <w:uiPriority w:val="1"/>
    <w:qFormat/>
    <w:pPr>
      <w:spacing w:after="0" w:line="240" w:lineRule="auto"/>
    </w:pPr>
    <w:rPr>
      <w:rFonts w:ascii="Times New Roman" w:hAnsi="Times New Roman" w:eastAsia="宋体" w:cs="Times New Roman"/>
    </w:rPr>
  </w:style>
  <w:style w:type="paragraph" w:styleId="866" w:customStyle="1">
    <w:name w:val="￥正文"/>
    <w:basedOn w:val="644"/>
    <w:link w:val="868"/>
    <w:uiPriority w:val="0"/>
    <w:qFormat/>
    <w:pPr>
      <w:ind w:firstLine="200"/>
      <w:spacing w:line="360" w:lineRule="auto"/>
    </w:pPr>
    <w:rPr>
      <w:rFonts w:ascii="Calibri" w:hAnsi="Calibri"/>
      <w:sz w:val="24"/>
    </w:rPr>
  </w:style>
  <w:style w:type="paragraph" w:styleId="867" w:customStyle="1">
    <w:name w:val="首行缩进"/>
    <w:basedOn w:val="644"/>
    <w:uiPriority w:val="0"/>
    <w:qFormat/>
    <w:pPr>
      <w:ind w:firstLine="480"/>
      <w:spacing w:line="360" w:lineRule="auto"/>
    </w:pPr>
    <w:rPr>
      <w:rFonts w:ascii="宋体" w:hAnsi="宋体"/>
      <w:sz w:val="24"/>
      <w:szCs w:val="24"/>
    </w:rPr>
  </w:style>
  <w:style w:type="character" w:styleId="868" w:customStyle="1">
    <w:name w:val="￥正文 Char"/>
    <w:link w:val="866"/>
    <w:uiPriority w:val="0"/>
    <w:qFormat/>
    <w:rPr>
      <w:rFonts w:ascii="Calibri" w:hAnsi="Calibri"/>
      <w:sz w:val="24"/>
      <w:szCs w:val="22"/>
    </w:rPr>
  </w:style>
  <w:style w:type="paragraph" w:styleId="869" w:customStyle="1">
    <w:name w:val="方案正文"/>
    <w:basedOn w:val="644"/>
    <w:uiPriority w:val="0"/>
    <w:qFormat/>
    <w:pPr>
      <w:spacing w:line="440" w:lineRule="atLeast"/>
    </w:pPr>
    <w:rPr>
      <w:sz w:val="24"/>
    </w:rPr>
  </w:style>
  <w:style w:type="paragraph" w:styleId="870"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871" w:customStyle="1">
    <w:name w:val="批注文字 Char"/>
    <w:basedOn w:val="654"/>
    <w:link w:val="664"/>
    <w:uiPriority w:val="99"/>
    <w:qFormat/>
    <w:rPr>
      <w:rFonts w:ascii="Calibri" w:hAnsi="Calibri" w:eastAsiaTheme="minorHAnsi" w:cstheme="minorBidi"/>
      <w:sz w:val="22"/>
      <w:szCs w:val="22"/>
      <w:lang w:eastAsia="en-US"/>
    </w:rPr>
  </w:style>
  <w:style w:type="character" w:styleId="872" w:customStyle="1">
    <w:name w:val="批注主题 Char"/>
    <w:basedOn w:val="871"/>
    <w:link w:val="687"/>
    <w:uiPriority w:val="99"/>
    <w:semiHidden/>
    <w:qFormat/>
    <w:rPr>
      <w:rFonts w:asciiTheme="minorHAnsi" w:hAnsiTheme="minorHAnsi" w:eastAsiaTheme="minorHAnsi" w:cstheme="minorBidi"/>
      <w:b/>
      <w:bCs/>
      <w:sz w:val="22"/>
      <w:szCs w:val="22"/>
      <w:lang w:eastAsia="en-US"/>
    </w:rPr>
  </w:style>
  <w:style w:type="paragraph" w:styleId="873" w:customStyle="1">
    <w:name w:val="Heading 3"/>
    <w:basedOn w:val="644"/>
    <w:next w:val="644"/>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74" w:customStyle="1">
    <w:name w:val="null3"/>
    <w:hidden/>
    <w:uiPriority w:val="0"/>
    <w:qFormat/>
    <w:rPr>
      <w:rFonts w:hint="eastAsia" w:asciiTheme="minorHAnsi" w:hAnsiTheme="minorHAnsi" w:eastAsiaTheme="minorEastAsia" w:cstheme="minorBidi"/>
      <w:lang w:val="en-US" w:eastAsia="zh-Hans" w:bidi="ar-SA"/>
    </w:rPr>
  </w:style>
  <w:style w:type="paragraph" w:styleId="875" w:customStyle="1">
    <w:name w:val="Table Text"/>
    <w:basedOn w:val="644"/>
    <w:uiPriority w:val="0"/>
    <w:semiHidden/>
    <w:qFormat/>
    <w:rPr>
      <w:rFonts w:ascii="黑体" w:hAnsi="黑体" w:eastAsia="黑体" w:cs="黑体"/>
      <w:sz w:val="18"/>
      <w:szCs w:val="18"/>
    </w:rPr>
  </w:style>
  <w:style w:type="table" w:styleId="876" w:customStyle="1">
    <w:name w:val="Table Normal"/>
    <w:uiPriority w:val="0"/>
    <w:semiHidden/>
    <w:unhideWhenUsed/>
    <w:qFormat/>
    <w:tblPr>
      <w:tblCellMar>
        <w:left w:w="0" w:type="dxa"/>
        <w:top w:w="0" w:type="dxa"/>
        <w:right w:w="0" w:type="dxa"/>
        <w:bottom w:w="0" w:type="dxa"/>
      </w:tblCellMar>
    </w:tblPr>
  </w:style>
  <w:style w:type="paragraph" w:styleId="877" w:customStyle="1">
    <w:name w:val="*正文"/>
    <w:basedOn w:val="644"/>
    <w:uiPriority w:val="0"/>
    <w:qFormat/>
    <w:pPr>
      <w:jc w:val="center"/>
      <w:spacing w:line="360" w:lineRule="auto"/>
    </w:pPr>
    <w:rPr>
      <w:rFonts w:ascii="宋体" w:hAnsi="宋体" w:eastAsia="宋体" w:cs="仿宋_GB2312"/>
      <w:sz w:val="24"/>
      <w:szCs w:val="24"/>
    </w:rPr>
  </w:style>
  <w:style w:type="paragraph" w:styleId="878" w:customStyle="1">
    <w:name w:val="正文首行缩进1"/>
    <w:basedOn w:val="663"/>
    <w:uiPriority w:val="0"/>
    <w:qFormat/>
    <w:pPr>
      <w:ind w:firstLine="420"/>
      <w:jc w:val="both"/>
      <w:spacing w:after="120"/>
    </w:pPr>
    <w:rPr>
      <w:rFonts w:asciiTheme="minorHAnsi" w:hAnsiTheme="minorHAnsi" w:eastAsiaTheme="minorEastAsia"/>
      <w:sz w:val="21"/>
      <w:szCs w:val="24"/>
    </w:rPr>
  </w:style>
  <w:style w:type="paragraph" w:styleId="879" w:customStyle="1">
    <w:name w:val="无间隔2"/>
    <w:basedOn w:val="644"/>
    <w:uiPriority w:val="99"/>
    <w:qFormat/>
  </w:style>
  <w:style w:type="character" w:styleId="880" w:customStyle="1">
    <w:name w:val="NormalCharacter1"/>
    <w:uiPriority w:val="0"/>
    <w:qFormat/>
    <w:rPr>
      <w:rFonts w:ascii="Calibri" w:hAnsi="Calibri" w:eastAsia="宋体" w:cs="Times New Roman"/>
      <w:sz w:val="21"/>
      <w:lang w:val="en-US" w:eastAsia="zh-CN" w:bidi="ar-SA"/>
    </w:rPr>
  </w:style>
  <w:style w:type="numbering" w:styleId="10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张倩</cp:lastModifiedBy>
  <cp:revision>121</cp:revision>
  <dcterms:created xsi:type="dcterms:W3CDTF">2025-05-14T18:46:00Z</dcterms:created>
  <dcterms:modified xsi:type="dcterms:W3CDTF">2026-11-02T05:21:39Z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D1F4B0106EC740F6AE8AEBBB03A96913_13</vt:lpwstr>
  </property>
  <property fmtid="{D5CDD505-2E9C-101B-9397-08002B2CF9AE}" pid="4" name="KSOTemplateDocerSaveRecord">
    <vt:lpwstr>eyJoZGlkIjoiYzBmMTFkM2YzY2FiNTQ0MmZmMjliOTA5MjdiNmI1NDUiLCJ1c2VySWQiOiI0NTU4MjY1MzAifQ==</vt:lpwstr>
  </property>
</Properties>
</file>