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1024"/>
        <w:rPr>
          <w:color w:val="000000"/>
          <w:highlight w:val="none"/>
        </w:rPr>
      </w:pPr>
      <w:r>
        <w:rPr>
          <w:color w:val="000000"/>
          <w:highlight w:val="none"/>
        </w:rPr>
      </w:r>
      <w:r/>
    </w:p>
    <w:p>
      <w:pPr>
        <w:pStyle w:val="1025"/>
      </w:p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026"/>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024"/>
        <w:rPr>
          <w:color w:val="000000"/>
          <w:highlight w:val="none"/>
        </w:rPr>
      </w:pPr>
      <w:r>
        <w:rPr>
          <w:color w:val="000000"/>
          <w:highlight w:val="none"/>
        </w:rPr>
      </w:r>
      <w:r/>
    </w:p>
    <w:p>
      <w:pPr>
        <w:pStyle w:val="1026"/>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1075"/>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东亭街道部分商品房国债老旧电梯更新（第三批次）项目</w:t>
      </w:r>
      <w:r/>
    </w:p>
    <w:p>
      <w:pPr>
        <w:ind w:firstLine="1075"/>
        <w:jc w:val="left"/>
        <w:spacing w:line="360" w:lineRule="auto"/>
        <w:rPr>
          <w:rFonts w:hint="default" w:ascii="宋体" w:hAnsi="宋体" w:eastAsia="宋体" w:cs="宋体"/>
          <w:b/>
          <w:bCs/>
          <w:color w:val="000000"/>
          <w:spacing w:val="108"/>
          <w:sz w:val="32"/>
          <w:szCs w:val="32"/>
          <w:highlight w:val="yellow"/>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bookmarkStart w:id="33" w:name="_GoBack"/>
      <w:r/>
      <w:bookmarkEnd w:id="33"/>
      <w:r>
        <w:rPr>
          <w:rFonts w:hint="eastAsia" w:ascii="宋体" w:hAnsi="宋体" w:eastAsia="宋体" w:cs="宋体"/>
          <w:b/>
          <w:bCs/>
          <w:color w:val="000000"/>
          <w:sz w:val="32"/>
          <w:szCs w:val="32"/>
          <w:highlight w:val="none"/>
          <w:lang w:eastAsia="zh-CN"/>
        </w:rPr>
        <w:t xml:space="preserve">JSZC-320205-JZCG-G2026-0056</w:t>
      </w:r>
      <w:r/>
    </w:p>
    <w:p>
      <w:pPr>
        <w:ind w:firstLine="1075"/>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无锡市锡山区人民政府东亭街道办事处</w:t>
      </w:r>
      <w:r/>
    </w:p>
    <w:p>
      <w:pPr>
        <w:ind w:firstLine="964"/>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hint="eastAsia"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十一</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一</w:t>
      </w:r>
      <w:r>
        <w:rPr>
          <w:rFonts w:hint="eastAsia" w:ascii="宋体" w:hAnsi="宋体"/>
          <w:b/>
          <w:color w:val="000000"/>
          <w:sz w:val="40"/>
          <w:szCs w:val="40"/>
          <w:highlight w:val="none"/>
        </w:rPr>
        <w:t xml:space="preserve">日</w:t>
      </w:r>
      <w:r/>
    </w:p>
    <w:p>
      <w:pPr>
        <w:rPr>
          <w:rStyle w:val="1028"/>
          <w:rFonts w:eastAsia="黑体"/>
          <w:bCs/>
          <w:sz w:val="48"/>
          <w:highlight w:val="none"/>
        </w:rPr>
      </w:pPr>
      <w:r>
        <w:rPr>
          <w:rFonts w:eastAsia="黑体"/>
          <w:bCs/>
          <w:sz w:val="48"/>
          <w:highlight w:val="none"/>
        </w:rPr>
      </w:r>
      <w:r/>
    </w:p>
    <w:p>
      <w:pPr>
        <w:rPr>
          <w:rStyle w:val="1028"/>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028"/>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024"/>
        <w:rPr>
          <w:color w:val="000000"/>
          <w:highlight w:val="none"/>
        </w:rPr>
      </w:pPr>
      <w:r>
        <w:rPr>
          <w:color w:val="000000"/>
          <w:highlight w:val="none"/>
        </w:rPr>
      </w:r>
      <w:r/>
    </w:p>
    <w:p>
      <w:pPr>
        <w:pStyle w:val="1029"/>
        <w:jc w:val="both"/>
        <w:rPr>
          <w:rFonts w:ascii="宋体" w:hAnsi="宋体" w:eastAsia="宋体"/>
          <w:bCs/>
          <w:color w:val="000000"/>
          <w:highlight w:val="none"/>
        </w:rPr>
      </w:pPr>
      <w:r>
        <w:rPr>
          <w:rFonts w:hint="eastAsia" w:ascii="宋体" w:hAnsi="宋体" w:eastAsia="宋体"/>
          <w:bCs/>
          <w:color w:val="000000"/>
          <w:highlight w:val="none"/>
        </w:rPr>
        <w:t xml:space="preserve">一、投标邀请函................</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...................3</w:t>
      </w:r>
      <w:r/>
    </w:p>
    <w:p>
      <w:pPr>
        <w:pStyle w:val="1029"/>
        <w:rPr>
          <w:rFonts w:ascii="宋体" w:hAnsi="宋体" w:eastAsia="宋体"/>
          <w:bCs/>
          <w:color w:val="000000"/>
          <w:highlight w:val="none"/>
        </w:rPr>
      </w:pPr>
      <w:r>
        <w:rPr>
          <w:rFonts w:ascii="宋体" w:hAnsi="宋体" w:eastAsia="宋体"/>
          <w:bCs/>
          <w:color w:val="000000"/>
          <w:highlight w:val="none"/>
        </w:rPr>
      </w:r>
      <w:r/>
    </w:p>
    <w:p>
      <w:pPr>
        <w:pStyle w:val="1029"/>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w:t>
      </w:r>
      <w:r/>
    </w:p>
    <w:p>
      <w:pPr>
        <w:pStyle w:val="1029"/>
        <w:rPr>
          <w:rFonts w:ascii="宋体" w:hAnsi="宋体" w:eastAsia="宋体"/>
          <w:bCs/>
          <w:color w:val="000000"/>
          <w:highlight w:val="none"/>
        </w:rPr>
      </w:pPr>
      <w:r>
        <w:rPr>
          <w:rFonts w:ascii="宋体" w:hAnsi="宋体" w:eastAsia="宋体"/>
          <w:bCs/>
          <w:color w:val="000000"/>
          <w:highlight w:val="none"/>
        </w:rPr>
      </w:r>
      <w:r/>
    </w:p>
    <w:p>
      <w:pPr>
        <w:pStyle w:val="10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22</w:t>
      </w:r>
      <w:r/>
    </w:p>
    <w:p>
      <w:pPr>
        <w:pStyle w:val="1029"/>
        <w:rPr>
          <w:rFonts w:ascii="宋体" w:hAnsi="宋体" w:eastAsia="宋体"/>
          <w:bCs/>
          <w:color w:val="000000"/>
          <w:highlight w:val="none"/>
        </w:rPr>
      </w:pPr>
      <w:r>
        <w:rPr>
          <w:rFonts w:ascii="宋体" w:hAnsi="宋体" w:eastAsia="宋体"/>
          <w:bCs/>
          <w:color w:val="000000"/>
          <w:highlight w:val="none"/>
        </w:rPr>
      </w:r>
      <w:r/>
    </w:p>
    <w:p>
      <w:pPr>
        <w:pStyle w:val="10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48</w:t>
      </w:r>
      <w:r/>
    </w:p>
    <w:p>
      <w:pPr>
        <w:pStyle w:val="1029"/>
        <w:ind w:firstLine="320"/>
        <w:jc w:val="both"/>
        <w:rPr>
          <w:rFonts w:ascii="宋体" w:hAnsi="宋体" w:eastAsia="宋体"/>
          <w:bCs/>
          <w:color w:val="000000"/>
          <w:highlight w:val="none"/>
        </w:rPr>
      </w:pPr>
      <w:r>
        <w:rPr>
          <w:rFonts w:ascii="宋体" w:hAnsi="宋体" w:eastAsia="宋体"/>
          <w:bCs/>
          <w:color w:val="000000"/>
          <w:highlight w:val="none"/>
        </w:rPr>
      </w:r>
      <w:r/>
    </w:p>
    <w:p>
      <w:pPr>
        <w:pStyle w:val="10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64</w:t>
      </w:r>
      <w:r/>
    </w:p>
    <w:p>
      <w:pPr>
        <w:pStyle w:val="1024"/>
        <w:rPr>
          <w:color w:val="000000"/>
          <w:highlight w:val="none"/>
        </w:rPr>
      </w:pPr>
      <w:r>
        <w:rPr>
          <w:color w:val="000000"/>
          <w:highlight w:val="none"/>
        </w:rPr>
      </w:r>
      <w:r/>
    </w:p>
    <w:p>
      <w:pPr>
        <w:pStyle w:val="1029"/>
        <w:rPr>
          <w:rFonts w:ascii="宋体" w:hAnsi="宋体" w:eastAsia="宋体"/>
          <w:bCs/>
          <w:color w:val="000000"/>
          <w:highlight w:val="none"/>
        </w:rPr>
      </w:pPr>
      <w:r>
        <w:rPr>
          <w:rFonts w:ascii="宋体" w:hAnsi="宋体" w:eastAsia="宋体"/>
          <w:bCs/>
          <w:color w:val="000000"/>
          <w:highlight w:val="none"/>
        </w:rPr>
      </w:r>
      <w:r/>
    </w:p>
    <w:p>
      <w:pPr>
        <w:pStyle w:val="1029"/>
        <w:rPr>
          <w:rFonts w:ascii="宋体" w:hAnsi="宋体" w:eastAsia="宋体"/>
          <w:bCs/>
          <w:color w:val="000000"/>
          <w:highlight w:val="none"/>
        </w:rPr>
      </w:pPr>
      <w:r>
        <w:rPr>
          <w:rFonts w:ascii="宋体" w:hAnsi="宋体" w:eastAsia="宋体"/>
          <w:bCs/>
          <w:color w:val="000000"/>
          <w:highlight w:val="none"/>
        </w:rPr>
      </w:r>
      <w:r/>
    </w:p>
    <w:p>
      <w:pPr>
        <w:pStyle w:val="1029"/>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030"/>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31"/>
        <w:rPr>
          <w:rStyle w:val="1030"/>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无锡市锡山区人民政府东亭街道办事处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东亭街道部分商品房国债老旧电梯更新（第三批次）项目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东亭街道部分商品房国债老旧电梯更新（第三批次）项目</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JSZC-320205-JZCG-G2026-0056</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1086.798</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1086.798</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4.合同履约期限：</w:t>
      </w:r>
      <w:r>
        <w:rPr>
          <w:rFonts w:hint="eastAsia" w:ascii="宋体" w:hAnsi="宋体" w:eastAsia="宋体" w:cs="宋体"/>
          <w:bCs/>
          <w:color w:val="000000"/>
          <w:sz w:val="24"/>
          <w:szCs w:val="24"/>
          <w:highlight w:val="none"/>
          <w:lang w:eastAsia="zh-CN"/>
        </w:rPr>
        <w:t xml:space="preserve">每批次工期为120日历天，（以现场符合施工条件为准，每批次供货60天，安装60天），每批次计划开工日期以采购人开工令为准。</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5.项目整体质保期：</w:t>
      </w:r>
      <w:r>
        <w:rPr>
          <w:rFonts w:hint="eastAsia" w:ascii="宋体" w:hAnsi="宋体" w:eastAsia="宋体" w:cs="宋体"/>
          <w:bCs/>
          <w:color w:val="000000"/>
          <w:sz w:val="24"/>
          <w:szCs w:val="24"/>
          <w:highlight w:val="none"/>
          <w:lang w:eastAsia="zh-CN"/>
        </w:rPr>
        <w:t xml:space="preserve">本工程要求整套电梯设备的质保期自江苏省特种设备安全监督检验研究院无锡分院对电梯验收合格之日起5年，免费质保期2年。</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无锡市锡山区人民政府东亭街道办事处</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default"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日10:00</w:t>
      </w:r>
      <w:r>
        <w:rPr>
          <w:rFonts w:hint="eastAsia" w:ascii="宋体" w:hAnsi="宋体" w:eastAsia="宋体" w:cs="宋体"/>
          <w:color w:val="000000" w:themeColor="text1"/>
          <w:sz w:val="24"/>
          <w:szCs w:val="24"/>
          <w:highlight w:val="none"/>
          <w14:textFill>
            <w14:solidFill>
              <w14:schemeClr w14:val="tx1"/>
            </w14:solidFill>
          </w14:textFill>
        </w:rPr>
        <w:t xml:space="preserve">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JSZC-320205-JZCG-G2026-0056</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投标截止时间（网上投标截止时间苏采云投标客户端投标）：</w:t>
      </w:r>
      <w:r>
        <w:rPr>
          <w:rFonts w:hint="eastAsia" w:ascii="宋体" w:hAnsi="宋体" w:eastAsia="宋体" w:cs="宋体"/>
          <w:b w:val="0"/>
          <w:bCs w:val="0"/>
          <w:color w:val="000000" w:themeColor="text1"/>
          <w:sz w:val="24"/>
          <w:szCs w:val="24"/>
          <w:highlight w:val="none"/>
          <w:lang w:val="en-US" w:eastAsia="zh-CN"/>
        </w:rPr>
        <w:t xml:space="preserve">2026年12月1日9:30，投标截止时间后的投标文件恕不接受。</w:t>
      </w:r>
      <w:r>
        <w:rPr>
          <w:color w:val="000000" w:themeColor="text1"/>
        </w:rP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开标时间：2026年12月1日9:30</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投标及开标地点：江苏省政府采购（苏采云）平台</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定标时间：评标结束</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w:t>
      </w:r>
      <w:r>
        <w:rPr>
          <w:rFonts w:hint="eastAsia" w:ascii="宋体" w:hAnsi="宋体" w:eastAsia="宋体"/>
          <w:color w:val="000000"/>
          <w:sz w:val="24"/>
          <w:szCs w:val="24"/>
          <w:highlight w:val="none"/>
          <w:lang w:val="en-US" w:eastAsia="zh-CN"/>
        </w:rPr>
        <w:t xml:space="preserve">81</w:t>
      </w:r>
      <w:r>
        <w:rPr>
          <w:rFonts w:hint="eastAsia" w:ascii="宋体" w:hAnsi="宋体" w:eastAsia="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fill="ffffff"/>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蒋子文</w:t>
      </w:r>
      <w:r/>
    </w:p>
    <w:p>
      <w:pPr>
        <w:pStyle w:val="1031"/>
        <w:rPr>
          <w:rFonts w:hint="default" w:ascii="宋体" w:hAnsi="宋体" w:eastAsia="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themeColor="text1"/>
          <w:sz w:val="24"/>
          <w:szCs w:val="24"/>
          <w:highlight w:val="none"/>
          <w14:textFill>
            <w14:solidFill>
              <w14:schemeClr w14:val="tx1"/>
            </w14:solidFill>
          </w14:textFill>
        </w:rPr>
        <w:t xml:space="preserve">电  话：</w:t>
      </w:r>
      <w:r>
        <w:rPr>
          <w:rFonts w:hint="eastAsia" w:ascii="宋体" w:hAnsi="宋体"/>
          <w:color w:val="000000" w:themeColor="text1"/>
          <w:sz w:val="24"/>
          <w:szCs w:val="24"/>
          <w:highlight w:val="none"/>
          <w:lang w:val="en-US" w:eastAsia="zh-CN"/>
          <w14:textFill>
            <w14:solidFill>
              <w14:schemeClr w14:val="tx1"/>
            </w14:solidFill>
          </w14:textFill>
        </w:rPr>
        <w:t xml:space="preserve">0510-88700035</w:t>
      </w:r>
      <w:r/>
    </w:p>
    <w:p>
      <w:pPr>
        <w:pStyle w:val="1032"/>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bookmarkEnd w:id="10"/>
      <w:bookmarkEnd w:id="11"/>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11.如是</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7.本项目采用暗标形式，投标人须按《评标方法与评标标准》的相关要求对商务部分和技术部分分别进行制作。其中技术部分属于暗标，投标人在制作技术部分相关内容时不得有体现投标人身份的内容，否则投标人技术部分得分均为0分。上述《评标方法与评标标准》中技术部分不得有体现投标人身份的内容是指：</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.1技术部分不得出现能够体现投标人身份、名称的相关描述、材料、文件等内容；</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.2技术部分不得在其中涂改、标注或做任何可以辨认投标人及所属人员身份的名称、印章、商标等标记；</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.3技术部分应当版面整洁、字迹清楚、不许批注或进行底纹、阴影、水印等特殊设置；</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.4不得有其他体现投标人身份的内容。</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33"/>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根据《关于推动解决政府采购异常低价问题的通知》（财库〔2026〕2号）要求，政府采购评审中出现下列情形之一 的，评审委员会应当启动异常低价投标（响应）审查程序：</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 )报价＜全部通过符合性审查供应商投标（响应）报价平均值×50%；</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 )报价＜通过符合性审查的次低报价供应商投标（响应）报价×50%；</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（3）投标（响应）报价低于采购项目最高限价45%的，即投标（响应）报价＜采购项目最高限价×45% ;</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sz w:val="24"/>
          <w:szCs w:val="24"/>
          <w:lang w:val="en-US" w:eastAsia="zh-CN"/>
        </w:rPr>
        <w:t xml:space="preserve">（二）</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ind w:firstLine="48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015"/>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015"/>
        <w:tblW w:w="9240" w:type="dxa"/>
        <w:tblInd w:w="17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460"/>
        <w:gridCol w:w="5985"/>
      </w:tblGrid>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985"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79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1"/>
      <w:r/>
      <w:bookmarkStart w:id="18" w:name="_Toc112006920"/>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34"/>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6"/>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6"/>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rPr>
      </w:pPr>
      <w:r>
        <w:rPr>
          <w:rFonts w:hint="eastAsia"/>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rPr>
      </w:pPr>
      <w:r>
        <w:rPr>
          <w:rFonts w:hint="eastAsia"/>
        </w:rPr>
      </w:r>
      <w:r/>
    </w:p>
    <w:p>
      <w:pPr>
        <w:pStyle w:val="1016"/>
        <w:rPr>
          <w:rFonts w:hint="eastAsia"/>
        </w:rPr>
      </w:pPr>
      <w:r>
        <w:rPr>
          <w:rFonts w:hint="eastAsia"/>
        </w:rPr>
      </w:r>
      <w:r/>
    </w:p>
    <w:p>
      <w:pPr>
        <w:rPr>
          <w:rFonts w:hint="eastAsia"/>
        </w:rPr>
      </w:pPr>
      <w:r>
        <w:rPr>
          <w:rFonts w:hint="eastAsia"/>
        </w:rPr>
      </w:r>
      <w:r/>
    </w:p>
    <w:p>
      <w:pPr>
        <w:pStyle w:val="1016"/>
        <w:rPr>
          <w:rFonts w:hint="eastAsia"/>
        </w:rPr>
      </w:pPr>
      <w:r>
        <w:rPr>
          <w:rFonts w:hint="eastAsia"/>
        </w:rPr>
      </w:r>
      <w:r/>
    </w:p>
    <w:p>
      <w:pPr>
        <w:rPr>
          <w:rFonts w:hint="eastAsia"/>
        </w:rPr>
      </w:pPr>
      <w:r>
        <w:rPr>
          <w:rFonts w:hint="eastAsia"/>
        </w:rPr>
      </w:r>
      <w:r/>
    </w:p>
    <w:p>
      <w:pPr>
        <w:pStyle w:val="1016"/>
        <w:rPr>
          <w:rFonts w:hint="eastAsia"/>
        </w:rPr>
      </w:pPr>
      <w:r>
        <w:rPr>
          <w:rFonts w:hint="eastAsia"/>
        </w:rPr>
      </w:r>
      <w:r/>
    </w:p>
    <w:p>
      <w:pPr>
        <w:rPr>
          <w:rFonts w:hint="eastAsia"/>
        </w:rPr>
      </w:pPr>
      <w:r>
        <w:rPr>
          <w:rFonts w:hint="eastAsia"/>
        </w:rPr>
      </w:r>
      <w:r/>
    </w:p>
    <w:p>
      <w:pPr>
        <w:pStyle w:val="1016"/>
        <w:rPr>
          <w:rFonts w:hint="eastAsia"/>
        </w:rPr>
      </w:pPr>
      <w:r>
        <w:rPr>
          <w:rFonts w:hint="eastAsia"/>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sz w:val="24"/>
          <w:szCs w:val="24"/>
        </w:rPr>
      </w:pPr>
      <w:r>
        <w:rPr>
          <w:rFonts w:hint="eastAsia" w:ascii="宋体" w:hAnsi="宋体" w:eastAsia="宋体" w:cs="宋体"/>
          <w:b/>
          <w:sz w:val="36"/>
          <w:szCs w:val="36"/>
          <w:lang w:bidi="ar"/>
        </w:rPr>
        <w:t xml:space="preserve">项目要求和有关说明</w:t>
      </w:r>
      <w:r/>
    </w:p>
    <w:p>
      <w:pPr>
        <w:ind w:firstLine="480"/>
        <w:spacing w:after="5"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本次采购项目为</w:t>
      </w:r>
      <w:r>
        <w:rPr>
          <w:rFonts w:hint="eastAsia" w:ascii="宋体" w:hAnsi="宋体" w:eastAsia="宋体" w:cs="宋体"/>
          <w:sz w:val="24"/>
          <w:szCs w:val="24"/>
          <w:lang w:eastAsia="zh-CN"/>
        </w:rPr>
        <w:t xml:space="preserve">无锡市锡山区人民政府东亭街道办事处</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rPr>
        <w:t xml:space="preserve">的</w:t>
      </w:r>
      <w:r>
        <w:rPr>
          <w:rFonts w:hint="eastAsia" w:ascii="宋体" w:hAnsi="宋体" w:eastAsia="宋体" w:cs="宋体"/>
          <w:bCs/>
          <w:sz w:val="24"/>
          <w:szCs w:val="24"/>
          <w:lang w:eastAsia="zh-CN"/>
        </w:rPr>
        <w:t xml:space="preserve">东亭街道部分商品房国债老旧电梯更新（第三批次）项目</w:t>
      </w:r>
      <w:r>
        <w:rPr>
          <w:rFonts w:hint="eastAsia" w:ascii="宋体" w:hAnsi="宋体" w:eastAsia="宋体" w:cs="宋体"/>
          <w:sz w:val="24"/>
          <w:szCs w:val="24"/>
        </w:rPr>
        <w:t xml:space="preserve">，投标人所投内容必须满足以下要求，不得存在负偏离，否则视为无效投标文件处理。项目需求如下：</w:t>
      </w:r>
      <w:r/>
    </w:p>
    <w:p>
      <w:pPr>
        <w:pStyle w:val="1045"/>
        <w:numPr>
          <w:ilvl w:val="1"/>
          <w:numId w:val="0"/>
        </w:numPr>
        <w:ind w:firstLine="480"/>
        <w:rPr>
          <w:rFonts w:hint="eastAsia" w:ascii="宋体" w:eastAsia="宋体" w:cs="宋体"/>
          <w:sz w:val="24"/>
          <w:szCs w:val="24"/>
        </w:rPr>
      </w:pPr>
      <w:r>
        <w:rPr>
          <w:rFonts w:hint="eastAsia" w:ascii="宋体" w:eastAsia="宋体" w:cs="宋体"/>
          <w:sz w:val="24"/>
          <w:szCs w:val="24"/>
        </w:rPr>
        <w:t xml:space="preserve">本项目属性：货物类。</w:t>
      </w:r>
      <w:r/>
    </w:p>
    <w:p>
      <w:pPr>
        <w:ind w:firstLine="482"/>
        <w:spacing w:line="360" w:lineRule="auto"/>
        <w:tabs>
          <w:tab w:val="left" w:pos="1050" w:leader="none"/>
        </w:tabs>
        <w:rPr>
          <w:rFonts w:hint="default" w:ascii="Times New Roman" w:hAnsi="Times New Roman" w:eastAsia="宋体" w:cs="Times New Roman"/>
          <w:b/>
          <w:bCs w:val="0"/>
          <w:sz w:val="28"/>
          <w:szCs w:val="28"/>
        </w:rPr>
      </w:pPr>
      <w:r>
        <w:rPr>
          <w:rFonts w:hint="default" w:ascii="Times New Roman" w:hAnsi="Times New Roman" w:eastAsia="宋体" w:cs="Times New Roman"/>
          <w:b/>
          <w:bCs w:val="0"/>
          <w:sz w:val="28"/>
          <w:szCs w:val="28"/>
        </w:rPr>
        <w:t xml:space="preserve">本项目投标产品需满足超长期特别国债支持住宅老旧电梯更新改造政策要求，否则按无效报价处理。具体要求详见市场监管总局办公厅关于进一步做好住宅老旧电梯更新有关工作的通知（市监特社发〔2025〕52号）。</w:t>
      </w:r>
      <w:r/>
    </w:p>
    <w:p>
      <w:pPr>
        <w:contextualSpacing/>
        <w:spacing w:before="240"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一、标的明细表</w:t>
      </w:r>
      <w:r/>
    </w:p>
    <w:p>
      <w:pPr>
        <w:pStyle w:val="1017"/>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本项目为货物采购，</w:t>
      </w:r>
      <w:r>
        <w:rPr>
          <w:rFonts w:hint="eastAsia" w:asciiTheme="minorEastAsia" w:hAnsiTheme="minorEastAsia" w:eastAsiaTheme="minorEastAsia" w:cstheme="minorEastAsia"/>
          <w:b/>
          <w:bCs/>
          <w:sz w:val="24"/>
          <w:szCs w:val="24"/>
          <w:lang w:val="en-US" w:eastAsia="zh-CN"/>
        </w:rPr>
        <w:t xml:space="preserve">中小企业声明函所、关于符合本国产品标准的声明函对应的</w:t>
      </w:r>
      <w:r>
        <w:rPr>
          <w:rFonts w:hint="eastAsia" w:asciiTheme="minorEastAsia" w:hAnsiTheme="minorEastAsia" w:eastAsiaTheme="minorEastAsia" w:cstheme="minorEastAsia"/>
          <w:b/>
          <w:bCs/>
          <w:sz w:val="24"/>
          <w:szCs w:val="24"/>
        </w:rPr>
        <w:t xml:space="preserve">采购标的</w:t>
      </w:r>
      <w:r>
        <w:rPr>
          <w:rFonts w:hint="eastAsia" w:asciiTheme="minorEastAsia" w:hAnsiTheme="minorEastAsia" w:eastAsiaTheme="minorEastAsia" w:cstheme="minorEastAsia"/>
          <w:b/>
          <w:bCs/>
          <w:sz w:val="24"/>
          <w:szCs w:val="24"/>
          <w:lang w:val="en-US" w:eastAsia="zh-CN"/>
        </w:rPr>
        <w:t xml:space="preserve">名称</w:t>
      </w:r>
      <w:r>
        <w:rPr>
          <w:rFonts w:hint="eastAsia" w:asciiTheme="minorEastAsia" w:hAnsiTheme="minorEastAsia" w:eastAsiaTheme="minorEastAsia" w:cstheme="minorEastAsia"/>
          <w:b/>
          <w:bCs/>
          <w:sz w:val="24"/>
          <w:szCs w:val="24"/>
        </w:rPr>
        <w:t xml:space="preserve">及对应的中小企业划分标准所属行业如下表：</w:t>
      </w:r>
      <w:r/>
    </w:p>
    <w:tbl>
      <w:tblPr>
        <w:tblStyle w:val="1015"/>
        <w:tblW w:w="8962" w:type="dxa"/>
        <w:tblInd w:w="197" w:type="dxa"/>
        <w:tblLayout w:type="autofit"/>
        <w:tblCellMar>
          <w:left w:w="108" w:type="dxa"/>
          <w:top w:w="0" w:type="dxa"/>
          <w:right w:w="108" w:type="dxa"/>
          <w:bottom w:w="0" w:type="dxa"/>
        </w:tblCellMar>
        <w:tblLook w:val="04A0" w:firstRow="1" w:lastRow="0" w:firstColumn="1" w:lastColumn="0" w:noHBand="0" w:noVBand="1"/>
      </w:tblPr>
      <w:tblGrid>
        <w:gridCol w:w="1147"/>
        <w:gridCol w:w="3117"/>
        <w:gridCol w:w="2298"/>
        <w:gridCol w:w="2400"/>
      </w:tblGrid>
      <w:tr>
        <w:trPr>
          <w:trHeight w:val="454"/>
        </w:trPr>
        <w:tc>
          <w:tcPr>
            <w:tcBorders>
              <w:top w:val="single" w:color="000000" w:sz="8"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8" w:space="0"/>
              <w:left w:val="single" w:color="000000" w:sz="4" w:space="0"/>
              <w:bottom w:val="single" w:color="000000" w:sz="4" w:space="0"/>
              <w:right w:val="single" w:color="000000" w:sz="4" w:space="0"/>
            </w:tcBorders>
            <w:tcW w:w="311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名称</w:t>
            </w:r>
            <w:r/>
          </w:p>
        </w:tc>
        <w:tc>
          <w:tcPr>
            <w:tcBorders>
              <w:top w:val="single" w:color="000000" w:sz="8" w:space="0"/>
              <w:left w:val="single" w:color="000000" w:sz="4" w:space="0"/>
              <w:bottom w:val="single" w:color="000000" w:sz="4" w:space="0"/>
              <w:right w:val="single" w:color="000000" w:sz="4" w:space="0"/>
            </w:tcBorders>
            <w:tcW w:w="2298"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所属行业</w:t>
            </w:r>
            <w:r/>
          </w:p>
        </w:tc>
        <w:tc>
          <w:tcPr>
            <w:tcBorders>
              <w:top w:val="single" w:color="000000" w:sz="8" w:space="0"/>
              <w:left w:val="single" w:color="000000" w:sz="4" w:space="0"/>
              <w:bottom w:val="single" w:color="000000" w:sz="4" w:space="0"/>
              <w:right w:val="single" w:color="000000" w:sz="4" w:space="0"/>
            </w:tcBorders>
            <w:tcW w:w="2400"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1147"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电梯</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工业（制造业）</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参数详见下表</w:t>
            </w:r>
            <w:r/>
          </w:p>
        </w:tc>
      </w:tr>
    </w:tbl>
    <w:p>
      <w:pPr>
        <w:rPr>
          <w:rFonts w:hint="default"/>
        </w:rPr>
      </w:pPr>
      <w:r>
        <w:rPr>
          <w:rFonts w:hint="default"/>
        </w:rPr>
      </w:r>
      <w:r/>
    </w:p>
    <w:p>
      <w:pPr>
        <w:numPr>
          <w:ilvl w:val="0"/>
          <w:numId w:val="0"/>
        </w:numPr>
        <w:contextualSpacing/>
        <w:spacing w:before="240" w:line="360" w:lineRule="auto"/>
        <w:rPr>
          <w:rFonts w:hint="eastAsia" w:ascii="宋体" w:hAnsi="宋体" w:eastAsia="宋体" w:cs="宋体"/>
          <w:b/>
          <w:bCs w:val="0"/>
          <w:sz w:val="28"/>
          <w:szCs w:val="24"/>
          <w:highlight w:val="none"/>
          <w:shd w:val="clear" w:color="auto" w:fill="auto"/>
          <w:lang w:val="en-US" w:eastAsia="zh-CN"/>
        </w:rPr>
      </w:pPr>
      <w:r>
        <w:rPr>
          <w:rFonts w:hint="eastAsia" w:ascii="宋体" w:hAnsi="宋体" w:eastAsia="宋体" w:cs="宋体"/>
          <w:b/>
          <w:bCs w:val="0"/>
          <w:sz w:val="28"/>
          <w:szCs w:val="24"/>
          <w:shd w:val="clear" w:color="auto" w:fill="auto"/>
          <w:lang w:val="en-US" w:eastAsia="zh-CN" w:bidi="ar-SA"/>
        </w:rPr>
        <w:t xml:space="preserve">二、</w:t>
      </w:r>
      <w:r>
        <w:rPr>
          <w:rFonts w:hint="eastAsia" w:ascii="宋体" w:hAnsi="宋体" w:eastAsia="宋体" w:cs="宋体"/>
          <w:b/>
          <w:bCs w:val="0"/>
          <w:sz w:val="28"/>
          <w:szCs w:val="24"/>
          <w:highlight w:val="none"/>
          <w:shd w:val="clear" w:color="auto" w:fill="auto"/>
          <w:lang w:val="en-US" w:eastAsia="zh-CN"/>
        </w:rPr>
        <w:t xml:space="preserve">技术参数部分</w:t>
      </w:r>
      <w:r/>
    </w:p>
    <w:tbl>
      <w:tblPr>
        <w:tblStyle w:val="1015"/>
        <w:tblW w:w="4844" w:type="pct"/>
        <w:tblInd w:w="182" w:type="dxa"/>
        <w:tblLayout w:type="fixed"/>
        <w:tblCellMar>
          <w:left w:w="108" w:type="dxa"/>
          <w:top w:w="0" w:type="dxa"/>
          <w:right w:w="108" w:type="dxa"/>
          <w:bottom w:w="0" w:type="dxa"/>
        </w:tblCellMar>
        <w:tblLook w:val="04A0" w:firstRow="1" w:lastRow="0" w:firstColumn="1" w:lastColumn="0" w:noHBand="0" w:noVBand="1"/>
      </w:tblPr>
      <w:tblGrid>
        <w:gridCol w:w="507"/>
        <w:gridCol w:w="978"/>
        <w:gridCol w:w="1635"/>
        <w:gridCol w:w="3509"/>
        <w:gridCol w:w="825"/>
        <w:gridCol w:w="705"/>
        <w:gridCol w:w="840"/>
      </w:tblGrid>
      <w:tr>
        <w:trPr>
          <w:trHeight w:val="5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单元号</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参数要求</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计量</w:t>
            </w:r>
            <w:r/>
          </w:p>
          <w:p>
            <w:pPr>
              <w:jc w:val="center"/>
              <w:widowControl/>
              <w:rPr>
                <w:rFonts w:hint="default"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工程量</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井道结构</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ind w:firstLine="200"/>
              <w:jc w:val="both"/>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both"/>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金锡苑</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50、51、56、57</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10</w:t>
            </w:r>
            <w:r>
              <w:rPr>
                <w:rFonts w:hint="eastAsia" w:ascii="等线" w:hAnsi="等线" w:eastAsia="等线" w:cs="等线"/>
                <w:color w:val="000000"/>
                <w:sz w:val="20"/>
                <w:szCs w:val="20"/>
                <w:highlight w:val="none"/>
                <w:lang w:bidi="ar"/>
              </w:rPr>
              <w:t xml:space="preserve">00kg</w:t>
            </w:r>
            <w:r>
              <w:rPr>
                <w:rFonts w:hint="eastAsia" w:cs="等线"/>
                <w:color w:val="000000"/>
                <w:sz w:val="20"/>
                <w:szCs w:val="20"/>
                <w:highlight w:val="none"/>
                <w:lang w:eastAsia="zh-CN" w:bidi="ar"/>
              </w:rPr>
              <w:t xml:space="preserve">；</w:t>
            </w:r>
            <w:r/>
          </w:p>
          <w:p>
            <w:pPr>
              <w:numPr>
                <w:ilvl w:val="0"/>
                <w:numId w:val="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1.5m/s</w:t>
            </w:r>
            <w:r>
              <w:rPr>
                <w:rFonts w:hint="eastAsia" w:cs="等线"/>
                <w:color w:val="000000"/>
                <w:sz w:val="20"/>
                <w:szCs w:val="20"/>
                <w:highlight w:val="none"/>
                <w:lang w:eastAsia="zh-CN" w:bidi="ar"/>
              </w:rPr>
              <w:t xml:space="preserve">；</w:t>
            </w:r>
            <w:r/>
          </w:p>
          <w:p>
            <w:pPr>
              <w:numPr>
                <w:ilvl w:val="0"/>
                <w:numId w:val="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9</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9</w:t>
            </w:r>
            <w:r>
              <w:rPr>
                <w:rFonts w:hint="eastAsia" w:cs="等线"/>
                <w:color w:val="000000"/>
                <w:sz w:val="20"/>
                <w:szCs w:val="20"/>
                <w:highlight w:val="none"/>
                <w:lang w:eastAsia="zh-CN" w:bidi="ar"/>
              </w:rPr>
              <w:t xml:space="preserve">；</w:t>
            </w:r>
            <w:r/>
          </w:p>
          <w:p>
            <w:pPr>
              <w:numPr>
                <w:ilvl w:val="0"/>
                <w:numId w:val="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ind w:firstLine="200"/>
              <w:jc w:val="both"/>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tcBorders>
              <w:left w:val="single" w:color="000000" w:sz="4" w:space="0"/>
              <w:right w:val="single" w:color="000000" w:sz="4" w:space="0"/>
            </w:tcBorders>
            <w:tcW w:w="543" w:type="pct"/>
            <w:vAlign w:val="center"/>
            <w:vMerge w:val="continue"/>
            <w:textDirection w:val="lrTb"/>
            <w:noWrap w:val="false"/>
          </w:tcPr>
          <w:p>
            <w:pPr>
              <w:jc w:val="both"/>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52、53、54、55</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3"/>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10</w:t>
            </w:r>
            <w:r>
              <w:rPr>
                <w:rFonts w:hint="eastAsia" w:ascii="等线" w:hAnsi="等线" w:eastAsia="等线" w:cs="等线"/>
                <w:color w:val="000000"/>
                <w:sz w:val="20"/>
                <w:szCs w:val="20"/>
                <w:highlight w:val="none"/>
                <w:lang w:bidi="ar"/>
              </w:rPr>
              <w:t xml:space="preserve">00kg</w:t>
            </w:r>
            <w:r>
              <w:rPr>
                <w:rFonts w:hint="eastAsia" w:cs="等线"/>
                <w:color w:val="000000"/>
                <w:sz w:val="20"/>
                <w:szCs w:val="20"/>
                <w:highlight w:val="none"/>
                <w:lang w:eastAsia="zh-CN" w:bidi="ar"/>
              </w:rPr>
              <w:t xml:space="preserve">；</w:t>
            </w:r>
            <w:r/>
          </w:p>
          <w:p>
            <w:pPr>
              <w:numPr>
                <w:ilvl w:val="0"/>
                <w:numId w:val="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1.5m/s</w:t>
            </w:r>
            <w:r>
              <w:rPr>
                <w:rFonts w:hint="eastAsia" w:cs="等线"/>
                <w:color w:val="000000"/>
                <w:sz w:val="20"/>
                <w:szCs w:val="20"/>
                <w:highlight w:val="none"/>
                <w:lang w:eastAsia="zh-CN" w:bidi="ar"/>
              </w:rPr>
              <w:t xml:space="preserve">；</w:t>
            </w:r>
            <w:r/>
          </w:p>
          <w:p>
            <w:pPr>
              <w:numPr>
                <w:ilvl w:val="0"/>
                <w:numId w:val="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10</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10</w:t>
            </w:r>
            <w:r>
              <w:rPr>
                <w:rFonts w:hint="eastAsia" w:cs="等线"/>
                <w:color w:val="000000"/>
                <w:sz w:val="20"/>
                <w:szCs w:val="20"/>
                <w:highlight w:val="none"/>
                <w:lang w:eastAsia="zh-CN" w:bidi="ar"/>
              </w:rPr>
              <w:t xml:space="preserve">；</w:t>
            </w:r>
            <w:r/>
          </w:p>
          <w:p>
            <w:pPr>
              <w:numPr>
                <w:ilvl w:val="0"/>
                <w:numId w:val="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0"/>
              </w:numPr>
              <w:jc w:val="left"/>
              <w:widowControl/>
              <w:rPr>
                <w:rFonts w:hint="eastAsia" w:cs="等线"/>
                <w:color w:val="000000"/>
                <w:sz w:val="20"/>
                <w:szCs w:val="20"/>
                <w:highlight w:val="none"/>
              </w:rPr>
            </w:pPr>
            <w:r>
              <w:rPr>
                <w:rFonts w:hint="eastAsia" w:cs="等线"/>
                <w:color w:val="000000"/>
                <w:sz w:val="20"/>
                <w:szCs w:val="20"/>
                <w:highlight w:val="none"/>
                <w:lang w:val="en-US" w:eastAsia="zh-CN"/>
              </w:rPr>
              <w:t xml:space="preserve">6.</w:t>
            </w: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rPr>
              <w:t xml:space="preserve">混凝土</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ind w:firstLine="200"/>
              <w:jc w:val="both"/>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tcBorders>
              <w:left w:val="single" w:color="000000" w:sz="4" w:space="0"/>
              <w:right w:val="single" w:color="000000" w:sz="4" w:space="0"/>
            </w:tcBorders>
            <w:tcW w:w="543" w:type="pct"/>
            <w:vAlign w:val="center"/>
            <w:vMerge w:val="continue"/>
            <w:textDirection w:val="lrTb"/>
            <w:noWrap w:val="false"/>
          </w:tcPr>
          <w:p>
            <w:pPr>
              <w:jc w:val="both"/>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81、82</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4"/>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10</w:t>
            </w:r>
            <w:r>
              <w:rPr>
                <w:rFonts w:hint="eastAsia" w:ascii="等线" w:hAnsi="等线" w:eastAsia="等线" w:cs="等线"/>
                <w:color w:val="000000"/>
                <w:sz w:val="20"/>
                <w:szCs w:val="20"/>
                <w:highlight w:val="none"/>
                <w:lang w:bidi="ar"/>
              </w:rPr>
              <w:t xml:space="preserve">00kg</w:t>
            </w:r>
            <w:r>
              <w:rPr>
                <w:rFonts w:hint="eastAsia" w:cs="等线"/>
                <w:color w:val="000000"/>
                <w:sz w:val="20"/>
                <w:szCs w:val="20"/>
                <w:highlight w:val="none"/>
                <w:lang w:eastAsia="zh-CN" w:bidi="ar"/>
              </w:rPr>
              <w:t xml:space="preserve">；</w:t>
            </w:r>
            <w:r/>
          </w:p>
          <w:p>
            <w:pPr>
              <w:numPr>
                <w:ilvl w:val="0"/>
                <w:numId w:val="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1.5m/s</w:t>
            </w:r>
            <w:r>
              <w:rPr>
                <w:rFonts w:hint="eastAsia" w:cs="等线"/>
                <w:color w:val="000000"/>
                <w:sz w:val="20"/>
                <w:szCs w:val="20"/>
                <w:highlight w:val="none"/>
                <w:lang w:eastAsia="zh-CN" w:bidi="ar"/>
              </w:rPr>
              <w:t xml:space="preserve">；</w:t>
            </w:r>
            <w:r/>
          </w:p>
          <w:p>
            <w:pPr>
              <w:numPr>
                <w:ilvl w:val="0"/>
                <w:numId w:val="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10</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10</w:t>
            </w:r>
            <w:r>
              <w:rPr>
                <w:rFonts w:hint="eastAsia" w:cs="等线"/>
                <w:color w:val="000000"/>
                <w:sz w:val="20"/>
                <w:szCs w:val="20"/>
                <w:highlight w:val="none"/>
                <w:lang w:eastAsia="zh-CN" w:bidi="ar"/>
              </w:rPr>
              <w:t xml:space="preserve">；</w:t>
            </w:r>
            <w:r/>
          </w:p>
          <w:p>
            <w:pPr>
              <w:numPr>
                <w:ilvl w:val="0"/>
                <w:numId w:val="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0"/>
              </w:numPr>
              <w:ind w:left="0" w:firstLine="0"/>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rPr>
              <w:t xml:space="preserve">6.</w:t>
            </w: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rPr>
              <w:t xml:space="preserve">混凝土</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bidi="ar"/>
              </w:rPr>
              <w:t xml:space="preserve">68、69、103、104、109、110</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5"/>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10</w:t>
            </w:r>
            <w:r>
              <w:rPr>
                <w:rFonts w:hint="eastAsia" w:ascii="等线" w:hAnsi="等线" w:eastAsia="等线" w:cs="等线"/>
                <w:color w:val="000000"/>
                <w:sz w:val="20"/>
                <w:szCs w:val="20"/>
                <w:highlight w:val="none"/>
                <w:lang w:bidi="ar"/>
              </w:rPr>
              <w:t xml:space="preserve">00kg</w:t>
            </w:r>
            <w:r>
              <w:rPr>
                <w:rFonts w:hint="eastAsia" w:cs="等线"/>
                <w:color w:val="000000"/>
                <w:sz w:val="20"/>
                <w:szCs w:val="20"/>
                <w:highlight w:val="none"/>
                <w:lang w:eastAsia="zh-CN" w:bidi="ar"/>
              </w:rPr>
              <w:t xml:space="preserve">；</w:t>
            </w:r>
            <w:r/>
          </w:p>
          <w:p>
            <w:pPr>
              <w:numPr>
                <w:ilvl w:val="0"/>
                <w:numId w:val="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1.5m/s</w:t>
            </w:r>
            <w:r>
              <w:rPr>
                <w:rFonts w:hint="eastAsia" w:cs="等线"/>
                <w:color w:val="000000"/>
                <w:sz w:val="20"/>
                <w:szCs w:val="20"/>
                <w:highlight w:val="none"/>
                <w:lang w:eastAsia="zh-CN" w:bidi="ar"/>
              </w:rPr>
              <w:t xml:space="preserve">；</w:t>
            </w:r>
            <w:r/>
          </w:p>
          <w:p>
            <w:pPr>
              <w:numPr>
                <w:ilvl w:val="0"/>
                <w:numId w:val="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cs="等线"/>
                <w:color w:val="000000"/>
                <w:sz w:val="20"/>
                <w:szCs w:val="20"/>
                <w:highlight w:val="none"/>
                <w:lang w:eastAsia="zh-CN" w:bidi="ar"/>
              </w:rPr>
              <w:t xml:space="preserve">；</w:t>
            </w:r>
            <w:r/>
          </w:p>
          <w:p>
            <w:pPr>
              <w:numPr>
                <w:ilvl w:val="0"/>
                <w:numId w:val="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rPr>
              <w:t xml:space="preserve">混凝土</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赛维拉假日花园</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71</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6"/>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800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11</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cs="等线"/>
                <w:color w:val="000000"/>
                <w:sz w:val="20"/>
                <w:szCs w:val="20"/>
                <w:highlight w:val="none"/>
                <w:lang w:eastAsia="zh-CN" w:bidi="ar"/>
              </w:rPr>
              <w:t xml:space="preserve">；</w:t>
            </w:r>
            <w:r/>
          </w:p>
          <w:p>
            <w:pPr>
              <w:numPr>
                <w:ilvl w:val="0"/>
                <w:numId w:val="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rPr>
              <w:t xml:space="preserve">混凝土</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7"/>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400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0.63</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6</w:t>
            </w:r>
            <w:r>
              <w:rPr>
                <w:rFonts w:hint="eastAsia" w:cs="等线"/>
                <w:color w:val="000000"/>
                <w:sz w:val="20"/>
                <w:szCs w:val="20"/>
                <w:highlight w:val="none"/>
                <w:lang w:eastAsia="zh-CN" w:bidi="ar"/>
              </w:rPr>
              <w:t xml:space="preserve">；</w:t>
            </w:r>
            <w:r/>
          </w:p>
          <w:p>
            <w:pPr>
              <w:numPr>
                <w:ilvl w:val="0"/>
                <w:numId w:val="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春江花园三期</w:t>
            </w:r>
            <w:r>
              <w:rPr>
                <w:rFonts w:hint="eastAsia" w:cs="等线"/>
                <w:color w:val="000000"/>
                <w:sz w:val="20"/>
                <w:szCs w:val="20"/>
                <w:highlight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329、330、331</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8"/>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8</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7</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7</w:t>
            </w:r>
            <w:r>
              <w:rPr>
                <w:rFonts w:hint="eastAsia" w:cs="等线"/>
                <w:color w:val="000000"/>
                <w:sz w:val="20"/>
                <w:szCs w:val="20"/>
                <w:highlight w:val="none"/>
                <w:lang w:eastAsia="zh-CN" w:bidi="ar"/>
              </w:rPr>
              <w:t xml:space="preserve">；</w:t>
            </w:r>
            <w:r/>
          </w:p>
          <w:p>
            <w:pPr>
              <w:numPr>
                <w:ilvl w:val="0"/>
                <w:numId w:val="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tcBorders>
              <w:left w:val="single" w:color="000000" w:sz="4" w:space="0"/>
              <w:right w:val="single" w:color="000000" w:sz="4" w:space="0"/>
            </w:tcBorders>
            <w:tcW w:w="543" w:type="pct"/>
            <w:vAlign w:val="center"/>
            <w:vMerge w:val="continue"/>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311、313</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9"/>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cs="等线"/>
                <w:color w:val="000000"/>
                <w:sz w:val="20"/>
                <w:szCs w:val="20"/>
                <w:highlight w:val="none"/>
                <w:lang w:eastAsia="zh-CN" w:bidi="ar"/>
              </w:rPr>
              <w:t xml:space="preserve">；</w:t>
            </w:r>
            <w:r/>
          </w:p>
          <w:p>
            <w:pPr>
              <w:numPr>
                <w:ilvl w:val="0"/>
                <w:numId w:val="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9"/>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tcBorders>
              <w:left w:val="single" w:color="000000" w:sz="4" w:space="0"/>
              <w:right w:val="single" w:color="000000" w:sz="4" w:space="0"/>
            </w:tcBorders>
            <w:tcW w:w="543" w:type="pct"/>
            <w:vAlign w:val="center"/>
            <w:vMerge w:val="continue"/>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SA"/>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0"/>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2</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cs="等线"/>
                <w:color w:val="000000"/>
                <w:sz w:val="20"/>
                <w:szCs w:val="20"/>
                <w:highlight w:val="none"/>
                <w:lang w:eastAsia="zh-CN" w:bidi="ar"/>
              </w:rPr>
              <w:t xml:space="preserve">；</w:t>
            </w:r>
            <w:r/>
          </w:p>
          <w:p>
            <w:pPr>
              <w:numPr>
                <w:ilvl w:val="0"/>
                <w:numId w:val="1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0"/>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tcBorders>
              <w:left w:val="single" w:color="000000" w:sz="4" w:space="0"/>
              <w:right w:val="single" w:color="000000" w:sz="4" w:space="0"/>
            </w:tcBorders>
            <w:tcW w:w="543" w:type="pct"/>
            <w:vAlign w:val="center"/>
            <w:vMerge w:val="continue"/>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1"/>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1"/>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1"/>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1</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cs="等线"/>
                <w:color w:val="000000"/>
                <w:sz w:val="20"/>
                <w:szCs w:val="20"/>
                <w:highlight w:val="none"/>
                <w:lang w:eastAsia="zh-CN" w:bidi="ar"/>
              </w:rPr>
              <w:t xml:space="preserve">；</w:t>
            </w:r>
            <w:r/>
          </w:p>
          <w:p>
            <w:pPr>
              <w:numPr>
                <w:ilvl w:val="0"/>
                <w:numId w:val="1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1"/>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1"/>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tc>
        <w:tc>
          <w:tcPr>
            <w:tcBorders>
              <w:left w:val="single" w:color="000000" w:sz="4" w:space="0"/>
              <w:right w:val="single" w:color="000000" w:sz="4" w:space="0"/>
            </w:tcBorders>
            <w:tcW w:w="543" w:type="pct"/>
            <w:vAlign w:val="center"/>
            <w:vMerge w:val="continue"/>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316、318、321、322、323</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2"/>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2"/>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2</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2</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2</w:t>
            </w:r>
            <w:r>
              <w:rPr>
                <w:rFonts w:hint="eastAsia" w:cs="等线"/>
                <w:color w:val="000000"/>
                <w:sz w:val="20"/>
                <w:szCs w:val="20"/>
                <w:highlight w:val="none"/>
                <w:lang w:eastAsia="zh-CN" w:bidi="ar"/>
              </w:rPr>
              <w:t xml:space="preserve">；</w:t>
            </w:r>
            <w:r/>
          </w:p>
          <w:p>
            <w:pPr>
              <w:numPr>
                <w:ilvl w:val="0"/>
                <w:numId w:val="1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2"/>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2"/>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3"/>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3"/>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w:t>
            </w:r>
            <w:r>
              <w:rPr>
                <w:rFonts w:hint="eastAsia" w:cs="等线"/>
                <w:color w:val="000000"/>
                <w:sz w:val="20"/>
                <w:szCs w:val="20"/>
                <w:highlight w:val="none"/>
                <w:lang w:eastAsia="zh-CN" w:bidi="ar"/>
              </w:rPr>
              <w:t xml:space="preserve">；</w:t>
            </w:r>
            <w:r/>
          </w:p>
          <w:p>
            <w:pPr>
              <w:numPr>
                <w:ilvl w:val="0"/>
                <w:numId w:val="1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3"/>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332、333、334</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4"/>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5</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5</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5</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4"/>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335、336、337</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4"/>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5</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5</w:t>
            </w:r>
            <w:r>
              <w:rPr>
                <w:rFonts w:hint="eastAsia" w:cs="等线"/>
                <w:color w:val="000000"/>
                <w:sz w:val="20"/>
                <w:szCs w:val="20"/>
                <w:highlight w:val="none"/>
                <w:lang w:eastAsia="zh-CN" w:bidi="ar"/>
              </w:rPr>
              <w:t xml:space="preserve">；</w:t>
            </w:r>
            <w:r/>
          </w:p>
          <w:p>
            <w:pPr>
              <w:numPr>
                <w:ilvl w:val="0"/>
                <w:numId w:val="1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4"/>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4"/>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338、340、341、342</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5"/>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5"/>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4</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3</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3</w:t>
            </w:r>
            <w:r>
              <w:rPr>
                <w:rFonts w:hint="eastAsia" w:cs="等线"/>
                <w:color w:val="000000"/>
                <w:sz w:val="20"/>
                <w:szCs w:val="20"/>
                <w:highlight w:val="none"/>
                <w:lang w:eastAsia="zh-CN" w:bidi="ar"/>
              </w:rPr>
              <w:t xml:space="preserve">；</w:t>
            </w:r>
            <w:r/>
          </w:p>
          <w:p>
            <w:pPr>
              <w:numPr>
                <w:ilvl w:val="0"/>
                <w:numId w:val="1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5"/>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5"/>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rPr>
              <w:t xml:space="preserve">砖混结构</w:t>
            </w:r>
            <w:r/>
          </w:p>
        </w:tc>
      </w:tr>
      <w:tr>
        <w:trPr>
          <w:trHeight w:val="311"/>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344、345、346、347</w:t>
            </w:r>
            <w:r/>
          </w:p>
        </w:tc>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6"/>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8</w:t>
            </w:r>
            <w:r>
              <w:rPr>
                <w:rFonts w:hint="eastAsia" w:cs="等线"/>
                <w:color w:val="000000"/>
                <w:sz w:val="20"/>
                <w:szCs w:val="20"/>
                <w:highlight w:val="none"/>
                <w:lang w:val="en-US" w:eastAsia="zh-CN" w:bidi="ar"/>
              </w:rPr>
              <w:t xml:space="preserve">00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6</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6"/>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4</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4</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4</w:t>
            </w:r>
            <w:r>
              <w:rPr>
                <w:rFonts w:hint="eastAsia" w:cs="等线"/>
                <w:color w:val="000000"/>
                <w:sz w:val="20"/>
                <w:szCs w:val="20"/>
                <w:highlight w:val="none"/>
                <w:lang w:eastAsia="zh-CN" w:bidi="ar"/>
              </w:rPr>
              <w:t xml:space="preserve">；</w:t>
            </w:r>
            <w:r/>
          </w:p>
          <w:p>
            <w:pPr>
              <w:numPr>
                <w:ilvl w:val="0"/>
                <w:numId w:val="1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6"/>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6"/>
              </w:numPr>
              <w:jc w:val="left"/>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cs="等线"/>
                <w:color w:val="000000"/>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lang w:val="en-US" w:eastAsia="zh-CN" w:bidi="ar-SA"/>
              </w:rPr>
            </w:pPr>
            <w:r>
              <w:rPr>
                <w:rFonts w:hint="eastAsia" w:ascii="等线" w:hAnsi="等线" w:eastAsia="等线" w:cs="等线"/>
                <w:color w:val="000000"/>
                <w:sz w:val="20"/>
                <w:szCs w:val="20"/>
                <w:highlight w:val="none"/>
              </w:rPr>
              <w:t xml:space="preserve">砖混结构</w:t>
            </w:r>
            <w:r/>
          </w:p>
        </w:tc>
      </w:tr>
      <w:tr>
        <w:trPr>
          <w:trHeight w:val="500"/>
        </w:trPr>
        <w:tc>
          <w:tcPr>
            <w:tcBorders>
              <w:top w:val="single" w:color="000000" w:sz="4" w:space="0"/>
              <w:left w:val="single" w:color="000000" w:sz="4" w:space="0"/>
              <w:right w:val="single" w:color="000000" w:sz="4" w:space="0"/>
            </w:tcBorders>
            <w:tcW w:w="281" w:type="pct"/>
            <w:vAlign w:val="center"/>
            <w:vMerge w:val="restart"/>
            <w:textDirection w:val="lrTb"/>
            <w:noWrap w:val="false"/>
          </w:tcPr>
          <w:p>
            <w:pPr>
              <w:jc w:val="both"/>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cs="等线"/>
                <w:color w:val="000000"/>
                <w:sz w:val="20"/>
                <w:szCs w:val="20"/>
                <w:highlight w:val="none"/>
                <w:lang w:val="en-US" w:eastAsia="zh-CN" w:bidi="ar"/>
              </w:rPr>
            </w:pPr>
            <w:r>
              <w:rPr>
                <w:rFonts w:hint="eastAsia" w:cs="等线"/>
                <w:color w:val="000000"/>
                <w:sz w:val="20"/>
                <w:szCs w:val="20"/>
                <w:highlight w:val="none"/>
                <w:lang w:val="en-US" w:eastAsia="zh-CN" w:bidi="ar"/>
              </w:rPr>
            </w:r>
            <w:r/>
          </w:p>
          <w:p>
            <w:pPr>
              <w:jc w:val="center"/>
              <w:widowControl/>
              <w:rPr>
                <w:rFonts w:hint="eastAsia" w:ascii="等线" w:hAnsi="等线" w:eastAsia="等线" w:cs="等线"/>
                <w:color w:val="000000"/>
                <w:sz w:val="20"/>
                <w:szCs w:val="20"/>
                <w:highlight w:val="none"/>
                <w:lang w:val="en-US" w:eastAsia="zh-CN" w:bidi="ar"/>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vMerge w:val="restart"/>
            <w:textDirection w:val="lrTb"/>
            <w:noWrap w:val="false"/>
          </w:tcPr>
          <w:p>
            <w:pPr>
              <w:jc w:val="both"/>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bidi="ar"/>
              </w:rPr>
            </w:pPr>
            <w:r>
              <w:rPr>
                <w:rFonts w:hint="eastAsia" w:ascii="等线" w:hAnsi="等线" w:eastAsia="等线" w:cs="等线"/>
                <w:color w:val="000000"/>
                <w:sz w:val="20"/>
                <w:szCs w:val="20"/>
                <w:highlight w:val="none"/>
                <w:lang w:bidi="ar"/>
              </w:rPr>
            </w:r>
            <w:r/>
          </w:p>
          <w:p>
            <w:pPr>
              <w:jc w:val="center"/>
              <w:widowControl/>
              <w:rPr>
                <w:rFonts w:hint="eastAsia" w:ascii="等线" w:hAnsi="等线" w:eastAsia="等线" w:cs="等线"/>
                <w:color w:val="000000"/>
                <w:sz w:val="20"/>
                <w:szCs w:val="20"/>
                <w:highlight w:val="none"/>
                <w:lang w:val="en-US" w:eastAsia="zh-CN"/>
              </w:rPr>
            </w:pPr>
            <w:r>
              <w:rPr>
                <w:rFonts w:hint="eastAsia" w:ascii="等线" w:hAnsi="等线" w:eastAsia="等线" w:cs="等线"/>
                <w:color w:val="000000"/>
                <w:sz w:val="20"/>
                <w:szCs w:val="20"/>
                <w:highlight w:val="none"/>
                <w:lang w:bidi="ar"/>
              </w:rPr>
              <w:t xml:space="preserve">隽府园</w:t>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ascii="等线" w:hAnsi="等线" w:eastAsia="等线" w:cs="等线"/>
                <w:color w:val="000000"/>
                <w:sz w:val="20"/>
                <w:szCs w:val="20"/>
                <w:highlight w:val="none"/>
                <w:lang w:bidi="ar"/>
              </w:rPr>
              <w:t xml:space="preserve">50单元1号电梯</w:t>
            </w:r>
            <w:r>
              <w:rPr>
                <w:rFonts w:hint="eastAsia" w:cs="等线"/>
                <w:color w:val="000000"/>
                <w:sz w:val="20"/>
                <w:szCs w:val="20"/>
                <w:highlight w:val="none"/>
                <w:lang w:eastAsia="zh-CN" w:bidi="ar"/>
              </w:rPr>
              <w:t xml:space="preserve">、51单元2号电梯、54单元1号电梯、55单元2号电梯</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7"/>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1050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75</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7"/>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18</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18</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18（不到地下室）</w:t>
            </w:r>
            <w:r>
              <w:rPr>
                <w:rFonts w:hint="eastAsia" w:cs="等线"/>
                <w:color w:val="000000"/>
                <w:sz w:val="20"/>
                <w:szCs w:val="20"/>
                <w:highlight w:val="none"/>
                <w:lang w:eastAsia="zh-CN" w:bidi="ar"/>
              </w:rPr>
              <w:t xml:space="preserve">；</w:t>
            </w:r>
            <w:r/>
          </w:p>
          <w:p>
            <w:pPr>
              <w:numPr>
                <w:ilvl w:val="0"/>
                <w:numId w:val="1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7"/>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rPr>
              <w:t xml:space="preserve">55单元2号电梯混凝土结构，其他为</w:t>
            </w: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ascii="等线" w:hAnsi="等线" w:eastAsia="等线" w:cs="等线"/>
                <w:color w:val="000000"/>
                <w:sz w:val="20"/>
                <w:szCs w:val="20"/>
                <w:highlight w:val="none"/>
                <w:lang w:bidi="ar"/>
              </w:rPr>
              <w:t xml:space="preserve">50单元2号电梯</w:t>
            </w:r>
            <w:r>
              <w:rPr>
                <w:rFonts w:hint="eastAsia" w:cs="等线"/>
                <w:color w:val="000000"/>
                <w:sz w:val="20"/>
                <w:szCs w:val="20"/>
                <w:highlight w:val="none"/>
                <w:lang w:eastAsia="zh-CN" w:bidi="ar"/>
              </w:rPr>
              <w:t xml:space="preserve">、51单元1号电梯、54单元2号电梯、55单元1号电梯</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8"/>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1050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75</w:t>
            </w:r>
            <w:r>
              <w:rPr>
                <w:rFonts w:hint="eastAsia" w:ascii="等线" w:hAnsi="等线" w:eastAsia="等线" w:cs="等线"/>
                <w:color w:val="000000"/>
                <w:sz w:val="20"/>
                <w:szCs w:val="20"/>
                <w:highlight w:val="none"/>
                <w:lang w:bidi="ar"/>
              </w:rPr>
              <w:t xml:space="preserve">m/s</w:t>
            </w:r>
            <w:r>
              <w:rPr>
                <w:rFonts w:hint="eastAsia" w:cs="等线"/>
                <w:color w:val="000000"/>
                <w:sz w:val="20"/>
                <w:szCs w:val="20"/>
                <w:highlight w:val="none"/>
                <w:lang w:eastAsia="zh-CN" w:bidi="ar"/>
              </w:rPr>
              <w:t xml:space="preserve">；</w:t>
            </w:r>
            <w:r/>
          </w:p>
          <w:p>
            <w:pPr>
              <w:numPr>
                <w:ilvl w:val="0"/>
                <w:numId w:val="18"/>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19</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19</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19</w:t>
            </w:r>
            <w:r>
              <w:rPr>
                <w:rFonts w:hint="eastAsia" w:cs="等线"/>
                <w:color w:val="000000"/>
                <w:sz w:val="20"/>
                <w:szCs w:val="20"/>
                <w:highlight w:val="none"/>
                <w:lang w:eastAsia="zh-CN" w:bidi="ar"/>
              </w:rPr>
              <w:t xml:space="preserve">；</w:t>
            </w:r>
            <w:r/>
          </w:p>
          <w:p>
            <w:pPr>
              <w:numPr>
                <w:ilvl w:val="0"/>
                <w:numId w:val="1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8"/>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rPr>
              <w:t xml:space="preserve">55单元1号电梯混凝土结构，其他为</w:t>
            </w:r>
            <w:r>
              <w:rPr>
                <w:rFonts w:hint="eastAsia" w:ascii="等线" w:hAnsi="等线" w:eastAsia="等线" w:cs="等线"/>
                <w:color w:val="000000"/>
                <w:sz w:val="20"/>
                <w:szCs w:val="20"/>
                <w:highlight w:val="none"/>
              </w:rPr>
              <w:t xml:space="preserve">砖混结构</w:t>
            </w:r>
            <w:r/>
          </w:p>
        </w:tc>
      </w:tr>
      <w:tr>
        <w:trPr>
          <w:trHeight w:val="364"/>
        </w:trPr>
        <w:tc>
          <w:tcPr>
            <w:tcBorders>
              <w:left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lang w:eastAsia="zh-CN"/>
              </w:rPr>
            </w:pPr>
            <w:r>
              <w:rPr>
                <w:rFonts w:hint="eastAsia" w:ascii="等线" w:hAnsi="等线" w:eastAsia="等线" w:cs="等线"/>
                <w:color w:val="000000"/>
                <w:sz w:val="20"/>
                <w:szCs w:val="20"/>
                <w:highlight w:val="none"/>
                <w:lang w:bidi="ar"/>
              </w:rPr>
              <w:t xml:space="preserve">30单元1号电梯</w:t>
            </w:r>
            <w:r>
              <w:rPr>
                <w:rFonts w:hint="eastAsia" w:cs="等线"/>
                <w:color w:val="000000"/>
                <w:sz w:val="20"/>
                <w:szCs w:val="20"/>
                <w:highlight w:val="none"/>
                <w:lang w:eastAsia="zh-CN" w:bidi="ar"/>
              </w:rPr>
              <w:t xml:space="preserve">、31单元1号电梯、52单元1号电梯、53单元1号电梯</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19"/>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050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1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19"/>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25</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25</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25</w:t>
            </w:r>
            <w:r>
              <w:rPr>
                <w:rFonts w:hint="eastAsia" w:cs="等线"/>
                <w:color w:val="000000"/>
                <w:sz w:val="20"/>
                <w:szCs w:val="20"/>
                <w:highlight w:val="none"/>
                <w:lang w:eastAsia="zh-CN" w:bidi="ar"/>
              </w:rPr>
              <w:t xml:space="preserve">；</w:t>
            </w:r>
            <w:r/>
          </w:p>
          <w:p>
            <w:pPr>
              <w:numPr>
                <w:ilvl w:val="0"/>
                <w:numId w:val="1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1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19"/>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tcBorders>
              <w:left w:val="single" w:color="000000" w:sz="4" w:space="0"/>
              <w:bottom w:val="single" w:color="000000" w:sz="4" w:space="0"/>
              <w:right w:val="single" w:color="000000" w:sz="4" w:space="0"/>
            </w:tcBorders>
            <w:tcW w:w="281"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pct"/>
            <w:vAlign w:val="center"/>
            <w:vMerge w:val="continue"/>
            <w:textDirection w:val="lrTb"/>
            <w:noWrap w:val="false"/>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30单元</w:t>
            </w:r>
            <w:r>
              <w:rPr>
                <w:rFonts w:hint="eastAsia" w:cs="等线"/>
                <w:color w:val="000000"/>
                <w:sz w:val="20"/>
                <w:szCs w:val="20"/>
                <w:highlight w:val="none"/>
                <w:lang w:val="en-US" w:eastAsia="zh-CN" w:bidi="ar"/>
              </w:rPr>
              <w:t xml:space="preserve">2</w:t>
            </w:r>
            <w:r>
              <w:rPr>
                <w:rFonts w:hint="eastAsia" w:ascii="等线" w:hAnsi="等线" w:eastAsia="等线" w:cs="等线"/>
                <w:color w:val="000000"/>
                <w:sz w:val="20"/>
                <w:szCs w:val="20"/>
                <w:highlight w:val="none"/>
                <w:lang w:bidi="ar"/>
              </w:rPr>
              <w:t xml:space="preserve">号电梯</w:t>
            </w:r>
            <w:r>
              <w:rPr>
                <w:rFonts w:hint="eastAsia" w:cs="等线"/>
                <w:color w:val="000000"/>
                <w:sz w:val="20"/>
                <w:szCs w:val="20"/>
                <w:highlight w:val="none"/>
                <w:lang w:eastAsia="zh-CN" w:bidi="ar"/>
              </w:rPr>
              <w:t xml:space="preserve">、31单元</w:t>
            </w:r>
            <w:r>
              <w:rPr>
                <w:rFonts w:hint="eastAsia" w:cs="等线"/>
                <w:color w:val="000000"/>
                <w:sz w:val="20"/>
                <w:szCs w:val="20"/>
                <w:highlight w:val="none"/>
                <w:lang w:val="en-US" w:eastAsia="zh-CN" w:bidi="ar"/>
              </w:rPr>
              <w:t xml:space="preserve">2</w:t>
            </w:r>
            <w:r>
              <w:rPr>
                <w:rFonts w:hint="eastAsia" w:cs="等线"/>
                <w:color w:val="000000"/>
                <w:sz w:val="20"/>
                <w:szCs w:val="20"/>
                <w:highlight w:val="none"/>
                <w:lang w:eastAsia="zh-CN" w:bidi="ar"/>
              </w:rPr>
              <w:t xml:space="preserve">号电梯、52单元</w:t>
            </w:r>
            <w:r>
              <w:rPr>
                <w:rFonts w:hint="eastAsia" w:cs="等线"/>
                <w:color w:val="000000"/>
                <w:sz w:val="20"/>
                <w:szCs w:val="20"/>
                <w:highlight w:val="none"/>
                <w:lang w:val="en-US" w:eastAsia="zh-CN" w:bidi="ar"/>
              </w:rPr>
              <w:t xml:space="preserve">2</w:t>
            </w:r>
            <w:r>
              <w:rPr>
                <w:rFonts w:hint="eastAsia" w:cs="等线"/>
                <w:color w:val="000000"/>
                <w:sz w:val="20"/>
                <w:szCs w:val="20"/>
                <w:highlight w:val="none"/>
                <w:lang w:eastAsia="zh-CN" w:bidi="ar"/>
              </w:rPr>
              <w:t xml:space="preserve">号电梯、53单元</w:t>
            </w:r>
            <w:r>
              <w:rPr>
                <w:rFonts w:hint="eastAsia" w:cs="等线"/>
                <w:color w:val="000000"/>
                <w:sz w:val="20"/>
                <w:szCs w:val="20"/>
                <w:highlight w:val="none"/>
                <w:lang w:val="en-US" w:eastAsia="zh-CN" w:bidi="ar"/>
              </w:rPr>
              <w:t xml:space="preserve">2</w:t>
            </w:r>
            <w:r>
              <w:rPr>
                <w:rFonts w:hint="eastAsia" w:cs="等线"/>
                <w:color w:val="000000"/>
                <w:sz w:val="20"/>
                <w:szCs w:val="20"/>
                <w:highlight w:val="none"/>
                <w:lang w:eastAsia="zh-CN" w:bidi="ar"/>
              </w:rPr>
              <w:t xml:space="preserve">号电梯</w:t>
            </w:r>
            <w:r/>
          </w:p>
        </w:tc>
        <w:tc>
          <w:tcPr>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numPr>
                <w:ilvl w:val="0"/>
                <w:numId w:val="20"/>
              </w:numPr>
              <w:jc w:val="left"/>
              <w:widowControl/>
              <w:rPr>
                <w:rFonts w:hint="eastAsia"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载重量</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w:t>
            </w:r>
            <w:r>
              <w:rPr>
                <w:rFonts w:hint="eastAsia" w:cs="等线"/>
                <w:color w:val="000000"/>
                <w:sz w:val="20"/>
                <w:szCs w:val="20"/>
                <w:highlight w:val="none"/>
                <w:lang w:val="en-US" w:eastAsia="zh-CN" w:bidi="ar"/>
              </w:rPr>
              <w:t xml:space="preserve">050</w:t>
            </w:r>
            <w:r>
              <w:rPr>
                <w:rFonts w:hint="eastAsia" w:ascii="等线" w:hAnsi="等线" w:eastAsia="等线" w:cs="等线"/>
                <w:color w:val="000000"/>
                <w:sz w:val="20"/>
                <w:szCs w:val="20"/>
                <w:highlight w:val="none"/>
                <w:lang w:bidi="ar"/>
              </w:rPr>
              <w:t xml:space="preserve">kg</w:t>
            </w:r>
            <w:r>
              <w:rPr>
                <w:rFonts w:hint="eastAsia" w:cs="等线"/>
                <w:color w:val="000000"/>
                <w:sz w:val="20"/>
                <w:szCs w:val="20"/>
                <w:highlight w:val="none"/>
                <w:lang w:eastAsia="zh-CN" w:bidi="ar"/>
              </w:rPr>
              <w:t xml:space="preserve">；</w:t>
            </w:r>
            <w:r/>
          </w:p>
          <w:p>
            <w:pPr>
              <w:numPr>
                <w:ilvl w:val="0"/>
                <w:numId w:val="2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速度</w:t>
            </w:r>
            <w:r>
              <w:rPr>
                <w:rFonts w:hint="eastAsia" w:cs="等线"/>
                <w:color w:val="000000"/>
                <w:sz w:val="20"/>
                <w:szCs w:val="20"/>
                <w:highlight w:val="none"/>
                <w:lang w:eastAsia="zh-CN" w:bidi="ar"/>
              </w:rPr>
              <w:t xml:space="preserve">：</w:t>
            </w:r>
            <w:r>
              <w:rPr>
                <w:rFonts w:hint="eastAsia" w:ascii="等线" w:hAnsi="等线" w:eastAsia="等线" w:cs="等线"/>
                <w:color w:val="000000"/>
                <w:sz w:val="20"/>
                <w:szCs w:val="20"/>
                <w:highlight w:val="none"/>
                <w:lang w:bidi="ar"/>
              </w:rPr>
              <w:t xml:space="preserve">1.75m/s</w:t>
            </w:r>
            <w:r>
              <w:rPr>
                <w:rFonts w:hint="eastAsia" w:cs="等线"/>
                <w:color w:val="000000"/>
                <w:sz w:val="20"/>
                <w:szCs w:val="20"/>
                <w:highlight w:val="none"/>
                <w:lang w:eastAsia="zh-CN" w:bidi="ar"/>
              </w:rPr>
              <w:t xml:space="preserve">；</w:t>
            </w:r>
            <w:r/>
          </w:p>
          <w:p>
            <w:pPr>
              <w:numPr>
                <w:ilvl w:val="0"/>
                <w:numId w:val="20"/>
              </w:numPr>
              <w:jc w:val="left"/>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层/站/门</w:t>
            </w:r>
            <w:r>
              <w:rPr>
                <w:rFonts w:hint="eastAsia" w:cs="等线"/>
                <w:color w:val="000000"/>
                <w:sz w:val="20"/>
                <w:szCs w:val="20"/>
                <w:highlight w:val="none"/>
                <w:lang w:eastAsia="zh-CN" w:bidi="ar"/>
              </w:rPr>
              <w:t xml:space="preserve">：</w:t>
            </w:r>
            <w:r>
              <w:rPr>
                <w:rFonts w:hint="eastAsia" w:cs="等线"/>
                <w:color w:val="000000"/>
                <w:sz w:val="20"/>
                <w:szCs w:val="20"/>
                <w:highlight w:val="none"/>
                <w:lang w:val="en-US" w:eastAsia="zh-CN" w:bidi="ar"/>
              </w:rPr>
              <w:t xml:space="preserve">26</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26</w:t>
            </w:r>
            <w:r>
              <w:rPr>
                <w:rFonts w:hint="eastAsia" w:ascii="等线" w:hAnsi="等线" w:eastAsia="等线" w:cs="等线"/>
                <w:color w:val="000000"/>
                <w:sz w:val="20"/>
                <w:szCs w:val="20"/>
                <w:highlight w:val="none"/>
                <w:lang w:bidi="ar"/>
              </w:rPr>
              <w:t xml:space="preserve">/</w:t>
            </w:r>
            <w:r>
              <w:rPr>
                <w:rFonts w:hint="eastAsia" w:cs="等线"/>
                <w:color w:val="000000"/>
                <w:sz w:val="20"/>
                <w:szCs w:val="20"/>
                <w:highlight w:val="none"/>
                <w:lang w:val="en-US" w:eastAsia="zh-CN" w:bidi="ar"/>
              </w:rPr>
              <w:t xml:space="preserve">26</w:t>
            </w:r>
            <w:r>
              <w:rPr>
                <w:rFonts w:hint="eastAsia" w:cs="等线"/>
                <w:color w:val="000000"/>
                <w:sz w:val="20"/>
                <w:szCs w:val="20"/>
                <w:highlight w:val="none"/>
                <w:lang w:eastAsia="zh-CN" w:bidi="ar"/>
              </w:rPr>
              <w:t xml:space="preserve">；</w:t>
            </w:r>
            <w:r/>
          </w:p>
          <w:p>
            <w:pPr>
              <w:numPr>
                <w:ilvl w:val="0"/>
                <w:numId w:val="2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终端开关：使用寿命≥200万次；</w:t>
            </w:r>
            <w:r/>
          </w:p>
          <w:p>
            <w:pPr>
              <w:numPr>
                <w:ilvl w:val="0"/>
                <w:numId w:val="2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控制柜：雷击浪涌干扰电压≥10KV；</w:t>
            </w:r>
            <w:r/>
          </w:p>
          <w:p>
            <w:pPr>
              <w:numPr>
                <w:ilvl w:val="0"/>
                <w:numId w:val="20"/>
              </w:numPr>
              <w:jc w:val="left"/>
              <w:widowControl/>
              <w:rPr>
                <w:rFonts w:hint="eastAsia" w:ascii="等线" w:hAnsi="等线" w:eastAsia="等线" w:cs="等线"/>
                <w:color w:val="000000"/>
                <w:sz w:val="20"/>
                <w:szCs w:val="20"/>
                <w:highlight w:val="none"/>
              </w:rPr>
            </w:pPr>
            <w:r>
              <w:rPr>
                <w:rFonts w:hint="eastAsia" w:cs="等线"/>
                <w:color w:val="000000"/>
                <w:sz w:val="20"/>
                <w:szCs w:val="20"/>
                <w:highlight w:val="none"/>
              </w:rPr>
              <w:t xml:space="preserve">层门摆锤冲击试验：≥353J</w:t>
            </w:r>
            <w:r>
              <w:rPr>
                <w:rFonts w:hint="eastAsia" w:cs="等线"/>
                <w:color w:val="000000"/>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cs="等线"/>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t xml:space="preserve">砖混结构</w:t>
            </w:r>
            <w:r/>
          </w:p>
        </w:tc>
      </w:tr>
      <w:tr>
        <w:trPr>
          <w:trHeight w:val="500"/>
        </w:trPr>
        <w:tc>
          <w:tcPr>
            <w:gridSpan w:val="4"/>
            <w:tcBorders>
              <w:top w:val="single" w:color="000000" w:sz="4" w:space="0"/>
              <w:left w:val="single" w:color="000000" w:sz="4" w:space="0"/>
              <w:bottom w:val="single" w:color="000000" w:sz="4" w:space="0"/>
              <w:right w:val="single" w:color="000000" w:sz="4" w:space="0"/>
            </w:tcBorders>
            <w:tcW w:w="3683" w:type="pct"/>
            <w:vAlign w:val="center"/>
            <w:textDirection w:val="lrTb"/>
            <w:noWrap/>
          </w:tcPr>
          <w:p>
            <w:pPr>
              <w:ind w:firstLine="0"/>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lang w:bidi="ar"/>
              </w:rPr>
              <w:t xml:space="preserve">汇总：</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widowControl/>
              <w:rPr>
                <w:rFonts w:hint="eastAsia" w:ascii="等线" w:hAnsi="等线" w:eastAsia="等线" w:cs="等线"/>
                <w:color w:val="000000"/>
                <w:sz w:val="20"/>
                <w:szCs w:val="20"/>
                <w:highlight w:val="none"/>
                <w:lang w:bidi="ar"/>
              </w:rPr>
            </w:pPr>
            <w:r>
              <w:rPr>
                <w:rFonts w:hint="eastAsia" w:cs="等线"/>
                <w:color w:val="000000"/>
                <w:sz w:val="20"/>
                <w:szCs w:val="20"/>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widowControl/>
              <w:rPr>
                <w:rFonts w:hint="default" w:ascii="等线" w:hAnsi="等线" w:eastAsia="等线" w:cs="等线"/>
                <w:color w:val="000000"/>
                <w:sz w:val="20"/>
                <w:szCs w:val="20"/>
                <w:highlight w:val="none"/>
                <w:lang w:val="en-US" w:eastAsia="zh-CN"/>
              </w:rPr>
            </w:pPr>
            <w:r>
              <w:rPr>
                <w:rFonts w:hint="eastAsia" w:cs="等线"/>
                <w:color w:val="000000"/>
                <w:sz w:val="20"/>
                <w:szCs w:val="20"/>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等线" w:hAnsi="等线" w:eastAsia="等线" w:cs="等线"/>
                <w:color w:val="000000"/>
                <w:sz w:val="20"/>
                <w:szCs w:val="20"/>
                <w:highlight w:val="none"/>
              </w:rPr>
            </w:pPr>
            <w:r>
              <w:rPr>
                <w:rFonts w:hint="eastAsia" w:ascii="等线" w:hAnsi="等线" w:eastAsia="等线" w:cs="等线"/>
                <w:color w:val="000000"/>
                <w:sz w:val="20"/>
                <w:szCs w:val="20"/>
                <w:highlight w:val="none"/>
              </w:rPr>
            </w:r>
            <w:r/>
          </w:p>
        </w:tc>
      </w:tr>
      <w:tr>
        <w:trPr>
          <w:trHeight w:val="50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tabs>
                <w:tab w:val="left" w:pos="2300" w:leader="none"/>
              </w:tabs>
              <w:rPr>
                <w:rFonts w:hint="eastAsia" w:ascii="等线" w:hAnsi="等线" w:eastAsia="等线" w:cs="等线"/>
                <w:color w:val="000000"/>
                <w:sz w:val="20"/>
                <w:szCs w:val="20"/>
                <w:highlight w:val="none"/>
                <w:lang w:eastAsia="zh-CN" w:bidi="ar"/>
              </w:rPr>
            </w:pPr>
            <w:r>
              <w:rPr>
                <w:rFonts w:hint="eastAsia" w:ascii="等线" w:hAnsi="等线" w:eastAsia="等线" w:cs="等线"/>
                <w:color w:val="000000"/>
                <w:sz w:val="20"/>
                <w:szCs w:val="20"/>
                <w:highlight w:val="none"/>
                <w:lang w:bidi="ar"/>
              </w:rPr>
              <w:t xml:space="preserve">备注：</w:t>
            </w:r>
            <w:r>
              <w:rPr>
                <w:rFonts w:hint="eastAsia" w:cs="等线"/>
                <w:color w:val="000000"/>
                <w:sz w:val="20"/>
                <w:szCs w:val="20"/>
                <w:highlight w:val="none"/>
                <w:lang w:val="en-US" w:eastAsia="zh-CN" w:bidi="ar"/>
              </w:rPr>
              <w:t xml:space="preserve">土建尺寸详见图纸，具体尺寸以现场踏勘为准。</w:t>
            </w:r>
            <w:r>
              <w:rPr>
                <w:rFonts w:hint="eastAsia" w:ascii="等线" w:hAnsi="等线" w:eastAsia="等线" w:cs="等线"/>
                <w:color w:val="000000"/>
                <w:sz w:val="20"/>
                <w:szCs w:val="20"/>
                <w:highlight w:val="none"/>
                <w:lang w:bidi="ar"/>
              </w:rPr>
              <w:t xml:space="preserve">现场情况可以合理保留电梯的门套、地坎和导轨；所有电梯均为有机房电梯。</w:t>
            </w:r>
            <w:r/>
          </w:p>
        </w:tc>
      </w:tr>
    </w:tbl>
    <w:p>
      <w:pPr>
        <w:numPr>
          <w:ilvl w:val="0"/>
          <w:numId w:val="0"/>
        </w:numPr>
        <w:spacing w:line="360" w:lineRule="auto"/>
        <w:rPr>
          <w:rFonts w:hint="eastAsia" w:asciiTheme="minorEastAsia" w:hAnsiTheme="minorEastAsia" w:eastAsiaTheme="minorEastAsia" w:cstheme="minorEastAsia"/>
          <w:b/>
          <w:bCs/>
          <w:spacing w:val="-1"/>
          <w:sz w:val="21"/>
          <w:szCs w:val="21"/>
          <w:highlight w:val="none"/>
          <w:lang w:val="en-US" w:eastAsia="zh-CN"/>
        </w:rPr>
      </w:pPr>
      <w:r>
        <w:rPr>
          <w:rFonts w:hint="eastAsia" w:ascii="宋体" w:hAnsi="宋体"/>
          <w:b/>
          <w:sz w:val="24"/>
          <w:szCs w:val="24"/>
          <w:highlight w:val="none"/>
        </w:rPr>
        <w:t xml:space="preserve"> </w:t>
      </w:r>
      <w:r>
        <w:rPr>
          <w:rFonts w:hint="eastAsia" w:ascii="宋体" w:hAnsi="宋体" w:cs="宋体"/>
          <w:b w:val="0"/>
          <w:sz w:val="24"/>
          <w:szCs w:val="22"/>
          <w:highlight w:val="none"/>
        </w:rPr>
        <w:t xml:space="preserve"> 踏勘现场前请联系周</w:t>
      </w:r>
      <w:r>
        <w:rPr>
          <w:rFonts w:hint="eastAsia" w:ascii="宋体" w:hAnsi="宋体" w:cs="宋体"/>
          <w:b w:val="0"/>
          <w:sz w:val="24"/>
          <w:szCs w:val="22"/>
          <w:highlight w:val="none"/>
          <w:lang w:val="en-US" w:eastAsia="zh-CN"/>
        </w:rPr>
        <w:t xml:space="preserve">宏伟</w:t>
      </w:r>
      <w:r>
        <w:rPr>
          <w:rFonts w:hint="eastAsia" w:ascii="宋体" w:hAnsi="宋体" w:cs="宋体"/>
          <w:b w:val="0"/>
          <w:sz w:val="24"/>
          <w:szCs w:val="22"/>
          <w:highlight w:val="none"/>
          <w:lang w:eastAsia="zh-CN"/>
        </w:rPr>
        <w:t xml:space="preserve">，</w:t>
      </w:r>
      <w:r>
        <w:rPr>
          <w:rFonts w:hint="eastAsia" w:ascii="宋体" w:hAnsi="宋体" w:cs="宋体"/>
          <w:b w:val="0"/>
          <w:sz w:val="24"/>
          <w:szCs w:val="22"/>
          <w:highlight w:val="none"/>
          <w:lang w:val="en-US" w:eastAsia="zh-CN"/>
        </w:rPr>
        <w:t xml:space="preserve">联系方式：</w:t>
      </w:r>
      <w:r>
        <w:rPr>
          <w:rFonts w:hint="eastAsia" w:ascii="宋体" w:hAnsi="宋体" w:cs="宋体"/>
          <w:b w:val="0"/>
          <w:sz w:val="24"/>
          <w:szCs w:val="22"/>
          <w:highlight w:val="none"/>
        </w:rPr>
        <w:t xml:space="preserve">13358107302</w:t>
      </w:r>
      <w:r>
        <w:rPr>
          <w:rFonts w:hint="eastAsia" w:ascii="宋体" w:hAnsi="宋体" w:cs="宋体"/>
          <w:b w:val="0"/>
          <w:sz w:val="24"/>
          <w:szCs w:val="22"/>
          <w:highlight w:val="none"/>
          <w:lang w:eastAsia="zh-CN"/>
        </w:rPr>
        <w:t xml:space="preserve">。</w:t>
      </w:r>
      <w:r/>
    </w:p>
    <w:p>
      <w:pPr>
        <w:ind w:firstLine="48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 、商务部分</w:t>
      </w:r>
      <w:r/>
    </w:p>
    <w:p>
      <w:pPr>
        <w:numPr>
          <w:ilvl w:val="255"/>
          <w:numId w:val="0"/>
        </w:numPr>
        <w:ind w:firstLine="476"/>
        <w:spacing w:line="360" w:lineRule="auto"/>
        <w:rPr>
          <w:rFonts w:hint="eastAsia" w:asciiTheme="minorEastAsia" w:hAnsiTheme="minorEastAsia" w:eastAsiaTheme="minorEastAsia" w:cstheme="minorEastAsia"/>
          <w:b/>
          <w:bCs/>
          <w:color w:val="auto"/>
          <w:spacing w:val="-1"/>
          <w:sz w:val="21"/>
          <w:szCs w:val="21"/>
          <w:highlight w:val="none"/>
        </w:rPr>
      </w:pPr>
      <w:r>
        <w:rPr>
          <w:rFonts w:hint="eastAsia" w:asciiTheme="minorEastAsia" w:hAnsiTheme="minorEastAsia" w:eastAsiaTheme="minorEastAsia" w:cstheme="minorEastAsia"/>
          <w:b/>
          <w:bCs/>
          <w:color w:val="auto"/>
          <w:spacing w:val="-1"/>
          <w:sz w:val="21"/>
          <w:szCs w:val="21"/>
          <w:highlight w:val="none"/>
        </w:rPr>
        <w:t xml:space="preserve">1、设备</w:t>
      </w:r>
      <w:r>
        <w:rPr>
          <w:rFonts w:hint="eastAsia" w:asciiTheme="minorEastAsia" w:hAnsiTheme="minorEastAsia" w:eastAsiaTheme="minorEastAsia" w:cstheme="minorEastAsia"/>
          <w:b/>
          <w:bCs/>
          <w:color w:val="auto"/>
          <w:spacing w:val="-1"/>
          <w:sz w:val="21"/>
          <w:szCs w:val="21"/>
          <w:highlight w:val="none"/>
          <w:lang w:val="en-US" w:eastAsia="zh-CN"/>
        </w:rPr>
        <w:t xml:space="preserve">配置</w:t>
      </w:r>
      <w:r>
        <w:rPr>
          <w:rFonts w:hint="eastAsia" w:asciiTheme="minorEastAsia" w:hAnsiTheme="minorEastAsia" w:eastAsiaTheme="minorEastAsia" w:cstheme="minorEastAsia"/>
          <w:b/>
          <w:bCs/>
          <w:color w:val="auto"/>
          <w:spacing w:val="-1"/>
          <w:sz w:val="21"/>
          <w:szCs w:val="21"/>
          <w:highlight w:val="none"/>
        </w:rPr>
        <w:t xml:space="preserve">要求</w:t>
      </w:r>
      <w:r/>
    </w:p>
    <w:tbl>
      <w:tblPr>
        <w:tblStyle w:val="1015"/>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一</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客梯装潢配置要求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轿壁、轿门：轿壁、轿门均采用发纹不锈钢</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365"/>
        </w:trPr>
        <w:tc>
          <w:tcPr>
            <w:tcW w:w="955" w:type="dxa"/>
            <w:vAlign w:val="center"/>
            <w:textDirection w:val="lrTb"/>
            <w:noWrap w:val="false"/>
          </w:tcPr>
          <w:p>
            <w:pPr>
              <w:ind w:firstLine="360"/>
              <w:jc w:val="left"/>
              <w:spacing w:line="400" w:lineRule="exact"/>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2</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厅门、小门套：采用发纹不锈钢</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3</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操纵箱：电梯外侧及轿内指令按钮要求为不锈钢按钮，按钮指示一体型，轿厢内及厅门口显示器为段码LED显示</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4</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厅外召梯盒：不锈钢面板、按钮指示一体型、段码LED显示</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5</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门地坎、护脚板：层门和轿门的地坎、轿厢护脚板应当采用金属材料</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6</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sz w:val="20"/>
                <w:szCs w:val="20"/>
                <w:highlight w:val="none"/>
              </w:rPr>
              <w:t xml:space="preserve">轿顶：高效节能LED照明，标准顶</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7</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sz w:val="20"/>
                <w:szCs w:val="20"/>
                <w:highlight w:val="none"/>
              </w:rPr>
              <w:t xml:space="preserve">轿底：PVC地板</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8</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z w:val="20"/>
                <w:szCs w:val="20"/>
                <w:highlight w:val="none"/>
              </w:rPr>
              <w:t xml:space="preserve">面板材料：</w:t>
            </w: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《市场监管总局办公厅关于进一步做好住宅老旧电梯更新有关工作的通知》（市监特社发〔2025〕52号）</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二</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客梯配置</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pacing w:val="-7"/>
                <w:sz w:val="20"/>
                <w:szCs w:val="20"/>
                <w:highlight w:val="none"/>
              </w:rPr>
              <w:t xml:space="preserve">曳引机系统：永磁同步无齿轮曳引机</w:t>
            </w:r>
            <w:r>
              <w:rPr>
                <w:rFonts w:hint="eastAsia" w:asciiTheme="minorEastAsia" w:hAnsiTheme="minorEastAsia" w:eastAsiaTheme="minorEastAsia" w:cstheme="minorEastAsia"/>
                <w:sz w:val="20"/>
                <w:szCs w:val="20"/>
                <w:highlight w:val="none"/>
              </w:rPr>
              <w:t xml:space="preserve">，</w:t>
            </w:r>
            <w:r>
              <w:rPr>
                <w:rFonts w:hint="eastAsia" w:asciiTheme="minorEastAsia" w:hAnsiTheme="minorEastAsia" w:eastAsiaTheme="minorEastAsia" w:cstheme="minorEastAsia"/>
                <w:spacing w:val="-7"/>
                <w:sz w:val="20"/>
                <w:szCs w:val="20"/>
                <w:highlight w:val="none"/>
              </w:rPr>
              <w:t xml:space="preserve">符合国家标准，要求先进技术</w:t>
            </w:r>
            <w:r>
              <w:rPr>
                <w:rFonts w:hint="eastAsia" w:asciiTheme="minorEastAsia" w:hAnsiTheme="minorEastAsia" w:eastAsiaTheme="minorEastAsia" w:cstheme="minorEastAsia"/>
                <w:spacing w:val="-7"/>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2</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pacing w:val="-7"/>
                <w:sz w:val="20"/>
                <w:szCs w:val="20"/>
                <w:highlight w:val="none"/>
              </w:rPr>
              <w:t xml:space="preserve">控制系统：</w:t>
            </w:r>
            <w:r>
              <w:rPr>
                <w:rFonts w:hint="eastAsia" w:asciiTheme="minorEastAsia" w:hAnsiTheme="minorEastAsia" w:eastAsiaTheme="minorEastAsia" w:cstheme="minorEastAsia"/>
                <w:sz w:val="20"/>
                <w:szCs w:val="20"/>
                <w:highlight w:val="none"/>
              </w:rPr>
              <w:t xml:space="preserve">电梯控制柜、调速器、控制器</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3</w:t>
            </w:r>
            <w:r/>
          </w:p>
        </w:tc>
        <w:tc>
          <w:tcPr>
            <w:tcW w:w="8080" w:type="dxa"/>
            <w:vAlign w:val="center"/>
            <w:textDirection w:val="lrTb"/>
            <w:noWrap w:val="false"/>
          </w:tcPr>
          <w:p>
            <w:pPr>
              <w:spacing w:line="360" w:lineRule="auto"/>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pacing w:val="-7"/>
                <w:sz w:val="20"/>
                <w:szCs w:val="20"/>
                <w:highlight w:val="none"/>
              </w:rPr>
              <w:t xml:space="preserve">门系统：</w:t>
            </w:r>
            <w:r>
              <w:rPr>
                <w:rFonts w:hint="eastAsia" w:asciiTheme="minorEastAsia" w:hAnsiTheme="minorEastAsia" w:eastAsiaTheme="minorEastAsia" w:cstheme="minorEastAsia"/>
                <w:sz w:val="20"/>
                <w:szCs w:val="20"/>
                <w:highlight w:val="none"/>
              </w:rPr>
              <w:t xml:space="preserve">永磁同步门系统；</w:t>
            </w:r>
            <w:r>
              <w:rPr>
                <w:rFonts w:hint="eastAsia" w:asciiTheme="minorEastAsia" w:hAnsiTheme="minorEastAsia" w:eastAsiaTheme="minorEastAsia" w:cstheme="minorEastAsia"/>
                <w:spacing w:val="-7"/>
                <w:sz w:val="20"/>
                <w:szCs w:val="20"/>
                <w:highlight w:val="none"/>
              </w:rPr>
              <w:t xml:space="preserve">门机系统采用永磁同步门机，要求门机控制系统采取先进技术</w:t>
            </w:r>
            <w:r>
              <w:rPr>
                <w:rFonts w:hint="eastAsia" w:asciiTheme="minorEastAsia" w:hAnsiTheme="minorEastAsia" w:eastAsiaTheme="minorEastAsia" w:cstheme="minorEastAsia"/>
                <w:spacing w:val="-7"/>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4</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pacing w:val="-7"/>
                <w:sz w:val="20"/>
                <w:szCs w:val="20"/>
                <w:highlight w:val="none"/>
              </w:rPr>
              <w:t xml:space="preserve">操纵召唤系统：电梯外召及轿内指令按钮要求为触摸式微动型不锈钢按钮，按钮指示一体型，轿厢内及厅门口显示器为液晶显示（显示楼层位置及运行方向指示）</w:t>
            </w:r>
            <w:r>
              <w:rPr>
                <w:rFonts w:hint="eastAsia" w:asciiTheme="minorEastAsia" w:hAnsiTheme="minorEastAsia" w:eastAsiaTheme="minorEastAsia" w:cstheme="minorEastAsia"/>
                <w:spacing w:val="-7"/>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5</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安全系统：安全钳、限速器、缓冲器等安全部件符合国家标准，要求先进技术</w:t>
            </w:r>
            <w: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t xml:space="preserve">；</w:t>
            </w:r>
            <w:r/>
          </w:p>
          <w:p>
            <w:pPr>
              <w:spacing w:line="400" w:lineRule="exact"/>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配置安全钳的更新导轨及其连接板</w:t>
            </w: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sz w:val="20"/>
                <w:szCs w:val="20"/>
                <w:highlight w:val="none"/>
              </w:rPr>
              <w:t xml:space="preserve">市场监管总局办公厅关于进一步做好住宅老旧电梯更新有关工作的通知</w:t>
            </w:r>
            <w:r>
              <w:rPr>
                <w:rFonts w:hint="eastAsia" w:asciiTheme="minorEastAsia" w:hAnsiTheme="minorEastAsia" w:eastAsiaTheme="minorEastAsia" w:cstheme="minorEastAsia"/>
                <w:sz w:val="20"/>
                <w:szCs w:val="20"/>
                <w:highlight w:val="none"/>
                <w:lang w:val="en-US" w:eastAsia="zh-CN"/>
              </w:rPr>
              <w:t xml:space="preserve">》</w:t>
            </w:r>
            <w:r>
              <w:rPr>
                <w:rFonts w:hint="eastAsia" w:asciiTheme="minorEastAsia" w:hAnsiTheme="minorEastAsia" w:eastAsiaTheme="minorEastAsia" w:cstheme="minorEastAsia"/>
                <w:sz w:val="20"/>
                <w:szCs w:val="20"/>
                <w:highlight w:val="none"/>
              </w:rPr>
              <w:t xml:space="preserve">（市监特社发〔2025〕52号）的相关要求</w:t>
            </w:r>
            <w:r>
              <w:rPr>
                <w:rFonts w:hint="eastAsia" w:asciiTheme="minorEastAsia" w:hAnsiTheme="minorEastAsia" w:eastAsiaTheme="minorEastAsia" w:cstheme="minorEastAsia"/>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6</w:t>
            </w:r>
            <w:r/>
          </w:p>
        </w:tc>
        <w:tc>
          <w:tcPr>
            <w:tcW w:w="8080" w:type="dxa"/>
            <w:vAlign w:val="center"/>
            <w:textDirection w:val="lrTb"/>
            <w:noWrap w:val="false"/>
          </w:tcPr>
          <w:p>
            <w:pP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t xml:space="preserve">悬挂系统：满足《市场监管总局办公厅关于进一步做好住宅老旧电梯更新有关工作的通知》（市监特社发〔2025〕52号）</w:t>
            </w:r>
            <w:r>
              <w:rPr>
                <w:rFonts w:hint="eastAsia" w:asciiTheme="minorEastAsia" w:hAnsiTheme="minorEastAsia" w:eastAsiaTheme="minorEastAsia" w:cstheme="minorEastAsia"/>
                <w:sz w:val="20"/>
                <w:szCs w:val="20"/>
                <w:highlight w:val="none"/>
                <w:lang w:val="en-US" w:eastAsia="zh-CN"/>
              </w:rPr>
              <w:t xml:space="preserve">的相关要求。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7</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其他部件：符合国家标准；</w:t>
            </w:r>
            <w:r/>
          </w:p>
          <w:p>
            <w:pPr>
              <w:spacing w:line="400" w:lineRule="exact"/>
              <w:rPr>
                <w:rFonts w:hint="eastAsia" w:asciiTheme="minorEastAsia" w:hAnsiTheme="minorEastAsia" w:eastAsiaTheme="minorEastAsia" w:cstheme="minorEastAsia"/>
                <w:sz w:val="20"/>
                <w:szCs w:val="20"/>
                <w:highlight w:val="none"/>
                <w:lang w:eastAsia="zh-CN"/>
              </w:rPr>
            </w:pPr>
            <w:r>
              <w:rPr>
                <w:rFonts w:hint="eastAsia" w:asciiTheme="minorEastAsia" w:hAnsiTheme="minorEastAsia" w:eastAsiaTheme="minorEastAsia" w:cstheme="minorEastAsia"/>
                <w:sz w:val="20"/>
                <w:szCs w:val="20"/>
                <w:highlight w:val="none"/>
              </w:rPr>
              <w:t xml:space="preserve">使用寿命：符合国家标准</w:t>
            </w:r>
            <w:r>
              <w:rPr>
                <w:rFonts w:hint="eastAsia" w:asciiTheme="minorEastAsia" w:hAnsiTheme="minorEastAsia" w:eastAsiaTheme="minorEastAsia" w:cstheme="minorEastAsia"/>
                <w:sz w:val="20"/>
                <w:szCs w:val="20"/>
                <w:highlight w:val="none"/>
                <w:lang w:eastAsia="zh-CN"/>
              </w:rPr>
              <w:t xml:space="preserve">；</w:t>
            </w:r>
            <w:r/>
          </w:p>
          <w:p>
            <w:pPr>
              <w:spacing w:line="400" w:lineRule="exact"/>
              <w:rPr>
                <w:rFonts w:hint="eastAsia" w:asciiTheme="minorEastAsia" w:hAnsiTheme="minorEastAsia" w:eastAsiaTheme="minorEastAsia" w:cstheme="minorEastAsia"/>
                <w:sz w:val="20"/>
                <w:szCs w:val="20"/>
                <w:highlight w:val="none"/>
                <w:lang w:val="en-US" w:eastAsia="zh-CN"/>
              </w:rPr>
            </w:pPr>
            <w:r>
              <w:rPr>
                <w:rFonts w:hint="eastAsia" w:asciiTheme="minorEastAsia" w:hAnsiTheme="minorEastAsia" w:eastAsiaTheme="minorEastAsia" w:cstheme="minorEastAsia"/>
                <w:sz w:val="20"/>
                <w:szCs w:val="20"/>
                <w:highlight w:val="none"/>
              </w:rPr>
              <w:t xml:space="preserve">其他要求：</w:t>
            </w: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sz w:val="20"/>
                <w:szCs w:val="20"/>
                <w:highlight w:val="none"/>
              </w:rPr>
              <w:t xml:space="preserve">市场监管总局办公厅关于进一步做好住宅老旧电梯更新有关工作的通知</w:t>
            </w:r>
            <w:r>
              <w:rPr>
                <w:rFonts w:hint="eastAsia" w:asciiTheme="minorEastAsia" w:hAnsiTheme="minorEastAsia" w:eastAsiaTheme="minorEastAsia" w:cstheme="minorEastAsia"/>
                <w:sz w:val="20"/>
                <w:szCs w:val="20"/>
                <w:highlight w:val="none"/>
                <w:lang w:val="en-US" w:eastAsia="zh-CN"/>
              </w:rPr>
              <w:t xml:space="preserve">》</w:t>
            </w:r>
            <w:r>
              <w:rPr>
                <w:rFonts w:hint="eastAsia" w:asciiTheme="minorEastAsia" w:hAnsiTheme="minorEastAsia" w:eastAsiaTheme="minorEastAsia" w:cstheme="minorEastAsia"/>
                <w:sz w:val="20"/>
                <w:szCs w:val="20"/>
                <w:highlight w:val="none"/>
              </w:rPr>
              <w:t xml:space="preserve">（市监特社发〔2025〕52号）</w:t>
            </w:r>
            <w:r>
              <w:rPr>
                <w:rFonts w:hint="eastAsia" w:asciiTheme="minorEastAsia" w:hAnsiTheme="minorEastAsia" w:eastAsiaTheme="minorEastAsia" w:cstheme="minorEastAsia"/>
                <w:sz w:val="20"/>
                <w:szCs w:val="20"/>
                <w:highlight w:val="none"/>
                <w:lang w:val="en-US" w:eastAsia="zh-CN"/>
              </w:rPr>
              <w:t xml:space="preserve">的相关要求。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val="en-US" w:eastAsia="zh-CN"/>
              </w:rPr>
            </w:pPr>
            <w:r>
              <w:rPr>
                <w:rFonts w:hint="eastAsia" w:asciiTheme="minorEastAsia" w:hAnsiTheme="minorEastAsia" w:eastAsiaTheme="minorEastAsia" w:cstheme="minorEastAsia"/>
                <w:color w:val="000000"/>
                <w:sz w:val="20"/>
                <w:szCs w:val="20"/>
                <w:highlight w:val="none"/>
                <w:lang w:val="en-US" w:eastAsia="zh-CN"/>
              </w:rPr>
              <w:t xml:space="preserve">三</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lang w:val="en-US" w:eastAsia="zh-CN"/>
              </w:rPr>
            </w:pPr>
            <w:r>
              <w:rPr>
                <w:rFonts w:hint="eastAsia" w:asciiTheme="minorEastAsia" w:hAnsiTheme="minorEastAsia" w:eastAsiaTheme="minorEastAsia" w:cstheme="minorEastAsia"/>
                <w:sz w:val="20"/>
                <w:szCs w:val="20"/>
                <w:highlight w:val="none"/>
              </w:rPr>
              <w:t xml:space="preserve">环境条件要求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val="en-US" w:eastAsia="zh-CN"/>
              </w:rPr>
            </w:pPr>
            <w:r>
              <w:rPr>
                <w:rFonts w:hint="eastAsia" w:asciiTheme="minorEastAsia" w:hAnsiTheme="minorEastAsia" w:eastAsiaTheme="minorEastAsia" w:cstheme="minorEastAsia"/>
                <w:color w:val="000000"/>
                <w:sz w:val="20"/>
                <w:szCs w:val="20"/>
                <w:highlight w:val="none"/>
                <w:lang w:val="en-US" w:eastAsia="zh-CN"/>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lang w:val="en-US" w:eastAsia="zh-CN"/>
              </w:rPr>
            </w:pPr>
            <w:r>
              <w:rPr>
                <w:rFonts w:hint="eastAsia" w:asciiTheme="minorEastAsia" w:hAnsiTheme="minorEastAsia" w:eastAsiaTheme="minorEastAsia" w:cstheme="minorEastAsia"/>
                <w:color w:val="000000"/>
                <w:sz w:val="20"/>
                <w:szCs w:val="20"/>
                <w:highlight w:val="none"/>
              </w:rPr>
              <w:t xml:space="preserve">环境温度</w:t>
            </w:r>
            <w:r>
              <w:rPr>
                <w:rFonts w:hint="eastAsia" w:asciiTheme="minorEastAsia" w:hAnsiTheme="minorEastAsia" w:eastAsiaTheme="minorEastAsia" w:cstheme="minorEastAsia"/>
                <w:color w:val="000000"/>
                <w:sz w:val="20"/>
                <w:szCs w:val="20"/>
                <w:highlight w:val="none"/>
                <w:lang w:eastAsia="zh-CN"/>
              </w:rPr>
              <w:t xml:space="preserve">、</w:t>
            </w:r>
            <w:r>
              <w:rPr>
                <w:rFonts w:hint="eastAsia" w:asciiTheme="minorEastAsia" w:hAnsiTheme="minorEastAsia" w:eastAsiaTheme="minorEastAsia" w:cstheme="minorEastAsia"/>
                <w:color w:val="000000"/>
                <w:sz w:val="20"/>
                <w:szCs w:val="20"/>
                <w:highlight w:val="none"/>
              </w:rPr>
              <w:t xml:space="preserve">电压波动</w:t>
            </w:r>
            <w:r>
              <w:rPr>
                <w:rFonts w:hint="eastAsia" w:asciiTheme="minorEastAsia" w:hAnsiTheme="minorEastAsia" w:eastAsiaTheme="minorEastAsia" w:cstheme="minorEastAsia"/>
                <w:color w:val="000000"/>
                <w:sz w:val="20"/>
                <w:szCs w:val="20"/>
                <w:highlight w:val="none"/>
                <w:lang w:eastAsia="zh-CN"/>
              </w:rPr>
              <w:t xml:space="preserve">、</w:t>
            </w:r>
            <w:r>
              <w:rPr>
                <w:rFonts w:hint="eastAsia" w:asciiTheme="minorEastAsia" w:hAnsiTheme="minorEastAsia" w:eastAsiaTheme="minorEastAsia" w:cstheme="minorEastAsia"/>
                <w:color w:val="000000"/>
                <w:sz w:val="20"/>
                <w:szCs w:val="20"/>
                <w:highlight w:val="none"/>
              </w:rPr>
              <w:t xml:space="preserve">接地电阻要求</w:t>
            </w:r>
            <w:r>
              <w:rPr>
                <w:rFonts w:hint="eastAsia" w:asciiTheme="minorEastAsia" w:hAnsiTheme="minorEastAsia" w:eastAsiaTheme="minorEastAsia" w:cstheme="minorEastAsia"/>
                <w:color w:val="000000"/>
                <w:sz w:val="20"/>
                <w:szCs w:val="20"/>
                <w:highlight w:val="none"/>
                <w:lang w:eastAsia="zh-CN"/>
              </w:rPr>
              <w:t xml:space="preserve">、</w:t>
            </w:r>
            <w:r>
              <w:rPr>
                <w:rFonts w:hint="eastAsia" w:asciiTheme="minorEastAsia" w:hAnsiTheme="minorEastAsia" w:eastAsiaTheme="minorEastAsia" w:cstheme="minorEastAsia"/>
                <w:color w:val="000000"/>
                <w:sz w:val="20"/>
                <w:szCs w:val="20"/>
                <w:highlight w:val="none"/>
                <w:lang w:val="en-US" w:eastAsia="zh-CN"/>
              </w:rPr>
              <w:t xml:space="preserve">电压要求等符合国家标准。</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四</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超载运行试验</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1</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sz w:val="20"/>
                <w:szCs w:val="20"/>
                <w:highlight w:val="none"/>
                <w:lang w:val="en-US" w:eastAsia="zh-CN"/>
              </w:rPr>
              <w:t xml:space="preserve">满足《</w:t>
            </w:r>
            <w:r>
              <w:rPr>
                <w:rFonts w:hint="eastAsia" w:asciiTheme="minorEastAsia" w:hAnsiTheme="minorEastAsia" w:eastAsiaTheme="minorEastAsia" w:cstheme="minorEastAsia"/>
                <w:sz w:val="20"/>
                <w:szCs w:val="20"/>
                <w:highlight w:val="none"/>
              </w:rPr>
              <w:t xml:space="preserve">市场监管总局办公厅关于进一步做好住宅老旧电梯更新有关工作的通知</w:t>
            </w:r>
            <w:r>
              <w:rPr>
                <w:rFonts w:hint="eastAsia" w:asciiTheme="minorEastAsia" w:hAnsiTheme="minorEastAsia" w:eastAsiaTheme="minorEastAsia" w:cstheme="minorEastAsia"/>
                <w:sz w:val="20"/>
                <w:szCs w:val="20"/>
                <w:highlight w:val="none"/>
                <w:lang w:val="en-US" w:eastAsia="zh-CN"/>
              </w:rPr>
              <w:t xml:space="preserve">》</w:t>
            </w:r>
            <w:r>
              <w:rPr>
                <w:rFonts w:hint="eastAsia" w:asciiTheme="minorEastAsia" w:hAnsiTheme="minorEastAsia" w:eastAsiaTheme="minorEastAsia" w:cstheme="minorEastAsia"/>
                <w:sz w:val="20"/>
                <w:szCs w:val="20"/>
                <w:highlight w:val="none"/>
              </w:rPr>
              <w:t xml:space="preserve">（市监特社发〔2025〕52号）</w:t>
            </w:r>
            <w:r>
              <w:rPr>
                <w:rFonts w:hint="eastAsia" w:asciiTheme="minorEastAsia" w:hAnsiTheme="minorEastAsia" w:eastAsiaTheme="minorEastAsia" w:cstheme="minorEastAsia"/>
                <w:sz w:val="20"/>
                <w:szCs w:val="20"/>
                <w:highlight w:val="none"/>
                <w:lang w:val="en-US" w:eastAsia="zh-CN"/>
              </w:rPr>
              <w:t xml:space="preserve">的相关要求。</w:t>
            </w:r>
            <w:r/>
          </w:p>
        </w:tc>
      </w:tr>
      <w:tr>
        <w:trPr>
          <w:jc w:val="center"/>
          <w:trHeight w:val="454"/>
        </w:trPr>
        <w:tc>
          <w:tcPr>
            <w:tcW w:w="955" w:type="dxa"/>
            <w:vAlign w:val="center"/>
            <w:textDirection w:val="lrTb"/>
            <w:noWrap w:val="false"/>
          </w:tcPr>
          <w:p>
            <w:pPr>
              <w:jc w:val="center"/>
              <w:spacing w:line="400" w:lineRule="exact"/>
              <w:rPr>
                <w:rFonts w:hint="eastAsia" w:asciiTheme="minorEastAsia" w:hAnsiTheme="minorEastAsia" w:eastAsiaTheme="minorEastAsia" w:cstheme="minorEastAsia"/>
                <w:color w:val="000000"/>
                <w:sz w:val="20"/>
                <w:szCs w:val="20"/>
                <w:highlight w:val="none"/>
                <w:lang w:eastAsia="zh-CN"/>
              </w:rPr>
            </w:pPr>
            <w:r>
              <w:rPr>
                <w:rFonts w:hint="eastAsia" w:asciiTheme="minorEastAsia" w:hAnsiTheme="minorEastAsia" w:eastAsiaTheme="minorEastAsia" w:cstheme="minorEastAsia"/>
                <w:color w:val="000000"/>
                <w:sz w:val="20"/>
                <w:szCs w:val="20"/>
                <w:highlight w:val="none"/>
                <w:lang w:val="en-US" w:eastAsia="zh-CN"/>
              </w:rPr>
              <w:t xml:space="preserve">五</w:t>
            </w:r>
            <w:r/>
          </w:p>
        </w:tc>
        <w:tc>
          <w:tcPr>
            <w:tcW w:w="8080" w:type="dxa"/>
            <w:vAlign w:val="center"/>
            <w:textDirection w:val="lrTb"/>
            <w:noWrap w:val="false"/>
          </w:tcPr>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标准功能：</w:t>
            </w:r>
            <w:r/>
          </w:p>
          <w:p>
            <w:pPr>
              <w:spacing w:line="400" w:lineRule="exact"/>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color w:val="000000"/>
                <w:sz w:val="20"/>
                <w:szCs w:val="20"/>
                <w:highlight w:val="none"/>
              </w:rPr>
              <w:t xml:space="preserve">超速电气保护功能、对讲机通讯功能、故障低速自救运行功能、停电应急照明功能、开门时间自动调整功能、抗电磁干扰功能、轿内照明自动控制功能、超载报警功能、电动机过热保护功能、警铃报警功能</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无效内指令自动消除功能、开门时间自动控制功能、消防迫降功能：1层、厅外检修显示功能、同步电机磁极码自学习功能、轿内通风自动控制功能、电动车识阻功能、电动机过载保护功能、目的层按钮闪亮功能、轿内超载指示功能、故障自动检测功能、厅轿门旁路检测功能、泊梯功能：1层</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轿顶检修操作功能、开门异常自动选层功能、满载直驶运行功能、层高自测定功能、轿内慢速运行功能、超速机械保护功能、电动机空转保护功能、抱闸动作双安全检测功能、开关门时间超常保护功能、智能辅助制动功能、运行次数显示功能、反向内指令自动消除功能、</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超载保护功能、门停止运行功能、集选控制：全集选控制运行功能、门过载保护功能、待机定期自检功能、故障自动存储功能、位置异常自动校正功能、底坑对讲机通讯功能、关门按钮灯点亮、停车在非门区报警功能、电梯服务支援系统、机房调试操作功能、启动补偿功能、门保护装置、数字接口（预留视频电缆）、</w:t>
            </w:r>
            <w:r>
              <w:rPr>
                <w:rFonts w:hint="eastAsia" w:asciiTheme="minorEastAsia" w:hAnsiTheme="minorEastAsia" w:eastAsiaTheme="minorEastAsia" w:cstheme="minorEastAsia"/>
                <w:color w:val="000000"/>
                <w:sz w:val="20"/>
                <w:szCs w:val="20"/>
                <w:highlight w:val="none"/>
              </w:rPr>
              <w:tab/>
            </w:r>
            <w:r>
              <w:rPr>
                <w:rFonts w:hint="eastAsia" w:asciiTheme="minorEastAsia" w:hAnsiTheme="minorEastAsia" w:eastAsiaTheme="minorEastAsia" w:cstheme="minorEastAsia"/>
                <w:color w:val="000000"/>
                <w:sz w:val="20"/>
                <w:szCs w:val="20"/>
                <w:highlight w:val="none"/>
              </w:rPr>
              <w:t xml:space="preserve">无线五方通话（4G网络）、智能光幕保护功能。</w:t>
            </w:r>
            <w:r/>
          </w:p>
        </w:tc>
      </w:tr>
    </w:tbl>
    <w:p>
      <w:pPr>
        <w:numPr>
          <w:ilvl w:val="255"/>
          <w:numId w:val="0"/>
        </w:numPr>
        <w:ind w:firstLine="476"/>
        <w:spacing w:line="360" w:lineRule="auto"/>
        <w:rPr>
          <w:rFonts w:hint="eastAsia" w:ascii="等线" w:hAnsi="等线" w:cs="等线"/>
          <w:b/>
          <w:bCs/>
          <w:spacing w:val="-1"/>
          <w:sz w:val="18"/>
          <w:szCs w:val="18"/>
          <w:highlight w:val="none"/>
        </w:rPr>
      </w:pPr>
      <w:r>
        <w:rPr>
          <w:rFonts w:hint="eastAsia" w:ascii="等线" w:hAnsi="等线" w:cs="等线"/>
          <w:b/>
          <w:bCs/>
          <w:spacing w:val="-1"/>
          <w:sz w:val="18"/>
          <w:szCs w:val="18"/>
          <w:highlight w:val="none"/>
        </w:rPr>
      </w:r>
      <w:r/>
    </w:p>
    <w:p>
      <w:pPr>
        <w:numPr>
          <w:ilvl w:val="255"/>
          <w:numId w:val="0"/>
        </w:numPr>
        <w:ind w:firstLine="476"/>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1"/>
          <w:sz w:val="24"/>
          <w:highlight w:val="none"/>
        </w:rPr>
        <w:t xml:space="preserve">2、投标人须满足技术要求，具体电梯尺寸（包括井道尺寸、冲顶高度、提升高度、开门尺寸及基坑深度等）需中标方现场复核测量尺寸方可进行安装设计，电梯轿厢尺寸、载重及速度等与采购人确认后由厂家深化设计，相关费用考虑在报价内。</w:t>
      </w:r>
      <w:r/>
    </w:p>
    <w:p>
      <w:pPr>
        <w:ind w:firstLine="468"/>
        <w:spacing w:line="360" w:lineRule="auto"/>
        <w:rPr>
          <w:rFonts w:hint="eastAsia" w:asciiTheme="minorEastAsia" w:hAnsiTheme="minorEastAsia" w:eastAsiaTheme="minorEastAsia" w:cstheme="minorEastAsia"/>
          <w:b/>
          <w:bCs/>
          <w:spacing w:val="-3"/>
          <w:sz w:val="24"/>
          <w:highlight w:val="none"/>
        </w:rPr>
        <w:outlineLvl w:val="0"/>
      </w:pPr>
      <w:r>
        <w:rPr>
          <w:rFonts w:hint="eastAsia" w:asciiTheme="minorEastAsia" w:hAnsiTheme="minorEastAsia" w:eastAsiaTheme="minorEastAsia" w:cstheme="minorEastAsia"/>
          <w:b/>
          <w:bCs/>
          <w:spacing w:val="-3"/>
          <w:sz w:val="24"/>
          <w:highlight w:val="none"/>
        </w:rPr>
        <w:t xml:space="preserve">3、投标供应商资格和能力</w:t>
      </w:r>
      <w:r/>
    </w:p>
    <w:p>
      <w:pPr>
        <w:ind w:firstLine="463"/>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6"/>
          <w:sz w:val="24"/>
          <w:highlight w:val="none"/>
        </w:rPr>
        <w:t xml:space="preserve">投标</w:t>
      </w:r>
      <w:r>
        <w:rPr>
          <w:rFonts w:hint="eastAsia" w:asciiTheme="minorEastAsia" w:hAnsiTheme="minorEastAsia" w:eastAsiaTheme="minorEastAsia" w:cstheme="minorEastAsia"/>
          <w:spacing w:val="-13"/>
          <w:sz w:val="24"/>
          <w:highlight w:val="none"/>
        </w:rPr>
        <w:t xml:space="preserve">供应商</w:t>
      </w:r>
      <w:r>
        <w:rPr>
          <w:rFonts w:hint="eastAsia" w:asciiTheme="minorEastAsia" w:hAnsiTheme="minorEastAsia" w:eastAsiaTheme="minorEastAsia" w:cstheme="minorEastAsia"/>
          <w:spacing w:val="-8"/>
          <w:sz w:val="24"/>
          <w:highlight w:val="none"/>
        </w:rPr>
        <w:t xml:space="preserve">须有能力为项目提供服务（包括维保），并提供相关承诺及服务计划，安装及维护</w:t>
      </w:r>
      <w:r>
        <w:rPr>
          <w:rFonts w:hint="eastAsia" w:asciiTheme="minorEastAsia" w:hAnsiTheme="minorEastAsia" w:eastAsiaTheme="minorEastAsia" w:cstheme="minorEastAsia"/>
          <w:spacing w:val="-6"/>
          <w:sz w:val="24"/>
          <w:highlight w:val="none"/>
        </w:rPr>
        <w:t xml:space="preserve">的专业队</w:t>
      </w:r>
      <w:r>
        <w:rPr>
          <w:rFonts w:hint="eastAsia" w:asciiTheme="minorEastAsia" w:hAnsiTheme="minorEastAsia" w:eastAsiaTheme="minorEastAsia" w:cstheme="minorEastAsia"/>
          <w:spacing w:val="-3"/>
          <w:sz w:val="24"/>
          <w:highlight w:val="none"/>
        </w:rPr>
        <w:t xml:space="preserve">伍必须具有相应资质认证。</w:t>
      </w:r>
      <w:r/>
    </w:p>
    <w:p>
      <w:pPr>
        <w:ind w:firstLine="466"/>
        <w:spacing w:line="360" w:lineRule="auto"/>
        <w:rPr>
          <w:rFonts w:hint="eastAsia" w:asciiTheme="minorEastAsia" w:hAnsiTheme="minorEastAsia" w:eastAsiaTheme="minorEastAsia" w:cstheme="minorEastAsia"/>
          <w:b/>
          <w:bCs/>
          <w:sz w:val="24"/>
          <w:highlight w:val="none"/>
        </w:rPr>
        <w:outlineLvl w:val="1"/>
      </w:pPr>
      <w:r>
        <w:rPr>
          <w:rFonts w:hint="eastAsia" w:asciiTheme="minorEastAsia" w:hAnsiTheme="minorEastAsia" w:eastAsiaTheme="minorEastAsia" w:cstheme="minorEastAsia"/>
          <w:spacing w:val="-1"/>
          <w:sz w:val="24"/>
          <w:highlight w:val="none"/>
        </w:rPr>
        <w:t xml:space="preserve">4、</w:t>
      </w:r>
      <w:r>
        <w:rPr>
          <w:rFonts w:hint="eastAsia" w:asciiTheme="minorEastAsia" w:hAnsiTheme="minorEastAsia" w:eastAsiaTheme="minorEastAsia" w:cstheme="minorEastAsia"/>
          <w:b/>
          <w:bCs/>
          <w:spacing w:val="-3"/>
          <w:sz w:val="24"/>
          <w:highlight w:val="none"/>
        </w:rPr>
        <w:t xml:space="preserve">标准和规范</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《电梯、自动扶梯、自动人行道术语》                 GB/T7024</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《电梯主要参数及轿厢、井道、机房的型式与尺寸》      GB/T7025</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《低压成套开关设备和控制设备》                     GB/T7251</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《电梯制造与安装安全规范》                         GB7588</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《电梯安装验收规范》                              GB10060</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《电梯技术条件》                                  GB/T10058</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《电梯试验方法》                                  GB/T10059</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《建筑物的电气装置电击防护》                       GB/T14821.1</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《电气装置安装工程电梯电气装置施工及验收规范》      GB50182</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《电梯工程施工质量验收规范》                       GB50310    </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《电梯制造与安装安全规范》Q/Q/YSDT 002-2022</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江苏省消防部门的条例及相关的中国国家消防规范</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电力供应部门的供电规章条例</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国家现行其他规范、标准。</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以上规范、标准若与最新规范、标准相冲突的以最新规范、标准为准。</w:t>
      </w:r>
      <w:r/>
    </w:p>
    <w:p>
      <w:pPr>
        <w:ind w:firstLine="474"/>
        <w:spacing w:line="360" w:lineRule="auto"/>
        <w:rPr>
          <w:rFonts w:hint="eastAsia" w:asciiTheme="minorEastAsia" w:hAnsiTheme="minorEastAsia" w:eastAsiaTheme="minorEastAsia" w:cstheme="minorEastAsia"/>
          <w:b/>
          <w:bCs/>
          <w:sz w:val="24"/>
          <w:highlight w:val="none"/>
        </w:rPr>
        <w:outlineLvl w:val="1"/>
      </w:pPr>
      <w:r>
        <w:rPr>
          <w:rFonts w:hint="eastAsia" w:asciiTheme="minorEastAsia" w:hAnsiTheme="minorEastAsia" w:eastAsiaTheme="minorEastAsia" w:cstheme="minorEastAsia"/>
          <w:b/>
          <w:bCs/>
          <w:spacing w:val="-2"/>
          <w:sz w:val="24"/>
          <w:highlight w:val="none"/>
        </w:rPr>
        <w:t xml:space="preserve">5、制造监制和出厂检验</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在设备制造期间，采购</w:t>
      </w:r>
      <w:r>
        <w:rPr>
          <w:rFonts w:hint="eastAsia" w:asciiTheme="minorEastAsia" w:hAnsiTheme="minorEastAsia" w:eastAsiaTheme="minorEastAsia" w:cstheme="minorEastAsia"/>
          <w:sz w:val="24"/>
          <w:highlight w:val="none"/>
        </w:rPr>
        <w:t xml:space="preserve">人有权在适当的时间到制造厂进行制造监制，在制造监制期</w:t>
      </w:r>
      <w:r>
        <w:rPr>
          <w:rFonts w:hint="eastAsia" w:asciiTheme="minorEastAsia" w:hAnsiTheme="minorEastAsia" w:eastAsiaTheme="minorEastAsia" w:cstheme="minorEastAsia"/>
          <w:spacing w:val="-9"/>
          <w:sz w:val="24"/>
          <w:highlight w:val="none"/>
        </w:rPr>
        <w:t xml:space="preserve">间</w:t>
      </w:r>
      <w:r>
        <w:rPr>
          <w:rFonts w:hint="eastAsia" w:asciiTheme="minorEastAsia" w:hAnsiTheme="minorEastAsia" w:eastAsiaTheme="minorEastAsia" w:cstheme="minorEastAsia"/>
          <w:spacing w:val="-8"/>
          <w:sz w:val="24"/>
          <w:highlight w:val="none"/>
        </w:rPr>
        <w:t xml:space="preserve">，制造商有责任提供有关设备包括各种数据，设备结构图和部件图的详细中文资料。但采购</w:t>
      </w:r>
      <w:r>
        <w:rPr>
          <w:rFonts w:hint="eastAsia" w:asciiTheme="minorEastAsia" w:hAnsiTheme="minorEastAsia" w:eastAsiaTheme="minorEastAsia" w:cstheme="minorEastAsia"/>
          <w:spacing w:val="-2"/>
          <w:sz w:val="24"/>
          <w:highlight w:val="none"/>
        </w:rPr>
        <w:t xml:space="preserve">人监制并不解除制造商对所有产品在</w:t>
      </w:r>
      <w:r>
        <w:rPr>
          <w:rFonts w:hint="eastAsia" w:asciiTheme="minorEastAsia" w:hAnsiTheme="minorEastAsia" w:eastAsiaTheme="minorEastAsia" w:cstheme="minorEastAsia"/>
          <w:spacing w:val="-1"/>
          <w:sz w:val="24"/>
          <w:highlight w:val="none"/>
        </w:rPr>
        <w:t xml:space="preserve">制造质量上应负的全部责任。</w:t>
      </w:r>
      <w:r/>
    </w:p>
    <w:p>
      <w:pPr>
        <w:ind w:firstLine="474"/>
        <w:spacing w:line="360" w:lineRule="auto"/>
        <w:rPr>
          <w:rFonts w:hint="eastAsia" w:asciiTheme="minorEastAsia" w:hAnsiTheme="minorEastAsia" w:eastAsiaTheme="minorEastAsia" w:cstheme="minorEastAsia"/>
          <w:b/>
          <w:bCs/>
          <w:sz w:val="24"/>
          <w:highlight w:val="none"/>
        </w:rPr>
        <w:outlineLvl w:val="1"/>
      </w:pPr>
      <w:r>
        <w:rPr>
          <w:rFonts w:hint="eastAsia" w:asciiTheme="minorEastAsia" w:hAnsiTheme="minorEastAsia" w:eastAsiaTheme="minorEastAsia" w:cstheme="minorEastAsia"/>
          <w:b/>
          <w:bCs/>
          <w:spacing w:val="-2"/>
          <w:sz w:val="24"/>
          <w:highlight w:val="none"/>
        </w:rPr>
        <w:t xml:space="preserve">6、设备</w:t>
      </w:r>
      <w:r>
        <w:rPr>
          <w:rFonts w:hint="eastAsia" w:asciiTheme="minorEastAsia" w:hAnsiTheme="minorEastAsia" w:eastAsiaTheme="minorEastAsia" w:cstheme="minorEastAsia"/>
          <w:b/>
          <w:bCs/>
          <w:spacing w:val="-1"/>
          <w:sz w:val="24"/>
          <w:highlight w:val="none"/>
        </w:rPr>
        <w:t xml:space="preserve">的防护、包装及运输</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6.1 设备</w:t>
      </w:r>
      <w:r>
        <w:rPr>
          <w:rFonts w:hint="eastAsia" w:asciiTheme="minorEastAsia" w:hAnsiTheme="minorEastAsia" w:eastAsiaTheme="minorEastAsia" w:cstheme="minorEastAsia"/>
          <w:sz w:val="24"/>
          <w:highlight w:val="none"/>
        </w:rPr>
        <w:t xml:space="preserve">的防护及油漆</w:t>
      </w:r>
      <w:r/>
    </w:p>
    <w:p>
      <w:pPr>
        <w:ind w:firstLine="476"/>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1"/>
          <w:sz w:val="24"/>
          <w:highlight w:val="none"/>
        </w:rPr>
        <w:t xml:space="preserve">设备内、外表面应洁净。油漆表面应光洁，无褶皱和剥落。</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6.2 所有设备</w:t>
      </w:r>
      <w:r>
        <w:rPr>
          <w:rFonts w:hint="eastAsia" w:asciiTheme="minorEastAsia" w:hAnsiTheme="minorEastAsia" w:eastAsiaTheme="minorEastAsia" w:cstheme="minorEastAsia"/>
          <w:sz w:val="24"/>
          <w:highlight w:val="none"/>
        </w:rPr>
        <w:t xml:space="preserve">应合理、有效包装，以使其有效防止各种损坏，如受潮、受热、剥落、腐</w:t>
      </w:r>
      <w:r>
        <w:rPr>
          <w:rFonts w:hint="eastAsia" w:asciiTheme="minorEastAsia" w:hAnsiTheme="minorEastAsia" w:eastAsiaTheme="minorEastAsia" w:cstheme="minorEastAsia"/>
          <w:spacing w:val="-7"/>
          <w:sz w:val="24"/>
          <w:highlight w:val="none"/>
        </w:rPr>
        <w:t xml:space="preserve">蚀</w:t>
      </w:r>
      <w:r>
        <w:rPr>
          <w:rFonts w:hint="eastAsia" w:asciiTheme="minorEastAsia" w:hAnsiTheme="minorEastAsia" w:eastAsiaTheme="minorEastAsia" w:cstheme="minorEastAsia"/>
          <w:spacing w:val="-6"/>
          <w:sz w:val="24"/>
          <w:highlight w:val="none"/>
        </w:rPr>
        <w:t xml:space="preserve">、变形等。</w:t>
      </w:r>
      <w:r/>
    </w:p>
    <w:p>
      <w:pPr>
        <w:ind w:firstLine="476"/>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1"/>
          <w:sz w:val="24"/>
          <w:highlight w:val="none"/>
        </w:rPr>
        <w:t xml:space="preserve">6.3 对不油漆且易磨损的零件应涂上高熔点或脂肪酸或其他保护功能的油脂以得到保护，并得到妥善包装后固定。机组所有开口处应封闭保护，以防止在运输人员搬运途中异物进入。电动机、控制中心、排气装置和机组的控制器等均应加保护罩。</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6.</w:t>
      </w:r>
      <w:r>
        <w:rPr>
          <w:rFonts w:hint="eastAsia" w:asciiTheme="minorEastAsia" w:hAnsiTheme="minorEastAsia" w:eastAsiaTheme="minorEastAsia" w:cstheme="minorEastAsia"/>
          <w:spacing w:val="-5"/>
          <w:sz w:val="24"/>
          <w:highlight w:val="none"/>
        </w:rPr>
        <w:t xml:space="preserve">4 随机的零部件、备品备件等散件应木箱包装。这些箱盒应适合于储存，储存年限应</w:t>
      </w:r>
      <w:r>
        <w:rPr>
          <w:rFonts w:hint="eastAsia" w:asciiTheme="minorEastAsia" w:hAnsiTheme="minorEastAsia" w:eastAsiaTheme="minorEastAsia" w:cstheme="minorEastAsia"/>
          <w:spacing w:val="-7"/>
          <w:sz w:val="24"/>
          <w:highlight w:val="none"/>
        </w:rPr>
        <w:t xml:space="preserve">在</w:t>
      </w:r>
      <w:r>
        <w:rPr>
          <w:rFonts w:hint="eastAsia" w:asciiTheme="minorEastAsia" w:hAnsiTheme="minorEastAsia" w:eastAsiaTheme="minorEastAsia" w:cstheme="minorEastAsia"/>
          <w:spacing w:val="-4"/>
          <w:sz w:val="24"/>
          <w:highlight w:val="none"/>
        </w:rPr>
        <w:t xml:space="preserve">包装上予以说明。</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6.5 设</w:t>
      </w:r>
      <w:r>
        <w:rPr>
          <w:rFonts w:hint="eastAsia" w:asciiTheme="minorEastAsia" w:hAnsiTheme="minorEastAsia" w:eastAsiaTheme="minorEastAsia" w:cstheme="minorEastAsia"/>
          <w:spacing w:val="-1"/>
          <w:sz w:val="24"/>
          <w:highlight w:val="none"/>
        </w:rPr>
        <w:t xml:space="preserve">备的包装费应包括在投标总价中，这些包装材料应属于采购人所有。</w:t>
      </w:r>
      <w:r/>
    </w:p>
    <w:p>
      <w:pPr>
        <w:ind w:firstLine="472"/>
        <w:spacing w:line="360" w:lineRule="auto"/>
        <w:rPr>
          <w:rFonts w:hint="eastAsia" w:asciiTheme="minorEastAsia" w:hAnsiTheme="minorEastAsia" w:eastAsiaTheme="minorEastAsia" w:cstheme="minorEastAsia"/>
          <w:spacing w:val="-1"/>
          <w:sz w:val="24"/>
          <w:highlight w:val="none"/>
        </w:rPr>
      </w:pPr>
      <w:r>
        <w:rPr>
          <w:rFonts w:hint="eastAsia" w:asciiTheme="minorEastAsia" w:hAnsiTheme="minorEastAsia" w:eastAsiaTheme="minorEastAsia" w:cstheme="minorEastAsia"/>
          <w:spacing w:val="-2"/>
          <w:sz w:val="24"/>
          <w:highlight w:val="none"/>
        </w:rPr>
        <w:t xml:space="preserve">6.</w:t>
      </w:r>
      <w:r>
        <w:rPr>
          <w:rFonts w:hint="eastAsia" w:asciiTheme="minorEastAsia" w:hAnsiTheme="minorEastAsia" w:eastAsiaTheme="minorEastAsia" w:cstheme="minorEastAsia"/>
          <w:spacing w:val="-12"/>
          <w:sz w:val="24"/>
          <w:highlight w:val="none"/>
        </w:rPr>
        <w:t xml:space="preserve">6</w:t>
      </w:r>
      <w:r>
        <w:rPr>
          <w:rFonts w:hint="eastAsia" w:asciiTheme="minorEastAsia" w:hAnsiTheme="minorEastAsia" w:eastAsiaTheme="minorEastAsia" w:cstheme="minorEastAsia"/>
          <w:spacing w:val="-8"/>
          <w:sz w:val="24"/>
          <w:highlight w:val="none"/>
        </w:rPr>
        <w:t xml:space="preserve"> 在包装箱中，应附有产品合格证书（包括机组合格证、部件合格证、材料合格证等）、</w:t>
      </w:r>
      <w:r>
        <w:rPr>
          <w:rFonts w:hint="eastAsia" w:asciiTheme="minorEastAsia" w:hAnsiTheme="minorEastAsia" w:eastAsiaTheme="minorEastAsia" w:cstheme="minorEastAsia"/>
          <w:spacing w:val="-10"/>
          <w:sz w:val="24"/>
          <w:highlight w:val="none"/>
        </w:rPr>
        <w:t xml:space="preserve">产品</w:t>
      </w:r>
      <w:r>
        <w:rPr>
          <w:rFonts w:hint="eastAsia" w:asciiTheme="minorEastAsia" w:hAnsiTheme="minorEastAsia" w:eastAsiaTheme="minorEastAsia" w:cstheme="minorEastAsia"/>
          <w:spacing w:val="-8"/>
          <w:sz w:val="24"/>
          <w:highlight w:val="none"/>
        </w:rPr>
        <w:t xml:space="preserve">说</w:t>
      </w:r>
      <w:r>
        <w:rPr>
          <w:rFonts w:hint="eastAsia" w:asciiTheme="minorEastAsia" w:hAnsiTheme="minorEastAsia" w:eastAsiaTheme="minorEastAsia" w:cstheme="minorEastAsia"/>
          <w:spacing w:val="-5"/>
          <w:sz w:val="24"/>
          <w:highlight w:val="none"/>
        </w:rPr>
        <w:t xml:space="preserve">明书、装箱单、易损件备件及专用工具清单，一套完整的经批准的图纸及有关技术文件</w:t>
      </w:r>
      <w:r>
        <w:rPr>
          <w:rFonts w:hint="eastAsia" w:asciiTheme="minorEastAsia" w:hAnsiTheme="minorEastAsia" w:eastAsiaTheme="minorEastAsia" w:cstheme="minorEastAsia"/>
          <w:spacing w:val="-2"/>
          <w:sz w:val="24"/>
          <w:highlight w:val="none"/>
        </w:rPr>
        <w:t xml:space="preserve">资料。</w:t>
      </w:r>
      <w:r>
        <w:rPr>
          <w:rFonts w:hint="eastAsia" w:asciiTheme="minorEastAsia" w:hAnsiTheme="minorEastAsia" w:eastAsiaTheme="minorEastAsia" w:cstheme="minorEastAsia"/>
          <w:spacing w:val="-1"/>
          <w:sz w:val="24"/>
          <w:highlight w:val="none"/>
        </w:rPr>
        <w:t xml:space="preserve">包装箱外面应注明数量、设备名称、编号、起吊位置、警示标志、外形尺寸、毛重等。</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6.7  中标人应对设备的整个交货过程负责，包括运输、装卸、安装调试、装潢的安全。</w:t>
      </w:r>
      <w:r/>
    </w:p>
    <w:p>
      <w:pPr>
        <w:ind w:firstLine="472"/>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pacing w:val="-2"/>
          <w:sz w:val="24"/>
          <w:highlight w:val="none"/>
        </w:rPr>
        <w:t xml:space="preserve">6.8  随包装箱携带的文件、资料应防潮密封，并放置在包装箱内明显处。</w:t>
      </w:r>
      <w:r/>
    </w:p>
    <w:p>
      <w:pPr>
        <w:ind w:firstLine="474"/>
        <w:spacing w:line="360" w:lineRule="auto"/>
        <w:rPr>
          <w:rFonts w:hint="eastAsia" w:asciiTheme="minorEastAsia" w:hAnsiTheme="minorEastAsia" w:eastAsiaTheme="minorEastAsia" w:cstheme="minorEastAsia"/>
          <w:b/>
          <w:bCs/>
          <w:spacing w:val="-2"/>
          <w:sz w:val="24"/>
          <w:highlight w:val="none"/>
        </w:rPr>
        <w:outlineLvl w:val="1"/>
      </w:pPr>
      <w:r>
        <w:rPr>
          <w:rFonts w:hint="eastAsia" w:asciiTheme="minorEastAsia" w:hAnsiTheme="minorEastAsia" w:eastAsiaTheme="minorEastAsia" w:cstheme="minorEastAsia"/>
          <w:b/>
          <w:bCs/>
          <w:spacing w:val="-2"/>
          <w:sz w:val="24"/>
          <w:highlight w:val="none"/>
        </w:rPr>
        <w:t xml:space="preserve">7、到货验收</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7.1  中标人应派专员在所供设备到工地时进行到货验收。若发现任何损坏</w:t>
      </w:r>
      <w:r>
        <w:rPr>
          <w:rFonts w:hint="eastAsia" w:asciiTheme="minorEastAsia" w:hAnsiTheme="minorEastAsia" w:eastAsiaTheme="minorEastAsia" w:cstheme="minorEastAsia"/>
          <w:spacing w:val="-1"/>
          <w:sz w:val="24"/>
          <w:highlight w:val="none"/>
        </w:rPr>
        <w:t xml:space="preserve">及质量问题，</w:t>
      </w:r>
      <w:r>
        <w:rPr>
          <w:rFonts w:hint="eastAsia" w:asciiTheme="minorEastAsia" w:hAnsiTheme="minorEastAsia" w:eastAsiaTheme="minorEastAsia" w:cstheme="minorEastAsia"/>
          <w:spacing w:val="-18"/>
          <w:sz w:val="24"/>
          <w:highlight w:val="none"/>
        </w:rPr>
        <w:t xml:space="preserve">中</w:t>
      </w:r>
      <w:r>
        <w:rPr>
          <w:rFonts w:hint="eastAsia" w:asciiTheme="minorEastAsia" w:hAnsiTheme="minorEastAsia" w:eastAsiaTheme="minorEastAsia" w:cstheme="minorEastAsia"/>
          <w:spacing w:val="-16"/>
          <w:sz w:val="24"/>
          <w:highlight w:val="none"/>
        </w:rPr>
        <w:t xml:space="preserve">标</w:t>
      </w:r>
      <w:r>
        <w:rPr>
          <w:rFonts w:hint="eastAsia" w:asciiTheme="minorEastAsia" w:hAnsiTheme="minorEastAsia" w:eastAsiaTheme="minorEastAsia" w:cstheme="minorEastAsia"/>
          <w:spacing w:val="-9"/>
          <w:sz w:val="24"/>
          <w:highlight w:val="none"/>
        </w:rPr>
        <w:t xml:space="preserve">人应负责更换零件，并妥善处理直至采购人满意。此工作所发生的费用应由中标人自行承担。</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7.2  在采购单位工地的临时存放场地由采购人负责协调落实，但</w:t>
      </w:r>
      <w:r>
        <w:rPr>
          <w:rFonts w:hint="eastAsia" w:asciiTheme="minorEastAsia" w:hAnsiTheme="minorEastAsia" w:eastAsiaTheme="minorEastAsia" w:cstheme="minorEastAsia"/>
          <w:sz w:val="24"/>
          <w:highlight w:val="none"/>
        </w:rPr>
        <w:t xml:space="preserve">中标人应负责看管。</w:t>
      </w:r>
      <w:r/>
    </w:p>
    <w:p>
      <w:pPr>
        <w:ind w:firstLine="474"/>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pacing w:val="-2"/>
          <w:sz w:val="24"/>
          <w:highlight w:val="none"/>
        </w:rPr>
        <w:t xml:space="preserve">8、安装管理</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8.1  现场安装须符合国家的相关条例，服从采购人</w:t>
      </w:r>
      <w:r>
        <w:rPr>
          <w:rFonts w:hint="eastAsia" w:asciiTheme="minorEastAsia" w:hAnsiTheme="minorEastAsia" w:eastAsiaTheme="minorEastAsia" w:cstheme="minorEastAsia"/>
          <w:sz w:val="24"/>
          <w:highlight w:val="none"/>
        </w:rPr>
        <w:t xml:space="preserve">的管理及检查，中标人</w:t>
      </w:r>
      <w:r>
        <w:rPr>
          <w:rFonts w:hint="eastAsia" w:asciiTheme="minorEastAsia" w:hAnsiTheme="minorEastAsia" w:eastAsiaTheme="minorEastAsia" w:cstheme="minorEastAsia"/>
          <w:spacing w:val="-10"/>
          <w:sz w:val="24"/>
          <w:highlight w:val="none"/>
        </w:rPr>
        <w:t xml:space="preserve">须派有</w:t>
      </w:r>
      <w:r>
        <w:rPr>
          <w:rFonts w:hint="eastAsia" w:asciiTheme="minorEastAsia" w:hAnsiTheme="minorEastAsia" w:eastAsiaTheme="minorEastAsia" w:cstheme="minorEastAsia"/>
          <w:spacing w:val="-8"/>
          <w:sz w:val="24"/>
          <w:highlight w:val="none"/>
        </w:rPr>
        <w:t xml:space="preserve">五</w:t>
      </w:r>
      <w:r>
        <w:rPr>
          <w:rFonts w:hint="eastAsia" w:asciiTheme="minorEastAsia" w:hAnsiTheme="minorEastAsia" w:eastAsiaTheme="minorEastAsia" w:cstheme="minorEastAsia"/>
          <w:spacing w:val="-5"/>
          <w:sz w:val="24"/>
          <w:highlight w:val="none"/>
        </w:rPr>
        <w:t xml:space="preserve">年以上工作经验的工程师负责安装监督，并需在安装期内提交他们的工作报告。</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8.2  如因中标人原因在安装期间出现安全事故，应由</w:t>
      </w:r>
      <w:r>
        <w:rPr>
          <w:rFonts w:hint="eastAsia" w:asciiTheme="minorEastAsia" w:hAnsiTheme="minorEastAsia" w:eastAsiaTheme="minorEastAsia" w:cstheme="minorEastAsia"/>
          <w:sz w:val="24"/>
          <w:highlight w:val="none"/>
        </w:rPr>
        <w:t xml:space="preserve">中标人承担由此而引起的全部损</w:t>
      </w:r>
      <w:r>
        <w:rPr>
          <w:rFonts w:hint="eastAsia" w:asciiTheme="minorEastAsia" w:hAnsiTheme="minorEastAsia" w:eastAsiaTheme="minorEastAsia" w:cstheme="minorEastAsia"/>
          <w:spacing w:val="-13"/>
          <w:sz w:val="24"/>
          <w:highlight w:val="none"/>
        </w:rPr>
        <w:t xml:space="preserve">失</w:t>
      </w:r>
      <w:r>
        <w:rPr>
          <w:rFonts w:hint="eastAsia" w:asciiTheme="minorEastAsia" w:hAnsiTheme="minorEastAsia" w:eastAsiaTheme="minorEastAsia" w:cstheme="minorEastAsia"/>
          <w:spacing w:val="-12"/>
          <w:sz w:val="24"/>
          <w:highlight w:val="none"/>
        </w:rPr>
        <w:t xml:space="preserve">。</w:t>
      </w:r>
      <w:r/>
    </w:p>
    <w:p>
      <w:pPr>
        <w:ind w:firstLine="4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 xml:space="preserve">8.3</w:t>
      </w:r>
      <w:r>
        <w:rPr>
          <w:rFonts w:hint="eastAsia" w:asciiTheme="minorEastAsia" w:hAnsiTheme="minorEastAsia" w:eastAsiaTheme="minorEastAsia" w:cstheme="minorEastAsia"/>
          <w:spacing w:val="-3"/>
          <w:sz w:val="24"/>
          <w:highlight w:val="none"/>
        </w:rPr>
        <w:t xml:space="preserve">  认可</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设备安装须经有关部门取得</w:t>
      </w:r>
      <w:r>
        <w:rPr>
          <w:rFonts w:hint="eastAsia" w:asciiTheme="minorEastAsia" w:hAnsiTheme="minorEastAsia" w:eastAsiaTheme="minorEastAsia" w:cstheme="minorEastAsia"/>
          <w:spacing w:val="-1"/>
          <w:sz w:val="24"/>
          <w:highlight w:val="none"/>
        </w:rPr>
        <w:t xml:space="preserve">认可，中标人有责任提供相关的认可文件及证书。</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8.4 保</w:t>
      </w:r>
      <w:r>
        <w:rPr>
          <w:rFonts w:hint="eastAsia" w:asciiTheme="minorEastAsia" w:hAnsiTheme="minorEastAsia" w:eastAsiaTheme="minorEastAsia" w:cstheme="minorEastAsia"/>
          <w:spacing w:val="-1"/>
          <w:sz w:val="24"/>
          <w:highlight w:val="none"/>
        </w:rPr>
        <w:t xml:space="preserve">证设备在起吊、运输过程中的安全</w:t>
      </w:r>
      <w:r/>
    </w:p>
    <w:p>
      <w:pPr>
        <w:ind w:firstLine="41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6"/>
          <w:sz w:val="24"/>
          <w:highlight w:val="none"/>
        </w:rPr>
        <w:t xml:space="preserve">在</w:t>
      </w:r>
      <w:r>
        <w:rPr>
          <w:rFonts w:hint="eastAsia" w:asciiTheme="minorEastAsia" w:hAnsiTheme="minorEastAsia" w:eastAsiaTheme="minorEastAsia" w:cstheme="minorEastAsia"/>
          <w:spacing w:val="-15"/>
          <w:sz w:val="24"/>
          <w:highlight w:val="none"/>
        </w:rPr>
        <w:t xml:space="preserve">安</w:t>
      </w:r>
      <w:r>
        <w:rPr>
          <w:rFonts w:hint="eastAsia" w:asciiTheme="minorEastAsia" w:hAnsiTheme="minorEastAsia" w:eastAsiaTheme="minorEastAsia" w:cstheme="minorEastAsia"/>
          <w:spacing w:val="-8"/>
          <w:sz w:val="24"/>
          <w:highlight w:val="none"/>
        </w:rPr>
        <w:t xml:space="preserve">装期间，中标人负责安装中需要的起吊、运输所需辅助设备，所有这些设备都须符合</w:t>
      </w:r>
      <w:r>
        <w:rPr>
          <w:rFonts w:hint="eastAsia" w:asciiTheme="minorEastAsia" w:hAnsiTheme="minorEastAsia" w:eastAsiaTheme="minorEastAsia" w:cstheme="minorEastAsia"/>
          <w:spacing w:val="-6"/>
          <w:sz w:val="24"/>
          <w:highlight w:val="none"/>
        </w:rPr>
        <w:t xml:space="preserve">安全作业要求。</w:t>
      </w:r>
      <w:r/>
    </w:p>
    <w:p>
      <w:pPr>
        <w:ind w:firstLine="46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pacing w:val="-5"/>
          <w:sz w:val="24"/>
          <w:highlight w:val="none"/>
        </w:rPr>
        <w:t xml:space="preserve">9、验收</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9.1</w:t>
      </w:r>
      <w:r>
        <w:rPr>
          <w:rFonts w:hint="eastAsia" w:asciiTheme="minorEastAsia" w:hAnsiTheme="minorEastAsia" w:eastAsiaTheme="minorEastAsia" w:cstheme="minorEastAsia"/>
          <w:spacing w:val="-1"/>
          <w:sz w:val="24"/>
          <w:highlight w:val="none"/>
        </w:rPr>
        <w:t xml:space="preserve">  产品保护</w:t>
      </w:r>
      <w:r/>
    </w:p>
    <w:p>
      <w:pPr>
        <w:ind w:firstLine="41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6"/>
          <w:sz w:val="24"/>
          <w:highlight w:val="none"/>
        </w:rPr>
        <w:t xml:space="preserve">工程</w:t>
      </w:r>
      <w:r>
        <w:rPr>
          <w:rFonts w:hint="eastAsia" w:asciiTheme="minorEastAsia" w:hAnsiTheme="minorEastAsia" w:eastAsiaTheme="minorEastAsia" w:cstheme="minorEastAsia"/>
          <w:spacing w:val="-11"/>
          <w:sz w:val="24"/>
          <w:highlight w:val="none"/>
        </w:rPr>
        <w:t xml:space="preserve">完</w:t>
      </w:r>
      <w:r>
        <w:rPr>
          <w:rFonts w:hint="eastAsia" w:asciiTheme="minorEastAsia" w:hAnsiTheme="minorEastAsia" w:eastAsiaTheme="minorEastAsia" w:cstheme="minorEastAsia"/>
          <w:spacing w:val="-8"/>
          <w:sz w:val="24"/>
          <w:highlight w:val="none"/>
        </w:rPr>
        <w:t xml:space="preserve">成后，中标人须负责全部设备的保护和清洁工作，直至设备验收合格并正常运行</w:t>
      </w:r>
      <w:r>
        <w:rPr>
          <w:rFonts w:hint="eastAsia" w:asciiTheme="minorEastAsia" w:hAnsiTheme="minorEastAsia" w:eastAsiaTheme="minorEastAsia" w:cstheme="minorEastAsia"/>
          <w:spacing w:val="-2"/>
          <w:sz w:val="24"/>
          <w:highlight w:val="none"/>
        </w:rPr>
        <w:t xml:space="preserve">为止。在安装过程</w:t>
      </w:r>
      <w:r>
        <w:rPr>
          <w:rFonts w:hint="eastAsia" w:asciiTheme="minorEastAsia" w:hAnsiTheme="minorEastAsia" w:eastAsiaTheme="minorEastAsia" w:cstheme="minorEastAsia"/>
          <w:spacing w:val="-1"/>
          <w:sz w:val="24"/>
          <w:highlight w:val="none"/>
        </w:rPr>
        <w:t xml:space="preserve">中，如建筑结构或其他设备被损坏中标人将有责任修理或赔偿损失。</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w:t>
      </w:r>
      <w:r>
        <w:rPr>
          <w:rFonts w:hint="eastAsia" w:asciiTheme="minorEastAsia" w:hAnsiTheme="minorEastAsia" w:eastAsiaTheme="minorEastAsia" w:cstheme="minorEastAsia"/>
          <w:spacing w:val="-1"/>
          <w:sz w:val="24"/>
          <w:highlight w:val="none"/>
        </w:rPr>
        <w:t xml:space="preserve">2  验收合格条件</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9.2.1 运行结果符合产品标准和技术规</w:t>
      </w:r>
      <w:r>
        <w:rPr>
          <w:rFonts w:hint="eastAsia" w:asciiTheme="minorEastAsia" w:hAnsiTheme="minorEastAsia" w:eastAsiaTheme="minorEastAsia" w:cstheme="minorEastAsia"/>
          <w:spacing w:val="-1"/>
          <w:sz w:val="24"/>
          <w:highlight w:val="none"/>
        </w:rPr>
        <w:t xml:space="preserve">格书及合同要求。</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9.2.2 在进行测</w:t>
      </w:r>
      <w:r>
        <w:rPr>
          <w:rFonts w:hint="eastAsia" w:asciiTheme="minorEastAsia" w:hAnsiTheme="minorEastAsia" w:eastAsiaTheme="minorEastAsia" w:cstheme="minorEastAsia"/>
          <w:spacing w:val="-1"/>
          <w:sz w:val="24"/>
          <w:highlight w:val="none"/>
        </w:rPr>
        <w:t xml:space="preserve">试和验收运行过程中发生的故障已被消除并得到采购人的认可。</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9.2.3 所有合同中规定的货物和材料都已提交</w:t>
      </w:r>
      <w:r>
        <w:rPr>
          <w:rFonts w:hint="eastAsia" w:asciiTheme="minorEastAsia" w:hAnsiTheme="minorEastAsia" w:eastAsiaTheme="minorEastAsia" w:cstheme="minorEastAsia"/>
          <w:spacing w:val="-1"/>
          <w:sz w:val="24"/>
          <w:highlight w:val="none"/>
        </w:rPr>
        <w:t xml:space="preserve">。</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9.2.4 设备在交由采购人使</w:t>
      </w:r>
      <w:r>
        <w:rPr>
          <w:rFonts w:hint="eastAsia" w:asciiTheme="minorEastAsia" w:hAnsiTheme="minorEastAsia" w:eastAsiaTheme="minorEastAsia" w:cstheme="minorEastAsia"/>
          <w:sz w:val="24"/>
          <w:highlight w:val="none"/>
        </w:rPr>
        <w:t xml:space="preserve">用之前已通过质量技术监督管理部门的验收，并得到使用证</w:t>
      </w:r>
      <w:r>
        <w:rPr>
          <w:rFonts w:hint="eastAsia" w:asciiTheme="minorEastAsia" w:hAnsiTheme="minorEastAsia" w:eastAsiaTheme="minorEastAsia" w:cstheme="minorEastAsia"/>
          <w:spacing w:val="-13"/>
          <w:sz w:val="24"/>
          <w:highlight w:val="none"/>
        </w:rPr>
        <w:t xml:space="preserve">书</w:t>
      </w:r>
      <w:r>
        <w:rPr>
          <w:rFonts w:hint="eastAsia" w:asciiTheme="minorEastAsia" w:hAnsiTheme="minorEastAsia" w:eastAsiaTheme="minorEastAsia" w:cstheme="minorEastAsia"/>
          <w:spacing w:val="-12"/>
          <w:sz w:val="24"/>
          <w:highlight w:val="none"/>
        </w:rPr>
        <w:t xml:space="preserve">。</w:t>
      </w:r>
      <w:r/>
    </w:p>
    <w:p>
      <w:pPr>
        <w:ind w:firstLine="42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pacing w:val="-15"/>
          <w:sz w:val="24"/>
          <w:highlight w:val="none"/>
        </w:rPr>
        <w:t xml:space="preserve">10、售后服务</w:t>
      </w:r>
      <w:r/>
    </w:p>
    <w:p>
      <w:pPr>
        <w:ind w:firstLine="47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2"/>
          <w:sz w:val="24"/>
          <w:highlight w:val="none"/>
        </w:rPr>
        <w:t xml:space="preserve">工程实施过程中，</w:t>
      </w:r>
      <w:r>
        <w:rPr>
          <w:rFonts w:hint="eastAsia" w:asciiTheme="minorEastAsia" w:hAnsiTheme="minorEastAsia" w:eastAsiaTheme="minorEastAsia" w:cstheme="minorEastAsia"/>
          <w:spacing w:val="-1"/>
          <w:sz w:val="24"/>
          <w:highlight w:val="none"/>
        </w:rPr>
        <w:t xml:space="preserve">投标单位按照投标文件承诺，提供完备的服务体系及配套的管理制度、</w:t>
      </w:r>
      <w:r>
        <w:rPr>
          <w:rFonts w:hint="eastAsia" w:asciiTheme="minorEastAsia" w:hAnsiTheme="minorEastAsia" w:eastAsiaTheme="minorEastAsia" w:cstheme="minorEastAsia"/>
          <w:spacing w:val="-2"/>
          <w:sz w:val="24"/>
          <w:highlight w:val="none"/>
        </w:rPr>
        <w:t xml:space="preserve">技术力量配备</w:t>
      </w:r>
      <w:r>
        <w:rPr>
          <w:rFonts w:hint="eastAsia" w:asciiTheme="minorEastAsia" w:hAnsiTheme="minorEastAsia" w:eastAsiaTheme="minorEastAsia" w:cstheme="minorEastAsia"/>
          <w:spacing w:val="-1"/>
          <w:sz w:val="24"/>
          <w:highlight w:val="none"/>
        </w:rPr>
        <w:t xml:space="preserve">等。</w:t>
      </w:r>
      <w:r/>
    </w:p>
    <w:p>
      <w:pPr>
        <w:ind w:firstLine="480"/>
        <w:spacing w:line="360" w:lineRule="auto"/>
        <w:rPr>
          <w:rFonts w:hint="eastAsia" w:asciiTheme="minorEastAsia" w:hAnsiTheme="minorEastAsia" w:eastAsiaTheme="minorEastAsia" w:cstheme="minorEastAsia"/>
          <w:spacing w:val="-2"/>
          <w:sz w:val="24"/>
          <w:highlight w:val="none"/>
        </w:rPr>
      </w:pPr>
      <w:r>
        <w:rPr>
          <w:rFonts w:hint="eastAsia" w:asciiTheme="minorEastAsia" w:hAnsiTheme="minorEastAsia" w:eastAsiaTheme="minorEastAsia" w:cstheme="minorEastAsia"/>
          <w:sz w:val="24"/>
          <w:highlight w:val="none"/>
        </w:rPr>
        <w:t xml:space="preserve">售后服务响应：</w:t>
      </w:r>
      <w:r>
        <w:rPr>
          <w:rFonts w:hint="eastAsia" w:asciiTheme="minorEastAsia" w:hAnsiTheme="minorEastAsia" w:eastAsiaTheme="minorEastAsia" w:cstheme="minorEastAsia"/>
          <w:spacing w:val="-2"/>
          <w:sz w:val="24"/>
          <w:highlight w:val="none"/>
        </w:rPr>
        <w:t xml:space="preserve">如电梯发生重大零配件需要更换，原则上中标人须在24小时内提供配件并及时更换。中标人可以处理所有的维修服务，且需提供24小时服务，维修人员需在接到维修电话后按照投标文件中承诺的时间赶到现场，提供不间断的服务直到结束。</w:t>
      </w:r>
      <w:r/>
    </w:p>
    <w:p>
      <w:pPr>
        <w:ind w:firstLine="476"/>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 xml:space="preserve">中标人</w:t>
      </w:r>
      <w:r>
        <w:rPr>
          <w:rFonts w:hint="eastAsia" w:asciiTheme="minorEastAsia" w:hAnsiTheme="minorEastAsia" w:eastAsiaTheme="minorEastAsia" w:cstheme="minorEastAsia"/>
          <w:sz w:val="24"/>
          <w:highlight w:val="none"/>
        </w:rPr>
        <w:t xml:space="preserve">须对合同中规定的整套电梯设备提供投标文件承诺的缺陷责任期的免费维</w:t>
      </w:r>
      <w:r>
        <w:rPr>
          <w:rFonts w:hint="eastAsia" w:asciiTheme="minorEastAsia" w:hAnsiTheme="minorEastAsia" w:eastAsiaTheme="minorEastAsia" w:cstheme="minorEastAsia"/>
          <w:spacing w:val="-10"/>
          <w:sz w:val="24"/>
          <w:highlight w:val="none"/>
        </w:rPr>
        <w:t xml:space="preserve">修和</w:t>
      </w:r>
      <w:r>
        <w:rPr>
          <w:rFonts w:hint="eastAsia" w:asciiTheme="minorEastAsia" w:hAnsiTheme="minorEastAsia" w:eastAsiaTheme="minorEastAsia" w:cstheme="minorEastAsia"/>
          <w:spacing w:val="-8"/>
          <w:sz w:val="24"/>
          <w:highlight w:val="none"/>
        </w:rPr>
        <w:t xml:space="preserve">保</w:t>
      </w:r>
      <w:r>
        <w:rPr>
          <w:rFonts w:hint="eastAsia" w:asciiTheme="minorEastAsia" w:hAnsiTheme="minorEastAsia" w:eastAsiaTheme="minorEastAsia" w:cstheme="minorEastAsia"/>
          <w:spacing w:val="-5"/>
          <w:sz w:val="24"/>
          <w:highlight w:val="none"/>
        </w:rPr>
        <w:t xml:space="preserve">养，时间以通过政府部门验收合格之日算起。</w:t>
      </w:r>
      <w:r/>
    </w:p>
    <w:p>
      <w:pPr>
        <w:ind w:firstLine="4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 xml:space="preserve">在质保期内的工作应包括对所有电梯常规检查、调整和润滑。</w:t>
      </w:r>
      <w:r/>
    </w:p>
    <w:p>
      <w:pPr>
        <w:ind w:firstLine="4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 xml:space="preserve">在质保期内中标人须自行付费，负责修理和替换任何由于设备自身的质量问题造</w:t>
      </w:r>
      <w:r>
        <w:rPr>
          <w:rFonts w:hint="eastAsia" w:asciiTheme="minorEastAsia" w:hAnsiTheme="minorEastAsia" w:eastAsiaTheme="minorEastAsia" w:cstheme="minorEastAsia"/>
          <w:spacing w:val="-6"/>
          <w:sz w:val="24"/>
          <w:highlight w:val="none"/>
        </w:rPr>
        <w:t xml:space="preserve">成</w:t>
      </w:r>
      <w:r>
        <w:rPr>
          <w:rFonts w:hint="eastAsia" w:asciiTheme="minorEastAsia" w:hAnsiTheme="minorEastAsia" w:eastAsiaTheme="minorEastAsia" w:cstheme="minorEastAsia"/>
          <w:spacing w:val="-5"/>
          <w:sz w:val="24"/>
          <w:highlight w:val="none"/>
        </w:rPr>
        <w:t xml:space="preserve">的损坏及故障。</w:t>
      </w:r>
      <w:r/>
    </w:p>
    <w:p>
      <w:pPr>
        <w:ind w:firstLine="448"/>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8"/>
          <w:sz w:val="24"/>
          <w:highlight w:val="none"/>
        </w:rPr>
        <w:t xml:space="preserve">在保修结束时，须由专业工程师对电梯进行另一次测试，任何故障须由中标人自</w:t>
      </w:r>
      <w:r>
        <w:rPr>
          <w:rFonts w:hint="eastAsia" w:asciiTheme="minorEastAsia" w:hAnsiTheme="minorEastAsia" w:eastAsiaTheme="minorEastAsia" w:cstheme="minorEastAsia"/>
          <w:spacing w:val="-1"/>
          <w:sz w:val="24"/>
          <w:highlight w:val="none"/>
        </w:rPr>
        <w:t xml:space="preserve">费</w:t>
      </w:r>
      <w:r>
        <w:rPr>
          <w:rFonts w:hint="eastAsia" w:asciiTheme="minorEastAsia" w:hAnsiTheme="minorEastAsia" w:eastAsiaTheme="minorEastAsia" w:cstheme="minorEastAsia"/>
          <w:spacing w:val="-6"/>
          <w:sz w:val="24"/>
          <w:highlight w:val="none"/>
        </w:rPr>
        <w:t xml:space="preserve">解</w:t>
      </w:r>
      <w:r>
        <w:rPr>
          <w:rFonts w:hint="eastAsia" w:asciiTheme="minorEastAsia" w:hAnsiTheme="minorEastAsia" w:eastAsiaTheme="minorEastAsia" w:cstheme="minorEastAsia"/>
          <w:spacing w:val="-4"/>
          <w:sz w:val="24"/>
          <w:highlight w:val="none"/>
        </w:rPr>
        <w:t xml:space="preserve">决</w:t>
      </w:r>
      <w:r>
        <w:rPr>
          <w:rFonts w:hint="eastAsia" w:asciiTheme="minorEastAsia" w:hAnsiTheme="minorEastAsia" w:eastAsiaTheme="minorEastAsia" w:cstheme="minorEastAsia"/>
          <w:spacing w:val="-3"/>
          <w:sz w:val="24"/>
          <w:highlight w:val="none"/>
        </w:rPr>
        <w:t xml:space="preserve">并取得采购人的同意。</w:t>
      </w:r>
      <w:r/>
    </w:p>
    <w:p>
      <w:pPr>
        <w:ind w:firstLine="43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pacing w:val="-12"/>
          <w:sz w:val="24"/>
          <w:highlight w:val="none"/>
        </w:rPr>
        <w:t xml:space="preserve">修好后，中标人需将报告给采购人，包括故障原因，解决措施，完成修理所需</w:t>
      </w:r>
      <w:r>
        <w:rPr>
          <w:rFonts w:hint="eastAsia" w:asciiTheme="minorEastAsia" w:hAnsiTheme="minorEastAsia" w:eastAsiaTheme="minorEastAsia" w:cstheme="minorEastAsia"/>
          <w:spacing w:val="-6"/>
          <w:sz w:val="24"/>
          <w:highlight w:val="none"/>
        </w:rPr>
        <w:t xml:space="preserve">时</w:t>
      </w:r>
      <w:r>
        <w:rPr>
          <w:rFonts w:hint="eastAsia" w:asciiTheme="minorEastAsia" w:hAnsiTheme="minorEastAsia" w:eastAsiaTheme="minorEastAsia" w:cstheme="minorEastAsia"/>
          <w:spacing w:val="-3"/>
          <w:sz w:val="24"/>
          <w:highlight w:val="none"/>
        </w:rPr>
        <w:t xml:space="preserve">间及恢复正常运行日期。</w:t>
      </w:r>
      <w:r/>
    </w:p>
    <w:p>
      <w:pPr>
        <w:ind w:firstLine="422"/>
        <w:spacing w:line="360" w:lineRule="auto"/>
        <w:rPr>
          <w:rFonts w:hint="eastAsia" w:asciiTheme="minorEastAsia" w:hAnsiTheme="minorEastAsia" w:eastAsiaTheme="minorEastAsia" w:cstheme="minorEastAsia"/>
          <w:b/>
          <w:bCs/>
          <w:spacing w:val="-15"/>
          <w:sz w:val="24"/>
          <w:highlight w:val="none"/>
        </w:rPr>
      </w:pPr>
      <w:r>
        <w:rPr>
          <w:rFonts w:hint="eastAsia" w:asciiTheme="minorEastAsia" w:hAnsiTheme="minorEastAsia" w:eastAsiaTheme="minorEastAsia" w:cstheme="minorEastAsia"/>
          <w:b/>
          <w:bCs/>
          <w:spacing w:val="-15"/>
          <w:sz w:val="24"/>
          <w:highlight w:val="none"/>
        </w:rPr>
        <w:t xml:space="preserve">11、其他说明</w:t>
      </w:r>
      <w:r/>
    </w:p>
    <w:p>
      <w:pPr>
        <w:numPr>
          <w:ilvl w:val="255"/>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11.1本项目工作内容包含旧电梯拆除，拆除废料抵扣拆除费用，采购人不另行支付拆除费用。</w:t>
      </w:r>
      <w:r/>
    </w:p>
    <w:p>
      <w:pPr>
        <w:numPr>
          <w:ilvl w:val="255"/>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highlight w:val="none"/>
        </w:rPr>
        <w:t xml:space="preserve">11.2报价采用总承包方式，本项目固定总价。</w:t>
      </w:r>
      <w:r>
        <w:rPr>
          <w:rFonts w:hint="eastAsia" w:asciiTheme="minorEastAsia" w:hAnsiTheme="minorEastAsia" w:eastAsiaTheme="minorEastAsia" w:cstheme="minorEastAsia"/>
          <w:bCs/>
          <w:sz w:val="24"/>
          <w:szCs w:val="24"/>
          <w:highlight w:val="none"/>
        </w:rPr>
        <w:t xml:space="preserve">投标人的报价应包括但不限于所投产品及其配件的采购、装饰、运输、安装、调试、监检、电梯防护、照明、井道改造（机房土建整改、机房爬梯改造、井道改造（支架）、电梯小门套修复、外招孔洞修复）费用等，直至领取到《特种设备使用标志》交付采购人使用，以及免保期2年内的维修、保养等一切有关的为完成本项目发生的所有费用，招标文件中另有规定的除外。</w:t>
      </w:r>
      <w:r/>
    </w:p>
    <w:p>
      <w:pPr>
        <w:numPr>
          <w:ilvl w:val="255"/>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11.3通过中国海关报关验放进入中国境内且产自中国境外的产品不在本项目的报价范围。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11.4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Cs/>
          <w:sz w:val="24"/>
          <w:szCs w:val="24"/>
          <w:highlight w:val="none"/>
        </w:rPr>
        <w:t xml:space="preserve">11.5</w:t>
      </w:r>
      <w:r>
        <w:rPr>
          <w:rFonts w:hint="eastAsia" w:asciiTheme="minorEastAsia" w:hAnsiTheme="minorEastAsia" w:eastAsiaTheme="minorEastAsia" w:cstheme="minorEastAsia"/>
          <w:b/>
          <w:bCs/>
          <w:sz w:val="24"/>
          <w:highlight w:val="none"/>
        </w:rPr>
        <w:t xml:space="preserve">供货期</w:t>
      </w:r>
      <w:r>
        <w:rPr>
          <w:rStyle w:val="1036"/>
          <w:rFonts w:hint="eastAsia" w:asciiTheme="minorEastAsia" w:hAnsiTheme="minorEastAsia" w:eastAsiaTheme="minorEastAsia" w:cstheme="minorEastAsia"/>
          <w:b/>
          <w:bCs/>
          <w:sz w:val="24"/>
          <w:highlight w:val="none"/>
        </w:rPr>
        <w:t xml:space="preserve">：每批次工期为120日历天，（以现场符合施工条件为准，每批次供货60天，安装60天），每批次计划开工日期以采购人开工令为准。</w:t>
      </w:r>
      <w:r/>
    </w:p>
    <w:p>
      <w:pPr>
        <w:numPr>
          <w:ilvl w:val="255"/>
          <w:numId w:val="0"/>
        </w:numPr>
        <w:ind w:firstLine="480"/>
        <w:spacing w:line="360" w:lineRule="auto"/>
        <w:tabs>
          <w:tab w:val="left" w:pos="525" w:leader="none"/>
          <w:tab w:val="left" w:pos="630" w:leader="none"/>
          <w:tab w:val="left" w:pos="735" w:leader="none"/>
          <w:tab w:val="left" w:pos="945" w:leader="none"/>
        </w:tabs>
        <w:rPr>
          <w:rStyle w:val="1036"/>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11.6质保期：本工程要求整套电梯设备的质保期</w:t>
      </w:r>
      <w:r>
        <w:rPr>
          <w:rStyle w:val="1036"/>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自江苏省特种设备安全监督检验研究院无锡分院对电梯验收合格之日起5年。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11.7免保期：本工程要求整套电梯设备的免保期</w:t>
      </w:r>
      <w:r>
        <w:rPr>
          <w:rStyle w:val="1036"/>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自江苏省特种设备安全监督检验研究院无锡分院对电梯验收合格之日起2年。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11.8付款方式：</w:t>
      </w:r>
      <w:r>
        <w:rPr>
          <w:rStyle w:val="1036"/>
          <w:rFonts w:hint="eastAsia" w:asciiTheme="minorEastAsia" w:hAnsiTheme="minorEastAsia" w:eastAsiaTheme="minorEastAsia" w:cstheme="minorEastAsia"/>
          <w:b/>
          <w:sz w:val="24"/>
          <w:highlight w:val="none"/>
        </w:rPr>
        <w:t xml:space="preserve">按批供货、按批付款。合同签订后、通知供货前，采购人支付该批次供货电梯价款的30%作为预付款；货到现场，采购人向中标方支付该批次供货电梯价款的40%；电梯安装结束并调试完毕，经采购人验收通过、江苏省特种设备安全监督检验研究院无锡分院验收合格后30天内向中标方支付该批次供货电梯价款的10%；经结算审计结束后，支付至该批次供货电梯审定价的97%；</w:t>
      </w:r>
      <w:r>
        <w:rPr>
          <w:rStyle w:val="1036"/>
          <w:rFonts w:hint="eastAsia" w:asciiTheme="minorEastAsia" w:hAnsiTheme="minorEastAsia" w:eastAsiaTheme="minorEastAsia" w:cstheme="minorEastAsia"/>
          <w:b/>
          <w:sz w:val="24"/>
          <w:highlight w:val="none"/>
          <w:lang w:val="en-US" w:eastAsia="zh-CN"/>
        </w:rPr>
        <w:t xml:space="preserve">2年</w:t>
      </w:r>
      <w:r>
        <w:rPr>
          <w:rStyle w:val="1036"/>
          <w:rFonts w:hint="eastAsia" w:asciiTheme="minorEastAsia" w:hAnsiTheme="minorEastAsia" w:eastAsiaTheme="minorEastAsia" w:cstheme="minorEastAsia"/>
          <w:b/>
          <w:sz w:val="24"/>
          <w:highlight w:val="none"/>
        </w:rPr>
        <w:t xml:space="preserve">质保期满后付清该批次余款。</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11.9本项目合同履行地点：无锡，具体地点以合同书约定为准。中标方必须按采购人要求将本项目中货物送到指定地点（包括可能的分布范围），并分地实施安装调试。</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11.10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heme="minorEastAsia" w:hAnsiTheme="minorEastAsia" w:eastAsiaTheme="minorEastAsia" w:cstheme="minorEastAsia"/>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highlight w:val="none"/>
        </w:rPr>
        <w:t xml:space="preserve">11.11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11.12依据《政府采购促进中小企业发展管理办法》规定享受扶持政策获得政府采购合同的，小微企业不得将合同分包给大中型企业，中型企业不得将合同分包给大型企业。</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11.13开标后，投标供应商须自行准备设备（包括但不限于笔记本电脑、无线网络）登录</w:t>
      </w:r>
      <w:r>
        <w:rPr>
          <w:rFonts w:hint="eastAsia" w:asciiTheme="minorEastAsia" w:hAnsiTheme="minorEastAsia" w:eastAsiaTheme="minorEastAsia" w:cstheme="minorEastAsia"/>
          <w:bCs/>
          <w:sz w:val="24"/>
          <w:szCs w:val="24"/>
          <w:highlight w:val="none"/>
        </w:rPr>
        <w:t xml:space="preserve">“苏采云”系统</w:t>
      </w:r>
      <w:r>
        <w:rPr>
          <w:rFonts w:hint="eastAsia" w:asciiTheme="minorEastAsia" w:hAnsiTheme="minorEastAsia" w:eastAsiaTheme="minorEastAsia" w:cstheme="minorEastAsia"/>
          <w:bCs/>
          <w:sz w:val="24"/>
          <w:highlight w:val="none"/>
        </w:rPr>
        <w:t xml:space="preserve">，按招标文件规定时间解密后，在评标过程中保持在线，等待评标委员会的询标和评标结果，中途不得离开。如未按要求应答，由此所产生的损失及风险由投标供应商自行承担。</w:t>
      </w:r>
      <w:r/>
    </w:p>
    <w:p>
      <w:pPr>
        <w:numPr>
          <w:ilvl w:val="255"/>
          <w:numId w:val="0"/>
        </w:numPr>
        <w:ind w:firstLine="480"/>
        <w:spacing w:line="360" w:lineRule="auto"/>
        <w:tabs>
          <w:tab w:val="left" w:pos="525" w:leader="none"/>
          <w:tab w:val="left" w:pos="630" w:leader="none"/>
          <w:tab w:val="left" w:pos="735" w:leader="none"/>
          <w:tab w:val="left" w:pos="945" w:leader="none"/>
        </w:tabs>
        <w:rPr>
          <w:rStyle w:val="1036"/>
          <w:rFonts w:hint="eastAsia" w:asciiTheme="minorEastAsia" w:hAnsiTheme="minorEastAsia" w:eastAsiaTheme="minorEastAsia" w:cstheme="minorEastAsia"/>
          <w:sz w:val="24"/>
          <w:highlight w:val="none"/>
        </w:rPr>
      </w:pPr>
      <w:r>
        <w:rPr>
          <w:rStyle w:val="1036"/>
          <w:rFonts w:hint="eastAsia" w:asciiTheme="minorEastAsia" w:hAnsiTheme="minorEastAsia" w:eastAsiaTheme="minorEastAsia" w:cstheme="minorEastAsia"/>
          <w:sz w:val="24"/>
          <w:highlight w:val="none"/>
        </w:rPr>
        <w:t xml:space="preserve">11.14履约保证金：详见合同条款。</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sz w:val="36"/>
          <w:szCs w:val="36"/>
          <w:highlight w:val="none"/>
        </w:rPr>
      </w:pPr>
      <w:r>
        <w:rPr>
          <w:rStyle w:val="1036"/>
          <w:rFonts w:hint="eastAsia" w:asciiTheme="minorEastAsia" w:hAnsiTheme="minorEastAsia" w:eastAsiaTheme="minorEastAsia" w:cstheme="minorEastAsia"/>
          <w:sz w:val="24"/>
          <w:highlight w:val="none"/>
        </w:rPr>
        <w:t xml:space="preserve">11.15投标供应商必须在满足招标文件要求的基础上进行报价，不可以出现技术负偏离。技术正偏离在偏离表中说明。</w:t>
      </w:r>
      <w:r>
        <w:rPr>
          <w:rFonts w:hint="eastAsia" w:asciiTheme="minorEastAsia" w:hAnsiTheme="minorEastAsia" w:eastAsiaTheme="minorEastAsia" w:cstheme="minorEastAsia"/>
          <w:bCs/>
          <w:sz w:val="24"/>
          <w:highlight w:val="none"/>
        </w:rPr>
        <w:t xml:space="preserve">需求中涉及量化指标区间范围的，首个数字为该项最低标准，须完全满足，未满足的视为负偏离。</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w:t>
      </w:r>
      <w:r>
        <w:rPr>
          <w:rFonts w:ascii="宋体" w:hAnsi="宋体" w:eastAsia="宋体" w:cs="宋体"/>
          <w:b/>
          <w:bCs/>
          <w:sz w:val="24"/>
          <w:szCs w:val="24"/>
          <w:lang w:val="zh-CN"/>
        </w:rPr>
        <w:t xml:space="preserve">本采购需求中涉及量化指标区间的，</w:t>
      </w:r>
      <w:r>
        <w:rPr>
          <w:rFonts w:ascii="宋体" w:hAnsi="宋体" w:eastAsia="宋体" w:cs="宋体"/>
          <w:sz w:val="24"/>
          <w:szCs w:val="24"/>
          <w:lang w:val="zh-CN"/>
        </w:rPr>
        <w:t xml:space="preserve">区间首个数值为最低强制性标准，投标人须全部满足，未达标准视为负偏离</w:t>
      </w:r>
      <w:r>
        <w:rPr>
          <w:rFonts w:hint="eastAsia" w:ascii="宋体" w:hAnsi="宋体" w:eastAsia="宋体" w:cs="宋体"/>
          <w:b/>
          <w:bCs/>
          <w:sz w:val="24"/>
          <w:szCs w:val="24"/>
          <w:lang w:val="zh-CN"/>
        </w:rPr>
        <w:t xml:space="preserve">。</w:t>
      </w:r>
      <w:r/>
    </w:p>
    <w:p>
      <w:pPr>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本项目收取履约保证金，</w:t>
      </w:r>
      <w:r>
        <w:rPr>
          <w:rFonts w:hint="eastAsia" w:ascii="宋体" w:hAnsi="宋体" w:eastAsia="宋体" w:cs="宋体"/>
          <w:b/>
          <w:bCs/>
          <w:sz w:val="24"/>
          <w:szCs w:val="24"/>
        </w:rPr>
        <w:t xml:space="preserve">详见合同条款</w:t>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17"/>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bookmarkStart w:id="23" w:name="_Toc3995"/>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101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1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17"/>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1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017"/>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037"/>
        <w:jc w:val="center"/>
        <w:spacing w:line="400" w:lineRule="exact"/>
        <w:rPr>
          <w:rFonts w:hint="eastAsia" w:ascii="黑体" w:hAnsi="华文中宋" w:eastAsia="黑体"/>
          <w:b w:val="0"/>
          <w:bCs w:val="0"/>
          <w:color w:val="000000"/>
          <w:sz w:val="28"/>
          <w:szCs w:val="28"/>
        </w:rPr>
      </w:pPr>
      <w:r/>
      <w:bookmarkStart w:id="24" w:name="_Toc22209"/>
      <w:r/>
      <w:bookmarkStart w:id="25"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4"/>
      <w:r/>
      <w:r/>
    </w:p>
    <w:p>
      <w:pPr>
        <w:pStyle w:val="1037"/>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bookmarkEnd w:id="25"/>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甲方（全称）：</w:t>
      </w:r>
      <w:r>
        <w:rPr>
          <w:rFonts w:hint="eastAsia" w:asciiTheme="minorEastAsia" w:hAnsiTheme="minorEastAsia" w:eastAsiaTheme="minorEastAsia" w:cstheme="minorEastAsia"/>
          <w:color w:val="000000"/>
          <w:szCs w:val="21"/>
          <w:u w:val="single"/>
          <w:lang w:val="en-US" w:eastAsia="zh-CN"/>
        </w:rPr>
        <w:t xml:space="preserve">无锡市锡山区人民政府东亭街道办事处</w:t>
      </w:r>
      <w:r>
        <w:rPr>
          <w:rFonts w:hint="eastAsia" w:asciiTheme="minorEastAsia" w:hAnsiTheme="minorEastAsia" w:eastAsiaTheme="minorEastAsia" w:cstheme="minorEastAsia"/>
          <w:color w:val="000000"/>
          <w:szCs w:val="21"/>
        </w:rPr>
        <w:t xml:space="preserve">（采购人</w:t>
      </w:r>
      <w:r>
        <w:rPr>
          <w:rFonts w:hint="eastAsia" w:asciiTheme="minorEastAsia" w:hAnsiTheme="minorEastAsia" w:eastAsiaTheme="minorEastAsia" w:cstheme="minorEastAsia"/>
          <w:color w:val="000000"/>
          <w:szCs w:val="21"/>
          <w:lang w:eastAsia="zh-CN"/>
        </w:rPr>
        <w:t xml:space="preserve">、受采购人委托签订合同的单位</w:t>
      </w:r>
      <w:r>
        <w:rPr>
          <w:rFonts w:hint="eastAsia" w:asciiTheme="minorEastAsia" w:hAnsiTheme="minorEastAsia" w:eastAsiaTheme="minorEastAsia" w:cstheme="minorEastAsia"/>
          <w:color w:val="000000"/>
          <w:szCs w:val="21"/>
        </w:rPr>
        <w:t xml:space="preserve">或采购文件约定的合同甲方）</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w:t>
      </w:r>
      <w:r>
        <w:rPr>
          <w:rFonts w:hint="eastAsia" w:asciiTheme="minorEastAsia" w:hAnsiTheme="minorEastAsia" w:eastAsiaTheme="minorEastAsia" w:cstheme="minorEastAsia"/>
          <w:color w:val="000000"/>
          <w:szCs w:val="21"/>
          <w:lang w:val="en-US" w:eastAsia="zh-CN"/>
        </w:rPr>
        <w:t xml:space="preserve">1</w:t>
      </w:r>
      <w:r>
        <w:rPr>
          <w:rFonts w:hint="eastAsia" w:asciiTheme="minorEastAsia" w:hAnsiTheme="minorEastAsia" w:eastAsiaTheme="minorEastAsia" w:cstheme="minorEastAsia"/>
          <w:color w:val="000000"/>
          <w:szCs w:val="21"/>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u w:val="single"/>
          <w:lang w:val="en-US" w:eastAsia="zh-CN"/>
        </w:rPr>
        <w:t xml:space="preserve">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（供应商）</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乙方2（全称）：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u w:val="single"/>
          <w:lang w:val="en-US" w:eastAsia="zh-CN"/>
        </w:rPr>
        <w:t xml:space="preserve">/</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lang w:eastAsia="zh-CN"/>
        </w:rPr>
        <w:t xml:space="preserve">乙方</w:t>
      </w:r>
      <w:r>
        <w:rPr>
          <w:rFonts w:hint="eastAsia" w:asciiTheme="minorEastAsia" w:hAnsiTheme="minorEastAsia" w:eastAsiaTheme="minorEastAsia" w:cstheme="minorEastAsia"/>
          <w:color w:val="000000"/>
          <w:szCs w:val="21"/>
          <w:lang w:val="en-US" w:eastAsia="zh-CN"/>
        </w:rPr>
        <w:t xml:space="preserve">3</w:t>
      </w:r>
      <w:r>
        <w:rPr>
          <w:rFonts w:hint="eastAsia" w:asciiTheme="minorEastAsia" w:hAnsiTheme="minorEastAsia" w:eastAsiaTheme="minorEastAsia" w:cstheme="minorEastAsia"/>
          <w:color w:val="000000"/>
          <w:lang w:val="en-US" w:eastAsia="zh-CN"/>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u w:val="single"/>
          <w:lang w:val="en-US" w:eastAsia="zh-CN"/>
        </w:rPr>
        <w:t xml:space="preserve">/</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line="400" w:lineRule="exact"/>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r>
      <w:r/>
    </w:p>
    <w:p>
      <w:pPr>
        <w:ind w:left="0" w:firstLine="420"/>
        <w:jc w:val="both"/>
        <w:spacing w:before="0" w:after="0"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依据《中华人民共和国民法典》《中华人民共和国政府采购法》等有关的法律法规，以及</w:t>
      </w:r>
      <w:r>
        <w:rPr>
          <w:rFonts w:hint="eastAsia" w:asciiTheme="minorEastAsia" w:hAnsiTheme="minorEastAsia" w:eastAsiaTheme="minorEastAsia" w:cstheme="minorEastAsia"/>
          <w:i w:val="0"/>
          <w:iCs w:val="0"/>
          <w:color w:val="000000"/>
          <w:sz w:val="21"/>
          <w:szCs w:val="21"/>
          <w:u w:val="none"/>
          <w:lang w:eastAsia="zh-CN"/>
        </w:rPr>
        <w:t xml:space="preserve">本采购项目</w:t>
      </w:r>
      <w:r>
        <w:rPr>
          <w:rFonts w:hint="eastAsia" w:asciiTheme="minorEastAsia" w:hAnsiTheme="minorEastAsia" w:eastAsiaTheme="minorEastAsia" w:cstheme="minorEastAsia"/>
          <w:color w:val="000000"/>
          <w:sz w:val="21"/>
          <w:szCs w:val="21"/>
          <w:lang w:eastAsia="zh-CN"/>
        </w:rPr>
        <w:t xml:space="preserve">的招标</w:t>
      </w:r>
      <w:r>
        <w:rPr>
          <w:rFonts w:hint="eastAsia" w:asciiTheme="minorEastAsia" w:hAnsiTheme="minorEastAsia" w:eastAsiaTheme="minorEastAsia" w:cstheme="minorEastAsia"/>
          <w:color w:val="000000"/>
          <w:sz w:val="21"/>
          <w:szCs w:val="21"/>
          <w:lang w:val="en-US" w:eastAsia="zh-CN"/>
        </w:rPr>
        <w:t xml:space="preserve">/谈判</w:t>
      </w:r>
      <w:r>
        <w:rPr>
          <w:rFonts w:hint="eastAsia" w:asciiTheme="minorEastAsia" w:hAnsiTheme="minorEastAsia" w:eastAsiaTheme="minorEastAsia" w:cstheme="minorEastAsia"/>
          <w:color w:val="000000"/>
          <w:sz w:val="21"/>
          <w:szCs w:val="21"/>
          <w:lang w:eastAsia="zh-CN"/>
        </w:rPr>
        <w:t xml:space="preserve">文件等采购文件、乙方的《投标（响应）文件》及《中标（成交）通知书》，甲乙双方同意签订本合同。具体情况及要求如下：     </w:t>
      </w:r>
      <w:r/>
    </w:p>
    <w:p>
      <w:pPr>
        <w:numPr>
          <w:ilvl w:val="0"/>
          <w:numId w:val="21"/>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项目信息</w:t>
      </w:r>
      <w:r/>
    </w:p>
    <w:p>
      <w:pPr>
        <w:ind w:firstLine="480"/>
        <w:spacing w:line="400" w:lineRule="exact"/>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4"/>
          <w:szCs w:val="24"/>
          <w:u w:val="single"/>
          <w:lang w:eastAsia="zh-CN"/>
          <w14:textFill>
            <w14:solidFill>
              <w14:schemeClr w14:val="tx1"/>
            </w14:solidFill>
          </w14:textFill>
        </w:rPr>
        <w:t xml:space="preserve">东亭街道部分商品房国债老旧电梯更新（第三批次）</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p>
    <w:p>
      <w:pPr>
        <w:ind w:firstLine="480"/>
        <w:spacing w:line="400" w:lineRule="exac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甲方：（买方、需方、采购人）</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无锡市锡山区人民政府东亭街道办事</w:t>
      </w:r>
      <w:r>
        <w:rPr>
          <w:rFonts w:hint="eastAsia" w:asciiTheme="minorEastAsia" w:hAnsiTheme="minorEastAsia" w:eastAsiaTheme="minorEastAsia" w:cstheme="minorEastAsia"/>
          <w:color w:val="000000" w:themeColor="text1"/>
          <w:sz w:val="24"/>
          <w:szCs w:val="24"/>
          <w:u w:val="single"/>
          <w:lang w:eastAsia="zh-CN"/>
          <w14:textFill>
            <w14:solidFill>
              <w14:schemeClr w14:val="tx1"/>
            </w14:solidFill>
          </w14:textFill>
        </w:rPr>
        <w:t xml:space="preserve">处</w:t>
      </w:r>
      <w:r/>
    </w:p>
    <w:p>
      <w:pPr>
        <w:ind w:firstLine="480"/>
        <w:spacing w:line="400" w:lineRule="exact"/>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乙方：（卖方、供方、供应商）</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p>
    <w:p>
      <w:pPr>
        <w:ind w:firstLine="480"/>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甲、乙双方根据无锡市</w:t>
      </w:r>
      <w:r>
        <w:rPr>
          <w:rFonts w:hint="eastAsia" w:asciiTheme="minorEastAsia" w:hAnsiTheme="minorEastAsia" w:eastAsiaTheme="minorEastAsia" w:cstheme="minorEastAsia"/>
          <w:sz w:val="24"/>
          <w:szCs w:val="24"/>
          <w:highlight w:val="none"/>
          <w:lang w:val="en-US" w:eastAsia="zh-CN"/>
        </w:rPr>
        <w:t xml:space="preserve">锡山区</w:t>
      </w:r>
      <w:r>
        <w:rPr>
          <w:rFonts w:hint="eastAsia" w:asciiTheme="minorEastAsia" w:hAnsiTheme="minorEastAsia" w:eastAsiaTheme="minorEastAsia" w:cstheme="minorEastAsia"/>
          <w:sz w:val="24"/>
          <w:szCs w:val="24"/>
          <w:highlight w:val="none"/>
        </w:rPr>
        <w:t xml:space="preserve">公共资源交易中心项目公开招标的结果，签署本合同。</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一、合同内容</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 标的名称：</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东亭街道部分商品房国债老旧电梯更新（第三批次）</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 标的质量：合格；</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 标的数量（规模）：</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62台电梯</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w:t>
      </w:r>
      <w:r/>
    </w:p>
    <w:p>
      <w:pPr>
        <w:ind w:firstLine="480"/>
        <w:spacing w:line="400" w:lineRule="exact"/>
        <w:rPr>
          <w:rFonts w:hint="eastAsia" w:eastAsia="宋体" w:asciiTheme="minorEastAsia" w:hAnsi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 履行时间（期限）：</w:t>
      </w:r>
      <w:r>
        <w:rPr>
          <w:rFonts w:hint="eastAsia" w:ascii="宋体" w:hAnsi="Times New Roman" w:eastAsia="宋体"/>
          <w:color w:val="000000" w:themeColor="text1"/>
          <w:sz w:val="24"/>
          <w:szCs w:val="24"/>
          <w14:textFill>
            <w14:solidFill>
              <w14:schemeClr w14:val="tx1"/>
            </w14:solidFill>
          </w14:textFill>
        </w:rPr>
        <w:t xml:space="preserve">每批次工期为120日历天（以现场符合施工条件为准，每批次供货60天，安装60天），每批次计划开工日期以采购人开工令为准。</w:t>
      </w:r>
      <w:r>
        <w:rPr>
          <w:rFonts w:ascii="宋体" w:hAnsi="宋体" w:eastAsia="宋体"/>
          <w:bCs/>
          <w:color w:val="000000" w:themeColor="text1"/>
          <w:sz w:val="24"/>
          <w:szCs w:val="24"/>
          <w14:textFill>
            <w14:solidFill>
              <w14:schemeClr w14:val="tx1"/>
            </w14:solidFill>
          </w14:textFill>
        </w:rPr>
        <w:t xml:space="preserve">电梯供货、安装、调试须服从项目整体土建施工进度及</w:t>
      </w:r>
      <w:r>
        <w:rPr>
          <w:rFonts w:hint="eastAsia" w:ascii="宋体" w:hAnsi="宋体" w:eastAsia="宋体"/>
          <w:bCs/>
          <w:color w:val="000000" w:themeColor="text1"/>
          <w:sz w:val="24"/>
          <w:szCs w:val="24"/>
          <w:lang w:val="en-US" w:eastAsia="zh-CN"/>
          <w14:textFill>
            <w14:solidFill>
              <w14:schemeClr w14:val="tx1"/>
            </w14:solidFill>
          </w14:textFill>
        </w:rPr>
        <w:t xml:space="preserve">甲方</w:t>
      </w:r>
      <w:r>
        <w:rPr>
          <w:rFonts w:ascii="宋体" w:hAnsi="宋体" w:eastAsia="宋体"/>
          <w:bCs/>
          <w:color w:val="000000" w:themeColor="text1"/>
          <w:sz w:val="24"/>
          <w:szCs w:val="24"/>
          <w14:textFill>
            <w14:solidFill>
              <w14:schemeClr w14:val="tx1"/>
            </w14:solidFill>
          </w14:textFill>
        </w:rPr>
        <w:t xml:space="preserve">统一安排，不得影响项目整体综合验收及交付使用</w:t>
      </w:r>
      <w:r>
        <w:rPr>
          <w:rFonts w:hint="eastAsia" w:ascii="宋体" w:hAnsi="宋体" w:eastAsia="宋体"/>
          <w:bCs/>
          <w:color w:val="000000" w:themeColor="text1"/>
          <w:sz w:val="24"/>
          <w:szCs w:val="24"/>
          <w:lang w:eastAsia="zh-CN"/>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 履行地点：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本次清单中涉及的</w:t>
      </w:r>
      <w:r>
        <w:rPr>
          <w:rFonts w:hint="eastAsia" w:ascii="宋体" w:hAnsi="Times New Roman" w:eastAsia="宋体"/>
          <w:color w:val="000000" w:themeColor="text1"/>
          <w:sz w:val="24"/>
          <w:szCs w:val="24"/>
          <w14:textFill>
            <w14:solidFill>
              <w14:schemeClr w14:val="tx1"/>
            </w14:solidFill>
          </w14:textFill>
        </w:rPr>
        <w:t xml:space="preserve">东亭街道商品房</w:t>
      </w:r>
      <w:r>
        <w:rPr>
          <w:rFonts w:hint="eastAsia" w:ascii="宋体" w:hAnsi="Times New Roman" w:eastAsia="宋体"/>
          <w:color w:val="000000" w:themeColor="text1"/>
          <w:sz w:val="24"/>
          <w:szCs w:val="24"/>
          <w:lang w:val="en-US" w:eastAsia="zh-CN"/>
          <w14:textFill>
            <w14:solidFill>
              <w14:schemeClr w14:val="tx1"/>
            </w14:solidFill>
          </w14:textFill>
        </w:rPr>
        <w:t xml:space="preserve">小区</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 履行方式：</w:t>
      </w:r>
      <w:r>
        <w:rPr>
          <w:rFonts w:ascii="Times New Roman" w:hAnsi="Times New Roman" w:eastAsia="宋体"/>
          <w:bCs/>
          <w:color w:val="000000" w:themeColor="text1"/>
          <w:sz w:val="24"/>
          <w:szCs w:val="24"/>
          <w14:textFill>
            <w14:solidFill>
              <w14:schemeClr w14:val="tx1"/>
            </w14:solidFill>
          </w14:textFill>
        </w:rPr>
        <w:t xml:space="preserve">包</w:t>
      </w:r>
      <w:r>
        <w:rPr>
          <w:rFonts w:ascii="宋体" w:hAnsi="宋体" w:eastAsia="宋体" w:cs="宋体"/>
          <w:bCs/>
          <w:color w:val="000000" w:themeColor="text1"/>
          <w:sz w:val="24"/>
          <w:szCs w:val="24"/>
          <w14:textFill>
            <w14:solidFill>
              <w14:schemeClr w14:val="tx1"/>
            </w14:solidFill>
          </w14:textFill>
        </w:rPr>
        <w:t xml:space="preserve">含</w:t>
      </w:r>
      <w:r>
        <w:rPr>
          <w:rFonts w:hint="eastAsia" w:ascii="宋体" w:hAnsi="宋体" w:eastAsia="宋体" w:cs="宋体"/>
          <w:bCs/>
          <w:color w:val="000000" w:themeColor="text1"/>
          <w:sz w:val="24"/>
          <w:szCs w:val="24"/>
          <w:lang w:val="en-US" w:eastAsia="zh-CN"/>
          <w14:textFill>
            <w14:solidFill>
              <w14:schemeClr w14:val="tx1"/>
            </w14:solidFill>
          </w14:textFill>
        </w:rPr>
        <w:t xml:space="preserve">拆除、</w:t>
      </w:r>
      <w:r>
        <w:rPr>
          <w:rFonts w:ascii="宋体" w:hAnsi="宋体" w:eastAsia="宋体" w:cs="宋体"/>
          <w:bCs/>
          <w:color w:val="000000" w:themeColor="text1"/>
          <w:sz w:val="24"/>
          <w:szCs w:val="24"/>
          <w14:textFill>
            <w14:solidFill>
              <w14:schemeClr w14:val="tx1"/>
            </w14:solidFill>
          </w14:textFill>
        </w:rPr>
        <w:t xml:space="preserve">设备供货、安装及</w:t>
      </w:r>
      <w:r>
        <w:rPr>
          <w:rFonts w:hint="eastAsia" w:ascii="宋体" w:hAnsi="宋体" w:eastAsia="宋体" w:cs="宋体"/>
          <w:bCs/>
          <w:color w:val="000000" w:themeColor="text1"/>
          <w:sz w:val="24"/>
          <w:szCs w:val="24"/>
          <w14:textFill>
            <w14:solidFill>
              <w14:schemeClr w14:val="tx1"/>
            </w14:solidFill>
          </w14:textFill>
        </w:rPr>
        <w:t xml:space="preserve">图纸优化</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质保</w:t>
      </w:r>
      <w:r>
        <w:rPr>
          <w:rFonts w:hint="eastAsia" w:ascii="宋体" w:hAnsi="宋体" w:eastAsia="宋体" w:cs="宋体"/>
          <w:bCs/>
          <w:color w:val="000000" w:themeColor="text1"/>
          <w:sz w:val="24"/>
          <w:szCs w:val="24"/>
          <w14:textFill>
            <w14:solidFill>
              <w14:schemeClr w14:val="tx1"/>
            </w14:solidFill>
          </w14:textFill>
        </w:rPr>
        <w:t xml:space="preserve">等相关配套工作；</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 包装方式：详见合同要求。</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二、合同金额</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本合同金额为（大写）：</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元）人民币。</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三、技术资料</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3.1乙方应按询价文件规定的时间向甲方提供使用货物（包含与货物相关的服务）的有关技术资料。</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供给</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基于履行本合同无关的任何其他人。即使向履行本合同有关的人员提供，也应注意保密并限于履行合同的必需范围。</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四、知识产权</w:t>
      </w:r>
      <w:r/>
    </w:p>
    <w:p>
      <w:pPr>
        <w:ind w:firstLine="480"/>
        <w:spacing w:line="40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4.1乙</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方应保证甲方在使用、接受本合同货物</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（包含与货物相关的服务）</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五、产权担保</w:t>
      </w:r>
      <w:r/>
    </w:p>
    <w:p>
      <w:pPr>
        <w:ind w:firstLine="480"/>
        <w:spacing w:line="400" w:lineRule="exact"/>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5.1 乙方保证所交付的货物（包含与货物相关的服务）的所有权完全属于乙方且无任何抵押、查封等产权瑕疵。</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六、履约保函</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6.1乙方交纳人民币</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（合同总额的</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%）元作为本合同的履约保函(由银行或担保公司开具)。（不得超过合同金额的10%）</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6.2合同履行结束后，履约保函失效。</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6.2.1履约保函失效时间：监督检验部门验收合格并取证之日。</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6.2.</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履约保函赔付的情形：有重大质量问题、验收不合格等。</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七、合同转包或分包</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7.2乙方应按询价文件要求，如项目不允许分包的，乙方不得将合同标的分包给他人履行；如项目允许分包的，乙方应当按照投标文件中提供的分包意向协议履行合同。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7.3乙方如有转包或未经甲方同意的分包行为，甲方有权终止合同。</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八、合同款项支付</w:t>
      </w:r>
      <w:r/>
    </w:p>
    <w:p>
      <w:pPr>
        <w:ind w:firstLine="48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8.1合同款项的支付方式及进度安排</w:t>
      </w:r>
      <w:r/>
    </w:p>
    <w:p>
      <w:pPr>
        <w:ind w:firstLine="48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8.1.1预付款支付时间：按批供货、按批付款。合同签订后、通知供货前，采购人支付该批次供货电梯价款的30%作为预付款。</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8.1.2尾款支付时间：</w:t>
      </w:r>
      <w:r>
        <w:rPr>
          <w:rFonts w:hint="eastAsia" w:ascii="宋体" w:hAnsi="Times New Roman" w:eastAsia="宋体"/>
          <w:color w:val="000000" w:themeColor="text1"/>
          <w:sz w:val="24"/>
          <w:szCs w:val="24"/>
          <w14:textFill>
            <w14:solidFill>
              <w14:schemeClr w14:val="tx1"/>
            </w14:solidFill>
          </w14:textFill>
        </w:rPr>
        <w:t xml:space="preserve">货到现场，采购人向中标方支付该批次供货电梯价款的40%；电梯安装结束并调试完毕，经采购人验收通过、江苏省特种设备安全监督检验研究院无锡分院验收合格后30天内向中标方支付该批次供货电梯价款的10%；经结算审计结束后，支付至该批次供货电梯审定价的97%；</w:t>
      </w:r>
      <w:r>
        <w:rPr>
          <w:rFonts w:hint="eastAsia" w:ascii="宋体" w:hAnsi="Times New Roman" w:eastAsia="宋体"/>
          <w:color w:val="auto"/>
          <w:sz w:val="24"/>
          <w:szCs w:val="24"/>
          <w:highlight w:val="none"/>
          <w:lang w:val="en-US" w:eastAsia="zh-CN"/>
        </w:rPr>
        <w:t xml:space="preserve">2年免费</w:t>
      </w:r>
      <w:r>
        <w:rPr>
          <w:rFonts w:hint="eastAsia" w:ascii="宋体" w:hAnsi="Times New Roman" w:eastAsia="宋体"/>
          <w:color w:val="auto"/>
          <w:sz w:val="24"/>
          <w:szCs w:val="24"/>
          <w:highlight w:val="none"/>
        </w:rPr>
        <w:t xml:space="preserve">质保期满</w:t>
      </w:r>
      <w:r>
        <w:rPr>
          <w:rFonts w:hint="eastAsia" w:ascii="宋体" w:hAnsi="Times New Roman" w:eastAsia="宋体"/>
          <w:color w:val="000000" w:themeColor="text1"/>
          <w:sz w:val="24"/>
          <w:szCs w:val="24"/>
          <w14:textFill>
            <w14:solidFill>
              <w14:schemeClr w14:val="tx1"/>
            </w14:solidFill>
          </w14:textFill>
        </w:rPr>
        <w:t xml:space="preserve">后付清该批次余款。</w:t>
      </w:r>
      <w:r/>
    </w:p>
    <w:p>
      <w:pPr>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当采购数量与实际使用数量不一致时，乙方应根据实际使用量供货，合同的最终结算金额按实际使用量乘以成交单价进行计算。</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九、税费</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9.1本合同执行中相关的一切税费均由乙方负担。</w:t>
      </w:r>
      <w:r/>
    </w:p>
    <w:p>
      <w:pPr>
        <w:ind w:firstLine="482"/>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十、质量保修范围和保修期及售后服务</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10.1 乙方应按询价文件规定的货物性能、技术要求、质量标准向甲方提供未经使用的全新产品。</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⑴更换：由乙方承担所发生的全部费用。</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⑵贬值处理：由甲乙双方合议定价。</w:t>
      </w:r>
      <w:r/>
    </w:p>
    <w:p>
      <w:pPr>
        <w:ind w:firstLine="480"/>
        <w:spacing w:line="400" w:lineRule="exac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⑶退货处理：乙方应退还甲方支付的合同款，同时应承担该货物的直接费用（运输、保险、检验、</w:t>
      </w:r>
      <w:r>
        <w:rPr>
          <w:rFonts w:hint="eastAsia" w:asciiTheme="minorEastAsia" w:hAnsiTheme="minorEastAsia" w:eastAsiaTheme="minorEastAsia" w:cstheme="minorEastAsia"/>
          <w:color w:val="auto"/>
          <w:sz w:val="24"/>
          <w:szCs w:val="24"/>
          <w:lang w:eastAsia="zh-CN"/>
        </w:rPr>
        <w:t xml:space="preserve">货</w:t>
      </w:r>
      <w:r>
        <w:rPr>
          <w:rFonts w:hint="eastAsia" w:asciiTheme="minorEastAsia" w:hAnsiTheme="minorEastAsia" w:eastAsiaTheme="minorEastAsia" w:cstheme="minorEastAsia"/>
          <w:color w:val="auto"/>
          <w:sz w:val="24"/>
          <w:szCs w:val="24"/>
        </w:rPr>
        <w:t xml:space="preserve">款利</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息及银行手续费等）。</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10.3 如在使用过程中发生质量问题，乙方在接到甲方通知后在_1_小时内到达甲方现场。</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10.4 在质保期内，乙方应对货物出现的质量及安全问题负责处理解决并承担一切费用。</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10.5上述的货物</w:t>
      </w:r>
      <w:r>
        <w:rPr>
          <w:rFonts w:hint="eastAsia" w:asciiTheme="minorEastAsia" w:hAnsiTheme="minorEastAsia" w:eastAsiaTheme="minorEastAsia" w:cstheme="minorEastAsia"/>
          <w:color w:val="auto"/>
          <w:sz w:val="24"/>
          <w:szCs w:val="24"/>
        </w:rPr>
        <w:t xml:space="preserve">质保期为5年</w:t>
      </w:r>
      <w:r>
        <w:rPr>
          <w:rFonts w:hint="eastAsia" w:asciiTheme="minorEastAsia" w:hAnsiTheme="minorEastAsia" w:eastAsiaTheme="minorEastAsia" w:cstheme="minorEastAsia"/>
          <w:color w:val="auto"/>
          <w:sz w:val="24"/>
          <w:szCs w:val="24"/>
          <w:lang w:eastAsia="zh-CN"/>
        </w:rPr>
        <w:t xml:space="preserve">，其中</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免费保修期为</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 xml:space="preserve">2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年（自交货验收合格之日起计），因人为因素出现的故障不在免费保修范围内。超过保修期的机器设备，终身维修，维修时只收部件成本费。</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十一、项目验收</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11.1 甲方依法组织履约验收工作。</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11.5 甲方成立验收小组，按照采购合同的约定对乙方的履约情况进行验收。验收时间、验收标准见询价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11.6 验收合格的项目，甲方根据采购合同的约定及时向乙方支付合同款项、退还履约保证金。验收不合格的项目，甲方依法及时处理。</w:t>
      </w:r>
      <w:r>
        <w:rPr>
          <w:rFonts w:hint="eastAsia" w:asciiTheme="minorEastAsia" w:hAnsiTheme="minorEastAsia" w:eastAsiaTheme="minorEastAsia" w:cstheme="minorEastAsia"/>
          <w:color w:val="auto"/>
          <w:sz w:val="24"/>
          <w:szCs w:val="24"/>
          <w:highlight w:val="none"/>
          <w:lang w:eastAsia="zh-CN"/>
        </w:rPr>
        <w:t xml:space="preserve">验收不合格的，乙方应在甲方指定的期限内完成整改并重新提请验收，整改产生的全部费用由乙方承担，整改期限视为乙方逾期履行，乙方应按本合同第13.3条约定承担逾期交付的违约责任。</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采购合同的履行、违约责任和解决争议的方式等适用</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《中华人民共和国民法典》</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。乙方在履约过程中有政府采购法律法规规定的违法违规情形的，甲方将及时报告本级财政部门。</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十二、货物的包装、发运及运输</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使用说明书、质量检验证明书、随配附件和工具以及清单一并附于货物内。</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12.3 乙方在货物发运手续办理完毕后24小时内或货到甲方48小时前通知甲方，以准备接货。</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12.4 货物在交付甲方前发生的风险均由乙方负责。</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12.5货物在规定的交付期限内由乙方送达甲方指定的地点视为交付，乙方同时需通知甲方货物已送达。</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十三、违约责任</w:t>
      </w:r>
      <w:r/>
    </w:p>
    <w:p>
      <w:pPr>
        <w:ind w:firstLine="480"/>
        <w:spacing w:line="400" w:lineRule="exact"/>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13.1 甲方无正当理由拒收货物的，甲方向乙方偿付拒收货款总值</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的违约金。</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13.2 甲方无故逾期验收和办理货款支付手续的，甲方应按逾期付款总额每日</w:t>
      </w:r>
      <w:r>
        <w:rPr>
          <w:rFonts w:hint="eastAsia" w:asciiTheme="minorEastAsia" w:hAnsiTheme="minorEastAsia" w:eastAsiaTheme="minorEastAsia" w:cstheme="minorEastAsia"/>
          <w:color w:val="auto"/>
          <w:sz w:val="24"/>
          <w:szCs w:val="24"/>
          <w:lang w:val="en-US" w:eastAsia="zh-CN"/>
        </w:rPr>
        <w:t xml:space="preserve">万分之三</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向乙方支付违约金。</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13.3 乙方逾期交付货物的，乙方应按逾期交货总额</w:t>
      </w:r>
      <w:r>
        <w:rPr>
          <w:rFonts w:hint="eastAsia" w:asciiTheme="minorEastAsia" w:hAnsiTheme="minorEastAsia" w:eastAsiaTheme="minorEastAsia" w:cstheme="minorEastAsia"/>
          <w:color w:val="auto"/>
          <w:sz w:val="24"/>
          <w:szCs w:val="24"/>
        </w:rPr>
        <w:t xml:space="preserve">每日万分之三</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向甲方支付违约金，由甲方从待付货款中扣除。逾期超过约定日期10个工作日不能交货的，甲方</w:t>
      </w:r>
      <w:r>
        <w:rPr>
          <w:rFonts w:hint="eastAsia" w:asciiTheme="minorEastAsia" w:hAnsiTheme="minorEastAsia" w:eastAsiaTheme="minorEastAsia" w:cstheme="minorEastAsia"/>
          <w:color w:val="auto"/>
          <w:sz w:val="24"/>
          <w:szCs w:val="24"/>
          <w:highlight w:val="none"/>
          <w:lang w:eastAsia="zh-CN"/>
        </w:rPr>
        <w:t xml:space="preserve">有权</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hint="default" w:asciiTheme="minorEastAsia" w:hAnsiTheme="minorEastAsia" w:eastAsiaTheme="minorEastAsia" w:cstheme="minorEastAsia"/>
          <w:color w:val="000000" w:themeColor="text1"/>
          <w:sz w:val="24"/>
          <w:szCs w:val="24"/>
          <w:highlight w:val="yellow"/>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13.4 乙方所交的货物品种、型号、规格、技术参数、质量不符合合同规定及询价文件规定标准的，甲方有权拒收该货物，乙方愿意更换货物但逾期交货的，按乙方逾期交货处理。乙方拒绝更换货物的，甲方可单方面解除合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乙方需全额退还甲方就该电梯已支付的所有款项，并承担甲方因此遭受的全部经济损失。</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十四、不可抗力事件处理</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14.1 在合同有效期内，任何一方因不可抗力事件导致不能履行合同，则合同履行期可延长，其延长期与不可抗力影响期相同。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14.2</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不可抗力事件发生后，应立即通知对方，并寄送有关权威机构出具的证明。</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14.3 不可抗力事件延续120天以上，双方应通过友好协商，确定是否继续履行合同。</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十五、解决争议的方法</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甲乙双方因合同签订、履行而发生的一切争议，应通过友好协商解决。如协商不成由甲方住所地人民法院管辖。</w:t>
      </w:r>
      <w:r/>
    </w:p>
    <w:p>
      <w:pPr>
        <w:ind w:firstLine="482"/>
        <w:spacing w:line="4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十六、合同生效及其他</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16.1 合同经双方法定代表人或授权委托代表人签字并加盖单位公章后生效。</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16.2本合同未尽事宜，遵照</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《中华人民共和国民法典》《中华人民共和国政府采购法》</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有关条文执行。</w:t>
      </w:r>
      <w:r/>
    </w:p>
    <w:p>
      <w:pPr>
        <w:ind w:firstLine="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16.3 本合同正本一式两份，具有同等法律效力，甲方、乙方各执一份。</w:t>
      </w:r>
      <w:r/>
    </w:p>
    <w:p>
      <w:pPr>
        <w:ind w:left="480" w:hanging="480"/>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甲方：                        乙方： </w:t>
      </w:r>
      <w:r/>
    </w:p>
    <w:p>
      <w:pP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地址：                       地址：</w:t>
      </w:r>
      <w:r/>
    </w:p>
    <w:p>
      <w:pP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法定代表人或授权代表：       法定代表人或授权代表：</w:t>
      </w:r>
      <w:r/>
    </w:p>
    <w:p>
      <w:pPr>
        <w:ind w:firstLine="240"/>
        <w:spacing w:line="40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联系电话：                   联系电话：       </w:t>
      </w:r>
      <w:r/>
    </w:p>
    <w:p>
      <w:pPr>
        <w:jc w:val="cente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jc w:val="center"/>
        <w:spacing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firstLine="240"/>
        <w:spacing w:line="4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签订日期：      年  月  日</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p>
      <w:pPr>
        <w:pStyle w:val="1013"/>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sz w:val="21"/>
          <w:szCs w:val="21"/>
          <w:u w:val="single"/>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17"/>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1017"/>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3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019"/>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19"/>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numPr>
          <w:ilvl w:val="255"/>
          <w:numId w:val="0"/>
        </w:numPr>
        <w:ind w:firstLine="42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rPr>
          <w:rFonts w:hint="eastAsia" w:ascii="宋体" w:hAnsi="宋体" w:eastAsia="宋体" w:cs="宋体"/>
          <w:color w:val="000000" w:themeColor="text1"/>
          <w:szCs w:val="21"/>
          <w14:textFill>
            <w14:solidFill>
              <w14:schemeClr w14:val="tx1"/>
            </w14:solidFill>
          </w14:textFill>
        </w:rPr>
        <w:t xml:space="preserve">。</w:t>
      </w:r>
      <w:r/>
    </w:p>
    <w:p>
      <w:pPr>
        <w:pStyle w:val="1017"/>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3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018"/>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1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01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01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01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38"/>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1017"/>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3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38"/>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r/>
    </w:p>
    <w:p>
      <w:pPr>
        <w:pStyle w:val="1013"/>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101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tabs>
                <w:tab w:val="left" w:pos="673" w:leader="none"/>
              </w:tabs>
              <w:rPr>
                <w:rFonts w:hint="eastAsia" w:ascii="宋体" w:hAnsi="宋体" w:eastAsia="等线"/>
                <w:color w:val="000000" w:themeColor="text1"/>
                <w:szCs w:val="21"/>
                <w:lang w:eastAsia="zh-CN"/>
                <w14:textFill>
                  <w14:solidFill>
                    <w14:schemeClr w14:val="tx1"/>
                  </w14:solidFill>
                </w14:textFill>
              </w:rPr>
            </w:pPr>
            <w:r>
              <w:rPr>
                <w:rFonts w:hint="eastAsia" w:ascii="等线" w:hAnsi="等线" w:eastAsia="等线" w:cs="等线"/>
                <w:color w:val="auto"/>
                <w:sz w:val="21"/>
                <w:szCs w:val="21"/>
                <w:highlight w:val="none"/>
                <w:lang w:val="en-US" w:eastAsia="zh-CN"/>
              </w:rPr>
              <w:t xml:space="preserve">本项目不接受联合体</w:t>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tabs>
                <w:tab w:val="left" w:pos="838" w:leader="none"/>
              </w:tabs>
              <w:rPr>
                <w:rFonts w:hint="eastAsia" w:ascii="宋体" w:hAnsi="宋体" w:eastAsia="宋体"/>
                <w:color w:val="000000" w:themeColor="text1"/>
                <w:szCs w:val="21"/>
                <w:lang w:eastAsia="zh-CN"/>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详见第一节第十一条</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t xml:space="preserve">/</w:t>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详见第一节第十二条</w:t>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甲方指定现场</w:t>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详见第一节第十二条</w:t>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乙方负责</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cs="等线"/>
                <w:color w:val="auto"/>
                <w:sz w:val="21"/>
                <w:szCs w:val="21"/>
                <w:highlight w:val="none"/>
                <w:lang w:val="en-US" w:eastAsia="zh-CN"/>
              </w:rPr>
              <w:t xml:space="preserve">质保期5年，</w:t>
            </w:r>
            <w:r>
              <w:rPr>
                <w:rFonts w:hint="eastAsia" w:ascii="等线" w:hAnsi="等线" w:eastAsia="等线" w:cs="等线"/>
                <w:color w:val="auto"/>
                <w:sz w:val="21"/>
                <w:szCs w:val="21"/>
                <w:highlight w:val="none"/>
              </w:rPr>
              <w:t xml:space="preserve">整体免费</w:t>
            </w:r>
            <w:r>
              <w:rPr>
                <w:rFonts w:hint="eastAsia" w:cs="等线"/>
                <w:color w:val="auto"/>
                <w:sz w:val="21"/>
                <w:szCs w:val="21"/>
                <w:highlight w:val="none"/>
                <w:lang w:val="en-US" w:eastAsia="zh-CN"/>
              </w:rPr>
              <w:t xml:space="preserve">保修期</w:t>
            </w:r>
            <w:r>
              <w:rPr>
                <w:rFonts w:hint="eastAsia" w:ascii="等线" w:hAnsi="等线" w:eastAsia="等线" w:cs="等线"/>
                <w:color w:val="auto"/>
                <w:sz w:val="21"/>
                <w:szCs w:val="21"/>
                <w:highlight w:val="none"/>
              </w:rPr>
              <w:t xml:space="preserve">：</w:t>
            </w:r>
            <w:r>
              <w:rPr>
                <w:rFonts w:hint="eastAsia" w:cs="等线"/>
                <w:color w:val="auto"/>
                <w:sz w:val="21"/>
                <w:szCs w:val="21"/>
                <w:highlight w:val="none"/>
                <w:lang w:val="en-US" w:eastAsia="zh-CN"/>
              </w:rPr>
              <w:t xml:space="preserve">2</w:t>
            </w:r>
            <w:r>
              <w:rPr>
                <w:rFonts w:hint="eastAsia" w:ascii="等线" w:hAnsi="等线" w:eastAsia="等线" w:cs="等线"/>
                <w:color w:val="auto"/>
                <w:sz w:val="21"/>
                <w:szCs w:val="21"/>
                <w:highlight w:val="none"/>
              </w:rPr>
              <w:t xml:space="preserve">年</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spacing w:line="400" w:lineRule="exac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如在使用过程中发生质量问题，乙方在接到甲方通知后在</w:t>
            </w:r>
            <w:r>
              <w:rPr>
                <w:rFonts w:hint="eastAsia" w:ascii="等线" w:hAnsi="等线" w:eastAsia="等线" w:cs="等线"/>
                <w:color w:val="auto"/>
                <w:sz w:val="21"/>
                <w:szCs w:val="21"/>
                <w:highlight w:val="none"/>
                <w:lang w:val="en-US" w:eastAsia="zh-CN"/>
              </w:rPr>
              <w:t xml:space="preserve">1</w:t>
            </w:r>
            <w:r>
              <w:rPr>
                <w:rFonts w:hint="eastAsia" w:ascii="等线" w:hAnsi="等线" w:eastAsia="等线" w:cs="等线"/>
                <w:color w:val="auto"/>
                <w:sz w:val="21"/>
                <w:szCs w:val="21"/>
                <w:highlight w:val="none"/>
              </w:rPr>
              <w:t xml:space="preserve">小时内到达甲方现场。</w:t>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38"/>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没有甲方事先书面同意，乙方不得将由甲方提供的有关合同或任何合同条文、规格、计划、图纸、样品或资料提供基于履行本合同无关的任何其他人。</w:t>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详见第一节第八条</w:t>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有重大质量问题</w:t>
            </w:r>
            <w:r>
              <w:rPr>
                <w:rFonts w:hint="eastAsia" w:ascii="等线" w:hAnsi="等线" w:eastAsia="等线" w:cs="等线"/>
                <w:color w:val="auto"/>
                <w:sz w:val="21"/>
                <w:szCs w:val="21"/>
                <w:highlight w:val="none"/>
                <w:lang w:eastAsia="zh-CN"/>
              </w:rPr>
              <w:t xml:space="preserve">、</w:t>
            </w:r>
            <w:r>
              <w:rPr>
                <w:rFonts w:hint="eastAsia" w:ascii="等线" w:hAnsi="等线" w:eastAsia="等线" w:cs="等线"/>
                <w:color w:val="auto"/>
                <w:sz w:val="21"/>
                <w:szCs w:val="21"/>
                <w:highlight w:val="none"/>
                <w:lang w:val="en-US" w:eastAsia="zh-CN"/>
              </w:rPr>
              <w:t xml:space="preserve">验收不合格</w:t>
            </w:r>
            <w:r>
              <w:rPr>
                <w:rFonts w:hint="eastAsia" w:ascii="等线" w:hAnsi="等线" w:eastAsia="等线" w:cs="等线"/>
                <w:color w:val="auto"/>
                <w:sz w:val="21"/>
                <w:szCs w:val="21"/>
                <w:highlight w:val="none"/>
              </w:rPr>
              <w:t xml:space="preserve">等</w:t>
            </w:r>
            <w:r>
              <w:rPr>
                <w:rFonts w:hint="eastAsia" w:ascii="等线" w:hAnsi="等线" w:eastAsia="等线" w:cs="等线"/>
                <w:color w:val="auto"/>
                <w:sz w:val="21"/>
                <w:szCs w:val="21"/>
                <w:highlight w:val="none"/>
                <w:lang w:eastAsia="zh-CN"/>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监督检验部门验收合格并取证之日</w:t>
            </w:r>
            <w:r>
              <w:rPr>
                <w:rFonts w:hint="eastAsia" w:ascii="等线" w:hAnsi="等线" w:eastAsia="等线" w:cs="等线"/>
                <w:color w:val="auto"/>
                <w:sz w:val="21"/>
                <w:szCs w:val="21"/>
                <w:highlight w:val="none"/>
                <w:lang w:eastAsia="zh-CN"/>
              </w:rPr>
              <w:t xml:space="preserve">。</w:t>
            </w:r>
            <w:r/>
          </w:p>
        </w:tc>
      </w:tr>
      <w:tr>
        <w:trPr>
          <w:trHeight w:val="36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货物免费保修期为</w:t>
            </w:r>
            <w:r>
              <w:rPr>
                <w:rFonts w:hint="eastAsia" w:cs="等线"/>
                <w:color w:val="auto"/>
                <w:sz w:val="21"/>
                <w:szCs w:val="21"/>
                <w:highlight w:val="none"/>
                <w:lang w:val="en-US" w:eastAsia="zh-CN"/>
              </w:rPr>
              <w:t xml:space="preserve">2</w:t>
            </w:r>
            <w:r>
              <w:rPr>
                <w:rFonts w:hint="eastAsia" w:ascii="等线" w:hAnsi="等线" w:eastAsia="等线" w:cs="等线"/>
                <w:color w:val="auto"/>
                <w:sz w:val="21"/>
                <w:szCs w:val="21"/>
                <w:highlight w:val="none"/>
              </w:rPr>
              <w:t xml:space="preserve">年（自交货验收合格之日起计），因人为因素出现的故障不在免费保修范围内。超过保修期的机器设备，终身维修，维修时只收部件成本费。</w:t>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⑴更换：由乙方承担所发生的全部费用。</w:t>
            </w:r>
            <w:r/>
          </w:p>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⑵贬值处理：由甲乙双方合议定价。</w:t>
            </w:r>
            <w:r/>
          </w:p>
          <w:p>
            <w:pPr>
              <w:jc w:val="left"/>
              <w:rPr>
                <w:rFonts w:ascii="宋体" w:hAnsi="宋体"/>
                <w:color w:val="000000" w:themeColor="text1"/>
                <w:szCs w:val="21"/>
                <w14:textFill>
                  <w14:solidFill>
                    <w14:schemeClr w14:val="tx1"/>
                  </w14:solidFill>
                </w14:textFill>
              </w:rPr>
            </w:pPr>
            <w:r>
              <w:rPr>
                <w:rFonts w:hint="eastAsia" w:ascii="等线" w:hAnsi="等线" w:eastAsia="等线" w:cs="等线"/>
                <w:color w:val="auto"/>
                <w:sz w:val="21"/>
                <w:szCs w:val="21"/>
                <w:highlight w:val="none"/>
              </w:rPr>
              <w:t xml:space="preserve">⑶退货处理：乙方应退还甲方支付的合同款，同时应承担该货物的直接费用（运输、保险、检验、</w:t>
            </w:r>
            <w:r>
              <w:rPr>
                <w:rFonts w:hint="eastAsia" w:cs="等线"/>
                <w:color w:val="auto"/>
                <w:sz w:val="21"/>
                <w:szCs w:val="21"/>
                <w:highlight w:val="none"/>
                <w:shd w:val="clear" w:color="auto"/>
                <w:lang w:eastAsia="zh-CN"/>
              </w:rPr>
              <w:t xml:space="preserve">货</w:t>
            </w:r>
            <w:r>
              <w:rPr>
                <w:rFonts w:hint="eastAsia" w:ascii="等线" w:hAnsi="等线" w:eastAsia="等线" w:cs="等线"/>
                <w:color w:val="auto"/>
                <w:sz w:val="21"/>
                <w:szCs w:val="21"/>
                <w:highlight w:val="none"/>
              </w:rPr>
              <w:t xml:space="preserve">款利息及银行手续费等）。</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hint="eastAsia" w:ascii="等线" w:hAnsi="等线" w:eastAsia="等线" w:cs="等线"/>
                <w:color w:val="auto"/>
                <w:sz w:val="21"/>
                <w:szCs w:val="21"/>
                <w:highlight w:val="none"/>
                <w:u w:val="none"/>
              </w:rPr>
              <w:t xml:space="preserve">乙方逾期交付货物的，乙方应按逾期交货总额每日</w:t>
            </w:r>
            <w:r>
              <w:rPr>
                <w:rFonts w:hint="eastAsia" w:cs="等线"/>
                <w:color w:val="auto"/>
                <w:szCs w:val="21"/>
                <w:highlight w:val="none"/>
                <w:u w:val="none"/>
              </w:rPr>
              <w:t xml:space="preserve">万分之三</w:t>
            </w:r>
            <w:r>
              <w:rPr>
                <w:rFonts w:hint="eastAsia" w:ascii="等线" w:hAnsi="等线" w:eastAsia="等线" w:cs="等线"/>
                <w:color w:val="auto"/>
                <w:sz w:val="21"/>
                <w:szCs w:val="21"/>
                <w:highlight w:val="none"/>
                <w:u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s="等线"/>
                <w:color w:val="auto"/>
                <w:sz w:val="21"/>
                <w:szCs w:val="21"/>
                <w:highlight w:val="none"/>
                <w:u w:val="none"/>
                <w:lang w:val="en-US" w:eastAsia="zh-CN"/>
              </w:rPr>
              <w:t xml:space="preserve">30%</w:t>
            </w:r>
            <w:r>
              <w:rPr>
                <w:rFonts w:hint="eastAsia" w:ascii="等线" w:hAnsi="等线" w:eastAsia="等线" w:cs="等线"/>
                <w:color w:val="auto"/>
                <w:sz w:val="21"/>
                <w:szCs w:val="21"/>
                <w:highlight w:val="none"/>
                <w:u w:val="none"/>
              </w:rPr>
              <w:t xml:space="preserve">的违约金，如造成甲方损失超过违约金的，超出部分由乙方继续承担赔偿责任。 </w:t>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spacing w:line="400" w:lineRule="exact"/>
              <w:rPr>
                <w:rFonts w:ascii="宋体" w:hAnsi="宋体"/>
                <w:color w:val="000000" w:themeColor="text1"/>
                <w:szCs w:val="21"/>
                <w:u w:val="single"/>
                <w14:textFill>
                  <w14:solidFill>
                    <w14:schemeClr w14:val="tx1"/>
                  </w14:solidFill>
                </w14:textFill>
              </w:rPr>
            </w:pPr>
            <w:r>
              <w:rPr>
                <w:rFonts w:hint="eastAsia" w:ascii="等线" w:hAnsi="等线" w:eastAsia="等线" w:cs="等线"/>
                <w:color w:val="auto"/>
                <w:sz w:val="21"/>
                <w:szCs w:val="21"/>
                <w:highlight w:val="none"/>
              </w:rPr>
              <w:t xml:space="preserve">甲方无故逾期验收和办理货款支付手续的，甲方应按逾期付款总额每日</w:t>
            </w:r>
            <w:r>
              <w:rPr>
                <w:rFonts w:hint="eastAsia" w:cs="等线"/>
                <w:color w:val="auto"/>
                <w:szCs w:val="21"/>
                <w:highlight w:val="none"/>
              </w:rPr>
              <w:t xml:space="preserve">万分之三</w:t>
            </w:r>
            <w:r>
              <w:rPr>
                <w:rFonts w:hint="eastAsia" w:ascii="等线" w:hAnsi="等线" w:eastAsia="等线" w:cs="等线"/>
                <w:color w:val="auto"/>
                <w:sz w:val="21"/>
                <w:szCs w:val="21"/>
                <w:highlight w:val="none"/>
              </w:rPr>
              <w:t xml:space="preserve">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hint="eastAsia" w:ascii="等线" w:hAnsi="等线" w:eastAsia="等线" w:cs="等线"/>
                <w:color w:val="auto"/>
                <w:sz w:val="21"/>
                <w:szCs w:val="21"/>
                <w:highlight w:val="none"/>
                <w:lang w:val="en-US" w:eastAsia="zh-CN"/>
              </w:rPr>
              <w:t xml:space="preserve">详见第一节第十三条</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等线" w:hAnsi="等线" w:eastAsia="等线" w:cs="等线"/>
                <w:iCs/>
                <w:color w:val="000000" w:themeColor="text1"/>
                <w:szCs w:val="21"/>
                <w14:textFill>
                  <w14:solidFill>
                    <w14:schemeClr w14:val="tx1"/>
                  </w14:solidFill>
                </w14:textFill>
              </w:rPr>
            </w:pPr>
            <w:r>
              <w:rPr>
                <w:rFonts w:hint="eastAsia" w:ascii="等线" w:hAnsi="等线" w:eastAsia="等线" w:cs="等线"/>
                <w:iCs/>
                <w:color w:val="000000" w:themeColor="text1"/>
                <w:szCs w:val="21"/>
                <w14:textFill>
                  <w14:solidFill>
                    <w14:schemeClr w14:val="tx1"/>
                  </w14:solidFill>
                </w14:textFill>
              </w:rPr>
              <w:t xml:space="preserve">因本合同及合同有关事项发生的争议，按下列第</w:t>
            </w:r>
            <w:r>
              <w:rPr>
                <w:rFonts w:hint="eastAsia" w:ascii="等线" w:hAnsi="等线" w:eastAsia="等线" w:cs="等线"/>
                <w:iCs/>
                <w:color w:val="000000" w:themeColor="text1"/>
                <w:szCs w:val="21"/>
                <w:u w:val="single"/>
                <w14:textFill>
                  <w14:solidFill>
                    <w14:schemeClr w14:val="tx1"/>
                  </w14:solidFill>
                </w14:textFill>
              </w:rPr>
              <w:t xml:space="preserve"> </w:t>
            </w:r>
            <w:r>
              <w:rPr>
                <w:rFonts w:hint="eastAsia" w:ascii="等线" w:hAnsi="等线" w:eastAsia="等线" w:cs="等线"/>
                <w:iCs/>
                <w:color w:val="000000" w:themeColor="text1"/>
                <w:szCs w:val="21"/>
                <w:u w:val="single"/>
                <w:lang w:val="en-US" w:eastAsia="zh-CN"/>
                <w14:textFill>
                  <w14:solidFill>
                    <w14:schemeClr w14:val="tx1"/>
                  </w14:solidFill>
                </w14:textFill>
              </w:rPr>
              <w:t xml:space="preserve">2</w:t>
            </w:r>
            <w:r>
              <w:rPr>
                <w:rFonts w:hint="eastAsia" w:ascii="等线" w:hAnsi="等线" w:eastAsia="等线" w:cs="等线"/>
                <w:iCs/>
                <w:color w:val="000000" w:themeColor="text1"/>
                <w:szCs w:val="21"/>
                <w:u w:val="single"/>
                <w14:textFill>
                  <w14:solidFill>
                    <w14:schemeClr w14:val="tx1"/>
                  </w14:solidFill>
                </w14:textFill>
              </w:rPr>
              <w:t xml:space="preserve">  </w:t>
            </w:r>
            <w:r>
              <w:rPr>
                <w:rFonts w:hint="eastAsia" w:ascii="等线" w:hAnsi="等线" w:eastAsia="等线" w:cs="等线"/>
                <w:iCs/>
                <w:color w:val="000000" w:themeColor="text1"/>
                <w:szCs w:val="21"/>
                <w14:textFill>
                  <w14:solidFill>
                    <w14:schemeClr w14:val="tx1"/>
                  </w14:solidFill>
                </w14:textFill>
              </w:rPr>
              <w:t xml:space="preserve">种方式解决：</w:t>
            </w:r>
            <w:r/>
          </w:p>
          <w:p>
            <w:pPr>
              <w:jc w:val="left"/>
              <w:spacing w:line="400" w:lineRule="exact"/>
              <w:rPr>
                <w:rFonts w:hint="eastAsia" w:ascii="等线" w:hAnsi="等线" w:eastAsia="等线" w:cs="等线"/>
                <w:iCs/>
                <w:color w:val="000000" w:themeColor="text1"/>
                <w:szCs w:val="21"/>
                <w14:textFill>
                  <w14:solidFill>
                    <w14:schemeClr w14:val="tx1"/>
                  </w14:solidFill>
                </w14:textFill>
              </w:rPr>
            </w:pPr>
            <w:r>
              <w:rPr>
                <w:rFonts w:hint="eastAsia" w:ascii="等线" w:hAnsi="等线" w:eastAsia="等线" w:cs="等线"/>
                <w:iCs/>
                <w:color w:val="000000" w:themeColor="text1"/>
                <w:szCs w:val="21"/>
                <w14:textFill>
                  <w14:solidFill>
                    <w14:schemeClr w14:val="tx1"/>
                  </w14:solidFill>
                </w14:textFill>
              </w:rPr>
              <w:t xml:space="preserve">（1）向</w:t>
            </w:r>
            <w:r>
              <w:rPr>
                <w:rFonts w:hint="eastAsia" w:ascii="等线" w:hAnsi="等线" w:eastAsia="等线" w:cs="等线"/>
                <w:iCs/>
                <w:color w:val="000000" w:themeColor="text1"/>
                <w:szCs w:val="21"/>
                <w:u w:val="single"/>
                <w14:textFill>
                  <w14:solidFill>
                    <w14:schemeClr w14:val="tx1"/>
                  </w14:solidFill>
                </w14:textFill>
              </w:rPr>
              <w:t xml:space="preserve">                    </w:t>
            </w:r>
            <w:r>
              <w:rPr>
                <w:rFonts w:hint="eastAsia" w:ascii="等线" w:hAnsi="等线" w:eastAsia="等线" w:cs="等线"/>
                <w:iCs/>
                <w:color w:val="000000" w:themeColor="text1"/>
                <w:szCs w:val="21"/>
                <w14:textFill>
                  <w14:solidFill>
                    <w14:schemeClr w14:val="tx1"/>
                  </w14:solidFill>
                </w14:textFill>
              </w:rPr>
              <w:t xml:space="preserve">仲裁委员会申请仲裁，仲裁地点为</w:t>
            </w:r>
            <w:r>
              <w:rPr>
                <w:rFonts w:hint="eastAsia" w:ascii="等线" w:hAnsi="等线" w:eastAsia="等线" w:cs="等线"/>
                <w:iCs/>
                <w:color w:val="000000" w:themeColor="text1"/>
                <w:szCs w:val="21"/>
                <w:u w:val="single"/>
                <w14:textFill>
                  <w14:solidFill>
                    <w14:schemeClr w14:val="tx1"/>
                  </w14:solidFill>
                </w14:textFill>
              </w:rPr>
              <w:t xml:space="preserve">           </w:t>
            </w:r>
            <w:r>
              <w:rPr>
                <w:rFonts w:hint="eastAsia" w:ascii="等线" w:hAnsi="等线" w:eastAsia="等线" w:cs="等线"/>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等线" w:hAnsi="等线" w:eastAsia="等线" w:cs="等线"/>
                <w:iCs/>
                <w:color w:val="000000" w:themeColor="text1"/>
                <w:szCs w:val="21"/>
                <w14:textFill>
                  <w14:solidFill>
                    <w14:schemeClr w14:val="tx1"/>
                  </w14:solidFill>
                </w14:textFill>
              </w:rPr>
              <w:t xml:space="preserve">（2）向</w:t>
            </w:r>
            <w:r>
              <w:rPr>
                <w:rFonts w:hint="eastAsia" w:ascii="等线" w:hAnsi="等线" w:eastAsia="等线" w:cs="等线"/>
                <w:iCs/>
                <w:color w:val="000000" w:themeColor="text1"/>
                <w:szCs w:val="21"/>
                <w:u w:val="single"/>
                <w14:textFill>
                  <w14:solidFill>
                    <w14:schemeClr w14:val="tx1"/>
                  </w14:solidFill>
                </w14:textFill>
              </w:rPr>
              <w:t xml:space="preserve">       甲方住所地         </w:t>
            </w:r>
            <w:r>
              <w:rPr>
                <w:rFonts w:hint="eastAsia" w:ascii="等线" w:hAnsi="等线" w:eastAsia="等线" w:cs="等线"/>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p>
            <w:pPr>
              <w:jc w:val="left"/>
              <w:tabs>
                <w:tab w:val="left" w:pos="808" w:leader="none"/>
              </w:tabs>
              <w:rPr>
                <w:rFonts w:hint="default" w:ascii="等线" w:hAnsi="等线" w:eastAsia="等线" w:cs="Times New Roman"/>
                <w:sz w:val="21"/>
                <w:szCs w:val="22"/>
                <w:lang w:val="en-US" w:eastAsia="zh-CN" w:bidi="ar-SA"/>
              </w:rPr>
            </w:pPr>
            <w:r>
              <w:rPr>
                <w:rFonts w:hint="eastAsia" w:ascii="等线" w:hAnsi="等线" w:eastAsia="等线" w:cs="等线"/>
                <w:color w:val="auto"/>
                <w:sz w:val="21"/>
                <w:szCs w:val="21"/>
                <w:highlight w:val="none"/>
                <w:lang w:val="en-US" w:eastAsia="zh-CN"/>
              </w:rPr>
              <w:t xml:space="preserve">第一节</w:t>
            </w:r>
            <w:r>
              <w:rPr>
                <w:rFonts w:hint="eastAsia" w:cs="等线"/>
                <w:color w:val="auto"/>
                <w:sz w:val="21"/>
                <w:szCs w:val="21"/>
                <w:highlight w:val="none"/>
                <w:lang w:val="en-US" w:eastAsia="zh-CN"/>
              </w:rPr>
              <w:t xml:space="preserve">政府采购合同协议书中约定的其他内容</w:t>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013"/>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numPr>
          <w:ilvl w:val="0"/>
          <w:numId w:val="0"/>
        </w:numPr>
        <w:ind w:firstLine="616"/>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评分项目及</w:t>
      </w:r>
      <w:r>
        <w:rPr>
          <w:rFonts w:hint="eastAsia" w:asciiTheme="minorEastAsia" w:hAnsiTheme="minorEastAsia" w:eastAsiaTheme="minorEastAsia" w:cstheme="minorEastAsia"/>
          <w:sz w:val="24"/>
          <w:lang w:val="en-US" w:eastAsia="zh-CN"/>
        </w:rPr>
        <w:t xml:space="preserve">分值</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1、</w:t>
      </w: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sz w:val="24"/>
        </w:rPr>
        <w:t xml:space="preserve">报价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40分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2、</w:t>
      </w:r>
      <w:r>
        <w:rPr>
          <w:rFonts w:hint="eastAsia" w:asciiTheme="minorEastAsia" w:hAnsiTheme="minorEastAsia" w:eastAsiaTheme="minorEastAsia" w:cstheme="minorEastAsia"/>
          <w:b/>
          <w:bCs/>
          <w:sz w:val="24"/>
        </w:rPr>
        <w:t xml:space="preserve">产品性能</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0分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3、</w:t>
      </w:r>
      <w:r>
        <w:rPr>
          <w:rFonts w:hint="eastAsia" w:asciiTheme="minorEastAsia" w:hAnsiTheme="minorEastAsia" w:eastAsiaTheme="minorEastAsia" w:cstheme="minorEastAsia"/>
          <w:b/>
          <w:sz w:val="24"/>
        </w:rPr>
        <w:t xml:space="preserve">投标人及产品制造商综合评价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4、</w:t>
      </w:r>
      <w:r>
        <w:rPr>
          <w:rFonts w:hint="eastAsia" w:asciiTheme="minorEastAsia" w:hAnsiTheme="minorEastAsia" w:eastAsiaTheme="minorEastAsia" w:cstheme="minorEastAsia"/>
          <w:b/>
          <w:sz w:val="24"/>
        </w:rPr>
        <w:t xml:space="preserve">技术方案（暗标部分）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4</w:t>
      </w:r>
      <w:r>
        <w:rPr>
          <w:rFonts w:hint="eastAsia" w:asciiTheme="minorEastAsia" w:hAnsiTheme="minorEastAsia" w:eastAsiaTheme="minorEastAsia" w:cstheme="minorEastAsia"/>
          <w:b/>
          <w:sz w:val="24"/>
        </w:rPr>
        <w:t xml:space="preserve">6分</w:t>
      </w:r>
      <w:r/>
    </w:p>
    <w:p>
      <w:pPr>
        <w:pStyle w:val="1039"/>
        <w:ind w:firstLine="422"/>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一、投标报价（40分）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tabs>
          <w:tab w:val="left" w:pos="63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widowControl/>
        <w:tabs>
          <w:tab w:val="left" w:pos="630" w:leader="none"/>
        </w:tabs>
        <w:rPr>
          <w:rFonts w:hint="eastAsia" w:ascii="宋体" w:hAnsi="宋体"/>
          <w:b/>
          <w:sz w:val="24"/>
          <w:szCs w:val="24"/>
        </w:rPr>
      </w:pPr>
      <w:r>
        <w:rPr>
          <w:rFonts w:hint="eastAsia" w:asciiTheme="minorEastAsia" w:hAnsiTheme="minorEastAsia" w:eastAsiaTheme="minorEastAsia" w:cstheme="minorEastAsia"/>
          <w:b/>
          <w:sz w:val="24"/>
          <w:szCs w:val="24"/>
        </w:rPr>
        <w:t xml:space="preserve">二、产品性能（</w:t>
      </w: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0分）</w:t>
      </w:r>
      <w:r/>
    </w:p>
    <w:p>
      <w:pPr>
        <w:ind w:firstLine="482"/>
        <w:spacing w:line="360" w:lineRule="auto"/>
        <w:rPr>
          <w:rFonts w:hint="eastAsia" w:ascii="宋体" w:hAnsi="宋体" w:eastAsia="宋体" w:cs="宋体"/>
          <w:bCs/>
          <w:sz w:val="24"/>
          <w:highlight w:val="none"/>
          <w:lang w:val="en-US" w:eastAsia="zh-CN"/>
        </w:rPr>
      </w:pPr>
      <w:r/>
      <w:bookmarkStart w:id="27" w:name="OLE_LINK12"/>
      <w:r>
        <w:rPr>
          <w:rFonts w:hint="eastAsia" w:ascii="宋体" w:hAnsi="宋体" w:eastAsia="宋体" w:cs="宋体"/>
          <w:b/>
          <w:bCs w:val="0"/>
          <w:sz w:val="28"/>
          <w:szCs w:val="28"/>
          <w:highlight w:val="none"/>
          <w:lang w:val="en-US" w:eastAsia="zh-CN"/>
        </w:rPr>
        <w:t xml:space="preserve">得分项目参数必须在《投标偏离表》实报内容中填写并注明为正偏离</w:t>
      </w:r>
      <w:r>
        <w:rPr>
          <w:rFonts w:hint="eastAsia" w:ascii="宋体" w:hAnsi="宋体" w:eastAsia="宋体" w:cs="宋体"/>
          <w:b/>
          <w:bCs w:val="0"/>
          <w:sz w:val="28"/>
          <w:szCs w:val="28"/>
          <w:highlight w:val="none"/>
        </w:rPr>
        <w:t xml:space="preserve">，</w:t>
      </w:r>
      <w:r>
        <w:rPr>
          <w:rFonts w:hint="eastAsia" w:ascii="宋体" w:hAnsi="宋体" w:eastAsia="宋体" w:cs="宋体"/>
          <w:b/>
          <w:bCs w:val="0"/>
          <w:sz w:val="28"/>
          <w:szCs w:val="28"/>
          <w:highlight w:val="none"/>
          <w:lang w:val="en-US" w:eastAsia="zh-CN"/>
        </w:rPr>
        <w:t xml:space="preserve">未按要求提供证明材料和不按要求填写的，不得分。</w:t>
      </w:r>
      <w:r>
        <w:rPr>
          <w:rFonts w:hint="eastAsia" w:ascii="宋体" w:hAnsi="宋体" w:eastAsia="宋体" w:cs="宋体"/>
          <w:b/>
          <w:bCs w:val="0"/>
          <w:sz w:val="28"/>
          <w:szCs w:val="24"/>
          <w:highlight w:val="none"/>
        </w:rPr>
        <w:t xml:space="preserve">以下技术参数需根据</w:t>
      </w:r>
      <w:r>
        <w:rPr>
          <w:rFonts w:ascii="宋体" w:hAnsi="宋体" w:eastAsia="宋体" w:cs="宋体"/>
          <w:b/>
          <w:bCs w:val="0"/>
          <w:sz w:val="28"/>
          <w:szCs w:val="24"/>
          <w:highlight w:val="none"/>
        </w:rPr>
        <w:t xml:space="preserve">要求</w:t>
      </w:r>
      <w:r>
        <w:rPr>
          <w:rFonts w:hint="eastAsia" w:ascii="宋体" w:hAnsi="宋体" w:eastAsia="宋体" w:cs="宋体"/>
          <w:b/>
          <w:bCs w:val="0"/>
          <w:sz w:val="28"/>
          <w:szCs w:val="24"/>
          <w:highlight w:val="none"/>
        </w:rPr>
        <w:t xml:space="preserve">提供相关证明材料（如产品说明书、彩页</w:t>
      </w:r>
      <w:r>
        <w:rPr>
          <w:rFonts w:ascii="宋体" w:hAnsi="宋体" w:eastAsia="宋体" w:cs="宋体"/>
          <w:b/>
          <w:bCs w:val="0"/>
          <w:sz w:val="28"/>
          <w:szCs w:val="24"/>
          <w:highlight w:val="none"/>
        </w:rPr>
        <w:t xml:space="preserve">、</w:t>
      </w:r>
      <w:r>
        <w:rPr>
          <w:rFonts w:hint="eastAsia" w:ascii="宋体" w:hAnsi="宋体" w:eastAsia="宋体" w:cs="宋体"/>
          <w:b/>
          <w:bCs w:val="0"/>
          <w:sz w:val="28"/>
          <w:szCs w:val="24"/>
          <w:highlight w:val="none"/>
        </w:rPr>
        <w:t xml:space="preserve">相关检测报告、白皮书、手册、</w:t>
      </w:r>
      <w:r>
        <w:rPr>
          <w:rFonts w:ascii="宋体" w:hAnsi="宋体" w:eastAsia="宋体" w:cs="宋体"/>
          <w:b/>
          <w:bCs w:val="0"/>
          <w:sz w:val="28"/>
          <w:szCs w:val="24"/>
          <w:highlight w:val="none"/>
        </w:rPr>
        <w:t xml:space="preserve">专利证书</w:t>
      </w:r>
      <w:r>
        <w:rPr>
          <w:rFonts w:hint="eastAsia" w:ascii="宋体" w:hAnsi="宋体" w:eastAsia="宋体" w:cs="宋体"/>
          <w:b/>
          <w:bCs w:val="0"/>
          <w:sz w:val="28"/>
          <w:szCs w:val="24"/>
          <w:highlight w:val="none"/>
        </w:rPr>
        <w:t xml:space="preserve">等）进行说明，并将证明材料扫描件上传至苏彩云投标系统，</w:t>
      </w:r>
      <w:bookmarkStart w:id="28" w:name="OLE_LINK13"/>
      <w:r>
        <w:rPr>
          <w:rFonts w:hint="eastAsia" w:ascii="宋体" w:hAnsi="宋体" w:eastAsia="宋体" w:cs="宋体"/>
          <w:b/>
          <w:bCs w:val="0"/>
          <w:sz w:val="28"/>
          <w:szCs w:val="24"/>
          <w:highlight w:val="none"/>
        </w:rPr>
        <w:t xml:space="preserve">每项按评分</w:t>
      </w:r>
      <w:r>
        <w:rPr>
          <w:rFonts w:ascii="宋体" w:hAnsi="宋体" w:eastAsia="宋体" w:cs="宋体"/>
          <w:b/>
          <w:bCs w:val="0"/>
          <w:sz w:val="28"/>
          <w:szCs w:val="24"/>
          <w:highlight w:val="none"/>
        </w:rPr>
        <w:t xml:space="preserve">标准</w:t>
      </w:r>
      <w:r>
        <w:rPr>
          <w:rFonts w:hint="eastAsia" w:ascii="宋体" w:hAnsi="宋体" w:eastAsia="宋体" w:cs="宋体"/>
          <w:b/>
          <w:bCs w:val="0"/>
          <w:sz w:val="28"/>
          <w:szCs w:val="24"/>
          <w:highlight w:val="none"/>
        </w:rPr>
        <w:t xml:space="preserve">得分，未提供或提供的相关证明材料不能佐证评分参数内容的，评审时不予认可</w:t>
      </w:r>
      <w:bookmarkEnd w:id="27"/>
      <w:r/>
      <w:bookmarkEnd w:id="28"/>
      <w:r>
        <w:rPr>
          <w:rFonts w:hint="eastAsia" w:ascii="宋体" w:hAnsi="宋体" w:eastAsia="宋体" w:cs="宋体"/>
          <w:b/>
          <w:bCs w:val="0"/>
          <w:sz w:val="28"/>
          <w:szCs w:val="24"/>
          <w:highlight w:val="none"/>
          <w:lang w:eastAsia="zh-CN"/>
        </w:rPr>
        <w:t xml:space="preserve">，</w:t>
      </w:r>
      <w:r>
        <w:rPr>
          <w:rFonts w:hint="eastAsia" w:ascii="宋体" w:hAnsi="宋体" w:eastAsia="宋体" w:cs="宋体"/>
          <w:b/>
          <w:bCs w:val="0"/>
          <w:sz w:val="28"/>
          <w:szCs w:val="24"/>
          <w:highlight w:val="none"/>
        </w:rPr>
        <w:t xml:space="preserve">各投标人在提供证明材料时需对所对应的技术参数进行醒目标注，以便评标委员会进行评审。</w:t>
      </w:r>
      <w:r/>
    </w:p>
    <w:p>
      <w:pPr>
        <w:pStyle w:val="1016"/>
        <w:rPr>
          <w:rFonts w:hint="eastAsia"/>
        </w:rPr>
      </w:pPr>
      <w:r>
        <w:rPr>
          <w:rFonts w:hint="eastAsia"/>
        </w:rPr>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1、设备性能及要求（3分）：</w:t>
      </w:r>
      <w:r/>
    </w:p>
    <w:p>
      <w:pPr>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曳引机、控制柜、门机、层门门锁、轿门门锁、限速器、安全钳、安全电路、上行超速保护装置、轿厢意外移动保护装置、缓冲器</w:t>
      </w:r>
      <w:r>
        <w:rPr>
          <w:rFonts w:hint="eastAsia" w:asciiTheme="minorEastAsia" w:hAnsiTheme="minorEastAsia" w:eastAsiaTheme="minorEastAsia" w:cstheme="minorEastAsia"/>
          <w:sz w:val="24"/>
          <w:szCs w:val="24"/>
          <w:highlight w:val="none"/>
          <w:lang w:val="en-US" w:eastAsia="zh-CN"/>
        </w:rPr>
        <w:t xml:space="preserve">的生产厂家与所投电梯生产厂家一致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其中：</w:t>
      </w:r>
      <w:r>
        <w:rPr>
          <w:rFonts w:hint="eastAsia" w:asciiTheme="minorEastAsia" w:hAnsiTheme="minorEastAsia" w:eastAsiaTheme="minorEastAsia" w:cstheme="minorEastAsia"/>
          <w:sz w:val="24"/>
          <w:szCs w:val="24"/>
          <w:highlight w:val="none"/>
        </w:rPr>
        <w:t xml:space="preserve">11项全部</w:t>
      </w:r>
      <w:r>
        <w:rPr>
          <w:rFonts w:hint="eastAsia" w:asciiTheme="minorEastAsia" w:hAnsiTheme="minorEastAsia" w:eastAsiaTheme="minorEastAsia" w:cstheme="minorEastAsia"/>
          <w:sz w:val="24"/>
          <w:szCs w:val="24"/>
          <w:highlight w:val="none"/>
          <w:lang w:val="en-US" w:eastAsia="zh-CN"/>
        </w:rPr>
        <w:t xml:space="preserve">一致</w:t>
      </w:r>
      <w:r>
        <w:rPr>
          <w:rFonts w:hint="eastAsia" w:asciiTheme="minorEastAsia" w:hAnsiTheme="minorEastAsia" w:eastAsiaTheme="minorEastAsia" w:cstheme="minorEastAsia"/>
          <w:sz w:val="24"/>
          <w:szCs w:val="24"/>
          <w:highlight w:val="none"/>
        </w:rPr>
        <w:t xml:space="preserve">的得3分；7—10项</w:t>
      </w:r>
      <w:r>
        <w:rPr>
          <w:rFonts w:hint="eastAsia" w:asciiTheme="minorEastAsia" w:hAnsiTheme="minorEastAsia" w:eastAsiaTheme="minorEastAsia" w:cstheme="minorEastAsia"/>
          <w:sz w:val="24"/>
          <w:szCs w:val="24"/>
          <w:highlight w:val="none"/>
          <w:lang w:val="en-US" w:eastAsia="zh-CN"/>
        </w:rPr>
        <w:t xml:space="preserve">一致</w:t>
      </w:r>
      <w:r>
        <w:rPr>
          <w:rFonts w:hint="eastAsia" w:asciiTheme="minorEastAsia" w:hAnsiTheme="minorEastAsia" w:eastAsiaTheme="minorEastAsia" w:cstheme="minorEastAsia"/>
          <w:sz w:val="24"/>
          <w:szCs w:val="24"/>
          <w:highlight w:val="none"/>
        </w:rPr>
        <w:t xml:space="preserve">的得2分；3-6项的</w:t>
      </w:r>
      <w:r>
        <w:rPr>
          <w:rFonts w:hint="eastAsia" w:asciiTheme="minorEastAsia" w:hAnsiTheme="minorEastAsia" w:eastAsiaTheme="minorEastAsia" w:cstheme="minorEastAsia"/>
          <w:sz w:val="24"/>
          <w:szCs w:val="24"/>
          <w:highlight w:val="none"/>
          <w:lang w:val="en-US" w:eastAsia="zh-CN"/>
        </w:rPr>
        <w:t xml:space="preserve">一致的</w:t>
      </w:r>
      <w:r>
        <w:rPr>
          <w:rFonts w:hint="eastAsia" w:asciiTheme="minorEastAsia" w:hAnsiTheme="minorEastAsia" w:eastAsiaTheme="minorEastAsia" w:cstheme="minorEastAsia"/>
          <w:sz w:val="24"/>
          <w:szCs w:val="24"/>
          <w:highlight w:val="none"/>
        </w:rPr>
        <w:t xml:space="preserve">得1分；低于3项的不得分。本项最高得3分。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【提供投标电梯型号的整机型式试验报告</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门机除外</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门机需提供由所投电梯品牌制造商委托第三方检测机构出具的检测报告</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上述资料上传至投标系统并电子签章</w:t>
      </w:r>
      <w:r>
        <w:rPr>
          <w:rFonts w:hint="eastAsia" w:asciiTheme="minorEastAsia" w:hAnsiTheme="minorEastAsia" w:eastAsiaTheme="minorEastAsia" w:cstheme="minorEastAsia"/>
          <w:b/>
          <w:bCs/>
          <w:sz w:val="24"/>
          <w:szCs w:val="24"/>
          <w:highlight w:val="none"/>
        </w:rPr>
        <w:t xml:space="preserve">，未提供或提供不符要求的不得分】</w:t>
      </w:r>
      <w:r/>
    </w:p>
    <w:p>
      <w:pPr>
        <w:numPr>
          <w:ilvl w:val="0"/>
          <w:numId w:val="0"/>
        </w:num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lang w:val="en-US" w:eastAsia="zh-CN" w:bidi="ar-SA"/>
        </w:rPr>
        <w:t xml:space="preserve">2、</w:t>
      </w:r>
      <w:r>
        <w:rPr>
          <w:rFonts w:hint="eastAsia" w:asciiTheme="minorEastAsia" w:hAnsiTheme="minorEastAsia" w:eastAsiaTheme="minorEastAsia" w:cstheme="minorEastAsia"/>
          <w:b/>
          <w:bCs/>
          <w:sz w:val="24"/>
          <w:szCs w:val="24"/>
          <w:highlight w:val="none"/>
        </w:rPr>
        <w:t xml:space="preserve">终端开关（3分）：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本项目电梯配置终端开关的生产厂家与所投电梯生产厂家一致</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在正常的工作条件下动作寿命</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00万次的得3分；在正常的工作条件下动作寿命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800＜动作寿命≤1400</w:t>
      </w:r>
      <w:r>
        <w:rPr>
          <w:rFonts w:hint="eastAsia" w:asciiTheme="minorEastAsia" w:hAnsiTheme="minorEastAsia" w:eastAsiaTheme="minorEastAsia" w:cstheme="minorEastAsia"/>
          <w:sz w:val="24"/>
          <w:szCs w:val="24"/>
          <w:highlight w:val="none"/>
        </w:rPr>
        <w:t xml:space="preserve">万次的得2分；在正常的工作条件下动作寿命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200＜动作寿命≤800万次</w:t>
      </w:r>
      <w:r>
        <w:rPr>
          <w:rFonts w:hint="eastAsia" w:asciiTheme="minorEastAsia" w:hAnsiTheme="minorEastAsia" w:eastAsiaTheme="minorEastAsia" w:cstheme="minorEastAsia"/>
          <w:sz w:val="24"/>
          <w:szCs w:val="24"/>
          <w:highlight w:val="none"/>
        </w:rPr>
        <w:t xml:space="preserve">的得1分。本项最高得3分。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w:t>
      </w:r>
      <w:r>
        <w:rPr>
          <w:rFonts w:hint="eastAsia" w:asciiTheme="minorEastAsia" w:hAnsiTheme="minorEastAsia" w:eastAsiaTheme="minorEastAsia" w:cstheme="minorEastAsia"/>
          <w:b/>
          <w:bCs/>
          <w:sz w:val="24"/>
          <w:szCs w:val="24"/>
          <w:highlight w:val="none"/>
          <w:lang w:val="en-US" w:eastAsia="zh-CN"/>
        </w:rPr>
        <w:t xml:space="preserve">系统</w:t>
      </w:r>
      <w:r>
        <w:rPr>
          <w:rFonts w:hint="eastAsia" w:asciiTheme="minorEastAsia" w:hAnsiTheme="minorEastAsia" w:eastAsiaTheme="minorEastAsia" w:cstheme="minorEastAsia"/>
          <w:b/>
          <w:bCs/>
          <w:sz w:val="24"/>
          <w:szCs w:val="24"/>
          <w:highlight w:val="none"/>
        </w:rPr>
        <w:t xml:space="preserve">并电子签章，不提供不得分】</w:t>
      </w:r>
      <w:r/>
    </w:p>
    <w:p>
      <w:pPr>
        <w:numPr>
          <w:ilvl w:val="0"/>
          <w:numId w:val="0"/>
        </w:num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lang w:val="en-US" w:eastAsia="zh-CN" w:bidi="ar-SA"/>
        </w:rPr>
        <w:t xml:space="preserve">3、</w:t>
      </w:r>
      <w:r>
        <w:rPr>
          <w:rFonts w:hint="eastAsia" w:asciiTheme="minorEastAsia" w:hAnsiTheme="minorEastAsia" w:eastAsiaTheme="minorEastAsia" w:cstheme="minorEastAsia"/>
          <w:b/>
          <w:bCs/>
          <w:sz w:val="24"/>
          <w:szCs w:val="24"/>
          <w:highlight w:val="none"/>
        </w:rPr>
        <w:t xml:space="preserve">控制柜（</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电梯控制柜雷击浪涌干扰电压</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雷击浪涌干扰电压</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KV</w:t>
      </w:r>
      <w:r>
        <w:rPr>
          <w:rFonts w:hint="eastAsia" w:asciiTheme="minorEastAsia" w:hAnsiTheme="minorEastAsia" w:eastAsiaTheme="minorEastAsia" w:cstheme="minorEastAsia"/>
          <w:sz w:val="24"/>
          <w:szCs w:val="24"/>
          <w:highlight w:val="none"/>
          <w:lang w:val="en-US" w:eastAsia="zh-CN"/>
        </w:rPr>
        <w:t xml:space="preserve">的得2分</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10V</w:t>
      </w:r>
      <w:r>
        <w:rPr>
          <w:rFonts w:hint="eastAsia" w:asciiTheme="minorEastAsia" w:hAnsiTheme="minorEastAsia" w:eastAsiaTheme="minorEastAsia" w:cstheme="minorEastAsia"/>
          <w:sz w:val="24"/>
          <w:szCs w:val="24"/>
          <w:highlight w:val="none"/>
        </w:rPr>
        <w:t xml:space="preserve">＜雷击浪涌干扰电压＜</w:t>
      </w:r>
      <w:r>
        <w:rPr>
          <w:rFonts w:hint="eastAsia" w:asciiTheme="minorEastAsia" w:hAnsiTheme="minorEastAsia" w:eastAsiaTheme="minorEastAsia" w:cstheme="minorEastAsia"/>
          <w:sz w:val="24"/>
          <w:szCs w:val="24"/>
          <w:highlight w:val="none"/>
          <w:lang w:val="en-US" w:eastAsia="zh-CN"/>
        </w:rPr>
        <w:t xml:space="preserve">20V</w:t>
      </w:r>
      <w:r>
        <w:rPr>
          <w:rFonts w:hint="eastAsia" w:asciiTheme="minorEastAsia" w:hAnsiTheme="minorEastAsia" w:eastAsiaTheme="minorEastAsia" w:cstheme="minorEastAsia"/>
          <w:sz w:val="24"/>
          <w:szCs w:val="24"/>
          <w:highlight w:val="none"/>
        </w:rPr>
        <w:t xml:space="preserve">的得1分。本项最高得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【提供由所投电梯品牌制造商委托的第三方检测机构出具的检测报告上传至投标系统并电子签章，不提供不得分】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highlight w:val="none"/>
        </w:rPr>
        <w:t xml:space="preserve">层门摆锤冲击试验</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分）：</w:t>
      </w:r>
      <w:r/>
    </w:p>
    <w:p>
      <w:pPr>
        <w:ind w:firstLine="482"/>
        <w:spacing w:line="360" w:lineRule="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进行层门摆锤冲击试验，摆锤冲击试验</w:t>
      </w:r>
      <w:r>
        <w:rPr>
          <w:rFonts w:hint="eastAsia" w:asciiTheme="minorEastAsia" w:hAnsiTheme="minorEastAsia" w:eastAsiaTheme="minorEastAsia" w:cstheme="minorEastAsia"/>
          <w:sz w:val="24"/>
          <w:highlight w:val="none"/>
          <w:lang w:val="en-US" w:eastAsia="zh-CN"/>
        </w:rPr>
        <w:t xml:space="preserve">≥650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的得2分；330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w:t>
      </w:r>
      <w:r>
        <w:rPr>
          <w:rFonts w:hint="eastAsia" w:asciiTheme="minorEastAsia" w:hAnsiTheme="minorEastAsia" w:eastAsiaTheme="minorEastAsia" w:cstheme="minorEastAsia"/>
          <w:sz w:val="24"/>
          <w:highlight w:val="none"/>
        </w:rPr>
        <w:t xml:space="preserve">摆锤冲击试验</w:t>
      </w:r>
      <w:r>
        <w:rPr>
          <w:rFonts w:hint="eastAsia" w:asciiTheme="minorEastAsia" w:hAnsiTheme="minorEastAsia" w:eastAsiaTheme="minorEastAsia" w:cstheme="minorEastAsia"/>
          <w:sz w:val="24"/>
          <w:highlight w:val="none"/>
          <w:lang w:val="en-US" w:eastAsia="zh-CN"/>
        </w:rPr>
        <w:t xml:space="preserve">＜650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的得1分。本项最高得2分。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【提供由所投电梯品牌制造商委托的第三方检测机构出具的检测报告上传至投标系统并电子签章，不提供不得分】</w:t>
      </w:r>
      <w:r/>
    </w:p>
    <w:p>
      <w:pPr>
        <w:ind w:firstLine="482"/>
        <w:spacing w:line="360" w:lineRule="auto"/>
        <w:tabs>
          <w:tab w:val="left" w:pos="63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三、投标人及产品制造商综合评价（4分）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b/>
          <w:bCs/>
          <w:sz w:val="24"/>
          <w:szCs w:val="24"/>
          <w:highlight w:val="none"/>
          <w:lang w:val="en-US" w:eastAsia="zh-CN"/>
        </w:rPr>
        <w:t xml:space="preserve">认证体系</w:t>
      </w:r>
      <w:r>
        <w:rPr>
          <w:rFonts w:hint="eastAsia" w:asciiTheme="minorEastAsia" w:hAnsiTheme="minorEastAsia" w:eastAsiaTheme="minorEastAsia" w:cstheme="minorEastAsia"/>
          <w:b/>
          <w:bCs/>
          <w:sz w:val="24"/>
          <w:szCs w:val="24"/>
          <w:highlight w:val="none"/>
        </w:rPr>
        <w:t xml:space="preserve">（2分）：</w:t>
      </w:r>
      <w:r/>
    </w:p>
    <w:p>
      <w:pPr>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投标供应商或电梯制造商具有有效期内的质量管理体系认证证书、环境管理体系认证证书、职业健康和安全管理体系认证证书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能源管理体系认证</w:t>
      </w:r>
      <w:r>
        <w:rPr>
          <w:rFonts w:hint="eastAsia" w:asciiTheme="minorEastAsia" w:hAnsiTheme="minorEastAsia" w:eastAsiaTheme="minorEastAsia" w:cstheme="minorEastAsia"/>
          <w:sz w:val="24"/>
          <w:szCs w:val="24"/>
          <w:highlight w:val="none"/>
          <w:lang w:val="en-US" w:eastAsia="zh-CN"/>
        </w:rPr>
        <w:t xml:space="preserve">证书的</w:t>
      </w:r>
      <w:r>
        <w:rPr>
          <w:rFonts w:hint="eastAsia" w:asciiTheme="minorEastAsia" w:hAnsiTheme="minorEastAsia" w:eastAsiaTheme="minorEastAsia" w:cstheme="minorEastAsia"/>
          <w:sz w:val="24"/>
          <w:szCs w:val="24"/>
          <w:highlight w:val="none"/>
        </w:rPr>
        <w:t xml:space="preserve">，每提供1个得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本项</w:t>
      </w:r>
      <w:r>
        <w:rPr>
          <w:rFonts w:hint="eastAsia" w:asciiTheme="minorEastAsia" w:hAnsiTheme="minorEastAsia" w:eastAsiaTheme="minorEastAsia" w:cstheme="minorEastAsia"/>
          <w:sz w:val="24"/>
          <w:szCs w:val="24"/>
          <w:highlight w:val="none"/>
        </w:rPr>
        <w:t xml:space="preserve">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ind w:firstLine="482"/>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【提供有效的相关证书证明材料原件扫描件上传至投标</w:t>
      </w:r>
      <w:r>
        <w:rPr>
          <w:rFonts w:hint="eastAsia" w:asciiTheme="minorEastAsia" w:hAnsiTheme="minorEastAsia" w:eastAsiaTheme="minorEastAsia" w:cstheme="minorEastAsia"/>
          <w:b/>
          <w:bCs/>
          <w:sz w:val="24"/>
          <w:szCs w:val="24"/>
          <w:highlight w:val="none"/>
          <w:lang w:val="en-US" w:eastAsia="zh-CN"/>
        </w:rPr>
        <w:t xml:space="preserve">系统</w:t>
      </w:r>
      <w:r>
        <w:rPr>
          <w:rFonts w:hint="eastAsia" w:asciiTheme="minorEastAsia" w:hAnsiTheme="minorEastAsia" w:eastAsiaTheme="minorEastAsia" w:cstheme="minorEastAsia"/>
          <w:b/>
          <w:bCs/>
          <w:sz w:val="24"/>
          <w:szCs w:val="24"/>
          <w:highlight w:val="none"/>
        </w:rPr>
        <w:t xml:space="preserve">并电子签章，未按要求提供不得分】</w:t>
      </w:r>
      <w:r/>
    </w:p>
    <w:p>
      <w:pPr>
        <w:pStyle w:val="1046"/>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、信息系统安全等级（2分）</w:t>
      </w:r>
      <w:r/>
    </w:p>
    <w:p>
      <w:pPr>
        <w:ind w:firstLine="482"/>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投标品牌电梯物联网获得信息系统安全等级保护认证，等级为三级的得2分，等级为二级的得1分，等级为一级的得0.5分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本项最高得2分</w:t>
      </w:r>
      <w:r>
        <w:rPr>
          <w:rFonts w:hint="eastAsia" w:asciiTheme="minorEastAsia" w:hAnsiTheme="minorEastAsia" w:eastAsiaTheme="minorEastAsia" w:cstheme="minorEastAsia"/>
          <w:sz w:val="24"/>
          <w:szCs w:val="24"/>
          <w:highlight w:val="none"/>
          <w:lang w:eastAsia="zh-CN"/>
        </w:rPr>
        <w:t xml:space="preserve">。</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【提供市级</w:t>
      </w:r>
      <w:r>
        <w:rPr>
          <w:rFonts w:hint="eastAsia" w:asciiTheme="minorEastAsia" w:hAnsiTheme="minorEastAsia" w:eastAsiaTheme="minorEastAsia" w:cstheme="minorEastAsia"/>
          <w:b/>
          <w:bCs/>
          <w:sz w:val="24"/>
          <w:szCs w:val="24"/>
          <w:highlight w:val="none"/>
          <w:lang w:val="en-US" w:eastAsia="zh-CN"/>
        </w:rPr>
        <w:t xml:space="preserve">及</w:t>
      </w:r>
      <w:r>
        <w:rPr>
          <w:rFonts w:hint="eastAsia" w:asciiTheme="minorEastAsia" w:hAnsiTheme="minorEastAsia" w:eastAsiaTheme="minorEastAsia" w:cstheme="minorEastAsia"/>
          <w:b/>
          <w:bCs/>
          <w:sz w:val="24"/>
          <w:szCs w:val="24"/>
          <w:highlight w:val="none"/>
        </w:rPr>
        <w:t xml:space="preserve">以上政府机关出具的相关证明上传至投标系统并电子签章，未提供不得分】</w:t>
      </w:r>
      <w:r/>
    </w:p>
    <w:p>
      <w:pPr>
        <w:pStyle w:val="1039"/>
        <w:ind w:firstLine="360"/>
        <w:spacing w:before="0" w:after="0"/>
        <w:rPr>
          <w:rFonts w:hint="eastAsia" w:ascii="宋体" w:hAnsi="宋体"/>
          <w:b/>
          <w:sz w:val="28"/>
          <w:szCs w:val="28"/>
        </w:rPr>
      </w:pPr>
      <w:r>
        <w:rPr>
          <w:rFonts w:hint="eastAsia" w:ascii="宋体" w:hAnsi="宋体"/>
          <w:b/>
          <w:sz w:val="28"/>
          <w:szCs w:val="28"/>
        </w:rPr>
        <w:t xml:space="preserve">四、技术</w:t>
      </w:r>
      <w:r>
        <w:rPr>
          <w:rFonts w:hint="eastAsia" w:ascii="宋体" w:hAnsi="宋体"/>
          <w:b/>
          <w:sz w:val="28"/>
          <w:szCs w:val="28"/>
          <w:lang w:val="en-US" w:eastAsia="zh-CN"/>
        </w:rPr>
        <w:t xml:space="preserve">方案</w:t>
      </w:r>
      <w:r>
        <w:rPr>
          <w:rFonts w:hint="eastAsia" w:ascii="宋体" w:hAnsi="宋体"/>
          <w:b/>
          <w:sz w:val="28"/>
          <w:szCs w:val="28"/>
        </w:rPr>
        <w:t xml:space="preserve">（</w:t>
      </w:r>
      <w:r>
        <w:rPr>
          <w:rFonts w:hint="eastAsia" w:ascii="宋体" w:hAnsi="宋体"/>
          <w:b/>
          <w:sz w:val="28"/>
          <w:szCs w:val="28"/>
          <w:lang w:val="en-US" w:eastAsia="zh-CN"/>
        </w:rPr>
        <w:t xml:space="preserve">4</w:t>
      </w:r>
      <w:r>
        <w:rPr>
          <w:rFonts w:hint="eastAsia" w:ascii="宋体" w:hAnsi="宋体"/>
          <w:b/>
          <w:sz w:val="28"/>
          <w:szCs w:val="28"/>
        </w:rPr>
        <w:t xml:space="preserve">6分）（暗标要求已更新，详见供应商须知）</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1、项目实施方案（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①施工工程组织总体设想（2分）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②旧电梯拆除方案（2分）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③电梯安装施工顺序及方案(2分）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④施工进度计划（2分）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⑤各阶段进度的保证措施（2分）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2、内部管理制度(6分)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①人员组织、分工落实措施（2分）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②人员岗位培训方案（2分）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③管理责任和人员考核方案（2分）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3、质量保障措施、应急保障方案（8分）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①质量保障体系；（2分）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②质量保障目标及技术质量措施；（2分）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③应急保障措施内容及流程；（2分）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④突发事件应急预案及保障措施。（2分）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4、安全文明施工、电梯安装的安全保证措施及环境保护措施（6分）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①安全文明施工（2分）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②电梯安装的安全保证措施（2分）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③环境保护措施（2分）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5、售后服务方案（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①售后服务体系（2分）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②售后服务承诺（2分）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③重大活动人员技术支持服务（2分）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④质保期后维护服务（2分）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⑤品备件</w:t>
      </w:r>
      <w:r>
        <w:rPr>
          <w:rFonts w:hint="eastAsia" w:asciiTheme="minorEastAsia" w:hAnsiTheme="minorEastAsia" w:eastAsiaTheme="minorEastAsia" w:cstheme="minorEastAsia"/>
          <w:sz w:val="24"/>
          <w:szCs w:val="24"/>
          <w:highlight w:val="none"/>
          <w:lang w:val="en-US" w:eastAsia="zh-CN"/>
        </w:rPr>
        <w:t xml:space="preserve">库存保障措施</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6、培训方案（6分）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①培训计划</w:t>
      </w:r>
      <w:r>
        <w:rPr>
          <w:rFonts w:hint="eastAsia" w:asciiTheme="minorEastAsia" w:hAnsiTheme="minorEastAsia" w:eastAsiaTheme="minorEastAsia" w:cstheme="minorEastAsia"/>
          <w:sz w:val="24"/>
          <w:szCs w:val="24"/>
          <w:highlight w:val="none"/>
          <w:lang w:val="en-US" w:eastAsia="zh-CN"/>
        </w:rPr>
        <w:t xml:space="preserve">及</w:t>
      </w:r>
      <w:r>
        <w:rPr>
          <w:rFonts w:hint="eastAsia" w:asciiTheme="minorEastAsia" w:hAnsiTheme="minorEastAsia" w:eastAsiaTheme="minorEastAsia" w:cstheme="minorEastAsia"/>
          <w:sz w:val="24"/>
          <w:szCs w:val="24"/>
          <w:highlight w:val="none"/>
        </w:rPr>
        <w:t xml:space="preserve">培训内容（2分）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②培训人员安排（2分）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③培训周期等（2分）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18"/>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18"/>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JSZC-320205-JZCG-G2026-0056</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东亭街道部分商品房国债老旧电梯更新（第三批次）项目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1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1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1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031"/>
        <w:ind w:firstLine="0"/>
        <w:rPr>
          <w:color w:val="000000"/>
          <w:highlight w:val="none"/>
        </w:rPr>
      </w:pPr>
      <w:r/>
      <w:bookmarkStart w:id="29" w:name="一．报价函（格式）"/>
      <w:r/>
      <w:bookmarkEnd w:id="29"/>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JSZC-320205-JZCG-G2026-0056</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40"/>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02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024"/>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0" w:name="报价方关于资格的声明函（格式）"/>
      <w:r/>
      <w:bookmarkEnd w:id="30"/>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JSZC-320205-JZCG-G2026-0056</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东亭街道部分商品房国债老旧电梯更新（第三批次）项目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JSZC-320205-JZCG-G2026-0056</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东亭街道部分商品房国债老旧电梯更新（第三批次）项目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18"/>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18"/>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0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5"/>
        <w:rPr>
          <w:color w:val="000000"/>
          <w:highlight w:val="none"/>
        </w:rPr>
      </w:pPr>
      <w:r>
        <w:rPr>
          <w:color w:val="000000"/>
          <w:highlight w:val="none"/>
        </w:rPr>
      </w:r>
      <w:r/>
    </w:p>
    <w:p>
      <w:pPr>
        <w:pStyle w:val="10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016"/>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JSZC-320205-JZCG-G2026-0056</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18"/>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0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0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015"/>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0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0"/>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18"/>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numPr>
          <w:ilvl w:val="0"/>
          <w:numId w:val="0"/>
        </w:numPr>
        <w:rPr>
          <w:rFonts w:ascii="黑体" w:hAnsi="宋体" w:eastAsia="黑体"/>
          <w:bCs/>
          <w:color w:val="000000"/>
          <w:sz w:val="24"/>
          <w:szCs w:val="24"/>
          <w:highlight w:val="none"/>
        </w:rPr>
        <w:outlineLvl w:val="0"/>
      </w:pPr>
      <w:r>
        <w:rPr>
          <w:rFonts w:hint="eastAsia" w:ascii="黑体" w:hAnsi="宋体" w:eastAsia="黑体" w:cs="Times New Roman"/>
          <w:bCs/>
          <w:color w:val="000000"/>
          <w:sz w:val="24"/>
          <w:szCs w:val="24"/>
          <w:lang w:val="en-US" w:eastAsia="zh-CN" w:bidi="ar-SA"/>
        </w:rPr>
        <w:t xml:space="preserve">（六）</w:t>
      </w:r>
      <w:r>
        <w:rPr>
          <w:rFonts w:hint="eastAsia" w:ascii="黑体" w:hAnsi="宋体" w:eastAsia="黑体"/>
          <w:bCs/>
          <w:color w:val="000000"/>
          <w:sz w:val="24"/>
          <w:szCs w:val="24"/>
          <w:highlight w:val="none"/>
        </w:rPr>
        <w:t xml:space="preserve">报价明细表（格式）：</w:t>
      </w:r>
      <w:r/>
    </w:p>
    <w:p>
      <w:pPr>
        <w:pStyle w:val="1018"/>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015"/>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序号</w:t>
            </w:r>
            <w:r/>
          </w:p>
        </w:tc>
        <w:tc>
          <w:tcPr>
            <w:tcMar>
              <w:left w:w="15" w:type="dxa"/>
              <w:top w:w="15" w:type="dxa"/>
              <w:right w:w="15" w:type="dxa"/>
              <w:bottom w:w="0" w:type="dxa"/>
            </w:tcMar>
            <w:tcW w:w="65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规格</w:t>
            </w:r>
            <w:r/>
          </w:p>
        </w:tc>
        <w:tc>
          <w:tcPr>
            <w:tcMar>
              <w:left w:w="15" w:type="dxa"/>
              <w:top w:w="15" w:type="dxa"/>
              <w:right w:w="15" w:type="dxa"/>
              <w:bottom w:w="0" w:type="dxa"/>
            </w:tcMar>
            <w:tcW w:w="1017" w:type="dxa"/>
            <w:vAlign w:val="center"/>
            <w:textDirection w:val="lrTb"/>
            <w:noWrap/>
          </w:tcPr>
          <w:p>
            <w:pPr>
              <w:jc w:val="center"/>
              <w:spacing w:before="5"/>
              <w:rPr>
                <w:rFonts w:hint="default" w:ascii="宋体" w:hAnsi="宋体" w:eastAsia="宋体" w:cs="宋体"/>
                <w:color w:val="000000" w:themeColor="text1"/>
                <w:sz w:val="18"/>
                <w:lang w:val="en-US" w:eastAsia="zh-CN"/>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数量</w:t>
            </w:r>
            <w:r/>
          </w:p>
        </w:tc>
        <w:tc>
          <w:tcPr>
            <w:tcMar>
              <w:left w:w="15" w:type="dxa"/>
              <w:top w:w="15" w:type="dxa"/>
              <w:right w:w="15" w:type="dxa"/>
              <w:bottom w:w="0" w:type="dxa"/>
            </w:tcMar>
            <w:tcW w:w="68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单位</w:t>
            </w:r>
            <w:r/>
          </w:p>
        </w:tc>
        <w:tc>
          <w:tcPr>
            <w:tcMar>
              <w:left w:w="15" w:type="dxa"/>
              <w:top w:w="15" w:type="dxa"/>
              <w:right w:w="15" w:type="dxa"/>
              <w:bottom w:w="0" w:type="dxa"/>
            </w:tcMar>
            <w:tcW w:w="450"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产地</w:t>
            </w:r>
            <w:r/>
          </w:p>
        </w:tc>
        <w:tc>
          <w:tcPr>
            <w:tcW w:w="10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免费质保期</w:t>
            </w:r>
            <w:r/>
          </w:p>
        </w:tc>
        <w:tc>
          <w:tcPr>
            <w:tcW w:w="1041"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041"/>
              <w:spacing w:before="5"/>
              <w:tabs>
                <w:tab w:val="clear" w:pos="4153" w:leader="none"/>
                <w:tab w:val="clear" w:pos="8306" w:leader="none"/>
              </w:tabs>
              <w:rPr>
                <w:rFonts w:hint="eastAsia" w:ascii="宋体" w:hAnsi="宋体" w:eastAsia="宋体" w:cs="宋体"/>
                <w:color w:val="000000" w:themeColor="text1"/>
                <w14:textFill>
                  <w14:solidFill>
                    <w14:schemeClr w14:val="tx1"/>
                  </w14:solidFill>
                </w14:textFill>
              </w:rPr>
              <w:pBdr>
                <w:bottom w:val="none" w:color="000000" w:sz="0" w:space="0"/>
              </w:pBd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pStyle w:val="104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04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04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04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00" w:type="dxa"/>
            <w:vAlign w:val="center"/>
            <w:textDirection w:val="lrTb"/>
            <w:noWrap w:val="false"/>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04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04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04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0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041"/>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041"/>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合同签订生效之日起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个日历日内交货并安装调试完毕</w:t>
            </w:r>
            <w:r/>
          </w:p>
        </w:tc>
      </w:tr>
      <w:tr>
        <w:trPr>
          <w:cantSplit/>
          <w:trHeight w:val="645"/>
        </w:trPr>
        <w:tc>
          <w:tcPr>
            <w:gridSpan w:val="5"/>
            <w:tcMar>
              <w:left w:w="15" w:type="dxa"/>
              <w:top w:w="15" w:type="dxa"/>
              <w:right w:w="15" w:type="dxa"/>
              <w:bottom w:w="0" w:type="dxa"/>
            </w:tcMar>
            <w:tcW w:w="3147" w:type="dxa"/>
            <w:vAlign w:val="center"/>
            <w:textDirection w:val="lrTb"/>
            <w:noWrap/>
          </w:tcPr>
          <w:p>
            <w:pPr>
              <w:pStyle w:val="1041"/>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项目整体免费质保期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项目经最终验收合格之日起____年</w:t>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center"/>
              <w:rPr>
                <w:rFonts w:hint="eastAsia" w:ascii="宋体" w:hAnsi="宋体" w:eastAsia="宋体" w:cs="宋体"/>
                <w:color w:val="000000" w:themeColor="text1"/>
                <w:sz w:val="24"/>
                <w:szCs w:val="28"/>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18"/>
        <w:rPr>
          <w:color w:val="000000"/>
          <w:highlight w:val="none"/>
        </w:rPr>
      </w:pPr>
      <w:r>
        <w:rPr>
          <w:color w:val="000000"/>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东亭街道部分商品房国债老旧电梯更新（第三批次）项目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025"/>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015"/>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JSZC-320205-JZCG-G2026-0024</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（1）本表不得删除；</w:t>
      </w:r>
      <w:r/>
    </w:p>
    <w:p>
      <w:pPr>
        <w:ind w:firstLine="480"/>
        <w:rPr>
          <w:rFonts w:hint="eastAsia" w:ascii="宋体" w:hAnsi="宋体" w:eastAsia="宋体" w:cs="宋体"/>
          <w:b/>
          <w:bCs w:val="0"/>
          <w:color w:val="ff0000"/>
          <w:sz w:val="36"/>
          <w:szCs w:val="36"/>
          <w:highlight w:val="none"/>
        </w:rPr>
        <w:outlineLvl w:val="0"/>
      </w:pPr>
      <w:r>
        <w:rPr>
          <w:rFonts w:hint="eastAsia" w:ascii="宋体" w:hAnsi="宋体" w:eastAsia="宋体" w:cs="宋体"/>
          <w:b/>
          <w:bCs w:val="0"/>
          <w:color w:val="ff0000"/>
          <w:sz w:val="36"/>
          <w:szCs w:val="36"/>
        </w:rPr>
        <w:t xml:space="preserve">（2）</w:t>
      </w:r>
      <w:r>
        <w:rPr>
          <w:rFonts w:hint="eastAsia" w:ascii="宋体" w:hAnsi="宋体" w:eastAsia="宋体" w:cs="Times New Roman"/>
          <w:b/>
          <w:bCs w:val="0"/>
          <w:color w:val="ff0000"/>
          <w:sz w:val="40"/>
          <w:szCs w:val="40"/>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ff0000"/>
          <w:sz w:val="40"/>
          <w:szCs w:val="40"/>
          <w:highlight w:val="yellow"/>
          <w:lang w:val="en-US" w:eastAsia="zh-CN"/>
        </w:rPr>
        <w:outlineLvl w:val="0"/>
      </w:pPr>
      <w:r>
        <w:rPr>
          <w:rFonts w:hint="eastAsia" w:ascii="宋体" w:hAnsi="宋体" w:eastAsia="宋体" w:cs="宋体"/>
          <w:b/>
          <w:bCs w:val="0"/>
          <w:color w:val="ff0000"/>
          <w:sz w:val="36"/>
          <w:szCs w:val="36"/>
          <w:highlight w:val="none"/>
        </w:rPr>
        <w:t xml:space="preserve">（3）</w:t>
      </w:r>
      <w:r>
        <w:rPr>
          <w:rFonts w:hint="eastAsia" w:ascii="宋体" w:hAnsi="宋体" w:eastAsia="宋体" w:cs="Times New Roman"/>
          <w:b/>
          <w:bCs w:val="0"/>
          <w:color w:val="ff0000"/>
          <w:sz w:val="40"/>
          <w:szCs w:val="40"/>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（5）表格不够可自行延长，但不得改变文本格式；</w:t>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Theme="minorEastAsia" w:hAnsiTheme="minorEastAsia" w:eastAsiaTheme="minorEastAsia" w:cstheme="minorEastAsia"/>
          <w:bCs/>
          <w:color w:val="000000"/>
          <w:sz w:val="24"/>
          <w:szCs w:val="24"/>
          <w:highlight w:val="none"/>
        </w:rPr>
        <w:t xml:space="preserve">（九）投标供应商情况表（格式）</w:t>
      </w:r>
      <w:r/>
    </w:p>
    <w:p>
      <w:pPr>
        <w:pStyle w:val="1035"/>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01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025"/>
        <w:rPr>
          <w:rFonts w:ascii="宋体" w:hAnsi="宋体"/>
          <w:b/>
          <w:bCs/>
          <w:color w:val="000000"/>
          <w:sz w:val="24"/>
          <w:szCs w:val="24"/>
          <w:highlight w:val="none"/>
        </w:rPr>
      </w:pPr>
      <w:r>
        <w:rPr>
          <w:rFonts w:ascii="宋体" w:hAnsi="宋体"/>
          <w:b/>
          <w:bCs/>
          <w:color w:val="000000"/>
          <w:sz w:val="24"/>
          <w:szCs w:val="24"/>
          <w:highlight w:val="none"/>
        </w:rPr>
      </w:r>
      <w:r/>
    </w:p>
    <w:p>
      <w:pPr>
        <w:pStyle w:val="1025"/>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043"/>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1"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1"/>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017"/>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3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22"/>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043"/>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1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01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043"/>
        <w:spacing w:before="160" w:after="160"/>
        <w:rPr>
          <w:b w:val="0"/>
          <w:color w:val="000000"/>
          <w:sz w:val="24"/>
          <w:highlight w:val="none"/>
        </w:rPr>
      </w:pPr>
      <w:r/>
      <w:bookmarkStart w:id="32"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2"/>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文鼎小标宋简">
    <w:panose1 w:val="020B0503020202020204"/>
  </w:font>
  <w:font w:name="仿宋_GB2312">
    <w:panose1 w:val="02010609060101010101"/>
  </w:font>
  <w:font w:name="黑体">
    <w:panose1 w:val="02010609060101010101"/>
  </w:font>
  <w:font w:name="华文中宋">
    <w:panose1 w:val="02010600040101010101"/>
  </w:font>
  <w:font w:name="Courier New">
    <w:panose1 w:val="02070309020205020404"/>
  </w:font>
  <w:font w:name="宋体">
    <w:panose1 w:val="0201060003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0"/>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4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rPr>
        <w:rFonts w:hint="eastAsia" w:ascii="宋体" w:hAnsi="宋体" w:eastAsia="宋体" w:cs="宋体"/>
        <w:sz w:val="15"/>
        <w:szCs w:val="15"/>
      </w:rPr>
    </w:pPr>
    <w:r>
      <w:rPr>
        <w:rFonts w:hint="eastAsia" w:eastAsia="楷体_GB2312"/>
        <w:sz w:val="21"/>
        <w:lang w:eastAsia="zh-CN"/>
      </w:rPr>
      <w:t xml:space="preserve">JSZC-320205-JZCG-G2026-0056</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2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Fonts w:ascii="Times New Roman" w:hAnsi="Times New Roman" w:eastAsia="楷体_GB2312"/>
        <w:szCs w:val="21"/>
      </w:rPr>
    </w:pPr>
    <w:r>
      <w:rPr>
        <w:rFonts w:ascii="Times New Roman" w:hAnsi="Times New Roman" w:eastAsia="楷体_GB2312"/>
        <w:szCs w:val="21"/>
      </w:rPr>
    </w:r>
    <w:r/>
  </w:p>
  <w:p>
    <w:pPr>
      <w:pStyle w:val="1041"/>
      <w:jc w:val="both"/>
      <w:rPr>
        <w:rFonts w:hint="eastAsia" w:ascii="宋体" w:hAnsi="宋体" w:eastAsia="宋体" w:cs="宋体"/>
        <w:sz w:val="15"/>
        <w:szCs w:val="15"/>
      </w:rPr>
    </w:pPr>
    <w:r>
      <w:rPr>
        <w:rFonts w:hint="eastAsia" w:eastAsia="楷体_GB2312"/>
        <w:sz w:val="21"/>
        <w:lang w:eastAsia="zh-CN"/>
      </w:rPr>
      <w:t xml:space="preserve">JSZC-320205-JZCG-G2026-0056</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rPr>
        <w:rFonts w:eastAsia="楷体_GB2312"/>
        <w:sz w:val="21"/>
      </w:rPr>
    </w:pPr>
    <w:r>
      <w:rPr>
        <w:rFonts w:eastAsia="楷体_GB2312"/>
        <w:sz w:val="21"/>
      </w:rPr>
    </w:r>
    <w:r/>
  </w:p>
  <w:p>
    <w:pPr>
      <w:pStyle w:val="1041"/>
      <w:jc w:val="both"/>
      <w:rPr>
        <w:rFonts w:hint="eastAsia" w:ascii="宋体" w:hAnsi="宋体" w:eastAsia="宋体" w:cs="宋体"/>
        <w:sz w:val="15"/>
        <w:szCs w:val="15"/>
      </w:rPr>
    </w:pPr>
    <w:r>
      <w:rPr>
        <w:rFonts w:hint="eastAsia" w:eastAsia="楷体_GB2312"/>
        <w:sz w:val="21"/>
        <w:lang w:eastAsia="zh-CN"/>
      </w:rPr>
      <w:t xml:space="preserve">JSZC-320205-JZCG-G2026-0056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rPr>
        <w:rFonts w:hint="eastAsia"/>
      </w:rPr>
    </w:pPr>
    <w:r>
      <w:rPr>
        <w:rFonts w:hint="eastAsia" w:eastAsia="楷体_GB2312"/>
        <w:sz w:val="21"/>
        <w:lang w:eastAsia="zh-CN"/>
      </w:rPr>
      <w:t xml:space="preserve">JSZC-320205-JZCG-G2026-0056</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JSZC-320205-JZCG-G2026-0056</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pPr>
    <w:r>
      <w:rPr>
        <w:rFonts w:hint="eastAsia" w:eastAsia="楷体_GB2312"/>
        <w:sz w:val="21"/>
        <w:lang w:eastAsia="zh-CN"/>
      </w:rPr>
      <w:t xml:space="preserve">JSZC-320205-JZCG-G2026-0056</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045"/>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8"/>
  </w:num>
  <w:num w:numId="3">
    <w:abstractNumId w:val="21"/>
  </w:num>
  <w:num w:numId="4">
    <w:abstractNumId w:val="8"/>
  </w:num>
  <w:num w:numId="5">
    <w:abstractNumId w:val="3"/>
  </w:num>
  <w:num w:numId="6">
    <w:abstractNumId w:val="11"/>
  </w:num>
  <w:num w:numId="7">
    <w:abstractNumId w:val="20"/>
  </w:num>
  <w:num w:numId="8">
    <w:abstractNumId w:val="10"/>
  </w:num>
  <w:num w:numId="9">
    <w:abstractNumId w:val="14"/>
  </w:num>
  <w:num w:numId="10">
    <w:abstractNumId w:val="15"/>
  </w:num>
  <w:num w:numId="11">
    <w:abstractNumId w:val="16"/>
  </w:num>
  <w:num w:numId="12">
    <w:abstractNumId w:val="5"/>
  </w:num>
  <w:num w:numId="13">
    <w:abstractNumId w:val="2"/>
  </w:num>
  <w:num w:numId="14">
    <w:abstractNumId w:val="0"/>
  </w:num>
  <w:num w:numId="15">
    <w:abstractNumId w:val="1"/>
  </w:num>
  <w:num w:numId="16">
    <w:abstractNumId w:val="7"/>
  </w:num>
  <w:num w:numId="17">
    <w:abstractNumId w:val="6"/>
  </w:num>
  <w:num w:numId="18">
    <w:abstractNumId w:val="17"/>
  </w:num>
  <w:num w:numId="19">
    <w:abstractNumId w:val="9"/>
  </w:num>
  <w:num w:numId="20">
    <w:abstractNumId w:val="13"/>
  </w:num>
  <w:num w:numId="21">
    <w:abstractNumId w:val="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12"/>
    <w:next w:val="10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14"/>
    <w:link w:val="12"/>
    <w:uiPriority w:val="9"/>
    <w:rPr>
      <w:rFonts w:ascii="Arial" w:hAnsi="Arial" w:eastAsia="Arial" w:cs="Arial"/>
      <w:sz w:val="40"/>
      <w:szCs w:val="40"/>
    </w:rPr>
  </w:style>
  <w:style w:type="character" w:styleId="15">
    <w:name w:val="Heading 2 Char"/>
    <w:basedOn w:val="1014"/>
    <w:link w:val="1037"/>
    <w:uiPriority w:val="9"/>
    <w:rPr>
      <w:rFonts w:ascii="Arial" w:hAnsi="Arial" w:eastAsia="Arial" w:cs="Arial"/>
      <w:sz w:val="34"/>
    </w:rPr>
  </w:style>
  <w:style w:type="paragraph" w:styleId="16">
    <w:name w:val="Heading 3"/>
    <w:basedOn w:val="1012"/>
    <w:next w:val="10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14"/>
    <w:link w:val="16"/>
    <w:uiPriority w:val="9"/>
    <w:rPr>
      <w:rFonts w:ascii="Arial" w:hAnsi="Arial" w:eastAsia="Arial" w:cs="Arial"/>
      <w:sz w:val="30"/>
      <w:szCs w:val="30"/>
    </w:rPr>
  </w:style>
  <w:style w:type="paragraph" w:styleId="18">
    <w:name w:val="Heading 4"/>
    <w:basedOn w:val="1012"/>
    <w:next w:val="10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14"/>
    <w:link w:val="18"/>
    <w:uiPriority w:val="9"/>
    <w:rPr>
      <w:rFonts w:ascii="Arial" w:hAnsi="Arial" w:eastAsia="Arial" w:cs="Arial"/>
      <w:b/>
      <w:bCs/>
      <w:sz w:val="26"/>
      <w:szCs w:val="26"/>
    </w:rPr>
  </w:style>
  <w:style w:type="paragraph" w:styleId="20">
    <w:name w:val="Heading 5"/>
    <w:basedOn w:val="1012"/>
    <w:next w:val="10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14"/>
    <w:link w:val="20"/>
    <w:uiPriority w:val="9"/>
    <w:rPr>
      <w:rFonts w:ascii="Arial" w:hAnsi="Arial" w:eastAsia="Arial" w:cs="Arial"/>
      <w:b/>
      <w:bCs/>
      <w:sz w:val="24"/>
      <w:szCs w:val="24"/>
    </w:rPr>
  </w:style>
  <w:style w:type="paragraph" w:styleId="22">
    <w:name w:val="Heading 6"/>
    <w:basedOn w:val="1012"/>
    <w:next w:val="10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14"/>
    <w:link w:val="22"/>
    <w:uiPriority w:val="9"/>
    <w:rPr>
      <w:rFonts w:ascii="Arial" w:hAnsi="Arial" w:eastAsia="Arial" w:cs="Arial"/>
      <w:b/>
      <w:bCs/>
      <w:sz w:val="22"/>
      <w:szCs w:val="22"/>
    </w:rPr>
  </w:style>
  <w:style w:type="paragraph" w:styleId="24">
    <w:name w:val="Heading 7"/>
    <w:basedOn w:val="1012"/>
    <w:next w:val="10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14"/>
    <w:link w:val="24"/>
    <w:uiPriority w:val="9"/>
    <w:rPr>
      <w:rFonts w:ascii="Arial" w:hAnsi="Arial" w:eastAsia="Arial" w:cs="Arial"/>
      <w:b/>
      <w:bCs/>
      <w:i/>
      <w:iCs/>
      <w:sz w:val="22"/>
      <w:szCs w:val="22"/>
    </w:rPr>
  </w:style>
  <w:style w:type="paragraph" w:styleId="26">
    <w:name w:val="Heading 8"/>
    <w:basedOn w:val="1012"/>
    <w:next w:val="10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14"/>
    <w:link w:val="26"/>
    <w:uiPriority w:val="9"/>
    <w:rPr>
      <w:rFonts w:ascii="Arial" w:hAnsi="Arial" w:eastAsia="Arial" w:cs="Arial"/>
      <w:i/>
      <w:iCs/>
      <w:sz w:val="22"/>
      <w:szCs w:val="22"/>
    </w:rPr>
  </w:style>
  <w:style w:type="paragraph" w:styleId="28">
    <w:name w:val="Heading 9"/>
    <w:basedOn w:val="1012"/>
    <w:next w:val="10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1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12"/>
    <w:next w:val="1012"/>
    <w:link w:val="34"/>
    <w:uiPriority w:val="10"/>
    <w:qFormat/>
    <w:pPr>
      <w:contextualSpacing/>
      <w:spacing w:before="300" w:after="200"/>
    </w:pPr>
    <w:rPr>
      <w:sz w:val="48"/>
      <w:szCs w:val="48"/>
    </w:rPr>
  </w:style>
  <w:style w:type="character" w:styleId="34">
    <w:name w:val="Title Char"/>
    <w:basedOn w:val="1014"/>
    <w:link w:val="33"/>
    <w:uiPriority w:val="10"/>
    <w:rPr>
      <w:sz w:val="48"/>
      <w:szCs w:val="48"/>
    </w:rPr>
  </w:style>
  <w:style w:type="paragraph" w:styleId="35">
    <w:name w:val="Subtitle"/>
    <w:basedOn w:val="1012"/>
    <w:next w:val="1012"/>
    <w:link w:val="36"/>
    <w:uiPriority w:val="11"/>
    <w:qFormat/>
    <w:pPr>
      <w:spacing w:before="200" w:after="200"/>
    </w:pPr>
    <w:rPr>
      <w:sz w:val="24"/>
      <w:szCs w:val="24"/>
    </w:rPr>
  </w:style>
  <w:style w:type="character" w:styleId="36">
    <w:name w:val="Subtitle Char"/>
    <w:basedOn w:val="1014"/>
    <w:link w:val="35"/>
    <w:uiPriority w:val="11"/>
    <w:rPr>
      <w:sz w:val="24"/>
      <w:szCs w:val="24"/>
    </w:rPr>
  </w:style>
  <w:style w:type="paragraph" w:styleId="37">
    <w:name w:val="Quote"/>
    <w:basedOn w:val="1012"/>
    <w:next w:val="1012"/>
    <w:link w:val="38"/>
    <w:uiPriority w:val="29"/>
    <w:qFormat/>
    <w:pPr>
      <w:ind w:left="720" w:right="720"/>
    </w:pPr>
    <w:rPr>
      <w:i/>
    </w:rPr>
  </w:style>
  <w:style w:type="character" w:styleId="38">
    <w:name w:val="Quote Char"/>
    <w:link w:val="37"/>
    <w:uiPriority w:val="29"/>
    <w:rPr>
      <w:i/>
    </w:rPr>
  </w:style>
  <w:style w:type="paragraph" w:styleId="39">
    <w:name w:val="Intense Quote"/>
    <w:basedOn w:val="1012"/>
    <w:next w:val="10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14"/>
    <w:link w:val="1021"/>
    <w:uiPriority w:val="99"/>
  </w:style>
  <w:style w:type="character" w:styleId="44">
    <w:name w:val="Footer Char"/>
    <w:basedOn w:val="1014"/>
    <w:link w:val="1020"/>
    <w:uiPriority w:val="99"/>
  </w:style>
  <w:style w:type="paragraph" w:styleId="45">
    <w:name w:val="Caption"/>
    <w:basedOn w:val="1012"/>
    <w:next w:val="1012"/>
    <w:uiPriority w:val="35"/>
    <w:semiHidden/>
    <w:unhideWhenUsed/>
    <w:qFormat/>
    <w:pPr>
      <w:spacing w:line="276" w:lineRule="auto"/>
    </w:pPr>
    <w:rPr>
      <w:b/>
      <w:bCs/>
      <w:color w:val="4f81bd" w:themeColor="accent1"/>
      <w:sz w:val="18"/>
      <w:szCs w:val="18"/>
    </w:rPr>
  </w:style>
  <w:style w:type="character" w:styleId="46">
    <w:name w:val="Caption Char"/>
    <w:basedOn w:val="45"/>
    <w:link w:val="1020"/>
    <w:uiPriority w:val="99"/>
  </w:style>
  <w:style w:type="table" w:styleId="48">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14"/>
    <w:uiPriority w:val="99"/>
    <w:unhideWhenUsed/>
    <w:rPr>
      <w:vertAlign w:val="superscript"/>
    </w:rPr>
  </w:style>
  <w:style w:type="paragraph" w:styleId="177">
    <w:name w:val="endnote text"/>
    <w:basedOn w:val="10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14"/>
    <w:uiPriority w:val="99"/>
    <w:semiHidden/>
    <w:unhideWhenUsed/>
    <w:rPr>
      <w:vertAlign w:val="superscript"/>
    </w:rPr>
  </w:style>
  <w:style w:type="paragraph" w:styleId="180">
    <w:name w:val="toc 1"/>
    <w:basedOn w:val="1012"/>
    <w:next w:val="1012"/>
    <w:uiPriority w:val="39"/>
    <w:unhideWhenUsed/>
    <w:pPr>
      <w:ind w:left="0" w:right="0" w:firstLine="0"/>
      <w:spacing w:after="57"/>
    </w:pPr>
  </w:style>
  <w:style w:type="paragraph" w:styleId="181">
    <w:name w:val="toc 2"/>
    <w:basedOn w:val="1012"/>
    <w:next w:val="1012"/>
    <w:uiPriority w:val="39"/>
    <w:unhideWhenUsed/>
    <w:pPr>
      <w:ind w:left="283" w:right="0" w:firstLine="0"/>
      <w:spacing w:after="57"/>
    </w:pPr>
  </w:style>
  <w:style w:type="paragraph" w:styleId="182">
    <w:name w:val="toc 3"/>
    <w:basedOn w:val="1012"/>
    <w:next w:val="1012"/>
    <w:uiPriority w:val="39"/>
    <w:unhideWhenUsed/>
    <w:pPr>
      <w:ind w:left="567" w:right="0" w:firstLine="0"/>
      <w:spacing w:after="57"/>
    </w:pPr>
  </w:style>
  <w:style w:type="paragraph" w:styleId="183">
    <w:name w:val="toc 4"/>
    <w:basedOn w:val="1012"/>
    <w:next w:val="1012"/>
    <w:uiPriority w:val="39"/>
    <w:unhideWhenUsed/>
    <w:pPr>
      <w:ind w:left="850" w:right="0" w:firstLine="0"/>
      <w:spacing w:after="57"/>
    </w:pPr>
  </w:style>
  <w:style w:type="paragraph" w:styleId="184">
    <w:name w:val="toc 5"/>
    <w:basedOn w:val="1012"/>
    <w:next w:val="1012"/>
    <w:uiPriority w:val="39"/>
    <w:unhideWhenUsed/>
    <w:pPr>
      <w:ind w:left="1134" w:right="0" w:firstLine="0"/>
      <w:spacing w:after="57"/>
    </w:pPr>
  </w:style>
  <w:style w:type="paragraph" w:styleId="185">
    <w:name w:val="toc 6"/>
    <w:basedOn w:val="1012"/>
    <w:next w:val="1012"/>
    <w:uiPriority w:val="39"/>
    <w:unhideWhenUsed/>
    <w:pPr>
      <w:ind w:left="1417" w:right="0" w:firstLine="0"/>
      <w:spacing w:after="57"/>
    </w:pPr>
  </w:style>
  <w:style w:type="paragraph" w:styleId="186">
    <w:name w:val="toc 7"/>
    <w:basedOn w:val="1012"/>
    <w:next w:val="1012"/>
    <w:uiPriority w:val="39"/>
    <w:unhideWhenUsed/>
    <w:pPr>
      <w:ind w:left="1701" w:right="0" w:firstLine="0"/>
      <w:spacing w:after="57"/>
    </w:pPr>
  </w:style>
  <w:style w:type="paragraph" w:styleId="187">
    <w:name w:val="toc 8"/>
    <w:basedOn w:val="1012"/>
    <w:next w:val="1012"/>
    <w:uiPriority w:val="39"/>
    <w:unhideWhenUsed/>
    <w:pPr>
      <w:ind w:left="1984" w:right="0" w:firstLine="0"/>
      <w:spacing w:after="57"/>
    </w:pPr>
  </w:style>
  <w:style w:type="paragraph" w:styleId="188">
    <w:name w:val="toc 9"/>
    <w:basedOn w:val="1012"/>
    <w:next w:val="10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12"/>
    <w:next w:val="1012"/>
    <w:uiPriority w:val="99"/>
    <w:unhideWhenUsed/>
    <w:pPr>
      <w:spacing w:after="0" w:afterAutospacing="0"/>
    </w:pPr>
  </w:style>
  <w:style w:type="paragraph" w:styleId="1012" w:default="1">
    <w:name w:val="Normal"/>
    <w:next w:val="1016"/>
    <w:link w:val="1040"/>
    <w:uiPriority w:val="0"/>
    <w:qFormat/>
    <w:pPr>
      <w:jc w:val="both"/>
      <w:widowControl w:val="off"/>
    </w:pPr>
    <w:rPr>
      <w:rFonts w:hint="default" w:ascii="等线" w:hAnsi="等线" w:eastAsia="等线" w:cs="Times New Roman"/>
      <w:sz w:val="21"/>
      <w:szCs w:val="22"/>
      <w:lang w:val="en-US" w:eastAsia="zh-CN" w:bidi="ar-SA"/>
    </w:rPr>
  </w:style>
  <w:style w:type="paragraph" w:styleId="1013">
    <w:name w:val="Heading 2"/>
    <w:basedOn w:val="1012"/>
    <w:next w:val="1012"/>
    <w:uiPriority w:val="9"/>
    <w:unhideWhenUsed/>
    <w:qFormat/>
    <w:pPr>
      <w:keepLines/>
      <w:keepNext/>
      <w:spacing w:before="360" w:after="200"/>
      <w:outlineLvl w:val="1"/>
    </w:pPr>
    <w:rPr>
      <w:rFonts w:ascii="Arial" w:hAnsi="Arial" w:eastAsia="Arial" w:cs="Arial"/>
      <w:sz w:val="34"/>
    </w:rPr>
  </w:style>
  <w:style w:type="character" w:styleId="1014" w:default="1">
    <w:name w:val="Default Paragraph Font"/>
    <w:uiPriority w:val="0"/>
    <w:semiHidden/>
    <w:qFormat/>
  </w:style>
  <w:style w:type="table" w:styleId="1015" w:default="1">
    <w:name w:val="Normal Table"/>
    <w:uiPriority w:val="0"/>
    <w:semiHidden/>
    <w:qFormat/>
    <w:tblPr>
      <w:tblCellMar>
        <w:left w:w="108" w:type="dxa"/>
        <w:top w:w="0" w:type="dxa"/>
        <w:right w:w="108" w:type="dxa"/>
        <w:bottom w:w="0" w:type="dxa"/>
      </w:tblCellMar>
    </w:tblPr>
  </w:style>
  <w:style w:type="paragraph" w:styleId="1016" w:customStyle="1">
    <w:name w:val="索引 41"/>
    <w:basedOn w:val="1012"/>
    <w:next w:val="1012"/>
    <w:uiPriority w:val="99"/>
    <w:qFormat/>
    <w:pPr>
      <w:ind w:left="600"/>
    </w:pPr>
    <w:rPr>
      <w:rFonts w:ascii="Times New Roman" w:hAnsi="Times New Roman" w:eastAsia="宋体"/>
      <w:szCs w:val="24"/>
    </w:rPr>
  </w:style>
  <w:style w:type="paragraph" w:styleId="1017">
    <w:name w:val="Body Text"/>
    <w:basedOn w:val="1012"/>
    <w:next w:val="1012"/>
    <w:uiPriority w:val="0"/>
    <w:semiHidden/>
    <w:qFormat/>
    <w:rPr>
      <w:rFonts w:ascii="宋体" w:hAnsi="宋体" w:eastAsia="宋体" w:cs="宋体"/>
      <w:sz w:val="24"/>
      <w:szCs w:val="24"/>
      <w:lang w:eastAsia="en-US"/>
    </w:rPr>
  </w:style>
  <w:style w:type="paragraph" w:styleId="1018">
    <w:name w:val="index 4"/>
    <w:basedOn w:val="1012"/>
    <w:next w:val="1012"/>
    <w:uiPriority w:val="99"/>
    <w:qFormat/>
    <w:pPr>
      <w:ind w:left="600"/>
    </w:pPr>
    <w:rPr>
      <w:szCs w:val="24"/>
    </w:rPr>
  </w:style>
  <w:style w:type="paragraph" w:styleId="1019">
    <w:name w:val="Plain Text"/>
    <w:basedOn w:val="1012"/>
    <w:uiPriority w:val="0"/>
    <w:qFormat/>
    <w:rPr>
      <w:rFonts w:ascii="宋体" w:hAnsi="Courier New" w:cs="Courier New"/>
      <w:szCs w:val="21"/>
    </w:rPr>
  </w:style>
  <w:style w:type="paragraph" w:styleId="1020">
    <w:name w:val="Footer"/>
    <w:basedOn w:val="1012"/>
    <w:next w:val="1012"/>
    <w:uiPriority w:val="99"/>
    <w:unhideWhenUsed/>
    <w:qFormat/>
    <w:pPr>
      <w:tabs>
        <w:tab w:val="center" w:pos="7143" w:leader="none"/>
        <w:tab w:val="right" w:pos="14287" w:leader="none"/>
      </w:tabs>
    </w:pPr>
  </w:style>
  <w:style w:type="paragraph" w:styleId="1021">
    <w:name w:val="Header"/>
    <w:basedOn w:val="1012"/>
    <w:uiPriority w:val="99"/>
    <w:unhideWhenUsed/>
    <w:qFormat/>
    <w:pPr>
      <w:tabs>
        <w:tab w:val="center" w:pos="7143" w:leader="none"/>
        <w:tab w:val="right" w:pos="14287" w:leader="none"/>
      </w:tabs>
    </w:pPr>
  </w:style>
  <w:style w:type="table" w:styleId="10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3">
    <w:name w:val="annotation reference"/>
    <w:basedOn w:val="1014"/>
    <w:uiPriority w:val="99"/>
    <w:semiHidden/>
    <w:unhideWhenUsed/>
    <w:qFormat/>
    <w:rPr>
      <w:sz w:val="21"/>
      <w:szCs w:val="21"/>
    </w:rPr>
  </w:style>
  <w:style w:type="paragraph" w:styleId="1024" w:customStyle="1">
    <w:name w:val="正文文本1"/>
    <w:basedOn w:val="1012"/>
    <w:next w:val="1025"/>
    <w:uiPriority w:val="0"/>
    <w:qFormat/>
    <w:rPr>
      <w:rFonts w:ascii="华文中宋" w:hAnsi="Times New Roman" w:eastAsia="华文中宋"/>
      <w:bCs/>
      <w:sz w:val="28"/>
      <w:szCs w:val="20"/>
    </w:rPr>
  </w:style>
  <w:style w:type="paragraph" w:styleId="1025" w:customStyle="1">
    <w:name w:val="正文首行缩进1"/>
    <w:basedOn w:val="1024"/>
    <w:link w:val="1030"/>
    <w:uiPriority w:val="99"/>
    <w:unhideWhenUsed/>
    <w:qFormat/>
    <w:pPr>
      <w:ind w:firstLine="420"/>
      <w:spacing w:after="120"/>
    </w:pPr>
    <w:rPr>
      <w:rFonts w:ascii="等线" w:hAnsi="等线" w:eastAsia="等线"/>
      <w:bCs w:val="0"/>
      <w:sz w:val="21"/>
      <w:szCs w:val="22"/>
    </w:rPr>
  </w:style>
  <w:style w:type="paragraph" w:styleId="1026" w:customStyle="1">
    <w:name w:val="纯文本1"/>
    <w:basedOn w:val="1012"/>
    <w:next w:val="1027"/>
    <w:uiPriority w:val="0"/>
    <w:qFormat/>
    <w:rPr>
      <w:rFonts w:ascii="宋体" w:hAnsi="Courier New" w:eastAsia="宋体"/>
      <w:szCs w:val="20"/>
    </w:rPr>
  </w:style>
  <w:style w:type="paragraph" w:styleId="1027" w:customStyle="1">
    <w:name w:val="目录 21"/>
    <w:basedOn w:val="1012"/>
    <w:next w:val="1012"/>
    <w:uiPriority w:val="39"/>
    <w:unhideWhenUsed/>
    <w:qFormat/>
    <w:pPr>
      <w:ind w:left="420"/>
    </w:pPr>
  </w:style>
  <w:style w:type="character" w:styleId="1028" w:customStyle="1">
    <w:name w:val="已访问的超链接1"/>
    <w:uiPriority w:val="99"/>
    <w:qFormat/>
    <w:rPr>
      <w:color w:val="000000"/>
      <w:u w:val="none"/>
    </w:rPr>
  </w:style>
  <w:style w:type="paragraph" w:styleId="1029" w:customStyle="1">
    <w:name w:val="目录 11"/>
    <w:basedOn w:val="1012"/>
    <w:next w:val="1012"/>
    <w:uiPriority w:val="39"/>
    <w:qFormat/>
    <w:pPr>
      <w:jc w:val="center"/>
      <w:spacing w:before="120" w:after="120"/>
      <w:tabs>
        <w:tab w:val="right" w:pos="9170" w:leader="dot"/>
      </w:tabs>
    </w:pPr>
    <w:rPr>
      <w:rFonts w:eastAsia="文鼎小标宋简"/>
      <w:caps/>
      <w:sz w:val="32"/>
      <w:szCs w:val="32"/>
    </w:rPr>
  </w:style>
  <w:style w:type="character" w:styleId="1030" w:customStyle="1">
    <w:name w:val="正文首行缩进 Char"/>
    <w:link w:val="1025"/>
    <w:uiPriority w:val="99"/>
    <w:semiHidden/>
    <w:qFormat/>
    <w:rPr>
      <w:rFonts w:ascii="等线" w:hAnsi="等线" w:eastAsia="等线"/>
      <w:sz w:val="21"/>
      <w:szCs w:val="22"/>
    </w:rPr>
  </w:style>
  <w:style w:type="paragraph" w:styleId="1031" w:customStyle="1">
    <w:name w:val="列出段落1"/>
    <w:basedOn w:val="1012"/>
    <w:uiPriority w:val="0"/>
    <w:qFormat/>
    <w:pPr>
      <w:ind w:firstLine="420"/>
    </w:pPr>
    <w:rPr>
      <w:rFonts w:ascii="Calibri" w:hAnsi="Calibri" w:eastAsia="宋体"/>
    </w:rPr>
  </w:style>
  <w:style w:type="paragraph" w:styleId="1032" w:customStyle="1">
    <w:name w:val="标题 11"/>
    <w:basedOn w:val="1012"/>
    <w:next w:val="101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033" w:customStyle="1">
    <w:name w:val="TOC Heading1"/>
    <w:next w:val="1012"/>
    <w:uiPriority w:val="0"/>
    <w:qFormat/>
    <w:rPr>
      <w:rFonts w:hint="default" w:ascii="Times New Roman" w:hAnsi="Times New Roman" w:eastAsia="宋体" w:cs="Times New Roman"/>
      <w:sz w:val="32"/>
      <w:lang w:val="en-US" w:eastAsia="zh-CN" w:bidi="ar-SA"/>
    </w:rPr>
  </w:style>
  <w:style w:type="paragraph" w:styleId="1034" w:customStyle="1">
    <w:name w:val="标题 41"/>
    <w:basedOn w:val="1012"/>
    <w:next w:val="1035"/>
    <w:uiPriority w:val="0"/>
    <w:qFormat/>
    <w:pPr>
      <w:jc w:val="center"/>
      <w:keepLines/>
      <w:keepNext/>
      <w:spacing w:before="120" w:after="120" w:line="360" w:lineRule="auto"/>
      <w:widowControl/>
      <w:outlineLvl w:val="3"/>
    </w:pPr>
    <w:rPr>
      <w:rFonts w:ascii="Arial" w:hAnsi="Arial" w:eastAsia="黑体"/>
      <w:sz w:val="28"/>
      <w:szCs w:val="20"/>
    </w:rPr>
  </w:style>
  <w:style w:type="paragraph" w:styleId="1035" w:customStyle="1">
    <w:name w:val="正文缩进1"/>
    <w:basedOn w:val="1012"/>
    <w:next w:val="1012"/>
    <w:uiPriority w:val="0"/>
    <w:qFormat/>
    <w:pPr>
      <w:ind w:firstLine="420"/>
    </w:pPr>
    <w:rPr>
      <w:rFonts w:ascii="Times New Roman" w:hAnsi="Times New Roman" w:eastAsia="宋体"/>
      <w:szCs w:val="20"/>
    </w:rPr>
  </w:style>
  <w:style w:type="character" w:styleId="1036" w:customStyle="1">
    <w:name w:val="NormalCharacter"/>
    <w:uiPriority w:val="0"/>
    <w:qFormat/>
  </w:style>
  <w:style w:type="paragraph" w:styleId="1037" w:customStyle="1">
    <w:name w:val="Heading 2"/>
    <w:next w:val="1012"/>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0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9" w:customStyle="1">
    <w:name w:val="普通正文"/>
    <w:basedOn w:val="1012"/>
    <w:uiPriority w:val="0"/>
    <w:qFormat/>
    <w:pPr>
      <w:ind w:firstLine="480"/>
      <w:jc w:val="left"/>
      <w:spacing w:before="120" w:after="120" w:line="360" w:lineRule="auto"/>
    </w:pPr>
    <w:rPr>
      <w:rFonts w:ascii="Arial" w:hAnsi="Arial"/>
      <w:sz w:val="24"/>
      <w:szCs w:val="24"/>
    </w:rPr>
  </w:style>
  <w:style w:type="character" w:styleId="1040" w:customStyle="1">
    <w:name w:val="HTML 打字机1"/>
    <w:link w:val="1012"/>
    <w:uiPriority w:val="0"/>
    <w:qFormat/>
    <w:rPr>
      <w:rFonts w:hint="default" w:ascii="等线" w:hAnsi="等线" w:eastAsia="等线" w:cs="Times New Roman"/>
      <w:sz w:val="21"/>
      <w:szCs w:val="22"/>
      <w:lang w:val="en-US" w:eastAsia="zh-CN" w:bidi="ar-SA"/>
    </w:rPr>
  </w:style>
  <w:style w:type="paragraph" w:styleId="1041" w:customStyle="1">
    <w:name w:val="页眉1"/>
    <w:basedOn w:val="101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2" w:customStyle="1">
    <w:name w:val="标题 31"/>
    <w:basedOn w:val="1012"/>
    <w:next w:val="101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043" w:customStyle="1">
    <w:name w:val="标题 21"/>
    <w:basedOn w:val="1012"/>
    <w:next w:val="1012"/>
    <w:uiPriority w:val="9"/>
    <w:qFormat/>
    <w:pPr>
      <w:keepLines/>
      <w:keepNext/>
      <w:spacing w:before="260" w:after="260" w:line="413" w:lineRule="auto"/>
      <w:outlineLvl w:val="1"/>
    </w:pPr>
    <w:rPr>
      <w:rFonts w:ascii="Arial" w:hAnsi="Arial" w:eastAsia="黑体"/>
      <w:b/>
      <w:bCs/>
      <w:sz w:val="32"/>
      <w:szCs w:val="32"/>
    </w:rPr>
  </w:style>
  <w:style w:type="paragraph" w:styleId="1044" w:customStyle="1">
    <w:name w:val="页脚1"/>
    <w:basedOn w:val="1012"/>
    <w:next w:val="1033"/>
    <w:uiPriority w:val="99"/>
    <w:unhideWhenUsed/>
    <w:qFormat/>
    <w:pPr>
      <w:jc w:val="left"/>
      <w:tabs>
        <w:tab w:val="center" w:pos="4153" w:leader="none"/>
        <w:tab w:val="right" w:pos="8306" w:leader="none"/>
      </w:tabs>
    </w:pPr>
    <w:rPr>
      <w:sz w:val="18"/>
      <w:szCs w:val="18"/>
    </w:rPr>
  </w:style>
  <w:style w:type="paragraph" w:styleId="1045"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1046">
    <w:name w:val="List Paragraph"/>
    <w:basedOn w:val="1012"/>
    <w:uiPriority w:val="0"/>
    <w:qFormat/>
    <w:pPr>
      <w:ind w:firstLine="420"/>
    </w:pPr>
    <w:rPr>
      <w:rFonts w:ascii="Times New Roman" w:hAnsi="Times New Roman" w:eastAsia="宋体"/>
      <w:szCs w:val="21"/>
    </w:rPr>
  </w:style>
  <w:style w:type="numbering" w:styleId="13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1</cp:revision>
  <dcterms:created xsi:type="dcterms:W3CDTF">2026-06-24T08:16:00Z</dcterms:created>
  <dcterms:modified xsi:type="dcterms:W3CDTF">2026-11-02T05:05:34Z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eyJoZGlkIjoiZGUyYTY1ZjhiZjc3ZTYzZWRkMjI3NWI3NzU4OTNkOTkiLCJ1c2VySWQiOiIxMzc5NjEyNDY0In0=</vt:lpwstr>
  </property>
  <property fmtid="{D5CDD505-2E9C-101B-9397-08002B2CF9AE}" pid="4" name="ICV">
    <vt:lpwstr>6F36A4446A2845118C99120C94DE4F16_12</vt:lpwstr>
  </property>
</Properties>
</file>