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69"/>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pStyle w:val="769"/>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常州市政府采购项目</w:t>
      </w:r>
      <w:r>
        <w:rPr>
          <w:rFonts w:hint="eastAsia" w:ascii="宋体" w:hAnsi="宋体" w:eastAsia="宋体" w:cs="宋体"/>
          <w:b/>
          <w:bCs/>
          <w:sz w:val="60"/>
          <w:szCs w:val="60"/>
          <w:highlight w:val="none"/>
        </w:rPr>
      </w:r>
      <w:r/>
    </w:p>
    <w:p>
      <w:pPr>
        <w:pStyle w:val="769"/>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公开招标文件</w:t>
      </w:r>
      <w:r>
        <w:rPr>
          <w:rFonts w:hint="eastAsia" w:ascii="宋体" w:hAnsi="宋体" w:eastAsia="宋体" w:cs="宋体"/>
          <w:b/>
          <w:bCs/>
          <w:sz w:val="60"/>
          <w:szCs w:val="60"/>
          <w:highlight w:val="none"/>
        </w:rPr>
      </w:r>
      <w:r/>
    </w:p>
    <w:p>
      <w:pPr>
        <w:pStyle w:val="769"/>
        <w:jc w:val="center"/>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pStyle w:val="769"/>
        <w:ind w:firstLine="360"/>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pStyle w:val="769"/>
        <w:ind w:firstLine="360"/>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pStyle w:val="769"/>
        <w:ind w:firstLine="360"/>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 xml:space="preserve">项目名称：</w:t>
      </w:r>
      <w:r>
        <w:rPr>
          <w:rFonts w:hint="eastAsia" w:ascii="宋体" w:hAnsi="宋体" w:eastAsia="宋体" w:cs="宋体"/>
          <w:bCs/>
          <w:sz w:val="36"/>
          <w:szCs w:val="36"/>
          <w:highlight w:val="none"/>
          <w:lang w:eastAsia="zh-CN"/>
        </w:rPr>
        <w:t xml:space="preserve">常州市广化小学校新建校区信息化设备采购项目</w:t>
      </w:r>
      <w:r>
        <w:rPr>
          <w:rFonts w:hint="eastAsia" w:ascii="宋体" w:hAnsi="宋体" w:eastAsia="宋体" w:cs="宋体"/>
          <w:bCs/>
          <w:sz w:val="36"/>
          <w:szCs w:val="36"/>
          <w:highlight w:val="none"/>
          <w:lang w:eastAsia="zh-CN"/>
        </w:rPr>
      </w:r>
      <w:r/>
    </w:p>
    <w:p>
      <w:pPr>
        <w:pStyle w:val="769"/>
        <w:ind w:firstLine="360"/>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 xml:space="preserve">项目编号：</w:t>
      </w:r>
      <w:r>
        <w:rPr>
          <w:rFonts w:hint="eastAsia" w:ascii="宋体" w:hAnsi="宋体" w:eastAsia="宋体" w:cs="宋体"/>
          <w:bCs/>
          <w:sz w:val="36"/>
          <w:szCs w:val="36"/>
          <w:highlight w:val="none"/>
          <w:lang w:eastAsia="zh-CN"/>
        </w:rPr>
        <w:t xml:space="preserve">JSZC-320404-CZZY-G2026-0029</w:t>
      </w:r>
      <w:r>
        <w:rPr>
          <w:rFonts w:hint="eastAsia" w:ascii="宋体" w:hAnsi="宋体" w:eastAsia="宋体" w:cs="宋体"/>
          <w:bCs/>
          <w:sz w:val="36"/>
          <w:szCs w:val="36"/>
          <w:highlight w:val="none"/>
          <w:lang w:eastAsia="zh-CN"/>
        </w:rPr>
      </w:r>
      <w:r/>
    </w:p>
    <w:p>
      <w:pPr>
        <w:pStyle w:val="769"/>
        <w:ind w:firstLine="360"/>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 xml:space="preserve">采 购 人：</w:t>
      </w:r>
      <w:r>
        <w:rPr>
          <w:rFonts w:hint="eastAsia" w:ascii="宋体" w:hAnsi="宋体" w:eastAsia="宋体" w:cs="宋体"/>
          <w:bCs/>
          <w:sz w:val="36"/>
          <w:szCs w:val="36"/>
          <w:highlight w:val="none"/>
          <w:lang w:eastAsia="zh-CN"/>
        </w:rPr>
        <w:t xml:space="preserve">常州市广化小学校</w:t>
      </w:r>
      <w:r>
        <w:rPr>
          <w:rFonts w:hint="eastAsia" w:ascii="宋体" w:hAnsi="宋体" w:eastAsia="宋体" w:cs="宋体"/>
          <w:bCs/>
          <w:sz w:val="36"/>
          <w:szCs w:val="36"/>
          <w:highlight w:val="none"/>
          <w:lang w:eastAsia="zh-CN"/>
        </w:rPr>
      </w:r>
      <w:r/>
    </w:p>
    <w:p>
      <w:pPr>
        <w:pStyle w:val="769"/>
        <w:ind w:firstLine="360"/>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采购代理机构：常州中宇建设工程管理有限公司</w:t>
      </w:r>
      <w:r>
        <w:rPr>
          <w:rFonts w:hint="eastAsia" w:ascii="宋体" w:hAnsi="宋体" w:eastAsia="宋体" w:cs="宋体"/>
          <w:bCs/>
          <w:sz w:val="36"/>
          <w:szCs w:val="36"/>
          <w:highlight w:val="none"/>
        </w:rPr>
      </w:r>
      <w:r/>
    </w:p>
    <w:p>
      <w:pPr>
        <w:pStyle w:val="769"/>
        <w:jc w:val="center"/>
        <w:spacing w:line="360" w:lineRule="auto"/>
        <w:rPr>
          <w:rFonts w:hint="eastAsia" w:ascii="宋体" w:hAnsi="宋体" w:eastAsia="宋体" w:cs="宋体"/>
          <w:b/>
          <w:sz w:val="36"/>
          <w:szCs w:val="36"/>
          <w:highlight w:val="none"/>
        </w:rPr>
        <w:sectPr>
          <w:headerReference w:type="default" r:id="rId9"/>
          <w:footnotePr/>
          <w:endnotePr/>
          <w:type w:val="nextPage"/>
          <w:pgSz w:w="11907" w:h="16840" w:orient="portrait"/>
          <w:pgMar w:top="1418" w:right="1417" w:bottom="1418" w:left="1417" w:header="851" w:footer="851" w:gutter="0"/>
          <w:cols w:num="1" w:sep="0" w:space="1701" w:equalWidth="1"/>
          <w:docGrid w:linePitch="360"/>
        </w:sectPr>
        <w:outlineLvl w:val="0"/>
      </w:pPr>
      <w:r/>
      <w:bookmarkStart w:id="0" w:name="_Toc99301418"/>
      <w:r>
        <w:rPr>
          <w:rFonts w:hint="eastAsia" w:ascii="宋体" w:hAnsi="宋体" w:eastAsia="宋体" w:cs="宋体"/>
          <w:b/>
          <w:sz w:val="36"/>
          <w:szCs w:val="36"/>
          <w:highlight w:val="none"/>
        </w:rPr>
      </w:r>
      <w:r/>
    </w:p>
    <w:p>
      <w:pPr>
        <w:pStyle w:val="769"/>
        <w:jc w:val="center"/>
        <w:spacing w:line="360" w:lineRule="auto"/>
        <w:rPr>
          <w:rFonts w:hint="eastAsia" w:ascii="宋体" w:hAnsi="宋体" w:eastAsia="宋体" w:cs="宋体"/>
          <w:b/>
          <w:sz w:val="36"/>
          <w:szCs w:val="36"/>
          <w:highlight w:val="none"/>
        </w:rPr>
        <w:outlineLvl w:val="0"/>
      </w:pPr>
      <w:r/>
      <w:bookmarkStart w:id="1" w:name="_Toc2635"/>
      <w:r/>
      <w:bookmarkStart w:id="2" w:name="_Toc30160"/>
      <w:r>
        <w:rPr>
          <w:rFonts w:hint="eastAsia" w:ascii="宋体" w:hAnsi="宋体" w:eastAsia="宋体" w:cs="宋体"/>
          <w:b/>
          <w:sz w:val="36"/>
          <w:szCs w:val="36"/>
          <w:highlight w:val="none"/>
        </w:rPr>
        <w:t xml:space="preserve">目      录</w:t>
      </w:r>
      <w:bookmarkEnd w:id="0"/>
      <w:r/>
      <w:bookmarkEnd w:id="1"/>
      <w:r/>
      <w:bookmarkEnd w:id="2"/>
      <w:r>
        <w:rPr>
          <w:rFonts w:hint="eastAsia" w:ascii="宋体" w:hAnsi="宋体" w:eastAsia="宋体" w:cs="宋体"/>
          <w:b/>
          <w:sz w:val="36"/>
          <w:szCs w:val="36"/>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805"/>
        <w:tabs>
          <w:tab w:val="right" w:pos="9072" w:leader="dot"/>
        </w:tabs>
        <w:rPr>
          <w:rFonts w:hint="eastAsia" w:eastAsia="宋体" w:cs="宋体"/>
          <w:sz w:val="28"/>
          <w:szCs w:val="28"/>
          <w:highlight w:val="none"/>
        </w:rPr>
      </w:pPr>
      <w:r>
        <w:rPr>
          <w:rFonts w:hint="eastAsia" w:ascii="宋体" w:hAnsi="宋体" w:eastAsia="宋体" w:cs="宋体"/>
          <w:b w:val="0"/>
          <w:sz w:val="28"/>
          <w:szCs w:val="28"/>
          <w:highlight w:val="none"/>
        </w:rPr>
        <w:fldChar w:fldCharType="begin"/>
      </w:r>
      <w:r>
        <w:rPr>
          <w:rFonts w:hint="eastAsia" w:ascii="宋体" w:hAnsi="宋体" w:eastAsia="宋体" w:cs="宋体"/>
          <w:b w:val="0"/>
          <w:sz w:val="28"/>
          <w:szCs w:val="28"/>
          <w:highlight w:val="none"/>
        </w:rPr>
        <w:instrText xml:space="preserve"> TOC \o "1-1" \h \z \u </w:instrText>
      </w:r>
      <w:r>
        <w:rPr>
          <w:rFonts w:hint="eastAsia" w:ascii="宋体" w:hAnsi="宋体" w:eastAsia="宋体" w:cs="宋体"/>
          <w:b w:val="0"/>
          <w:sz w:val="28"/>
          <w:szCs w:val="28"/>
          <w:highlight w:val="none"/>
        </w:rPr>
        <w:fldChar w:fldCharType="separate"/>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"_Toc5134" </w:instrText>
      </w:r>
      <w:r>
        <w:rPr>
          <w:rFonts w:hint="eastAsia" w:eastAsia="宋体" w:cs="宋体"/>
          <w:highlight w:val="none"/>
        </w:rPr>
        <w:fldChar w:fldCharType="separate"/>
      </w:r>
      <w:r>
        <w:rPr>
          <w:rFonts w:hint="eastAsia" w:eastAsia="宋体" w:cs="宋体"/>
          <w:sz w:val="28"/>
          <w:szCs w:val="40"/>
          <w:highlight w:val="none"/>
        </w:rPr>
        <w:t xml:space="preserve">第一章   投标邀请</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_Toc5134 \h </w:instrText>
      </w:r>
      <w:r>
        <w:rPr>
          <w:rFonts w:hint="eastAsia" w:eastAsia="宋体" w:cs="宋体"/>
          <w:sz w:val="28"/>
          <w:szCs w:val="28"/>
          <w:highlight w:val="none"/>
        </w:rPr>
        <w:fldChar w:fldCharType="separate"/>
      </w:r>
      <w:r>
        <w:rPr>
          <w:rFonts w:hint="eastAsia" w:eastAsia="宋体" w:cs="宋体"/>
          <w:sz w:val="28"/>
          <w:szCs w:val="28"/>
          <w:highlight w:val="none"/>
        </w:rPr>
        <w:t xml:space="preserve">1</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"_Toc7834" </w:instrText>
      </w:r>
      <w:r>
        <w:rPr>
          <w:rFonts w:hint="eastAsia" w:eastAsia="宋体" w:cs="宋体"/>
          <w:highlight w:val="none"/>
        </w:rPr>
        <w:fldChar w:fldCharType="separate"/>
      </w:r>
      <w:r>
        <w:rPr>
          <w:rFonts w:hint="eastAsia" w:eastAsia="宋体" w:cs="宋体"/>
          <w:sz w:val="28"/>
          <w:szCs w:val="40"/>
          <w:highlight w:val="none"/>
        </w:rPr>
        <w:t xml:space="preserve">第二章   投标人须知</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_Toc7834 \h </w:instrText>
      </w:r>
      <w:r>
        <w:rPr>
          <w:rFonts w:hint="eastAsia" w:eastAsia="宋体" w:cs="宋体"/>
          <w:sz w:val="28"/>
          <w:szCs w:val="28"/>
          <w:highlight w:val="none"/>
        </w:rPr>
        <w:fldChar w:fldCharType="separate"/>
      </w:r>
      <w:r>
        <w:rPr>
          <w:rFonts w:hint="eastAsia" w:eastAsia="宋体" w:cs="宋体"/>
          <w:sz w:val="28"/>
          <w:szCs w:val="28"/>
          <w:highlight w:val="none"/>
        </w:rPr>
        <w:t xml:space="preserve">5</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"_Toc24423" </w:instrText>
      </w:r>
      <w:r>
        <w:rPr>
          <w:rFonts w:hint="eastAsia" w:eastAsia="宋体" w:cs="宋体"/>
          <w:highlight w:val="none"/>
        </w:rPr>
        <w:fldChar w:fldCharType="separate"/>
      </w:r>
      <w:r>
        <w:rPr>
          <w:rFonts w:hint="eastAsia" w:eastAsia="宋体" w:cs="宋体"/>
          <w:sz w:val="28"/>
          <w:szCs w:val="40"/>
          <w:highlight w:val="none"/>
        </w:rPr>
        <w:t xml:space="preserve">第三章   资格审查</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_Toc24423 \h </w:instrText>
      </w:r>
      <w:r>
        <w:rPr>
          <w:rFonts w:hint="eastAsia" w:eastAsia="宋体" w:cs="宋体"/>
          <w:sz w:val="28"/>
          <w:szCs w:val="28"/>
          <w:highlight w:val="none"/>
        </w:rPr>
        <w:fldChar w:fldCharType="separate"/>
      </w:r>
      <w:r>
        <w:rPr>
          <w:rFonts w:hint="eastAsia" w:eastAsia="宋体" w:cs="宋体"/>
          <w:sz w:val="28"/>
          <w:szCs w:val="28"/>
          <w:highlight w:val="none"/>
        </w:rPr>
        <w:t xml:space="preserve">23</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"_Toc13280" </w:instrText>
      </w:r>
      <w:r>
        <w:rPr>
          <w:rFonts w:hint="eastAsia" w:eastAsia="宋体" w:cs="宋体"/>
          <w:highlight w:val="none"/>
        </w:rPr>
        <w:fldChar w:fldCharType="separate"/>
      </w:r>
      <w:r>
        <w:rPr>
          <w:rFonts w:hint="eastAsia" w:eastAsia="宋体" w:cs="宋体"/>
          <w:sz w:val="28"/>
          <w:szCs w:val="40"/>
          <w:highlight w:val="none"/>
        </w:rPr>
        <w:t xml:space="preserve">第四章   评标程序、评标方法和评标标准</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_Toc13280 \h </w:instrText>
      </w:r>
      <w:r>
        <w:rPr>
          <w:rFonts w:hint="eastAsia" w:eastAsia="宋体" w:cs="宋体"/>
          <w:sz w:val="28"/>
          <w:szCs w:val="28"/>
          <w:highlight w:val="none"/>
        </w:rPr>
        <w:fldChar w:fldCharType="separate"/>
      </w:r>
      <w:r>
        <w:rPr>
          <w:rFonts w:hint="eastAsia" w:eastAsia="宋体" w:cs="宋体"/>
          <w:sz w:val="28"/>
          <w:szCs w:val="28"/>
          <w:highlight w:val="none"/>
        </w:rPr>
        <w:t xml:space="preserve">25</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"_Toc2375" </w:instrText>
      </w:r>
      <w:r>
        <w:rPr>
          <w:rFonts w:hint="eastAsia" w:eastAsia="宋体" w:cs="宋体"/>
          <w:highlight w:val="none"/>
        </w:rPr>
        <w:fldChar w:fldCharType="separate"/>
      </w:r>
      <w:r>
        <w:rPr>
          <w:rFonts w:hint="eastAsia" w:eastAsia="宋体" w:cs="宋体"/>
          <w:sz w:val="28"/>
          <w:szCs w:val="40"/>
          <w:highlight w:val="none"/>
        </w:rPr>
        <w:t xml:space="preserve">第五章   采购需求</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_Toc2375 \h </w:instrText>
      </w:r>
      <w:r>
        <w:rPr>
          <w:rFonts w:hint="eastAsia" w:eastAsia="宋体" w:cs="宋体"/>
          <w:sz w:val="28"/>
          <w:szCs w:val="28"/>
          <w:highlight w:val="none"/>
        </w:rPr>
        <w:fldChar w:fldCharType="separate"/>
      </w:r>
      <w:r>
        <w:rPr>
          <w:rFonts w:hint="eastAsia" w:eastAsia="宋体" w:cs="宋体"/>
          <w:sz w:val="28"/>
          <w:szCs w:val="28"/>
          <w:highlight w:val="none"/>
        </w:rPr>
        <w:t xml:space="preserve">37</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"_Toc22150" </w:instrText>
      </w:r>
      <w:r>
        <w:rPr>
          <w:rFonts w:hint="eastAsia" w:eastAsia="宋体" w:cs="宋体"/>
          <w:highlight w:val="none"/>
        </w:rPr>
        <w:fldChar w:fldCharType="separate"/>
      </w:r>
      <w:r>
        <w:rPr>
          <w:rFonts w:hint="eastAsia" w:eastAsia="宋体" w:cs="宋体"/>
          <w:sz w:val="28"/>
          <w:szCs w:val="40"/>
          <w:highlight w:val="none"/>
        </w:rPr>
        <w:t xml:space="preserve">第六章   拟签订的合同文本</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_Toc22150 \h </w:instrText>
      </w:r>
      <w:r>
        <w:rPr>
          <w:rFonts w:hint="eastAsia" w:eastAsia="宋体" w:cs="宋体"/>
          <w:sz w:val="28"/>
          <w:szCs w:val="28"/>
          <w:highlight w:val="none"/>
        </w:rPr>
        <w:fldChar w:fldCharType="separate"/>
      </w:r>
      <w:r>
        <w:rPr>
          <w:rFonts w:hint="eastAsia" w:eastAsia="宋体" w:cs="宋体"/>
          <w:sz w:val="28"/>
          <w:szCs w:val="28"/>
          <w:highlight w:val="none"/>
        </w:rPr>
        <w:t xml:space="preserve">72</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tabs>
          <w:tab w:val="right" w:pos="9072" w:leader="dot"/>
        </w:tabs>
        <w:rPr>
          <w:rFonts w:hint="eastAsia" w:eastAsia="宋体" w:cs="宋体"/>
          <w:sz w:val="28"/>
          <w:szCs w:val="28"/>
          <w:highlight w:val="none"/>
        </w:rPr>
      </w:pPr>
      <w:r>
        <w:rPr>
          <w:rFonts w:hint="eastAsia" w:eastAsia="宋体" w:cs="宋体"/>
          <w:highlight w:val="none"/>
        </w:rPr>
        <w:fldChar w:fldCharType="begin"/>
      </w:r>
      <w:r>
        <w:rPr>
          <w:rFonts w:hint="eastAsia" w:eastAsia="宋体" w:cs="宋体"/>
          <w:highlight w:val="none"/>
        </w:rPr>
        <w:instrText xml:space="preserve"> HYPERLINK \l "_Toc19244" </w:instrText>
      </w:r>
      <w:r>
        <w:rPr>
          <w:rFonts w:hint="eastAsia" w:eastAsia="宋体" w:cs="宋体"/>
          <w:highlight w:val="none"/>
        </w:rPr>
        <w:fldChar w:fldCharType="separate"/>
      </w:r>
      <w:r>
        <w:rPr>
          <w:rFonts w:hint="eastAsia" w:eastAsia="宋体" w:cs="宋体"/>
          <w:sz w:val="28"/>
          <w:szCs w:val="40"/>
          <w:highlight w:val="none"/>
        </w:rPr>
        <w:t xml:space="preserve">第七章   投标文件格式</w:t>
      </w:r>
      <w:r>
        <w:rPr>
          <w:rFonts w:hint="eastAsia" w:eastAsia="宋体" w:cs="宋体"/>
          <w:sz w:val="28"/>
          <w:szCs w:val="28"/>
          <w:highlight w:val="none"/>
        </w:rPr>
        <w:tab/>
      </w:r>
      <w:r>
        <w:rPr>
          <w:rFonts w:hint="eastAsia" w:eastAsia="宋体" w:cs="宋体"/>
          <w:sz w:val="28"/>
          <w:szCs w:val="28"/>
          <w:highlight w:val="none"/>
        </w:rPr>
        <w:fldChar w:fldCharType="begin"/>
      </w:r>
      <w:r>
        <w:rPr>
          <w:rFonts w:hint="eastAsia" w:eastAsia="宋体" w:cs="宋体"/>
          <w:sz w:val="28"/>
          <w:szCs w:val="28"/>
          <w:highlight w:val="none"/>
        </w:rPr>
        <w:instrText xml:space="preserve"> PAGEREF _Toc19244 \h </w:instrText>
      </w:r>
      <w:r>
        <w:rPr>
          <w:rFonts w:hint="eastAsia" w:eastAsia="宋体" w:cs="宋体"/>
          <w:sz w:val="28"/>
          <w:szCs w:val="28"/>
          <w:highlight w:val="none"/>
        </w:rPr>
        <w:fldChar w:fldCharType="separate"/>
      </w:r>
      <w:r>
        <w:rPr>
          <w:rFonts w:hint="eastAsia" w:eastAsia="宋体" w:cs="宋体"/>
          <w:sz w:val="28"/>
          <w:szCs w:val="28"/>
          <w:highlight w:val="none"/>
        </w:rPr>
        <w:t xml:space="preserve">80</w:t>
      </w:r>
      <w:r>
        <w:rPr>
          <w:rFonts w:hint="eastAsia" w:eastAsia="宋体" w:cs="宋体"/>
          <w:sz w:val="28"/>
          <w:szCs w:val="28"/>
          <w:highlight w:val="none"/>
        </w:rPr>
        <w:fldChar w:fldCharType="end"/>
      </w:r>
      <w:r>
        <w:rPr>
          <w:rFonts w:hint="eastAsia" w:eastAsia="宋体" w:cs="宋体"/>
          <w:sz w:val="28"/>
          <w:szCs w:val="28"/>
          <w:highlight w:val="none"/>
        </w:rPr>
        <w:fldChar w:fldCharType="end"/>
      </w:r>
      <w:r>
        <w:rPr>
          <w:rFonts w:hint="eastAsia" w:eastAsia="宋体" w:cs="宋体"/>
          <w:sz w:val="28"/>
          <w:szCs w:val="28"/>
          <w:highlight w:val="none"/>
        </w:rPr>
      </w:r>
      <w:r/>
    </w:p>
    <w:p>
      <w:pPr>
        <w:pStyle w:val="805"/>
        <w:spacing w:line="360" w:lineRule="auto"/>
        <w:tabs>
          <w:tab w:val="left" w:pos="1050" w:leader="none"/>
          <w:tab w:val="right" w:pos="8937" w:leader="dot"/>
        </w:tabs>
        <w:rPr>
          <w:rFonts w:hint="eastAsia" w:ascii="宋体" w:hAnsi="宋体" w:eastAsia="宋体" w:cs="宋体"/>
          <w:b w:val="0"/>
          <w:highlight w:val="none"/>
        </w:rPr>
      </w:pPr>
      <w:r>
        <w:rPr>
          <w:rFonts w:hint="eastAsia" w:ascii="宋体" w:hAnsi="宋体" w:eastAsia="宋体" w:cs="宋体"/>
          <w:sz w:val="28"/>
          <w:szCs w:val="28"/>
          <w:highlight w:val="none"/>
        </w:rPr>
        <w:fldChar w:fldCharType="end"/>
      </w:r>
      <w:r>
        <w:rPr>
          <w:rFonts w:hint="eastAsia" w:ascii="宋体" w:hAnsi="宋体" w:eastAsia="宋体" w:cs="宋体"/>
          <w:b w:val="0"/>
          <w:highlight w:val="none"/>
        </w:rPr>
      </w:r>
      <w:r/>
    </w:p>
    <w:p>
      <w:pPr>
        <w:pStyle w:val="769"/>
        <w:jc w:val="center"/>
        <w:spacing w:line="360" w:lineRule="auto"/>
        <w:rPr>
          <w:rFonts w:hint="eastAsia" w:ascii="宋体" w:hAnsi="宋体" w:eastAsia="宋体" w:cs="宋体"/>
          <w:b/>
          <w:sz w:val="36"/>
          <w:szCs w:val="36"/>
          <w:highlight w:val="none"/>
        </w:rPr>
        <w:sectPr>
          <w:footerReference w:type="default" r:id="rId12"/>
          <w:footnotePr/>
          <w:endnotePr/>
          <w:type w:val="nextPage"/>
          <w:pgSz w:w="11907" w:h="16840" w:orient="portrait"/>
          <w:pgMar w:top="1418" w:right="1417" w:bottom="1418" w:left="1417" w:header="851" w:footer="851" w:gutter="0"/>
          <w:pgNumType w:start="1"/>
          <w:cols w:num="1" w:sep="0" w:space="1701" w:equalWidth="1"/>
          <w:docGrid w:linePitch="360"/>
        </w:sectPr>
        <w:outlineLvl w:val="0"/>
      </w:pPr>
      <w:r>
        <w:rPr>
          <w:rFonts w:hint="eastAsia" w:ascii="宋体" w:hAnsi="宋体" w:eastAsia="宋体" w:cs="宋体"/>
          <w:b/>
          <w:sz w:val="36"/>
          <w:szCs w:val="36"/>
          <w:highlight w:val="none"/>
        </w:rPr>
      </w:r>
      <w:r/>
    </w:p>
    <w:p>
      <w:pPr>
        <w:pStyle w:val="769"/>
        <w:jc w:val="center"/>
        <w:spacing w:line="360" w:lineRule="auto"/>
        <w:rPr>
          <w:rFonts w:hint="eastAsia" w:ascii="宋体" w:hAnsi="宋体" w:eastAsia="宋体" w:cs="宋体"/>
          <w:b/>
          <w:sz w:val="36"/>
          <w:szCs w:val="36"/>
          <w:highlight w:val="none"/>
        </w:rPr>
        <w:outlineLvl w:val="0"/>
      </w:pPr>
      <w:r/>
      <w:bookmarkStart w:id="3" w:name="_Toc5134"/>
      <w:r/>
      <w:bookmarkStart w:id="4" w:name="_Toc3039"/>
      <w:r>
        <w:rPr>
          <w:rFonts w:hint="eastAsia" w:ascii="宋体" w:hAnsi="宋体" w:eastAsia="宋体" w:cs="宋体"/>
          <w:b/>
          <w:sz w:val="36"/>
          <w:szCs w:val="36"/>
          <w:highlight w:val="none"/>
        </w:rPr>
        <w:t xml:space="preserve">第一章   投标邀请</w:t>
      </w:r>
      <w:bookmarkEnd w:id="3"/>
      <w:r/>
      <w:bookmarkEnd w:id="4"/>
      <w:r>
        <w:rPr>
          <w:rFonts w:hint="eastAsia" w:ascii="宋体" w:hAnsi="宋体" w:eastAsia="宋体" w:cs="宋体"/>
          <w:b/>
          <w:sz w:val="36"/>
          <w:szCs w:val="36"/>
          <w:highlight w:val="none"/>
        </w:rPr>
      </w:r>
      <w:r/>
    </w:p>
    <w:p>
      <w:pPr>
        <w:pStyle w:val="819"/>
        <w:ind w:firstLine="480"/>
        <w:spacing w:before="0" w:beforeAutospacing="0" w:after="0" w:afterAutospacing="0" w:line="400" w:lineRule="exact"/>
        <w:rPr>
          <w:rFonts w:hint="eastAsia" w:ascii="宋体" w:hAnsi="宋体" w:eastAsia="宋体" w:cs="宋体"/>
          <w:highlight w:val="none"/>
        </w:rPr>
        <w:pBdr>
          <w:top w:val="single" w:color="000000" w:sz="6" w:space="0"/>
          <w:left w:val="single" w:color="000000" w:sz="6" w:space="3"/>
          <w:bottom w:val="single" w:color="000000" w:sz="6" w:space="0"/>
          <w:right w:val="single" w:color="000000" w:sz="6" w:space="3"/>
        </w:pBdr>
      </w:pPr>
      <w:r>
        <w:rPr>
          <w:rFonts w:hint="eastAsia" w:ascii="宋体" w:hAnsi="宋体" w:eastAsia="宋体" w:cs="宋体"/>
          <w:highlight w:val="none"/>
        </w:rPr>
        <w:t xml:space="preserve">项目概况</w:t>
      </w:r>
      <w:r>
        <w:rPr>
          <w:rFonts w:hint="eastAsia" w:ascii="宋体" w:hAnsi="宋体" w:eastAsia="宋体" w:cs="宋体"/>
          <w:highlight w:val="none"/>
        </w:rPr>
      </w:r>
      <w:r/>
    </w:p>
    <w:p>
      <w:pPr>
        <w:pStyle w:val="819"/>
        <w:ind w:firstLine="480"/>
        <w:spacing w:before="0" w:beforeAutospacing="0" w:after="0" w:afterAutospacing="0" w:line="400" w:lineRule="exact"/>
        <w:rPr>
          <w:rFonts w:hint="eastAsia" w:ascii="宋体" w:hAnsi="宋体" w:eastAsia="宋体" w:cs="宋体"/>
          <w:highlight w:val="none"/>
        </w:rPr>
        <w:pBdr>
          <w:top w:val="single" w:color="000000" w:sz="6" w:space="0"/>
          <w:left w:val="single" w:color="000000" w:sz="6" w:space="3"/>
          <w:bottom w:val="single" w:color="000000" w:sz="6" w:space="0"/>
          <w:right w:val="single" w:color="000000" w:sz="6" w:space="3"/>
        </w:pBdr>
      </w:pPr>
      <w:r>
        <w:rPr>
          <w:rFonts w:hint="eastAsia" w:ascii="宋体" w:hAnsi="宋体" w:eastAsia="宋体" w:cs="宋体"/>
          <w:highlight w:val="none"/>
          <w:u w:val="single"/>
        </w:rPr>
        <w:t xml:space="preserve">（</w:t>
      </w:r>
      <w:r>
        <w:rPr>
          <w:rFonts w:hint="eastAsia" w:eastAsia="宋体" w:cs="宋体"/>
          <w:highlight w:val="none"/>
          <w:u w:val="single"/>
          <w:lang w:eastAsia="zh-CN"/>
        </w:rPr>
        <w:t xml:space="preserve">常州市广化小学校新建校区信息化设备采购项目</w:t>
      </w:r>
      <w:r>
        <w:rPr>
          <w:rFonts w:hint="eastAsia" w:ascii="宋体" w:hAnsi="宋体" w:eastAsia="宋体" w:cs="宋体"/>
          <w:highlight w:val="none"/>
          <w:u w:val="single"/>
        </w:rPr>
        <w:t xml:space="preserve">）</w:t>
      </w:r>
      <w:r>
        <w:rPr>
          <w:rFonts w:hint="eastAsia" w:ascii="宋体" w:hAnsi="宋体" w:eastAsia="宋体" w:cs="宋体"/>
          <w:highlight w:val="none"/>
        </w:rPr>
        <w:t xml:space="preserve">的潜在供应商应在（</w:t>
      </w:r>
      <w:r>
        <w:rPr>
          <w:rFonts w:hint="eastAsia" w:eastAsia="宋体"/>
          <w:highlight w:val="none"/>
          <w:u w:val="single"/>
        </w:rPr>
        <w:t xml:space="preserve">政府采购一体化平台“苏采云”</w:t>
      </w:r>
      <w:r>
        <w:rPr>
          <w:rFonts w:hint="eastAsia" w:ascii="宋体" w:hAnsi="宋体" w:eastAsia="宋体" w:cs="宋体"/>
          <w:highlight w:val="none"/>
        </w:rPr>
        <w:t xml:space="preserve">）获取招标文件，并于</w:t>
      </w:r>
      <w:r>
        <w:rPr>
          <w:rFonts w:hint="eastAsia" w:eastAsia="宋体"/>
          <w:highlight w:val="none"/>
          <w:u w:val="single"/>
          <w:lang w:bidi="ar"/>
        </w:rPr>
        <w:t xml:space="preserve">202</w:t>
      </w:r>
      <w:r>
        <w:rPr>
          <w:rFonts w:hint="eastAsia" w:eastAsia="宋体"/>
          <w:highlight w:val="none"/>
          <w:u w:val="single"/>
          <w:lang w:val="en-US" w:eastAsia="zh-CN" w:bidi="ar"/>
        </w:rPr>
        <w:t xml:space="preserve">6</w:t>
      </w:r>
      <w:r>
        <w:rPr>
          <w:rFonts w:hint="eastAsia" w:eastAsia="宋体"/>
          <w:highlight w:val="none"/>
          <w:u w:val="single"/>
          <w:lang w:bidi="ar"/>
        </w:rPr>
        <w:t xml:space="preserve">年</w:t>
      </w:r>
      <w:r>
        <w:rPr>
          <w:rFonts w:hint="eastAsia" w:eastAsia="宋体"/>
          <w:highlight w:val="none"/>
          <w:u w:val="single"/>
          <w:lang w:val="en-US" w:eastAsia="zh-CN" w:bidi="ar"/>
        </w:rPr>
        <w:t xml:space="preserve">11</w:t>
      </w:r>
      <w:r>
        <w:rPr>
          <w:rFonts w:hint="eastAsia" w:eastAsia="宋体"/>
          <w:highlight w:val="none"/>
          <w:u w:val="single"/>
          <w:lang w:bidi="ar"/>
        </w:rPr>
        <w:t xml:space="preserve">月</w:t>
      </w:r>
      <w:r>
        <w:rPr>
          <w:rFonts w:hint="eastAsia" w:eastAsia="宋体"/>
          <w:highlight w:val="none"/>
          <w:u w:val="single"/>
          <w:lang w:val="en-US" w:eastAsia="zh-CN" w:bidi="ar"/>
        </w:rPr>
        <w:t xml:space="preserve">24</w:t>
      </w:r>
      <w:r>
        <w:rPr>
          <w:rFonts w:hint="eastAsia" w:eastAsia="宋体"/>
          <w:highlight w:val="none"/>
          <w:u w:val="single"/>
          <w:lang w:bidi="ar"/>
        </w:rPr>
        <w:t xml:space="preserve">日</w:t>
      </w:r>
      <w:r>
        <w:rPr>
          <w:rFonts w:hint="eastAsia" w:eastAsia="宋体"/>
          <w:highlight w:val="none"/>
          <w:u w:val="single"/>
          <w:lang w:val="en-US" w:eastAsia="zh-CN" w:bidi="ar"/>
        </w:rPr>
        <w:t xml:space="preserve">上午</w:t>
      </w:r>
      <w:r>
        <w:rPr>
          <w:rFonts w:hint="eastAsia" w:eastAsia="宋体"/>
          <w:highlight w:val="none"/>
          <w:u w:val="single"/>
          <w:lang w:bidi="ar"/>
        </w:rPr>
        <w:t xml:space="preserve">0</w:t>
      </w:r>
      <w:r>
        <w:rPr>
          <w:rFonts w:hint="eastAsia" w:eastAsia="宋体"/>
          <w:highlight w:val="none"/>
          <w:u w:val="single"/>
          <w:lang w:val="en-US" w:eastAsia="zh-CN" w:bidi="ar"/>
        </w:rPr>
        <w:t xml:space="preserve">9时00</w:t>
      </w:r>
      <w:r>
        <w:rPr>
          <w:rFonts w:hint="eastAsia" w:eastAsia="宋体"/>
          <w:highlight w:val="none"/>
          <w:u w:val="single"/>
          <w:lang w:bidi="ar"/>
        </w:rPr>
        <w:t xml:space="preserve">分</w:t>
      </w:r>
      <w:r>
        <w:rPr>
          <w:rFonts w:hint="eastAsia" w:eastAsia="宋体"/>
          <w:highlight w:val="none"/>
          <w:u w:val="single"/>
          <w:lang w:val="en-US" w:eastAsia="zh-CN" w:bidi="ar"/>
        </w:rPr>
        <w:t xml:space="preserve">00秒</w:t>
      </w:r>
      <w:r>
        <w:rPr>
          <w:rFonts w:hint="eastAsia" w:ascii="宋体" w:hAnsi="宋体" w:eastAsia="宋体" w:cs="宋体"/>
          <w:highlight w:val="none"/>
          <w:u w:val="single"/>
        </w:rPr>
        <w:t xml:space="preserve">（北京时间）</w:t>
      </w:r>
      <w:r>
        <w:rPr>
          <w:rFonts w:hint="eastAsia" w:ascii="宋体" w:hAnsi="宋体" w:eastAsia="宋体" w:cs="宋体"/>
          <w:highlight w:val="none"/>
        </w:rPr>
        <w:t xml:space="preserve">前提交投标文件。</w:t>
      </w:r>
      <w:r>
        <w:rPr>
          <w:rFonts w:hint="eastAsia" w:ascii="宋体" w:hAnsi="宋体" w:eastAsia="宋体" w:cs="宋体"/>
          <w:highlight w:val="none"/>
        </w:rPr>
      </w:r>
      <w:r/>
    </w:p>
    <w:p>
      <w:pPr>
        <w:pStyle w:val="985"/>
        <w:jc w:val="left"/>
        <w:spacing w:before="0" w:line="360" w:lineRule="auto"/>
        <w:rPr>
          <w:rFonts w:hint="eastAsia" w:ascii="宋体" w:hAnsi="宋体" w:eastAsia="宋体" w:cs="宋体"/>
          <w:sz w:val="24"/>
          <w:szCs w:val="24"/>
          <w:highlight w:val="none"/>
        </w:rPr>
      </w:pPr>
      <w:r/>
      <w:bookmarkStart w:id="5" w:name="_Toc28359002"/>
      <w:r/>
      <w:bookmarkStart w:id="6" w:name="_Toc35393790"/>
      <w:r/>
      <w:bookmarkStart w:id="7" w:name="_Toc28359079"/>
      <w:r/>
      <w:bookmarkStart w:id="8" w:name="_Toc35393621"/>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Pr>
          <w:rFonts w:hint="eastAsia" w:ascii="宋体" w:hAnsi="宋体" w:eastAsia="宋体" w:cs="宋体"/>
          <w:sz w:val="24"/>
          <w:szCs w:val="24"/>
          <w:highlight w:val="none"/>
        </w:rPr>
      </w:r>
      <w:r/>
    </w:p>
    <w:p>
      <w:pPr>
        <w:pStyle w:val="76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sz w:val="24"/>
          <w:highlight w:val="none"/>
          <w:lang w:eastAsia="zh-CN"/>
        </w:rPr>
      </w:r>
      <w:r/>
    </w:p>
    <w:p>
      <w:pPr>
        <w:pStyle w:val="76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2.项目名称：</w:t>
      </w:r>
      <w:bookmarkEnd w:id="9"/>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sz w:val="24"/>
          <w:highlight w:val="none"/>
          <w:lang w:eastAsia="zh-CN"/>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3.项目预算金额：人民币</w:t>
      </w:r>
      <w:r>
        <w:rPr>
          <w:rFonts w:hint="eastAsia" w:ascii="宋体" w:hAnsi="宋体" w:eastAsia="宋体" w:cs="宋体"/>
          <w:sz w:val="24"/>
          <w:highlight w:val="none"/>
          <w:lang w:val="en-US" w:eastAsia="zh-CN"/>
        </w:rPr>
        <w:t xml:space="preserve">225.98345</w:t>
      </w:r>
      <w:r>
        <w:rPr>
          <w:rFonts w:hint="eastAsia" w:ascii="宋体" w:hAnsi="宋体" w:eastAsia="宋体" w:cs="宋体"/>
          <w:sz w:val="24"/>
          <w:highlight w:val="none"/>
        </w:rPr>
        <w:t xml:space="preserve">万元</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项目最高限价：人民币</w:t>
      </w:r>
      <w:r>
        <w:rPr>
          <w:rFonts w:hint="eastAsia" w:ascii="宋体" w:hAnsi="宋体" w:eastAsia="宋体" w:cs="宋体"/>
          <w:sz w:val="24"/>
          <w:highlight w:val="none"/>
          <w:lang w:val="en-US" w:eastAsia="zh-CN"/>
        </w:rPr>
        <w:t xml:space="preserve">225.98345</w:t>
      </w:r>
      <w:r>
        <w:rPr>
          <w:rFonts w:hint="eastAsia" w:ascii="宋体" w:hAnsi="宋体" w:eastAsia="宋体" w:cs="宋体"/>
          <w:sz w:val="24"/>
          <w:highlight w:val="none"/>
        </w:rPr>
        <w:t xml:space="preserve">万元，投标人报价不得高于最高限价，否则作为无效投标处理。</w:t>
      </w:r>
      <w:r>
        <w:rPr>
          <w:rFonts w:hint="eastAsia" w:ascii="宋体" w:hAnsi="宋体" w:eastAsia="宋体" w:cs="宋体"/>
          <w:sz w:val="24"/>
          <w:highlight w:val="none"/>
        </w:rPr>
      </w:r>
      <w:r/>
    </w:p>
    <w:p>
      <w:pPr>
        <w:pStyle w:val="769"/>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rPr>
          <w:rFonts w:hint="eastAsia" w:ascii="宋体" w:hAnsi="宋体" w:eastAsia="宋体" w:cs="宋体"/>
          <w:sz w:val="24"/>
          <w:highlight w:val="none"/>
          <w:lang w:bidi="ar"/>
        </w:rPr>
        <w:t xml:space="preserve">本项目为</w:t>
      </w:r>
      <w:r>
        <w:rPr>
          <w:rFonts w:hint="eastAsia" w:ascii="宋体" w:hAnsi="宋体" w:eastAsia="宋体" w:cs="宋体"/>
          <w:sz w:val="24"/>
          <w:highlight w:val="none"/>
          <w:lang w:eastAsia="zh-CN" w:bidi="ar"/>
        </w:rPr>
        <w:t xml:space="preserve">常州市广化小学校新建校区信息化设备采购项目</w:t>
      </w:r>
      <w:r>
        <w:rPr>
          <w:rFonts w:hint="eastAsia" w:ascii="宋体" w:hAnsi="宋体" w:eastAsia="宋体" w:cs="宋体"/>
          <w:sz w:val="24"/>
          <w:highlight w:val="none"/>
          <w:lang w:bidi="ar"/>
        </w:rPr>
        <w:t xml:space="preserve">，采购内容</w:t>
      </w:r>
      <w:r>
        <w:rPr>
          <w:rFonts w:hint="eastAsia" w:ascii="宋体" w:hAnsi="宋体" w:eastAsia="宋体" w:cs="宋体"/>
          <w:color w:val="000000"/>
          <w:sz w:val="24"/>
          <w:highlight w:val="none"/>
        </w:rPr>
        <w:t xml:space="preserve">包括但不限于</w:t>
      </w:r>
      <w:r>
        <w:rPr>
          <w:rFonts w:hint="eastAsia" w:ascii="宋体" w:hAnsi="宋体" w:eastAsia="宋体" w:cs="宋体"/>
          <w:sz w:val="24"/>
          <w:highlight w:val="none"/>
          <w:lang w:bidi="ar"/>
        </w:rPr>
        <w:t xml:space="preserve">相应产品供货前的准备（包括现场踏勘、技术核对等）、产品设计、制造、采购、运输、装卸、安装、调试、技术指导培训、检验、质保期及维保服务等全部内容。</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5.合同履行期限：</w:t>
      </w:r>
      <w:r>
        <w:rPr>
          <w:rFonts w:hint="eastAsia" w:ascii="宋体" w:hAnsi="宋体" w:eastAsia="宋体" w:cs="宋体"/>
          <w:sz w:val="24"/>
          <w:highlight w:val="none"/>
          <w:lang w:eastAsia="zh-CN"/>
        </w:rPr>
        <w:t xml:space="preserve">合同签订后</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0天内完成合同范围内所有设备的供货、安装调试完成。</w:t>
      </w:r>
      <w:r>
        <w:rPr>
          <w:rFonts w:hint="eastAsia" w:ascii="宋体" w:hAnsi="宋体" w:eastAsia="宋体" w:cs="宋体"/>
          <w:sz w:val="24"/>
          <w:highlight w:val="none"/>
          <w:lang w:eastAsia="zh-CN"/>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6.本项目是否接受联合体投标：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  ■否。</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7.本项目是否接受进口产品投标：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  </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985"/>
        <w:jc w:val="left"/>
        <w:spacing w:before="0" w:line="360" w:lineRule="auto"/>
        <w:rPr>
          <w:rFonts w:hint="eastAsia" w:ascii="宋体" w:hAnsi="宋体" w:eastAsia="宋体" w:cs="宋体"/>
          <w:sz w:val="24"/>
          <w:szCs w:val="24"/>
          <w:highlight w:val="none"/>
        </w:rPr>
      </w:pPr>
      <w:r/>
      <w:bookmarkStart w:id="10" w:name="_Toc35393622"/>
      <w:r/>
      <w:bookmarkStart w:id="11" w:name="_Toc28359003"/>
      <w:r/>
      <w:bookmarkStart w:id="12" w:name="_Toc28359080"/>
      <w:r/>
      <w:bookmarkStart w:id="13" w:name="_Toc35393791"/>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Pr>
          <w:rFonts w:hint="eastAsia" w:ascii="宋体" w:hAnsi="宋体" w:eastAsia="宋体" w:cs="宋体"/>
          <w:sz w:val="24"/>
          <w:szCs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1.1投标人资格声明函</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6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1.2.投标人信用记录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6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1.3.营业执照副本或事业单位法人证书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69"/>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1.4.</w:t>
      </w:r>
      <w:r>
        <w:rPr>
          <w:rFonts w:hint="eastAsia" w:ascii="宋体" w:hAnsi="宋体" w:eastAsia="宋体" w:cs="宋体"/>
          <w:sz w:val="24"/>
          <w:highlight w:val="none"/>
          <w:lang w:val="en-US"/>
        </w:rPr>
        <w:t xml:space="preserve">控股管理关系</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769"/>
        <w:ind w:firstLine="480"/>
        <w:spacing w:line="360" w:lineRule="auto"/>
        <w:rPr>
          <w:rFonts w:hint="eastAsia" w:ascii="宋体" w:hAnsi="宋体" w:eastAsia="宋体" w:cs="宋体"/>
          <w:sz w:val="24"/>
          <w:highlight w:val="none"/>
        </w:rPr>
      </w:pPr>
      <w:r/>
      <w:bookmarkStart w:id="14" w:name="_Toc28359004"/>
      <w:r/>
      <w:bookmarkStart w:id="15" w:name="_Toc28359081"/>
      <w:r>
        <w:rPr>
          <w:rFonts w:hint="eastAsia" w:ascii="宋体" w:hAnsi="宋体" w:eastAsia="宋体" w:cs="宋体"/>
          <w:sz w:val="24"/>
          <w:highlight w:val="none"/>
        </w:rPr>
        <w:t xml:space="preserve">2.落实政府采购政策需满足的资格要求：</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中小企业政策</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本项目不专门面向中小企业预留采购份额。</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本项目专门面向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中小 小微企业  采购。即：提供的货物全部由符合政策要求的中小/小微企业制造、服务全部由符合政策要求的中小/小微企业承接。</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highlight w:val="none"/>
          <w:u w:val="single"/>
        </w:rPr>
        <w:t xml:space="preserve">   无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其它落实政府采购政策的资格要求（如有）：</w:t>
      </w:r>
      <w:r>
        <w:rPr>
          <w:rFonts w:hint="eastAsia" w:ascii="宋体" w:hAnsi="宋体" w:eastAsia="宋体" w:cs="宋体"/>
          <w:sz w:val="24"/>
          <w:highlight w:val="none"/>
          <w:u w:val="single"/>
        </w:rPr>
        <w:t xml:space="preserve">   无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i/>
          <w:iCs/>
          <w:sz w:val="24"/>
          <w:highlight w:val="none"/>
          <w:u w:val="single"/>
        </w:rPr>
      </w:pPr>
      <w:r>
        <w:rPr>
          <w:rFonts w:hint="eastAsia" w:ascii="宋体" w:hAnsi="宋体" w:eastAsia="宋体" w:cs="宋体"/>
          <w:sz w:val="24"/>
          <w:highlight w:val="none"/>
        </w:rPr>
        <w:t xml:space="preserve">3.本项目的特定资格要求：</w:t>
      </w:r>
      <w:r>
        <w:rPr>
          <w:rFonts w:hint="eastAsia" w:ascii="宋体" w:hAnsi="宋体" w:eastAsia="宋体" w:cs="宋体"/>
          <w:i/>
          <w:iCs/>
          <w:sz w:val="24"/>
          <w:highlight w:val="none"/>
          <w:u w:val="singl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3.1本项目是否接受分支机构参与投标：□是   ■否；</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3.2本项目是否属于政府购买服务：</w:t>
      </w:r>
      <w:r>
        <w:rPr>
          <w:rFonts w:hint="eastAsia" w:ascii="宋体" w:hAnsi="宋体" w:eastAsia="宋体" w:cs="宋体"/>
          <w:sz w:val="24"/>
          <w:highlight w:val="none"/>
        </w:rPr>
      </w:r>
      <w:r/>
    </w:p>
    <w:p>
      <w:pPr>
        <w:pStyle w:val="769"/>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769"/>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□是，公益一类事业单位、使用事业编制且由财政拨款保障的群团组织，不得作为承接主体；</w:t>
      </w:r>
      <w:bookmarkEnd w:id="14"/>
      <w:r/>
      <w:bookmarkEnd w:id="15"/>
      <w:r>
        <w:rPr>
          <w:rFonts w:hint="eastAsia" w:ascii="宋体" w:hAnsi="宋体" w:eastAsia="宋体" w:cs="宋体"/>
          <w:sz w:val="24"/>
          <w:highlight w:val="none"/>
        </w:rPr>
      </w:r>
      <w:r/>
    </w:p>
    <w:p>
      <w:pPr>
        <w:pStyle w:val="769"/>
        <w:numPr>
          <w:ilvl w:val="0"/>
          <w:numId w:val="0"/>
        </w:numPr>
        <w:ind w:left="0"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val="en-US" w:eastAsia="zh-CN"/>
        </w:rPr>
      </w:pPr>
      <w:r>
        <w:rPr>
          <w:rFonts w:hint="eastAsia" w:ascii="宋体" w:hAnsi="宋体" w:eastAsia="宋体" w:cs="宋体"/>
          <w:sz w:val="24"/>
          <w:highlight w:val="none"/>
          <w:lang w:val="en-US" w:eastAsia="zh-CN"/>
        </w:rPr>
        <w:t xml:space="preserve">3.3</w:t>
      </w:r>
      <w:r>
        <w:rPr>
          <w:rFonts w:hint="eastAsia" w:ascii="宋体" w:hAnsi="宋体" w:eastAsia="宋体" w:cs="宋体"/>
          <w:color w:val="000000"/>
          <w:sz w:val="24"/>
          <w:szCs w:val="24"/>
          <w:highlight w:val="none"/>
        </w:rPr>
        <w:t xml:space="preserve">其他特定资格要求：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85"/>
        <w:jc w:val="left"/>
        <w:spacing w:before="0" w:line="360" w:lineRule="auto"/>
        <w:widowControl/>
        <w:rPr>
          <w:rFonts w:hint="eastAsia" w:ascii="宋体" w:hAnsi="宋体" w:eastAsia="宋体" w:cs="宋体"/>
          <w:sz w:val="24"/>
          <w:szCs w:val="24"/>
          <w:highlight w:val="none"/>
        </w:rPr>
      </w:pPr>
      <w:r/>
      <w:bookmarkStart w:id="16" w:name="_Toc35393792"/>
      <w:r/>
      <w:bookmarkStart w:id="17" w:name="_Toc35393623"/>
      <w:r>
        <w:rPr>
          <w:rFonts w:hint="eastAsia" w:ascii="宋体" w:hAnsi="宋体" w:eastAsia="宋体" w:cs="宋体"/>
          <w:sz w:val="24"/>
          <w:szCs w:val="24"/>
          <w:highlight w:val="none"/>
        </w:rPr>
        <w:t xml:space="preserve">三、获取招标文件</w:t>
      </w:r>
      <w:bookmarkEnd w:id="16"/>
      <w:r/>
      <w:bookmarkEnd w:id="17"/>
      <w:r>
        <w:rPr>
          <w:rFonts w:hint="eastAsia" w:ascii="宋体" w:hAnsi="宋体" w:eastAsia="宋体" w:cs="宋体"/>
          <w:sz w:val="24"/>
          <w:szCs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bookmarkStart w:id="18" w:name="_Toc28359005"/>
      <w:r/>
      <w:bookmarkStart w:id="19" w:name="_Toc28359082"/>
      <w:r/>
      <w:bookmarkStart w:id="20" w:name="_Toc35393624"/>
      <w:r/>
      <w:bookmarkStart w:id="21" w:name="_Toc35393793"/>
      <w:r>
        <w:rPr>
          <w:rFonts w:hint="eastAsia" w:ascii="宋体" w:hAnsi="宋体" w:eastAsia="宋体" w:cs="宋体"/>
          <w:sz w:val="24"/>
          <w:highlight w:val="none"/>
        </w:rPr>
        <w:t xml:space="preserve">时间：自招标文件公告发布之日起5个工作日</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地点：政府采购一体化平台“苏采云”</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方式：投标人持CA数字认证证书登录政府采购一体化平台“苏采云”（http://jszfcg.jscz.gov.cn/jszc/login）获取电子版招标文件。</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售价：0.00元</w:t>
      </w:r>
      <w:r>
        <w:rPr>
          <w:rFonts w:hint="eastAsia" w:ascii="宋体" w:hAnsi="宋体" w:eastAsia="宋体" w:cs="宋体"/>
          <w:sz w:val="24"/>
          <w:highlight w:val="none"/>
        </w:rPr>
      </w:r>
      <w:r/>
    </w:p>
    <w:p>
      <w:pPr>
        <w:pStyle w:val="985"/>
        <w:jc w:val="left"/>
        <w:spacing w:before="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四、提交投标文件</w:t>
      </w:r>
      <w:bookmarkEnd w:id="18"/>
      <w:r/>
      <w:bookmarkEnd w:id="19"/>
      <w:r>
        <w:rPr>
          <w:rFonts w:hint="eastAsia" w:ascii="宋体" w:hAnsi="宋体" w:eastAsia="宋体" w:cs="宋体"/>
          <w:sz w:val="24"/>
          <w:szCs w:val="24"/>
          <w:highlight w:val="none"/>
        </w:rPr>
        <w:t xml:space="preserve">截止时间、开标时间和地点</w:t>
      </w:r>
      <w:bookmarkEnd w:id="20"/>
      <w:r/>
      <w:bookmarkEnd w:id="21"/>
      <w:r>
        <w:rPr>
          <w:rFonts w:hint="eastAsia" w:ascii="宋体" w:hAnsi="宋体" w:eastAsia="宋体" w:cs="宋体"/>
          <w:sz w:val="24"/>
          <w:szCs w:val="24"/>
          <w:highlight w:val="none"/>
        </w:rPr>
      </w:r>
      <w:r/>
    </w:p>
    <w:p>
      <w:pPr>
        <w:pStyle w:val="769"/>
        <w:ind w:firstLine="480"/>
        <w:spacing w:line="360" w:lineRule="auto"/>
        <w:rPr>
          <w:rFonts w:hint="eastAsia" w:ascii="宋体" w:hAnsi="宋体" w:eastAsia="宋体" w:cs="宋体"/>
          <w:bCs/>
          <w:sz w:val="24"/>
          <w:highlight w:val="none"/>
          <w:u w:val="single"/>
        </w:rPr>
      </w:pPr>
      <w:r>
        <w:rPr>
          <w:rFonts w:hint="eastAsia" w:ascii="宋体" w:hAnsi="宋体" w:eastAsia="宋体" w:cs="宋体"/>
          <w:iCs/>
          <w:sz w:val="24"/>
          <w:highlight w:val="none"/>
          <w:lang w:bidi="ar"/>
        </w:rPr>
        <w:t xml:space="preserve">202</w:t>
      </w:r>
      <w:r>
        <w:rPr>
          <w:rFonts w:hint="eastAsia" w:ascii="宋体" w:hAnsi="宋体" w:eastAsia="宋体" w:cs="宋体"/>
          <w:iCs/>
          <w:sz w:val="24"/>
          <w:highlight w:val="none"/>
          <w:lang w:val="en-US" w:eastAsia="zh-CN" w:bidi="ar"/>
        </w:rPr>
        <w:t xml:space="preserve">6</w:t>
      </w:r>
      <w:r>
        <w:rPr>
          <w:rFonts w:hint="eastAsia" w:ascii="宋体" w:hAnsi="宋体" w:eastAsia="宋体" w:cs="宋体"/>
          <w:iCs/>
          <w:sz w:val="24"/>
          <w:highlight w:val="none"/>
          <w:lang w:bidi="ar"/>
        </w:rPr>
        <w:t xml:space="preserve">-</w:t>
      </w:r>
      <w:r>
        <w:rPr>
          <w:rFonts w:hint="eastAsia" w:ascii="宋体" w:hAnsi="宋体" w:eastAsia="宋体" w:cs="宋体"/>
          <w:iCs/>
          <w:sz w:val="24"/>
          <w:highlight w:val="none"/>
          <w:lang w:val="en-US" w:eastAsia="zh-CN" w:bidi="ar"/>
        </w:rPr>
        <w:t xml:space="preserve">11</w:t>
      </w:r>
      <w:r>
        <w:rPr>
          <w:rFonts w:hint="eastAsia" w:ascii="宋体" w:hAnsi="宋体" w:eastAsia="宋体" w:cs="宋体"/>
          <w:iCs/>
          <w:sz w:val="24"/>
          <w:highlight w:val="none"/>
          <w:lang w:bidi="ar"/>
        </w:rPr>
        <w:t xml:space="preserve">-</w:t>
      </w:r>
      <w:r>
        <w:rPr>
          <w:rFonts w:hint="eastAsia" w:ascii="宋体" w:hAnsi="宋体" w:eastAsia="宋体" w:cs="宋体"/>
          <w:iCs/>
          <w:sz w:val="24"/>
          <w:highlight w:val="none"/>
          <w:lang w:val="en-US" w:eastAsia="zh-CN" w:bidi="ar"/>
        </w:rPr>
        <w:t xml:space="preserve">24 </w:t>
      </w:r>
      <w:r>
        <w:rPr>
          <w:rFonts w:hint="eastAsia" w:ascii="宋体" w:hAnsi="宋体" w:eastAsia="宋体" w:cs="宋体"/>
          <w:iCs/>
          <w:sz w:val="24"/>
          <w:highlight w:val="none"/>
          <w:lang w:bidi="ar"/>
        </w:rPr>
        <w:t xml:space="preserve"> </w:t>
      </w:r>
      <w:r>
        <w:rPr>
          <w:rFonts w:hint="eastAsia" w:ascii="宋体" w:hAnsi="宋体" w:eastAsia="宋体" w:cs="宋体"/>
          <w:iCs/>
          <w:sz w:val="24"/>
          <w:highlight w:val="none"/>
          <w:lang w:val="en-US" w:eastAsia="zh-CN" w:bidi="ar"/>
        </w:rPr>
        <w:t xml:space="preserve">09</w:t>
      </w:r>
      <w:r>
        <w:rPr>
          <w:rFonts w:hint="eastAsia" w:ascii="宋体" w:hAnsi="宋体" w:eastAsia="宋体" w:cs="宋体"/>
          <w:iCs/>
          <w:sz w:val="24"/>
          <w:highlight w:val="none"/>
          <w:lang w:bidi="ar"/>
        </w:rPr>
        <w:t xml:space="preserve">:</w:t>
      </w:r>
      <w:r>
        <w:rPr>
          <w:rFonts w:hint="eastAsia" w:ascii="宋体" w:hAnsi="宋体" w:eastAsia="宋体" w:cs="宋体"/>
          <w:iCs/>
          <w:sz w:val="24"/>
          <w:highlight w:val="none"/>
          <w:lang w:val="en-US" w:eastAsia="zh-CN" w:bidi="ar"/>
        </w:rPr>
        <w:t xml:space="preserve">0</w:t>
      </w:r>
      <w:r>
        <w:rPr>
          <w:rFonts w:hint="eastAsia" w:ascii="宋体" w:hAnsi="宋体" w:eastAsia="宋体" w:cs="宋体"/>
          <w:iCs/>
          <w:sz w:val="24"/>
          <w:highlight w:val="none"/>
          <w:lang w:bidi="ar"/>
        </w:rPr>
        <w:t xml:space="preserve">0</w:t>
      </w:r>
      <w:r>
        <w:rPr>
          <w:rFonts w:hint="eastAsia" w:ascii="宋体" w:hAnsi="宋体" w:eastAsia="宋体" w:cs="宋体"/>
          <w:iCs/>
          <w:sz w:val="24"/>
          <w:highlight w:val="none"/>
          <w:lang w:val="en-US" w:eastAsia="zh-CN" w:bidi="ar"/>
        </w:rPr>
        <w:t xml:space="preserve">:00</w:t>
      </w:r>
      <w:r>
        <w:rPr>
          <w:rFonts w:hint="eastAsia" w:ascii="宋体" w:hAnsi="宋体" w:eastAsia="宋体" w:cs="宋体"/>
          <w:iCs/>
          <w:sz w:val="24"/>
          <w:highlight w:val="none"/>
          <w:lang w:bidi="ar"/>
        </w:rPr>
        <w:t xml:space="preserve"> （北京时间）。</w:t>
      </w:r>
      <w:r>
        <w:rPr>
          <w:rFonts w:hint="eastAsia" w:ascii="宋体" w:hAnsi="宋体" w:eastAsia="宋体" w:cs="宋体"/>
          <w:bCs/>
          <w:sz w:val="24"/>
          <w:highlight w:val="none"/>
          <w:u w:val="single"/>
        </w:rPr>
      </w:r>
      <w:r/>
    </w:p>
    <w:p>
      <w:pPr>
        <w:pStyle w:val="769"/>
        <w:ind w:firstLine="480"/>
        <w:spacing w:line="360" w:lineRule="auto"/>
        <w:rPr>
          <w:rFonts w:hint="eastAsia" w:ascii="宋体" w:hAnsi="宋体" w:eastAsia="宋体" w:cs="宋体"/>
          <w:bCs/>
          <w:sz w:val="24"/>
          <w:highlight w:val="none"/>
          <w:u w:val="single"/>
          <w:lang w:val="en-US" w:eastAsia="zh-CN"/>
        </w:rPr>
      </w:pPr>
      <w:r>
        <w:rPr>
          <w:rFonts w:hint="eastAsia" w:ascii="宋体" w:hAnsi="宋体" w:eastAsia="宋体" w:cs="宋体"/>
          <w:sz w:val="24"/>
          <w:highlight w:val="none"/>
          <w:lang w:bidi="ar"/>
        </w:rPr>
        <w:t xml:space="preserve">地点：政府采购一体化平台“苏采云”</w:t>
      </w:r>
      <w:r>
        <w:rPr>
          <w:rFonts w:hint="eastAsia" w:ascii="宋体" w:hAnsi="宋体" w:eastAsia="宋体" w:cs="宋体"/>
          <w:bCs/>
          <w:sz w:val="24"/>
          <w:highlight w:val="none"/>
          <w:u w:val="single"/>
          <w:lang w:val="en-US" w:eastAsia="zh-CN"/>
        </w:rPr>
      </w:r>
      <w:r/>
    </w:p>
    <w:p>
      <w:pPr>
        <w:pStyle w:val="985"/>
        <w:jc w:val="left"/>
        <w:spacing w:before="0" w:line="360" w:lineRule="auto"/>
        <w:rPr>
          <w:rFonts w:hint="eastAsia" w:ascii="宋体" w:hAnsi="宋体" w:eastAsia="宋体" w:cs="宋体"/>
          <w:sz w:val="24"/>
          <w:szCs w:val="24"/>
          <w:highlight w:val="none"/>
        </w:rPr>
      </w:pPr>
      <w:r/>
      <w:bookmarkStart w:id="22" w:name="_Toc35393794"/>
      <w:r/>
      <w:bookmarkStart w:id="23" w:name="_Toc28359084"/>
      <w:r/>
      <w:bookmarkStart w:id="24" w:name="_Toc35393625"/>
      <w:r/>
      <w:bookmarkStart w:id="25" w:name="_Toc28359007"/>
      <w:r>
        <w:rPr>
          <w:rFonts w:hint="eastAsia" w:ascii="宋体" w:hAnsi="宋体" w:eastAsia="宋体" w:cs="宋体"/>
          <w:sz w:val="24"/>
          <w:szCs w:val="24"/>
          <w:highlight w:val="none"/>
        </w:rPr>
        <w:t xml:space="preserve">五、公告期限</w:t>
      </w:r>
      <w:bookmarkEnd w:id="22"/>
      <w:r/>
      <w:bookmarkEnd w:id="23"/>
      <w:r/>
      <w:bookmarkEnd w:id="24"/>
      <w:r/>
      <w:bookmarkEnd w:id="25"/>
      <w:r>
        <w:rPr>
          <w:rFonts w:hint="eastAsia" w:ascii="宋体" w:hAnsi="宋体" w:eastAsia="宋体" w:cs="宋体"/>
          <w:sz w:val="24"/>
          <w:szCs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rPr>
          <w:rFonts w:hint="eastAsia" w:ascii="宋体" w:hAnsi="宋体" w:eastAsia="宋体" w:cs="宋体"/>
          <w:sz w:val="24"/>
          <w:highlight w:val="none"/>
        </w:rPr>
      </w:r>
      <w:r/>
    </w:p>
    <w:p>
      <w:pPr>
        <w:pStyle w:val="985"/>
        <w:jc w:val="left"/>
        <w:spacing w:before="0" w:line="360" w:lineRule="auto"/>
        <w:rPr>
          <w:rFonts w:hint="eastAsia" w:ascii="宋体" w:hAnsi="宋体" w:eastAsia="宋体" w:cs="宋体"/>
          <w:sz w:val="24"/>
          <w:szCs w:val="24"/>
          <w:highlight w:val="none"/>
        </w:rPr>
      </w:pPr>
      <w:r/>
      <w:bookmarkStart w:id="26" w:name="_Toc35393626"/>
      <w:r/>
      <w:bookmarkStart w:id="27" w:name="_Toc35393795"/>
      <w:r>
        <w:rPr>
          <w:rFonts w:hint="eastAsia" w:ascii="宋体" w:hAnsi="宋体" w:eastAsia="宋体" w:cs="宋体"/>
          <w:sz w:val="24"/>
          <w:szCs w:val="24"/>
          <w:highlight w:val="none"/>
        </w:rPr>
        <w:t xml:space="preserve">六、其他补充事宜</w:t>
      </w:r>
      <w:bookmarkEnd w:id="26"/>
      <w:r/>
      <w:bookmarkEnd w:id="27"/>
      <w:r>
        <w:rPr>
          <w:rFonts w:hint="eastAsia" w:ascii="宋体" w:hAnsi="宋体" w:eastAsia="宋体" w:cs="宋体"/>
          <w:sz w:val="24"/>
          <w:szCs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1.本项目需要落实的政府采购政策：/。</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2.现场勘察及澄清：</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2.1招标人不集中组织现场勘察，投标人可自行安排人员至现场踏勘了解项目情况，在中标后不得以未踏勘现场为由向招标人提出其他任何要求。</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2.2有关本次采购的事项若存在变动或修改，招标代理机构将通过更正公告形式发布，因未能及时了解相关最新信息所引起的投标失误责任由投标人自负。</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技术支持服务热线   0519-85588210</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CA认证证书办理（可邮寄）联系电话  0519-85588120</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3.1办理CA认证证书</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投标人登录政府采购一体化平台“苏采云”“新CA办理指南”，按照程序要求办理。</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3.2注册</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投标人登录政府采购一体化平台“苏采云” 下载“ 用户注册”查阅后进行自助注册。</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3.3控件、客户端下载</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投标人登录政府采购一体化平台“苏采云” 下载“驱动下载”，安装驱动。</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3.4获取电子投标文件</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投标人持CA数字认证证书登录政府采购一体化平台“苏采云”获取电子招标文件。未在规定期限内通过政府采购一体化平台“苏采云”获取招标文件的投标无效。</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3.5编制电子投标文件</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3.6提交电子投标文件</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投标人应于投标截止时间前在政府采购一体化平台“苏采云”提交电子投标文件，上传电子投标文件过程中请保持与互联网的连接畅通。</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3.7电子开标</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投标人使用CA认证证书登录政府采购一体化平台“苏采云”进行电子化不见面开标。</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3.8注意事项</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4.关于常州市中小企业政府采购信用融资：</w:t>
      </w:r>
      <w:r>
        <w:rPr>
          <w:rFonts w:hint="eastAsia" w:ascii="宋体" w:hAnsi="宋体" w:eastAsia="宋体" w:cs="宋体"/>
          <w:sz w:val="24"/>
          <w:highlight w:val="none"/>
        </w:rPr>
      </w:r>
      <w:r/>
    </w:p>
    <w:p>
      <w:pPr>
        <w:pStyle w:val="769"/>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highlight w:val="none"/>
        </w:rPr>
      </w:r>
      <w:r/>
    </w:p>
    <w:p>
      <w:pPr>
        <w:pStyle w:val="985"/>
        <w:jc w:val="left"/>
        <w:spacing w:before="0" w:line="360" w:lineRule="auto"/>
        <w:rPr>
          <w:rFonts w:hint="eastAsia" w:ascii="宋体" w:hAnsi="宋体" w:eastAsia="宋体" w:cs="宋体"/>
          <w:sz w:val="24"/>
          <w:szCs w:val="24"/>
          <w:highlight w:val="none"/>
        </w:rPr>
      </w:pPr>
      <w:r/>
      <w:bookmarkStart w:id="28" w:name="_Toc35393627"/>
      <w:r/>
      <w:bookmarkStart w:id="29" w:name="_Toc35393796"/>
      <w:r/>
      <w:bookmarkStart w:id="30" w:name="_Toc28359085"/>
      <w:r/>
      <w:bookmarkStart w:id="31" w:name="_Toc28359008"/>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Pr>
          <w:rFonts w:hint="eastAsia" w:ascii="宋体" w:hAnsi="宋体" w:eastAsia="宋体" w:cs="宋体"/>
          <w:sz w:val="24"/>
          <w:szCs w:val="24"/>
          <w:highlight w:val="none"/>
        </w:rPr>
      </w:r>
      <w:r/>
    </w:p>
    <w:p>
      <w:pPr>
        <w:pStyle w:val="769"/>
        <w:ind w:firstLine="482"/>
        <w:jc w:val="left"/>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1.采购人信息</w:t>
      </w:r>
      <w:r>
        <w:rPr>
          <w:rFonts w:hint="eastAsia" w:ascii="宋体" w:hAnsi="宋体" w:eastAsia="宋体" w:cs="宋体"/>
          <w:b/>
          <w:sz w:val="24"/>
          <w:highlight w:val="none"/>
        </w:rPr>
      </w:r>
      <w:r/>
    </w:p>
    <w:p>
      <w:pPr>
        <w:pStyle w:val="769"/>
        <w:ind w:firstLine="480"/>
        <w:jc w:val="left"/>
        <w:spacing w:line="360" w:lineRule="auto"/>
        <w:rPr>
          <w:rFonts w:hint="eastAsia" w:ascii="宋体" w:hAnsi="宋体" w:eastAsia="宋体" w:cs="宋体"/>
          <w:sz w:val="24"/>
          <w:highlight w:val="none"/>
          <w:lang w:eastAsia="zh-CN"/>
        </w:rPr>
      </w:pPr>
      <w:r/>
      <w:bookmarkStart w:id="32" w:name="_Toc28359086"/>
      <w:r/>
      <w:bookmarkStart w:id="33" w:name="_Toc28359009"/>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常州市广化小学校</w:t>
      </w:r>
      <w:r>
        <w:rPr>
          <w:rFonts w:hint="eastAsia" w:ascii="宋体" w:hAnsi="宋体" w:eastAsia="宋体" w:cs="宋体"/>
          <w:sz w:val="24"/>
          <w:highlight w:val="none"/>
          <w:lang w:eastAsia="zh-CN"/>
        </w:rPr>
      </w:r>
      <w:r/>
    </w:p>
    <w:p>
      <w:pPr>
        <w:pStyle w:val="769"/>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eastAsia="宋体" w:cs="宋体"/>
          <w:color w:val="000000"/>
          <w:sz w:val="24"/>
          <w:highlight w:val="none"/>
        </w:rPr>
        <w:t xml:space="preserve">常州市钟楼区吊桥路129号</w:t>
      </w:r>
      <w:r>
        <w:rPr>
          <w:rFonts w:hint="eastAsia" w:ascii="宋体" w:hAnsi="宋体" w:eastAsia="宋体" w:cs="宋体"/>
          <w:sz w:val="24"/>
          <w:highlight w:val="none"/>
          <w:lang w:eastAsia="zh-CN"/>
        </w:rPr>
      </w:r>
      <w:r/>
    </w:p>
    <w:p>
      <w:pPr>
        <w:pStyle w:val="76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联系方式：0519-86633281     </w:t>
      </w:r>
      <w:r>
        <w:rPr>
          <w:rFonts w:hint="eastAsia" w:ascii="宋体" w:hAnsi="宋体" w:eastAsia="宋体" w:cs="宋体"/>
          <w:sz w:val="24"/>
          <w:highlight w:val="none"/>
        </w:rPr>
      </w:r>
      <w:r/>
    </w:p>
    <w:p>
      <w:pPr>
        <w:pStyle w:val="769"/>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2.采购代理机构信息</w:t>
      </w:r>
      <w:bookmarkEnd w:id="32"/>
      <w:r/>
      <w:bookmarkEnd w:id="33"/>
      <w:r>
        <w:rPr>
          <w:rFonts w:hint="eastAsia" w:ascii="宋体" w:hAnsi="宋体" w:eastAsia="宋体" w:cs="宋体"/>
          <w:b/>
          <w:sz w:val="24"/>
          <w:highlight w:val="none"/>
        </w:rPr>
      </w:r>
      <w:r/>
    </w:p>
    <w:p>
      <w:pPr>
        <w:pStyle w:val="769"/>
        <w:ind w:firstLine="480"/>
        <w:jc w:val="left"/>
        <w:spacing w:line="360" w:lineRule="auto"/>
        <w:rPr>
          <w:rFonts w:hint="eastAsia" w:ascii="宋体" w:hAnsi="宋体" w:eastAsia="宋体" w:cs="宋体"/>
          <w:sz w:val="24"/>
          <w:highlight w:val="none"/>
        </w:rPr>
      </w:pPr>
      <w:r/>
      <w:bookmarkStart w:id="34" w:name="_Toc28359010"/>
      <w:r/>
      <w:bookmarkStart w:id="35" w:name="_Toc28359087"/>
      <w:r>
        <w:rPr>
          <w:rFonts w:hint="eastAsia" w:ascii="宋体" w:hAnsi="宋体" w:eastAsia="宋体" w:cs="宋体"/>
          <w:sz w:val="24"/>
          <w:highlight w:val="none"/>
        </w:rPr>
        <w:t xml:space="preserve">名    称：常州中宇建设工程管理有限公司</w:t>
      </w:r>
      <w:r>
        <w:rPr>
          <w:rFonts w:hint="eastAsia" w:ascii="宋体" w:hAnsi="宋体" w:eastAsia="宋体" w:cs="宋体"/>
          <w:sz w:val="24"/>
          <w:highlight w:val="none"/>
        </w:rPr>
      </w:r>
      <w:r/>
    </w:p>
    <w:p>
      <w:pPr>
        <w:pStyle w:val="76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址：常州市新北区汉江路338号-南门1栋5楼</w:t>
      </w:r>
      <w:r>
        <w:rPr>
          <w:rFonts w:hint="eastAsia" w:ascii="宋体" w:hAnsi="宋体" w:eastAsia="宋体" w:cs="宋体"/>
          <w:sz w:val="24"/>
          <w:highlight w:val="none"/>
        </w:rPr>
      </w:r>
      <w:r/>
    </w:p>
    <w:p>
      <w:pPr>
        <w:pStyle w:val="76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联系方式：0519-8578</w:t>
      </w:r>
      <w:r>
        <w:rPr>
          <w:rFonts w:hint="eastAsia" w:ascii="宋体" w:hAnsi="宋体" w:eastAsia="宋体" w:cs="宋体"/>
          <w:sz w:val="24"/>
          <w:highlight w:val="none"/>
          <w:lang w:val="en-US" w:eastAsia="zh-CN"/>
        </w:rPr>
        <w:t xml:space="preserve">51</w:t>
      </w:r>
      <w:r>
        <w:rPr>
          <w:rFonts w:hint="eastAsia" w:ascii="宋体" w:hAnsi="宋体" w:eastAsia="宋体" w:cs="宋体"/>
          <w:sz w:val="24"/>
          <w:highlight w:val="none"/>
        </w:rPr>
        <w:t xml:space="preserve">55、0519-85782855（财务）</w:t>
      </w:r>
      <w:r>
        <w:rPr>
          <w:rFonts w:hint="eastAsia" w:ascii="宋体" w:hAnsi="宋体" w:eastAsia="宋体" w:cs="宋体"/>
          <w:sz w:val="24"/>
          <w:highlight w:val="none"/>
        </w:rPr>
      </w:r>
      <w:r/>
    </w:p>
    <w:p>
      <w:pPr>
        <w:pStyle w:val="769"/>
        <w:ind w:firstLine="482"/>
        <w:jc w:val="left"/>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4"/>
      <w:r/>
      <w:bookmarkEnd w:id="35"/>
      <w:r>
        <w:rPr>
          <w:rFonts w:hint="eastAsia" w:ascii="宋体" w:hAnsi="宋体" w:eastAsia="宋体" w:cs="宋体"/>
          <w:b/>
          <w:sz w:val="24"/>
          <w:highlight w:val="none"/>
          <w:u w:val="single"/>
        </w:rPr>
      </w:r>
      <w:r/>
    </w:p>
    <w:p>
      <w:pPr>
        <w:pStyle w:val="793"/>
        <w:ind w:firstLine="480"/>
        <w:jc w:val="left"/>
        <w:spacing w:line="360" w:lineRule="auto"/>
        <w:rPr>
          <w:rFonts w:hAnsi="宋体" w:eastAsia="宋体" w:cs="宋体"/>
          <w:sz w:val="24"/>
          <w:szCs w:val="24"/>
          <w:highlight w:val="none"/>
          <w:lang w:val="en-US" w:eastAsia="zh-CN" w:bidi="ar"/>
        </w:rPr>
      </w:pPr>
      <w:r>
        <w:rPr>
          <w:rFonts w:hAnsi="宋体" w:eastAsia="宋体" w:cs="宋体"/>
          <w:sz w:val="24"/>
          <w:szCs w:val="24"/>
          <w:highlight w:val="none"/>
        </w:rPr>
        <w:t xml:space="preserve">项目联系人：</w:t>
      </w:r>
      <w:r>
        <w:rPr>
          <w:rFonts w:hint="eastAsia" w:hAnsi="宋体" w:eastAsia="宋体" w:cs="宋体"/>
          <w:sz w:val="24"/>
          <w:szCs w:val="24"/>
          <w:highlight w:val="none"/>
          <w:lang w:val="en-US" w:eastAsia="zh-CN"/>
        </w:rPr>
        <w:t xml:space="preserve">徐女士</w:t>
      </w:r>
      <w:r>
        <w:rPr>
          <w:rFonts w:hAnsi="宋体" w:eastAsia="宋体" w:cs="宋体"/>
          <w:sz w:val="24"/>
          <w:szCs w:val="24"/>
          <w:highlight w:val="none"/>
          <w:lang w:val="en-US" w:eastAsia="zh-CN" w:bidi="ar"/>
        </w:rPr>
      </w:r>
      <w:r/>
    </w:p>
    <w:p>
      <w:pPr>
        <w:pStyle w:val="793"/>
        <w:ind w:firstLine="480"/>
        <w:jc w:val="left"/>
        <w:spacing w:line="360" w:lineRule="auto"/>
        <w:rPr>
          <w:rFonts w:hAnsi="宋体" w:eastAsia="宋体" w:cs="宋体"/>
          <w:sz w:val="24"/>
          <w:szCs w:val="24"/>
          <w:highlight w:val="none"/>
        </w:rPr>
      </w:pPr>
      <w:r>
        <w:rPr>
          <w:rFonts w:hAnsi="宋体" w:eastAsia="宋体" w:cs="宋体"/>
          <w:sz w:val="24"/>
          <w:szCs w:val="24"/>
          <w:highlight w:val="none"/>
        </w:rPr>
        <w:t xml:space="preserve">电    话：0519-8578</w:t>
      </w:r>
      <w:r>
        <w:rPr>
          <w:rFonts w:hint="eastAsia" w:hAnsi="宋体" w:eastAsia="宋体" w:cs="宋体"/>
          <w:sz w:val="24"/>
          <w:szCs w:val="24"/>
          <w:highlight w:val="none"/>
          <w:lang w:val="en-US" w:eastAsia="zh-CN"/>
        </w:rPr>
        <w:t xml:space="preserve">2055</w:t>
      </w:r>
      <w:r>
        <w:rPr>
          <w:rFonts w:hAnsi="宋体" w:eastAsia="宋体" w:cs="宋体"/>
          <w:sz w:val="24"/>
          <w:szCs w:val="24"/>
          <w:highlight w:val="none"/>
        </w:rPr>
        <w:t xml:space="preserve"> </w:t>
      </w:r>
      <w:r>
        <w:rPr>
          <w:rFonts w:hAnsi="宋体" w:eastAsia="宋体" w:cs="宋体"/>
          <w:sz w:val="24"/>
          <w:szCs w:val="24"/>
          <w:highlight w:val="none"/>
        </w:rPr>
      </w:r>
      <w:r/>
    </w:p>
    <w:p>
      <w:pPr>
        <w:pStyle w:val="793"/>
        <w:ind w:firstLine="480"/>
        <w:jc w:val="left"/>
        <w:spacing w:line="360" w:lineRule="auto"/>
        <w:rPr>
          <w:rFonts w:hAnsi="宋体" w:eastAsia="宋体" w:cs="宋体"/>
          <w:b/>
          <w:bCs/>
          <w:sz w:val="24"/>
          <w:szCs w:val="24"/>
          <w:highlight w:val="none"/>
        </w:rPr>
      </w:pPr>
      <w:r>
        <w:rPr>
          <w:rFonts w:hAnsi="宋体" w:eastAsia="宋体" w:cs="宋体"/>
          <w:b/>
          <w:bCs/>
          <w:sz w:val="24"/>
          <w:szCs w:val="24"/>
          <w:highlight w:val="none"/>
        </w:rPr>
        <w:t xml:space="preserve">注:上述个人信息由于工作需要经机构或本人同意对外公布。</w:t>
      </w:r>
      <w:r>
        <w:rPr>
          <w:rFonts w:hAnsi="宋体" w:eastAsia="宋体" w:cs="宋体"/>
          <w:b/>
          <w:bCs/>
          <w:sz w:val="24"/>
          <w:szCs w:val="24"/>
          <w:highlight w:val="none"/>
        </w:rPr>
      </w:r>
      <w:r/>
    </w:p>
    <w:p>
      <w:pPr>
        <w:pStyle w:val="769"/>
        <w:jc w:val="center"/>
        <w:spacing w:line="360" w:lineRule="auto"/>
        <w:rPr>
          <w:rFonts w:hint="eastAsia" w:ascii="宋体" w:hAnsi="宋体" w:eastAsia="宋体" w:cs="宋体"/>
          <w:b/>
          <w:sz w:val="32"/>
          <w:szCs w:val="32"/>
          <w:highlight w:val="none"/>
        </w:rPr>
        <w:outlineLvl w:val="0"/>
      </w:pPr>
      <w:r/>
      <w:bookmarkStart w:id="36" w:name="_Toc305158928"/>
      <w:r/>
      <w:bookmarkStart w:id="37" w:name="_Toc305158854"/>
      <w:r/>
      <w:bookmarkStart w:id="38" w:name="_Toc195842950"/>
      <w:r/>
      <w:bookmarkStart w:id="39" w:name="_Toc226965856"/>
      <w:r/>
      <w:bookmarkStart w:id="40" w:name="_Toc264969275"/>
      <w:r/>
      <w:bookmarkStart w:id="41" w:name="_Toc512937850"/>
      <w:r/>
      <w:bookmarkStart w:id="42" w:name="_Toc7834"/>
      <w:r/>
      <w:bookmarkStart w:id="43" w:name="_Toc127151777"/>
      <w:r/>
      <w:bookmarkStart w:id="44" w:name="_Toc265228423"/>
      <w:r/>
      <w:bookmarkStart w:id="45" w:name="_Toc353825548"/>
      <w:r/>
      <w:bookmarkStart w:id="46" w:name="_Toc150774783"/>
      <w:r/>
      <w:bookmarkStart w:id="47" w:name="_Toc127161488"/>
      <w:r/>
      <w:bookmarkStart w:id="48" w:name="_Toc353873938"/>
      <w:r/>
      <w:bookmarkStart w:id="49" w:name="_Toc20749"/>
      <w:r>
        <w:rPr>
          <w:rFonts w:hint="eastAsia" w:ascii="宋体" w:hAnsi="宋体" w:eastAsia="宋体" w:cs="宋体"/>
          <w:b/>
          <w:sz w:val="36"/>
          <w:szCs w:val="36"/>
          <w:highlight w:val="none"/>
        </w:rPr>
        <w:br w:type="page" w:clear="all"/>
      </w:r>
      <w:r>
        <w:rPr>
          <w:rFonts w:hint="eastAsia" w:ascii="宋体" w:hAnsi="宋体" w:eastAsia="宋体" w:cs="宋体"/>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b/>
          <w:sz w:val="32"/>
          <w:szCs w:val="32"/>
          <w:highlight w:val="none"/>
        </w:rPr>
      </w:r>
      <w:r/>
    </w:p>
    <w:p>
      <w:pPr>
        <w:pStyle w:val="985"/>
        <w:spacing w:before="0" w:line="360" w:lineRule="auto"/>
        <w:tabs>
          <w:tab w:val="center" w:pos="4592" w:leader="none"/>
          <w:tab w:val="left" w:pos="7860" w:leader="none"/>
        </w:tabs>
        <w:rPr>
          <w:rFonts w:hint="eastAsia" w:ascii="宋体" w:hAnsi="宋体" w:eastAsia="宋体" w:cs="宋体"/>
          <w:sz w:val="28"/>
          <w:highlight w:val="none"/>
        </w:rPr>
      </w:pPr>
      <w:r/>
      <w:bookmarkStart w:id="50" w:name="_Toc226309763"/>
      <w:r/>
      <w:bookmarkStart w:id="51" w:name="_Toc149720812"/>
      <w:r/>
      <w:bookmarkStart w:id="52" w:name="_Toc226337215"/>
      <w:r/>
      <w:bookmarkStart w:id="53" w:name="_Toc151193761"/>
      <w:r/>
      <w:bookmarkStart w:id="54" w:name="_Toc150774619"/>
      <w:r/>
      <w:bookmarkStart w:id="55" w:name="_Toc151193617"/>
      <w:r/>
      <w:bookmarkStart w:id="56" w:name="_Toc164608788"/>
      <w:r/>
      <w:bookmarkStart w:id="57" w:name="_Toc164229360"/>
      <w:r/>
      <w:bookmarkStart w:id="58" w:name="_Toc226965792"/>
      <w:r/>
      <w:bookmarkStart w:id="59" w:name="_Toc520356144"/>
      <w:r/>
      <w:bookmarkStart w:id="60" w:name="_Toc127161433"/>
      <w:r/>
      <w:bookmarkStart w:id="61" w:name="_Toc226965709"/>
      <w:r/>
      <w:bookmarkStart w:id="62" w:name="_Toc127151519"/>
      <w:r/>
      <w:bookmarkStart w:id="63" w:name="_Toc164351613"/>
      <w:r/>
      <w:bookmarkStart w:id="64" w:name="_Toc150774724"/>
      <w:r/>
      <w:bookmarkStart w:id="65" w:name="_Toc142311021"/>
      <w:r/>
      <w:bookmarkStart w:id="66" w:name="_Toc127151720"/>
      <w:r/>
      <w:bookmarkStart w:id="67" w:name="_Toc151193833"/>
      <w:r/>
      <w:bookmarkStart w:id="68" w:name="_Toc164229214"/>
      <w:r/>
      <w:bookmarkStart w:id="69" w:name="_Toc150509270"/>
      <w:r/>
      <w:bookmarkStart w:id="70" w:name="_Toc151193907"/>
      <w:r/>
      <w:bookmarkStart w:id="71" w:name="_Toc150480757"/>
      <w:r/>
      <w:bookmarkStart w:id="72" w:name="_Toc195842884"/>
      <w:r/>
      <w:bookmarkStart w:id="73" w:name="_Toc151193689"/>
      <w:r/>
      <w:bookmarkStart w:id="74" w:name="_Toc151190146"/>
      <w:r/>
      <w:bookmarkStart w:id="75" w:name="_Toc164608633"/>
      <w:r>
        <w:rPr>
          <w:rFonts w:hint="eastAsia" w:ascii="宋体" w:hAnsi="宋体" w:eastAsia="宋体" w:cs="宋体"/>
          <w:sz w:val="28"/>
          <w:highlight w:val="none"/>
        </w:rPr>
        <w:t xml:space="preserve">投标人须知资料表</w:t>
      </w:r>
      <w:r>
        <w:rPr>
          <w:rFonts w:hint="eastAsia" w:ascii="宋体" w:hAnsi="宋体" w:eastAsia="宋体" w:cs="宋体"/>
          <w:sz w:val="28"/>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rPr>
          <w:rFonts w:hint="eastAsia" w:ascii="宋体" w:hAnsi="宋体" w:eastAsia="宋体" w:cs="宋体"/>
          <w:sz w:val="24"/>
          <w:highlight w:val="none"/>
        </w:rPr>
      </w:r>
      <w:r/>
    </w:p>
    <w:tbl>
      <w:tblPr>
        <w:tblW w:w="93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14"/>
      </w:tblGrid>
      <w:tr>
        <w:trPr>
          <w:trHeight w:val="90"/>
          <w:tblHeader/>
        </w:trPr>
        <w:tc>
          <w:tcPr>
            <w:tcW w:w="988" w:type="dxa"/>
            <w:vAlign w:val="center"/>
            <w:textDirection w:val="lrTb"/>
            <w:noWrap w:val="false"/>
          </w:tcPr>
          <w:p>
            <w:pPr>
              <w:pStyle w:val="769"/>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条款号</w:t>
            </w:r>
            <w:r>
              <w:rPr>
                <w:rFonts w:hint="eastAsia" w:ascii="宋体" w:hAnsi="宋体" w:eastAsia="宋体" w:cs="宋体"/>
                <w:b/>
                <w:bCs/>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条目</w:t>
            </w:r>
            <w:r>
              <w:rPr>
                <w:rFonts w:hint="eastAsia" w:ascii="宋体" w:hAnsi="宋体" w:eastAsia="宋体" w:cs="宋体"/>
                <w:b/>
                <w:bCs/>
                <w:sz w:val="24"/>
                <w:szCs w:val="24"/>
                <w:highlight w:val="none"/>
                <w:lang w:val="en-US" w:eastAsia="zh-CN" w:bidi="ar-SA"/>
              </w:rPr>
            </w:r>
            <w:r/>
          </w:p>
        </w:tc>
        <w:tc>
          <w:tcPr>
            <w:tcW w:w="6614" w:type="dxa"/>
            <w:vAlign w:val="center"/>
            <w:textDirection w:val="lrTb"/>
            <w:noWrap w:val="false"/>
          </w:tcPr>
          <w:p>
            <w:pPr>
              <w:pStyle w:val="769"/>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内容</w:t>
            </w:r>
            <w:r>
              <w:rPr>
                <w:rFonts w:hint="eastAsia" w:ascii="宋体" w:hAnsi="宋体" w:eastAsia="宋体" w:cs="宋体"/>
                <w:b/>
                <w:bCs/>
                <w:sz w:val="24"/>
                <w:szCs w:val="24"/>
                <w:highlight w:val="none"/>
                <w:lang w:val="en-US" w:eastAsia="zh-CN" w:bidi="ar-SA"/>
              </w:rPr>
            </w:r>
            <w:r/>
          </w:p>
        </w:tc>
      </w:tr>
      <w:tr>
        <w:trPr>
          <w:trHeight w:val="20"/>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货物</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□工程</w:t>
            </w:r>
            <w:r>
              <w:rPr>
                <w:rFonts w:hint="eastAsia" w:ascii="宋体" w:hAnsi="宋体" w:eastAsia="宋体" w:cs="宋体"/>
                <w:sz w:val="24"/>
                <w:szCs w:val="24"/>
                <w:highlight w:val="none"/>
                <w:u w:val="single"/>
                <w:lang w:val="en-US" w:eastAsia="zh-CN" w:bidi="ar-SA"/>
              </w:rPr>
            </w:r>
            <w:r/>
          </w:p>
        </w:tc>
      </w:tr>
      <w:tr>
        <w:trPr>
          <w:trHeight w:val="20"/>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科研仪器设备</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是否属于科研仪器设备采购项目：</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hint="eastAsia" w:ascii="宋体" w:hAnsi="宋体" w:eastAsia="宋体" w:cs="宋体"/>
                <w:sz w:val="24"/>
                <w:szCs w:val="24"/>
                <w:highlight w:val="none"/>
                <w:lang w:val="en-US" w:eastAsia="zh-CN" w:bidi="ar-SA"/>
              </w:rPr>
            </w:r>
            <w:r/>
          </w:p>
        </w:tc>
      </w:tr>
      <w:tr>
        <w:trPr>
          <w:trHeight w:val="908"/>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核心产品</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93"/>
              <w:jc w:val="both"/>
              <w:widowControl w:val="off"/>
              <w:rPr>
                <w:rFonts w:hint="eastAsia" w:ascii="宋体" w:hAnsi="宋体" w:eastAsia="宋体" w:cs="宋体"/>
                <w:sz w:val="24"/>
                <w:szCs w:val="24"/>
                <w:highlight w:val="none"/>
                <w:lang w:val="en-US" w:eastAsia="zh-CN" w:bidi="ar-SA"/>
              </w:rPr>
            </w:pPr>
            <w:r>
              <w:rPr>
                <w:rFonts w:hint="eastAsia" w:hAnsi="宋体" w:eastAsia="宋体" w:cs="宋体"/>
                <w:sz w:val="24"/>
                <w:szCs w:val="20"/>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关于核心产品本项目__包不适用。</w:t>
            </w:r>
            <w:r>
              <w:rPr>
                <w:rFonts w:hint="eastAsia" w:ascii="宋体" w:hAnsi="宋体" w:eastAsia="宋体" w:cs="宋体"/>
                <w:sz w:val="24"/>
                <w:szCs w:val="24"/>
                <w:highlight w:val="none"/>
                <w:lang w:val="en-US" w:eastAsia="zh-CN" w:bidi="ar-SA"/>
              </w:rPr>
            </w:r>
            <w:r/>
          </w:p>
          <w:p>
            <w:pPr>
              <w:pStyle w:val="769"/>
              <w:jc w:val="both"/>
              <w:widowControl w:val="off"/>
              <w:rPr>
                <w:rFonts w:hint="eastAsia" w:ascii="宋体" w:hAnsi="宋体" w:eastAsia="宋体" w:cs="宋体"/>
                <w:sz w:val="21"/>
                <w:szCs w:val="24"/>
                <w:highlight w:val="none"/>
                <w:lang w:val="en-US" w:eastAsia="zh-CN" w:bidi="ar-SA"/>
              </w:rPr>
            </w:pPr>
            <w:r>
              <w:rPr>
                <w:rFonts w:hint="eastAsia" w:hAnsi="宋体" w:eastAsia="宋体" w:cs="宋体"/>
                <w:sz w:val="24"/>
                <w:szCs w:val="20"/>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本项目为单一产品采购项目。</w:t>
            </w:r>
            <w:r>
              <w:rPr>
                <w:rFonts w:hint="eastAsia" w:ascii="宋体" w:hAnsi="宋体" w:eastAsia="宋体" w:cs="宋体"/>
                <w:sz w:val="21"/>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本项目为非单一产品采购项目，核心产品为：IP网络音箱</w:t>
            </w:r>
            <w:r>
              <w:rPr>
                <w:rFonts w:hint="eastAsia" w:ascii="宋体" w:hAnsi="宋体" w:eastAsia="宋体" w:cs="宋体"/>
                <w:b/>
                <w:bCs/>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rHeight w:val="20"/>
        </w:trPr>
        <w:tc>
          <w:tcPr>
            <w:tcW w:w="988" w:type="dxa"/>
            <w:vAlign w:val="center"/>
            <w:vMerge w:val="restart"/>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现场考察</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both"/>
              <w:widowControl w:val="off"/>
              <w:tabs>
                <w:tab w:val="left" w:pos="900" w:leader="none"/>
                <w:tab w:val="left" w:pos="1134" w:leader="none"/>
                <w:tab w:val="left" w:pos="1589" w:leader="none"/>
                <w:tab w:val="left" w:pos="5521" w:leader="none"/>
              </w:tabs>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不组织，招标人不集中组织现场勘察，投标人可自行安排人员至现场踏勘了解项目情况，在中标后不得以未踏勘现场为由向招标人提出其他任何要求。</w:t>
            </w:r>
            <w:r>
              <w:rPr>
                <w:rFonts w:hint="eastAsia" w:ascii="宋体" w:hAnsi="宋体" w:eastAsia="宋体" w:cs="宋体"/>
                <w:sz w:val="24"/>
                <w:szCs w:val="24"/>
                <w:highlight w:val="none"/>
                <w:lang w:val="en-US" w:eastAsia="zh-CN" w:bidi="ar-SA"/>
              </w:rPr>
            </w:r>
            <w:r/>
          </w:p>
          <w:p>
            <w:pPr>
              <w:pStyle w:val="793"/>
              <w:jc w:val="both"/>
              <w:widowControl w:val="off"/>
              <w:rPr>
                <w:rFonts w:ascii="宋体" w:hAnsi="宋体" w:eastAsia="宋体" w:cs="宋体"/>
                <w:bCs/>
                <w:sz w:val="24"/>
                <w:szCs w:val="20"/>
                <w:highlight w:val="none"/>
                <w:lang w:val="en-US" w:eastAsia="zh-CN" w:bidi="ar-SA"/>
              </w:rPr>
            </w:pPr>
            <w:r>
              <w:rPr>
                <w:rFonts w:ascii="宋体" w:hAnsi="宋体" w:eastAsia="宋体" w:cs="宋体"/>
                <w:sz w:val="24"/>
                <w:szCs w:val="20"/>
                <w:highlight w:val="none"/>
                <w:lang w:val="en-US" w:eastAsia="zh-CN" w:bidi="ar-SA"/>
              </w:rPr>
              <w:t xml:space="preserve">□组织，考察时间：____年_月_日_</w:t>
            </w:r>
            <w:r>
              <w:rPr>
                <w:rFonts w:ascii="宋体" w:hAnsi="宋体" w:eastAsia="宋体" w:cs="宋体"/>
                <w:bCs/>
                <w:sz w:val="24"/>
                <w:szCs w:val="20"/>
                <w:highlight w:val="none"/>
                <w:lang w:val="en-US" w:eastAsia="zh-CN" w:bidi="ar-SA"/>
              </w:rPr>
              <w:t xml:space="preserve">点</w:t>
            </w:r>
            <w:r>
              <w:rPr>
                <w:rFonts w:ascii="宋体" w:hAnsi="宋体" w:eastAsia="宋体" w:cs="宋体"/>
                <w:sz w:val="24"/>
                <w:szCs w:val="20"/>
                <w:highlight w:val="none"/>
                <w:lang w:val="en-US" w:eastAsia="zh-CN" w:bidi="ar-SA"/>
              </w:rPr>
              <w:t xml:space="preserve">_</w:t>
            </w:r>
            <w:r>
              <w:rPr>
                <w:rFonts w:ascii="宋体" w:hAnsi="宋体" w:eastAsia="宋体" w:cs="宋体"/>
                <w:bCs/>
                <w:sz w:val="24"/>
                <w:szCs w:val="20"/>
                <w:highlight w:val="none"/>
                <w:lang w:val="en-US" w:eastAsia="zh-CN" w:bidi="ar-SA"/>
              </w:rPr>
              <w:t xml:space="preserve">分</w:t>
            </w:r>
            <w:r>
              <w:rPr>
                <w:rFonts w:ascii="宋体" w:hAnsi="宋体" w:eastAsia="宋体" w:cs="宋体"/>
                <w:bCs/>
                <w:sz w:val="24"/>
                <w:szCs w:val="20"/>
                <w:highlight w:val="none"/>
                <w:lang w:val="en-US" w:eastAsia="zh-CN" w:bidi="ar-SA"/>
              </w:rPr>
            </w:r>
            <w:r/>
          </w:p>
          <w:p>
            <w:pPr>
              <w:pStyle w:val="793"/>
              <w:jc w:val="both"/>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0"/>
                <w:highlight w:val="none"/>
                <w:lang w:val="en-US" w:eastAsia="zh-CN" w:bidi="ar-SA"/>
              </w:rPr>
              <w:t xml:space="preserve">考察地点：____________。</w:t>
            </w:r>
            <w:r>
              <w:rPr>
                <w:rFonts w:hint="eastAsia" w:ascii="宋体" w:hAnsi="宋体" w:eastAsia="宋体" w:cs="宋体"/>
                <w:sz w:val="24"/>
                <w:szCs w:val="24"/>
                <w:highlight w:val="none"/>
                <w:lang w:val="en-US" w:eastAsia="zh-CN" w:bidi="ar-SA"/>
              </w:rPr>
            </w:r>
            <w:r/>
          </w:p>
        </w:tc>
      </w:tr>
      <w:tr>
        <w:trPr>
          <w:trHeight w:val="20"/>
        </w:trPr>
        <w:tc>
          <w:tcPr>
            <w:tcW w:w="988" w:type="dxa"/>
            <w:vAlign w:val="center"/>
            <w:vMerge w:val="continue"/>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开标前答疑会</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不召开</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□召开，召开时间：____年_月_日_</w:t>
            </w:r>
            <w:r>
              <w:rPr>
                <w:rFonts w:hint="eastAsia" w:ascii="宋体" w:hAnsi="宋体" w:eastAsia="宋体" w:cs="宋体"/>
                <w:bCs/>
                <w:sz w:val="24"/>
                <w:szCs w:val="24"/>
                <w:highlight w:val="none"/>
                <w:lang w:val="en-US" w:eastAsia="zh-CN" w:bidi="ar-SA"/>
              </w:rPr>
              <w:t xml:space="preserve">点</w:t>
            </w:r>
            <w:r>
              <w:rPr>
                <w:rFonts w:hint="eastAsia" w:ascii="宋体" w:hAnsi="宋体" w:eastAsia="宋体" w:cs="宋体"/>
                <w:sz w:val="24"/>
                <w:szCs w:val="24"/>
                <w:highlight w:val="none"/>
                <w:lang w:val="en-US" w:eastAsia="zh-CN" w:bidi="ar-SA"/>
              </w:rPr>
              <w:t xml:space="preserve">_</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召开地点：____________。</w:t>
            </w:r>
            <w:r>
              <w:rPr>
                <w:rFonts w:hint="eastAsia" w:ascii="宋体" w:hAnsi="宋体" w:eastAsia="宋体" w:cs="宋体"/>
                <w:sz w:val="24"/>
                <w:szCs w:val="24"/>
                <w:highlight w:val="none"/>
                <w:lang w:val="en-US" w:eastAsia="zh-CN" w:bidi="ar-SA"/>
              </w:rPr>
            </w:r>
            <w:r/>
          </w:p>
        </w:tc>
      </w:tr>
      <w:tr>
        <w:trPr>
          <w:trHeight w:val="20"/>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投标样品递交：</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不需要</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□需要，具体要求如下：/</w:t>
            </w:r>
            <w:r>
              <w:rPr>
                <w:rFonts w:hint="eastAsia" w:ascii="宋体" w:hAnsi="宋体" w:eastAsia="宋体" w:cs="宋体"/>
                <w:sz w:val="24"/>
                <w:szCs w:val="24"/>
                <w:highlight w:val="none"/>
                <w:lang w:val="en-US" w:eastAsia="zh-CN" w:bidi="ar-SA"/>
              </w:rPr>
            </w:r>
            <w:r/>
          </w:p>
        </w:tc>
      </w:tr>
      <w:tr>
        <w:trPr>
          <w:trHeight w:val="90"/>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5.2.5</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标的所属行业</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b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本项目采购标的对应的中小企业划分标准所属行业：</w:t>
            </w:r>
            <w:r>
              <w:rPr>
                <w:rFonts w:hint="eastAsia" w:ascii="宋体" w:hAnsi="宋体" w:eastAsia="宋体" w:cs="宋体"/>
                <w:b/>
                <w:sz w:val="24"/>
                <w:szCs w:val="24"/>
                <w:highlight w:val="none"/>
                <w:u w:val="single"/>
                <w:lang w:val="en-US" w:eastAsia="zh-CN" w:bidi="ar-SA"/>
              </w:rPr>
              <w:t xml:space="preserve">工业</w:t>
            </w:r>
            <w:r>
              <w:rPr>
                <w:rFonts w:hint="eastAsia" w:ascii="宋体" w:hAnsi="宋体" w:eastAsia="宋体" w:cs="宋体"/>
                <w:bCs/>
                <w:sz w:val="24"/>
                <w:szCs w:val="24"/>
                <w:highlight w:val="none"/>
                <w:u w:val="singl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1219"/>
              <w:jc w:val="center"/>
              <w:rPr>
                <w:rFonts w:hint="eastAsia" w:ascii="宋体" w:hAnsi="宋体" w:cs="宋体"/>
                <w:color w:val="000000"/>
                <w:sz w:val="24"/>
                <w:szCs w:val="24"/>
                <w:highlight w:val="none"/>
                <w:lang w:val="en-US" w:eastAsia="zh-CN"/>
              </w:rPr>
            </w:pPr>
            <w:r>
              <w:rPr>
                <w:rFonts w:hAnsi="宋体" w:cs="宋体"/>
                <w:color w:val="000000"/>
                <w:sz w:val="24"/>
                <w:szCs w:val="24"/>
                <w:highlight w:val="none"/>
              </w:rPr>
              <w:t xml:space="preserve">5.9</w:t>
            </w:r>
            <w:r>
              <w:rPr>
                <w:rFonts w:hint="eastAsia" w:ascii="宋体" w:hAnsi="宋体" w:cs="宋体"/>
                <w:color w:val="000000"/>
                <w:sz w:val="24"/>
                <w:szCs w:val="24"/>
                <w:highlight w:val="none"/>
                <w:lang w:val="en-US" w:eastAsia="zh-CN"/>
              </w:rPr>
            </w:r>
            <w:r/>
          </w:p>
        </w:tc>
        <w:tc>
          <w:tcPr>
            <w:tcW w:w="1701" w:type="dxa"/>
            <w:vAlign w:val="center"/>
            <w:textDirection w:val="lrTb"/>
            <w:noWrap w:val="false"/>
          </w:tcPr>
          <w:p>
            <w:pPr>
              <w:pStyle w:val="769"/>
              <w:jc w:val="center"/>
              <w:spacing w:line="360" w:lineRule="exact"/>
              <w:rPr>
                <w:rFonts w:hint="eastAsia" w:ascii="宋体" w:hAnsi="宋体" w:cs="宋体"/>
                <w:color w:val="000000"/>
                <w:sz w:val="24"/>
                <w:szCs w:val="24"/>
                <w:highlight w:val="none"/>
                <w:lang w:val="en-US" w:eastAsia="zh-CN"/>
              </w:rPr>
            </w:pPr>
            <w:r>
              <w:rPr>
                <w:rFonts w:hint="eastAsia"/>
                <w:color w:val="000000"/>
                <w:sz w:val="24"/>
                <w:highlight w:val="none"/>
              </w:rPr>
              <w:t xml:space="preserve">本国产品政策支持</w:t>
            </w:r>
            <w:r>
              <w:rPr>
                <w:rFonts w:hint="eastAsia" w:ascii="宋体" w:hAnsi="宋体" w:cs="宋体"/>
                <w:color w:val="000000"/>
                <w:sz w:val="24"/>
                <w:szCs w:val="24"/>
                <w:highlight w:val="none"/>
                <w:lang w:val="en-US" w:eastAsia="zh-CN"/>
              </w:rPr>
            </w:r>
            <w:r/>
          </w:p>
        </w:tc>
        <w:tc>
          <w:tcPr>
            <w:tcW w:w="6614" w:type="dxa"/>
            <w:vAlign w:val="center"/>
            <w:textDirection w:val="lrTb"/>
            <w:noWrap w:val="false"/>
          </w:tcPr>
          <w:p>
            <w:pPr>
              <w:pStyle w:val="769"/>
              <w:jc w:val="left"/>
              <w:rPr>
                <w:rFonts w:hint="eastAsia" w:ascii="宋体" w:hAnsi="宋体" w:cs="宋体"/>
                <w:color w:val="000000"/>
                <w:sz w:val="24"/>
                <w:szCs w:val="24"/>
                <w:highlight w:val="none"/>
                <w:lang w:val="en-US" w:eastAsia="zh-CN"/>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ascii="宋体" w:hAnsi="宋体" w:eastAsia="宋体" w:cs="宋体"/>
                <w:sz w:val="24"/>
                <w:szCs w:val="24"/>
                <w:highlight w:val="none"/>
                <w:lang w:val="en-US" w:eastAsia="zh-CN" w:bidi="ar-SA"/>
              </w:rPr>
              <w:t xml:space="preserve">□</w:t>
            </w:r>
            <w:r>
              <w:rPr>
                <w:rFonts w:hint="eastAsia"/>
                <w:color w:val="000000"/>
                <w:sz w:val="24"/>
                <w:highlight w:val="none"/>
              </w:rPr>
              <w:t xml:space="preserve">不适用。在填写《关于符合本国产品标准的声明函》时，如未提供声明函、信息填写错误、未完整填报或不符合《关于在政府采购中实施本国产品标准及相关政策的通知》要求的，则会导致报价不作相应扣除。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szCs w:val="24"/>
                <w:highlight w:val="none"/>
                <w:lang w:val="en-US" w:eastAsia="zh-CN"/>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投标报价的特殊规定：</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无</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□有，具体情形：_____。</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免收</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投标有效期</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自提交投标文件的截止之日起算</w:t>
            </w:r>
            <w:r>
              <w:rPr>
                <w:rFonts w:hint="eastAsia" w:ascii="宋体" w:hAnsi="宋体" w:eastAsia="宋体" w:cs="宋体"/>
                <w:sz w:val="24"/>
                <w:szCs w:val="24"/>
                <w:highlight w:val="none"/>
                <w:u w:val="singl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25.5</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本项目的非主体、非关键性工作是否允许分包： </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不允许</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□允许，具体要求：</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（1）可以分包履行的具体内容：_____；</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（2）允许分包的金额或者比例：_____；</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（3）其他要求：_____。</w:t>
            </w:r>
            <w:r>
              <w:rPr>
                <w:rFonts w:hint="eastAsia" w:ascii="宋体" w:hAnsi="宋体" w:eastAsia="宋体" w:cs="宋体"/>
                <w:sz w:val="24"/>
                <w:szCs w:val="24"/>
                <w:highlight w:val="none"/>
                <w:u w:val="singl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26.1.1</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询问</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询问送达形式：</w:t>
            </w:r>
            <w:r>
              <w:rPr>
                <w:rFonts w:hint="eastAsia" w:ascii="宋体" w:hAnsi="宋体" w:eastAsia="宋体" w:cs="宋体"/>
                <w:sz w:val="24"/>
                <w:szCs w:val="24"/>
                <w:highlight w:val="none"/>
                <w:u w:val="single"/>
                <w:lang w:val="en-US" w:eastAsia="zh-CN" w:bidi="ar-SA"/>
              </w:rPr>
              <w:t xml:space="preserve">书面送达</w:t>
            </w:r>
            <w:r>
              <w:rPr>
                <w:rFonts w:hint="eastAsia" w:ascii="宋体" w:hAnsi="宋体" w:eastAsia="宋体" w:cs="宋体"/>
                <w:sz w:val="24"/>
                <w:szCs w:val="24"/>
                <w:highlight w:val="none"/>
                <w:u w:val="singl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对招标文件需要进行澄清或有疑问的供应商，均应按招标公告中的通讯地址，一次性将需要澄清或疑问内容以书面形式并加盖公章送达采购代理机构，否则视为无有效澄清或疑问。</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26.3</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接收询问和质疑的联系方式</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联系部门：</w:t>
            </w:r>
            <w:r>
              <w:rPr>
                <w:rFonts w:hint="eastAsia" w:ascii="宋体" w:hAnsi="宋体" w:eastAsia="宋体" w:cs="宋体"/>
                <w:sz w:val="24"/>
                <w:szCs w:val="24"/>
                <w:highlight w:val="none"/>
                <w:u w:val="single"/>
                <w:lang w:val="en-US" w:eastAsia="zh-CN" w:bidi="ar-SA"/>
              </w:rPr>
              <w:t xml:space="preserve">常州中宇建设工程管理有限公司招标代理部</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0519-85782055</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通讯地址：</w:t>
            </w:r>
            <w:r>
              <w:rPr>
                <w:rFonts w:hint="eastAsia" w:ascii="宋体" w:hAnsi="宋体" w:eastAsia="宋体" w:cs="宋体"/>
                <w:sz w:val="24"/>
                <w:szCs w:val="24"/>
                <w:highlight w:val="none"/>
                <w:u w:val="single"/>
                <w:lang w:val="en-US" w:eastAsia="zh-CN" w:bidi="ar-SA"/>
              </w:rPr>
              <w:t xml:space="preserve">常州市新北区汉江路338号-南门1栋5楼。</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代理费</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收费对象：</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r>
            <w:r/>
          </w:p>
          <w:p>
            <w:pPr>
              <w:pStyle w:val="769"/>
              <w:ind w:firstLine="482"/>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收费标准：中标单位须按中标金额对应下表相对应分档费率以差额累进法计算并支付中标服务费。中标服务费收费最低为人民币3000元，若按上述计算方式不足人民币3000元的，则按人民币3000元收取。</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bl>
            <w:tblPr>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769"/>
                    <w:ind w:firstLine="192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7.6pt,1.5pt" to="150.7pt,57.8pt" fillcolor="#FFFFFF" strokecolor="#000000"/>
                        </w:pict>
                      </mc:Fallback>
                    </mc:AlternateContent>
                  </w: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-6349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0.5pt" to="-8.9pt,-0.5pt" fillcolor="#FFFFFF" strokecolor="#000000"/>
                        </w:pict>
                      </mc:Fallback>
                    </mc:AlternateContent>
                  </w:r>
                  <w:r>
                    <w:rPr>
                      <w:rFonts w:hint="eastAsia" w:ascii="宋体" w:hAnsi="宋体" w:eastAsia="宋体" w:cs="宋体"/>
                      <w:sz w:val="24"/>
                      <w:szCs w:val="24"/>
                      <w:highlight w:val="none"/>
                      <w:lang w:val="en-US" w:eastAsia="zh-CN" w:bidi="ar-SA"/>
                    </w:rPr>
                    <w:t xml:space="preserve">服务类型</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费率　      </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-65404</wp:posOffset>
                            </wp:positionH>
                            <wp:positionV relativeFrom="paragraph">
                              <wp:posOffset>38735</wp:posOffset>
                            </wp:positionV>
                            <wp:extent cx="1937385" cy="30543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5.1pt,3.0pt" to="147.4pt,27.1pt" fillcolor="#FFFFFF" strokecolor="#000000"/>
                        </w:pict>
                      </mc:Fallback>
                    </mc:AlternateConten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中标金额（万元）</w:t>
                  </w:r>
                  <w:r>
                    <w:rPr>
                      <w:rFonts w:hint="eastAsia" w:ascii="宋体" w:hAnsi="宋体" w:eastAsia="宋体" w:cs="宋体"/>
                      <w:sz w:val="24"/>
                      <w:szCs w:val="24"/>
                      <w:highlight w:val="none"/>
                      <w:lang w:val="en-US" w:eastAsia="zh-CN" w:bidi="ar-SA"/>
                    </w:rPr>
                  </w:r>
                  <w:r/>
                </w:p>
              </w:tc>
              <w:tc>
                <w:tcPr>
                  <w:tcW w:w="2823"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货物招标</w:t>
                  </w:r>
                  <w:r>
                    <w:rPr>
                      <w:rFonts w:hint="eastAsia" w:ascii="宋体" w:hAnsi="宋体" w:eastAsia="宋体" w:cs="宋体"/>
                      <w:sz w:val="24"/>
                      <w:szCs w:val="24"/>
                      <w:highlight w:val="none"/>
                      <w:lang w:val="en-US" w:eastAsia="zh-CN" w:bidi="ar-SA"/>
                    </w:rPr>
                  </w:r>
                  <w:r/>
                </w:p>
              </w:tc>
            </w:tr>
            <w:tr>
              <w:trPr>
                <w:trHeight w:val="90"/>
              </w:trPr>
              <w:tc>
                <w:tcPr>
                  <w:tcW w:w="3123"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100以下</w:t>
                  </w:r>
                  <w:r>
                    <w:rPr>
                      <w:rFonts w:hint="eastAsia" w:ascii="宋体" w:hAnsi="宋体" w:eastAsia="宋体" w:cs="宋体"/>
                      <w:color w:val="000000"/>
                      <w:sz w:val="24"/>
                      <w:szCs w:val="24"/>
                      <w:highlight w:val="none"/>
                      <w:lang w:val="en-US" w:eastAsia="zh-CN" w:bidi="ar-SA"/>
                    </w:rPr>
                  </w:r>
                  <w:r/>
                </w:p>
              </w:tc>
              <w:tc>
                <w:tcPr>
                  <w:tcW w:w="2823"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r>
            <w:tr>
              <w:trPr>
                <w:trHeight w:val="90"/>
              </w:trPr>
              <w:tc>
                <w:tcPr>
                  <w:tcW w:w="3123"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100-500</w:t>
                  </w:r>
                  <w:r>
                    <w:rPr>
                      <w:rFonts w:hint="eastAsia" w:ascii="宋体" w:hAnsi="宋体" w:eastAsia="宋体" w:cs="宋体"/>
                      <w:color w:val="000000"/>
                      <w:sz w:val="24"/>
                      <w:szCs w:val="24"/>
                      <w:highlight w:val="none"/>
                      <w:lang w:val="en-US" w:eastAsia="zh-CN" w:bidi="ar-SA"/>
                    </w:rPr>
                  </w:r>
                  <w:r/>
                </w:p>
              </w:tc>
              <w:tc>
                <w:tcPr>
                  <w:tcW w:w="2823"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r>
          </w:tbl>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缴纳时间：中标单位</w:t>
            </w:r>
            <w:r>
              <w:rPr>
                <w:rFonts w:hint="eastAsia" w:ascii="宋体" w:hAnsi="宋体" w:eastAsia="宋体" w:cs="宋体"/>
                <w:sz w:val="24"/>
                <w:szCs w:val="24"/>
                <w:highlight w:val="none"/>
                <w:u w:val="single"/>
                <w:lang w:val="en-US" w:eastAsia="zh-CN" w:bidi="ar-SA"/>
              </w:rPr>
              <w:t xml:space="preserve">在中标（成交）通知书发出之日起五个工作日内向采购代理机构缴纳。</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户    名：常州中宇建设工程管理有限公司</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开户银行：中国工商银行股份有限公司常州勤德支行</w:t>
            </w:r>
            <w:r>
              <w:rPr>
                <w:rFonts w:hint="eastAsia" w:ascii="宋体" w:hAnsi="宋体" w:eastAsia="宋体" w:cs="宋体"/>
                <w:sz w:val="24"/>
                <w:szCs w:val="24"/>
                <w:highlight w:val="none"/>
                <w:lang w:val="en-US" w:eastAsia="zh-CN" w:bidi="ar-SA"/>
              </w:rPr>
            </w:r>
            <w:r/>
          </w:p>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账    号：1105052609000510202</w:t>
            </w:r>
            <w:r>
              <w:rPr>
                <w:rFonts w:hint="eastAsia" w:ascii="宋体" w:hAnsi="宋体" w:eastAsia="宋体" w:cs="宋体"/>
                <w:sz w:val="24"/>
                <w:szCs w:val="24"/>
                <w:highlight w:val="none"/>
                <w:lang w:val="en-US" w:eastAsia="zh-CN" w:bidi="ar-SA"/>
              </w:rPr>
            </w:r>
            <w:r/>
          </w:p>
          <w:p>
            <w:pPr>
              <w:pStyle w:val="769"/>
              <w:ind w:firstLine="48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财务室电话（开票）：0519-85782855</w:t>
            </w:r>
            <w:r>
              <w:rPr>
                <w:rFonts w:hint="eastAsia" w:ascii="宋体" w:hAnsi="宋体" w:eastAsia="宋体" w:cs="宋体"/>
                <w:sz w:val="24"/>
                <w:szCs w:val="24"/>
                <w:highlight w:val="none"/>
                <w:lang w:val="en-US" w:eastAsia="zh-CN" w:bidi="ar-SA"/>
              </w:rPr>
            </w:r>
            <w:r/>
          </w:p>
          <w:p>
            <w:pPr>
              <w:pStyle w:val="1212"/>
              <w:ind w:firstLine="480"/>
              <w:spacing w:before="0" w:beforeAutospacing="0" w:after="0" w:afterAutospacing="0"/>
              <w:rPr>
                <w:rFonts w:hint="eastAsia" w:ascii="宋体" w:hAnsi="宋体" w:eastAsia="宋体" w:cs="宋体"/>
                <w:color w:val="000000"/>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u w:val="none"/>
                <w:lang w:val="en-US" w:eastAsia="zh-CN"/>
              </w:rPr>
              <w:t xml:space="preserve">代理费用支付说明及原因：</w:t>
            </w:r>
            <w:r>
              <w:rPr>
                <w:rFonts w:hint="eastAsia" w:ascii="宋体" w:hAnsi="宋体" w:eastAsia="宋体" w:cs="宋体"/>
                <w:color w:val="000000"/>
                <w:highlight w:val="none"/>
                <w:u w:val="none"/>
                <w:lang w:val="en-US" w:eastAsia="zh-CN"/>
              </w:rPr>
            </w:r>
            <w:r/>
          </w:p>
          <w:p>
            <w:pPr>
              <w:pStyle w:val="1212"/>
              <w:numPr>
                <w:ilvl w:val="0"/>
                <w:numId w:val="0"/>
              </w:numPr>
              <w:ind w:firstLine="480"/>
              <w:spacing w:before="0" w:beforeAutospacing="0" w:after="0" w:afterAutospacing="0"/>
              <w:rPr>
                <w:rFonts w:hint="eastAsia" w:ascii="宋体" w:hAnsi="宋体" w:eastAsia="宋体" w:cs="宋体"/>
                <w:color w:val="000000"/>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u w:val="none"/>
                <w:lang w:val="en-US" w:eastAsia="zh-CN"/>
              </w:rPr>
              <w:t xml:space="preserve">1.支付依据：根据《政府采购代理机构管理暂行办法》第十五条规定，代理费用可以由中标人支付。因采购人预算金额包含代理费，本项目向中标人收取代理费用。</w:t>
            </w:r>
            <w:r>
              <w:rPr>
                <w:rFonts w:hint="eastAsia" w:ascii="宋体" w:hAnsi="宋体" w:eastAsia="宋体" w:cs="宋体"/>
                <w:color w:val="000000"/>
                <w:highlight w:val="none"/>
                <w:u w:val="none"/>
                <w:lang w:val="en-US" w:eastAsia="zh-CN"/>
              </w:rPr>
            </w:r>
            <w:r/>
          </w:p>
          <w:p>
            <w:pPr>
              <w:pStyle w:val="1212"/>
              <w:ind w:firstLine="480"/>
              <w:spacing w:before="0" w:beforeAutospacing="0" w:after="0" w:afterAutospacing="0"/>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u w:val="none"/>
                <w:lang w:val="en-US" w:eastAsia="zh-CN"/>
              </w:rPr>
              <w:t xml:space="preserve">2.报价要求：投标人在投标报价时，报价应当包含代理费用。</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28</w:t>
            </w: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纸质中标（成交）文件</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ind w:firstLine="48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中标（成交）供应商在签订合同前需递交与电子投标文件内容一致的纸质投标文件肆份（需打印清晰，标注目录及页码），作为项目归档使用。（递交方式可采用邮寄或现场送达,联系方式见《第一章 采购邀请》）</w:t>
            </w:r>
            <w:r>
              <w:rPr>
                <w:rFonts w:hint="eastAsia" w:ascii="宋体" w:hAnsi="宋体" w:eastAsia="宋体" w:cs="宋体"/>
                <w:sz w:val="24"/>
                <w:szCs w:val="24"/>
                <w:highlight w:val="none"/>
                <w:lang w:val="en-US" w:eastAsia="zh-CN" w:bidi="ar-SA"/>
              </w:rPr>
            </w:r>
            <w:r/>
          </w:p>
        </w:tc>
      </w:tr>
      <w:tr>
        <w:trPr>
          <w:trHeight w:val="515"/>
        </w:trPr>
        <w:tc>
          <w:tcPr>
            <w:tcW w:w="988" w:type="dxa"/>
            <w:vAlign w:val="center"/>
            <w:textDirection w:val="lrTb"/>
            <w:noWrap w:val="false"/>
          </w:tcPr>
          <w:p>
            <w:pPr>
              <w:pStyle w:val="793"/>
              <w:jc w:val="center"/>
              <w:widowControl w:val="off"/>
              <w:rPr>
                <w:rFonts w:ascii="宋体" w:hAnsi="宋体" w:eastAsia="宋体" w:cs="宋体"/>
                <w:sz w:val="24"/>
                <w:szCs w:val="24"/>
                <w:highlight w:val="none"/>
                <w:lang w:val="en-US" w:eastAsia="zh-CN" w:bidi="ar-SA"/>
              </w:rPr>
            </w:pPr>
            <w:r>
              <w:rPr>
                <w:rFonts w:hint="eastAsia" w:hAnsi="宋体" w:eastAsia="宋体" w:cs="宋体"/>
                <w:sz w:val="24"/>
                <w:szCs w:val="24"/>
                <w:highlight w:val="none"/>
                <w:lang w:val="en-US" w:eastAsia="zh-CN" w:bidi="ar-SA"/>
              </w:rPr>
              <w:t xml:space="preserve">29</w:t>
            </w:r>
            <w:r>
              <w:rPr>
                <w:rFonts w:ascii="宋体" w:hAnsi="宋体" w:eastAsia="宋体" w:cs="宋体"/>
                <w:sz w:val="24"/>
                <w:szCs w:val="24"/>
                <w:highlight w:val="none"/>
                <w:lang w:val="en-US" w:eastAsia="zh-CN" w:bidi="ar-SA"/>
              </w:rPr>
            </w:r>
            <w:r/>
          </w:p>
        </w:tc>
        <w:tc>
          <w:tcPr>
            <w:tcW w:w="1701" w:type="dxa"/>
            <w:vAlign w:val="center"/>
            <w:textDirection w:val="lrTb"/>
            <w:noWrap w:val="false"/>
          </w:tcPr>
          <w:p>
            <w:pPr>
              <w:pStyle w:val="769"/>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highlight w:val="none"/>
              </w:rPr>
              <w:t xml:space="preserve">电子系统意外情况处理条款</w:t>
            </w:r>
            <w:r>
              <w:rPr>
                <w:rFonts w:hint="eastAsia" w:ascii="宋体" w:hAnsi="宋体" w:eastAsia="宋体" w:cs="宋体"/>
                <w:sz w:val="24"/>
                <w:szCs w:val="24"/>
                <w:highlight w:val="none"/>
                <w:lang w:val="en-US" w:eastAsia="zh-CN" w:bidi="ar-SA"/>
              </w:rPr>
            </w:r>
            <w:r/>
          </w:p>
        </w:tc>
        <w:tc>
          <w:tcPr>
            <w:tcW w:w="6614" w:type="dxa"/>
            <w:vAlign w:val="center"/>
            <w:textDirection w:val="lrTb"/>
            <w:noWrap w:val="false"/>
          </w:tcPr>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为确保本项目电子化采购活动顺利进行，防范化解采购风险，特制定相关情形处置举措。所有潜在供应商及参与各方均应知悉并遵守以下规定：</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2.开标前环节故障处置：在供应商报名、</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文件上传、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文件解密及唱标环节等开标活动开始前的任何环节出现系统无法访问的情形，采购代理机构将按照以下原则处置：</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（一）若故障可在短时间内排除，采购代理机构将等待系统修复后，继续开展采购活动。</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（二）若故障无法在预定开标时间前排除，或故障情况严重影响公平竞争，采购代理机构将通过发布更正公告推迟开标。</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（三）若因故障导致有效供应商不足法定家数或出现其他法定废标情形，采购代理机构将发布废标（终止）公告，重新开展采购活动。</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特别说明：本项目</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文件递交方式以</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文件载明为准。在电子系统发生故障时，采购代理机构仅依据上述程序处理，不接受任何现场提交的纸质、U盘等非</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文件规定的响应文件。</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3.评审过程中故障处置：在评审委员会组建后至评审报告出具前的评审过程中出现系统无法访问的情形，采购代理机构将按照以下原则处置：</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（一）立即暂停评审：采购代理机构将立即宣布暂停评审活动，并采取必要措施封存所有</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文件及评审记录。</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（二）处置方案：视故障排除情况，采购代理机构将选择：</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1.若故障可在短时间内排除，采购代理机构将等待系统修复后，由原评审委员会继续完成评审；</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若故障无法在当日排除，或故障导致评审无法公正进行，将发布废标（终止）公告，重新开展采购活动；</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3.若需在第二日继续评审，采购代理机构将重新从政府采购评审专家库中抽取专家，组建新的评审委员会，在系统修复后继续评审活动。</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eastAsia="宋体" w:cs="宋体"/>
                <w:color w:val="000000"/>
                <w:sz w:val="24"/>
                <w:highlight w:val="none"/>
              </w:rPr>
            </w:r>
            <w:r/>
          </w:p>
          <w:p>
            <w:pPr>
              <w:pStyle w:val="769"/>
              <w:jc w:val="left"/>
              <w:keepLines w:val="0"/>
              <w:keepNext w:val="0"/>
              <w:pageBreakBefore w:val="0"/>
              <w:spacing w:line="32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color w:val="000000"/>
                <w:sz w:val="24"/>
                <w:highlight w:val="none"/>
              </w:rPr>
              <w:t xml:space="preserve">（四）供应商责任：供应商有责任确保自身网络环境、设备及数字证书（CA）的正常，并在</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文件规定的期限内完成文件上传、解密等操作。因供应商自身原因导致的操作失败，不适用本意外情况处理条款。</w:t>
            </w:r>
            <w:r>
              <w:rPr>
                <w:rFonts w:hint="eastAsia" w:ascii="宋体" w:hAnsi="宋体" w:eastAsia="宋体" w:cs="宋体"/>
                <w:b/>
                <w:bCs/>
                <w:sz w:val="24"/>
                <w:szCs w:val="24"/>
                <w:highlight w:val="none"/>
                <w:lang w:val="en-US" w:eastAsia="zh-CN" w:bidi="ar-SA"/>
              </w:rPr>
            </w:r>
            <w:r/>
          </w:p>
        </w:tc>
      </w:tr>
    </w:tbl>
    <w:p>
      <w:pPr>
        <w:pStyle w:val="769"/>
        <w:jc w:val="center"/>
        <w:spacing w:before="240" w:after="240"/>
        <w:rPr>
          <w:rFonts w:hint="eastAsia" w:ascii="宋体" w:hAnsi="宋体" w:eastAsia="宋体" w:cs="宋体"/>
          <w:b/>
          <w:sz w:val="28"/>
          <w:szCs w:val="28"/>
          <w:highlight w:val="none"/>
        </w:rPr>
      </w:pPr>
      <w:r>
        <w:rPr>
          <w:rFonts w:hint="eastAsia" w:ascii="宋体" w:hAnsi="宋体" w:eastAsia="宋体" w:cs="宋体"/>
          <w:highlight w:val="none"/>
        </w:rPr>
        <w:br w:type="page" w:clear="all"/>
      </w:r>
      <w:bookmarkStart w:id="76" w:name="_Toc127151517"/>
      <w:r/>
      <w:bookmarkStart w:id="77" w:name="_Toc226965790"/>
      <w:r/>
      <w:bookmarkStart w:id="78" w:name="_Toc305158785"/>
      <w:r/>
      <w:bookmarkStart w:id="79" w:name="_Toc142311019"/>
      <w:r/>
      <w:bookmarkStart w:id="80" w:name="_Toc150774722"/>
      <w:r/>
      <w:bookmarkStart w:id="81" w:name="_Toc353873662"/>
      <w:r/>
      <w:bookmarkStart w:id="82" w:name="_Toc150480755"/>
      <w:r/>
      <w:bookmarkStart w:id="83" w:name="_Toc353825542"/>
      <w:r/>
      <w:bookmarkStart w:id="84" w:name="_Toc264969207"/>
      <w:r/>
      <w:bookmarkStart w:id="85" w:name="_Toc226337213"/>
      <w:r/>
      <w:bookmarkStart w:id="86" w:name="_Toc305158859"/>
      <w:r/>
      <w:bookmarkStart w:id="87" w:name="_Toc195842882"/>
      <w:r/>
      <w:bookmarkStart w:id="88" w:name="_Toc353873932"/>
      <w:r/>
      <w:bookmarkStart w:id="89" w:name="_Toc265228355"/>
      <w:r>
        <w:rPr>
          <w:rFonts w:hint="eastAsia" w:ascii="宋体" w:hAnsi="宋体" w:eastAsia="宋体" w:cs="宋体"/>
          <w:b/>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sz w:val="28"/>
          <w:szCs w:val="28"/>
          <w:highlight w:val="none"/>
        </w:rPr>
      </w:r>
      <w:r/>
    </w:p>
    <w:p>
      <w:pPr>
        <w:pStyle w:val="985"/>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90" w:name="_Toc127151518"/>
      <w:r/>
      <w:bookmarkStart w:id="91" w:name="_Toc520356143"/>
      <w:r>
        <w:rPr>
          <w:rFonts w:hint="eastAsia" w:ascii="宋体" w:hAnsi="宋体" w:eastAsia="宋体" w:cs="宋体"/>
          <w:sz w:val="28"/>
          <w:highlight w:val="none"/>
        </w:rPr>
        <w:tab/>
      </w:r>
      <w:bookmarkStart w:id="92" w:name="_Toc142311020"/>
      <w:r/>
      <w:bookmarkStart w:id="93" w:name="_Toc151193616"/>
      <w:r/>
      <w:bookmarkStart w:id="94" w:name="_Toc151193760"/>
      <w:r/>
      <w:bookmarkStart w:id="95" w:name="_Toc226337214"/>
      <w:r/>
      <w:bookmarkStart w:id="96" w:name="_Toc151193832"/>
      <w:r/>
      <w:bookmarkStart w:id="97" w:name="_Toc226965708"/>
      <w:r/>
      <w:bookmarkStart w:id="98" w:name="_Toc150480756"/>
      <w:r/>
      <w:bookmarkStart w:id="99" w:name="_Toc150774618"/>
      <w:r/>
      <w:bookmarkStart w:id="100" w:name="_Toc305158786"/>
      <w:r/>
      <w:bookmarkStart w:id="101" w:name="_Toc305158860"/>
      <w:r/>
      <w:bookmarkStart w:id="102" w:name="_Toc226965791"/>
      <w:r/>
      <w:bookmarkStart w:id="103" w:name="_Toc150774723"/>
      <w:r/>
      <w:bookmarkStart w:id="104" w:name="_Toc151193906"/>
      <w:r/>
      <w:bookmarkStart w:id="105" w:name="_Toc151190145"/>
      <w:r/>
      <w:bookmarkStart w:id="106" w:name="_Toc150509269"/>
      <w:r/>
      <w:bookmarkStart w:id="107" w:name="_Toc264969208"/>
      <w:r/>
      <w:bookmarkStart w:id="108" w:name="_Toc226309762"/>
      <w:r/>
      <w:bookmarkStart w:id="109" w:name="_Toc151193688"/>
      <w:r/>
      <w:bookmarkStart w:id="110" w:name="_Toc265228356"/>
      <w:r/>
      <w:bookmarkStart w:id="111" w:name="_Toc195842883"/>
      <w:r>
        <w:rPr>
          <w:rFonts w:hint="eastAsia" w:ascii="宋体" w:hAnsi="宋体" w:eastAsia="宋体" w:cs="宋体"/>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8"/>
          <w:highlight w:val="none"/>
        </w:rPr>
        <w:tab/>
      </w:r>
      <w:r>
        <w:rPr>
          <w:rFonts w:hint="eastAsia" w:ascii="宋体" w:hAnsi="宋体" w:eastAsia="宋体" w:cs="宋体"/>
          <w:sz w:val="28"/>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112" w:name="_Toc305158861"/>
      <w:r/>
      <w:bookmarkStart w:id="113" w:name="_Toc305158787"/>
      <w:r/>
      <w:bookmarkStart w:id="114" w:name="_Toc265228357"/>
      <w:r/>
      <w:bookmarkStart w:id="115" w:name="_Toc264969209"/>
      <w:r>
        <w:rPr>
          <w:rFonts w:hint="eastAsia" w:ascii="宋体" w:hAnsi="宋体" w:eastAsia="宋体" w:cs="宋体"/>
          <w:sz w:val="24"/>
          <w:highlight w:val="none"/>
        </w:rPr>
        <w:t xml:space="preserve">1采购人、采购代理机构、投标人</w:t>
      </w:r>
      <w:bookmarkEnd w:id="112"/>
      <w:r/>
      <w:bookmarkEnd w:id="113"/>
      <w:r/>
      <w:bookmarkEnd w:id="114"/>
      <w:r/>
      <w:bookmarkEnd w:id="115"/>
      <w:r>
        <w:rPr>
          <w:rFonts w:hint="eastAsia" w:ascii="宋体" w:hAnsi="宋体" w:eastAsia="宋体" w:cs="宋体"/>
          <w:sz w:val="24"/>
          <w:highlight w:val="none"/>
        </w:rPr>
        <w:t xml:space="preserve">、联合体</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1.2投标人（也称“供应商”、“申请人”）：指向采购人提供货物、工程或者服务的法人、其他组织或者自然人。</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1.3联合体：指两个以上的自然人、法人或者其他组织组成一个联合体，以一个供应商的身份共同参加政府采购。</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116" w:name="_Toc127161434"/>
      <w:r/>
      <w:bookmarkStart w:id="117" w:name="_Toc149720813"/>
      <w:r/>
      <w:bookmarkStart w:id="118" w:name="_Toc264969210"/>
      <w:r/>
      <w:bookmarkStart w:id="119" w:name="_Toc265228358"/>
      <w:r/>
      <w:bookmarkStart w:id="120" w:name="_Toc150480758"/>
      <w:r/>
      <w:bookmarkStart w:id="121" w:name="_Toc164229215"/>
      <w:r/>
      <w:bookmarkStart w:id="122" w:name="_Toc226965710"/>
      <w:r/>
      <w:bookmarkStart w:id="123" w:name="_Toc150774725"/>
      <w:r/>
      <w:bookmarkStart w:id="124" w:name="_Toc164351614"/>
      <w:r/>
      <w:bookmarkStart w:id="125" w:name="_Toc142311022"/>
      <w:r/>
      <w:bookmarkStart w:id="126" w:name="_Toc151193834"/>
      <w:r/>
      <w:bookmarkStart w:id="127" w:name="_Toc226965793"/>
      <w:r/>
      <w:bookmarkStart w:id="128" w:name="_Toc127151721"/>
      <w:r/>
      <w:bookmarkStart w:id="129" w:name="_Toc305158788"/>
      <w:r/>
      <w:bookmarkStart w:id="130" w:name="_Toc151193690"/>
      <w:r/>
      <w:bookmarkStart w:id="131" w:name="_Toc226337216"/>
      <w:r/>
      <w:bookmarkStart w:id="132" w:name="_Toc150509271"/>
      <w:r/>
      <w:bookmarkStart w:id="133" w:name="_Toc305158862"/>
      <w:r/>
      <w:bookmarkStart w:id="134" w:name="_Toc195842885"/>
      <w:r/>
      <w:bookmarkStart w:id="135" w:name="_Toc151193762"/>
      <w:r/>
      <w:bookmarkStart w:id="136" w:name="_Toc151193908"/>
      <w:r/>
      <w:bookmarkStart w:id="137" w:name="_Toc150774620"/>
      <w:r/>
      <w:bookmarkStart w:id="138" w:name="_Toc226309764"/>
      <w:r/>
      <w:bookmarkStart w:id="139" w:name="_Toc127151520"/>
      <w:r/>
      <w:bookmarkStart w:id="140" w:name="_Toc151190147"/>
      <w:r/>
      <w:bookmarkStart w:id="141" w:name="_Toc151193618"/>
      <w:r/>
      <w:bookmarkStart w:id="142" w:name="_Toc164229361"/>
      <w:r/>
      <w:bookmarkStart w:id="143" w:name="_Toc164608789"/>
      <w:r/>
      <w:bookmarkStart w:id="144" w:name="_Toc164608634"/>
      <w:r>
        <w:rPr>
          <w:rFonts w:hint="eastAsia" w:ascii="宋体" w:hAnsi="宋体" w:eastAsia="宋体" w:cs="宋体"/>
          <w:sz w:val="24"/>
          <w:highlight w:val="none"/>
        </w:rPr>
        <w:t xml:space="preserve">2资金来源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eastAsia="宋体" w:cs="宋体"/>
          <w:sz w:val="24"/>
          <w:highlight w:val="none"/>
        </w:rPr>
        <w:t xml:space="preserve">、项目属性、科研仪器设备采购、核心产品</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2.1资金来源为财政性资金和/或本项目采购中无法与财政性资金分割的非财政性资金。</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2.2项目属性见《投标人须知资料表》。</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2.3是否属于科研仪器设备采购见《投标人须知资料表》。</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2.4核心产品见《投标人须知资料表》。</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3现场考察、开标前答疑会</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3.1若《投标人须知资料表》中规定了组织现场考察、召开开标前答疑会，则投标人应按要求在规定的时间和地点参加。</w:t>
      </w:r>
      <w:bookmarkStart w:id="145" w:name="_Toc305158790"/>
      <w:r/>
      <w:bookmarkStart w:id="146" w:name="_Toc151193910"/>
      <w:r/>
      <w:bookmarkStart w:id="147" w:name="_Toc226309766"/>
      <w:r/>
      <w:bookmarkStart w:id="148" w:name="_Toc151193692"/>
      <w:r/>
      <w:bookmarkStart w:id="149" w:name="_Toc226965712"/>
      <w:r/>
      <w:bookmarkStart w:id="150" w:name="_Toc127151522"/>
      <w:r/>
      <w:bookmarkStart w:id="151" w:name="_Toc265228360"/>
      <w:r/>
      <w:bookmarkStart w:id="152" w:name="_Toc305158864"/>
      <w:r/>
      <w:bookmarkStart w:id="153" w:name="_Toc264969212"/>
      <w:r/>
      <w:bookmarkStart w:id="154" w:name="_Toc226337218"/>
      <w:r/>
      <w:bookmarkStart w:id="155" w:name="_Toc142311024"/>
      <w:r/>
      <w:bookmarkStart w:id="156" w:name="_Toc226965795"/>
      <w:r/>
      <w:bookmarkStart w:id="157" w:name="_Toc195842887"/>
      <w:r/>
      <w:bookmarkStart w:id="158" w:name="_Toc520356146"/>
      <w:r/>
      <w:bookmarkStart w:id="159" w:name="_Toc150774622"/>
      <w:r/>
      <w:bookmarkStart w:id="160" w:name="_Toc150774727"/>
      <w:r/>
      <w:bookmarkStart w:id="161" w:name="_Toc151193764"/>
      <w:r/>
      <w:bookmarkStart w:id="162" w:name="_Toc151190149"/>
      <w:r/>
      <w:bookmarkStart w:id="163" w:name="_Toc150509273"/>
      <w:r/>
      <w:bookmarkStart w:id="164" w:name="_Toc151193836"/>
      <w:r/>
      <w:bookmarkStart w:id="165" w:name="_Toc151193620"/>
      <w:r/>
      <w:bookmarkStart w:id="166" w:name="_Toc150480760"/>
      <w:r>
        <w:rPr>
          <w:rFonts w:hint="eastAsia" w:ascii="宋体" w:hAnsi="宋体" w:eastAsia="宋体" w:cs="宋体"/>
          <w:sz w:val="28"/>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4样品</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4.1本项目是否要求投标人提供样品，以及样品制作的标准和要求、是否需要随样品提交相关检测报告、样品的递交与退还等要求见《投标人须知资料表》。</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4.2样品的评审方法以及评审标准等内容见第四章《评标方法和评标标准》。</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5政府采购政策（包括但不限于下列具体政策要求）</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5.1进口产品</w:t>
      </w:r>
      <w:r>
        <w:rPr>
          <w:rFonts w:hint="eastAsia" w:ascii="宋体" w:hAnsi="宋体" w:eastAsia="宋体" w:cs="宋体"/>
          <w:sz w:val="24"/>
          <w:highlight w:val="none"/>
        </w:rPr>
      </w:r>
      <w:r/>
    </w:p>
    <w:p>
      <w:pPr>
        <w:pStyle w:val="769"/>
        <w:numPr>
          <w:ilvl w:val="2"/>
          <w:numId w:val="0"/>
        </w:numPr>
        <w:ind w:left="1980" w:hanging="90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5.2中小企业、监狱企业及残疾人福利性单位</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5.2.1中小企业定义：</w:t>
      </w:r>
      <w:r>
        <w:rPr>
          <w:rFonts w:hint="eastAsia" w:ascii="宋体" w:hAnsi="宋体" w:eastAsia="宋体" w:cs="宋体"/>
          <w:sz w:val="24"/>
          <w:highlight w:val="none"/>
        </w:rPr>
      </w:r>
      <w:r/>
    </w:p>
    <w:p>
      <w:pPr>
        <w:pStyle w:val="1024"/>
        <w:numPr>
          <w:ilvl w:val="1"/>
          <w:numId w:val="0"/>
        </w:numPr>
        <w:ind w:left="1468" w:hanging="900"/>
        <w:spacing w:line="360" w:lineRule="auto"/>
        <w:tabs>
          <w:tab w:val="left" w:pos="1980" w:leader="none"/>
          <w:tab w:val="left" w:pos="2035" w:leader="none"/>
          <w:tab w:val="left" w:pos="2977" w:leader="none"/>
        </w:tabs>
        <w:rPr>
          <w:rFonts w:hint="eastAsia" w:ascii="宋体" w:hAnsi="宋体" w:eastAsia="宋体" w:cs="宋体"/>
          <w:vanish/>
          <w:sz w:val="24"/>
          <w:szCs w:val="24"/>
          <w:highlight w:val="none"/>
        </w:rPr>
      </w:pPr>
      <w:r>
        <w:rPr>
          <w:rFonts w:hint="eastAsia" w:ascii="宋体" w:hAnsi="宋体" w:eastAsia="宋体" w:cs="宋体"/>
          <w:vanish/>
          <w:sz w:val="24"/>
          <w:szCs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vanish/>
          <w:sz w:val="24"/>
          <w:szCs w:val="24"/>
          <w:highlight w:val="none"/>
        </w:rPr>
      </w:pPr>
      <w:r>
        <w:rPr>
          <w:rFonts w:hint="eastAsia" w:ascii="宋体" w:hAnsi="宋体" w:eastAsia="宋体" w:cs="宋体"/>
          <w:sz w:val="24"/>
          <w:highlight w:val="none"/>
        </w:rPr>
        <w:t xml:space="preserve">5.2.1.1中小企业是</w:t>
      </w:r>
      <w:r>
        <w:rPr>
          <w:rFonts w:hint="eastAsia" w:ascii="宋体" w:hAnsi="宋体" w:eastAsia="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vanish/>
          <w:sz w:val="24"/>
          <w:szCs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5.2.1.2供应商提供的货物、工程或者服务符合下列情形的，享受中小企业扶持政策：</w:t>
      </w:r>
      <w:r>
        <w:rPr>
          <w:rFonts w:hint="eastAsia" w:ascii="宋体" w:hAnsi="宋体" w:eastAsia="宋体" w:cs="宋体"/>
          <w:sz w:val="24"/>
          <w:highlight w:val="none"/>
        </w:rPr>
      </w:r>
      <w:r/>
    </w:p>
    <w:p>
      <w:pPr>
        <w:pStyle w:val="769"/>
        <w:ind w:left="2835"/>
        <w:spacing w:line="360" w:lineRule="auto"/>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highlight w:val="none"/>
        </w:rPr>
      </w:r>
      <w:r/>
    </w:p>
    <w:p>
      <w:pPr>
        <w:pStyle w:val="769"/>
        <w:ind w:left="2835"/>
        <w:spacing w:line="360" w:lineRule="auto"/>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（2）在工程采购项目中，工程由中小企业承建，即工程施工单位为中小企业；</w:t>
      </w:r>
      <w:r>
        <w:rPr>
          <w:rFonts w:hint="eastAsia" w:ascii="宋体" w:hAnsi="宋体" w:eastAsia="宋体" w:cs="宋体"/>
          <w:sz w:val="24"/>
          <w:highlight w:val="none"/>
        </w:rPr>
      </w:r>
      <w:r/>
    </w:p>
    <w:p>
      <w:pPr>
        <w:pStyle w:val="769"/>
        <w:ind w:left="2835"/>
        <w:spacing w:line="360" w:lineRule="auto"/>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5.2.1.3在货物采购项目中，供应商提供的货物既有中小企业制造货物，也有大型企业制造货物的，不享受中小企业扶持政策。</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5.2.3残疾人福利单位定义：享受政府采购支持政策的残疾人福利性单位应当同时满足以下条件：</w:t>
      </w:r>
      <w:r>
        <w:rPr>
          <w:rFonts w:hint="eastAsia" w:ascii="宋体" w:hAnsi="宋体" w:eastAsia="宋体" w:cs="宋体"/>
          <w:sz w:val="24"/>
          <w:highlight w:val="none"/>
        </w:rPr>
      </w:r>
      <w:r/>
    </w:p>
    <w:p>
      <w:pPr>
        <w:pStyle w:val="1024"/>
        <w:numPr>
          <w:ilvl w:val="2"/>
          <w:numId w:val="0"/>
        </w:numPr>
        <w:ind w:left="1980" w:hanging="900"/>
        <w:spacing w:line="360" w:lineRule="auto"/>
        <w:tabs>
          <w:tab w:val="left" w:pos="2035" w:leader="none"/>
          <w:tab w:val="left" w:pos="2977" w:leader="none"/>
        </w:tabs>
        <w:rPr>
          <w:rFonts w:hint="eastAsia" w:ascii="宋体" w:hAnsi="宋体" w:eastAsia="宋体" w:cs="宋体"/>
          <w:vanish/>
          <w:sz w:val="24"/>
          <w:szCs w:val="24"/>
          <w:highlight w:val="none"/>
        </w:rPr>
      </w:pPr>
      <w:r>
        <w:rPr>
          <w:rFonts w:hint="eastAsia" w:ascii="宋体" w:hAnsi="宋体" w:eastAsia="宋体" w:cs="宋体"/>
          <w:vanish/>
          <w:sz w:val="24"/>
          <w:szCs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5.2.3.1安置的残疾人占本单位在职职工人数的比例不低于25%（含25%），并且安置的残疾人人数不少于10 人（含10 人）；</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5.2.3.2依法与安置的每位残疾人签订了一年以上（含一年）的劳动合同或服务协议；</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5.2.3.3为安置的每位残疾人按月足额缴纳了基本养老保险、基本医疗保险、失业保险、工伤保险和生育保险等社会保险费；</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5.2.3.4通过银行等金融机构向安置的每位残疾人，按月支付了不低于单位所在区县适用的经省级人民政府批准的月最低工资标准的工资；</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4"/>
          <w:highlight w:val="none"/>
        </w:rPr>
      </w:r>
      <w:r/>
    </w:p>
    <w:p>
      <w:pPr>
        <w:pStyle w:val="769"/>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5.2.4本项目是否专门面向中小企业预留采购份额见第一章《投标邀请》。</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5.2.5采购标的对应的中小企业划分标准所属行业见《投标人须知资料表》。</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5.2.6小微企业价格评审优惠的政策调整：见第四章《评标方法和评标标准》。</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5.3政府采购节能产品、环境标志产品</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eastAsia="宋体" w:cs="宋体"/>
          <w:sz w:val="24"/>
          <w:highlight w:val="none"/>
        </w:rPr>
      </w:r>
      <w:r/>
    </w:p>
    <w:p>
      <w:pPr>
        <w:pStyle w:val="769"/>
        <w:numPr>
          <w:ilvl w:val="2"/>
          <w:numId w:val="0"/>
        </w:numPr>
        <w:ind w:left="1980" w:hanging="90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5.4支持乡村产业振兴管理</w:t>
      </w:r>
      <w:r>
        <w:rPr>
          <w:rFonts w:hint="eastAsia" w:ascii="宋体" w:hAnsi="宋体" w:eastAsia="宋体" w:cs="宋体"/>
          <w:sz w:val="24"/>
          <w:highlight w:val="none"/>
        </w:rPr>
      </w:r>
      <w:r/>
    </w:p>
    <w:p>
      <w:pPr>
        <w:pStyle w:val="769"/>
        <w:numPr>
          <w:ilvl w:val="2"/>
          <w:numId w:val="0"/>
        </w:numPr>
        <w:ind w:left="1980" w:hanging="90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5.5正版软件</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政府采购创新产品政策</w:t>
      </w:r>
      <w:r>
        <w:rPr>
          <w:rFonts w:hint="eastAsia" w:ascii="宋体" w:hAnsi="宋体" w:eastAsia="宋体" w:cs="宋体"/>
          <w:sz w:val="24"/>
          <w:highlight w:val="none"/>
        </w:rPr>
      </w:r>
      <w:r/>
    </w:p>
    <w:p>
      <w:pPr>
        <w:pStyle w:val="769"/>
        <w:numPr>
          <w:ilvl w:val="2"/>
          <w:numId w:val="0"/>
        </w:numPr>
        <w:ind w:left="1980" w:hanging="90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绿色采购政策 </w:t>
      </w:r>
      <w:r>
        <w:rPr>
          <w:rFonts w:hint="eastAsia" w:ascii="宋体" w:hAnsi="宋体" w:eastAsia="宋体" w:cs="宋体"/>
          <w:sz w:val="24"/>
          <w:highlight w:val="none"/>
        </w:rPr>
      </w:r>
      <w:r/>
    </w:p>
    <w:p>
      <w:pPr>
        <w:pStyle w:val="769"/>
        <w:numPr>
          <w:ilvl w:val="1"/>
          <w:numId w:val="0"/>
        </w:numPr>
        <w:ind w:left="1080" w:hanging="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.1绿色数据中心政策 </w:t>
      </w:r>
      <w:r>
        <w:rPr>
          <w:rFonts w:hint="eastAsia" w:ascii="宋体" w:hAnsi="宋体" w:eastAsia="宋体" w:cs="宋体"/>
          <w:sz w:val="24"/>
          <w:highlight w:val="none"/>
        </w:rPr>
      </w:r>
      <w:r/>
    </w:p>
    <w:p>
      <w:pPr>
        <w:pStyle w:val="769"/>
        <w:numPr>
          <w:ilvl w:val="1"/>
          <w:numId w:val="0"/>
        </w:numPr>
        <w:ind w:left="1480" w:firstLine="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号）文件精神，招标</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招标文件，并在合同中明确对相关指标的验收方式和违约责任。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highlight w:val="none"/>
        </w:rPr>
      </w:r>
      <w:r/>
    </w:p>
    <w:p>
      <w:pPr>
        <w:pStyle w:val="769"/>
        <w:numPr>
          <w:ilvl w:val="1"/>
          <w:numId w:val="0"/>
        </w:numPr>
        <w:ind w:left="1080" w:hanging="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.2推广应用绿色建材</w:t>
      </w:r>
      <w:r>
        <w:rPr>
          <w:rFonts w:hint="eastAsia" w:ascii="宋体" w:hAnsi="宋体" w:eastAsia="宋体" w:cs="宋体"/>
          <w:sz w:val="24"/>
          <w:highlight w:val="none"/>
        </w:rPr>
      </w:r>
      <w:r/>
    </w:p>
    <w:p>
      <w:pPr>
        <w:pStyle w:val="769"/>
        <w:numPr>
          <w:ilvl w:val="1"/>
          <w:numId w:val="0"/>
        </w:numPr>
        <w:ind w:left="1480" w:firstLine="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hint="eastAsia" w:ascii="宋体" w:hAnsi="宋体" w:eastAsia="宋体" w:cs="宋体"/>
          <w:sz w:val="24"/>
          <w:highlight w:val="none"/>
        </w:rPr>
      </w:r>
      <w:r/>
    </w:p>
    <w:p>
      <w:pPr>
        <w:pStyle w:val="769"/>
        <w:numPr>
          <w:ilvl w:val="1"/>
          <w:numId w:val="0"/>
        </w:numPr>
        <w:ind w:left="1080" w:hanging="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.3优先使用低挥发性有机化合物产品</w:t>
      </w:r>
      <w:r>
        <w:rPr>
          <w:rFonts w:hint="eastAsia" w:ascii="宋体" w:hAnsi="宋体" w:eastAsia="宋体" w:cs="宋体"/>
          <w:sz w:val="24"/>
          <w:highlight w:val="none"/>
        </w:rPr>
      </w:r>
      <w:r/>
    </w:p>
    <w:p>
      <w:pPr>
        <w:pStyle w:val="769"/>
        <w:numPr>
          <w:ilvl w:val="1"/>
          <w:numId w:val="0"/>
        </w:numPr>
        <w:ind w:left="1480" w:firstLine="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采购本国产品的支持政策</w:t>
      </w:r>
      <w:r>
        <w:rPr>
          <w:rFonts w:hint="eastAsia" w:ascii="宋体" w:hAnsi="宋体" w:eastAsia="宋体" w:cs="宋体"/>
          <w:sz w:val="24"/>
          <w:highlight w:val="none"/>
        </w:rPr>
      </w:r>
      <w:r/>
    </w:p>
    <w:p>
      <w:pPr>
        <w:pStyle w:val="769"/>
        <w:numPr>
          <w:ilvl w:val="2"/>
          <w:numId w:val="0"/>
        </w:numPr>
        <w:ind w:left="1680" w:hanging="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.1根据《国务院办公厅关于在政府采购中实施本国产品标准及相关政策的通知》（国办发〔2025〕34号）文件要求，在政府采购中实施本国产品标准及相关支持政策。</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5.9</w:t>
      </w:r>
      <w:r>
        <w:rPr>
          <w:rFonts w:hint="eastAsia" w:ascii="宋体" w:hAnsi="宋体" w:eastAsia="宋体" w:cs="宋体"/>
          <w:sz w:val="24"/>
          <w:highlight w:val="none"/>
        </w:rPr>
        <w:t xml:space="preserve">履约保证金相关政策</w:t>
      </w:r>
      <w:r>
        <w:rPr>
          <w:rFonts w:hint="eastAsia" w:ascii="宋体" w:hAnsi="宋体" w:eastAsia="宋体" w:cs="宋体"/>
          <w:sz w:val="24"/>
          <w:highlight w:val="none"/>
        </w:rPr>
      </w:r>
      <w:r/>
    </w:p>
    <w:p>
      <w:pPr>
        <w:pStyle w:val="769"/>
        <w:numPr>
          <w:ilvl w:val="2"/>
          <w:numId w:val="0"/>
        </w:numPr>
        <w:ind w:left="1680" w:hanging="60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5.9.1</w:t>
      </w:r>
      <w:r>
        <w:rPr>
          <w:rFonts w:hint="eastAsia" w:ascii="宋体" w:hAnsi="宋体" w:eastAsia="宋体" w:cs="宋体"/>
          <w:sz w:val="24"/>
          <w:highlight w:val="none"/>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rPr>
          <w:rFonts w:hint="eastAsia" w:ascii="宋体" w:hAnsi="宋体" w:eastAsia="宋体" w:cs="宋体"/>
          <w:sz w:val="24"/>
          <w:highlight w:val="none"/>
        </w:rPr>
      </w:r>
      <w:r/>
    </w:p>
    <w:p>
      <w:pPr>
        <w:pStyle w:val="769"/>
        <w:numPr>
          <w:ilvl w:val="2"/>
          <w:numId w:val="0"/>
        </w:numPr>
        <w:ind w:left="1680" w:hanging="60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5.9.2</w:t>
      </w:r>
      <w:r>
        <w:rPr>
          <w:rFonts w:hint="eastAsia" w:ascii="宋体" w:hAnsi="宋体" w:eastAsia="宋体" w:cs="宋体"/>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6投标费用</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6.1投标人应自行承担所有与准备和参加投标有关的费用，无论投标的结果如何，采购人或采购代理机构在任何情况下均无承担这些费用的义务和责任。</w:t>
      </w:r>
      <w:r>
        <w:rPr>
          <w:rFonts w:hint="eastAsia" w:ascii="宋体" w:hAnsi="宋体" w:eastAsia="宋体" w:cs="宋体"/>
          <w:sz w:val="24"/>
          <w:highlight w:val="none"/>
        </w:rPr>
      </w:r>
      <w:r/>
    </w:p>
    <w:p>
      <w:pPr>
        <w:pStyle w:val="769"/>
        <w:ind w:left="1080"/>
        <w:spacing w:line="360" w:lineRule="auto"/>
        <w:tabs>
          <w:tab w:val="left" w:pos="1080" w:leader="none"/>
        </w:tabs>
        <w:rPr>
          <w:rFonts w:hint="eastAsia" w:ascii="宋体" w:hAnsi="宋体" w:eastAsia="宋体" w:cs="宋体"/>
          <w:sz w:val="28"/>
          <w:highlight w:val="none"/>
        </w:rPr>
      </w:pPr>
      <w:r/>
      <w:bookmarkStart w:id="167" w:name="_1.8_计量单位"/>
      <w:r/>
      <w:bookmarkEnd w:id="167"/>
      <w:r>
        <w:rPr>
          <w:rFonts w:hint="eastAsia" w:ascii="宋体" w:hAnsi="宋体" w:eastAsia="宋体" w:cs="宋体"/>
          <w:sz w:val="28"/>
          <w:highlight w:val="none"/>
        </w:rPr>
      </w:r>
      <w:r/>
    </w:p>
    <w:p>
      <w:pPr>
        <w:pStyle w:val="985"/>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sz w:val="28"/>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168" w:name="_Toc127151724"/>
      <w:r/>
      <w:bookmarkStart w:id="169" w:name="_Toc151193621"/>
      <w:r/>
      <w:bookmarkStart w:id="170" w:name="_Toc305158791"/>
      <w:r/>
      <w:bookmarkStart w:id="171" w:name="_Toc127161437"/>
      <w:r/>
      <w:bookmarkStart w:id="172" w:name="_Toc164608792"/>
      <w:r/>
      <w:bookmarkStart w:id="173" w:name="_Toc142311025"/>
      <w:r/>
      <w:bookmarkStart w:id="174" w:name="_Toc520356147"/>
      <w:r/>
      <w:bookmarkStart w:id="175" w:name="_Toc264969213"/>
      <w:r/>
      <w:bookmarkStart w:id="176" w:name="_Toc164608637"/>
      <w:r/>
      <w:bookmarkStart w:id="177" w:name="_Toc150480761"/>
      <w:r/>
      <w:bookmarkStart w:id="178" w:name="_Toc151193765"/>
      <w:r/>
      <w:bookmarkStart w:id="179" w:name="_Toc226337219"/>
      <w:r/>
      <w:bookmarkStart w:id="180" w:name="_Toc151193693"/>
      <w:r/>
      <w:bookmarkStart w:id="181" w:name="_Toc164229218"/>
      <w:r/>
      <w:bookmarkStart w:id="182" w:name="_Toc195842888"/>
      <w:r/>
      <w:bookmarkStart w:id="183" w:name="_Toc151190150"/>
      <w:r/>
      <w:bookmarkStart w:id="184" w:name="_Toc151193911"/>
      <w:r/>
      <w:bookmarkStart w:id="185" w:name="_Toc151193837"/>
      <w:r/>
      <w:bookmarkStart w:id="186" w:name="_Toc150509274"/>
      <w:r/>
      <w:bookmarkStart w:id="187" w:name="_Toc265228361"/>
      <w:r/>
      <w:bookmarkStart w:id="188" w:name="_Toc226965796"/>
      <w:r/>
      <w:bookmarkStart w:id="189" w:name="_Toc226965713"/>
      <w:r/>
      <w:bookmarkStart w:id="190" w:name="_Toc127151523"/>
      <w:r/>
      <w:bookmarkStart w:id="191" w:name="_Toc150774728"/>
      <w:r/>
      <w:bookmarkStart w:id="192" w:name="_Toc149720816"/>
      <w:r/>
      <w:bookmarkStart w:id="193" w:name="_Toc305158865"/>
      <w:r/>
      <w:bookmarkStart w:id="194" w:name="_Toc226309767"/>
      <w:r/>
      <w:bookmarkStart w:id="195" w:name="_Toc164351617"/>
      <w:r/>
      <w:bookmarkStart w:id="196" w:name="_Toc150774623"/>
      <w:r/>
      <w:bookmarkStart w:id="197" w:name="_Toc164229364"/>
      <w:r>
        <w:rPr>
          <w:rFonts w:hint="eastAsia" w:ascii="宋体" w:hAnsi="宋体" w:eastAsia="宋体" w:cs="宋体"/>
          <w:sz w:val="24"/>
          <w:highlight w:val="none"/>
        </w:rPr>
        <w:t xml:space="preserve">7招标文件构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cs="宋体"/>
          <w:sz w:val="24"/>
          <w:highlight w:val="none"/>
        </w:rPr>
        <w:t xml:space="preserve">成</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7.1招标文件包括以下部分：</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评标程序、评标方法和评标标准</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拟签订的合同文本</w:t>
      </w:r>
      <w:r>
        <w:rPr>
          <w:rFonts w:hint="eastAsia" w:ascii="宋体" w:hAnsi="宋体" w:eastAsia="宋体" w:cs="宋体"/>
          <w:sz w:val="24"/>
          <w:highlight w:val="none"/>
        </w:rPr>
      </w:r>
      <w:r/>
    </w:p>
    <w:p>
      <w:pPr>
        <w:pStyle w:val="769"/>
        <w:numPr>
          <w:ilvl w:val="0"/>
          <w:numId w:val="8"/>
        </w:numPr>
        <w:ind w:left="1440" w:firstLine="5"/>
        <w:spacing w:line="360" w:lineRule="auto"/>
        <w:tabs>
          <w:tab w:val="left" w:pos="1980" w:leader="none"/>
          <w:tab w:val="left" w:pos="2520" w:leader="none"/>
          <w:tab w:val="left" w:pos="494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left="357" w:hanging="357"/>
        <w:spacing w:line="360" w:lineRule="auto"/>
        <w:tabs>
          <w:tab w:val="left" w:pos="1080" w:leader="none"/>
          <w:tab w:val="left" w:pos="2014"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8对招标文件的澄清或修改</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sz w:val="24"/>
          <w:highlight w:val="none"/>
        </w:rPr>
      </w:r>
      <w:r/>
    </w:p>
    <w:p>
      <w:pPr>
        <w:pStyle w:val="769"/>
        <w:ind w:left="1080"/>
        <w:spacing w:line="360" w:lineRule="auto"/>
        <w:tabs>
          <w:tab w:val="left" w:pos="1080" w:leader="none"/>
          <w:tab w:val="left" w:pos="1561" w:leader="none"/>
        </w:tabs>
        <w:rPr>
          <w:rFonts w:hint="eastAsia" w:ascii="宋体" w:hAnsi="宋体" w:eastAsia="宋体" w:cs="宋体"/>
          <w:sz w:val="28"/>
          <w:highlight w:val="none"/>
        </w:rPr>
      </w:pPr>
      <w:r/>
      <w:bookmarkStart w:id="198" w:name="_Toc142311028"/>
      <w:r/>
      <w:bookmarkStart w:id="199" w:name="_Toc305158868"/>
      <w:r/>
      <w:bookmarkStart w:id="200" w:name="_Toc150480764"/>
      <w:r/>
      <w:bookmarkStart w:id="201" w:name="_Toc226965799"/>
      <w:r/>
      <w:bookmarkStart w:id="202" w:name="_Toc150774626"/>
      <w:r/>
      <w:bookmarkStart w:id="203" w:name="_Toc151193914"/>
      <w:r/>
      <w:bookmarkStart w:id="204" w:name="_Toc264969216"/>
      <w:r/>
      <w:bookmarkStart w:id="205" w:name="_Toc516367020"/>
      <w:r/>
      <w:bookmarkStart w:id="206" w:name="_Toc151193768"/>
      <w:r/>
      <w:bookmarkStart w:id="207" w:name="_Toc151193840"/>
      <w:r/>
      <w:bookmarkStart w:id="208" w:name="_Toc150509277"/>
      <w:r/>
      <w:bookmarkStart w:id="209" w:name="_Toc226309770"/>
      <w:r/>
      <w:bookmarkStart w:id="210" w:name="_Toc226337222"/>
      <w:r/>
      <w:bookmarkStart w:id="211" w:name="_Toc127151526"/>
      <w:r/>
      <w:bookmarkStart w:id="212" w:name="_Toc151193624"/>
      <w:r/>
      <w:bookmarkStart w:id="213" w:name="_Toc151193696"/>
      <w:r/>
      <w:bookmarkStart w:id="214" w:name="_Toc150774731"/>
      <w:r/>
      <w:bookmarkStart w:id="215" w:name="_Toc520356150"/>
      <w:r/>
      <w:bookmarkStart w:id="216" w:name="_Toc305158794"/>
      <w:r/>
      <w:bookmarkStart w:id="217" w:name="_Toc265228364"/>
      <w:r/>
      <w:bookmarkStart w:id="218" w:name="_Toc151190153"/>
      <w:r/>
      <w:bookmarkStart w:id="219" w:name="_Toc195842891"/>
      <w:r/>
      <w:bookmarkStart w:id="220" w:name="_Toc226965716"/>
      <w:r>
        <w:rPr>
          <w:rFonts w:hint="eastAsia" w:ascii="宋体" w:hAnsi="宋体" w:eastAsia="宋体" w:cs="宋体"/>
          <w:sz w:val="28"/>
          <w:highlight w:val="none"/>
        </w:rPr>
      </w:r>
      <w:r/>
    </w:p>
    <w:p>
      <w:pPr>
        <w:pStyle w:val="985"/>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三   投标文件</w:t>
      </w:r>
      <w:bookmarkEnd w:id="205"/>
      <w:r>
        <w:rPr>
          <w:rFonts w:hint="eastAsia" w:ascii="宋体" w:hAnsi="宋体" w:eastAsia="宋体" w:cs="宋体"/>
          <w:sz w:val="28"/>
          <w:highlight w:val="none"/>
        </w:rPr>
        <w:t xml:space="preserve">的编制</w:t>
      </w:r>
      <w:bookmarkEnd w:id="198"/>
      <w:r/>
      <w:bookmarkEnd w:id="199"/>
      <w:r/>
      <w:bookmarkEnd w:id="200"/>
      <w:r/>
      <w:bookmarkEnd w:id="201"/>
      <w:r/>
      <w:bookmarkEnd w:id="202"/>
      <w:r/>
      <w:bookmarkEnd w:id="203"/>
      <w:r/>
      <w:bookmarkEnd w:id="204"/>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8"/>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221" w:name="_Toc226309771"/>
      <w:r/>
      <w:bookmarkStart w:id="222" w:name="_Toc264969217"/>
      <w:r/>
      <w:bookmarkStart w:id="223" w:name="_Toc226965717"/>
      <w:r/>
      <w:bookmarkStart w:id="224" w:name="_Toc151193769"/>
      <w:r/>
      <w:bookmarkStart w:id="225" w:name="_Toc226965800"/>
      <w:r/>
      <w:bookmarkStart w:id="226" w:name="_Toc226337223"/>
      <w:r/>
      <w:bookmarkStart w:id="227" w:name="_Toc150774732"/>
      <w:r/>
      <w:bookmarkStart w:id="228" w:name="_Toc305158869"/>
      <w:r/>
      <w:bookmarkStart w:id="229" w:name="_Toc164608641"/>
      <w:r/>
      <w:bookmarkStart w:id="230" w:name="_Toc149720820"/>
      <w:r/>
      <w:bookmarkStart w:id="231" w:name="_Toc516367021"/>
      <w:r/>
      <w:bookmarkStart w:id="232" w:name="_Toc150774627"/>
      <w:r/>
      <w:bookmarkStart w:id="233" w:name="_Toc151193625"/>
      <w:r/>
      <w:bookmarkStart w:id="234" w:name="_Toc142311029"/>
      <w:r/>
      <w:bookmarkStart w:id="235" w:name="_Toc164351621"/>
      <w:r/>
      <w:bookmarkStart w:id="236" w:name="_Toc150480765"/>
      <w:r/>
      <w:bookmarkStart w:id="237" w:name="_Toc164608796"/>
      <w:r/>
      <w:bookmarkStart w:id="238" w:name="_Toc127161441"/>
      <w:r/>
      <w:bookmarkStart w:id="239" w:name="_Toc164229368"/>
      <w:r/>
      <w:bookmarkStart w:id="240" w:name="_Toc151193915"/>
      <w:r/>
      <w:bookmarkStart w:id="241" w:name="_Toc265228365"/>
      <w:r/>
      <w:bookmarkStart w:id="242" w:name="_Toc195842892"/>
      <w:r/>
      <w:bookmarkStart w:id="243" w:name="_Toc164229222"/>
      <w:r/>
      <w:bookmarkStart w:id="244" w:name="_Toc151193841"/>
      <w:r/>
      <w:bookmarkStart w:id="245" w:name="_Toc151190154"/>
      <w:r/>
      <w:bookmarkStart w:id="246" w:name="_Toc150509278"/>
      <w:r/>
      <w:bookmarkStart w:id="247" w:name="_Toc520356151"/>
      <w:r/>
      <w:bookmarkStart w:id="248" w:name="_Toc127151728"/>
      <w:r/>
      <w:bookmarkStart w:id="249" w:name="_Toc151193697"/>
      <w:r/>
      <w:bookmarkStart w:id="250" w:name="_Toc127151527"/>
      <w:r/>
      <w:bookmarkStart w:id="251" w:name="_Toc305158795"/>
      <w:r>
        <w:rPr>
          <w:rFonts w:hint="eastAsia" w:ascii="宋体" w:hAnsi="宋体" w:eastAsia="宋体" w:cs="宋体"/>
          <w:sz w:val="24"/>
          <w:highlight w:val="none"/>
        </w:rPr>
        <w:t xml:space="preserve">9投标范围、投标文件中计量单位的使用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eastAsia="宋体" w:cs="宋体"/>
          <w:sz w:val="24"/>
          <w:highlight w:val="none"/>
        </w:rPr>
        <w:t xml:space="preserve">及投标语言</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 xml:space="preserve">无效投标</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9.2除招标文件有特殊要求外，本项目投标所使用的计量单位，应采用中华人民共和国法定计量单位。</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252" w:name="_Toc164608797"/>
      <w:r/>
      <w:bookmarkStart w:id="253" w:name="_Toc127151528"/>
      <w:r/>
      <w:bookmarkStart w:id="254" w:name="_Toc164608642"/>
      <w:r/>
      <w:bookmarkStart w:id="255" w:name="_Toc195842893"/>
      <w:r/>
      <w:bookmarkStart w:id="256" w:name="_Toc226337224"/>
      <w:r/>
      <w:bookmarkStart w:id="257" w:name="_Toc150774628"/>
      <w:r/>
      <w:bookmarkStart w:id="258" w:name="_Toc127151729"/>
      <w:r/>
      <w:bookmarkStart w:id="259" w:name="_Toc127161442"/>
      <w:r/>
      <w:bookmarkStart w:id="260" w:name="_Toc151193698"/>
      <w:r/>
      <w:bookmarkStart w:id="261" w:name="_Toc151193626"/>
      <w:r/>
      <w:bookmarkStart w:id="262" w:name="_Toc142311030"/>
      <w:r/>
      <w:bookmarkStart w:id="263" w:name="_Toc150480766"/>
      <w:r/>
      <w:bookmarkStart w:id="264" w:name="_Toc151193916"/>
      <w:r/>
      <w:bookmarkStart w:id="265" w:name="_Toc264969218"/>
      <w:r/>
      <w:bookmarkStart w:id="266" w:name="_Toc164351622"/>
      <w:r/>
      <w:bookmarkStart w:id="267" w:name="_Toc305158870"/>
      <w:r/>
      <w:bookmarkStart w:id="268" w:name="_Toc164229369"/>
      <w:r/>
      <w:bookmarkStart w:id="269" w:name="_Toc150509279"/>
      <w:r/>
      <w:bookmarkStart w:id="270" w:name="_Toc151190155"/>
      <w:r/>
      <w:bookmarkStart w:id="271" w:name="_Toc164229223"/>
      <w:r/>
      <w:bookmarkStart w:id="272" w:name="_Toc150774733"/>
      <w:r/>
      <w:bookmarkStart w:id="273" w:name="_Toc151193842"/>
      <w:r/>
      <w:bookmarkStart w:id="274" w:name="_Toc226309772"/>
      <w:r/>
      <w:bookmarkStart w:id="275" w:name="_Toc520356152"/>
      <w:r/>
      <w:bookmarkStart w:id="276" w:name="_Toc149720821"/>
      <w:r/>
      <w:bookmarkStart w:id="277" w:name="_Toc151193770"/>
      <w:r/>
      <w:bookmarkStart w:id="278" w:name="_Toc305158796"/>
      <w:r/>
      <w:bookmarkStart w:id="279" w:name="_Toc226965718"/>
      <w:r/>
      <w:bookmarkStart w:id="280" w:name="_Toc265228366"/>
      <w:r/>
      <w:bookmarkStart w:id="281" w:name="_Ref467306676"/>
      <w:r/>
      <w:bookmarkStart w:id="282" w:name="_Toc516367022"/>
      <w:r/>
      <w:bookmarkStart w:id="283" w:name="_Toc226965801"/>
      <w:r/>
      <w:bookmarkStart w:id="284" w:name="_Ref467306195"/>
      <w:r>
        <w:rPr>
          <w:rFonts w:hint="eastAsia" w:ascii="宋体" w:hAnsi="宋体" w:eastAsia="宋体" w:cs="宋体"/>
          <w:sz w:val="24"/>
          <w:highlight w:val="none"/>
        </w:rPr>
        <w:t xml:space="preserve">10投标文件</w:t>
      </w:r>
      <w:bookmarkEnd w:id="281"/>
      <w:r/>
      <w:bookmarkEnd w:id="282"/>
      <w:r/>
      <w:bookmarkEnd w:id="284"/>
      <w:r>
        <w:rPr>
          <w:rFonts w:hint="eastAsia" w:ascii="宋体" w:hAnsi="宋体" w:eastAsia="宋体" w:cs="宋体"/>
          <w:sz w:val="24"/>
          <w:highlight w:val="none"/>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3"/>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bookmarkStart w:id="285" w:name="_Ref467052588"/>
      <w:r>
        <w:rPr>
          <w:rFonts w:hint="eastAsia" w:ascii="宋体" w:hAnsi="宋体" w:eastAsia="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10.3第四章《评标程序、评标方法和评标标准》中涉及的证明文件。</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10.5投标人认为应附的其他材料。</w:t>
      </w:r>
      <w:bookmarkEnd w:id="285"/>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286" w:name="_Toc151193844"/>
      <w:r/>
      <w:bookmarkStart w:id="287" w:name="_Toc127151530"/>
      <w:r/>
      <w:bookmarkStart w:id="288" w:name="_Toc520356155"/>
      <w:r/>
      <w:bookmarkStart w:id="289" w:name="_Toc127151731"/>
      <w:r/>
      <w:bookmarkStart w:id="290" w:name="_Toc164229225"/>
      <w:r/>
      <w:bookmarkStart w:id="291" w:name="_Toc150774735"/>
      <w:r/>
      <w:bookmarkStart w:id="292" w:name="_Toc151193700"/>
      <w:r/>
      <w:bookmarkStart w:id="293" w:name="_Toc164608799"/>
      <w:r/>
      <w:bookmarkStart w:id="294" w:name="_Toc142311032"/>
      <w:r/>
      <w:bookmarkStart w:id="295" w:name="_Toc151190157"/>
      <w:r/>
      <w:bookmarkStart w:id="296" w:name="_Toc195842895"/>
      <w:r/>
      <w:bookmarkStart w:id="297" w:name="_Toc164351624"/>
      <w:r/>
      <w:bookmarkStart w:id="298" w:name="_Toc150774630"/>
      <w:r/>
      <w:bookmarkStart w:id="299" w:name="_Toc150509281"/>
      <w:r/>
      <w:bookmarkStart w:id="300" w:name="_Toc164229371"/>
      <w:r/>
      <w:bookmarkStart w:id="301" w:name="_Toc151193772"/>
      <w:r/>
      <w:bookmarkStart w:id="302" w:name="_Toc151193628"/>
      <w:r/>
      <w:bookmarkStart w:id="303" w:name="_Toc151193918"/>
      <w:r/>
      <w:bookmarkStart w:id="304" w:name="_Toc127161444"/>
      <w:r/>
      <w:bookmarkStart w:id="305" w:name="_Toc164608644"/>
      <w:r/>
      <w:bookmarkStart w:id="306" w:name="_Toc150480768"/>
      <w:r/>
      <w:bookmarkStart w:id="307" w:name="_Toc149720823"/>
      <w:r>
        <w:rPr>
          <w:rFonts w:hint="eastAsia" w:ascii="宋体" w:hAnsi="宋体" w:eastAsia="宋体" w:cs="宋体"/>
          <w:sz w:val="24"/>
          <w:highlight w:val="none"/>
        </w:rPr>
        <w:t xml:space="preserve">11投标报价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11.1所有投标均以人民币报价。</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sz w:val="24"/>
          <w:highlight w:val="none"/>
        </w:rPr>
      </w:r>
      <w:r/>
    </w:p>
    <w:p>
      <w:pPr>
        <w:pStyle w:val="1209"/>
        <w:contextualSpacing/>
        <w:ind w:left="-2" w:firstLine="482"/>
        <w:jc w:val="left"/>
        <w:spacing w:line="360" w:lineRule="auto"/>
        <w:tabs>
          <w:tab w:val="left" w:pos="567" w:leader="none"/>
        </w:tabs>
        <w:rPr>
          <w:rFonts w:hint="eastAsia" w:ascii="宋体" w:hAnsi="宋体" w:eastAsia="宋体" w:cs="宋体"/>
          <w:iCs/>
          <w:sz w:val="24"/>
          <w:highlight w:val="none"/>
          <w:lang w:bidi="ar"/>
        </w:rPr>
      </w:pPr>
      <w:r>
        <w:rPr>
          <w:rFonts w:hint="eastAsia" w:ascii="宋体" w:hAnsi="宋体" w:eastAsia="宋体" w:cs="宋体"/>
          <w:sz w:val="24"/>
          <w:highlight w:val="none"/>
        </w:rPr>
        <w:t xml:space="preserve">11.3</w:t>
      </w:r>
      <w:r>
        <w:rPr>
          <w:rFonts w:hint="eastAsia" w:ascii="宋体" w:hAnsi="宋体" w:eastAsia="宋体" w:cs="宋体"/>
          <w:iCs/>
          <w:sz w:val="24"/>
          <w:highlight w:val="none"/>
          <w:lang w:bidi="ar"/>
        </w:rPr>
        <w:t xml:space="preserve">本项目报价包括但不限于</w:t>
      </w:r>
      <w:r>
        <w:rPr>
          <w:rFonts w:hint="eastAsia" w:ascii="宋体" w:hAnsi="宋体" w:eastAsia="宋体" w:cs="宋体"/>
          <w:iCs/>
          <w:sz w:val="24"/>
          <w:highlight w:val="none"/>
          <w:lang w:val="en-US" w:eastAsia="zh-CN" w:bidi="ar"/>
        </w:rPr>
        <w:t xml:space="preserve">招标</w:t>
      </w:r>
      <w:r>
        <w:rPr>
          <w:rFonts w:hint="eastAsia" w:ascii="宋体" w:hAnsi="宋体" w:eastAsia="宋体" w:cs="宋体"/>
          <w:iCs/>
          <w:sz w:val="24"/>
          <w:highlight w:val="none"/>
          <w:lang w:bidi="ar"/>
        </w:rPr>
        <w:t xml:space="preserve">文件及技术要求范围内相应设备制造前的准备(包括现场踏勘、技术核对等)、产品(包括材料、附件、备品备件、专用工具等)、设计、制造、加工、检验、包装、技术资料、发货、运输、保险、检测验收、装卸、安装、设备自身调试、技术指导培训、售后服务、质保期及维保服务、应缴纳的各项税款(包括但不限于增值税及其他税费)、政策性文件规定及合同包含的所有风险、责任和</w:t>
      </w:r>
      <w:r>
        <w:rPr>
          <w:rFonts w:hint="eastAsia" w:ascii="宋体" w:hAnsi="宋体" w:eastAsia="宋体" w:cs="宋体"/>
          <w:iCs/>
          <w:sz w:val="24"/>
          <w:highlight w:val="none"/>
          <w:lang w:val="en-US" w:eastAsia="zh-CN" w:bidi="ar"/>
        </w:rPr>
        <w:t xml:space="preserve">招标</w:t>
      </w:r>
      <w:r>
        <w:rPr>
          <w:rFonts w:hint="eastAsia" w:ascii="宋体" w:hAnsi="宋体" w:eastAsia="宋体" w:cs="宋体"/>
          <w:iCs/>
          <w:sz w:val="24"/>
          <w:highlight w:val="none"/>
          <w:lang w:bidi="ar"/>
        </w:rPr>
        <w:t xml:space="preserve">文件所要求的相关服务等全部内容。</w:t>
      </w:r>
      <w:r>
        <w:rPr>
          <w:rFonts w:hint="eastAsia" w:ascii="宋体" w:hAnsi="宋体" w:eastAsia="宋体" w:cs="宋体"/>
          <w:iCs/>
          <w:sz w:val="24"/>
          <w:highlight w:val="none"/>
          <w:lang w:val="en-US" w:eastAsia="zh-CN" w:bidi="ar"/>
        </w:rPr>
        <w:t xml:space="preserve">招标</w:t>
      </w:r>
      <w:r>
        <w:rPr>
          <w:rFonts w:hint="eastAsia" w:ascii="宋体" w:hAnsi="宋体" w:eastAsia="宋体" w:cs="宋体"/>
          <w:iCs/>
          <w:sz w:val="24"/>
          <w:highlight w:val="none"/>
          <w:lang w:bidi="ar"/>
        </w:rPr>
        <w:t xml:space="preserve">人不再支付其他任何费用。安装、调试、验收过程中，如发现有漏项、缺件，中标人应无条件、无偿补齐，所发生的一切费用，视为已包含在报价中，且并不因此而影响交付实际使用人的时间。</w:t>
      </w:r>
      <w:r>
        <w:rPr>
          <w:rFonts w:hint="eastAsia" w:ascii="宋体" w:hAnsi="宋体" w:eastAsia="宋体" w:cs="宋体"/>
          <w:iCs/>
          <w:sz w:val="24"/>
          <w:highlight w:val="none"/>
          <w:lang w:bidi="ar"/>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11.4采购人不得向供应商索要或者接受其给予的赠品、回扣或者与采购无关的其他商品、服务。</w:t>
      </w:r>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11.5投标人不能提供任何有选择性或可调整的报价，否则其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308" w:name="_Toc151193629"/>
      <w:r/>
      <w:bookmarkStart w:id="309" w:name="_Toc150509282"/>
      <w:r/>
      <w:bookmarkStart w:id="310" w:name="_Toc265228369"/>
      <w:r/>
      <w:bookmarkStart w:id="311" w:name="_Toc164608800"/>
      <w:r/>
      <w:bookmarkStart w:id="312" w:name="_Toc226965804"/>
      <w:r/>
      <w:bookmarkStart w:id="313" w:name="_Toc127161445"/>
      <w:r/>
      <w:bookmarkStart w:id="314" w:name="_Toc150774736"/>
      <w:r/>
      <w:bookmarkStart w:id="315" w:name="_Toc151193919"/>
      <w:r/>
      <w:bookmarkStart w:id="316" w:name="_Ref467306513"/>
      <w:r/>
      <w:bookmarkStart w:id="317" w:name="_Toc226309775"/>
      <w:r/>
      <w:bookmarkStart w:id="318" w:name="_Toc151190158"/>
      <w:r/>
      <w:bookmarkStart w:id="319" w:name="_Toc164351625"/>
      <w:r/>
      <w:bookmarkStart w:id="320" w:name="_Toc127151732"/>
      <w:r/>
      <w:bookmarkStart w:id="321" w:name="_Toc305158799"/>
      <w:r/>
      <w:bookmarkStart w:id="322" w:name="_Toc151193773"/>
      <w:r/>
      <w:bookmarkStart w:id="323" w:name="_Toc127151531"/>
      <w:r/>
      <w:bookmarkStart w:id="324" w:name="_Toc149720824"/>
      <w:r/>
      <w:bookmarkStart w:id="325" w:name="_Toc226337227"/>
      <w:r/>
      <w:bookmarkStart w:id="326" w:name="_Toc305158873"/>
      <w:r/>
      <w:bookmarkStart w:id="327" w:name="_Toc150774631"/>
      <w:r/>
      <w:bookmarkStart w:id="328" w:name="_Toc226965721"/>
      <w:r/>
      <w:bookmarkStart w:id="329" w:name="_Toc164608645"/>
      <w:r/>
      <w:bookmarkStart w:id="330" w:name="_Toc264969221"/>
      <w:r/>
      <w:bookmarkStart w:id="331" w:name="_Toc151193701"/>
      <w:r/>
      <w:bookmarkStart w:id="332" w:name="_Toc142311033"/>
      <w:r/>
      <w:bookmarkStart w:id="333" w:name="_Toc195842896"/>
      <w:r/>
      <w:bookmarkStart w:id="334" w:name="_Toc164229372"/>
      <w:r/>
      <w:bookmarkStart w:id="335" w:name="_Toc151193845"/>
      <w:r/>
      <w:bookmarkStart w:id="336" w:name="_Toc520356156"/>
      <w:r/>
      <w:bookmarkStart w:id="337" w:name="_Toc150480769"/>
      <w:r/>
      <w:bookmarkStart w:id="338" w:name="_Toc164229226"/>
      <w:r>
        <w:rPr>
          <w:rFonts w:hint="eastAsia" w:ascii="宋体" w:hAnsi="宋体" w:eastAsia="宋体" w:cs="宋体"/>
          <w:sz w:val="24"/>
          <w:highlight w:val="none"/>
        </w:rPr>
        <w:t xml:space="preserve">12投标保证金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eastAsia="宋体" w:cs="宋体"/>
          <w:sz w:val="24"/>
          <w:highlight w:val="none"/>
        </w:rPr>
      </w:r>
      <w:r/>
    </w:p>
    <w:p>
      <w:pPr>
        <w:pStyle w:val="769"/>
        <w:numPr>
          <w:ilvl w:val="1"/>
          <w:numId w:val="0"/>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根据江苏省和常州市的相关文件规定，免收投标保证金。</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339" w:name="_Toc150509283"/>
      <w:r/>
      <w:bookmarkStart w:id="340" w:name="_Toc150480770"/>
      <w:r/>
      <w:bookmarkStart w:id="341" w:name="_Toc265228370"/>
      <w:r/>
      <w:bookmarkStart w:id="342" w:name="_Toc164608801"/>
      <w:r/>
      <w:bookmarkStart w:id="343" w:name="_Toc150774632"/>
      <w:r/>
      <w:bookmarkStart w:id="344" w:name="_Toc164229227"/>
      <w:r/>
      <w:bookmarkStart w:id="345" w:name="_Toc520356157"/>
      <w:r/>
      <w:bookmarkStart w:id="346" w:name="_Toc226337228"/>
      <w:r/>
      <w:bookmarkStart w:id="347" w:name="_Toc195842897"/>
      <w:r/>
      <w:bookmarkStart w:id="348" w:name="_Toc149720825"/>
      <w:r/>
      <w:bookmarkStart w:id="349" w:name="_Toc127151532"/>
      <w:r/>
      <w:bookmarkStart w:id="350" w:name="_Toc305158874"/>
      <w:r/>
      <w:bookmarkStart w:id="351" w:name="_Toc264969222"/>
      <w:r/>
      <w:bookmarkStart w:id="352" w:name="_Toc164229373"/>
      <w:r/>
      <w:bookmarkStart w:id="353" w:name="_Toc151193702"/>
      <w:r/>
      <w:bookmarkStart w:id="354" w:name="_Toc142311034"/>
      <w:r/>
      <w:bookmarkStart w:id="355" w:name="_Toc151190159"/>
      <w:r/>
      <w:bookmarkStart w:id="356" w:name="_Toc127161446"/>
      <w:r/>
      <w:bookmarkStart w:id="357" w:name="_Toc226965805"/>
      <w:r/>
      <w:bookmarkStart w:id="358" w:name="_Toc164351626"/>
      <w:r/>
      <w:bookmarkStart w:id="359" w:name="_Toc151193920"/>
      <w:r/>
      <w:bookmarkStart w:id="360" w:name="_Toc305158800"/>
      <w:r/>
      <w:bookmarkStart w:id="361" w:name="_Toc151193630"/>
      <w:r/>
      <w:bookmarkStart w:id="362" w:name="_Toc127151733"/>
      <w:r/>
      <w:bookmarkStart w:id="363" w:name="_Toc164608646"/>
      <w:r/>
      <w:bookmarkStart w:id="364" w:name="_Toc150774737"/>
      <w:r/>
      <w:bookmarkStart w:id="365" w:name="_Toc151193774"/>
      <w:r/>
      <w:bookmarkStart w:id="366" w:name="_Toc151193846"/>
      <w:r/>
      <w:bookmarkStart w:id="367" w:name="_Toc226309776"/>
      <w:r/>
      <w:bookmarkStart w:id="368" w:name="_Toc226965722"/>
      <w:r>
        <w:rPr>
          <w:rFonts w:hint="eastAsia" w:ascii="宋体" w:hAnsi="宋体" w:eastAsia="宋体" w:cs="宋体"/>
          <w:sz w:val="24"/>
          <w:highlight w:val="none"/>
        </w:rPr>
        <w:t xml:space="preserve">13投标有效期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369" w:name="_Toc305158801"/>
      <w:r/>
      <w:bookmarkStart w:id="370" w:name="_Toc226965806"/>
      <w:r/>
      <w:bookmarkStart w:id="371" w:name="_Toc151193921"/>
      <w:r/>
      <w:bookmarkStart w:id="372" w:name="_Toc151190160"/>
      <w:r/>
      <w:bookmarkStart w:id="373" w:name="_Toc151193631"/>
      <w:r/>
      <w:bookmarkStart w:id="374" w:name="_Toc164608647"/>
      <w:r/>
      <w:bookmarkStart w:id="375" w:name="_Toc265228371"/>
      <w:r/>
      <w:bookmarkStart w:id="376" w:name="_Toc226965723"/>
      <w:r/>
      <w:bookmarkStart w:id="377" w:name="_Toc520356158"/>
      <w:r/>
      <w:bookmarkStart w:id="378" w:name="_Toc305158875"/>
      <w:r/>
      <w:bookmarkStart w:id="379" w:name="_Toc150774633"/>
      <w:r/>
      <w:bookmarkStart w:id="380" w:name="_Toc164351627"/>
      <w:r/>
      <w:bookmarkStart w:id="381" w:name="_Toc127151734"/>
      <w:r/>
      <w:bookmarkStart w:id="382" w:name="_Toc151193847"/>
      <w:r/>
      <w:bookmarkStart w:id="383" w:name="_Toc164229374"/>
      <w:r/>
      <w:bookmarkStart w:id="384" w:name="_Toc226309777"/>
      <w:r/>
      <w:bookmarkStart w:id="385" w:name="_Toc127151533"/>
      <w:r/>
      <w:bookmarkStart w:id="386" w:name="_Toc151193703"/>
      <w:r/>
      <w:bookmarkStart w:id="387" w:name="_Toc226337229"/>
      <w:r/>
      <w:bookmarkStart w:id="388" w:name="_Toc150480771"/>
      <w:r/>
      <w:bookmarkStart w:id="389" w:name="_Toc164229228"/>
      <w:r/>
      <w:bookmarkStart w:id="390" w:name="_Toc164608802"/>
      <w:r/>
      <w:bookmarkStart w:id="391" w:name="_Toc127161447"/>
      <w:r/>
      <w:bookmarkStart w:id="392" w:name="_Toc195842898"/>
      <w:r/>
      <w:bookmarkStart w:id="393" w:name="_Toc264969223"/>
      <w:r/>
      <w:bookmarkStart w:id="394" w:name="_Toc149720826"/>
      <w:r/>
      <w:bookmarkStart w:id="395" w:name="_Toc142311035"/>
      <w:r/>
      <w:bookmarkStart w:id="396" w:name="_Toc151193775"/>
      <w:r/>
      <w:bookmarkStart w:id="397" w:name="_Toc150774738"/>
      <w:r/>
      <w:bookmarkStart w:id="398" w:name="_Toc150509284"/>
      <w:r>
        <w:rPr>
          <w:rFonts w:hint="eastAsia" w:ascii="宋体" w:hAnsi="宋体" w:eastAsia="宋体" w:cs="宋体"/>
          <w:sz w:val="24"/>
          <w:highlight w:val="none"/>
        </w:rPr>
        <w:t xml:space="preserve">14投标文件的签署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eastAsia="宋体" w:cs="宋体"/>
          <w:sz w:val="24"/>
          <w:highlight w:val="none"/>
        </w:rPr>
        <w:t xml:space="preserve">、加盖公章</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bookmarkStart w:id="399" w:name="_Toc150509285"/>
      <w:r/>
      <w:bookmarkStart w:id="400" w:name="_Toc151193632"/>
      <w:r/>
      <w:bookmarkStart w:id="401" w:name="_Toc226965807"/>
      <w:r/>
      <w:bookmarkStart w:id="402" w:name="_Toc151193922"/>
      <w:r/>
      <w:bookmarkStart w:id="403" w:name="_Toc226965724"/>
      <w:r/>
      <w:bookmarkStart w:id="404" w:name="_Toc305158802"/>
      <w:r/>
      <w:bookmarkStart w:id="405" w:name="_Toc151193704"/>
      <w:r/>
      <w:bookmarkStart w:id="406" w:name="_Toc142311036"/>
      <w:r/>
      <w:bookmarkStart w:id="407" w:name="_Toc150480772"/>
      <w:r/>
      <w:bookmarkStart w:id="408" w:name="_Toc264969224"/>
      <w:r/>
      <w:bookmarkStart w:id="409" w:name="_Toc226309778"/>
      <w:r/>
      <w:bookmarkStart w:id="410" w:name="_Toc151190161"/>
      <w:r/>
      <w:bookmarkStart w:id="411" w:name="_Toc151193848"/>
      <w:r/>
      <w:bookmarkStart w:id="412" w:name="_Toc127151534"/>
      <w:r/>
      <w:bookmarkStart w:id="413" w:name="_Toc150774634"/>
      <w:r/>
      <w:bookmarkStart w:id="414" w:name="_Toc265228372"/>
      <w:r/>
      <w:bookmarkStart w:id="415" w:name="_Toc305158876"/>
      <w:r/>
      <w:bookmarkStart w:id="416" w:name="_Toc520356159"/>
      <w:r/>
      <w:bookmarkStart w:id="417" w:name="_Toc151193776"/>
      <w:r/>
      <w:bookmarkStart w:id="418" w:name="_Toc195842899"/>
      <w:r/>
      <w:bookmarkStart w:id="419" w:name="_Toc150774739"/>
      <w:r/>
      <w:bookmarkStart w:id="420" w:name="_Toc226337230"/>
      <w:r>
        <w:rPr>
          <w:rFonts w:hint="eastAsia" w:ascii="宋体" w:hAnsi="宋体" w:eastAsia="宋体" w:cs="宋体"/>
          <w:sz w:val="24"/>
          <w:highlight w:val="none"/>
        </w:rPr>
        <w:t xml:space="preserve">14.1招标文件要求签字的内容（如授权委托书等），可以使用电子签章或使用原件的电子件（电子件指</w:t>
      </w:r>
      <w:r>
        <w:rPr>
          <w:rFonts w:hint="eastAsia" w:ascii="宋体" w:hAnsi="宋体" w:eastAsia="宋体" w:cs="宋体"/>
          <w:sz w:val="24"/>
          <w:highlight w:val="none"/>
          <w:lang w:eastAsia="zh-CN"/>
        </w:rPr>
        <w:t xml:space="preserve">复印件</w:t>
      </w:r>
      <w:r>
        <w:rPr>
          <w:rFonts w:hint="eastAsia" w:ascii="宋体" w:hAnsi="宋体" w:eastAsia="宋体" w:cs="宋体"/>
          <w:sz w:val="24"/>
          <w:highlight w:val="none"/>
        </w:rPr>
        <w:t xml:space="preserve">、照片等形式电子文件）；要求第三方出具的加盖公章原件（如联合协议、分包意向协议、制造商授权书等），投标文件中应使用原件的电子件。</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highlight w:val="none"/>
        </w:rPr>
      </w:pPr>
      <w:r>
        <w:rPr>
          <w:rFonts w:hint="eastAsia" w:ascii="宋体" w:hAnsi="宋体" w:eastAsia="宋体" w:cs="宋体"/>
          <w:sz w:val="24"/>
          <w:highlight w:val="none"/>
        </w:rPr>
        <w:t xml:space="preserve">14.2招标文件要求加盖公章的内容，一般通过投标文件编制工具加盖电子签章。</w:t>
      </w:r>
      <w:r>
        <w:rPr>
          <w:rFonts w:hint="eastAsia" w:ascii="宋体" w:hAnsi="宋体" w:eastAsia="宋体" w:cs="宋体"/>
          <w:highlight w:val="none"/>
        </w:rPr>
      </w:r>
      <w:r/>
    </w:p>
    <w:p>
      <w:pPr>
        <w:pStyle w:val="769"/>
        <w:ind w:left="357"/>
        <w:spacing w:line="360" w:lineRule="auto"/>
        <w:tabs>
          <w:tab w:val="left" w:pos="900" w:leader="none"/>
          <w:tab w:val="left" w:pos="1080" w:leader="none"/>
        </w:tabs>
        <w:rPr>
          <w:rFonts w:hint="eastAsia" w:ascii="宋体" w:hAnsi="宋体" w:eastAsia="宋体" w:cs="宋体"/>
          <w:highlight w:val="none"/>
        </w:rPr>
      </w:pPr>
      <w:r>
        <w:rPr>
          <w:rFonts w:hint="eastAsia" w:ascii="宋体" w:hAnsi="宋体" w:eastAsia="宋体" w:cs="宋体"/>
          <w:highlight w:val="none"/>
        </w:rPr>
      </w:r>
      <w:r/>
    </w:p>
    <w:p>
      <w:pPr>
        <w:pStyle w:val="985"/>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sz w:val="28"/>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421" w:name="_Toc151193777"/>
      <w:r/>
      <w:bookmarkStart w:id="422" w:name="_Toc151193633"/>
      <w:r/>
      <w:bookmarkStart w:id="423" w:name="_Toc164608649"/>
      <w:r/>
      <w:bookmarkStart w:id="424" w:name="_Toc149720828"/>
      <w:r/>
      <w:bookmarkStart w:id="425" w:name="_Toc305158877"/>
      <w:r/>
      <w:bookmarkStart w:id="426" w:name="_Toc164229230"/>
      <w:r/>
      <w:bookmarkStart w:id="427" w:name="_Toc305158803"/>
      <w:r/>
      <w:bookmarkStart w:id="428" w:name="_Toc164608804"/>
      <w:r/>
      <w:bookmarkStart w:id="429" w:name="_Toc151193849"/>
      <w:r/>
      <w:bookmarkStart w:id="430" w:name="_Toc127161449"/>
      <w:r/>
      <w:bookmarkStart w:id="431" w:name="_Toc195842900"/>
      <w:r/>
      <w:bookmarkStart w:id="432" w:name="_Toc150774635"/>
      <w:r/>
      <w:bookmarkStart w:id="433" w:name="_Toc164351629"/>
      <w:r/>
      <w:bookmarkStart w:id="434" w:name="_Toc520356160"/>
      <w:r/>
      <w:bookmarkStart w:id="435" w:name="_Toc142311037"/>
      <w:r/>
      <w:bookmarkStart w:id="436" w:name="_Toc151193705"/>
      <w:r/>
      <w:bookmarkStart w:id="437" w:name="_Toc151190162"/>
      <w:r/>
      <w:bookmarkStart w:id="438" w:name="_Toc226337231"/>
      <w:r/>
      <w:bookmarkStart w:id="439" w:name="_Toc150774740"/>
      <w:r/>
      <w:bookmarkStart w:id="440" w:name="_Toc226309779"/>
      <w:r/>
      <w:bookmarkStart w:id="441" w:name="_Toc127151535"/>
      <w:r/>
      <w:bookmarkStart w:id="442" w:name="_Toc151193923"/>
      <w:r/>
      <w:bookmarkStart w:id="443" w:name="_Toc164229376"/>
      <w:r/>
      <w:bookmarkStart w:id="444" w:name="_Toc265228373"/>
      <w:r/>
      <w:bookmarkStart w:id="445" w:name="_Toc264969225"/>
      <w:r/>
      <w:bookmarkStart w:id="446" w:name="_Toc226965808"/>
      <w:r/>
      <w:bookmarkStart w:id="447" w:name="_Toc127151736"/>
      <w:r/>
      <w:bookmarkStart w:id="448" w:name="_Toc226965725"/>
      <w:r/>
      <w:bookmarkStart w:id="449" w:name="_Toc150480773"/>
      <w:r/>
      <w:bookmarkStart w:id="450" w:name="_Toc150509286"/>
      <w:r>
        <w:rPr>
          <w:rFonts w:hint="eastAsia" w:ascii="宋体" w:hAnsi="宋体" w:eastAsia="宋体" w:cs="宋体"/>
          <w:sz w:val="24"/>
          <w:highlight w:val="none"/>
        </w:rPr>
        <w:t xml:space="preserve">15投标文件的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sz w:val="24"/>
          <w:highlight w:val="none"/>
        </w:rPr>
        <w:t xml:space="preserve">提交</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15.1本项目使用</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。投标人根据招标文件及</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供应商操作手册要求编制、生成并提交电子投标文件。</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15.2采购人及采购代理机构拒绝接受通过政府采购一体化平台“苏采云”以外任何形式提交的投标文件。</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451" w:name="_Toc520356161"/>
      <w:r/>
      <w:bookmarkStart w:id="452" w:name="_Toc149720829"/>
      <w:r/>
      <w:bookmarkStart w:id="453" w:name="_Toc127151536"/>
      <w:r/>
      <w:bookmarkStart w:id="454" w:name="_Toc127151737"/>
      <w:r/>
      <w:bookmarkStart w:id="455" w:name="_Toc226965809"/>
      <w:r/>
      <w:bookmarkStart w:id="456" w:name="_Toc151193850"/>
      <w:r/>
      <w:bookmarkStart w:id="457" w:name="_Toc151193706"/>
      <w:r/>
      <w:bookmarkStart w:id="458" w:name="_Toc265228374"/>
      <w:r/>
      <w:bookmarkStart w:id="459" w:name="_Toc226309780"/>
      <w:r/>
      <w:bookmarkStart w:id="460" w:name="_Toc142311038"/>
      <w:r/>
      <w:bookmarkStart w:id="461" w:name="_Toc164229231"/>
      <w:r/>
      <w:bookmarkStart w:id="462" w:name="_Toc164351630"/>
      <w:r/>
      <w:bookmarkStart w:id="463" w:name="_Toc150509287"/>
      <w:r/>
      <w:bookmarkStart w:id="464" w:name="_Toc164608650"/>
      <w:r/>
      <w:bookmarkStart w:id="465" w:name="_Toc151190163"/>
      <w:r/>
      <w:bookmarkStart w:id="466" w:name="_Toc305158878"/>
      <w:r/>
      <w:bookmarkStart w:id="467" w:name="_Toc226965726"/>
      <w:r/>
      <w:bookmarkStart w:id="468" w:name="_Toc164608805"/>
      <w:r/>
      <w:bookmarkStart w:id="469" w:name="_Toc150480774"/>
      <w:r/>
      <w:bookmarkStart w:id="470" w:name="_Toc305158804"/>
      <w:r/>
      <w:bookmarkStart w:id="471" w:name="_Toc151193924"/>
      <w:r/>
      <w:bookmarkStart w:id="472" w:name="_Toc264969226"/>
      <w:r/>
      <w:bookmarkStart w:id="473" w:name="_Toc195842901"/>
      <w:r/>
      <w:bookmarkStart w:id="474" w:name="_Toc127161450"/>
      <w:r/>
      <w:bookmarkStart w:id="475" w:name="_Toc151193634"/>
      <w:r/>
      <w:bookmarkStart w:id="476" w:name="_Toc226337232"/>
      <w:r/>
      <w:bookmarkStart w:id="477" w:name="_Toc151193778"/>
      <w:r/>
      <w:bookmarkStart w:id="478" w:name="_Toc150774741"/>
      <w:r/>
      <w:bookmarkStart w:id="479" w:name="_Toc164229377"/>
      <w:r/>
      <w:bookmarkStart w:id="480" w:name="_Toc150774636"/>
      <w:r>
        <w:rPr>
          <w:rFonts w:hint="eastAsia" w:ascii="宋体" w:hAnsi="宋体" w:eastAsia="宋体" w:cs="宋体"/>
          <w:sz w:val="24"/>
          <w:highlight w:val="none"/>
        </w:rPr>
        <w:t xml:space="preserve">16投标截止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4"/>
          <w:highlight w:val="none"/>
        </w:rPr>
        <w:t xml:space="preserve">时间</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16.1投标人应在招标文件要求提交投标文件截止时间前，将电子投标文件提交至政府采购一体化平台“苏采云”。</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481" w:name="_Toc149720830"/>
      <w:r/>
      <w:bookmarkStart w:id="482" w:name="_Toc164608806"/>
      <w:r/>
      <w:bookmarkStart w:id="483" w:name="_Toc151193925"/>
      <w:r/>
      <w:bookmarkStart w:id="484" w:name="_Toc195842902"/>
      <w:r/>
      <w:bookmarkStart w:id="485" w:name="_Toc151193851"/>
      <w:r/>
      <w:bookmarkStart w:id="486" w:name="_Toc127151537"/>
      <w:r/>
      <w:bookmarkStart w:id="487" w:name="_Toc151193707"/>
      <w:r/>
      <w:bookmarkStart w:id="488" w:name="_Toc127161451"/>
      <w:r/>
      <w:bookmarkStart w:id="489" w:name="_Toc264969227"/>
      <w:r/>
      <w:bookmarkStart w:id="490" w:name="_Toc520356162"/>
      <w:r/>
      <w:bookmarkStart w:id="491" w:name="_Toc150774637"/>
      <w:r/>
      <w:bookmarkStart w:id="492" w:name="_Toc226965810"/>
      <w:r/>
      <w:bookmarkStart w:id="493" w:name="_Toc226337233"/>
      <w:r/>
      <w:bookmarkStart w:id="494" w:name="_Toc150480775"/>
      <w:r/>
      <w:bookmarkStart w:id="495" w:name="_Toc226965727"/>
      <w:r/>
      <w:bookmarkStart w:id="496" w:name="_Toc151193635"/>
      <w:r/>
      <w:bookmarkStart w:id="497" w:name="_Toc226309781"/>
      <w:r/>
      <w:bookmarkStart w:id="498" w:name="_Toc164608651"/>
      <w:r/>
      <w:bookmarkStart w:id="499" w:name="_Toc151190164"/>
      <w:r/>
      <w:bookmarkStart w:id="500" w:name="_Toc265228375"/>
      <w:r/>
      <w:bookmarkStart w:id="501" w:name="_Toc305158805"/>
      <w:r/>
      <w:bookmarkStart w:id="502" w:name="_Toc151193779"/>
      <w:r/>
      <w:bookmarkStart w:id="503" w:name="_Toc150509288"/>
      <w:r/>
      <w:bookmarkStart w:id="504" w:name="_Toc164229232"/>
      <w:r/>
      <w:bookmarkStart w:id="505" w:name="_Toc164229378"/>
      <w:r/>
      <w:bookmarkStart w:id="506" w:name="_Toc142311039"/>
      <w:r/>
      <w:bookmarkStart w:id="507" w:name="_Toc127151738"/>
      <w:r/>
      <w:bookmarkStart w:id="508" w:name="_Toc150774742"/>
      <w:r/>
      <w:bookmarkStart w:id="509" w:name="_Toc305158879"/>
      <w:r/>
      <w:bookmarkStart w:id="510" w:name="_Toc164351631"/>
      <w:r>
        <w:rPr>
          <w:rFonts w:hint="eastAsia" w:ascii="宋体" w:hAnsi="宋体" w:eastAsia="宋体" w:cs="宋体"/>
          <w:sz w:val="24"/>
          <w:highlight w:val="none"/>
        </w:rPr>
        <w:t xml:space="preserve">17投标文件的修改与撤回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17.1投标截止时间前，投标人可以通过政府采购一体化平台“苏采云”对所提交的投标文件进行补充、修改或者撤回。</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17.2投标人对投标文件的补充、修改的内容应当按照招标文件要求签署、加盖公章，作为投标文件的组成部分。</w:t>
      </w: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85"/>
        <w:spacing w:before="0" w:line="360" w:lineRule="auto"/>
        <w:rPr>
          <w:rFonts w:hint="eastAsia" w:ascii="宋体" w:hAnsi="宋体" w:eastAsia="宋体" w:cs="宋体"/>
          <w:sz w:val="28"/>
          <w:highlight w:val="none"/>
        </w:rPr>
      </w:pPr>
      <w:r/>
      <w:bookmarkStart w:id="511" w:name="_Toc226965728"/>
      <w:r/>
      <w:bookmarkStart w:id="512" w:name="_Toc151193780"/>
      <w:r/>
      <w:bookmarkStart w:id="513" w:name="_Toc226337234"/>
      <w:r/>
      <w:bookmarkStart w:id="514" w:name="_Toc150509289"/>
      <w:r/>
      <w:bookmarkStart w:id="515" w:name="_Toc151193852"/>
      <w:r/>
      <w:bookmarkStart w:id="516" w:name="_Toc305158880"/>
      <w:r/>
      <w:bookmarkStart w:id="517" w:name="_Toc520356163"/>
      <w:r/>
      <w:bookmarkStart w:id="518" w:name="_Toc150774638"/>
      <w:r/>
      <w:bookmarkStart w:id="519" w:name="_Toc150774743"/>
      <w:r/>
      <w:bookmarkStart w:id="520" w:name="_Toc150480776"/>
      <w:r/>
      <w:bookmarkStart w:id="521" w:name="_Toc226965811"/>
      <w:r/>
      <w:bookmarkStart w:id="522" w:name="_Toc195842903"/>
      <w:r/>
      <w:bookmarkStart w:id="523" w:name="_Toc305158806"/>
      <w:r/>
      <w:bookmarkStart w:id="524" w:name="_Toc265228376"/>
      <w:r/>
      <w:bookmarkStart w:id="525" w:name="_Toc151190165"/>
      <w:r/>
      <w:bookmarkStart w:id="526" w:name="_Toc226309782"/>
      <w:r/>
      <w:bookmarkStart w:id="527" w:name="_Toc151193926"/>
      <w:r/>
      <w:bookmarkStart w:id="528" w:name="_Toc127151538"/>
      <w:r/>
      <w:bookmarkStart w:id="529" w:name="_Toc142311040"/>
      <w:r/>
      <w:bookmarkStart w:id="530" w:name="_Toc151193636"/>
      <w:r/>
      <w:bookmarkStart w:id="531" w:name="_Toc264969228"/>
      <w:r/>
      <w:bookmarkStart w:id="532" w:name="_Toc151193708"/>
      <w:r>
        <w:rPr>
          <w:rFonts w:hint="eastAsia" w:ascii="宋体" w:hAnsi="宋体" w:eastAsia="宋体" w:cs="宋体"/>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sz w:val="28"/>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533" w:name="_Toc305158881"/>
      <w:r/>
      <w:bookmarkStart w:id="534" w:name="_Toc150774744"/>
      <w:r/>
      <w:bookmarkStart w:id="535" w:name="_Toc520356164"/>
      <w:r/>
      <w:bookmarkStart w:id="536" w:name="_Toc151193927"/>
      <w:r/>
      <w:bookmarkStart w:id="537" w:name="_Toc151193637"/>
      <w:r/>
      <w:bookmarkStart w:id="538" w:name="_Toc142311041"/>
      <w:r/>
      <w:bookmarkStart w:id="539" w:name="_Toc164229380"/>
      <w:r/>
      <w:bookmarkStart w:id="540" w:name="_Toc164608808"/>
      <w:r/>
      <w:bookmarkStart w:id="541" w:name="_Toc265228377"/>
      <w:r/>
      <w:bookmarkStart w:id="542" w:name="_Toc226965812"/>
      <w:r/>
      <w:bookmarkStart w:id="543" w:name="_Toc226965729"/>
      <w:r/>
      <w:bookmarkStart w:id="544" w:name="_Toc226309783"/>
      <w:r/>
      <w:bookmarkStart w:id="545" w:name="_Toc164229234"/>
      <w:r/>
      <w:bookmarkStart w:id="546" w:name="_Toc150480777"/>
      <w:r/>
      <w:bookmarkStart w:id="547" w:name="_Toc151190166"/>
      <w:r/>
      <w:bookmarkStart w:id="548" w:name="_Toc151193709"/>
      <w:r/>
      <w:bookmarkStart w:id="549" w:name="_Toc149720832"/>
      <w:r/>
      <w:bookmarkStart w:id="550" w:name="_Toc150774639"/>
      <w:r/>
      <w:bookmarkStart w:id="551" w:name="_Toc127151740"/>
      <w:r/>
      <w:bookmarkStart w:id="552" w:name="_Toc151193781"/>
      <w:r/>
      <w:bookmarkStart w:id="553" w:name="_Toc164351633"/>
      <w:r/>
      <w:bookmarkStart w:id="554" w:name="_Toc195842904"/>
      <w:r/>
      <w:bookmarkStart w:id="555" w:name="_Toc127151539"/>
      <w:r/>
      <w:bookmarkStart w:id="556" w:name="_Toc226337235"/>
      <w:r/>
      <w:bookmarkStart w:id="557" w:name="_Toc164608653"/>
      <w:r/>
      <w:bookmarkStart w:id="558" w:name="_Toc151193853"/>
      <w:r/>
      <w:bookmarkStart w:id="559" w:name="_Toc264969229"/>
      <w:r/>
      <w:bookmarkStart w:id="560" w:name="_Toc150509290"/>
      <w:r/>
      <w:bookmarkStart w:id="561" w:name="_Toc305158807"/>
      <w:r/>
      <w:bookmarkStart w:id="562" w:name="_Toc127161453"/>
      <w:r>
        <w:rPr>
          <w:rFonts w:hint="eastAsia" w:ascii="宋体" w:hAnsi="宋体" w:eastAsia="宋体" w:cs="宋体"/>
          <w:sz w:val="24"/>
          <w:highlight w:val="none"/>
        </w:rPr>
        <w:t xml:space="preserve">18开标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18.1采购人或采购代理机构将按招标文件的规定，在投标截止时间的同一时间和招标文件预先确定的地点组织开标。</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18.2本项目开标采用不见面招投标模式，使用政府采购一体化平台“苏采云”在线进行开标。投标人应在规定的时间内对投标文件进行解密，因非系统原因导致的解密失败，视为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18.3开标过程将使用政府采购一体化平台“苏采云”公布投标人名称、投标价格和招标文件规定的需要宣布的其他内容并进行记录，并由参加开标的各投标人代表在规定时间内确认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eastAsia="宋体" w:cs="宋体"/>
          <w:sz w:val="24"/>
          <w:highlight w:val="none"/>
        </w:rPr>
        <w:t xml:space="preserve">。投标人超过规定时间未确认但是未提出疑义的，系统将视同已确认。</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18.5投标人不足3家的，不予开标。</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18.8如果在采购活动过程中出现以下情形，导致“</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4"/>
          <w:highlight w:val="none"/>
        </w:rPr>
      </w:r>
      <w:r/>
    </w:p>
    <w:p>
      <w:pPr>
        <w:pStyle w:val="769"/>
        <w:ind w:left="357" w:firstLine="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1)平台系统发生故障而无法登录访问的；</w:t>
      </w:r>
      <w:r>
        <w:rPr>
          <w:rFonts w:hint="eastAsia" w:ascii="宋体" w:hAnsi="宋体" w:eastAsia="宋体" w:cs="宋体"/>
          <w:sz w:val="24"/>
          <w:highlight w:val="none"/>
        </w:rPr>
      </w:r>
      <w:r/>
    </w:p>
    <w:p>
      <w:pPr>
        <w:pStyle w:val="769"/>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rPr>
          <w:rFonts w:hint="eastAsia" w:ascii="宋体" w:hAnsi="宋体" w:eastAsia="宋体" w:cs="宋体"/>
          <w:sz w:val="24"/>
          <w:highlight w:val="none"/>
        </w:rPr>
      </w:r>
      <w:r/>
    </w:p>
    <w:p>
      <w:pPr>
        <w:pStyle w:val="769"/>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rPr>
          <w:rFonts w:hint="eastAsia" w:ascii="宋体" w:hAnsi="宋体" w:eastAsia="宋体" w:cs="宋体"/>
          <w:sz w:val="24"/>
          <w:highlight w:val="none"/>
        </w:rPr>
      </w:r>
      <w:r/>
    </w:p>
    <w:p>
      <w:pPr>
        <w:pStyle w:val="769"/>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rPr>
          <w:rFonts w:hint="eastAsia" w:ascii="宋体" w:hAnsi="宋体" w:eastAsia="宋体" w:cs="宋体"/>
          <w:sz w:val="24"/>
          <w:highlight w:val="none"/>
        </w:rPr>
      </w:r>
      <w:r/>
    </w:p>
    <w:p>
      <w:pPr>
        <w:pStyle w:val="769"/>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rPr>
          <w:rFonts w:hint="eastAsia" w:ascii="宋体" w:hAnsi="宋体" w:eastAsia="宋体" w:cs="宋体"/>
          <w:sz w:val="24"/>
          <w:highlight w:val="none"/>
        </w:rPr>
      </w:r>
      <w:r/>
    </w:p>
    <w:p>
      <w:pPr>
        <w:pStyle w:val="769"/>
        <w:ind w:left="1134"/>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19资格审查</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19.1见第三章《资格审查》。</w:t>
      </w:r>
      <w:bookmarkEnd w:id="563"/>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564" w:name="_Toc151190167"/>
      <w:r/>
      <w:bookmarkStart w:id="565" w:name="_Toc151193710"/>
      <w:r/>
      <w:bookmarkStart w:id="566" w:name="_Toc127151741"/>
      <w:r/>
      <w:bookmarkStart w:id="567" w:name="_Toc127161454"/>
      <w:r/>
      <w:bookmarkStart w:id="568" w:name="_Toc150480778"/>
      <w:r/>
      <w:bookmarkStart w:id="569" w:name="_Toc151193928"/>
      <w:r/>
      <w:bookmarkStart w:id="570" w:name="_Toc265228378"/>
      <w:r/>
      <w:bookmarkStart w:id="571" w:name="_Toc142311042"/>
      <w:r/>
      <w:bookmarkStart w:id="572" w:name="_Toc164229235"/>
      <w:r/>
      <w:bookmarkStart w:id="573" w:name="_Toc164608654"/>
      <w:r/>
      <w:bookmarkStart w:id="574" w:name="_Toc151193854"/>
      <w:r/>
      <w:bookmarkStart w:id="575" w:name="_Toc305158882"/>
      <w:r/>
      <w:bookmarkStart w:id="576" w:name="_Toc164608809"/>
      <w:r/>
      <w:bookmarkStart w:id="577" w:name="_Toc195842905"/>
      <w:r/>
      <w:bookmarkStart w:id="578" w:name="_Toc226309784"/>
      <w:r/>
      <w:bookmarkStart w:id="579" w:name="_Toc226965730"/>
      <w:r/>
      <w:bookmarkStart w:id="580" w:name="_Toc149720833"/>
      <w:r/>
      <w:bookmarkStart w:id="581" w:name="_Toc150774640"/>
      <w:r/>
      <w:bookmarkStart w:id="582" w:name="_Toc264969230"/>
      <w:r/>
      <w:bookmarkStart w:id="583" w:name="_Toc164229381"/>
      <w:r/>
      <w:bookmarkStart w:id="584" w:name="_Toc305158808"/>
      <w:r/>
      <w:bookmarkStart w:id="585" w:name="_Toc127151540"/>
      <w:r/>
      <w:bookmarkStart w:id="586" w:name="_Toc164351634"/>
      <w:r/>
      <w:bookmarkStart w:id="587" w:name="_Toc151193638"/>
      <w:r/>
      <w:bookmarkStart w:id="588" w:name="_Toc151193782"/>
      <w:r/>
      <w:bookmarkStart w:id="589" w:name="_Toc150774745"/>
      <w:r/>
      <w:bookmarkStart w:id="590" w:name="_Toc226337236"/>
      <w:r/>
      <w:bookmarkStart w:id="591" w:name="_Toc150509291"/>
      <w:r/>
      <w:bookmarkStart w:id="592" w:name="_Toc226965813"/>
      <w:r>
        <w:rPr>
          <w:rFonts w:hint="eastAsia" w:ascii="宋体" w:hAnsi="宋体" w:eastAsia="宋体" w:cs="宋体"/>
          <w:sz w:val="24"/>
          <w:highlight w:val="none"/>
        </w:rPr>
        <w:t xml:space="preserve">20评标委员会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20.1评标委员会根据政府采购有关规定和本次招标采购项目的特点进行组建，并负责具体评标事务，独立履行职责。</w:t>
      </w:r>
      <w:bookmarkStart w:id="593" w:name="_Toc520356166"/>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21评标程序、评标方法和评标标准</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21.1见第四章《评标程序、评标方法和评标标准》。</w:t>
      </w:r>
      <w:r>
        <w:rPr>
          <w:rFonts w:hint="eastAsia" w:ascii="宋体" w:hAnsi="宋体" w:eastAsia="宋体" w:cs="宋体"/>
          <w:sz w:val="24"/>
          <w:highlight w:val="none"/>
        </w:rPr>
      </w:r>
      <w:r/>
    </w:p>
    <w:p>
      <w:pPr>
        <w:pStyle w:val="985"/>
        <w:spacing w:before="0" w:line="360" w:lineRule="auto"/>
        <w:rPr>
          <w:rFonts w:hint="eastAsia" w:ascii="宋体" w:hAnsi="宋体" w:eastAsia="宋体" w:cs="宋体"/>
          <w:sz w:val="28"/>
          <w:highlight w:val="none"/>
        </w:rPr>
      </w:pPr>
      <w:r/>
      <w:bookmarkStart w:id="595" w:name="_Toc150480783"/>
      <w:r/>
      <w:bookmarkStart w:id="596" w:name="_Toc151193859"/>
      <w:r/>
      <w:bookmarkStart w:id="597" w:name="_Toc151193787"/>
      <w:r/>
      <w:bookmarkStart w:id="598" w:name="_Toc151190172"/>
      <w:r/>
      <w:bookmarkStart w:id="599" w:name="_Toc265228383"/>
      <w:r/>
      <w:bookmarkStart w:id="600" w:name="_Toc226337241"/>
      <w:r/>
      <w:bookmarkStart w:id="601" w:name="_Toc150774645"/>
      <w:r/>
      <w:bookmarkStart w:id="602" w:name="_Toc142311047"/>
      <w:r/>
      <w:bookmarkStart w:id="603" w:name="_Toc264969235"/>
      <w:r/>
      <w:bookmarkStart w:id="604" w:name="_Toc226965735"/>
      <w:r/>
      <w:bookmarkStart w:id="605" w:name="_Toc226309789"/>
      <w:r/>
      <w:bookmarkStart w:id="606" w:name="_Toc150509296"/>
      <w:r/>
      <w:bookmarkStart w:id="607" w:name="_Toc150774750"/>
      <w:r/>
      <w:bookmarkStart w:id="608" w:name="_Toc151193643"/>
      <w:r/>
      <w:bookmarkStart w:id="609" w:name="_Toc151193933"/>
      <w:r/>
      <w:bookmarkStart w:id="610" w:name="_Toc305158887"/>
      <w:r/>
      <w:bookmarkStart w:id="611" w:name="_Toc151193715"/>
      <w:r/>
      <w:bookmarkStart w:id="612" w:name="_Toc195842910"/>
      <w:r/>
      <w:bookmarkStart w:id="613" w:name="_Toc127151545"/>
      <w:r/>
      <w:bookmarkStart w:id="614" w:name="_Toc305158813"/>
      <w:r/>
      <w:bookmarkStart w:id="615" w:name="_Toc226965818"/>
      <w:r>
        <w:rPr>
          <w:rFonts w:hint="eastAsia" w:ascii="宋体" w:hAnsi="宋体" w:eastAsia="宋体" w:cs="宋体"/>
          <w:sz w:val="28"/>
          <w:highlight w:val="none"/>
        </w:rPr>
        <w:t xml:space="preserve">六   </w:t>
      </w:r>
      <w:bookmarkEnd w:id="594"/>
      <w:r>
        <w:rPr>
          <w:rFonts w:hint="eastAsia" w:ascii="宋体" w:hAnsi="宋体" w:eastAsia="宋体" w:cs="宋体"/>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305158815"/>
      <w:r/>
      <w:bookmarkStart w:id="617" w:name="_Toc151193717"/>
      <w:r/>
      <w:bookmarkStart w:id="618" w:name="_Toc265228385"/>
      <w:r/>
      <w:bookmarkStart w:id="619" w:name="_Toc226965820"/>
      <w:r/>
      <w:bookmarkStart w:id="620" w:name="_Toc149720840"/>
      <w:r/>
      <w:bookmarkStart w:id="621" w:name="_Toc264969237"/>
      <w:r/>
      <w:bookmarkStart w:id="622" w:name="_Toc226337243"/>
      <w:r/>
      <w:bookmarkStart w:id="623" w:name="_Toc150774647"/>
      <w:r/>
      <w:bookmarkStart w:id="624" w:name="_Toc150480785"/>
      <w:r/>
      <w:bookmarkStart w:id="625" w:name="_Toc164608816"/>
      <w:r/>
      <w:bookmarkStart w:id="626" w:name="_Toc142311049"/>
      <w:r/>
      <w:bookmarkStart w:id="627" w:name="_Toc164351641"/>
      <w:r/>
      <w:bookmarkStart w:id="628" w:name="_Toc150774752"/>
      <w:r/>
      <w:bookmarkStart w:id="629" w:name="_Toc151193935"/>
      <w:r/>
      <w:bookmarkStart w:id="630" w:name="_Toc151193789"/>
      <w:r/>
      <w:bookmarkStart w:id="631" w:name="_Toc226309791"/>
      <w:r/>
      <w:bookmarkStart w:id="632" w:name="_Toc164229242"/>
      <w:r/>
      <w:bookmarkStart w:id="633" w:name="_Toc226965737"/>
      <w:r/>
      <w:bookmarkStart w:id="634" w:name="_Toc127151748"/>
      <w:r/>
      <w:bookmarkStart w:id="635" w:name="_Toc127151547"/>
      <w:r/>
      <w:bookmarkStart w:id="636" w:name="_Toc164608661"/>
      <w:r/>
      <w:bookmarkStart w:id="637" w:name="_Toc151190174"/>
      <w:r/>
      <w:bookmarkStart w:id="638" w:name="_Toc150509298"/>
      <w:r/>
      <w:bookmarkStart w:id="639" w:name="_Toc164229388"/>
      <w:r/>
      <w:bookmarkStart w:id="640" w:name="_Toc151193861"/>
      <w:r/>
      <w:bookmarkStart w:id="641" w:name="_Toc127161461"/>
      <w:r/>
      <w:bookmarkStart w:id="642" w:name="_Toc151193645"/>
      <w:r/>
      <w:bookmarkStart w:id="643" w:name="_Toc195842912"/>
      <w:r/>
      <w:bookmarkStart w:id="644" w:name="_Toc305158889"/>
      <w:r>
        <w:rPr>
          <w:rFonts w:hint="eastAsia" w:ascii="宋体" w:hAnsi="宋体" w:eastAsia="宋体" w:cs="宋体"/>
          <w:sz w:val="28"/>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22确定中标人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22.1采购人将在评标报告确定的中标候选人名单中按顺序确定中标人，中标候选人并列的，由采购人依法确定。</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645" w:name="_Toc150774649"/>
      <w:r/>
      <w:bookmarkStart w:id="646" w:name="_Toc149720842"/>
      <w:r/>
      <w:bookmarkStart w:id="647" w:name="_Toc226309793"/>
      <w:r/>
      <w:bookmarkStart w:id="648" w:name="_Toc305158891"/>
      <w:r/>
      <w:bookmarkStart w:id="649" w:name="_Toc265228387"/>
      <w:r/>
      <w:bookmarkStart w:id="650" w:name="_Ref467307090"/>
      <w:r/>
      <w:bookmarkStart w:id="651" w:name="_Toc520356176"/>
      <w:r/>
      <w:bookmarkStart w:id="652" w:name="_Ref467306425"/>
      <w:r/>
      <w:bookmarkStart w:id="653" w:name="_Toc305158817"/>
      <w:r/>
      <w:bookmarkStart w:id="654" w:name="_Toc226965822"/>
      <w:r/>
      <w:bookmarkStart w:id="655" w:name="_Toc151193719"/>
      <w:r/>
      <w:bookmarkStart w:id="656" w:name="_Toc151193791"/>
      <w:r/>
      <w:bookmarkStart w:id="657" w:name="_Toc150774754"/>
      <w:r/>
      <w:bookmarkStart w:id="658" w:name="_Toc264969239"/>
      <w:r/>
      <w:bookmarkStart w:id="659" w:name="_Toc151193937"/>
      <w:r/>
      <w:bookmarkStart w:id="660" w:name="_Toc226337245"/>
      <w:r/>
      <w:bookmarkStart w:id="661" w:name="_Toc164608663"/>
      <w:r/>
      <w:bookmarkStart w:id="662" w:name="_Toc151190176"/>
      <w:r/>
      <w:bookmarkStart w:id="663" w:name="_Toc195842914"/>
      <w:r/>
      <w:bookmarkStart w:id="664" w:name="_Toc150509300"/>
      <w:r/>
      <w:bookmarkStart w:id="665" w:name="_Toc127151750"/>
      <w:r/>
      <w:bookmarkStart w:id="666" w:name="_Toc164608818"/>
      <w:r/>
      <w:bookmarkStart w:id="667" w:name="_Toc151193863"/>
      <w:r/>
      <w:bookmarkStart w:id="668" w:name="_Toc150480787"/>
      <w:r/>
      <w:bookmarkStart w:id="669" w:name="_Toc164351643"/>
      <w:r/>
      <w:bookmarkStart w:id="670" w:name="_Toc142311051"/>
      <w:r/>
      <w:bookmarkStart w:id="671" w:name="_Toc226965739"/>
      <w:r/>
      <w:bookmarkStart w:id="672" w:name="_Toc151193647"/>
      <w:r/>
      <w:bookmarkStart w:id="673" w:name="_Toc164229244"/>
      <w:r/>
      <w:bookmarkStart w:id="674" w:name="_Toc164229390"/>
      <w:r/>
      <w:bookmarkStart w:id="675" w:name="_Toc127151549"/>
      <w:r/>
      <w:bookmarkStart w:id="676" w:name="_Toc127161463"/>
      <w:r>
        <w:rPr>
          <w:rFonts w:hint="eastAsia" w:ascii="宋体" w:hAnsi="宋体" w:eastAsia="宋体" w:cs="宋体"/>
          <w:sz w:val="24"/>
          <w:highlight w:val="none"/>
        </w:rPr>
        <w:t xml:space="preserve">23中标公告与中标通知书</w:t>
      </w:r>
      <w:bookmarkEnd w:id="648"/>
      <w:r/>
      <w:bookmarkEnd w:id="653"/>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23.2中标通知书对采购人和中标单位均具有法律效力。中标通知书发出后，采购人改变中标结果的，或者中标单位放弃中标项目的，应当依法承担法律责任。</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24废标</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24.1在招标采购中，出现下列情形之一的，应予废标：</w:t>
      </w:r>
      <w:r>
        <w:rPr>
          <w:rFonts w:hint="eastAsia" w:ascii="宋体" w:hAnsi="宋体" w:eastAsia="宋体" w:cs="宋体"/>
          <w:sz w:val="24"/>
          <w:highlight w:val="none"/>
        </w:rPr>
      </w:r>
      <w:r/>
    </w:p>
    <w:p>
      <w:pPr>
        <w:pStyle w:val="769"/>
        <w:numPr>
          <w:ilvl w:val="2"/>
          <w:numId w:val="0"/>
        </w:numPr>
        <w:ind w:left="1880" w:hanging="8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24.1.1符合专业条件的供应商或者对招标文件作实质响应的供应商不足三家的；</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24.1.2出现影响采购公正的违法、违规行为的；</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24.1.3投标人的报价均超过了采购预算，采购人不能支付的；</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24.1.4因重大变故，采购任务取消的。</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24.1.5</w:t>
      </w:r>
      <w:r>
        <w:rPr>
          <w:rFonts w:hint="eastAsia" w:ascii="宋体" w:hAnsi="宋体" w:eastAsia="宋体" w:cs="宋体"/>
          <w:spacing w:val="2"/>
          <w:sz w:val="24"/>
          <w:highlight w:val="none"/>
        </w:rPr>
        <w:t xml:space="preserve">平台系统</w:t>
      </w:r>
      <w:r>
        <w:rPr>
          <w:rFonts w:hint="eastAsia" w:ascii="宋体" w:hAnsi="宋体" w:eastAsia="宋体" w:cs="宋体"/>
          <w:sz w:val="24"/>
          <w:highlight w:val="none"/>
        </w:rPr>
        <w:t xml:space="preserve">出现序号18.8的所述情形，情况严重且影响采购活动公平、公正性的。</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24.2废标后，采购人将废标理由通知所有投标人。</w:t>
      </w:r>
      <w:bookmarkEnd w:id="645"/>
      <w:r/>
      <w:bookmarkEnd w:id="646"/>
      <w:r/>
      <w:bookmarkEnd w:id="647"/>
      <w:r/>
      <w:bookmarkEnd w:id="649"/>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bookmarkStart w:id="677" w:name="_Toc127151550"/>
      <w:r/>
      <w:bookmarkStart w:id="678" w:name="_Toc305158892"/>
      <w:r/>
      <w:bookmarkStart w:id="679" w:name="_Toc150480788"/>
      <w:r/>
      <w:bookmarkStart w:id="680" w:name="_Toc226309794"/>
      <w:r/>
      <w:bookmarkStart w:id="681" w:name="_Ref467307062"/>
      <w:r/>
      <w:bookmarkStart w:id="682" w:name="_Toc151193792"/>
      <w:r/>
      <w:bookmarkStart w:id="683" w:name="_Toc164351644"/>
      <w:r/>
      <w:bookmarkStart w:id="684" w:name="_Toc195842915"/>
      <w:r/>
      <w:bookmarkStart w:id="685" w:name="_Toc264969240"/>
      <w:r/>
      <w:bookmarkStart w:id="686" w:name="_Ref467307204"/>
      <w:r/>
      <w:bookmarkStart w:id="687" w:name="_Toc150774755"/>
      <w:r/>
      <w:bookmarkStart w:id="688" w:name="_Toc149720843"/>
      <w:r/>
      <w:bookmarkStart w:id="689" w:name="_Toc305158818"/>
      <w:r/>
      <w:bookmarkStart w:id="690" w:name="_Toc164229245"/>
      <w:r/>
      <w:bookmarkStart w:id="691" w:name="_Toc150774650"/>
      <w:r/>
      <w:bookmarkStart w:id="692" w:name="_Toc151193648"/>
      <w:r/>
      <w:bookmarkStart w:id="693" w:name="_Toc226965740"/>
      <w:r/>
      <w:bookmarkStart w:id="694" w:name="_Toc127151751"/>
      <w:r/>
      <w:bookmarkStart w:id="695" w:name="_Toc226965823"/>
      <w:r/>
      <w:bookmarkStart w:id="696" w:name="_Toc520356175"/>
      <w:r/>
      <w:bookmarkStart w:id="697" w:name="_Toc151193938"/>
      <w:r/>
      <w:bookmarkStart w:id="698" w:name="_Toc127161464"/>
      <w:r/>
      <w:bookmarkStart w:id="699" w:name="_Toc265228388"/>
      <w:r/>
      <w:bookmarkStart w:id="700" w:name="_Toc151190177"/>
      <w:r/>
      <w:bookmarkStart w:id="701" w:name="_Toc164608664"/>
      <w:r/>
      <w:bookmarkStart w:id="702" w:name="_Toc150509301"/>
      <w:r/>
      <w:bookmarkStart w:id="703" w:name="_Toc142311052"/>
      <w:r/>
      <w:bookmarkStart w:id="704" w:name="_Toc226337246"/>
      <w:r/>
      <w:bookmarkStart w:id="705" w:name="_Toc164608819"/>
      <w:r/>
      <w:bookmarkStart w:id="706" w:name="_Toc151193720"/>
      <w:r/>
      <w:bookmarkStart w:id="707" w:name="_Toc164229391"/>
      <w:r/>
      <w:bookmarkStart w:id="708" w:name="_Ref467306978"/>
      <w:r/>
      <w:bookmarkStart w:id="709" w:name="_Toc151193864"/>
      <w:r/>
      <w:bookmarkStart w:id="710" w:name="_Ref467306377"/>
      <w:r>
        <w:rPr>
          <w:rFonts w:hint="eastAsia" w:ascii="宋体" w:hAnsi="宋体" w:eastAsia="宋体" w:cs="宋体"/>
          <w:sz w:val="24"/>
          <w:highlight w:val="none"/>
        </w:rPr>
        <w:t xml:space="preserve">25签订合同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25.3联合体中标的，联合体各方应当共同与采购人签订合同，就中标项目向采购人承担连带责任。</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25.4政府采购合同不能转包。</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。中标人就采购项目和分包项目向采购人负责，分包供应商就分包项目承担责任。</w:t>
      </w:r>
      <w:bookmarkEnd w:id="650"/>
      <w:r/>
      <w:bookmarkEnd w:id="651"/>
      <w:r/>
      <w:bookmarkEnd w:id="652"/>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26询问与质疑</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26.1询问</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26.1.1投标人对政府采购活动事项有疑问的，可依法提出询问，并按《投标人须知资料表》载明的形式送达采购人或采购代理机构。</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26.1.2采购人或采购代理机构对供应商依法提出的询问，在3个工作日内作出答复，但答复的内容不得涉及商业秘密。</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26.2质疑</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26.2.2质疑函须使用财政部制定的范本文件。（下载网址：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"http://gks.mof.gov.cn/ztztz/zhengfucaigouguanli/201802/t20180201_2804589.htm" </w:instrText>
      </w:r>
      <w:r>
        <w:rPr>
          <w:rFonts w:hint="eastAsia" w:ascii="宋体" w:hAnsi="宋体" w:eastAsia="宋体" w:cs="宋体"/>
          <w:highlight w:val="none"/>
        </w:rPr>
        <w:fldChar w:fldCharType="separate"/>
      </w:r>
      <w:r>
        <w:rPr>
          <w:rStyle w:val="834"/>
          <w:rFonts w:hint="eastAsia" w:ascii="宋体" w:hAnsi="宋体" w:eastAsia="宋体" w:cs="宋体"/>
          <w:color w:val="000000"/>
          <w:highlight w:val="none"/>
        </w:rPr>
        <w:t xml:space="preserve">http://gk</w:t>
      </w:r>
      <w:bookmarkStart w:id="711" w:name="_Hlt100654014"/>
      <w:r>
        <w:rPr>
          <w:rStyle w:val="834"/>
          <w:rFonts w:hint="eastAsia" w:ascii="宋体" w:hAnsi="宋体" w:eastAsia="宋体" w:cs="宋体"/>
          <w:color w:val="000000"/>
          <w:highlight w:val="none"/>
        </w:rPr>
        <w:t xml:space="preserve">s</w:t>
      </w:r>
      <w:bookmarkEnd w:id="711"/>
      <w:r>
        <w:rPr>
          <w:rStyle w:val="834"/>
          <w:rFonts w:hint="eastAsia" w:ascii="宋体" w:hAnsi="宋体" w:eastAsia="宋体" w:cs="宋体"/>
          <w:color w:val="000000"/>
          <w:highlight w:val="none"/>
        </w:rPr>
        <w:t xml:space="preserve">.m</w:t>
      </w:r>
      <w:bookmarkStart w:id="712" w:name="_Hlt100653994"/>
      <w:r/>
      <w:bookmarkStart w:id="713" w:name="_Hlt100653993"/>
      <w:r>
        <w:rPr>
          <w:rStyle w:val="834"/>
          <w:rFonts w:hint="eastAsia" w:ascii="宋体" w:hAnsi="宋体" w:eastAsia="宋体" w:cs="宋体"/>
          <w:color w:val="000000"/>
          <w:highlight w:val="none"/>
        </w:rPr>
        <w:t xml:space="preserve">o</w:t>
      </w:r>
      <w:bookmarkEnd w:id="712"/>
      <w:r/>
      <w:bookmarkEnd w:id="713"/>
      <w:r>
        <w:rPr>
          <w:rStyle w:val="834"/>
          <w:rFonts w:hint="eastAsia" w:ascii="宋体" w:hAnsi="宋体" w:eastAsia="宋体" w:cs="宋体"/>
          <w:color w:val="000000"/>
          <w:highlight w:val="none"/>
        </w:rPr>
        <w:t xml:space="preserve">f.gov.cn/ztztz/zhengfucaigouguanli/201802/t20180201_2804589.htm</w:t>
      </w:r>
      <w:r>
        <w:rPr>
          <w:rStyle w:val="834"/>
          <w:rFonts w:hint="eastAsia" w:ascii="宋体" w:hAnsi="宋体" w:eastAsia="宋体" w:cs="宋体"/>
          <w:color w:val="000000"/>
          <w:highlight w:val="none"/>
        </w:rPr>
        <w:fldChar w:fldCharType="end"/>
      </w:r>
      <w:r>
        <w:rPr>
          <w:rFonts w:hint="eastAsia" w:ascii="宋体" w:hAnsi="宋体" w:eastAsia="宋体" w:cs="宋体"/>
          <w:highlight w:val="none"/>
        </w:rPr>
        <w:t xml:space="preserve">）</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26.2.3投标人为自然人的，应当由本人签字；投标人为法人或者其他组织的，应当由法定代表人、主要负责人，或者其授权代表签字或者加盖公章，并加盖公章。</w:t>
      </w:r>
      <w:r>
        <w:rPr>
          <w:rFonts w:hint="eastAsia" w:ascii="宋体" w:hAnsi="宋体" w:eastAsia="宋体" w:cs="宋体"/>
          <w:sz w:val="24"/>
          <w:highlight w:val="none"/>
        </w:rPr>
      </w:r>
      <w:r/>
    </w:p>
    <w:p>
      <w:pPr>
        <w:pStyle w:val="769"/>
        <w:numPr>
          <w:ilvl w:val="2"/>
          <w:numId w:val="0"/>
        </w:numPr>
        <w:ind w:left="1980" w:hanging="9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26.2.4投标人应在法定质疑期内一次性提出针对同一采购程序环节的质疑，法定质疑期内针对同一采购程序环节再次提出的质疑，采购人、采购代理机构有权不予答复。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26.3接收询问和质疑的联系部门、联系电话和通讯地址见《投标人须知资料表》。</w:t>
      </w:r>
      <w:r>
        <w:rPr>
          <w:rFonts w:hint="eastAsia" w:ascii="宋体" w:hAnsi="宋体" w:eastAsia="宋体" w:cs="宋体"/>
          <w:sz w:val="24"/>
          <w:highlight w:val="none"/>
        </w:rPr>
      </w:r>
      <w:r/>
    </w:p>
    <w:p>
      <w:pPr>
        <w:pStyle w:val="769"/>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27代理费</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27.1收费对象、收费标准及缴纳时间见《投标人须知资料表》。由中标人支付的，中标人须一次性向采购代理机构缴纳代理费，投标报价应包含代理费用。</w:t>
      </w:r>
      <w:r>
        <w:rPr>
          <w:rFonts w:hint="eastAsia" w:ascii="宋体" w:hAnsi="宋体" w:eastAsia="宋体" w:cs="宋体"/>
          <w:sz w:val="24"/>
          <w:highlight w:val="none"/>
        </w:rPr>
      </w:r>
      <w:r/>
    </w:p>
    <w:p>
      <w:pPr>
        <w:pStyle w:val="769"/>
        <w:numPr>
          <w:ilvl w:val="0"/>
          <w:numId w:val="0"/>
        </w:numPr>
        <w:ind w:left="357" w:hanging="357"/>
        <w:spacing w:line="360" w:lineRule="auto"/>
        <w:tabs>
          <w:tab w:val="left" w:pos="360" w:leader="none"/>
        </w:tabs>
        <w:rPr>
          <w:rFonts w:hint="eastAsia" w:ascii="宋体" w:hAnsi="宋体" w:eastAsia="宋体" w:cs="宋体"/>
          <w:sz w:val="24"/>
          <w:highlight w:val="none"/>
        </w:rPr>
        <w:outlineLvl w:val="2"/>
      </w:pPr>
      <w:r>
        <w:rPr>
          <w:rFonts w:hint="eastAsia" w:ascii="宋体" w:hAnsi="宋体" w:eastAsia="宋体" w:cs="宋体"/>
          <w:sz w:val="24"/>
          <w:highlight w:val="none"/>
          <w:lang w:val="en-US" w:eastAsia="zh-CN"/>
        </w:rPr>
        <w:t xml:space="preserve">28中小企业预留采购份额说明</w:t>
      </w:r>
      <w:r>
        <w:rPr>
          <w:rFonts w:hint="eastAsia" w:ascii="宋体" w:hAnsi="宋体" w:eastAsia="宋体" w:cs="宋体"/>
          <w:sz w:val="24"/>
          <w:highlight w:val="none"/>
        </w:rPr>
      </w:r>
      <w:r/>
    </w:p>
    <w:p>
      <w:pPr>
        <w:pStyle w:val="769"/>
        <w:numPr>
          <w:ilvl w:val="1"/>
          <w:numId w:val="0"/>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28.1</w:t>
      </w:r>
      <w:r>
        <w:rPr>
          <w:rFonts w:hint="eastAsia" w:ascii="宋体" w:hAnsi="宋体" w:eastAsia="宋体" w:cs="宋体"/>
          <w:color w:val="000000"/>
          <w:sz w:val="24"/>
          <w:highlight w:val="none"/>
        </w:rPr>
        <w:t xml:space="preserve">按照《政府采购促进中小企业发展管理办法》（财库〔2020〕46号）的相关要求，采购人应当面向中小企业预留采购份额，本项目面向中小企业预留份额0%，如果未设置预留份额情形，请附相关情况说明：按照本办法规定预留采购份额无法确保充分供应、充分竞争，或者存在可能影响政府采购目标实现的情形。</w:t>
      </w:r>
      <w:r>
        <w:rPr>
          <w:rFonts w:hint="eastAsia" w:ascii="宋体" w:hAnsi="宋体" w:eastAsia="宋体" w:cs="宋体"/>
          <w:sz w:val="24"/>
          <w:highlight w:val="none"/>
        </w:rPr>
      </w:r>
      <w:r/>
    </w:p>
    <w:p>
      <w:pPr>
        <w:pStyle w:val="769"/>
        <w:ind w:firstLine="0"/>
        <w:spacing w:line="360" w:lineRule="auto"/>
        <w:tabs>
          <w:tab w:val="left" w:pos="900" w:leader="none"/>
          <w:tab w:val="left" w:pos="1080" w:leader="none"/>
          <w:tab w:val="left" w:pos="1589" w:leader="none"/>
        </w:tabs>
        <w:rPr>
          <w:rFonts w:ascii="宋体" w:hAnsi="宋体" w:eastAsia="宋体" w:cs="宋体"/>
          <w:sz w:val="24"/>
          <w:highlight w:val="none"/>
          <w:lang w:val="en-US" w:eastAsia="zh-CN"/>
        </w:rPr>
      </w:pPr>
      <w:r>
        <w:rPr>
          <w:rFonts w:ascii="宋体" w:hAnsi="宋体" w:eastAsia="宋体" w:cs="宋体"/>
          <w:sz w:val="24"/>
          <w:highlight w:val="none"/>
          <w:lang w:val="en-US" w:eastAsia="zh-CN"/>
        </w:rPr>
      </w:r>
      <w:r/>
    </w:p>
    <w:p>
      <w:pPr>
        <w:pStyle w:val="769"/>
        <w:ind w:left="36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center"/>
        <w:spacing w:line="360" w:lineRule="auto"/>
        <w:rPr>
          <w:rFonts w:hint="eastAsia" w:ascii="宋体" w:hAnsi="宋体" w:eastAsia="宋体" w:cs="宋体"/>
          <w:b/>
          <w:sz w:val="36"/>
          <w:szCs w:val="36"/>
          <w:highlight w:val="none"/>
        </w:rPr>
        <w:outlineLvl w:val="0"/>
      </w:pPr>
      <w:r/>
      <w:bookmarkStart w:id="714" w:name="_Toc142311056"/>
      <w:r/>
      <w:bookmarkStart w:id="715" w:name="_Toc305158896"/>
      <w:r/>
      <w:bookmarkStart w:id="716" w:name="_Toc353873934"/>
      <w:r/>
      <w:bookmarkStart w:id="717" w:name="_Toc150774759"/>
      <w:r/>
      <w:bookmarkStart w:id="718" w:name="_Toc150480792"/>
      <w:r/>
      <w:bookmarkStart w:id="719" w:name="_Toc226337250"/>
      <w:r/>
      <w:bookmarkStart w:id="720" w:name="_Toc264969244"/>
      <w:r/>
      <w:bookmarkStart w:id="721" w:name="_Toc127151554"/>
      <w:r/>
      <w:bookmarkStart w:id="722" w:name="_Toc353825544"/>
      <w:r/>
      <w:bookmarkStart w:id="723" w:name="_Toc226965827"/>
      <w:r/>
      <w:bookmarkStart w:id="724" w:name="_Toc353873664"/>
      <w:r/>
      <w:bookmarkStart w:id="725" w:name="_Toc265228392"/>
      <w:r/>
      <w:bookmarkStart w:id="726" w:name="_Toc305158822"/>
      <w:r>
        <w:rPr>
          <w:rFonts w:hint="eastAsia" w:ascii="宋体" w:hAnsi="宋体" w:eastAsia="宋体" w:cs="宋体"/>
          <w:sz w:val="24"/>
          <w:highlight w:val="none"/>
        </w:rPr>
        <w:br w:type="page" w:clear="all"/>
      </w:r>
      <w:bookmarkStart w:id="727" w:name="_Toc24423"/>
      <w:r/>
      <w:bookmarkStart w:id="728" w:name="_Toc8030"/>
      <w:r>
        <w:rPr>
          <w:rFonts w:hint="eastAsia" w:ascii="宋体" w:hAnsi="宋体" w:eastAsia="宋体" w:cs="宋体"/>
          <w:b/>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eastAsia="宋体" w:cs="宋体"/>
          <w:b/>
          <w:sz w:val="36"/>
          <w:szCs w:val="36"/>
          <w:highlight w:val="none"/>
        </w:rPr>
        <w:t xml:space="preserve">资格审查</w:t>
      </w:r>
      <w:bookmarkEnd w:id="727"/>
      <w:r/>
      <w:bookmarkEnd w:id="728"/>
      <w:r/>
      <w:bookmarkStart w:id="729" w:name="_Toc487900382"/>
      <w:r>
        <w:rPr>
          <w:rFonts w:hint="eastAsia" w:ascii="宋体" w:hAnsi="宋体" w:eastAsia="宋体" w:cs="宋体"/>
          <w:b/>
          <w:sz w:val="36"/>
          <w:szCs w:val="36"/>
          <w:highlight w:val="none"/>
        </w:rPr>
      </w:r>
      <w:r/>
    </w:p>
    <w:p>
      <w:pPr>
        <w:pStyle w:val="769"/>
        <w:jc w:val="center"/>
        <w:spacing w:line="360" w:lineRule="auto"/>
        <w:tabs>
          <w:tab w:val="left" w:pos="360" w:leader="none"/>
          <w:tab w:val="left" w:pos="900" w:leader="none"/>
        </w:tabs>
        <w:rPr>
          <w:rFonts w:hint="eastAsia" w:ascii="宋体" w:hAnsi="宋体" w:eastAsia="宋体" w:cs="宋体"/>
          <w:b/>
          <w:sz w:val="24"/>
          <w:highlight w:val="none"/>
        </w:rPr>
        <w:outlineLvl w:val="1"/>
      </w:pPr>
      <w:r/>
      <w:bookmarkStart w:id="730" w:name="_Toc99301422"/>
      <w:r>
        <w:rPr>
          <w:rFonts w:hint="eastAsia" w:ascii="宋体" w:hAnsi="宋体" w:eastAsia="宋体" w:cs="宋体"/>
          <w:b/>
          <w:sz w:val="24"/>
          <w:highlight w:val="none"/>
        </w:rPr>
        <w:t xml:space="preserve">一、资格审查程序</w:t>
      </w:r>
      <w:bookmarkEnd w:id="730"/>
      <w:r>
        <w:rPr>
          <w:rFonts w:hint="eastAsia" w:ascii="宋体" w:hAnsi="宋体" w:eastAsia="宋体" w:cs="宋体"/>
          <w:b/>
          <w:sz w:val="24"/>
          <w:highlight w:val="none"/>
        </w:rPr>
      </w:r>
      <w:r/>
    </w:p>
    <w:p>
      <w:pPr>
        <w:pStyle w:val="769"/>
        <w:numPr>
          <w:ilvl w:val="0"/>
          <w:numId w:val="9"/>
        </w:numPr>
        <w:ind w:left="426" w:hanging="426"/>
        <w:spacing w:line="360" w:lineRule="auto"/>
        <w:tabs>
          <w:tab w:val="left" w:pos="426" w:leader="none"/>
          <w:tab w:val="left" w:pos="85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开标结束后，采购人将根据《资格审查要求》中的规定，对投标人进行资格审查，并形成资格审查结果。</w:t>
      </w:r>
      <w:r>
        <w:rPr>
          <w:rFonts w:hint="eastAsia" w:ascii="宋体" w:hAnsi="宋体" w:eastAsia="宋体" w:cs="宋体"/>
          <w:sz w:val="24"/>
          <w:highlight w:val="none"/>
        </w:rPr>
      </w:r>
      <w:r/>
    </w:p>
    <w:p>
      <w:pPr>
        <w:pStyle w:val="769"/>
        <w:numPr>
          <w:ilvl w:val="0"/>
          <w:numId w:val="9"/>
        </w:numPr>
        <w:ind w:left="426" w:hanging="426"/>
        <w:spacing w:line="360" w:lineRule="auto"/>
        <w:tabs>
          <w:tab w:val="left" w:pos="426" w:leader="none"/>
          <w:tab w:val="left" w:pos="85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《资格审查要求》中对格式有要求的，除招标文件另有规定外，均为“实质性格式”文件。</w:t>
      </w:r>
      <w:r>
        <w:rPr>
          <w:rFonts w:hint="eastAsia" w:ascii="宋体" w:hAnsi="宋体" w:eastAsia="宋体" w:cs="宋体"/>
          <w:sz w:val="24"/>
          <w:highlight w:val="none"/>
        </w:rPr>
      </w:r>
      <w:r/>
    </w:p>
    <w:p>
      <w:pPr>
        <w:pStyle w:val="769"/>
        <w:numPr>
          <w:ilvl w:val="0"/>
          <w:numId w:val="9"/>
        </w:numPr>
        <w:ind w:left="426" w:hanging="426"/>
        <w:spacing w:line="360" w:lineRule="auto"/>
        <w:tabs>
          <w:tab w:val="left" w:pos="426" w:leader="none"/>
          <w:tab w:val="left" w:pos="85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numPr>
          <w:ilvl w:val="0"/>
          <w:numId w:val="9"/>
        </w:numPr>
        <w:ind w:left="426" w:hanging="426"/>
        <w:spacing w:line="360" w:lineRule="auto"/>
        <w:tabs>
          <w:tab w:val="left" w:pos="426" w:leader="none"/>
          <w:tab w:val="left" w:pos="85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资格审查合格的投标人不足3家的，不进行评标。</w:t>
      </w:r>
      <w:r>
        <w:rPr>
          <w:rFonts w:hint="eastAsia" w:ascii="宋体" w:hAnsi="宋体" w:eastAsia="宋体" w:cs="宋体"/>
          <w:sz w:val="24"/>
          <w:highlight w:val="non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center"/>
        <w:spacing w:line="360" w:lineRule="auto"/>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rPr>
          <w:rFonts w:hint="eastAsia" w:ascii="宋体" w:hAnsi="宋体" w:eastAsia="宋体" w:cs="宋体"/>
          <w:b/>
          <w:sz w:val="24"/>
          <w:highlight w:val="none"/>
        </w:rPr>
      </w:r>
      <w:r/>
    </w:p>
    <w:tbl>
      <w:tblPr>
        <w:tblW w:w="503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021"/>
        <w:gridCol w:w="4919"/>
        <w:gridCol w:w="1545"/>
      </w:tblGrid>
      <w:tr>
        <w:trPr>
          <w:cantSplit/>
          <w:trHeight w:val="468"/>
          <w:tblHeader/>
        </w:trPr>
        <w:tc>
          <w:tcPr>
            <w:tcW w:w="460" w:type="dxa"/>
            <w:vAlign w:val="center"/>
            <w:textDirection w:val="lrTb"/>
            <w:noWrap w:val="false"/>
          </w:tcPr>
          <w:p>
            <w:pPr>
              <w:pStyle w:val="769"/>
              <w:jc w:val="center"/>
              <w:widowControl w:val="off"/>
              <w:tabs>
                <w:tab w:val="left" w:pos="1080" w:leader="none"/>
              </w:tabs>
              <w:rPr>
                <w:rFonts w:hint="eastAsia" w:ascii="宋体" w:hAnsi="宋体" w:eastAsia="宋体" w:cs="宋体"/>
                <w:b/>
                <w:sz w:val="24"/>
                <w:szCs w:val="24"/>
                <w:highlight w:val="none"/>
                <w:lang w:val="en-US" w:eastAsia="zh-CN" w:bidi="ar-SA"/>
              </w:rPr>
            </w:pPr>
            <w:r/>
            <w:bookmarkStart w:id="731" w:name="_Hlt487972895"/>
            <w:r/>
            <w:bookmarkEnd w:id="731"/>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1081" w:type="dxa"/>
            <w:vAlign w:val="center"/>
            <w:textDirection w:val="lrTb"/>
            <w:noWrap w:val="false"/>
          </w:tcPr>
          <w:p>
            <w:pPr>
              <w:pStyle w:val="769"/>
              <w:jc w:val="center"/>
              <w:widowControl w:val="off"/>
              <w:tabs>
                <w:tab w:val="left" w:pos="1080"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c>
          <w:tcPr>
            <w:tcW w:w="2631" w:type="dxa"/>
            <w:vAlign w:val="center"/>
            <w:textDirection w:val="lrTb"/>
            <w:noWrap w:val="false"/>
          </w:tcPr>
          <w:p>
            <w:pPr>
              <w:pStyle w:val="769"/>
              <w:jc w:val="center"/>
              <w:widowControl w:val="off"/>
              <w:tabs>
                <w:tab w:val="left" w:pos="1080"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审查内容</w:t>
            </w:r>
            <w:r>
              <w:rPr>
                <w:rFonts w:hint="eastAsia" w:ascii="宋体" w:hAnsi="宋体" w:eastAsia="宋体" w:cs="宋体"/>
                <w:b/>
                <w:sz w:val="24"/>
                <w:szCs w:val="24"/>
                <w:highlight w:val="none"/>
                <w:lang w:val="en-US" w:eastAsia="zh-CN" w:bidi="ar-SA"/>
              </w:rPr>
            </w:r>
            <w:r/>
          </w:p>
        </w:tc>
        <w:tc>
          <w:tcPr>
            <w:tcW w:w="826" w:type="dxa"/>
            <w:vAlign w:val="center"/>
            <w:textDirection w:val="lrTb"/>
            <w:noWrap w:val="false"/>
          </w:tcPr>
          <w:p>
            <w:pPr>
              <w:pStyle w:val="769"/>
              <w:jc w:val="center"/>
              <w:widowControl w:val="off"/>
              <w:tabs>
                <w:tab w:val="left" w:pos="1080"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格式要求</w:t>
            </w:r>
            <w:r>
              <w:rPr>
                <w:rFonts w:hint="eastAsia" w:ascii="宋体" w:hAnsi="宋体" w:eastAsia="宋体" w:cs="宋体"/>
                <w:b/>
                <w:sz w:val="24"/>
                <w:szCs w:val="24"/>
                <w:highlight w:val="none"/>
                <w:lang w:val="en-US" w:eastAsia="zh-CN" w:bidi="ar-SA"/>
              </w:rPr>
            </w:r>
            <w:r/>
          </w:p>
        </w:tc>
      </w:tr>
      <w:tr>
        <w:trPr>
          <w:cantSplit/>
          <w:trHeight w:val="468"/>
        </w:trPr>
        <w:tc>
          <w:tcPr>
            <w:tcW w:w="460" w:type="dxa"/>
            <w:vAlign w:val="center"/>
            <w:textDirection w:val="lrTb"/>
            <w:noWrap w:val="false"/>
          </w:tcPr>
          <w:p>
            <w:pPr>
              <w:pStyle w:val="769"/>
              <w:jc w:val="center"/>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08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满足《中华人民共和国政府采购法》第二十二条规定及法律法规的其他规定</w:t>
            </w:r>
            <w:r>
              <w:rPr>
                <w:rFonts w:hint="eastAsia" w:ascii="宋体" w:hAnsi="宋体" w:eastAsia="宋体" w:cs="宋体"/>
                <w:sz w:val="24"/>
                <w:szCs w:val="24"/>
                <w:highlight w:val="none"/>
                <w:lang w:val="en-US" w:eastAsia="zh-CN" w:bidi="ar-SA"/>
              </w:rPr>
            </w:r>
            <w:r/>
          </w:p>
        </w:tc>
        <w:tc>
          <w:tcPr>
            <w:tcW w:w="263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具体规定见第一章《投标邀请》</w:t>
            </w:r>
            <w:r>
              <w:rPr>
                <w:rFonts w:hint="eastAsia" w:ascii="宋体" w:hAnsi="宋体" w:eastAsia="宋体" w:cs="宋体"/>
                <w:sz w:val="24"/>
                <w:szCs w:val="24"/>
                <w:highlight w:val="none"/>
                <w:lang w:val="en-US" w:eastAsia="zh-CN" w:bidi="ar-SA"/>
              </w:rPr>
            </w:r>
            <w:r/>
          </w:p>
        </w:tc>
        <w:tc>
          <w:tcPr>
            <w:tcW w:w="826"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68"/>
        </w:trPr>
        <w:tc>
          <w:tcPr>
            <w:tcW w:w="460" w:type="dxa"/>
            <w:vAlign w:val="center"/>
            <w:textDirection w:val="lrTb"/>
            <w:noWrap w:val="false"/>
          </w:tcPr>
          <w:p>
            <w:pPr>
              <w:pStyle w:val="769"/>
              <w:jc w:val="center"/>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r>
            <w:r/>
          </w:p>
        </w:tc>
        <w:tc>
          <w:tcPr>
            <w:tcW w:w="108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投标人资格声明函</w:t>
            </w:r>
            <w:r>
              <w:rPr>
                <w:rFonts w:hint="eastAsia" w:ascii="宋体" w:hAnsi="宋体" w:eastAsia="宋体" w:cs="宋体"/>
                <w:sz w:val="24"/>
                <w:szCs w:val="24"/>
                <w:highlight w:val="none"/>
                <w:lang w:val="en-US" w:eastAsia="zh-CN" w:bidi="ar-SA"/>
              </w:rPr>
            </w:r>
            <w:r/>
          </w:p>
        </w:tc>
        <w:tc>
          <w:tcPr>
            <w:tcW w:w="263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提供了符合招标文件要求的《投标人资格声明函》。</w:t>
            </w:r>
            <w:r>
              <w:rPr>
                <w:rFonts w:hint="eastAsia" w:ascii="宋体" w:hAnsi="宋体" w:eastAsia="宋体" w:cs="宋体"/>
                <w:sz w:val="24"/>
                <w:szCs w:val="24"/>
                <w:highlight w:val="none"/>
                <w:lang w:val="en-US" w:eastAsia="zh-CN" w:bidi="ar-SA"/>
              </w:rPr>
            </w:r>
            <w:r/>
          </w:p>
        </w:tc>
        <w:tc>
          <w:tcPr>
            <w:tcW w:w="826"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格式见《投标文件格式》</w:t>
            </w:r>
            <w:r>
              <w:rPr>
                <w:rFonts w:hint="eastAsia" w:ascii="宋体" w:hAnsi="宋体" w:eastAsia="宋体" w:cs="宋体"/>
                <w:sz w:val="24"/>
                <w:szCs w:val="24"/>
                <w:highlight w:val="none"/>
                <w:lang w:val="en-US" w:eastAsia="zh-CN" w:bidi="ar-SA"/>
              </w:rPr>
            </w:r>
            <w:r/>
          </w:p>
        </w:tc>
      </w:tr>
      <w:tr>
        <w:trPr>
          <w:cantSplit/>
          <w:trHeight w:val="4353"/>
        </w:trPr>
        <w:tc>
          <w:tcPr>
            <w:tcW w:w="460" w:type="dxa"/>
            <w:vAlign w:val="center"/>
            <w:textDirection w:val="lrTb"/>
            <w:noWrap w:val="false"/>
          </w:tcPr>
          <w:p>
            <w:pPr>
              <w:pStyle w:val="769"/>
              <w:jc w:val="center"/>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W w:w="108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投标人信用记录</w:t>
            </w:r>
            <w:r>
              <w:rPr>
                <w:rFonts w:hint="eastAsia" w:ascii="宋体" w:hAnsi="宋体" w:eastAsia="宋体" w:cs="宋体"/>
                <w:sz w:val="24"/>
                <w:szCs w:val="24"/>
                <w:highlight w:val="none"/>
                <w:lang w:val="en-US" w:eastAsia="zh-CN" w:bidi="ar-SA"/>
              </w:rPr>
            </w:r>
            <w:r/>
          </w:p>
        </w:tc>
        <w:tc>
          <w:tcPr>
            <w:tcW w:w="263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查询渠道：信用中国网站和中国政府采购网（</w:t>
            </w:r>
            <w:r>
              <w:rPr>
                <w:rFonts w:hint="eastAsia" w:ascii="宋体" w:hAnsi="宋体" w:eastAsia="宋体" w:cs="宋体"/>
                <w:sz w:val="21"/>
                <w:szCs w:val="24"/>
                <w:highlight w:val="none"/>
                <w:lang w:val="en-US" w:eastAsia="zh-CN" w:bidi="ar-SA"/>
              </w:rPr>
              <w:t xml:space="preserve">www.creditchina.gov.cn</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1"/>
                <w:szCs w:val="24"/>
                <w:highlight w:val="none"/>
                <w:lang w:val="en-US" w:eastAsia="zh-CN" w:bidi="ar-SA"/>
              </w:rPr>
              <w:t xml:space="preserve">www.ccgp.gov.cn</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69"/>
              <w:jc w:val="both"/>
              <w:widowControl w:val="off"/>
              <w:tabs>
                <w:tab w:val="left" w:pos="900" w:leader="none"/>
                <w:tab w:val="left" w:pos="19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截止时点：投标截止时间以后、资格审查阶段采购人或采购代理机构的实际查询时间；</w:t>
            </w:r>
            <w:r>
              <w:rPr>
                <w:rFonts w:hint="eastAsia" w:ascii="宋体" w:hAnsi="宋体" w:eastAsia="宋体" w:cs="宋体"/>
                <w:sz w:val="24"/>
                <w:szCs w:val="24"/>
                <w:highlight w:val="none"/>
                <w:lang w:val="en-US" w:eastAsia="zh-CN" w:bidi="ar-SA"/>
              </w:rPr>
            </w:r>
            <w:r/>
          </w:p>
          <w:p>
            <w:pPr>
              <w:pStyle w:val="769"/>
              <w:jc w:val="both"/>
              <w:widowControl w:val="off"/>
              <w:tabs>
                <w:tab w:val="left" w:pos="900" w:leader="none"/>
                <w:tab w:val="left" w:pos="19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信用信息查询记录和证据留存具体方式：查询结果网页打印页作为查询记录和证据，与其他招标文件一并保存；</w:t>
            </w:r>
            <w:r>
              <w:rPr>
                <w:rFonts w:hint="eastAsia" w:ascii="宋体" w:hAnsi="宋体" w:eastAsia="宋体" w:cs="宋体"/>
                <w:sz w:val="24"/>
                <w:szCs w:val="24"/>
                <w:highlight w:val="none"/>
                <w:lang w:val="en-US" w:eastAsia="zh-CN" w:bidi="ar-SA"/>
              </w:rPr>
            </w:r>
            <w:r/>
          </w:p>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szCs w:val="24"/>
                <w:highlight w:val="none"/>
                <w:lang w:val="en-US" w:eastAsia="zh-CN" w:bidi="ar-SA"/>
              </w:rPr>
              <w:t xml:space="preserve">投标无效</w:t>
            </w:r>
            <w:r>
              <w:rPr>
                <w:rFonts w:hint="eastAsia" w:ascii="宋体" w:hAnsi="宋体" w:eastAsia="宋体" w:cs="宋体"/>
                <w:sz w:val="24"/>
                <w:szCs w:val="24"/>
                <w:highlight w:val="none"/>
                <w:lang w:val="en-US" w:eastAsia="zh-CN" w:bidi="ar-SA"/>
              </w:rPr>
              <w:t xml:space="preserve">。联合体形式投标的，联合体成员存在不良信用记录，视同联合体存在不良信用记录。</w:t>
            </w:r>
            <w:r>
              <w:rPr>
                <w:rFonts w:hint="eastAsia" w:ascii="宋体" w:hAnsi="宋体" w:eastAsia="宋体" w:cs="宋体"/>
                <w:sz w:val="24"/>
                <w:szCs w:val="24"/>
                <w:highlight w:val="none"/>
                <w:lang w:val="en-US" w:eastAsia="zh-CN" w:bidi="ar-SA"/>
              </w:rPr>
            </w:r>
            <w:r/>
          </w:p>
        </w:tc>
        <w:tc>
          <w:tcPr>
            <w:tcW w:w="826"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无须投标人提供，由</w:t>
            </w:r>
            <w:r>
              <w:rPr>
                <w:sz w:val="24"/>
                <w:highlight w:val="none"/>
              </w:rPr>
              <w:t xml:space="preserve">采购代理机构</w:t>
            </w:r>
            <w:r>
              <w:rPr>
                <w:rFonts w:hint="eastAsia" w:ascii="宋体" w:hAnsi="宋体" w:eastAsia="宋体" w:cs="宋体"/>
                <w:sz w:val="24"/>
                <w:szCs w:val="24"/>
                <w:highlight w:val="none"/>
                <w:lang w:val="en-US" w:eastAsia="zh-CN" w:bidi="ar-SA"/>
              </w:rPr>
              <w:t xml:space="preserve">查询。</w:t>
            </w:r>
            <w:r>
              <w:rPr>
                <w:rFonts w:hint="eastAsia" w:ascii="宋体" w:hAnsi="宋体" w:eastAsia="宋体" w:cs="宋体"/>
                <w:sz w:val="24"/>
                <w:szCs w:val="24"/>
                <w:highlight w:val="none"/>
                <w:lang w:val="en-US" w:eastAsia="zh-CN" w:bidi="ar-SA"/>
              </w:rPr>
            </w:r>
            <w:r/>
          </w:p>
        </w:tc>
      </w:tr>
      <w:tr>
        <w:trPr>
          <w:cantSplit/>
          <w:trHeight w:val="468"/>
        </w:trPr>
        <w:tc>
          <w:tcPr>
            <w:tcW w:w="460" w:type="dxa"/>
            <w:vAlign w:val="center"/>
            <w:textDirection w:val="lrTb"/>
            <w:noWrap w:val="false"/>
          </w:tcPr>
          <w:p>
            <w:pPr>
              <w:pStyle w:val="987"/>
              <w:jc w:val="center"/>
              <w:keepLines/>
              <w:keepNext/>
              <w:spacing w:before="360" w:after="120"/>
              <w:widowControl w:val="off"/>
              <w:rPr>
                <w:rFonts w:hint="eastAsia" w:ascii="宋体" w:hAnsi="宋体" w:eastAsia="宋体" w:cs="宋体"/>
                <w:b w:val="0"/>
                <w:sz w:val="24"/>
                <w:szCs w:val="24"/>
                <w:highlight w:val="none"/>
                <w:u w:val="none"/>
                <w:lang w:val="en-US" w:eastAsia="zh-CN" w:bidi="ar-SA"/>
              </w:rPr>
              <w:outlineLvl w:val="2"/>
            </w:pPr>
            <w:r>
              <w:rPr>
                <w:rFonts w:hint="eastAsia" w:ascii="宋体" w:hAnsi="宋体" w:eastAsia="宋体" w:cs="宋体"/>
                <w:b w:val="0"/>
                <w:sz w:val="24"/>
                <w:szCs w:val="24"/>
                <w:highlight w:val="none"/>
                <w:u w:val="none"/>
                <w:lang w:val="en-US" w:eastAsia="zh-CN" w:bidi="ar-SA"/>
              </w:rPr>
              <w:t xml:space="preserve">1-3</w:t>
            </w:r>
            <w:r>
              <w:rPr>
                <w:rFonts w:hint="eastAsia" w:ascii="宋体" w:hAnsi="宋体" w:eastAsia="宋体" w:cs="宋体"/>
                <w:b w:val="0"/>
                <w:sz w:val="24"/>
                <w:szCs w:val="24"/>
                <w:highlight w:val="none"/>
                <w:u w:val="none"/>
                <w:lang w:val="en-US" w:eastAsia="zh-CN" w:bidi="ar-SA"/>
              </w:rPr>
            </w:r>
            <w:r/>
          </w:p>
          <w:p>
            <w:pPr>
              <w:pStyle w:val="769"/>
              <w:jc w:val="center"/>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8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bCs/>
                <w:sz w:val="24"/>
                <w:szCs w:val="24"/>
                <w:highlight w:val="none"/>
                <w:lang w:val="en-US" w:eastAsia="zh-CN" w:bidi="ar-SA"/>
              </w:rPr>
              <w:t xml:space="preserve">营业执照副本</w:t>
            </w:r>
            <w:r>
              <w:rPr>
                <w:rFonts w:hint="eastAsia" w:ascii="宋体" w:hAnsi="宋体" w:eastAsia="宋体" w:cs="宋体"/>
                <w:sz w:val="24"/>
                <w:szCs w:val="24"/>
                <w:highlight w:val="none"/>
                <w:lang w:val="en-US" w:eastAsia="zh-CN" w:bidi="ar-SA"/>
              </w:rPr>
            </w:r>
            <w:r/>
          </w:p>
        </w:tc>
        <w:tc>
          <w:tcPr>
            <w:tcW w:w="263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提供“三证合一”的</w:t>
            </w:r>
            <w:r>
              <w:rPr>
                <w:rFonts w:hint="eastAsia" w:ascii="宋体" w:hAnsi="宋体" w:eastAsia="宋体" w:cs="宋体"/>
                <w:sz w:val="24"/>
                <w:highlight w:val="none"/>
              </w:rPr>
              <w:t xml:space="preserve">营业执照副本或事业单位法人证书</w:t>
            </w:r>
            <w:r>
              <w:rPr>
                <w:rFonts w:hint="eastAsia" w:ascii="宋体" w:hAnsi="宋体" w:eastAsia="宋体" w:cs="宋体"/>
                <w:sz w:val="24"/>
                <w:szCs w:val="24"/>
                <w:highlight w:val="none"/>
                <w:lang w:val="en-US" w:eastAsia="zh-CN" w:bidi="ar-SA"/>
              </w:rPr>
            </w:r>
            <w:r/>
          </w:p>
        </w:tc>
        <w:tc>
          <w:tcPr>
            <w:tcW w:w="826"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提供证明文件的电子件或电子证照</w:t>
            </w:r>
            <w:r>
              <w:rPr>
                <w:rFonts w:hint="eastAsia" w:ascii="宋体" w:hAnsi="宋体" w:eastAsia="宋体" w:cs="宋体"/>
                <w:sz w:val="24"/>
                <w:szCs w:val="24"/>
                <w:highlight w:val="none"/>
                <w:lang w:val="en-US" w:eastAsia="zh-CN" w:bidi="ar-SA"/>
              </w:rPr>
            </w:r>
            <w:r/>
          </w:p>
        </w:tc>
      </w:tr>
      <w:tr>
        <w:trPr>
          <w:cantSplit/>
          <w:trHeight w:val="1726"/>
        </w:trPr>
        <w:tc>
          <w:tcPr>
            <w:tcW w:w="460" w:type="dxa"/>
            <w:vAlign w:val="center"/>
            <w:textDirection w:val="lrTb"/>
            <w:noWrap w:val="false"/>
          </w:tcPr>
          <w:p>
            <w:pPr>
              <w:pStyle w:val="769"/>
              <w:jc w:val="center"/>
              <w:tabs>
                <w:tab w:val="left" w:pos="1080" w:leader="none"/>
              </w:tabs>
              <w:rPr>
                <w:rFonts w:hint="eastAsia"/>
                <w:color w:val="000000"/>
                <w:sz w:val="24"/>
                <w:szCs w:val="24"/>
                <w:highlight w:val="none"/>
                <w:lang w:val="en-US" w:eastAsia="zh-CN"/>
              </w:rPr>
            </w:pPr>
            <w:r>
              <w:rPr>
                <w:color w:val="000000"/>
                <w:sz w:val="24"/>
                <w:highlight w:val="none"/>
              </w:rPr>
              <w:t xml:space="preserve">1-4</w:t>
            </w:r>
            <w:r>
              <w:rPr>
                <w:rFonts w:hint="eastAsia"/>
                <w:color w:val="000000"/>
                <w:sz w:val="24"/>
                <w:szCs w:val="24"/>
                <w:highlight w:val="none"/>
                <w:lang w:val="en-US" w:eastAsia="zh-CN"/>
              </w:rPr>
            </w:r>
            <w:r/>
          </w:p>
        </w:tc>
        <w:tc>
          <w:tcPr>
            <w:tcW w:w="1081" w:type="dxa"/>
            <w:vAlign w:val="center"/>
            <w:textDirection w:val="lrTb"/>
            <w:noWrap w:val="false"/>
          </w:tcPr>
          <w:p>
            <w:pPr>
              <w:pStyle w:val="769"/>
              <w:jc w:val="center"/>
              <w:tabs>
                <w:tab w:val="left" w:pos="1080" w:leader="none"/>
              </w:tabs>
              <w:rPr>
                <w:rFonts w:hint="eastAsia"/>
                <w:b/>
                <w:bCs/>
                <w:color w:val="000000"/>
                <w:sz w:val="24"/>
                <w:szCs w:val="24"/>
                <w:highlight w:val="none"/>
                <w:lang w:val="en-US" w:eastAsia="zh-CN"/>
              </w:rPr>
            </w:pPr>
            <w:r>
              <w:rPr>
                <w:b/>
                <w:bCs/>
                <w:color w:val="000000"/>
                <w:sz w:val="24"/>
                <w:highlight w:val="none"/>
              </w:rPr>
              <w:t xml:space="preserve">控股管理关系</w:t>
            </w:r>
            <w:r>
              <w:rPr>
                <w:rFonts w:hint="eastAsia"/>
                <w:b/>
                <w:bCs/>
                <w:color w:val="000000"/>
                <w:sz w:val="24"/>
                <w:szCs w:val="24"/>
                <w:highlight w:val="none"/>
                <w:lang w:val="en-US" w:eastAsia="zh-CN"/>
              </w:rPr>
            </w:r>
            <w:r/>
          </w:p>
        </w:tc>
        <w:tc>
          <w:tcPr>
            <w:tcW w:w="2631" w:type="dxa"/>
            <w:vAlign w:val="center"/>
            <w:textDirection w:val="lrTb"/>
            <w:noWrap w:val="false"/>
          </w:tcPr>
          <w:p>
            <w:pPr>
              <w:pStyle w:val="769"/>
              <w:rPr>
                <w:rFonts w:hint="eastAsia"/>
                <w:b/>
                <w:bCs/>
                <w:color w:val="000000"/>
                <w:sz w:val="24"/>
                <w:szCs w:val="24"/>
                <w:highlight w:val="none"/>
                <w:lang w:val="en-US" w:eastAsia="zh-CN"/>
              </w:rPr>
            </w:pPr>
            <w:r>
              <w:rPr>
                <w:b/>
                <w:bCs/>
                <w:color w:val="000000"/>
                <w:sz w:val="24"/>
                <w:highlight w:val="none"/>
              </w:rPr>
              <w:t xml:space="preserve">单位负责人为同一人或者存在直接控股、管理关系的不同投标人，不得参加同一合同项下的采购活动；与招标人存在利害关系可能影响招标公正性的法人、其他组织，不得参加投标。</w:t>
            </w:r>
            <w:r>
              <w:rPr>
                <w:rFonts w:hint="eastAsia"/>
                <w:b/>
                <w:bCs/>
                <w:color w:val="000000"/>
                <w:sz w:val="24"/>
                <w:szCs w:val="24"/>
                <w:highlight w:val="none"/>
                <w:lang w:val="en-US" w:eastAsia="zh-CN"/>
              </w:rPr>
            </w:r>
            <w:r/>
          </w:p>
        </w:tc>
        <w:tc>
          <w:tcPr>
            <w:tcW w:w="826" w:type="dxa"/>
            <w:vAlign w:val="center"/>
            <w:textDirection w:val="lrTb"/>
            <w:noWrap w:val="false"/>
          </w:tcPr>
          <w:p>
            <w:pPr>
              <w:pStyle w:val="769"/>
              <w:tabs>
                <w:tab w:val="left" w:pos="1080" w:leader="none"/>
              </w:tabs>
              <w:rPr>
                <w:rFonts w:hint="eastAsia"/>
                <w:b/>
                <w:bCs/>
                <w:color w:val="000000"/>
                <w:sz w:val="24"/>
                <w:szCs w:val="24"/>
                <w:highlight w:val="none"/>
                <w:lang w:val="en-US" w:eastAsia="zh-CN"/>
              </w:rPr>
            </w:pPr>
            <w:r>
              <w:rPr>
                <w:b/>
                <w:bCs/>
                <w:color w:val="000000"/>
                <w:sz w:val="24"/>
                <w:highlight w:val="none"/>
              </w:rPr>
              <w:t xml:space="preserve">管理关系或控股关系信息情况表，格式见《投标文件格式》</w:t>
            </w:r>
            <w:r>
              <w:rPr>
                <w:rFonts w:hint="eastAsia"/>
                <w:b/>
                <w:bCs/>
                <w:color w:val="000000"/>
                <w:sz w:val="24"/>
                <w:szCs w:val="24"/>
                <w:highlight w:val="none"/>
                <w:lang w:val="en-US" w:eastAsia="zh-CN"/>
              </w:rPr>
            </w:r>
            <w:r/>
          </w:p>
        </w:tc>
      </w:tr>
      <w:tr>
        <w:trPr>
          <w:cantSplit/>
          <w:trHeight w:val="468"/>
        </w:trPr>
        <w:tc>
          <w:tcPr>
            <w:tcW w:w="460" w:type="dxa"/>
            <w:vAlign w:val="center"/>
            <w:textDirection w:val="lrTb"/>
            <w:noWrap w:val="false"/>
          </w:tcPr>
          <w:p>
            <w:pPr>
              <w:pStyle w:val="769"/>
              <w:jc w:val="center"/>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08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w:t>
            </w:r>
            <w:r>
              <w:rPr>
                <w:rFonts w:hint="eastAsia" w:ascii="宋体" w:hAnsi="宋体" w:eastAsia="宋体" w:cs="宋体"/>
                <w:sz w:val="24"/>
                <w:szCs w:val="24"/>
                <w:highlight w:val="none"/>
                <w:lang w:val="en-US" w:eastAsia="zh-CN" w:bidi="ar-SA"/>
              </w:rPr>
            </w:r>
            <w:r/>
          </w:p>
        </w:tc>
        <w:tc>
          <w:tcPr>
            <w:tcW w:w="263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具体要求见第一章《投标邀请》</w:t>
            </w:r>
            <w:r>
              <w:rPr>
                <w:rFonts w:hint="eastAsia" w:ascii="宋体" w:hAnsi="宋体" w:eastAsia="宋体" w:cs="宋体"/>
                <w:sz w:val="24"/>
                <w:szCs w:val="24"/>
                <w:highlight w:val="none"/>
                <w:lang w:val="en-US" w:eastAsia="zh-CN" w:bidi="ar-SA"/>
              </w:rPr>
            </w:r>
            <w:r/>
          </w:p>
        </w:tc>
        <w:tc>
          <w:tcPr>
            <w:tcW w:w="826"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68"/>
        </w:trPr>
        <w:tc>
          <w:tcPr>
            <w:tcW w:w="460" w:type="dxa"/>
            <w:vAlign w:val="center"/>
            <w:textDirection w:val="lrTb"/>
            <w:noWrap w:val="false"/>
          </w:tcPr>
          <w:p>
            <w:pPr>
              <w:pStyle w:val="769"/>
              <w:jc w:val="center"/>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108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本项目的特定资格要求</w:t>
            </w:r>
            <w:r>
              <w:rPr>
                <w:rFonts w:hint="eastAsia" w:ascii="宋体" w:hAnsi="宋体" w:eastAsia="宋体" w:cs="宋体"/>
                <w:sz w:val="24"/>
                <w:szCs w:val="24"/>
                <w:highlight w:val="none"/>
                <w:lang w:val="en-US" w:eastAsia="zh-CN" w:bidi="ar-SA"/>
              </w:rPr>
            </w:r>
            <w:r/>
          </w:p>
        </w:tc>
        <w:tc>
          <w:tcPr>
            <w:tcW w:w="2631"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如有，见第一章《投标邀请》</w:t>
            </w:r>
            <w:r>
              <w:rPr>
                <w:rFonts w:hint="eastAsia" w:ascii="宋体" w:hAnsi="宋体" w:eastAsia="宋体" w:cs="宋体"/>
                <w:sz w:val="24"/>
                <w:szCs w:val="24"/>
                <w:highlight w:val="none"/>
                <w:lang w:val="en-US" w:eastAsia="zh-CN" w:bidi="ar-SA"/>
              </w:rPr>
            </w:r>
            <w:r/>
          </w:p>
        </w:tc>
        <w:tc>
          <w:tcPr>
            <w:tcW w:w="826" w:type="dxa"/>
            <w:vAlign w:val="center"/>
            <w:textDirection w:val="lrTb"/>
            <w:noWrap w:val="false"/>
          </w:tcPr>
          <w:p>
            <w:pPr>
              <w:pStyle w:val="769"/>
              <w:jc w:val="both"/>
              <w:widowControl w:val="off"/>
              <w:tabs>
                <w:tab w:val="left" w:pos="10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69"/>
        <w:jc w:val="left"/>
        <w:widowControl/>
        <w:rPr>
          <w:rFonts w:hint="eastAsia" w:ascii="宋体" w:hAnsi="宋体" w:eastAsia="宋体" w:cs="宋体"/>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bookmarkStart w:id="732" w:name="_Toc127151779"/>
      <w:r/>
      <w:bookmarkStart w:id="733" w:name="_Toc353873940"/>
      <w:r/>
      <w:bookmarkStart w:id="734" w:name="_Toc353825550"/>
      <w:r/>
      <w:bookmarkStart w:id="735" w:name="_Toc226965858"/>
      <w:r/>
      <w:bookmarkStart w:id="736" w:name="_Toc127161490"/>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769"/>
        <w:jc w:val="center"/>
        <w:spacing w:line="360" w:lineRule="auto"/>
        <w:rPr>
          <w:rFonts w:hint="eastAsia" w:ascii="宋体" w:hAnsi="宋体" w:eastAsia="宋体" w:cs="宋体"/>
          <w:b/>
          <w:sz w:val="36"/>
          <w:szCs w:val="36"/>
          <w:highlight w:val="none"/>
        </w:rPr>
        <w:outlineLvl w:val="0"/>
      </w:pPr>
      <w:r/>
      <w:bookmarkStart w:id="737" w:name="_Toc13280"/>
      <w:r/>
      <w:bookmarkStart w:id="738" w:name="_Toc32523"/>
      <w:r>
        <w:rPr>
          <w:rFonts w:hint="eastAsia" w:ascii="宋体" w:hAnsi="宋体" w:eastAsia="宋体" w:cs="宋体"/>
          <w:b/>
          <w:sz w:val="36"/>
          <w:szCs w:val="36"/>
          <w:highlight w:val="none"/>
        </w:rPr>
        <w:t xml:space="preserve">第四章   </w:t>
      </w:r>
      <w:bookmarkEnd w:id="732"/>
      <w:r/>
      <w:bookmarkEnd w:id="733"/>
      <w:r/>
      <w:bookmarkEnd w:id="734"/>
      <w:r/>
      <w:bookmarkEnd w:id="735"/>
      <w:r/>
      <w:bookmarkEnd w:id="736"/>
      <w:r/>
      <w:bookmarkStart w:id="739" w:name="_Hlt164229061"/>
      <w:r/>
      <w:bookmarkEnd w:id="739"/>
      <w:r>
        <w:rPr>
          <w:rFonts w:hint="eastAsia" w:ascii="宋体" w:hAnsi="宋体" w:eastAsia="宋体" w:cs="宋体"/>
          <w:b/>
          <w:sz w:val="36"/>
          <w:szCs w:val="36"/>
          <w:highlight w:val="none"/>
        </w:rPr>
        <w:t xml:space="preserve">评标程序、评标方法和评标标准</w:t>
      </w:r>
      <w:bookmarkEnd w:id="737"/>
      <w:r/>
      <w:bookmarkEnd w:id="738"/>
      <w:r>
        <w:rPr>
          <w:rFonts w:hint="eastAsia" w:ascii="宋体" w:hAnsi="宋体" w:eastAsia="宋体" w:cs="宋体"/>
          <w:b/>
          <w:sz w:val="36"/>
          <w:szCs w:val="36"/>
          <w:highlight w:val="none"/>
        </w:rPr>
      </w:r>
      <w:r/>
    </w:p>
    <w:p>
      <w:pPr>
        <w:pStyle w:val="769"/>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rPr>
          <w:rFonts w:hint="eastAsia" w:ascii="宋体" w:hAnsi="宋体" w:eastAsia="宋体" w:cs="宋体"/>
          <w:b/>
          <w:highlight w:val="none"/>
        </w:rPr>
      </w:r>
      <w:r/>
    </w:p>
    <w:p>
      <w:pPr>
        <w:pStyle w:val="769"/>
        <w:numPr>
          <w:ilvl w:val="0"/>
          <w:numId w:val="10"/>
        </w:numPr>
        <w:spacing w:line="360" w:lineRule="auto"/>
        <w:tabs>
          <w:tab w:val="left" w:pos="360" w:leader="none"/>
          <w:tab w:val="left" w:pos="900" w:leader="none"/>
        </w:tabs>
        <w:rPr>
          <w:rFonts w:hint="eastAsia" w:ascii="宋体" w:hAnsi="宋体" w:eastAsia="宋体" w:cs="宋体"/>
          <w:sz w:val="24"/>
          <w:highlight w:val="none"/>
        </w:rPr>
        <w:outlineLvl w:val="1"/>
      </w:pPr>
      <w:r/>
      <w:bookmarkStart w:id="740" w:name="_Toc164351635"/>
      <w:r/>
      <w:bookmarkStart w:id="741" w:name="_Toc305158883"/>
      <w:r/>
      <w:bookmarkStart w:id="742" w:name="_Toc264969231"/>
      <w:r/>
      <w:bookmarkStart w:id="743" w:name="_Toc226309785"/>
      <w:r/>
      <w:bookmarkStart w:id="744" w:name="_Toc164229382"/>
      <w:r/>
      <w:bookmarkStart w:id="745" w:name="_Toc127151742"/>
      <w:r/>
      <w:bookmarkStart w:id="746" w:name="_Toc164608655"/>
      <w:r/>
      <w:bookmarkStart w:id="747" w:name="_Toc151193855"/>
      <w:r/>
      <w:bookmarkStart w:id="748" w:name="_Toc164229236"/>
      <w:r/>
      <w:bookmarkStart w:id="749" w:name="_Toc151193639"/>
      <w:r/>
      <w:bookmarkStart w:id="750" w:name="_Toc226965731"/>
      <w:r/>
      <w:bookmarkStart w:id="751" w:name="_Toc151193711"/>
      <w:r/>
      <w:bookmarkStart w:id="752" w:name="_Toc164608810"/>
      <w:r/>
      <w:bookmarkStart w:id="753" w:name="_Toc151190168"/>
      <w:r/>
      <w:bookmarkStart w:id="754" w:name="_Toc142311043"/>
      <w:r/>
      <w:bookmarkStart w:id="755" w:name="_Toc151193929"/>
      <w:r/>
      <w:bookmarkStart w:id="756" w:name="_Toc127161455"/>
      <w:r/>
      <w:bookmarkStart w:id="757" w:name="_Toc150509292"/>
      <w:r/>
      <w:bookmarkStart w:id="758" w:name="_Toc226965814"/>
      <w:r/>
      <w:bookmarkStart w:id="759" w:name="_Toc149720834"/>
      <w:r/>
      <w:bookmarkStart w:id="760" w:name="_Toc127151541"/>
      <w:r/>
      <w:bookmarkStart w:id="761" w:name="_Toc305158809"/>
      <w:r/>
      <w:bookmarkStart w:id="762" w:name="_Toc150480779"/>
      <w:r/>
      <w:bookmarkStart w:id="763" w:name="_Toc195842906"/>
      <w:r/>
      <w:bookmarkStart w:id="764" w:name="_Toc265228379"/>
      <w:r/>
      <w:bookmarkStart w:id="765" w:name="_Toc150774641"/>
      <w:r/>
      <w:bookmarkStart w:id="766" w:name="_Toc151193783"/>
      <w:r/>
      <w:bookmarkStart w:id="767" w:name="_Toc150774746"/>
      <w:r/>
      <w:bookmarkStart w:id="768" w:name="_Toc226337237"/>
      <w:r/>
      <w:bookmarkStart w:id="769" w:name="_Toc353825551"/>
      <w:r/>
      <w:bookmarkStart w:id="770" w:name="_Toc353873941"/>
      <w:r/>
      <w:bookmarkStart w:id="771" w:name="_Toc305158897"/>
      <w:r/>
      <w:bookmarkStart w:id="772" w:name="_Toc353825545"/>
      <w:r/>
      <w:bookmarkStart w:id="773" w:name="_Toc226337251"/>
      <w:r/>
      <w:bookmarkStart w:id="774" w:name="_Toc150774760"/>
      <w:r/>
      <w:bookmarkStart w:id="775" w:name="_Toc195842920"/>
      <w:r/>
      <w:bookmarkStart w:id="776" w:name="_Toc353873935"/>
      <w:r/>
      <w:bookmarkStart w:id="777" w:name="_Toc142311057"/>
      <w:r/>
      <w:bookmarkStart w:id="778" w:name="_Toc226965828"/>
      <w:r/>
      <w:bookmarkStart w:id="779" w:name="_Toc305158823"/>
      <w:r/>
      <w:bookmarkStart w:id="780" w:name="_Toc264969245"/>
      <w:r/>
      <w:bookmarkStart w:id="781" w:name="_Toc150480793"/>
      <w:r/>
      <w:bookmarkStart w:id="782" w:name="_Toc265228393"/>
      <w:r/>
      <w:bookmarkStart w:id="783" w:name="_Toc353873665"/>
      <w:r/>
      <w:bookmarkStart w:id="784" w:name="_Toc127151555"/>
      <w:r>
        <w:rPr>
          <w:rFonts w:hint="eastAsia" w:ascii="宋体" w:hAnsi="宋体" w:eastAsia="宋体" w:cs="宋体"/>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785" w:name="_Toc520356167"/>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5"/>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hanging="357"/>
        <w:jc w:val="center"/>
        <w:spacing w:line="360" w:lineRule="auto"/>
        <w:tabs>
          <w:tab w:val="left" w:pos="900" w:leader="none"/>
          <w:tab w:val="left" w:pos="1080" w:leader="none"/>
          <w:tab w:val="left" w:pos="1589"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rPr>
          <w:rFonts w:hint="eastAsia" w:ascii="宋体" w:hAnsi="宋体" w:eastAsia="宋体" w:cs="宋体"/>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30"/>
      </w:tblGrid>
      <w:tr>
        <w:trPr>
          <w:trHeight w:val="300"/>
        </w:trPr>
        <w:tc>
          <w:tcPr>
            <w:tcW w:w="402" w:type="dxa"/>
            <w:vAlign w:val="center"/>
            <w:textDirection w:val="lrTb"/>
            <w:noWrap w:val="false"/>
          </w:tcPr>
          <w:p>
            <w:pPr>
              <w:pStyle w:val="769"/>
              <w:jc w:val="center"/>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975" w:type="dxa"/>
            <w:vAlign w:val="center"/>
            <w:textDirection w:val="lrTb"/>
            <w:noWrap w:val="false"/>
          </w:tcPr>
          <w:p>
            <w:pPr>
              <w:pStyle w:val="769"/>
              <w:jc w:val="center"/>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c>
          <w:tcPr>
            <w:tcW w:w="3621" w:type="dxa"/>
            <w:vAlign w:val="center"/>
            <w:textDirection w:val="lrTb"/>
            <w:noWrap w:val="false"/>
          </w:tcPr>
          <w:p>
            <w:pPr>
              <w:pStyle w:val="769"/>
              <w:jc w:val="center"/>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审查内容</w:t>
            </w:r>
            <w:r>
              <w:rPr>
                <w:rFonts w:hint="eastAsia" w:ascii="宋体" w:hAnsi="宋体" w:eastAsia="宋体" w:cs="宋体"/>
                <w:b/>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投标函、法定代表人资格证明书和政府采购供应商信用承诺书</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按招标文件要求提供投标函、法定代表人资格证明书和政府采购供应商信用承诺书</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投标完整性</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未将一个采购包中的内容拆开投标；</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投标报价</w:t>
            </w:r>
            <w:r>
              <w:rPr>
                <w:rFonts w:hint="eastAsia" w:ascii="宋体" w:hAnsi="宋体" w:eastAsia="宋体" w:cs="宋体"/>
                <w:b/>
                <w:bCs/>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b/>
                <w:bCs/>
                <w:sz w:val="24"/>
                <w:szCs w:val="24"/>
                <w:highlight w:val="none"/>
                <w:lang w:val="en-US" w:eastAsia="zh-CN" w:bidi="ar-SA"/>
              </w:rPr>
            </w:pPr>
            <w:r>
              <w:rPr>
                <w:rFonts w:hint="eastAsia" w:ascii="宋体" w:hAnsi="宋体" w:eastAsia="宋体" w:cs="宋体"/>
                <w:sz w:val="24"/>
                <w:highlight w:val="none"/>
              </w:rPr>
              <w:t xml:space="preserve">投标报价未超过招标文件中规定的项目/采购包预算金额或者项目/采购包最高限价；</w:t>
            </w:r>
            <w:r>
              <w:rPr>
                <w:rFonts w:hint="eastAsia" w:ascii="宋体" w:hAnsi="宋体" w:eastAsia="宋体" w:cs="宋体"/>
                <w:b/>
                <w:bCs/>
                <w:sz w:val="24"/>
                <w:szCs w:val="24"/>
                <w:highlight w:val="none"/>
                <w:lang w:val="en-US" w:eastAsia="zh-CN" w:bidi="ar-SA"/>
              </w:rPr>
            </w:r>
            <w:r/>
          </w:p>
        </w:tc>
      </w:tr>
      <w:tr>
        <w:trPr>
          <w:trHeight w:val="663"/>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报价唯一性</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投标文件未出现可选择性或可调整的报价（招标文件另有规定的除外）；</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投标有效期</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投标文件中承诺的投标有效期满足招标文件中载明的投标有效期的；</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签署、加盖公章</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按照招标文件要求签署、加盖公章的；</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实质性格式</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标记为“实质性格式”的文件均按招标文件要求提供；</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★号条款响应</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投标文件满足招标文件第四章《采购需求》中★号条款要求的；</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分包承担主体资质（如有）</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分包承担主体具备《投标人须知资料表》载明的资质条件且提供了资质证书电子件（如有）；</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分包意向协议</w:t>
            </w:r>
            <w:r>
              <w:rPr>
                <w:rFonts w:hint="eastAsia" w:ascii="宋体" w:hAnsi="宋体" w:eastAsia="宋体" w:cs="宋体"/>
                <w:sz w:val="24"/>
                <w:szCs w:val="24"/>
                <w:highlight w:val="none"/>
                <w:lang w:val="en-US" w:eastAsia="zh-CN" w:bidi="ar-SA"/>
              </w:rPr>
            </w:r>
            <w:r/>
          </w:p>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按招标文件规定签订并提供分包意向协议原件的电子件的；（如有）</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报价的修正（如有）</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不涉及报价修正，或投标文件报价出现前后不一致时，投标人对修正后的报价予以确认；（如有）</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报价合理性</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报价合理，或投标人的报价明显低于其他通过符合性审查投标人的报价，有可能影响产品质量或者不能诚信履约的，能够应评标委员会要求在规定时间内证明其报价合理性的；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sz w:val="24"/>
                <w:highlight w:val="none"/>
                <w:lang w:val="en-US" w:bidi="ar-SA"/>
              </w:rPr>
              <w:t xml:space="preserve">（</w:t>
            </w:r>
            <w:r>
              <w:rPr>
                <w:rFonts w:hint="eastAsia" w:ascii="宋体" w:hAnsi="宋体" w:eastAsia="宋体" w:cs="宋体"/>
                <w:sz w:val="24"/>
                <w:highlight w:val="none"/>
                <w:lang w:val="en-US" w:eastAsia="zh-CN" w:bidi="ar-SA"/>
              </w:rPr>
              <w:t xml:space="preserve">详见</w:t>
            </w:r>
            <w:r>
              <w:rPr>
                <w:rFonts w:hint="eastAsia" w:ascii="宋体" w:hAnsi="宋体" w:eastAsia="宋体" w:cs="宋体"/>
                <w:sz w:val="24"/>
                <w:highlight w:val="none"/>
                <w:lang w:val="en-US" w:bidi="ar-SA"/>
              </w:rPr>
              <w:t xml:space="preserve">《关于推动解决政府采购异常低价问题的通知》财库〔2026〕2号）</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进口产品</w:t>
            </w:r>
            <w:r>
              <w:rPr>
                <w:rFonts w:hint="eastAsia" w:ascii="宋体" w:hAnsi="宋体" w:eastAsia="宋体" w:cs="宋体"/>
                <w:sz w:val="24"/>
                <w:szCs w:val="24"/>
                <w:highlight w:val="none"/>
                <w:lang w:val="en-US" w:eastAsia="zh-CN" w:bidi="ar-SA"/>
              </w:rPr>
            </w:r>
            <w:r/>
          </w:p>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招标文件不接受进口产品投标的内容时，投标人所投产品非进口产品的；</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国家有关部门对投标人的投标产品有强制性规定或要求的</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国家有关部门对投标人(供应商)的投标产品有强制性规定或要求的，如有下列情形的，投标人(供应商)的投标产品应符合相应规定或要求，并提供证明文件电子件：</w:t>
            </w:r>
            <w:r>
              <w:rPr>
                <w:rFonts w:hint="eastAsia" w:ascii="宋体" w:hAnsi="宋体" w:eastAsia="宋体" w:cs="宋体"/>
                <w:sz w:val="24"/>
                <w:szCs w:val="24"/>
                <w:highlight w:val="none"/>
                <w:lang w:val="en-US" w:eastAsia="zh-CN" w:bidi="ar-SA"/>
              </w:rPr>
            </w:r>
            <w:r/>
          </w:p>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公平竞争</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投标人遵循公平竞争的原则，不存在恶意串通，妨碍其他投标人的竞争行为，不存在损害采购人或者其他投标人的合法权益情形的；</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串通投标</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附加条件</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投标文件未含有采购人不能接受的附加条件的；</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其他无效情形</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投标人、投标文件不存在不符合法律、法规和招标文件规定的其他无效情形。</w:t>
            </w:r>
            <w:r>
              <w:rPr>
                <w:rFonts w:hint="eastAsia" w:ascii="宋体" w:hAnsi="宋体" w:eastAsia="宋体" w:cs="宋体"/>
                <w:sz w:val="24"/>
                <w:szCs w:val="24"/>
                <w:highlight w:val="none"/>
                <w:lang w:val="en-US" w:eastAsia="zh-CN" w:bidi="ar-SA"/>
              </w:rPr>
            </w:r>
            <w:r/>
          </w:p>
        </w:tc>
      </w:tr>
      <w:tr>
        <w:trPr>
          <w:trHeight w:val="685"/>
        </w:trPr>
        <w:tc>
          <w:tcPr>
            <w:tcW w:w="402" w:type="dxa"/>
            <w:vAlign w:val="center"/>
            <w:textDirection w:val="lrTb"/>
            <w:noWrap w:val="false"/>
          </w:tcPr>
          <w:p>
            <w:pPr>
              <w:pStyle w:val="76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w:t>
            </w:r>
            <w:r>
              <w:rPr>
                <w:rFonts w:hint="eastAsia" w:ascii="宋体" w:hAnsi="宋体" w:eastAsia="宋体" w:cs="宋体"/>
                <w:sz w:val="24"/>
                <w:szCs w:val="24"/>
                <w:highlight w:val="none"/>
                <w:lang w:val="en-US" w:eastAsia="zh-CN" w:bidi="ar-SA"/>
              </w:rPr>
            </w:r>
            <w:r/>
          </w:p>
        </w:tc>
        <w:tc>
          <w:tcPr>
            <w:tcW w:w="975"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重大偏离</w:t>
            </w:r>
            <w:r>
              <w:rPr>
                <w:rFonts w:hint="eastAsia" w:ascii="宋体" w:hAnsi="宋体" w:eastAsia="宋体" w:cs="宋体"/>
                <w:sz w:val="24"/>
                <w:szCs w:val="24"/>
                <w:highlight w:val="none"/>
                <w:lang w:val="en-US" w:eastAsia="zh-CN" w:bidi="ar-SA"/>
              </w:rPr>
            </w:r>
            <w:r/>
          </w:p>
        </w:tc>
        <w:tc>
          <w:tcPr>
            <w:tcW w:w="3621" w:type="dxa"/>
            <w:vAlign w:val="center"/>
            <w:textDirection w:val="lrTb"/>
            <w:noWrap w:val="false"/>
          </w:tcPr>
          <w:p>
            <w:pPr>
              <w:pStyle w:val="769"/>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经评标委员会认定与招标文件有重大偏离和保留；</w:t>
            </w:r>
            <w:r>
              <w:rPr>
                <w:rFonts w:hint="eastAsia" w:ascii="宋体" w:hAnsi="宋体" w:eastAsia="宋体" w:cs="宋体"/>
                <w:sz w:val="24"/>
                <w:szCs w:val="24"/>
                <w:highlight w:val="none"/>
                <w:lang w:val="en-US" w:eastAsia="zh-CN" w:bidi="ar-SA"/>
              </w:rPr>
            </w:r>
            <w:r/>
          </w:p>
          <w:p>
            <w:pPr>
              <w:pStyle w:val="1180"/>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4"/>
                <w:szCs w:val="24"/>
                <w:highlight w:val="none"/>
                <w:lang w:val="en-US" w:eastAsia="zh-CN" w:bidi="ar-SA"/>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int="eastAsia" w:ascii="宋体" w:hAnsi="宋体" w:eastAsia="宋体" w:cs="宋体"/>
                <w:sz w:val="21"/>
                <w:szCs w:val="24"/>
                <w:highlight w:val="none"/>
                <w:lang w:val="en-US" w:eastAsia="zh-CN" w:bidi="ar-SA"/>
              </w:rPr>
            </w:r>
            <w:r/>
          </w:p>
        </w:tc>
      </w:tr>
    </w:tbl>
    <w:p>
      <w:pPr>
        <w:pStyle w:val="769"/>
        <w:numPr>
          <w:ilvl w:val="0"/>
          <w:numId w:val="10"/>
        </w:numP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投标文件有关事项的澄清或者说明</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评审过程中出现下列情形之一的，评标委员会应当启动异常低价投标审查程序：</w:t>
      </w:r>
      <w:r>
        <w:rPr>
          <w:rFonts w:hint="eastAsia" w:ascii="宋体" w:hAnsi="宋体" w:eastAsia="宋体" w:cs="宋体"/>
          <w:sz w:val="24"/>
          <w:highlight w:val="none"/>
        </w:rPr>
      </w:r>
      <w:r/>
    </w:p>
    <w:p>
      <w:pPr>
        <w:pStyle w:val="1024"/>
        <w:numPr>
          <w:ilvl w:val="2"/>
          <w:numId w:val="10"/>
        </w:numPr>
        <w:jc w:val="left"/>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投标（响应）报价低于全部通过符合性审查供应商投标（响应）报价平均值50%的，即投标（响应）报价</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全部通过符合性审查供应商投标（响应）报价平均值×50%；</w:t>
      </w:r>
      <w:r>
        <w:rPr>
          <w:rFonts w:hint="eastAsia" w:ascii="宋体" w:hAnsi="宋体" w:eastAsia="宋体" w:cs="宋体"/>
          <w:color w:val="000000"/>
          <w:sz w:val="24"/>
          <w:highlight w:val="none"/>
        </w:rPr>
      </w:r>
      <w:r/>
    </w:p>
    <w:p>
      <w:pPr>
        <w:pStyle w:val="1024"/>
        <w:numPr>
          <w:ilvl w:val="2"/>
          <w:numId w:val="10"/>
        </w:numPr>
        <w:jc w:val="left"/>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投标（响应）报价低于通过符合性审查的次低报价供应商投标（响应）报价50%的，即投标（响应）报价</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通过符合性审查的次低报价供应商投标（响应）报价×50%；</w:t>
      </w:r>
      <w:r>
        <w:rPr>
          <w:rFonts w:hint="eastAsia" w:ascii="宋体" w:hAnsi="宋体" w:eastAsia="宋体" w:cs="宋体"/>
          <w:color w:val="000000"/>
          <w:sz w:val="24"/>
          <w:highlight w:val="none"/>
        </w:rPr>
      </w:r>
      <w:r/>
    </w:p>
    <w:p>
      <w:pPr>
        <w:pStyle w:val="1024"/>
        <w:numPr>
          <w:ilvl w:val="2"/>
          <w:numId w:val="10"/>
        </w:numPr>
        <w:jc w:val="left"/>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投标（响应）报价低于采购项目最高限价45%的，即投标（响应）报价</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采购项目最高限价×45%；</w:t>
      </w:r>
      <w:r>
        <w:rPr>
          <w:rFonts w:hint="eastAsia" w:ascii="宋体" w:hAnsi="宋体" w:eastAsia="宋体" w:cs="宋体"/>
          <w:color w:val="000000"/>
          <w:sz w:val="24"/>
          <w:highlight w:val="none"/>
        </w:rPr>
      </w:r>
      <w:r/>
    </w:p>
    <w:p>
      <w:pPr>
        <w:pStyle w:val="1024"/>
        <w:numPr>
          <w:ilvl w:val="2"/>
          <w:numId w:val="10"/>
        </w:numPr>
        <w:jc w:val="left"/>
        <w:spacing w:line="360" w:lineRule="auto"/>
        <w:tabs>
          <w:tab w:val="clear"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69"/>
        <w:numPr>
          <w:ilvl w:val="0"/>
          <w:numId w:val="0"/>
        </w:numPr>
        <w:ind w:left="0" w:firstLine="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769"/>
        <w:numPr>
          <w:ilvl w:val="0"/>
          <w:numId w:val="0"/>
        </w:numPr>
        <w:ind w:left="357"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769"/>
        <w:numPr>
          <w:ilvl w:val="0"/>
          <w:numId w:val="0"/>
        </w:numPr>
        <w:ind w:left="357"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769"/>
        <w:numPr>
          <w:ilvl w:val="0"/>
          <w:numId w:val="0"/>
        </w:numPr>
        <w:ind w:left="357"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投标文件报价出现前后不一致的，按照下列规定修正：</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招标文件对于报价修正是否另有规定：</w:t>
      </w:r>
      <w:r>
        <w:rPr>
          <w:rFonts w:hint="eastAsia" w:ascii="宋体" w:hAnsi="宋体" w:eastAsia="宋体" w:cs="宋体"/>
          <w:sz w:val="24"/>
          <w:highlight w:val="none"/>
        </w:rPr>
      </w:r>
      <w:r/>
    </w:p>
    <w:p>
      <w:pPr>
        <w:pStyle w:val="769"/>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□有，具体规定为：______________</w:t>
      </w:r>
      <w:r>
        <w:rPr>
          <w:rFonts w:hint="eastAsia" w:ascii="宋体" w:hAnsi="宋体" w:eastAsia="宋体" w:cs="宋体"/>
          <w:sz w:val="24"/>
          <w:highlight w:val="none"/>
          <w:u w:val="single"/>
        </w:rPr>
      </w:r>
      <w:r/>
    </w:p>
    <w:p>
      <w:pPr>
        <w:pStyle w:val="769"/>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■无，按下述2.4.2-2.4.7项规定修正。</w:t>
      </w:r>
      <w:r>
        <w:rPr>
          <w:rFonts w:hint="eastAsia" w:ascii="宋体" w:hAnsi="宋体" w:eastAsia="宋体" w:cs="宋体"/>
          <w:sz w:val="24"/>
          <w:highlight w:val="none"/>
        </w:rPr>
      </w:r>
      <w:r/>
    </w:p>
    <w:p>
      <w:pPr>
        <w:pStyle w:val="769"/>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sz w:val="24"/>
          <w:highlight w:val="none"/>
        </w:rPr>
      </w:r>
      <w:r/>
    </w:p>
    <w:p>
      <w:pPr>
        <w:pStyle w:val="769"/>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投标文件中开标一览表（报价表）内容与投标文件中相应内容不一致的，以开标一览表（报价表）为准；</w:t>
      </w:r>
      <w:r>
        <w:rPr>
          <w:rFonts w:hint="eastAsia" w:ascii="宋体" w:hAnsi="宋体" w:eastAsia="宋体" w:cs="宋体"/>
          <w:sz w:val="24"/>
          <w:highlight w:val="none"/>
        </w:rPr>
      </w:r>
      <w:r/>
    </w:p>
    <w:p>
      <w:pPr>
        <w:pStyle w:val="769"/>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大写金额和小写金额不一致的，以大写金额为准；</w:t>
      </w:r>
      <w:r>
        <w:rPr>
          <w:rFonts w:hint="eastAsia" w:ascii="宋体" w:hAnsi="宋体" w:eastAsia="宋体" w:cs="宋体"/>
          <w:sz w:val="24"/>
          <w:highlight w:val="none"/>
        </w:rPr>
      </w:r>
      <w:r/>
    </w:p>
    <w:p>
      <w:pPr>
        <w:pStyle w:val="769"/>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单价金额小数点或者百分比有明显错位的，以开标一览表的总价为准，并修改单价；</w:t>
      </w:r>
      <w:r>
        <w:rPr>
          <w:rFonts w:hint="eastAsia" w:ascii="宋体" w:hAnsi="宋体" w:eastAsia="宋体" w:cs="宋体"/>
          <w:sz w:val="24"/>
          <w:highlight w:val="none"/>
        </w:rPr>
      </w:r>
      <w:r/>
    </w:p>
    <w:p>
      <w:pPr>
        <w:pStyle w:val="769"/>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总价金额与按单价汇总金额不一致的，以单价金额计算结果为准。</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残疾人福利性单位按招标文件要求提供了《残疾人福利性单位声明函》（见附件）的，视同小微企业。</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s>
        <w:rPr>
          <w:rFonts w:hint="eastAsia" w:ascii="宋体" w:hAnsi="宋体" w:eastAsia="宋体" w:cs="宋体"/>
          <w:sz w:val="24"/>
          <w:highlight w:val="none"/>
          <w:u w:val="none"/>
        </w:rPr>
      </w:pPr>
      <w:r>
        <w:rPr>
          <w:rFonts w:hint="eastAsia" w:ascii="宋体" w:hAnsi="宋体" w:eastAsia="宋体" w:cs="宋体"/>
          <w:b w:val="0"/>
          <w:bCs w:val="0"/>
          <w:sz w:val="24"/>
          <w:highlight w:val="none"/>
          <w:u w:val="none"/>
        </w:rPr>
        <w:t xml:space="preserve">采购本国产品的支持政策</w:t>
      </w:r>
      <w:r>
        <w:rPr>
          <w:rFonts w:hint="eastAsia" w:ascii="宋体" w:hAnsi="宋体" w:eastAsia="宋体" w:cs="宋体"/>
          <w:sz w:val="24"/>
          <w:highlight w:val="none"/>
          <w:u w:val="none"/>
        </w:rPr>
      </w:r>
      <w:r/>
    </w:p>
    <w:p>
      <w:pPr>
        <w:pStyle w:val="769"/>
        <w:numPr>
          <w:ilvl w:val="2"/>
          <w:numId w:val="10"/>
        </w:numPr>
        <w:ind w:left="1980" w:hanging="900"/>
        <w:spacing w:line="360" w:lineRule="auto"/>
        <w:tabs>
          <w:tab w:val="left" w:pos="1080" w:leader="none"/>
          <w:tab w:val="left" w:pos="1589" w:leader="none"/>
          <w:tab w:val="left" w:pos="2035" w:leader="none"/>
        </w:tabs>
        <w:rPr>
          <w:rFonts w:hint="eastAsia" w:ascii="宋体" w:hAnsi="宋体" w:eastAsia="宋体" w:cs="宋体"/>
          <w:sz w:val="24"/>
          <w:highlight w:val="none"/>
          <w:u w:val="none"/>
        </w:rPr>
      </w:pP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highlight w:val="none"/>
          <w:u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highlight w:val="none"/>
          <w:u w:val="none"/>
        </w:rPr>
      </w:r>
      <w:r/>
    </w:p>
    <w:p>
      <w:pPr>
        <w:pStyle w:val="769"/>
        <w:numPr>
          <w:ilvl w:val="2"/>
          <w:numId w:val="10"/>
        </w:numPr>
        <w:ind w:left="1980" w:hanging="900"/>
        <w:spacing w:line="360" w:lineRule="auto"/>
        <w:tabs>
          <w:tab w:val="left" w:pos="1080" w:leader="none"/>
          <w:tab w:val="left" w:pos="1589" w:leader="none"/>
          <w:tab w:val="left" w:pos="2035" w:leader="none"/>
        </w:tabs>
        <w:rPr>
          <w:rFonts w:hint="eastAsia" w:ascii="宋体" w:hAnsi="宋体" w:eastAsia="宋体" w:cs="宋体"/>
          <w:sz w:val="24"/>
          <w:highlight w:val="none"/>
          <w:u w:val="none"/>
        </w:rPr>
      </w:pPr>
      <w:r>
        <w:rPr>
          <w:rFonts w:hint="eastAsia" w:ascii="宋体" w:hAnsi="宋体" w:eastAsia="宋体" w:cs="宋体"/>
          <w:sz w:val="24"/>
          <w:highlight w:val="none"/>
          <w:u w:val="none"/>
          <w:lang w:val="en-US" w:eastAsia="zh-CN"/>
        </w:rPr>
        <w:t xml:space="preserve">   </w:t>
      </w:r>
      <w:r>
        <w:rPr>
          <w:rFonts w:hint="eastAsia" w:ascii="宋体" w:hAnsi="宋体" w:eastAsia="宋体" w:cs="宋体"/>
          <w:b w:val="0"/>
          <w:bCs w:val="0"/>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highlight w:val="none"/>
          <w:u w:val="none"/>
        </w:rPr>
      </w:r>
      <w:r/>
    </w:p>
    <w:p>
      <w:pPr>
        <w:pStyle w:val="769"/>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b/>
          <w:bCs/>
          <w:sz w:val="24"/>
          <w:highlight w:val="none"/>
          <w:u w:val="none"/>
        </w:rPr>
      </w:pPr>
      <w:r>
        <w:rPr>
          <w:rFonts w:hint="eastAsia" w:ascii="宋体" w:hAnsi="宋体" w:eastAsia="宋体" w:cs="宋体"/>
          <w:b w:val="0"/>
          <w:bCs w:val="0"/>
          <w:sz w:val="24"/>
          <w:highlight w:val="none"/>
          <w:u w:val="none"/>
        </w:rPr>
        <w:t xml:space="preserve">2.6.</w:t>
      </w:r>
      <w:r>
        <w:rPr>
          <w:rFonts w:hint="eastAsia" w:ascii="宋体" w:hAnsi="宋体" w:eastAsia="宋体" w:cs="宋体"/>
          <w:b w:val="0"/>
          <w:bCs w:val="0"/>
          <w:sz w:val="24"/>
          <w:highlight w:val="none"/>
          <w:u w:val="none"/>
          <w:lang w:val="en-US" w:eastAsia="zh-CN"/>
        </w:rPr>
        <w:t xml:space="preserve">3</w:t>
      </w:r>
      <w:r>
        <w:rPr>
          <w:rFonts w:hint="eastAsia" w:ascii="宋体" w:hAnsi="宋体" w:eastAsia="宋体" w:cs="宋体"/>
          <w:b w:val="0"/>
          <w:bCs w:val="0"/>
          <w:sz w:val="24"/>
          <w:highlight w:val="none"/>
          <w:u w:val="none"/>
        </w:rPr>
        <w:t xml:space="preserve"> </w:t>
      </w:r>
      <w:r>
        <w:rPr>
          <w:rFonts w:hint="eastAsia" w:ascii="宋体" w:hAnsi="宋体" w:eastAsia="宋体" w:cs="宋体"/>
          <w:b w:val="0"/>
          <w:bCs w:val="0"/>
          <w:sz w:val="24"/>
          <w:highlight w:val="none"/>
          <w:u w:val="none"/>
          <w:lang w:val="en-US" w:eastAsia="zh-CN"/>
        </w:rPr>
        <w:t xml:space="preserve">  </w:t>
      </w:r>
      <w:r>
        <w:rPr>
          <w:rFonts w:hint="eastAsia" w:ascii="宋体" w:hAnsi="宋体" w:eastAsia="宋体" w:cs="宋体"/>
          <w:b w:val="0"/>
          <w:bCs w:val="0"/>
          <w:sz w:val="24"/>
          <w:highlight w:val="none"/>
          <w:u w:val="none"/>
        </w:rPr>
        <w:t xml:space="preserve">当采购项目或者采购包中含有多种产品，投标人为该采购项目或者采购包提供的符合本国产品标准的产品成本之和占该投标人提供的全部产品成本之和的比例达到80%以上时（投标人需在“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b w:val="0"/>
          <w:bCs w:val="0"/>
          <w:sz w:val="24"/>
          <w:highlight w:val="none"/>
          <w:u w:val="none"/>
          <w:lang w:val="en-US" w:eastAsia="zh-CN"/>
        </w:rPr>
        <w:t xml:space="preserve">详见《国务院办公厅关于在政府采购中实施本国产品标准及相关政策的通知》（国办发〔2025〕34 号）</w:t>
      </w:r>
      <w:r>
        <w:rPr>
          <w:rFonts w:hint="eastAsia" w:ascii="宋体" w:hAnsi="宋体" w:eastAsia="宋体" w:cs="宋体"/>
          <w:b/>
          <w:bCs/>
          <w:sz w:val="24"/>
          <w:highlight w:val="none"/>
          <w:u w:val="none"/>
        </w:rPr>
      </w:r>
      <w:r/>
    </w:p>
    <w:p>
      <w:pPr>
        <w:pStyle w:val="769"/>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b w:val="0"/>
          <w:bCs w:val="0"/>
          <w:sz w:val="24"/>
          <w:highlight w:val="none"/>
          <w:u w:val="none"/>
        </w:rPr>
      </w:pPr>
      <w:r>
        <w:rPr>
          <w:rFonts w:hint="eastAsia" w:ascii="宋体" w:hAnsi="宋体" w:eastAsia="宋体" w:cs="宋体"/>
          <w:b w:val="0"/>
          <w:bCs w:val="0"/>
          <w:sz w:val="24"/>
          <w:highlight w:val="none"/>
          <w:u w:val="none"/>
        </w:rPr>
        <w:t xml:space="preserve">2.6.</w:t>
      </w:r>
      <w:r>
        <w:rPr>
          <w:rFonts w:hint="eastAsia" w:ascii="宋体" w:hAnsi="宋体" w:eastAsia="宋体" w:cs="宋体"/>
          <w:b w:val="0"/>
          <w:bCs w:val="0"/>
          <w:sz w:val="24"/>
          <w:highlight w:val="none"/>
          <w:u w:val="none"/>
          <w:lang w:val="en-US" w:eastAsia="zh-CN"/>
        </w:rPr>
        <w:t xml:space="preserve">4</w:t>
      </w:r>
      <w:r>
        <w:rPr>
          <w:rFonts w:hint="eastAsia" w:ascii="宋体" w:hAnsi="宋体" w:eastAsia="宋体" w:cs="宋体"/>
          <w:b/>
          <w:bCs/>
          <w:sz w:val="24"/>
          <w:highlight w:val="none"/>
          <w:u w:val="none"/>
        </w:rPr>
        <w:t xml:space="preserve"> </w:t>
      </w:r>
      <w:r>
        <w:rPr>
          <w:rFonts w:hint="eastAsia" w:ascii="宋体" w:hAnsi="宋体" w:eastAsia="宋体" w:cs="宋体"/>
          <w:b/>
          <w:bCs/>
          <w:sz w:val="24"/>
          <w:highlight w:val="none"/>
          <w:u w:val="none"/>
          <w:lang w:val="en-US" w:eastAsia="zh-CN"/>
        </w:rPr>
        <w:t xml:space="preserve"> </w:t>
      </w:r>
      <w:r>
        <w:rPr>
          <w:rFonts w:hint="eastAsia" w:ascii="宋体" w:hAnsi="宋体" w:eastAsia="宋体" w:cs="宋体"/>
          <w:b w:val="0"/>
          <w:bCs w:val="0"/>
          <w:sz w:val="24"/>
          <w:highlight w:val="none"/>
          <w:u w:val="none"/>
        </w:rPr>
        <w:t xml:space="preserve">投标人需按照招标文件的要求提供</w:t>
      </w:r>
      <w:r>
        <w:rPr>
          <w:rFonts w:hint="eastAsia" w:ascii="宋体" w:hAnsi="宋体" w:eastAsia="宋体" w:cs="宋体"/>
          <w:b w:val="0"/>
          <w:bCs w:val="0"/>
          <w:sz w:val="24"/>
          <w:highlight w:val="none"/>
          <w:u w:val="none"/>
          <w:lang w:val="en-US" w:eastAsia="zh-CN"/>
        </w:rPr>
        <w:t xml:space="preserve">有效的</w:t>
      </w:r>
      <w:r>
        <w:rPr>
          <w:rFonts w:hint="eastAsia" w:ascii="宋体" w:hAnsi="宋体" w:eastAsia="宋体" w:cs="宋体"/>
          <w:b w:val="0"/>
          <w:bCs w:val="0"/>
          <w:sz w:val="24"/>
          <w:highlight w:val="none"/>
          <w:u w:val="none"/>
        </w:rPr>
        <w:t xml:space="preserve">《关于符合本国产品标准的声明函》（以下简称《声明函》），如</w:t>
      </w:r>
      <w:r>
        <w:rPr>
          <w:rFonts w:hint="eastAsia" w:ascii="宋体" w:hAnsi="宋体" w:eastAsia="宋体" w:cs="宋体"/>
          <w:b w:val="0"/>
          <w:bCs w:val="0"/>
          <w:sz w:val="24"/>
          <w:highlight w:val="none"/>
          <w:u w:val="none"/>
          <w:lang w:val="en-US" w:eastAsia="zh-CN"/>
        </w:rPr>
        <w:t xml:space="preserve">未提供或提供材料无效</w:t>
      </w:r>
      <w:r>
        <w:rPr>
          <w:rFonts w:hint="eastAsia" w:ascii="宋体" w:hAnsi="宋体" w:eastAsia="宋体" w:cs="宋体"/>
          <w:b w:val="0"/>
          <w:bCs w:val="0"/>
          <w:sz w:val="24"/>
          <w:highlight w:val="none"/>
          <w:u w:val="none"/>
        </w:rPr>
        <w:t xml:space="preserve">将不享受本国产品价格评审优惠。</w:t>
      </w:r>
      <w:r>
        <w:rPr>
          <w:rFonts w:hint="eastAsia" w:ascii="宋体" w:hAnsi="宋体" w:eastAsia="宋体" w:cs="宋体"/>
          <w:b w:val="0"/>
          <w:bCs w:val="0"/>
          <w:sz w:val="24"/>
          <w:highlight w:val="none"/>
          <w:u w:val="none"/>
        </w:rPr>
      </w:r>
      <w:r/>
    </w:p>
    <w:p>
      <w:pPr>
        <w:pStyle w:val="769"/>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b w:val="0"/>
          <w:bCs w:val="0"/>
          <w:sz w:val="24"/>
          <w:highlight w:val="none"/>
          <w:u w:val="none"/>
        </w:rPr>
      </w:pPr>
      <w:r>
        <w:rPr>
          <w:rFonts w:hint="eastAsia" w:ascii="宋体" w:hAnsi="宋体" w:eastAsia="宋体" w:cs="宋体"/>
          <w:b w:val="0"/>
          <w:bCs w:val="0"/>
          <w:sz w:val="24"/>
          <w:highlight w:val="none"/>
          <w:u w:val="none"/>
          <w:lang w:val="en-US" w:eastAsia="zh-CN"/>
        </w:rPr>
        <w:t xml:space="preserve">2.6.5  </w:t>
      </w:r>
      <w:r>
        <w:rPr>
          <w:rFonts w:hint="eastAsia" w:ascii="宋体" w:hAnsi="宋体" w:eastAsia="宋体" w:cs="宋体"/>
          <w:b w:val="0"/>
          <w:bCs w:val="0"/>
          <w:sz w:val="24"/>
          <w:highlight w:val="none"/>
          <w:u w:val="none"/>
          <w:lang w:eastAsia="zh-CN"/>
        </w:rPr>
        <w:t xml:space="preserve">投标人</w:t>
      </w:r>
      <w:r>
        <w:rPr>
          <w:rFonts w:hint="eastAsia" w:ascii="宋体" w:hAnsi="宋体" w:eastAsia="宋体" w:cs="宋体"/>
          <w:b w:val="0"/>
          <w:bCs w:val="0"/>
          <w:sz w:val="24"/>
          <w:highlight w:val="none"/>
          <w:u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sz w:val="24"/>
          <w:highlight w:val="none"/>
          <w:u w:val="none"/>
        </w:rPr>
      </w:r>
      <w:r/>
    </w:p>
    <w:p>
      <w:pPr>
        <w:pStyle w:val="769"/>
        <w:numPr>
          <w:ilvl w:val="2"/>
          <w:numId w:val="0"/>
        </w:numPr>
        <w:ind w:left="2035" w:hanging="900"/>
        <w:spacing w:line="360" w:lineRule="auto"/>
        <w:tabs>
          <w:tab w:val="left" w:pos="1080" w:leader="none"/>
          <w:tab w:val="left" w:pos="1589" w:leader="none"/>
          <w:tab w:val="left" w:pos="2035" w:leader="none"/>
        </w:tabs>
        <w:rPr>
          <w:rFonts w:ascii="宋体" w:hAnsi="宋体" w:eastAsia="宋体" w:cs="宋体"/>
          <w:sz w:val="24"/>
          <w:highlight w:val="none"/>
          <w:u w:val="none"/>
          <w:lang w:val="en-US"/>
        </w:rPr>
      </w:pPr>
      <w:r>
        <w:rPr>
          <w:rFonts w:hint="eastAsia" w:ascii="宋体" w:hAnsi="宋体" w:eastAsia="宋体" w:cs="宋体"/>
          <w:b w:val="0"/>
          <w:bCs w:val="0"/>
          <w:sz w:val="24"/>
          <w:highlight w:val="none"/>
          <w:u w:val="none"/>
          <w:lang w:val="en-US" w:eastAsia="zh-CN"/>
        </w:rPr>
        <w:t xml:space="preserve">2.6.6  </w:t>
      </w:r>
      <w:r>
        <w:rPr>
          <w:rFonts w:hint="eastAsia" w:ascii="宋体" w:hAnsi="宋体" w:eastAsia="宋体" w:cs="宋体"/>
          <w:b w:val="0"/>
          <w:bCs w:val="0"/>
          <w:sz w:val="24"/>
          <w:highlight w:val="none"/>
          <w:u w:val="none"/>
        </w:rPr>
        <w:t xml:space="preserve">评标过程中，如发现</w:t>
      </w:r>
      <w:r>
        <w:rPr>
          <w:rFonts w:hint="eastAsia" w:ascii="宋体" w:hAnsi="宋体" w:eastAsia="宋体" w:cs="宋体"/>
          <w:b w:val="0"/>
          <w:bCs w:val="0"/>
          <w:sz w:val="24"/>
          <w:highlight w:val="none"/>
          <w:u w:val="none"/>
          <w:lang w:eastAsia="zh-CN"/>
        </w:rPr>
        <w:t xml:space="preserve">投标人</w:t>
      </w:r>
      <w:r>
        <w:rPr>
          <w:rFonts w:hint="eastAsia" w:ascii="宋体" w:hAnsi="宋体" w:eastAsia="宋体" w:cs="宋体"/>
          <w:b w:val="0"/>
          <w:bCs w:val="0"/>
          <w:sz w:val="24"/>
          <w:highlight w:val="none"/>
          <w:u w:val="none"/>
        </w:rPr>
        <w:t xml:space="preserve">在《声明函》内容含义不明确、同类事项与投标（响应）文件表述不一致或者有明显文字错误等情况的，评标委员会应当以书面形式要求</w:t>
      </w:r>
      <w:r>
        <w:rPr>
          <w:rFonts w:hint="eastAsia" w:ascii="宋体" w:hAnsi="宋体" w:eastAsia="宋体" w:cs="宋体"/>
          <w:b w:val="0"/>
          <w:bCs w:val="0"/>
          <w:sz w:val="24"/>
          <w:highlight w:val="none"/>
          <w:u w:val="none"/>
          <w:lang w:eastAsia="zh-CN"/>
        </w:rPr>
        <w:t xml:space="preserve">投标人</w:t>
      </w:r>
      <w:r>
        <w:rPr>
          <w:rFonts w:hint="eastAsia" w:ascii="宋体" w:hAnsi="宋体" w:eastAsia="宋体" w:cs="宋体"/>
          <w:b w:val="0"/>
          <w:bCs w:val="0"/>
          <w:sz w:val="24"/>
          <w:highlight w:val="none"/>
          <w:u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val="0"/>
          <w:bCs w:val="0"/>
          <w:sz w:val="24"/>
          <w:highlight w:val="none"/>
          <w:u w:val="none"/>
          <w:lang w:eastAsia="zh-CN"/>
        </w:rPr>
        <w:t xml:space="preserve">投标人</w:t>
      </w:r>
      <w:r>
        <w:rPr>
          <w:rFonts w:hint="eastAsia" w:ascii="宋体" w:hAnsi="宋体" w:eastAsia="宋体" w:cs="宋体"/>
          <w:b w:val="0"/>
          <w:bCs w:val="0"/>
          <w:sz w:val="24"/>
          <w:highlight w:val="none"/>
          <w:u w:val="none"/>
        </w:rPr>
        <w:t xml:space="preserve">提供的相关产品视为不符合本国产品标准。</w:t>
      </w:r>
      <w:r>
        <w:rPr>
          <w:rFonts w:ascii="宋体" w:hAnsi="宋体" w:eastAsia="宋体" w:cs="宋体"/>
          <w:sz w:val="24"/>
          <w:highlight w:val="none"/>
          <w:u w:val="none"/>
          <w:lang w:val="en-US"/>
        </w:rPr>
      </w:r>
      <w:r/>
    </w:p>
    <w:p>
      <w:pPr>
        <w:pStyle w:val="769"/>
        <w:numPr>
          <w:ilvl w:val="0"/>
          <w:numId w:val="10"/>
        </w:numP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投标文件的比较和评价</w:t>
      </w:r>
      <w:bookmarkEnd w:id="769"/>
      <w:r/>
      <w:bookmarkEnd w:id="770"/>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rPr>
          <w:rFonts w:hint="eastAsia" w:ascii="宋体" w:hAnsi="宋体" w:eastAsia="宋体" w:cs="宋体"/>
          <w:sz w:val="24"/>
          <w:highlight w:val="none"/>
        </w:rPr>
      </w:r>
      <w:r/>
    </w:p>
    <w:p>
      <w:pPr>
        <w:pStyle w:val="769"/>
        <w:ind w:left="1985"/>
        <w:spacing w:line="360" w:lineRule="auto"/>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sz w:val="24"/>
          <w:highlight w:val="none"/>
        </w:rPr>
      </w:r>
      <w:r/>
    </w:p>
    <w:p>
      <w:pPr>
        <w:pStyle w:val="769"/>
        <w:ind w:left="1985"/>
        <w:spacing w:line="360" w:lineRule="auto"/>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随机抽取</w:t>
      </w:r>
      <w:r>
        <w:rPr>
          <w:rFonts w:hint="eastAsia" w:ascii="宋体" w:hAnsi="宋体" w:eastAsia="宋体" w:cs="宋体"/>
          <w:sz w:val="24"/>
          <w:highlight w:val="none"/>
        </w:rPr>
      </w:r>
      <w:r/>
    </w:p>
    <w:p>
      <w:pPr>
        <w:pStyle w:val="769"/>
        <w:ind w:left="2035"/>
        <w:spacing w:line="360" w:lineRule="auto"/>
        <w:tabs>
          <w:tab w:val="left" w:pos="1080"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其他方式，具体要求：_____</w:t>
      </w:r>
      <w:r>
        <w:rPr>
          <w:rFonts w:hint="eastAsia" w:ascii="宋体" w:hAnsi="宋体" w:eastAsia="宋体" w:cs="宋体"/>
          <w:sz w:val="24"/>
          <w:highlight w:val="none"/>
          <w:u w:val="singl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sz w:val="24"/>
          <w:highlight w:val="none"/>
        </w:rPr>
      </w:r>
      <w:r/>
    </w:p>
    <w:p>
      <w:pPr>
        <w:pStyle w:val="769"/>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关于无线局域网认证产品政府采购清单中的产品，优先采购的具体规定（如涉及）_____。</w:t>
      </w:r>
      <w:r>
        <w:rPr>
          <w:rFonts w:hint="eastAsia" w:ascii="宋体" w:hAnsi="宋体" w:eastAsia="宋体" w:cs="宋体"/>
          <w:sz w:val="24"/>
          <w:highlight w:val="none"/>
        </w:rPr>
      </w:r>
      <w:r/>
    </w:p>
    <w:p>
      <w:pPr>
        <w:pStyle w:val="769"/>
        <w:numPr>
          <w:ilvl w:val="0"/>
          <w:numId w:val="10"/>
        </w:numP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确定</w:t>
      </w:r>
      <w:bookmarkStart w:id="786" w:name="_Toc226337242"/>
      <w:r/>
      <w:bookmarkStart w:id="787" w:name="_Toc150774751"/>
      <w:r/>
      <w:bookmarkStart w:id="788" w:name="_Toc164351640"/>
      <w:r/>
      <w:bookmarkStart w:id="789" w:name="_Toc150509297"/>
      <w:r/>
      <w:bookmarkStart w:id="790" w:name="_Toc151193788"/>
      <w:r/>
      <w:bookmarkStart w:id="791" w:name="_Toc151193934"/>
      <w:r/>
      <w:bookmarkStart w:id="792" w:name="_Toc127151747"/>
      <w:r/>
      <w:bookmarkStart w:id="793" w:name="_Toc149720839"/>
      <w:r/>
      <w:bookmarkStart w:id="794" w:name="_Toc127151546"/>
      <w:r/>
      <w:bookmarkStart w:id="795" w:name="_Toc226965819"/>
      <w:r/>
      <w:bookmarkStart w:id="796" w:name="_Toc164608815"/>
      <w:r/>
      <w:bookmarkStart w:id="797" w:name="_Toc195842911"/>
      <w:r/>
      <w:bookmarkStart w:id="798" w:name="_Toc226965736"/>
      <w:r/>
      <w:bookmarkStart w:id="799" w:name="_Toc265228384"/>
      <w:r/>
      <w:bookmarkStart w:id="800" w:name="_Toc305158814"/>
      <w:r/>
      <w:bookmarkStart w:id="801" w:name="_Toc264969236"/>
      <w:r/>
      <w:bookmarkStart w:id="802" w:name="_Toc164229241"/>
      <w:r/>
      <w:bookmarkStart w:id="803" w:name="_Toc151190173"/>
      <w:r/>
      <w:bookmarkStart w:id="804" w:name="_Toc151193644"/>
      <w:r/>
      <w:bookmarkStart w:id="805" w:name="_Toc164608660"/>
      <w:r/>
      <w:bookmarkStart w:id="806" w:name="_Toc127161460"/>
      <w:r/>
      <w:bookmarkStart w:id="807" w:name="_Toc164229387"/>
      <w:r/>
      <w:bookmarkStart w:id="808" w:name="_Toc520356170"/>
      <w:r/>
      <w:bookmarkStart w:id="809" w:name="_Toc142311048"/>
      <w:r/>
      <w:bookmarkStart w:id="810" w:name="_Toc305158888"/>
      <w:r/>
      <w:bookmarkStart w:id="811" w:name="_Ref467307010"/>
      <w:r/>
      <w:bookmarkStart w:id="812" w:name="_Toc226309790"/>
      <w:r/>
      <w:bookmarkStart w:id="813" w:name="_Toc151193860"/>
      <w:r/>
      <w:bookmarkStart w:id="814" w:name="_Toc150480784"/>
      <w:r/>
      <w:bookmarkStart w:id="815" w:name="_Toc150774646"/>
      <w:r/>
      <w:bookmarkStart w:id="816" w:name="_Toc151193716"/>
      <w:r>
        <w:rPr>
          <w:rFonts w:hint="eastAsia" w:ascii="宋体" w:hAnsi="宋体" w:eastAsia="宋体" w:cs="宋体"/>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sz w:val="24"/>
          <w:highlight w:val="none"/>
        </w:rPr>
      </w:r>
      <w:r/>
    </w:p>
    <w:p>
      <w:pPr>
        <w:pStyle w:val="793"/>
        <w:ind w:left="993" w:firstLine="136"/>
        <w:spacing w:line="360" w:lineRule="auto"/>
        <w:tabs>
          <w:tab w:val="left" w:pos="900" w:leader="none"/>
          <w:tab w:val="left" w:pos="2127" w:leader="none"/>
        </w:tabs>
        <w:rPr>
          <w:rFonts w:hint="eastAsia" w:ascii="宋体" w:hAnsi="宋体" w:eastAsia="宋体" w:cs="宋体"/>
          <w:sz w:val="24"/>
          <w:szCs w:val="24"/>
          <w:highlight w:val="none"/>
        </w:rPr>
      </w:pPr>
      <w:r>
        <w:rPr>
          <w:rFonts w:hAnsi="宋体" w:eastAsia="宋体" w:cs="宋体"/>
          <w:sz w:val="24"/>
          <w:szCs w:val="24"/>
          <w:highlight w:val="none"/>
        </w:rPr>
        <w:t xml:space="preserve">■</w:t>
      </w:r>
      <w:r>
        <w:rPr>
          <w:rFonts w:hint="eastAsia" w:ascii="宋体" w:hAnsi="宋体" w:eastAsia="宋体" w:cs="宋体"/>
          <w:sz w:val="24"/>
          <w:szCs w:val="24"/>
          <w:highlight w:val="none"/>
        </w:rPr>
        <w:t xml:space="preserve">随机抽取</w:t>
      </w:r>
      <w:r>
        <w:rPr>
          <w:rFonts w:hint="eastAsia" w:ascii="宋体" w:hAnsi="宋体" w:eastAsia="宋体" w:cs="宋体"/>
          <w:sz w:val="24"/>
          <w:szCs w:val="24"/>
          <w:highlight w:val="none"/>
        </w:rPr>
      </w:r>
      <w:r/>
    </w:p>
    <w:p>
      <w:pPr>
        <w:pStyle w:val="793"/>
        <w:ind w:left="993" w:firstLine="136"/>
        <w:spacing w:line="360" w:lineRule="auto"/>
        <w:tabs>
          <w:tab w:val="left" w:pos="900" w:leader="none"/>
          <w:tab w:val="left" w:pos="2127"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其他方式，具体要求：_____</w:t>
      </w:r>
      <w:r>
        <w:rPr>
          <w:rFonts w:hint="eastAsia" w:ascii="宋体" w:hAnsi="宋体" w:eastAsia="宋体" w:cs="宋体"/>
          <w:sz w:val="24"/>
          <w:szCs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sz w:val="24"/>
          <w:highlight w:val="none"/>
        </w:rPr>
      </w:r>
      <w:r/>
    </w:p>
    <w:p>
      <w:pPr>
        <w:pStyle w:val="769"/>
        <w:numPr>
          <w:ilvl w:val="0"/>
          <w:numId w:val="10"/>
        </w:numP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报告违法行为</w:t>
      </w:r>
      <w:r>
        <w:rPr>
          <w:rFonts w:hint="eastAsia" w:ascii="宋体" w:hAnsi="宋体" w:eastAsia="宋体" w:cs="宋体"/>
          <w:sz w:val="24"/>
          <w:highlight w:val="none"/>
        </w:rPr>
      </w:r>
      <w:r/>
    </w:p>
    <w:p>
      <w:pPr>
        <w:pStyle w:val="769"/>
        <w:numPr>
          <w:ilvl w:val="1"/>
          <w:numId w:val="10"/>
        </w:numPr>
        <w:ind w:left="1077" w:hanging="720"/>
        <w:spacing w:line="360" w:lineRule="auto"/>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sz w:val="24"/>
          <w:highlight w:val="none"/>
        </w:rPr>
      </w:r>
      <w:r/>
    </w:p>
    <w:p>
      <w:pPr>
        <w:pStyle w:val="769"/>
        <w:jc w:val="center"/>
        <w:widowControl/>
        <w:rPr>
          <w:rFonts w:hint="eastAsia" w:ascii="宋体" w:hAnsi="宋体" w:eastAsia="宋体" w:cs="宋体"/>
          <w:sz w:val="24"/>
          <w:highlight w:val="none"/>
        </w:rPr>
        <w:outlineLvl w:val="1"/>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二、评标标准</w:t>
      </w:r>
      <w:r>
        <w:rPr>
          <w:rFonts w:hint="eastAsia" w:ascii="宋体" w:hAnsi="宋体" w:eastAsia="宋体" w:cs="宋体"/>
          <w:sz w:val="24"/>
          <w:highlight w:val="none"/>
        </w:rPr>
      </w:r>
      <w:r/>
    </w:p>
    <w:p>
      <w:pPr>
        <w:pStyle w:val="769"/>
        <w:ind w:left="108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bl>
      <w:tblPr>
        <w:tblW w:w="9731" w:type="dxa"/>
        <w:jc w:val="center"/>
        <w:tblInd w:w="-5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368"/>
        <w:gridCol w:w="839"/>
        <w:gridCol w:w="4756"/>
        <w:gridCol w:w="1905"/>
      </w:tblGrid>
      <w:tr>
        <w:trPr>
          <w:trHeight w:val="567"/>
        </w:trPr>
        <w:tc>
          <w:tcPr>
            <w:tcW w:w="863" w:type="dxa"/>
            <w:vAlign w:val="center"/>
            <w:textDirection w:val="lrTb"/>
            <w:noWrap w:val="false"/>
          </w:tcPr>
          <w:p>
            <w:pPr>
              <w:pStyle w:val="769"/>
              <w:ind w:firstLine="28"/>
              <w:jc w:val="center"/>
              <w:spacing w:line="360" w:lineRule="exact"/>
              <w:rPr>
                <w:rFonts w:hint="eastAsia" w:ascii="宋体" w:hAnsi="宋体" w:cs="仿宋"/>
                <w:b/>
                <w:sz w:val="24"/>
                <w:highlight w:val="none"/>
                <w:u w:val="none"/>
              </w:rPr>
            </w:pPr>
            <w:r>
              <w:rPr>
                <w:rFonts w:hint="eastAsia" w:ascii="宋体" w:hAnsi="宋体" w:cs="仿宋"/>
                <w:b/>
                <w:sz w:val="24"/>
                <w:highlight w:val="none"/>
                <w:u w:val="none"/>
              </w:rPr>
              <w:t xml:space="preserve">序号</w:t>
            </w:r>
            <w:r>
              <w:rPr>
                <w:rFonts w:hint="eastAsia" w:ascii="宋体" w:hAnsi="宋体" w:cs="仿宋"/>
                <w:b/>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b/>
                <w:sz w:val="24"/>
                <w:highlight w:val="none"/>
                <w:u w:val="none"/>
              </w:rPr>
            </w:pPr>
            <w:r>
              <w:rPr>
                <w:rFonts w:hint="eastAsia" w:ascii="宋体" w:hAnsi="宋体" w:cs="仿宋"/>
                <w:b/>
                <w:sz w:val="24"/>
                <w:highlight w:val="none"/>
                <w:u w:val="none"/>
              </w:rPr>
              <w:t xml:space="preserve">评分因素</w:t>
            </w:r>
            <w:r>
              <w:rPr>
                <w:rFonts w:hint="eastAsia" w:ascii="宋体" w:hAnsi="宋体" w:cs="仿宋"/>
                <w:b/>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cs="仿宋"/>
                <w:b/>
                <w:sz w:val="24"/>
                <w:highlight w:val="none"/>
                <w:u w:val="none"/>
              </w:rPr>
            </w:pPr>
            <w:r>
              <w:rPr>
                <w:rFonts w:hint="eastAsia" w:ascii="宋体" w:hAnsi="宋体" w:cs="仿宋"/>
                <w:b/>
                <w:sz w:val="24"/>
                <w:highlight w:val="none"/>
                <w:u w:val="none"/>
              </w:rPr>
              <w:t xml:space="preserve">分值</w:t>
            </w:r>
            <w:r>
              <w:rPr>
                <w:rFonts w:hint="eastAsia" w:ascii="宋体" w:hAnsi="宋体" w:cs="仿宋"/>
                <w:b/>
                <w:sz w:val="24"/>
                <w:highlight w:val="none"/>
                <w:u w:val="none"/>
              </w:rPr>
            </w:r>
            <w:r/>
          </w:p>
        </w:tc>
        <w:tc>
          <w:tcPr>
            <w:tcW w:w="4756" w:type="dxa"/>
            <w:vAlign w:val="center"/>
            <w:textDirection w:val="lrTb"/>
            <w:noWrap w:val="false"/>
          </w:tcPr>
          <w:p>
            <w:pPr>
              <w:pStyle w:val="769"/>
              <w:ind w:firstLine="28"/>
              <w:jc w:val="center"/>
              <w:spacing w:line="360" w:lineRule="exact"/>
              <w:rPr>
                <w:rFonts w:hint="eastAsia" w:ascii="宋体" w:hAnsi="宋体" w:cs="仿宋"/>
                <w:b/>
                <w:sz w:val="24"/>
                <w:highlight w:val="none"/>
                <w:u w:val="none"/>
              </w:rPr>
            </w:pPr>
            <w:r>
              <w:rPr>
                <w:rFonts w:hint="eastAsia" w:ascii="宋体" w:hAnsi="宋体" w:cs="仿宋"/>
                <w:b/>
                <w:sz w:val="24"/>
                <w:highlight w:val="none"/>
                <w:u w:val="none"/>
              </w:rPr>
              <w:t xml:space="preserve">评分标准</w:t>
            </w:r>
            <w:r>
              <w:rPr>
                <w:rFonts w:hint="eastAsia" w:ascii="宋体" w:hAnsi="宋体" w:cs="仿宋"/>
                <w:b/>
                <w:sz w:val="24"/>
                <w:highlight w:val="none"/>
                <w:u w:val="none"/>
              </w:rPr>
            </w:r>
            <w:r/>
          </w:p>
        </w:tc>
        <w:tc>
          <w:tcPr>
            <w:tcW w:w="1905" w:type="dxa"/>
            <w:vAlign w:val="center"/>
            <w:textDirection w:val="lrTb"/>
            <w:noWrap w:val="false"/>
          </w:tcPr>
          <w:p>
            <w:pPr>
              <w:pStyle w:val="1174"/>
              <w:spacing w:before="0" w:after="0" w:line="360" w:lineRule="exact"/>
              <w:rPr>
                <w:rFonts w:hint="eastAsia" w:ascii="宋体" w:hAnsi="宋体" w:eastAsia="宋体" w:cs="仿宋"/>
                <w:szCs w:val="24"/>
                <w:highlight w:val="none"/>
                <w:u w:val="none"/>
              </w:rPr>
            </w:pPr>
            <w:r>
              <w:rPr>
                <w:rFonts w:hint="eastAsia" w:ascii="宋体" w:hAnsi="宋体" w:eastAsia="宋体" w:cs="仿宋"/>
                <w:szCs w:val="24"/>
                <w:highlight w:val="none"/>
                <w:u w:val="none"/>
              </w:rPr>
              <w:t xml:space="preserve">说明</w:t>
            </w:r>
            <w:r>
              <w:rPr>
                <w:rFonts w:hint="eastAsia" w:ascii="宋体" w:hAnsi="宋体" w:eastAsia="宋体" w:cs="仿宋"/>
                <w:szCs w:val="24"/>
                <w:highlight w:val="none"/>
                <w:u w:val="none"/>
              </w:rPr>
            </w:r>
            <w:r/>
          </w:p>
        </w:tc>
      </w:tr>
      <w:tr>
        <w:trPr>
          <w:trHeight w:val="97"/>
        </w:trPr>
        <w:tc>
          <w:tcPr>
            <w:tcW w:w="863" w:type="dxa"/>
            <w:vAlign w:val="center"/>
            <w:textDirection w:val="lrTb"/>
            <w:noWrap w:val="false"/>
          </w:tcPr>
          <w:p>
            <w:pPr>
              <w:pStyle w:val="769"/>
              <w:ind w:firstLine="28"/>
              <w:jc w:val="center"/>
              <w:spacing w:line="360" w:lineRule="exact"/>
              <w:rPr>
                <w:rFonts w:hint="eastAsia" w:ascii="宋体" w:hAnsi="宋体" w:cs="仿宋"/>
                <w:b/>
                <w:sz w:val="24"/>
                <w:highlight w:val="none"/>
                <w:u w:val="none"/>
              </w:rPr>
            </w:pPr>
            <w:r>
              <w:rPr>
                <w:rFonts w:hint="eastAsia" w:ascii="宋体" w:hAnsi="宋体" w:cs="仿宋"/>
                <w:b/>
                <w:sz w:val="24"/>
                <w:highlight w:val="none"/>
                <w:u w:val="none"/>
              </w:rPr>
              <w:t xml:space="preserve">1</w:t>
            </w:r>
            <w:r>
              <w:rPr>
                <w:rFonts w:hint="eastAsia" w:ascii="宋体" w:hAnsi="宋体" w:cs="仿宋"/>
                <w:b/>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价格分</w:t>
            </w:r>
            <w:r>
              <w:rPr>
                <w:rFonts w:hint="eastAsia" w:ascii="宋体" w:hAnsi="宋体" w:cs="仿宋"/>
                <w:b/>
                <w:bCs/>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b/>
                <w:bCs/>
                <w:sz w:val="24"/>
                <w:highlight w:val="none"/>
                <w:u w:val="none"/>
              </w:rPr>
              <w:t xml:space="preserve">30</w:t>
            </w:r>
            <w:r>
              <w:rPr>
                <w:rFonts w:hint="eastAsia" w:ascii="宋体" w:hAnsi="宋体" w:cs="仿宋"/>
                <w:sz w:val="24"/>
                <w:highlight w:val="none"/>
                <w:u w:val="none"/>
              </w:rPr>
            </w:r>
            <w:r/>
          </w:p>
        </w:tc>
        <w:tc>
          <w:tcPr>
            <w:tcW w:w="4756" w:type="dxa"/>
            <w:vAlign w:val="center"/>
            <w:textDirection w:val="lrTb"/>
            <w:noWrap w:val="false"/>
          </w:tcPr>
          <w:p>
            <w:pPr>
              <w:pStyle w:val="769"/>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满足招标文件要求且投标报价最低的报价为评标基准价，其价格分为满分。其他投标人的价格分统一按照下列公式计算：</w:t>
            </w:r>
            <w:r>
              <w:rPr>
                <w:rFonts w:hint="eastAsia" w:ascii="宋体" w:hAnsi="宋体" w:eastAsia="宋体" w:cs="宋体"/>
                <w:sz w:val="24"/>
                <w:szCs w:val="24"/>
                <w:highlight w:val="none"/>
                <w:lang w:val="en-US" w:eastAsia="zh-CN" w:bidi="ar-SA"/>
              </w:rPr>
            </w:r>
            <w:r/>
          </w:p>
          <w:p>
            <w:pPr>
              <w:pStyle w:val="1195"/>
              <w:jc w:val="both"/>
              <w:spacing w:before="0" w:line="240" w:lineRule="auto"/>
              <w:widowControl w:val="off"/>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价格分得分＝（评标基准价/投标报价）×分值。</w:t>
            </w:r>
            <w:r>
              <w:rPr>
                <w:rFonts w:hint="eastAsia" w:ascii="宋体" w:hAnsi="宋体" w:eastAsia="宋体" w:cs="宋体"/>
                <w:sz w:val="24"/>
                <w:szCs w:val="24"/>
                <w:highlight w:val="none"/>
                <w:lang w:val="en-US" w:eastAsia="zh-CN" w:bidi="ar-SA"/>
              </w:rPr>
            </w:r>
            <w:r/>
          </w:p>
          <w:p>
            <w:pPr>
              <w:pStyle w:val="769"/>
              <w:jc w:val="left"/>
              <w:spacing w:line="360" w:lineRule="exact"/>
              <w:widowControl/>
              <w:rPr>
                <w:rFonts w:hint="eastAsia" w:ascii="宋体" w:hAnsi="宋体" w:cs="仿宋"/>
                <w:sz w:val="24"/>
                <w:highlight w:val="none"/>
                <w:u w:val="none"/>
              </w:rPr>
            </w:pPr>
            <w:r>
              <w:rPr>
                <w:rFonts w:hint="eastAsia" w:ascii="宋体" w:hAnsi="宋体" w:eastAsia="宋体" w:cs="宋体"/>
                <w:sz w:val="24"/>
                <w:szCs w:val="24"/>
                <w:highlight w:val="none"/>
                <w:lang w:val="en-US" w:eastAsia="zh-CN" w:bidi="ar-SA"/>
              </w:rPr>
              <w:t xml:space="preserve">此处投标报价指经过报价修正，及因落实政府采购政策进行价格调整后的报价，详见第四章《评标方法和评标标准》。</w:t>
            </w:r>
            <w:r>
              <w:rPr>
                <w:rFonts w:hint="eastAsia" w:ascii="宋体" w:hAnsi="宋体" w:cs="仿宋"/>
                <w:sz w:val="24"/>
                <w:highlight w:val="none"/>
                <w:u w:val="none"/>
              </w:rPr>
            </w:r>
            <w:r/>
          </w:p>
        </w:tc>
        <w:tc>
          <w:tcPr>
            <w:tcW w:w="1905" w:type="dxa"/>
            <w:vAlign w:val="center"/>
            <w:textDirection w:val="lrTb"/>
            <w:noWrap w:val="false"/>
          </w:tcPr>
          <w:p>
            <w:pPr>
              <w:pStyle w:val="769"/>
              <w:jc w:val="left"/>
              <w:spacing w:line="360" w:lineRule="exact"/>
              <w:widowControl/>
              <w:rPr>
                <w:rFonts w:hint="eastAsia" w:ascii="宋体" w:hAnsi="宋体" w:cs="仿宋"/>
                <w:sz w:val="24"/>
                <w:highlight w:val="none"/>
                <w:u w:val="none"/>
              </w:rPr>
            </w:pPr>
            <w:r>
              <w:rPr>
                <w:rFonts w:hint="eastAsia" w:ascii="宋体" w:hAnsi="宋体" w:cs="仿宋"/>
                <w:sz w:val="24"/>
                <w:highlight w:val="none"/>
                <w:u w:val="none"/>
              </w:rPr>
            </w:r>
            <w:r/>
          </w:p>
        </w:tc>
      </w:tr>
      <w:tr>
        <w:trPr>
          <w:trHeight w:val="567"/>
        </w:trPr>
        <w:tc>
          <w:tcPr>
            <w:tcW w:w="863"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2</w:t>
            </w:r>
            <w:r>
              <w:rPr>
                <w:rFonts w:hint="eastAsia" w:ascii="宋体" w:hAnsi="宋体" w:cs="仿宋"/>
                <w:b/>
                <w:bCs/>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主观分</w:t>
            </w:r>
            <w:r>
              <w:rPr>
                <w:rFonts w:hint="eastAsia" w:ascii="宋体" w:hAnsi="宋体" w:cs="仿宋"/>
                <w:b/>
                <w:bCs/>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highlight w:val="none"/>
                <w:u w:val="none"/>
                <w:lang w:eastAsia="zh-CN"/>
              </w:rPr>
            </w:pPr>
            <w:r>
              <w:rPr>
                <w:rFonts w:hint="eastAsia" w:ascii="宋体" w:hAnsi="宋体" w:cs="仿宋"/>
                <w:b/>
                <w:bCs/>
                <w:sz w:val="24"/>
                <w:highlight w:val="none"/>
                <w:u w:val="none"/>
              </w:rPr>
              <w:t xml:space="preserve">1</w:t>
            </w:r>
            <w:r>
              <w:rPr>
                <w:rFonts w:hint="eastAsia" w:ascii="宋体" w:hAnsi="宋体" w:cs="仿宋"/>
                <w:b/>
                <w:bCs/>
                <w:sz w:val="24"/>
                <w:highlight w:val="none"/>
                <w:u w:val="none"/>
                <w:lang w:val="en-US" w:eastAsia="zh-CN"/>
              </w:rPr>
              <w:t xml:space="preserve">5</w:t>
            </w:r>
            <w:r>
              <w:rPr>
                <w:rFonts w:hint="eastAsia" w:ascii="宋体" w:hAnsi="宋体" w:eastAsia="宋体" w:cs="仿宋"/>
                <w:sz w:val="24"/>
                <w:highlight w:val="none"/>
                <w:u w:val="none"/>
                <w:lang w:eastAsia="zh-CN"/>
              </w:rPr>
            </w:r>
            <w:r/>
          </w:p>
        </w:tc>
        <w:tc>
          <w:tcPr>
            <w:tcW w:w="4756" w:type="dxa"/>
            <w:vAlign w:val="center"/>
            <w:textDirection w:val="lrTb"/>
            <w:noWrap w:val="false"/>
          </w:tcPr>
          <w:p>
            <w:pPr>
              <w:pStyle w:val="769"/>
              <w:spacing w:line="360" w:lineRule="exact"/>
              <w:rPr>
                <w:rFonts w:hint="eastAsia" w:ascii="宋体" w:hAnsi="宋体" w:cs="仿宋"/>
                <w:sz w:val="24"/>
                <w:highlight w:val="none"/>
                <w:u w:val="none"/>
              </w:rPr>
            </w:pPr>
            <w:r>
              <w:rPr>
                <w:rFonts w:hint="eastAsia" w:ascii="宋体" w:hAnsi="宋体" w:cs="仿宋"/>
                <w:sz w:val="24"/>
                <w:highlight w:val="none"/>
                <w:u w:val="none"/>
              </w:rPr>
            </w:r>
            <w:r/>
          </w:p>
        </w:tc>
        <w:tc>
          <w:tcPr>
            <w:tcW w:w="1905" w:type="dxa"/>
            <w:vAlign w:val="center"/>
            <w:textDirection w:val="lrTb"/>
            <w:noWrap w:val="false"/>
          </w:tcPr>
          <w:p>
            <w:pPr>
              <w:pStyle w:val="769"/>
              <w:ind w:left="-38"/>
              <w:spacing w:line="360" w:lineRule="exact"/>
              <w:rPr>
                <w:rFonts w:hint="eastAsia" w:ascii="宋体" w:hAnsi="宋体" w:cs="仿宋"/>
                <w:sz w:val="24"/>
                <w:highlight w:val="none"/>
                <w:u w:val="none"/>
              </w:rPr>
            </w:pPr>
            <w:r>
              <w:rPr>
                <w:rFonts w:hint="eastAsia" w:ascii="宋体" w:hAnsi="宋体" w:cs="仿宋"/>
                <w:sz w:val="24"/>
                <w:highlight w:val="none"/>
                <w:u w:val="none"/>
              </w:rPr>
            </w:r>
            <w:r/>
          </w:p>
        </w:tc>
      </w:tr>
      <w:tr>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2.1</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实施方案</w:t>
            </w:r>
            <w:r>
              <w:rPr>
                <w:rFonts w:hint="eastAsia" w:ascii="宋体" w:hAnsi="宋体" w:cs="仿宋"/>
                <w:sz w:val="24"/>
                <w:highlight w:val="none"/>
                <w:u w:val="none"/>
              </w:rPr>
            </w:r>
            <w:r/>
          </w:p>
        </w:tc>
        <w:tc>
          <w:tcPr>
            <w:tcW w:w="839" w:type="dxa"/>
            <w:vAlign w:val="center"/>
            <w:textDirection w:val="lrTb"/>
            <w:noWrap w:val="false"/>
          </w:tcPr>
          <w:p>
            <w:pPr>
              <w:pStyle w:val="1108"/>
              <w:jc w:val="center"/>
              <w:spacing w:line="360" w:lineRule="exact"/>
              <w:rPr>
                <w:rFonts w:hint="eastAsia" w:ascii="宋体" w:hAnsi="宋体" w:eastAsia="宋体" w:cs="仿宋"/>
                <w:color w:val="000000"/>
                <w:highlight w:val="none"/>
                <w:u w:val="none"/>
                <w:lang w:eastAsia="zh-CN"/>
              </w:rPr>
            </w:pPr>
            <w:r>
              <w:rPr>
                <w:rFonts w:hint="eastAsia" w:ascii="宋体" w:hAnsi="宋体" w:cs="仿宋"/>
                <w:color w:val="000000"/>
                <w:highlight w:val="none"/>
                <w:u w:val="none"/>
                <w:lang w:val="en-US" w:eastAsia="zh-CN"/>
              </w:rPr>
              <w:t xml:space="preserve">7</w:t>
            </w:r>
            <w:r>
              <w:rPr>
                <w:rFonts w:hint="eastAsia" w:ascii="宋体" w:hAnsi="宋体" w:eastAsia="宋体" w:cs="仿宋"/>
                <w:color w:val="000000"/>
                <w:highlight w:val="none"/>
                <w:u w:val="none"/>
                <w:lang w:eastAsia="zh-CN"/>
              </w:rPr>
            </w:r>
            <w:r/>
          </w:p>
        </w:tc>
        <w:tc>
          <w:tcPr>
            <w:tcW w:w="4756" w:type="dxa"/>
            <w:vAlign w:val="center"/>
            <w:textDirection w:val="lrTb"/>
            <w:noWrap w:val="false"/>
          </w:tcPr>
          <w:p>
            <w:pPr>
              <w:pStyle w:val="793"/>
              <w:ind w:firstLine="480"/>
              <w:jc w:val="left"/>
              <w:spacing w:line="360" w:lineRule="exact"/>
              <w:rPr>
                <w:rFonts w:hint="eastAsia" w:hAnsi="宋体" w:cs="仿宋"/>
                <w:sz w:val="24"/>
                <w:szCs w:val="24"/>
                <w:highlight w:val="none"/>
                <w:u w:val="none"/>
              </w:rPr>
            </w:pPr>
            <w:r>
              <w:rPr>
                <w:rFonts w:hAnsi="宋体" w:cs="仿宋"/>
                <w:sz w:val="24"/>
                <w:szCs w:val="24"/>
                <w:highlight w:val="none"/>
                <w:u w:val="none"/>
              </w:rPr>
              <w:t xml:space="preserve">投标人提供项目实施方案及实施计划及保证措施</w:t>
            </w:r>
            <w:r>
              <w:rPr>
                <w:rFonts w:hint="eastAsia" w:hAnsi="宋体" w:cs="仿宋"/>
                <w:sz w:val="24"/>
                <w:szCs w:val="24"/>
                <w:highlight w:val="none"/>
                <w:u w:val="none"/>
                <w:lang w:eastAsia="zh-CN"/>
              </w:rPr>
              <w:t xml:space="preserve">，</w:t>
            </w:r>
            <w:r>
              <w:rPr>
                <w:rFonts w:hAnsi="宋体" w:cs="仿宋"/>
                <w:sz w:val="24"/>
                <w:szCs w:val="24"/>
                <w:highlight w:val="none"/>
                <w:u w:val="none"/>
              </w:rPr>
              <w:t xml:space="preserve">包含但不限于项目的难点和重点、人员的合理配备、质量的前后监控、与其它项目的衔接、实施过程中规范化操作、对不可预见因素的预测及解决方案、实施结束后对各种设备及系统的调试等等，确保项目保质、保量、保时完成。</w:t>
            </w:r>
            <w:r>
              <w:rPr>
                <w:rFonts w:hint="eastAsia" w:ascii="宋体" w:hAnsi="宋体" w:eastAsia="宋体" w:cs="宋体"/>
                <w:color w:val="000000"/>
                <w:sz w:val="24"/>
                <w:szCs w:val="24"/>
                <w:highlight w:val="none"/>
                <w:lang w:val="en-US" w:eastAsia="zh-CN" w:bidi="ar-SA"/>
              </w:rPr>
              <w:t xml:space="preserve">由评委</w:t>
            </w:r>
            <w:r>
              <w:rPr>
                <w:rFonts w:hint="eastAsia" w:ascii="宋体" w:hAnsi="宋体" w:cs="仿宋"/>
                <w:sz w:val="24"/>
                <w:highlight w:val="none"/>
                <w:u w:val="none"/>
              </w:rPr>
              <w:t xml:space="preserve">进行综合评审：</w:t>
            </w:r>
            <w:r>
              <w:rPr>
                <w:rFonts w:hint="eastAsia" w:hAnsi="宋体" w:cs="仿宋"/>
                <w:sz w:val="24"/>
                <w:szCs w:val="24"/>
                <w:highlight w:val="none"/>
                <w:u w:val="none"/>
              </w:rPr>
            </w:r>
            <w:r/>
          </w:p>
          <w:p>
            <w:pPr>
              <w:pStyle w:val="769"/>
              <w:numPr>
                <w:ilvl w:val="0"/>
                <w:numId w:val="11"/>
              </w:numPr>
              <w:ind w:firstLine="480"/>
              <w:jc w:val="left"/>
              <w:keepLines w:val="0"/>
              <w:keepNext w:val="0"/>
              <w:pageBreakBefore w:val="0"/>
              <w:spacing w:line="360" w:lineRule="exact"/>
              <w:widowControl/>
              <w:tabs>
                <w:tab w:val="left" w:pos="312" w:leader="none"/>
              </w:tabs>
              <w:rPr>
                <w:rFonts w:hint="eastAsia" w:ascii="宋体" w:hAnsi="宋体" w:cs="仿宋"/>
                <w:sz w:val="24"/>
                <w:highlight w:val="none"/>
                <w:u w:val="none"/>
              </w:rPr>
            </w:pPr>
            <w:r>
              <w:rPr>
                <w:rFonts w:hint="eastAsia" w:ascii="宋体" w:hAnsi="宋体" w:cs="仿宋"/>
                <w:sz w:val="24"/>
                <w:highlight w:val="none"/>
                <w:u w:val="none"/>
              </w:rPr>
              <w:t xml:space="preserve">有详细完整的项目实施计划及保证措施，计划合理，步骤清晰，各个实施阶段说明完整的，具有项目建设、进度控制措施，整体项目实施方案科学、合理、可行，针对性</w:t>
            </w:r>
            <w:r>
              <w:rPr>
                <w:rFonts w:hint="eastAsia" w:ascii="宋体" w:hAnsi="宋体" w:cs="仿宋"/>
                <w:sz w:val="24"/>
                <w:highlight w:val="none"/>
                <w:u w:val="none"/>
              </w:rPr>
              <w:t xml:space="preserve">强</w:t>
            </w:r>
            <w:r>
              <w:rPr>
                <w:rFonts w:hint="eastAsia" w:ascii="宋体" w:hAnsi="宋体" w:cs="仿宋"/>
                <w:sz w:val="24"/>
                <w:highlight w:val="none"/>
                <w:u w:val="none"/>
              </w:rPr>
              <w:t xml:space="preserve">，得</w:t>
            </w:r>
            <w:r>
              <w:rPr>
                <w:rFonts w:hint="eastAsia" w:ascii="宋体" w:hAnsi="宋体" w:cs="仿宋"/>
                <w:sz w:val="24"/>
                <w:highlight w:val="none"/>
                <w:u w:val="none"/>
                <w:lang w:val="en-US" w:eastAsia="zh-CN"/>
              </w:rPr>
              <w:t xml:space="preserve">7</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numPr>
                <w:ilvl w:val="0"/>
                <w:numId w:val="11"/>
              </w:numPr>
              <w:ind w:firstLine="480"/>
              <w:jc w:val="left"/>
              <w:keepLines w:val="0"/>
              <w:keepNext w:val="0"/>
              <w:pageBreakBefore w:val="0"/>
              <w:spacing w:line="360" w:lineRule="exact"/>
              <w:widowControl/>
              <w:tabs>
                <w:tab w:val="left" w:pos="312" w:leader="none"/>
              </w:tabs>
              <w:rPr>
                <w:rFonts w:hint="eastAsia" w:ascii="宋体" w:hAnsi="宋体" w:cs="仿宋"/>
                <w:sz w:val="24"/>
                <w:highlight w:val="none"/>
                <w:u w:val="none"/>
              </w:rPr>
            </w:pPr>
            <w:r>
              <w:rPr>
                <w:rFonts w:hint="eastAsia" w:ascii="宋体" w:hAnsi="宋体" w:cs="仿宋"/>
                <w:sz w:val="24"/>
                <w:highlight w:val="none"/>
                <w:u w:val="none"/>
              </w:rPr>
              <w:t xml:space="preserve">有完整的项目实施计划及保证措施，能够满足本项目的实施，整体项目实施方案较为合理、可行，对本项目有较强的针对性，整体项目实施方案、实施计划及保证措施基本可行，能基本满足本项目的实施，得</w:t>
            </w:r>
            <w:r>
              <w:rPr>
                <w:rFonts w:hint="eastAsia" w:ascii="宋体" w:hAnsi="宋体" w:cs="仿宋"/>
                <w:sz w:val="24"/>
                <w:highlight w:val="none"/>
                <w:u w:val="none"/>
                <w:lang w:val="en-US" w:eastAsia="zh-CN"/>
              </w:rPr>
              <w:t xml:space="preserve">5</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numPr>
                <w:ilvl w:val="0"/>
                <w:numId w:val="11"/>
              </w:numPr>
              <w:ind w:firstLine="480"/>
              <w:jc w:val="left"/>
              <w:keepLines w:val="0"/>
              <w:keepNext w:val="0"/>
              <w:pageBreakBefore w:val="0"/>
              <w:spacing w:line="360" w:lineRule="exact"/>
              <w:widowControl/>
              <w:tabs>
                <w:tab w:val="left" w:pos="312" w:leader="none"/>
              </w:tabs>
              <w:rPr>
                <w:rFonts w:hint="eastAsia" w:ascii="宋体" w:hAnsi="宋体" w:cs="仿宋"/>
                <w:sz w:val="24"/>
                <w:highlight w:val="none"/>
                <w:u w:val="none"/>
              </w:rPr>
            </w:pPr>
            <w:r>
              <w:rPr>
                <w:rFonts w:hint="eastAsia" w:ascii="宋体" w:hAnsi="宋体" w:cs="仿宋"/>
                <w:sz w:val="24"/>
                <w:highlight w:val="none"/>
                <w:u w:val="none"/>
              </w:rPr>
              <w:t xml:space="preserve">整体项目实施方案、实施计划及保证措施</w:t>
            </w:r>
            <w:r>
              <w:rPr>
                <w:rFonts w:hint="eastAsia" w:ascii="宋体" w:hAnsi="宋体" w:cs="仿宋"/>
                <w:sz w:val="24"/>
                <w:highlight w:val="none"/>
                <w:u w:val="none"/>
                <w:lang w:val="en-US" w:eastAsia="zh-CN"/>
              </w:rPr>
              <w:t xml:space="preserve">一般</w:t>
            </w:r>
            <w:r>
              <w:rPr>
                <w:rFonts w:hint="eastAsia" w:ascii="宋体" w:hAnsi="宋体" w:cs="仿宋"/>
                <w:sz w:val="24"/>
                <w:highlight w:val="none"/>
                <w:u w:val="none"/>
              </w:rPr>
              <w:t xml:space="preserve">，</w:t>
            </w:r>
            <w:r>
              <w:rPr>
                <w:rFonts w:hint="eastAsia" w:ascii="宋体" w:hAnsi="宋体" w:eastAsia="宋体" w:cs="宋体"/>
                <w:color w:val="000000"/>
                <w:sz w:val="24"/>
                <w:szCs w:val="24"/>
                <w:highlight w:val="none"/>
                <w:lang w:val="en-US" w:eastAsia="zh-CN" w:bidi="ar-SA"/>
              </w:rPr>
              <w:t xml:space="preserve">部分符合项目采购需求的，</w:t>
            </w:r>
            <w:r>
              <w:rPr>
                <w:rFonts w:hint="eastAsia" w:ascii="宋体" w:hAnsi="宋体" w:cs="仿宋"/>
                <w:sz w:val="24"/>
                <w:highlight w:val="none"/>
                <w:u w:val="none"/>
              </w:rPr>
              <w:t xml:space="preserve">得</w:t>
            </w:r>
            <w:r>
              <w:rPr>
                <w:rFonts w:hint="eastAsia" w:ascii="宋体" w:hAnsi="宋体" w:cs="仿宋"/>
                <w:sz w:val="24"/>
                <w:highlight w:val="none"/>
                <w:u w:val="none"/>
                <w:lang w:val="en-US" w:eastAsia="zh-CN"/>
              </w:rPr>
              <w:t xml:space="preserve">3</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numPr>
                <w:ilvl w:val="0"/>
                <w:numId w:val="11"/>
              </w:numPr>
              <w:ind w:left="0" w:firstLine="480"/>
              <w:jc w:val="both"/>
              <w:keepLines w:val="0"/>
              <w:keepNext w:val="0"/>
              <w:pageBreakBefore w:val="0"/>
              <w:widowControl w:val="off"/>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cs="仿宋"/>
                <w:sz w:val="24"/>
                <w:highlight w:val="none"/>
                <w:u w:val="none"/>
              </w:rPr>
              <w:t xml:space="preserve">整体项目</w:t>
            </w:r>
            <w:r>
              <w:rPr>
                <w:rFonts w:hint="eastAsia" w:ascii="宋体" w:hAnsi="宋体" w:eastAsia="宋体" w:cs="宋体"/>
                <w:color w:val="000000"/>
                <w:sz w:val="24"/>
                <w:szCs w:val="24"/>
                <w:highlight w:val="none"/>
                <w:lang w:val="en-US" w:eastAsia="zh-CN" w:bidi="ar-SA"/>
              </w:rPr>
              <w:t xml:space="preserve">方案简单、针对性及可操作性较差，</w:t>
            </w:r>
            <w:r>
              <w:rPr>
                <w:rFonts w:hint="eastAsia" w:ascii="宋体" w:hAnsi="宋体" w:cs="仿宋"/>
                <w:sz w:val="24"/>
                <w:highlight w:val="none"/>
                <w:u w:val="none"/>
              </w:rPr>
              <w:t xml:space="preserve">存在一定遗漏</w:t>
            </w:r>
            <w:r>
              <w:rPr>
                <w:rFonts w:hint="eastAsia" w:ascii="宋体" w:hAnsi="宋体" w:cs="仿宋"/>
                <w:sz w:val="24"/>
                <w:highlight w:val="none"/>
                <w:u w:val="none"/>
                <w:lang w:val="en-US" w:eastAsia="zh-CN"/>
              </w:rPr>
              <w:t xml:space="preserve">的</w:t>
            </w:r>
            <w:r>
              <w:rPr>
                <w:rFonts w:hint="eastAsia" w:ascii="宋体" w:hAnsi="宋体" w:eastAsia="宋体" w:cs="宋体"/>
                <w:color w:val="000000"/>
                <w:sz w:val="24"/>
                <w:szCs w:val="24"/>
                <w:highlight w:val="none"/>
                <w:lang w:val="en-US" w:eastAsia="zh-CN" w:bidi="ar-SA"/>
              </w:rPr>
              <w:t xml:space="preserve">，得1分；</w:t>
            </w:r>
            <w:r>
              <w:rPr>
                <w:rFonts w:hint="eastAsia" w:ascii="宋体" w:hAnsi="宋体" w:eastAsia="宋体" w:cs="宋体"/>
                <w:color w:val="000000"/>
                <w:sz w:val="24"/>
                <w:szCs w:val="24"/>
                <w:highlight w:val="none"/>
                <w:lang w:val="en-US" w:eastAsia="zh-CN" w:bidi="ar-SA"/>
              </w:rPr>
            </w:r>
            <w:r/>
          </w:p>
          <w:p>
            <w:pPr>
              <w:pStyle w:val="769"/>
              <w:numPr>
                <w:ilvl w:val="0"/>
                <w:numId w:val="11"/>
              </w:numPr>
              <w:ind w:left="0" w:firstLine="480"/>
              <w:jc w:val="left"/>
              <w:keepLines w:val="0"/>
              <w:keepNext w:val="0"/>
              <w:pageBreakBefore w:val="0"/>
              <w:spacing w:line="360" w:lineRule="exact"/>
              <w:widowControl/>
              <w:tabs>
                <w:tab w:val="left" w:pos="312" w:leader="none"/>
              </w:tabs>
              <w:rPr>
                <w:rFonts w:hint="eastAsia" w:ascii="宋体" w:hAnsi="宋体" w:cs="仿宋"/>
                <w:sz w:val="24"/>
                <w:highlight w:val="none"/>
                <w:u w:val="none"/>
              </w:rPr>
            </w:pPr>
            <w:r>
              <w:rPr>
                <w:rFonts w:hint="eastAsia" w:ascii="宋体" w:hAnsi="宋体" w:cs="仿宋"/>
                <w:sz w:val="24"/>
                <w:highlight w:val="none"/>
                <w:u w:val="none"/>
              </w:rPr>
              <w:t xml:space="preserve">未提供不得分。</w:t>
            </w:r>
            <w:r>
              <w:rPr>
                <w:rFonts w:hint="eastAsia" w:ascii="宋体" w:hAnsi="宋体" w:cs="仿宋"/>
                <w:sz w:val="24"/>
                <w:highlight w:val="none"/>
                <w:u w:val="none"/>
              </w:rPr>
            </w:r>
            <w:r/>
          </w:p>
        </w:tc>
        <w:tc>
          <w:tcPr>
            <w:tcW w:w="1905" w:type="dxa"/>
            <w:vAlign w:val="center"/>
            <w:textDirection w:val="lrTb"/>
            <w:noWrap w:val="false"/>
          </w:tcPr>
          <w:p>
            <w:pPr>
              <w:pStyle w:val="769"/>
              <w:ind w:left="-38"/>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根据投标文件中投标人提供的本项内容评分。</w:t>
            </w:r>
            <w:r>
              <w:rPr>
                <w:rFonts w:hint="eastAsia" w:ascii="宋体" w:hAnsi="宋体" w:cs="仿宋"/>
                <w:sz w:val="24"/>
                <w:highlight w:val="none"/>
                <w:u w:val="none"/>
              </w:rPr>
            </w:r>
            <w:r/>
          </w:p>
        </w:tc>
      </w:tr>
      <w:tr>
        <w:trPr>
          <w:trHeight w:val="90"/>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2.2</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szCs w:val="24"/>
                <w:highlight w:val="none"/>
                <w:u w:val="none"/>
                <w:lang w:eastAsia="zh-CN"/>
              </w:rPr>
            </w:pPr>
            <w:r>
              <w:rPr>
                <w:rFonts w:hint="eastAsia" w:ascii="宋体" w:hAnsi="宋体" w:cs="仿宋"/>
                <w:sz w:val="24"/>
                <w:highlight w:val="none"/>
                <w:u w:val="none"/>
              </w:rPr>
              <w:t xml:space="preserve">售后服务方案</w:t>
            </w:r>
            <w:r>
              <w:rPr>
                <w:rFonts w:hint="eastAsia" w:ascii="宋体" w:hAnsi="宋体" w:cs="仿宋"/>
                <w:sz w:val="24"/>
                <w:szCs w:val="24"/>
                <w:highlight w:val="none"/>
                <w:u w:val="none"/>
                <w:lang w:eastAsia="zh-CN"/>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szCs w:val="24"/>
                <w:highlight w:val="none"/>
                <w:u w:val="none"/>
                <w:lang w:eastAsia="zh-CN"/>
              </w:rPr>
            </w:pPr>
            <w:r>
              <w:rPr>
                <w:rFonts w:hint="eastAsia" w:ascii="宋体" w:hAnsi="宋体" w:cs="仿宋"/>
                <w:sz w:val="24"/>
                <w:highlight w:val="none"/>
                <w:u w:val="none"/>
                <w:lang w:val="en-US" w:eastAsia="zh-CN"/>
              </w:rPr>
              <w:t xml:space="preserve">5</w:t>
            </w:r>
            <w:r>
              <w:rPr>
                <w:rFonts w:hint="eastAsia" w:ascii="宋体" w:hAnsi="宋体" w:eastAsia="宋体" w:cs="仿宋"/>
                <w:sz w:val="24"/>
                <w:szCs w:val="24"/>
                <w:highlight w:val="none"/>
                <w:u w:val="none"/>
                <w:lang w:eastAsia="zh-CN"/>
              </w:rPr>
            </w:r>
            <w:r/>
          </w:p>
        </w:tc>
        <w:tc>
          <w:tcPr>
            <w:tcW w:w="4756" w:type="dxa"/>
            <w:vAlign w:val="center"/>
            <w:textDirection w:val="lrTb"/>
            <w:noWrap w:val="false"/>
          </w:tcPr>
          <w:p>
            <w:pPr>
              <w:pStyle w:val="769"/>
              <w:ind w:firstLine="480"/>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投标人有明确的后期维修服务方案，包含后期服务体系、后期服务机构及人员、后期维修方案等</w:t>
            </w:r>
            <w:r>
              <w:rPr>
                <w:rFonts w:hint="eastAsia" w:ascii="宋体" w:hAnsi="宋体" w:cs="仿宋"/>
                <w:sz w:val="24"/>
                <w:highlight w:val="none"/>
                <w:u w:val="none"/>
                <w:lang w:eastAsia="zh-CN"/>
              </w:rPr>
              <w:t xml:space="preserve">，</w:t>
            </w:r>
            <w:r>
              <w:rPr>
                <w:rFonts w:hint="eastAsia" w:ascii="宋体" w:hAnsi="宋体" w:eastAsia="宋体" w:cs="宋体"/>
                <w:color w:val="000000"/>
                <w:sz w:val="24"/>
                <w:szCs w:val="24"/>
                <w:highlight w:val="none"/>
                <w:lang w:val="en-US" w:eastAsia="zh-CN" w:bidi="ar-SA"/>
              </w:rPr>
              <w:t xml:space="preserve">由评委</w:t>
            </w:r>
            <w:r>
              <w:rPr>
                <w:rFonts w:hint="eastAsia" w:ascii="宋体" w:hAnsi="宋体" w:cs="仿宋"/>
                <w:sz w:val="24"/>
                <w:highlight w:val="none"/>
                <w:u w:val="none"/>
              </w:rPr>
              <w:t xml:space="preserve">进行综合评审：</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1.方案完整、可行，能完全满足项目实施要求，得</w:t>
            </w:r>
            <w:r>
              <w:rPr>
                <w:rFonts w:hint="eastAsia" w:ascii="宋体" w:hAnsi="宋体" w:cs="仿宋"/>
                <w:sz w:val="24"/>
                <w:highlight w:val="none"/>
                <w:u w:val="none"/>
                <w:lang w:val="en-US" w:eastAsia="zh-CN"/>
              </w:rPr>
              <w:t xml:space="preserve">5</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2.方案较具体、可行，能满足项目实施要求，得</w:t>
            </w:r>
            <w:r>
              <w:rPr>
                <w:rFonts w:hint="eastAsia" w:ascii="宋体" w:hAnsi="宋体" w:cs="仿宋"/>
                <w:sz w:val="24"/>
                <w:highlight w:val="none"/>
                <w:u w:val="none"/>
                <w:lang w:val="en-US" w:eastAsia="zh-CN"/>
              </w:rPr>
              <w:t xml:space="preserve">3</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3.方案内容较简单，对项目实施要求响应一般，得1分。</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szCs w:val="24"/>
                <w:highlight w:val="none"/>
                <w:u w:val="none"/>
                <w:lang w:eastAsia="zh-CN"/>
              </w:rPr>
            </w:pPr>
            <w:r>
              <w:rPr>
                <w:rFonts w:hint="eastAsia" w:ascii="宋体" w:hAnsi="宋体" w:cs="仿宋"/>
                <w:sz w:val="24"/>
                <w:highlight w:val="none"/>
                <w:u w:val="none"/>
                <w:lang w:val="en-US" w:eastAsia="zh-CN"/>
              </w:rPr>
              <w:t xml:space="preserve">4. </w:t>
            </w:r>
            <w:r>
              <w:rPr>
                <w:rFonts w:hint="eastAsia" w:ascii="宋体" w:hAnsi="宋体" w:cs="仿宋"/>
                <w:sz w:val="24"/>
                <w:highlight w:val="none"/>
                <w:u w:val="none"/>
              </w:rPr>
              <w:t xml:space="preserve">未提供不得分。</w:t>
            </w:r>
            <w:r>
              <w:rPr>
                <w:rFonts w:hint="eastAsia" w:ascii="宋体" w:hAnsi="宋体" w:cs="仿宋"/>
                <w:sz w:val="24"/>
                <w:szCs w:val="24"/>
                <w:highlight w:val="none"/>
                <w:u w:val="none"/>
                <w:lang w:eastAsia="zh-CN"/>
              </w:rPr>
            </w:r>
            <w:r/>
          </w:p>
        </w:tc>
        <w:tc>
          <w:tcPr>
            <w:tcW w:w="1905" w:type="dxa"/>
            <w:vAlign w:val="center"/>
            <w:textDirection w:val="lrTb"/>
            <w:noWrap w:val="false"/>
          </w:tcPr>
          <w:p>
            <w:pPr>
              <w:pStyle w:val="769"/>
              <w:ind w:left="-38"/>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根据投标文件中投标人提供的本项内容评分。</w:t>
            </w:r>
            <w:r>
              <w:rPr>
                <w:rFonts w:hint="eastAsia" w:ascii="宋体" w:hAnsi="宋体" w:cs="仿宋"/>
                <w:sz w:val="24"/>
                <w:highlight w:val="none"/>
                <w:u w:val="none"/>
              </w:rPr>
            </w:r>
            <w:r/>
          </w:p>
        </w:tc>
      </w:tr>
      <w:tr>
        <w:trPr>
          <w:trHeight w:val="286"/>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2.3</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szCs w:val="24"/>
                <w:highlight w:val="none"/>
                <w:u w:val="none"/>
                <w:lang w:eastAsia="zh-CN"/>
              </w:rPr>
            </w:pPr>
            <w:r>
              <w:rPr>
                <w:rFonts w:hint="eastAsia" w:ascii="宋体" w:hAnsi="宋体" w:cs="仿宋"/>
                <w:sz w:val="24"/>
                <w:highlight w:val="none"/>
                <w:u w:val="none"/>
              </w:rPr>
              <w:t xml:space="preserve">培训服务</w:t>
            </w:r>
            <w:r>
              <w:rPr>
                <w:rFonts w:hint="eastAsia" w:ascii="宋体" w:hAnsi="宋体" w:cs="仿宋"/>
                <w:sz w:val="24"/>
                <w:szCs w:val="24"/>
                <w:highlight w:val="none"/>
                <w:u w:val="none"/>
                <w:lang w:eastAsia="zh-CN"/>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szCs w:val="24"/>
                <w:highlight w:val="none"/>
                <w:u w:val="none"/>
                <w:lang w:eastAsia="zh-CN"/>
              </w:rPr>
            </w:pPr>
            <w:r>
              <w:rPr>
                <w:rFonts w:hint="eastAsia" w:ascii="宋体" w:hAnsi="宋体" w:cs="仿宋"/>
                <w:sz w:val="24"/>
                <w:highlight w:val="none"/>
                <w:u w:val="none"/>
                <w:lang w:val="en-US" w:eastAsia="zh-CN"/>
              </w:rPr>
              <w:t xml:space="preserve">3</w:t>
            </w:r>
            <w:r>
              <w:rPr>
                <w:rFonts w:hint="eastAsia" w:ascii="宋体" w:hAnsi="宋体" w:eastAsia="宋体" w:cs="仿宋"/>
                <w:sz w:val="24"/>
                <w:szCs w:val="24"/>
                <w:highlight w:val="none"/>
                <w:u w:val="none"/>
                <w:lang w:eastAsia="zh-CN"/>
              </w:rPr>
            </w:r>
            <w:r/>
          </w:p>
        </w:tc>
        <w:tc>
          <w:tcPr>
            <w:tcW w:w="4756" w:type="dxa"/>
            <w:vAlign w:val="center"/>
            <w:textDirection w:val="lrTb"/>
            <w:noWrap w:val="false"/>
          </w:tcPr>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根据投标人提供的培训服务方案</w:t>
            </w:r>
            <w:r>
              <w:rPr>
                <w:rFonts w:hint="eastAsia" w:ascii="宋体" w:hAnsi="宋体" w:cs="仿宋"/>
                <w:sz w:val="24"/>
                <w:highlight w:val="none"/>
                <w:u w:val="none"/>
                <w:lang w:eastAsia="zh-CN"/>
              </w:rPr>
              <w:t xml:space="preserve">，</w:t>
            </w:r>
            <w:r>
              <w:rPr>
                <w:rFonts w:hint="eastAsia" w:ascii="宋体" w:hAnsi="宋体" w:eastAsia="宋体" w:cs="宋体"/>
                <w:color w:val="000000"/>
                <w:sz w:val="24"/>
                <w:szCs w:val="24"/>
                <w:highlight w:val="none"/>
                <w:lang w:val="en-US" w:eastAsia="zh-CN" w:bidi="ar-SA"/>
              </w:rPr>
              <w:t xml:space="preserve">包含技术人员培训、日常故障解决、基础配件更换、现场应急措施等，由评委</w:t>
            </w:r>
            <w:r>
              <w:rPr>
                <w:rFonts w:hint="eastAsia" w:ascii="宋体" w:hAnsi="宋体" w:cs="仿宋"/>
                <w:sz w:val="24"/>
                <w:highlight w:val="none"/>
                <w:u w:val="none"/>
              </w:rPr>
              <w:t xml:space="preserve">进行综合评审：</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1.方案完整、可行，能完全满足项目实施要求，得</w:t>
            </w:r>
            <w:r>
              <w:rPr>
                <w:rFonts w:hint="eastAsia" w:ascii="宋体" w:hAnsi="宋体" w:cs="仿宋"/>
                <w:sz w:val="24"/>
                <w:highlight w:val="none"/>
                <w:u w:val="none"/>
                <w:lang w:val="en-US" w:eastAsia="zh-CN"/>
              </w:rPr>
              <w:t xml:space="preserve">3</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2.方案较具体、可行，能满足项目实施要求，得</w:t>
            </w:r>
            <w:r>
              <w:rPr>
                <w:rFonts w:hint="eastAsia" w:ascii="宋体" w:hAnsi="宋体" w:cs="仿宋"/>
                <w:sz w:val="24"/>
                <w:highlight w:val="none"/>
                <w:u w:val="none"/>
                <w:lang w:val="en-US" w:eastAsia="zh-CN"/>
              </w:rPr>
              <w:t xml:space="preserve">2</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highlight w:val="none"/>
                <w:u w:val="none"/>
              </w:rPr>
            </w:pPr>
            <w:r>
              <w:rPr>
                <w:rFonts w:hint="eastAsia" w:ascii="宋体" w:hAnsi="宋体" w:cs="仿宋"/>
                <w:sz w:val="24"/>
                <w:highlight w:val="none"/>
                <w:u w:val="none"/>
              </w:rPr>
              <w:t xml:space="preserve">3.方案内容较简单，对项目实施要求响应一般，得1分；</w:t>
            </w:r>
            <w:r>
              <w:rPr>
                <w:rFonts w:hint="eastAsia" w:ascii="宋体" w:hAnsi="宋体" w:cs="仿宋"/>
                <w:sz w:val="24"/>
                <w:highlight w:val="none"/>
                <w:u w:val="none"/>
              </w:rPr>
            </w:r>
            <w:r/>
          </w:p>
          <w:p>
            <w:pPr>
              <w:pStyle w:val="769"/>
              <w:ind w:firstLine="480"/>
              <w:keepLines w:val="0"/>
              <w:keepNext w:val="0"/>
              <w:pageBreakBefore w:val="0"/>
              <w:spacing w:line="360" w:lineRule="exact"/>
              <w:widowControl w:val="off"/>
              <w:rPr>
                <w:rFonts w:hint="eastAsia" w:ascii="宋体" w:hAnsi="宋体" w:cs="仿宋"/>
                <w:sz w:val="24"/>
                <w:szCs w:val="24"/>
                <w:highlight w:val="none"/>
                <w:u w:val="none"/>
                <w:lang w:eastAsia="zh-CN"/>
              </w:rPr>
            </w:pPr>
            <w:r>
              <w:rPr>
                <w:rFonts w:hint="eastAsia" w:ascii="宋体" w:hAnsi="宋体" w:cs="仿宋"/>
                <w:sz w:val="24"/>
                <w:highlight w:val="none"/>
                <w:u w:val="none"/>
                <w:lang w:val="en-US" w:eastAsia="zh-CN"/>
              </w:rPr>
              <w:t xml:space="preserve">4. </w:t>
            </w:r>
            <w:r>
              <w:rPr>
                <w:rFonts w:hint="eastAsia" w:ascii="宋体" w:hAnsi="宋体" w:cs="仿宋"/>
                <w:sz w:val="24"/>
                <w:highlight w:val="none"/>
                <w:u w:val="none"/>
              </w:rPr>
              <w:t xml:space="preserve">未提供不得分。</w:t>
            </w:r>
            <w:r>
              <w:rPr>
                <w:rFonts w:hint="eastAsia" w:ascii="宋体" w:hAnsi="宋体" w:cs="仿宋"/>
                <w:sz w:val="24"/>
                <w:szCs w:val="24"/>
                <w:highlight w:val="none"/>
                <w:u w:val="none"/>
                <w:lang w:eastAsia="zh-CN"/>
              </w:rPr>
            </w:r>
            <w:r/>
          </w:p>
        </w:tc>
        <w:tc>
          <w:tcPr>
            <w:tcW w:w="1905" w:type="dxa"/>
            <w:vAlign w:val="center"/>
            <w:textDirection w:val="lrTb"/>
            <w:noWrap w:val="false"/>
          </w:tcPr>
          <w:p>
            <w:pPr>
              <w:pStyle w:val="769"/>
              <w:ind w:left="-38"/>
              <w:spacing w:line="360" w:lineRule="exact"/>
              <w:rPr>
                <w:rFonts w:hint="eastAsia" w:ascii="宋体" w:hAnsi="宋体" w:cs="仿宋"/>
                <w:sz w:val="24"/>
                <w:szCs w:val="24"/>
                <w:highlight w:val="none"/>
                <w:u w:val="none"/>
                <w:lang w:eastAsia="zh-CN"/>
              </w:rPr>
            </w:pPr>
            <w:r>
              <w:rPr>
                <w:rFonts w:hint="eastAsia" w:ascii="宋体" w:hAnsi="宋体" w:cs="仿宋"/>
                <w:sz w:val="24"/>
                <w:highlight w:val="none"/>
                <w:u w:val="none"/>
              </w:rPr>
              <w:t xml:space="preserve">根据投标文件中投标人提供的本项内容评分。</w:t>
            </w:r>
            <w:r>
              <w:rPr>
                <w:rFonts w:hint="eastAsia" w:ascii="宋体" w:hAnsi="宋体" w:cs="仿宋"/>
                <w:sz w:val="24"/>
                <w:szCs w:val="24"/>
                <w:highlight w:val="none"/>
                <w:u w:val="none"/>
                <w:lang w:eastAsia="zh-CN"/>
              </w:rPr>
            </w:r>
            <w:r/>
          </w:p>
        </w:tc>
      </w:tr>
      <w:tr>
        <w:trPr>
          <w:trHeight w:val="567"/>
        </w:trPr>
        <w:tc>
          <w:tcPr>
            <w:tcW w:w="863"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3</w:t>
            </w:r>
            <w:r>
              <w:rPr>
                <w:rFonts w:hint="eastAsia" w:ascii="宋体" w:hAnsi="宋体" w:cs="仿宋"/>
                <w:b/>
                <w:bCs/>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客观分</w:t>
            </w:r>
            <w:r>
              <w:rPr>
                <w:rFonts w:hint="eastAsia" w:ascii="宋体" w:hAnsi="宋体" w:cs="仿宋"/>
                <w:b/>
                <w:bCs/>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highlight w:val="none"/>
                <w:u w:val="none"/>
                <w:lang w:eastAsia="zh-CN"/>
              </w:rPr>
            </w:pPr>
            <w:r>
              <w:rPr>
                <w:rFonts w:hint="eastAsia" w:ascii="宋体" w:hAnsi="宋体" w:cs="仿宋"/>
                <w:b/>
                <w:bCs/>
                <w:sz w:val="24"/>
                <w:highlight w:val="none"/>
                <w:u w:val="none"/>
              </w:rPr>
              <w:t xml:space="preserve">5</w:t>
            </w:r>
            <w:r>
              <w:rPr>
                <w:rFonts w:hint="eastAsia" w:ascii="宋体" w:hAnsi="宋体" w:cs="仿宋"/>
                <w:b/>
                <w:bCs/>
                <w:sz w:val="24"/>
                <w:highlight w:val="none"/>
                <w:u w:val="none"/>
                <w:lang w:val="en-US" w:eastAsia="zh-CN"/>
              </w:rPr>
              <w:t xml:space="preserve">5</w:t>
            </w:r>
            <w:r>
              <w:rPr>
                <w:rFonts w:hint="eastAsia" w:ascii="宋体" w:hAnsi="宋体" w:eastAsia="宋体" w:cs="仿宋"/>
                <w:sz w:val="24"/>
                <w:highlight w:val="none"/>
                <w:u w:val="none"/>
                <w:lang w:eastAsia="zh-CN"/>
              </w:rPr>
            </w:r>
            <w:r/>
          </w:p>
        </w:tc>
        <w:tc>
          <w:tcPr>
            <w:tcW w:w="4756" w:type="dxa"/>
            <w:vAlign w:val="center"/>
            <w:textDirection w:val="lrTb"/>
            <w:noWrap w:val="false"/>
          </w:tcPr>
          <w:p>
            <w:pPr>
              <w:pStyle w:val="769"/>
              <w:spacing w:line="360" w:lineRule="exact"/>
              <w:rPr>
                <w:rFonts w:hint="eastAsia" w:ascii="宋体" w:hAnsi="宋体" w:cs="仿宋"/>
                <w:sz w:val="24"/>
                <w:highlight w:val="none"/>
                <w:u w:val="none"/>
              </w:rPr>
            </w:pPr>
            <w:r>
              <w:rPr>
                <w:rFonts w:hint="eastAsia" w:ascii="宋体" w:hAnsi="宋体" w:cs="仿宋"/>
                <w:sz w:val="24"/>
                <w:highlight w:val="none"/>
                <w:u w:val="none"/>
              </w:rPr>
            </w:r>
            <w:r/>
          </w:p>
        </w:tc>
        <w:tc>
          <w:tcPr>
            <w:tcW w:w="1905" w:type="dxa"/>
            <w:vAlign w:val="center"/>
            <w:textDirection w:val="lrTb"/>
            <w:noWrap w:val="false"/>
          </w:tcPr>
          <w:p>
            <w:pPr>
              <w:pStyle w:val="769"/>
              <w:ind w:left="-38"/>
              <w:spacing w:line="360" w:lineRule="exact"/>
              <w:rPr>
                <w:rFonts w:hint="eastAsia" w:ascii="宋体" w:hAnsi="宋体" w:cs="仿宋"/>
                <w:sz w:val="24"/>
                <w:highlight w:val="none"/>
                <w:u w:val="none"/>
              </w:rPr>
            </w:pPr>
            <w:r>
              <w:rPr>
                <w:rFonts w:hint="eastAsia" w:ascii="宋体" w:hAnsi="宋体" w:cs="仿宋"/>
                <w:sz w:val="24"/>
                <w:highlight w:val="none"/>
                <w:u w:val="none"/>
              </w:rPr>
            </w:r>
            <w:r/>
          </w:p>
        </w:tc>
      </w:tr>
      <w:tr>
        <w:trPr>
          <w:trHeight w:val="567"/>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3.1</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产品性能</w:t>
            </w:r>
            <w:r>
              <w:rPr>
                <w:rFonts w:hint="eastAsia" w:ascii="宋体" w:hAnsi="宋体" w:cs="仿宋"/>
                <w:sz w:val="24"/>
                <w:highlight w:val="none"/>
                <w:u w:val="none"/>
              </w:rPr>
            </w:r>
            <w:r/>
          </w:p>
        </w:tc>
        <w:tc>
          <w:tcPr>
            <w:tcW w:w="839" w:type="dxa"/>
            <w:vAlign w:val="center"/>
            <w:textDirection w:val="lrTb"/>
            <w:noWrap w:val="false"/>
          </w:tcPr>
          <w:p>
            <w:pPr>
              <w:pStyle w:val="769"/>
              <w:ind w:firstLine="28"/>
              <w:jc w:val="center"/>
              <w:spacing w:line="360" w:lineRule="exact"/>
              <w:rPr>
                <w:rFonts w:ascii="宋体" w:hAnsi="宋体" w:eastAsia="宋体" w:cs="仿宋"/>
                <w:sz w:val="24"/>
                <w:highlight w:val="none"/>
                <w:u w:val="none"/>
                <w:lang w:val="en-US" w:eastAsia="zh-CN"/>
              </w:rPr>
            </w:pPr>
            <w:r>
              <w:rPr>
                <w:rFonts w:hint="eastAsia" w:ascii="宋体" w:hAnsi="宋体" w:cs="仿宋"/>
                <w:sz w:val="24"/>
                <w:highlight w:val="none"/>
                <w:u w:val="none"/>
                <w:lang w:val="en-US" w:eastAsia="zh-CN"/>
              </w:rPr>
              <w:t xml:space="preserve">38</w:t>
            </w:r>
            <w:r>
              <w:rPr>
                <w:rFonts w:ascii="宋体" w:hAnsi="宋体" w:eastAsia="宋体" w:cs="仿宋"/>
                <w:sz w:val="24"/>
                <w:highlight w:val="none"/>
                <w:u w:val="none"/>
                <w:lang w:val="en-US" w:eastAsia="zh-CN"/>
              </w:rPr>
            </w:r>
            <w:r/>
          </w:p>
        </w:tc>
        <w:tc>
          <w:tcPr>
            <w:tcW w:w="4756" w:type="dxa"/>
            <w:vAlign w:val="center"/>
            <w:textDirection w:val="lrTb"/>
            <w:noWrap w:val="false"/>
          </w:tcPr>
          <w:p>
            <w:pPr>
              <w:pStyle w:val="769"/>
              <w:ind w:firstLine="480"/>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技术要求的符合性，即对提供货物的技术参数、配置、性能是否符合或优于招标文件要求进行评价。符合技术要求的得</w:t>
            </w:r>
            <w:r>
              <w:rPr>
                <w:rFonts w:hint="eastAsia" w:ascii="宋体" w:hAnsi="宋体" w:cs="仿宋"/>
                <w:sz w:val="24"/>
                <w:highlight w:val="none"/>
                <w:u w:val="none"/>
                <w:lang w:val="en-US" w:eastAsia="zh-CN"/>
              </w:rPr>
              <w:t xml:space="preserve">34</w:t>
            </w:r>
            <w:r>
              <w:rPr>
                <w:rFonts w:hint="eastAsia" w:ascii="宋体" w:hAnsi="宋体" w:cs="仿宋"/>
                <w:sz w:val="24"/>
                <w:highlight w:val="none"/>
                <w:u w:val="none"/>
              </w:rPr>
              <w:t xml:space="preserve">分。</w:t>
            </w:r>
            <w:r>
              <w:rPr>
                <w:rFonts w:hint="eastAsia" w:ascii="宋体" w:hAnsi="宋体" w:cs="仿宋"/>
                <w:sz w:val="24"/>
                <w:highlight w:val="none"/>
                <w:u w:val="none"/>
              </w:rPr>
            </w:r>
            <w:r/>
          </w:p>
          <w:p>
            <w:pPr>
              <w:pStyle w:val="769"/>
              <w:ind w:firstLine="482"/>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1.</w:t>
            </w:r>
            <w:r>
              <w:rPr>
                <w:rFonts w:hint="eastAsia" w:ascii="宋体" w:hAnsi="宋体" w:cs="仿宋"/>
                <w:b/>
                <w:bCs/>
                <w:sz w:val="24"/>
                <w:highlight w:val="none"/>
                <w:u w:val="none"/>
              </w:rPr>
              <w:t xml:space="preserve">“</w:t>
            </w:r>
            <w:r>
              <w:rPr>
                <w:rFonts w:hint="eastAsia" w:ascii="仿宋" w:hAnsi="仿宋" w:eastAsia="仿宋" w:cs="仿宋"/>
                <w:b/>
                <w:bCs/>
                <w:sz w:val="24"/>
                <w:highlight w:val="none"/>
                <w:u w:val="none"/>
              </w:rPr>
              <w:t xml:space="preserve">★</w:t>
            </w:r>
            <w:r>
              <w:rPr>
                <w:rFonts w:hint="eastAsia" w:ascii="宋体" w:hAnsi="宋体" w:cs="仿宋"/>
                <w:b/>
                <w:bCs/>
                <w:sz w:val="24"/>
                <w:highlight w:val="none"/>
                <w:u w:val="none"/>
              </w:rPr>
              <w:t xml:space="preserve">”</w:t>
            </w:r>
            <w:r>
              <w:rPr>
                <w:rFonts w:hint="eastAsia" w:ascii="宋体" w:hAnsi="宋体" w:cs="仿宋"/>
                <w:b/>
                <w:bCs/>
                <w:sz w:val="24"/>
                <w:highlight w:val="none"/>
                <w:u w:val="none"/>
                <w:lang w:val="en-US" w:eastAsia="zh-CN"/>
              </w:rPr>
              <w:t xml:space="preserve">项（共14条）为实质性响应技术参数，未响应或负偏离的，作无效投标。</w:t>
            </w:r>
            <w:r>
              <w:rPr>
                <w:rFonts w:hint="eastAsia" w:ascii="宋体" w:hAnsi="宋体" w:cs="仿宋"/>
                <w:b/>
                <w:bCs/>
                <w:sz w:val="24"/>
                <w:highlight w:val="none"/>
                <w:u w:val="none"/>
              </w:rPr>
            </w:r>
            <w:r/>
          </w:p>
          <w:p>
            <w:pPr>
              <w:pStyle w:val="769"/>
              <w:ind w:firstLine="480"/>
              <w:spacing w:line="360" w:lineRule="exact"/>
              <w:rPr>
                <w:rFonts w:hint="eastAsia" w:ascii="宋体" w:hAnsi="宋体" w:cs="仿宋"/>
                <w:b w:val="0"/>
                <w:bCs w:val="0"/>
                <w:sz w:val="24"/>
                <w:highlight w:val="none"/>
                <w:u w:val="none"/>
              </w:rPr>
            </w:pPr>
            <w:r>
              <w:rPr>
                <w:rFonts w:hint="eastAsia" w:ascii="宋体" w:hAnsi="宋体" w:cs="仿宋"/>
                <w:b w:val="0"/>
                <w:bCs w:val="0"/>
                <w:sz w:val="24"/>
                <w:highlight w:val="none"/>
                <w:u w:val="none"/>
                <w:lang w:val="en-US" w:eastAsia="zh-CN"/>
              </w:rPr>
              <w:t xml:space="preserve">2.</w:t>
            </w:r>
            <w:r>
              <w:rPr>
                <w:rFonts w:hint="eastAsia" w:ascii="宋体" w:hAnsi="宋体" w:cs="仿宋"/>
                <w:b w:val="0"/>
                <w:bCs w:val="0"/>
                <w:sz w:val="24"/>
                <w:highlight w:val="none"/>
                <w:u w:val="none"/>
              </w:rPr>
              <w:t xml:space="preserve">“▲”</w:t>
            </w:r>
            <w:r>
              <w:rPr>
                <w:rFonts w:hint="eastAsia" w:ascii="宋体" w:hAnsi="宋体" w:cs="仿宋"/>
                <w:b w:val="0"/>
                <w:bCs w:val="0"/>
                <w:sz w:val="24"/>
                <w:highlight w:val="none"/>
                <w:u w:val="none"/>
                <w:lang w:val="en-US" w:eastAsia="zh-CN"/>
              </w:rPr>
              <w:t xml:space="preserve">项</w:t>
            </w:r>
            <w:r>
              <w:rPr>
                <w:rFonts w:hint="eastAsia" w:ascii="宋体" w:hAnsi="宋体" w:cs="仿宋"/>
                <w:b w:val="0"/>
                <w:bCs w:val="0"/>
                <w:sz w:val="24"/>
                <w:highlight w:val="none"/>
                <w:u w:val="none"/>
                <w:lang w:eastAsia="zh-CN"/>
              </w:rPr>
              <w:t xml:space="preserve">（</w:t>
            </w:r>
            <w:r>
              <w:rPr>
                <w:rFonts w:hint="eastAsia" w:ascii="宋体" w:hAnsi="宋体" w:cs="仿宋"/>
                <w:b w:val="0"/>
                <w:bCs w:val="0"/>
                <w:sz w:val="24"/>
                <w:highlight w:val="none"/>
                <w:u w:val="none"/>
                <w:lang w:val="en-US" w:eastAsia="zh-CN"/>
              </w:rPr>
              <w:t xml:space="preserve">共31条</w:t>
            </w:r>
            <w:r>
              <w:rPr>
                <w:rFonts w:hint="eastAsia" w:ascii="宋体" w:hAnsi="宋体" w:cs="仿宋"/>
                <w:b w:val="0"/>
                <w:bCs w:val="0"/>
                <w:sz w:val="24"/>
                <w:highlight w:val="none"/>
                <w:u w:val="none"/>
                <w:lang w:eastAsia="zh-CN"/>
              </w:rPr>
              <w:t xml:space="preserve">）</w:t>
            </w:r>
            <w:r>
              <w:rPr>
                <w:rFonts w:hint="eastAsia" w:ascii="宋体" w:hAnsi="宋体" w:cs="仿宋"/>
                <w:b w:val="0"/>
                <w:bCs w:val="0"/>
                <w:sz w:val="24"/>
                <w:highlight w:val="none"/>
                <w:u w:val="none"/>
                <w:lang w:val="en-US" w:eastAsia="zh-CN"/>
              </w:rPr>
              <w:t xml:space="preserve">为重要技术参数，未响应或负偏离的</w:t>
            </w:r>
            <w:r>
              <w:rPr>
                <w:rFonts w:hint="eastAsia" w:ascii="宋体" w:hAnsi="宋体" w:cs="仿宋"/>
                <w:b w:val="0"/>
                <w:bCs w:val="0"/>
                <w:sz w:val="24"/>
                <w:highlight w:val="none"/>
                <w:u w:val="none"/>
              </w:rPr>
              <w:t xml:space="preserve">，每有一项扣1分；</w:t>
            </w:r>
            <w:r>
              <w:rPr>
                <w:rFonts w:hint="eastAsia" w:ascii="宋体" w:hAnsi="宋体" w:cs="仿宋"/>
                <w:b w:val="0"/>
                <w:bCs w:val="0"/>
                <w:sz w:val="24"/>
                <w:highlight w:val="none"/>
                <w:u w:val="none"/>
              </w:rPr>
            </w:r>
            <w:r/>
          </w:p>
          <w:p>
            <w:pPr>
              <w:pStyle w:val="769"/>
              <w:ind w:firstLine="480"/>
              <w:spacing w:line="360" w:lineRule="exact"/>
              <w:rPr>
                <w:rFonts w:hint="eastAsia" w:ascii="宋体" w:hAnsi="宋体" w:cs="仿宋"/>
                <w:b w:val="0"/>
                <w:bCs w:val="0"/>
                <w:sz w:val="24"/>
                <w:highlight w:val="none"/>
                <w:u w:val="none"/>
              </w:rPr>
            </w:pPr>
            <w:r>
              <w:rPr>
                <w:rFonts w:hint="eastAsia" w:ascii="宋体" w:hAnsi="宋体" w:cs="仿宋"/>
                <w:b w:val="0"/>
                <w:bCs w:val="0"/>
                <w:sz w:val="24"/>
                <w:highlight w:val="none"/>
                <w:u w:val="none"/>
                <w:lang w:val="en-US" w:eastAsia="zh-CN"/>
              </w:rPr>
              <w:t xml:space="preserve">3</w:t>
            </w:r>
            <w:r>
              <w:rPr>
                <w:rFonts w:hint="eastAsia" w:ascii="宋体" w:hAnsi="宋体" w:cs="仿宋"/>
                <w:b w:val="0"/>
                <w:bCs w:val="0"/>
                <w:sz w:val="24"/>
                <w:highlight w:val="none"/>
                <w:u w:val="none"/>
              </w:rPr>
              <w:t xml:space="preserve">.其他</w:t>
            </w:r>
            <w:r>
              <w:rPr>
                <w:rFonts w:hint="eastAsia" w:ascii="宋体" w:hAnsi="宋体" w:cs="仿宋"/>
                <w:b w:val="0"/>
                <w:bCs w:val="0"/>
                <w:sz w:val="24"/>
                <w:highlight w:val="none"/>
                <w:u w:val="none"/>
                <w:lang w:eastAsia="zh-CN"/>
              </w:rPr>
              <w:t xml:space="preserve">（</w:t>
            </w:r>
            <w:r>
              <w:rPr>
                <w:rFonts w:hint="eastAsia" w:ascii="宋体" w:hAnsi="宋体" w:cs="仿宋"/>
                <w:b w:val="0"/>
                <w:bCs w:val="0"/>
                <w:sz w:val="24"/>
                <w:highlight w:val="none"/>
                <w:u w:val="none"/>
                <w:lang w:val="en-US" w:eastAsia="zh-CN"/>
              </w:rPr>
              <w:t xml:space="preserve">共1000条</w:t>
            </w:r>
            <w:r>
              <w:rPr>
                <w:rFonts w:hint="eastAsia" w:ascii="宋体" w:hAnsi="宋体" w:cs="仿宋"/>
                <w:b w:val="0"/>
                <w:bCs w:val="0"/>
                <w:sz w:val="24"/>
                <w:highlight w:val="none"/>
                <w:u w:val="none"/>
                <w:lang w:eastAsia="zh-CN"/>
              </w:rPr>
              <w:t xml:space="preserve">）</w:t>
            </w:r>
            <w:r>
              <w:rPr>
                <w:rFonts w:hint="eastAsia" w:ascii="宋体" w:hAnsi="宋体" w:cs="仿宋"/>
                <w:b w:val="0"/>
                <w:bCs w:val="0"/>
                <w:sz w:val="24"/>
                <w:highlight w:val="none"/>
                <w:u w:val="none"/>
                <w:lang w:val="en-US" w:eastAsia="zh-CN"/>
              </w:rPr>
              <w:t xml:space="preserve">为</w:t>
            </w:r>
            <w:r>
              <w:rPr>
                <w:rFonts w:hint="eastAsia" w:ascii="宋体" w:hAnsi="宋体" w:cs="仿宋"/>
                <w:b w:val="0"/>
                <w:bCs w:val="0"/>
                <w:sz w:val="24"/>
                <w:highlight w:val="none"/>
                <w:u w:val="none"/>
              </w:rPr>
              <w:t xml:space="preserve">一般参数</w:t>
            </w:r>
            <w:r>
              <w:rPr>
                <w:rFonts w:hint="eastAsia" w:ascii="宋体" w:hAnsi="宋体" w:cs="仿宋"/>
                <w:b w:val="0"/>
                <w:bCs w:val="0"/>
                <w:sz w:val="24"/>
                <w:highlight w:val="none"/>
                <w:u w:val="none"/>
                <w:lang w:eastAsia="zh-CN"/>
              </w:rPr>
              <w:t xml:space="preserve">，</w:t>
            </w:r>
            <w:r>
              <w:rPr>
                <w:rFonts w:hint="eastAsia" w:ascii="宋体" w:hAnsi="宋体" w:cs="仿宋"/>
                <w:b w:val="0"/>
                <w:bCs w:val="0"/>
                <w:sz w:val="24"/>
                <w:highlight w:val="none"/>
                <w:u w:val="none"/>
                <w:lang w:val="en-US" w:eastAsia="zh-CN"/>
              </w:rPr>
              <w:t xml:space="preserve">未响应或负偏离的</w:t>
            </w:r>
            <w:r>
              <w:rPr>
                <w:rFonts w:hint="eastAsia" w:ascii="宋体" w:hAnsi="宋体" w:cs="仿宋"/>
                <w:b w:val="0"/>
                <w:bCs w:val="0"/>
                <w:sz w:val="24"/>
                <w:highlight w:val="none"/>
                <w:u w:val="none"/>
              </w:rPr>
              <w:t xml:space="preserve">，每有一项扣0.</w:t>
            </w:r>
            <w:r>
              <w:rPr>
                <w:rFonts w:hint="eastAsia" w:ascii="宋体" w:hAnsi="宋体" w:cs="仿宋"/>
                <w:b w:val="0"/>
                <w:bCs w:val="0"/>
                <w:sz w:val="24"/>
                <w:highlight w:val="none"/>
                <w:u w:val="none"/>
                <w:lang w:val="en-US" w:eastAsia="zh-CN"/>
              </w:rPr>
              <w:t xml:space="preserve">007</w:t>
            </w:r>
            <w:r>
              <w:rPr>
                <w:rFonts w:hint="eastAsia" w:ascii="宋体" w:hAnsi="宋体" w:cs="仿宋"/>
                <w:b w:val="0"/>
                <w:bCs w:val="0"/>
                <w:sz w:val="24"/>
                <w:highlight w:val="none"/>
                <w:u w:val="none"/>
              </w:rPr>
              <w:t xml:space="preserve">分。</w:t>
            </w:r>
            <w:r>
              <w:rPr>
                <w:rFonts w:hint="eastAsia" w:ascii="宋体" w:hAnsi="宋体" w:cs="仿宋"/>
                <w:b w:val="0"/>
                <w:bCs w:val="0"/>
                <w:sz w:val="24"/>
                <w:highlight w:val="none"/>
                <w:u w:val="none"/>
              </w:rPr>
            </w:r>
            <w:r/>
          </w:p>
          <w:p>
            <w:pPr>
              <w:pStyle w:val="769"/>
              <w:ind w:firstLine="480"/>
              <w:spacing w:line="360" w:lineRule="exact"/>
              <w:rPr>
                <w:rFonts w:hint="eastAsia" w:ascii="宋体" w:hAnsi="宋体" w:cs="仿宋"/>
                <w:b/>
                <w:sz w:val="24"/>
                <w:highlight w:val="none"/>
                <w:u w:val="none"/>
                <w:lang w:val="zh-CN"/>
              </w:rPr>
            </w:pPr>
            <w:r>
              <w:rPr>
                <w:rFonts w:hint="eastAsia" w:ascii="宋体" w:hAnsi="宋体" w:cs="仿宋"/>
                <w:sz w:val="24"/>
                <w:highlight w:val="none"/>
                <w:u w:val="none"/>
                <w:lang w:val="en-US" w:eastAsia="zh-CN"/>
              </w:rPr>
              <w:t xml:space="preserve">4</w:t>
            </w:r>
            <w:r>
              <w:rPr>
                <w:rFonts w:hint="eastAsia" w:ascii="宋体" w:hAnsi="宋体" w:cs="仿宋"/>
                <w:sz w:val="24"/>
                <w:highlight w:val="none"/>
                <w:u w:val="none"/>
              </w:rPr>
              <w:t xml:space="preserve">.</w:t>
            </w:r>
            <w:r>
              <w:rPr>
                <w:rFonts w:hint="eastAsia" w:ascii="宋体" w:hAnsi="宋体" w:cs="仿宋"/>
                <w:sz w:val="24"/>
                <w:highlight w:val="none"/>
                <w:u w:val="none"/>
                <w:lang w:val="zh-CN"/>
              </w:rPr>
              <w:t xml:space="preserve">所有项目正偏离不加分。</w:t>
            </w:r>
            <w:r>
              <w:rPr>
                <w:rFonts w:hint="eastAsia" w:ascii="宋体" w:hAnsi="宋体" w:cs="仿宋"/>
                <w:b/>
                <w:sz w:val="24"/>
                <w:highlight w:val="none"/>
                <w:u w:val="none"/>
                <w:lang w:val="zh-CN"/>
              </w:rPr>
            </w:r>
            <w:r/>
          </w:p>
        </w:tc>
        <w:tc>
          <w:tcPr>
            <w:tcW w:w="1905" w:type="dxa"/>
            <w:vAlign w:val="center"/>
            <w:textDirection w:val="lrTb"/>
            <w:noWrap w:val="false"/>
          </w:tcPr>
          <w:p>
            <w:pPr>
              <w:pStyle w:val="769"/>
              <w:ind w:left="-38"/>
              <w:spacing w:line="360" w:lineRule="exact"/>
              <w:rPr>
                <w:rFonts w:hint="eastAsia" w:ascii="宋体" w:hAnsi="宋体" w:cs="仿宋"/>
                <w:b/>
                <w:bCs/>
                <w:sz w:val="24"/>
                <w:highlight w:val="none"/>
                <w:u w:val="none"/>
              </w:rPr>
            </w:pPr>
            <w:r>
              <w:rPr>
                <w:rFonts w:ascii="宋体" w:hAnsi="宋体" w:cs="仿宋"/>
                <w:b/>
                <w:bCs/>
                <w:sz w:val="24"/>
                <w:highlight w:val="none"/>
                <w:u w:val="none"/>
              </w:rPr>
              <w:t xml:space="preserve">根据参数要求提供相关证明材料</w:t>
            </w:r>
            <w:r>
              <w:rPr>
                <w:rFonts w:hint="eastAsia" w:ascii="宋体" w:hAnsi="宋体" w:cs="仿宋"/>
                <w:b/>
                <w:bCs/>
                <w:sz w:val="24"/>
                <w:highlight w:val="none"/>
                <w:u w:val="none"/>
                <w:lang w:val="en-US" w:eastAsia="zh-CN"/>
              </w:rPr>
              <w:t xml:space="preserve">加盖投标人公章</w:t>
            </w:r>
            <w:r>
              <w:rPr>
                <w:rFonts w:ascii="宋体" w:hAnsi="宋体" w:cs="仿宋"/>
                <w:b/>
                <w:bCs/>
                <w:sz w:val="24"/>
                <w:highlight w:val="none"/>
                <w:u w:val="none"/>
              </w:rPr>
              <w:t xml:space="preserve">，无需提供证明材料的，以偏离表为准。</w:t>
            </w:r>
            <w:r>
              <w:rPr>
                <w:rFonts w:hint="eastAsia" w:ascii="宋体" w:hAnsi="宋体" w:cs="仿宋"/>
                <w:b/>
                <w:bCs/>
                <w:sz w:val="24"/>
                <w:highlight w:val="none"/>
                <w:u w:val="none"/>
              </w:rPr>
            </w:r>
            <w:r/>
          </w:p>
        </w:tc>
      </w:tr>
      <w:tr>
        <w:trPr>
          <w:trHeight w:val="567"/>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3.2</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ascii="宋体" w:hAnsi="宋体" w:eastAsia="宋体" w:cs="仿宋"/>
                <w:sz w:val="24"/>
                <w:highlight w:val="none"/>
                <w:u w:val="none"/>
                <w:lang w:val="en-US" w:eastAsia="zh-CN"/>
              </w:rPr>
            </w:pPr>
            <w:r>
              <w:rPr>
                <w:rFonts w:hint="eastAsia" w:ascii="宋体" w:hAnsi="宋体" w:cs="仿宋"/>
                <w:sz w:val="24"/>
                <w:highlight w:val="none"/>
                <w:u w:val="none"/>
                <w:lang w:val="en-US" w:eastAsia="zh-CN"/>
              </w:rPr>
              <w:t xml:space="preserve">认证证书</w:t>
            </w:r>
            <w:r>
              <w:rPr>
                <w:rFonts w:ascii="宋体" w:hAnsi="宋体" w:eastAsia="宋体" w:cs="仿宋"/>
                <w:sz w:val="24"/>
                <w:highlight w:val="none"/>
                <w:u w:val="none"/>
                <w:lang w:val="en-US" w:eastAsia="zh-CN"/>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highlight w:val="none"/>
                <w:u w:val="none"/>
                <w:lang w:eastAsia="zh-CN"/>
              </w:rPr>
            </w:pPr>
            <w:r>
              <w:rPr>
                <w:rFonts w:hint="eastAsia" w:ascii="宋体" w:hAnsi="宋体" w:cs="仿宋"/>
                <w:sz w:val="24"/>
                <w:highlight w:val="none"/>
                <w:u w:val="none"/>
                <w:lang w:val="en-US" w:eastAsia="zh-CN"/>
              </w:rPr>
              <w:t xml:space="preserve">3</w:t>
            </w:r>
            <w:r>
              <w:rPr>
                <w:rFonts w:hint="eastAsia" w:ascii="宋体" w:hAnsi="宋体" w:eastAsia="宋体" w:cs="仿宋"/>
                <w:sz w:val="24"/>
                <w:highlight w:val="none"/>
                <w:u w:val="none"/>
                <w:lang w:eastAsia="zh-CN"/>
              </w:rPr>
            </w:r>
            <w:r/>
          </w:p>
        </w:tc>
        <w:tc>
          <w:tcPr>
            <w:tcW w:w="4756" w:type="dxa"/>
            <w:vAlign w:val="center"/>
            <w:textDirection w:val="lrTb"/>
            <w:noWrap w:val="false"/>
          </w:tcPr>
          <w:p>
            <w:pPr>
              <w:pStyle w:val="769"/>
              <w:ind w:firstLine="480"/>
              <w:spacing w:line="360" w:lineRule="exact"/>
              <w:rPr>
                <w:rFonts w:hint="eastAsia" w:ascii="宋体" w:hAnsi="宋体" w:cs="仿宋"/>
                <w:sz w:val="24"/>
                <w:highlight w:val="none"/>
                <w:u w:val="none"/>
                <w:lang w:val="zh-CN"/>
              </w:rPr>
            </w:pPr>
            <w:r>
              <w:rPr>
                <w:rFonts w:hint="eastAsia" w:ascii="宋体" w:hAnsi="宋体" w:cs="仿宋"/>
                <w:sz w:val="24"/>
                <w:highlight w:val="none"/>
                <w:u w:val="none"/>
                <w:lang w:val="zh-CN"/>
              </w:rPr>
              <w:t xml:space="preserve">投标人具有有效的质量管理体系认证证书、环境管理体系认证证书、职业健康安全管理体系认证证书，</w:t>
            </w:r>
            <w:r>
              <w:rPr>
                <w:rFonts w:hint="eastAsia" w:ascii="宋体" w:hAnsi="宋体" w:cs="仿宋"/>
                <w:sz w:val="24"/>
                <w:highlight w:val="none"/>
                <w:u w:val="none"/>
                <w:lang w:val="zh-CN"/>
              </w:rPr>
              <w:t xml:space="preserve">（以上证书认证覆盖的业务范围，</w:t>
            </w:r>
            <w:r>
              <w:rPr>
                <w:rFonts w:hint="eastAsia" w:ascii="宋体" w:hAnsi="宋体" w:cs="仿宋"/>
                <w:sz w:val="24"/>
                <w:highlight w:val="none"/>
                <w:u w:val="none"/>
                <w:lang w:val="en-US" w:eastAsia="zh-CN"/>
              </w:rPr>
              <w:t xml:space="preserve">应</w:t>
            </w:r>
            <w:r>
              <w:rPr>
                <w:rFonts w:hint="eastAsia" w:ascii="宋体" w:hAnsi="宋体" w:cs="仿宋"/>
                <w:sz w:val="24"/>
                <w:highlight w:val="none"/>
                <w:u w:val="none"/>
                <w:lang w:val="zh-CN"/>
              </w:rPr>
              <w:t xml:space="preserve">包含</w:t>
            </w:r>
            <w:r>
              <w:rPr>
                <w:rFonts w:hint="eastAsia" w:ascii="宋体" w:hAnsi="宋体" w:cs="仿宋"/>
                <w:sz w:val="24"/>
                <w:highlight w:val="none"/>
                <w:u w:val="none"/>
                <w:lang w:val="en-US" w:eastAsia="zh-CN"/>
              </w:rPr>
              <w:t xml:space="preserve">与本项目信息化设备相关内容</w:t>
            </w:r>
            <w:r>
              <w:rPr>
                <w:rFonts w:hint="eastAsia" w:ascii="宋体" w:hAnsi="宋体" w:cs="仿宋"/>
                <w:sz w:val="24"/>
                <w:highlight w:val="none"/>
                <w:u w:val="none"/>
                <w:lang w:val="zh-CN"/>
              </w:rPr>
              <w:t xml:space="preserve">，否则不得分），</w:t>
            </w:r>
            <w:r>
              <w:rPr>
                <w:rFonts w:hint="eastAsia" w:ascii="宋体" w:hAnsi="宋体" w:cs="仿宋"/>
                <w:sz w:val="24"/>
                <w:highlight w:val="none"/>
                <w:u w:val="none"/>
                <w:lang w:val="zh-CN"/>
              </w:rPr>
              <w:t xml:space="preserve">每有一项证书</w:t>
            </w:r>
            <w:r>
              <w:rPr>
                <w:rFonts w:hint="eastAsia" w:ascii="宋体" w:hAnsi="宋体" w:cs="仿宋"/>
                <w:sz w:val="24"/>
                <w:highlight w:val="none"/>
                <w:u w:val="none"/>
                <w:lang w:val="en-US" w:eastAsia="zh-CN"/>
              </w:rPr>
              <w:t xml:space="preserve">1</w:t>
            </w:r>
            <w:r>
              <w:rPr>
                <w:rFonts w:hint="eastAsia" w:ascii="宋体" w:hAnsi="宋体" w:cs="仿宋"/>
                <w:sz w:val="24"/>
                <w:highlight w:val="none"/>
                <w:u w:val="none"/>
                <w:lang w:val="zh-CN"/>
              </w:rPr>
              <w:t xml:space="preserve">分，最高得</w:t>
            </w:r>
            <w:r>
              <w:rPr>
                <w:rFonts w:hint="eastAsia" w:ascii="宋体" w:hAnsi="宋体" w:cs="仿宋"/>
                <w:sz w:val="24"/>
                <w:highlight w:val="none"/>
                <w:u w:val="none"/>
                <w:lang w:val="en-US" w:eastAsia="zh-CN"/>
              </w:rPr>
              <w:t xml:space="preserve">3</w:t>
            </w:r>
            <w:r>
              <w:rPr>
                <w:rFonts w:hint="eastAsia" w:ascii="宋体" w:hAnsi="宋体" w:cs="仿宋"/>
                <w:sz w:val="24"/>
                <w:highlight w:val="none"/>
                <w:u w:val="none"/>
                <w:lang w:val="zh-CN"/>
              </w:rPr>
              <w:t xml:space="preserve">分。</w:t>
            </w:r>
            <w:r>
              <w:rPr>
                <w:rFonts w:hint="eastAsia" w:ascii="宋体" w:hAnsi="宋体" w:cs="仿宋"/>
                <w:sz w:val="24"/>
                <w:highlight w:val="none"/>
                <w:u w:val="none"/>
                <w:lang w:val="zh-CN"/>
              </w:rPr>
            </w:r>
            <w:r/>
          </w:p>
        </w:tc>
        <w:tc>
          <w:tcPr>
            <w:tcW w:w="1905" w:type="dxa"/>
            <w:vAlign w:val="center"/>
            <w:textDirection w:val="lrTb"/>
            <w:noWrap w:val="false"/>
          </w:tcPr>
          <w:p>
            <w:pPr>
              <w:pStyle w:val="769"/>
              <w:ind w:left="-38"/>
              <w:spacing w:line="360" w:lineRule="exact"/>
              <w:rPr>
                <w:rFonts w:hint="eastAsia" w:ascii="宋体" w:hAnsi="宋体" w:cs="仿宋"/>
                <w:sz w:val="24"/>
                <w:highlight w:val="none"/>
                <w:u w:val="none"/>
              </w:rPr>
            </w:pPr>
            <w:r>
              <w:rPr>
                <w:rFonts w:hint="eastAsia" w:ascii="宋体" w:hAnsi="宋体" w:cs="仿宋"/>
                <w:b/>
                <w:bCs/>
                <w:sz w:val="24"/>
                <w:highlight w:val="none"/>
                <w:u w:val="none"/>
              </w:rPr>
              <w:t xml:space="preserve">投标文件中提供相关证书复印件</w:t>
            </w:r>
            <w:r>
              <w:rPr>
                <w:rFonts w:hint="eastAsia" w:ascii="宋体" w:hAnsi="宋体" w:cs="仿宋"/>
                <w:b/>
                <w:bCs/>
                <w:sz w:val="24"/>
                <w:highlight w:val="none"/>
                <w:u w:val="none"/>
                <w:lang w:val="en-US" w:eastAsia="zh-CN"/>
              </w:rPr>
              <w:t xml:space="preserve">加盖投标人公章，否则不得分</w:t>
            </w:r>
            <w:r>
              <w:rPr>
                <w:rFonts w:hint="eastAsia" w:ascii="宋体" w:hAnsi="宋体" w:cs="仿宋"/>
                <w:b/>
                <w:sz w:val="24"/>
                <w:highlight w:val="none"/>
                <w:u w:val="none"/>
              </w:rPr>
              <w:t xml:space="preserve">。</w:t>
            </w:r>
            <w:r>
              <w:rPr>
                <w:rFonts w:hint="eastAsia" w:ascii="宋体" w:hAnsi="宋体" w:cs="仿宋"/>
                <w:sz w:val="24"/>
                <w:highlight w:val="none"/>
                <w:u w:val="none"/>
              </w:rPr>
            </w:r>
            <w:r/>
          </w:p>
        </w:tc>
      </w:tr>
      <w:tr>
        <w:trPr>
          <w:trHeight w:val="2681"/>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3.3</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企业业绩</w:t>
            </w:r>
            <w:r>
              <w:rPr>
                <w:rFonts w:hint="eastAsia" w:ascii="宋体" w:hAnsi="宋体" w:cs="仿宋"/>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highlight w:val="none"/>
                <w:u w:val="none"/>
                <w:lang w:eastAsia="zh-CN"/>
              </w:rPr>
            </w:pPr>
            <w:r>
              <w:rPr>
                <w:rFonts w:hint="eastAsia" w:ascii="宋体" w:hAnsi="宋体" w:cs="仿宋"/>
                <w:sz w:val="24"/>
                <w:highlight w:val="none"/>
                <w:u w:val="none"/>
                <w:lang w:val="en-US" w:eastAsia="zh-CN"/>
              </w:rPr>
              <w:t xml:space="preserve">2</w:t>
            </w:r>
            <w:r>
              <w:rPr>
                <w:rFonts w:hint="eastAsia" w:ascii="宋体" w:hAnsi="宋体" w:eastAsia="宋体" w:cs="仿宋"/>
                <w:sz w:val="24"/>
                <w:highlight w:val="none"/>
                <w:u w:val="none"/>
                <w:lang w:eastAsia="zh-CN"/>
              </w:rPr>
            </w:r>
            <w:r/>
          </w:p>
        </w:tc>
        <w:tc>
          <w:tcPr>
            <w:tcW w:w="4756" w:type="dxa"/>
            <w:vAlign w:val="center"/>
            <w:textDirection w:val="lrTb"/>
            <w:noWrap w:val="false"/>
          </w:tcPr>
          <w:p>
            <w:pPr>
              <w:pStyle w:val="769"/>
              <w:ind w:firstLine="480"/>
              <w:spacing w:line="360" w:lineRule="exact"/>
              <w:rPr>
                <w:rFonts w:hint="eastAsia" w:ascii="宋体" w:hAnsi="宋体" w:cs="仿宋"/>
                <w:sz w:val="24"/>
                <w:highlight w:val="none"/>
                <w:u w:val="none"/>
                <w:lang w:val="zh-CN"/>
              </w:rPr>
            </w:pPr>
            <w:r>
              <w:rPr>
                <w:rFonts w:hint="eastAsia" w:ascii="宋体" w:hAnsi="宋体" w:cs="仿宋"/>
                <w:sz w:val="24"/>
                <w:highlight w:val="none"/>
                <w:u w:val="none"/>
                <w:lang w:val="zh-CN"/>
              </w:rPr>
              <w:t xml:space="preserve">投标人提供</w:t>
            </w:r>
            <w:r>
              <w:rPr>
                <w:rFonts w:hint="eastAsia" w:ascii="宋体" w:hAnsi="宋体" w:cs="仿宋"/>
                <w:sz w:val="24"/>
                <w:highlight w:val="none"/>
                <w:u w:val="none"/>
              </w:rPr>
              <w:t xml:space="preserve">2023年</w:t>
            </w:r>
            <w:r>
              <w:rPr>
                <w:rFonts w:ascii="宋体" w:hAnsi="宋体" w:cs="仿宋"/>
                <w:sz w:val="24"/>
                <w:highlight w:val="none"/>
                <w:u w:val="none"/>
              </w:rPr>
              <w:t xml:space="preserve">1</w:t>
            </w:r>
            <w:r>
              <w:rPr>
                <w:rFonts w:hint="eastAsia" w:ascii="宋体" w:hAnsi="宋体" w:cs="仿宋"/>
                <w:sz w:val="24"/>
                <w:highlight w:val="none"/>
                <w:u w:val="none"/>
                <w:lang w:val="en-US" w:eastAsia="zh-CN"/>
              </w:rPr>
              <w:t xml:space="preserve">1</w:t>
            </w:r>
            <w:r>
              <w:rPr>
                <w:rFonts w:hint="eastAsia" w:ascii="宋体" w:hAnsi="宋体" w:cs="仿宋"/>
                <w:sz w:val="24"/>
                <w:highlight w:val="none"/>
                <w:u w:val="none"/>
              </w:rPr>
              <w:t xml:space="preserve">月1日</w:t>
            </w:r>
            <w:r>
              <w:rPr>
                <w:rFonts w:hint="eastAsia" w:ascii="宋体" w:hAnsi="宋体" w:cs="仿宋"/>
                <w:sz w:val="24"/>
                <w:highlight w:val="none"/>
                <w:u w:val="none"/>
                <w:lang w:val="zh-CN"/>
              </w:rPr>
              <w:t xml:space="preserve">以来（时间以合同签订时间为准）类似信息化设备项目的业绩，每提供一份得</w:t>
            </w:r>
            <w:r>
              <w:rPr>
                <w:rFonts w:hint="eastAsia" w:ascii="宋体" w:hAnsi="宋体" w:cs="仿宋"/>
                <w:sz w:val="24"/>
                <w:highlight w:val="none"/>
                <w:u w:val="none"/>
                <w:lang w:val="en-US" w:eastAsia="zh-CN"/>
              </w:rPr>
              <w:t xml:space="preserve">1</w:t>
            </w:r>
            <w:r>
              <w:rPr>
                <w:rFonts w:hint="eastAsia" w:ascii="宋体" w:hAnsi="宋体" w:cs="仿宋"/>
                <w:sz w:val="24"/>
                <w:highlight w:val="none"/>
                <w:u w:val="none"/>
                <w:lang w:val="zh-CN"/>
              </w:rPr>
              <w:t xml:space="preserve">分，最高得</w:t>
            </w:r>
            <w:r>
              <w:rPr>
                <w:rFonts w:hint="eastAsia" w:ascii="宋体" w:hAnsi="宋体" w:cs="仿宋"/>
                <w:sz w:val="24"/>
                <w:highlight w:val="none"/>
                <w:u w:val="none"/>
                <w:lang w:val="en-US" w:eastAsia="zh-CN"/>
              </w:rPr>
              <w:t xml:space="preserve">2</w:t>
            </w:r>
            <w:r>
              <w:rPr>
                <w:rFonts w:hint="eastAsia" w:ascii="宋体" w:hAnsi="宋体" w:cs="仿宋"/>
                <w:sz w:val="24"/>
                <w:highlight w:val="none"/>
                <w:u w:val="none"/>
                <w:lang w:val="zh-CN"/>
              </w:rPr>
              <w:t xml:space="preserve">分。</w:t>
            </w:r>
            <w:r>
              <w:rPr>
                <w:rFonts w:hint="eastAsia" w:ascii="宋体" w:hAnsi="宋体" w:cs="仿宋"/>
                <w:sz w:val="24"/>
                <w:highlight w:val="none"/>
                <w:u w:val="none"/>
                <w:lang w:val="zh-CN"/>
              </w:rPr>
            </w:r>
            <w:r/>
          </w:p>
        </w:tc>
        <w:tc>
          <w:tcPr>
            <w:tcW w:w="1905" w:type="dxa"/>
            <w:vAlign w:val="center"/>
            <w:textDirection w:val="lrTb"/>
            <w:noWrap w:val="false"/>
          </w:tcPr>
          <w:p>
            <w:pPr>
              <w:pStyle w:val="769"/>
              <w:ind w:left="-38"/>
              <w:spacing w:line="360" w:lineRule="exact"/>
              <w:rPr>
                <w:rFonts w:hint="eastAsia" w:ascii="宋体" w:hAnsi="宋体" w:cs="仿宋"/>
                <w:b/>
                <w:sz w:val="24"/>
                <w:highlight w:val="none"/>
                <w:u w:val="none"/>
              </w:rPr>
            </w:pPr>
            <w:r>
              <w:rPr>
                <w:rFonts w:hint="eastAsia" w:ascii="宋体" w:hAnsi="宋体" w:cs="仿宋"/>
                <w:b/>
                <w:bCs/>
                <w:sz w:val="24"/>
                <w:highlight w:val="none"/>
                <w:u w:val="none"/>
              </w:rPr>
              <w:t xml:space="preserve">投标文件中</w:t>
            </w:r>
            <w:r>
              <w:rPr>
                <w:rFonts w:hint="eastAsia" w:ascii="宋体" w:hAnsi="宋体" w:cs="仿宋"/>
                <w:b/>
                <w:bCs/>
                <w:sz w:val="24"/>
                <w:highlight w:val="none"/>
                <w:u w:val="none"/>
              </w:rPr>
              <w:t xml:space="preserve">提供合同复印件</w:t>
            </w:r>
            <w:r>
              <w:rPr>
                <w:rFonts w:hint="eastAsia" w:ascii="宋体" w:hAnsi="宋体" w:cs="仿宋"/>
                <w:b/>
                <w:bCs/>
                <w:sz w:val="24"/>
                <w:highlight w:val="none"/>
                <w:u w:val="none"/>
                <w:lang w:val="en-US" w:eastAsia="zh-CN"/>
              </w:rPr>
              <w:t xml:space="preserve">加盖投标人公章，合同须同时明确甲乙双方、合同内容及签订时间，否则不得分</w:t>
            </w:r>
            <w:r>
              <w:rPr>
                <w:rFonts w:hint="eastAsia" w:ascii="宋体" w:hAnsi="宋体" w:cs="仿宋"/>
                <w:b/>
                <w:bCs/>
                <w:sz w:val="24"/>
                <w:highlight w:val="none"/>
                <w:u w:val="none"/>
              </w:rPr>
              <w:t xml:space="preserve">。</w:t>
            </w:r>
            <w:r>
              <w:rPr>
                <w:rFonts w:hint="eastAsia" w:ascii="宋体" w:hAnsi="宋体" w:cs="仿宋"/>
                <w:b/>
                <w:sz w:val="24"/>
                <w:highlight w:val="none"/>
                <w:u w:val="none"/>
              </w:rPr>
            </w:r>
            <w:r/>
          </w:p>
        </w:tc>
      </w:tr>
      <w:tr>
        <w:trPr>
          <w:trHeight w:val="317"/>
        </w:trPr>
        <w:tc>
          <w:tcPr>
            <w:tcW w:w="863"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3.4</w:t>
            </w:r>
            <w:r>
              <w:rPr>
                <w:rFonts w:hint="eastAsia" w:ascii="宋体" w:hAnsi="宋体" w:cs="仿宋"/>
                <w:sz w:val="24"/>
                <w:highlight w:val="none"/>
                <w:u w:val="none"/>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cs="仿宋"/>
                <w:sz w:val="24"/>
                <w:highlight w:val="none"/>
                <w:u w:val="none"/>
              </w:rPr>
              <w:t xml:space="preserve">拟投入本项目人员</w:t>
            </w:r>
            <w:r>
              <w:rPr>
                <w:rFonts w:hint="eastAsia" w:ascii="宋体" w:hAnsi="宋体" w:cs="仿宋"/>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highlight w:val="none"/>
                <w:u w:val="none"/>
                <w:lang w:eastAsia="zh-CN"/>
              </w:rPr>
            </w:pPr>
            <w:r>
              <w:rPr>
                <w:rFonts w:hint="eastAsia" w:ascii="宋体" w:hAnsi="宋体" w:cs="仿宋"/>
                <w:sz w:val="24"/>
                <w:highlight w:val="none"/>
                <w:u w:val="none"/>
                <w:lang w:val="en-US" w:eastAsia="zh-CN"/>
              </w:rPr>
              <w:t xml:space="preserve">9</w:t>
            </w:r>
            <w:r>
              <w:rPr>
                <w:rFonts w:hint="eastAsia" w:ascii="宋体" w:hAnsi="宋体" w:eastAsia="宋体" w:cs="仿宋"/>
                <w:sz w:val="24"/>
                <w:highlight w:val="none"/>
                <w:u w:val="none"/>
                <w:lang w:eastAsia="zh-CN"/>
              </w:rPr>
            </w:r>
            <w:r/>
          </w:p>
        </w:tc>
        <w:tc>
          <w:tcPr>
            <w:tcW w:w="4756" w:type="dxa"/>
            <w:vAlign w:val="center"/>
            <w:textDirection w:val="lrTb"/>
            <w:noWrap w:val="false"/>
          </w:tcPr>
          <w:p>
            <w:pPr>
              <w:pStyle w:val="1218"/>
              <w:ind w:left="0" w:firstLine="480"/>
              <w:spacing w:after="0" w:line="360" w:lineRule="exact"/>
              <w:rPr>
                <w:rFonts w:hint="eastAsia" w:ascii="宋体" w:hAnsi="宋体" w:cs="仿宋"/>
                <w:highlight w:val="none"/>
                <w:u w:val="none"/>
              </w:rPr>
            </w:pPr>
            <w:r>
              <w:rPr>
                <w:rFonts w:hint="eastAsia" w:ascii="宋体" w:hAnsi="宋体" w:cs="仿宋"/>
                <w:highlight w:val="none"/>
                <w:u w:val="none"/>
              </w:rPr>
              <w:t xml:space="preserve">1.拟投入本项目的项目经理，其具备</w:t>
            </w:r>
            <w:r>
              <w:rPr>
                <w:rFonts w:ascii="宋体" w:hAnsi="宋体" w:cs="仿宋"/>
                <w:highlight w:val="none"/>
                <w:u w:val="none"/>
              </w:rPr>
              <w:t xml:space="preserve">信息系统项目管理师证书、网络工程师证书、ITSS IT服务工程师证书、ITSS信息技术应用创新服务工程师证书</w:t>
            </w:r>
            <w:r>
              <w:rPr>
                <w:rFonts w:hint="eastAsia" w:ascii="宋体" w:hAnsi="宋体" w:cs="仿宋"/>
                <w:highlight w:val="none"/>
                <w:u w:val="none"/>
              </w:rPr>
              <w:t xml:space="preserve">的，有一项得1分，最高得4分，项目经理仅为一人。</w:t>
            </w:r>
            <w:r>
              <w:rPr>
                <w:rFonts w:hint="eastAsia" w:ascii="宋体" w:hAnsi="宋体" w:cs="仿宋"/>
                <w:highlight w:val="none"/>
                <w:u w:val="none"/>
              </w:rPr>
            </w:r>
            <w:r/>
          </w:p>
          <w:p>
            <w:pPr>
              <w:pStyle w:val="1218"/>
              <w:ind w:left="0" w:firstLine="480"/>
              <w:spacing w:after="0" w:line="360" w:lineRule="exact"/>
              <w:rPr>
                <w:rFonts w:hint="eastAsia" w:ascii="宋体" w:hAnsi="宋体" w:cs="仿宋"/>
                <w:highlight w:val="none"/>
                <w:u w:val="none"/>
              </w:rPr>
            </w:pPr>
            <w:r>
              <w:rPr>
                <w:rFonts w:hint="eastAsia" w:ascii="宋体" w:hAnsi="宋体" w:cs="仿宋"/>
                <w:highlight w:val="none"/>
                <w:u w:val="none"/>
              </w:rPr>
              <w:t xml:space="preserve">2.拟投入本项目的安全负责人，其具备</w:t>
            </w:r>
            <w:r>
              <w:rPr>
                <w:rFonts w:ascii="宋体" w:hAnsi="宋体" w:cs="仿宋"/>
                <w:highlight w:val="none"/>
                <w:u w:val="none"/>
              </w:rPr>
              <w:t xml:space="preserve">注册信息安全专业人员CISP证书、CCSC 网络安全能力认证-网络安全管理II级证书、CISAW信息安全保障人员证书（安全运维）</w:t>
            </w:r>
            <w:r>
              <w:rPr>
                <w:rFonts w:hint="eastAsia" w:ascii="宋体" w:hAnsi="宋体" w:cs="仿宋"/>
                <w:highlight w:val="none"/>
                <w:u w:val="none"/>
              </w:rPr>
              <w:t xml:space="preserve">的，有一项得1分，最高得3分，安全负责人仅为一人。</w:t>
            </w:r>
            <w:r>
              <w:rPr>
                <w:rFonts w:hint="eastAsia" w:ascii="宋体" w:hAnsi="宋体" w:cs="仿宋"/>
                <w:highlight w:val="none"/>
                <w:u w:val="none"/>
              </w:rPr>
            </w:r>
            <w:r/>
          </w:p>
          <w:p>
            <w:pPr>
              <w:pStyle w:val="1218"/>
              <w:ind w:left="0" w:firstLine="480"/>
              <w:spacing w:after="0" w:line="360" w:lineRule="exact"/>
              <w:rPr>
                <w:rFonts w:hint="eastAsia" w:ascii="宋体" w:hAnsi="宋体" w:cs="仿宋"/>
                <w:highlight w:val="none"/>
                <w:u w:val="none"/>
              </w:rPr>
            </w:pPr>
            <w:r>
              <w:rPr>
                <w:rFonts w:hint="eastAsia" w:ascii="宋体" w:hAnsi="宋体" w:cs="仿宋"/>
                <w:highlight w:val="none"/>
                <w:u w:val="none"/>
              </w:rPr>
              <w:t xml:space="preserve">3.拟投入本项目的售后</w:t>
            </w:r>
            <w:r>
              <w:rPr>
                <w:rFonts w:hint="eastAsia" w:ascii="宋体" w:hAnsi="宋体" w:cs="仿宋"/>
                <w:highlight w:val="none"/>
                <w:u w:val="none"/>
                <w:lang w:val="en-US" w:eastAsia="zh-CN"/>
              </w:rPr>
              <w:t xml:space="preserve">人员若干名</w:t>
            </w:r>
            <w:r>
              <w:rPr>
                <w:rFonts w:hint="eastAsia" w:ascii="宋体" w:hAnsi="宋体" w:cs="仿宋"/>
                <w:highlight w:val="none"/>
                <w:u w:val="none"/>
              </w:rPr>
              <w:t xml:space="preserve">，具有</w:t>
            </w:r>
            <w:r>
              <w:rPr>
                <w:rFonts w:ascii="宋体" w:hAnsi="宋体" w:cs="仿宋"/>
                <w:highlight w:val="none"/>
                <w:u w:val="none"/>
              </w:rPr>
              <w:t xml:space="preserve">IT运维工程师（高级）证书、安防系统工程师（高级）证书、高级网络规划师证书，OSTA全国计算机信息高新技术网络工程师证书</w:t>
            </w:r>
            <w:r>
              <w:rPr>
                <w:rFonts w:hint="eastAsia" w:ascii="宋体" w:hAnsi="宋体" w:cs="仿宋"/>
                <w:highlight w:val="none"/>
                <w:u w:val="none"/>
              </w:rPr>
              <w:t xml:space="preserve">的，有一项得</w:t>
            </w:r>
            <w:r>
              <w:rPr>
                <w:rFonts w:hint="eastAsia" w:ascii="宋体" w:hAnsi="宋体" w:cs="仿宋"/>
                <w:highlight w:val="none"/>
                <w:u w:val="none"/>
                <w:lang w:val="en-US" w:eastAsia="zh-CN"/>
              </w:rPr>
              <w:t xml:space="preserve">0.5</w:t>
            </w:r>
            <w:r>
              <w:rPr>
                <w:rFonts w:hint="eastAsia" w:ascii="宋体" w:hAnsi="宋体" w:cs="仿宋"/>
                <w:highlight w:val="none"/>
                <w:u w:val="none"/>
              </w:rPr>
              <w:t xml:space="preserve">分，最高得</w:t>
            </w:r>
            <w:r>
              <w:rPr>
                <w:rFonts w:hint="eastAsia" w:ascii="宋体" w:hAnsi="宋体" w:cs="仿宋"/>
                <w:highlight w:val="none"/>
                <w:u w:val="none"/>
                <w:lang w:val="en-US" w:eastAsia="zh-CN"/>
              </w:rPr>
              <w:t xml:space="preserve">2</w:t>
            </w:r>
            <w:r>
              <w:rPr>
                <w:rFonts w:hint="eastAsia" w:ascii="宋体" w:hAnsi="宋体" w:cs="仿宋"/>
                <w:highlight w:val="none"/>
                <w:u w:val="none"/>
              </w:rPr>
              <w:t xml:space="preserve">分。</w:t>
            </w:r>
            <w:r>
              <w:rPr>
                <w:rFonts w:hint="eastAsia" w:ascii="宋体" w:hAnsi="宋体" w:cs="仿宋"/>
                <w:highlight w:val="none"/>
                <w:u w:val="none"/>
              </w:rPr>
            </w:r>
            <w:r/>
          </w:p>
        </w:tc>
        <w:tc>
          <w:tcPr>
            <w:tcW w:w="1905" w:type="dxa"/>
            <w:vAlign w:val="center"/>
            <w:textDirection w:val="lrTb"/>
            <w:noWrap w:val="false"/>
          </w:tcPr>
          <w:p>
            <w:pPr>
              <w:pStyle w:val="769"/>
              <w:ind w:left="-38"/>
              <w:spacing w:line="360" w:lineRule="exact"/>
              <w:rPr>
                <w:rFonts w:hint="eastAsia" w:ascii="宋体" w:hAnsi="宋体" w:cs="仿宋"/>
                <w:sz w:val="24"/>
                <w:highlight w:val="none"/>
                <w:u w:val="none"/>
              </w:rPr>
            </w:pPr>
            <w:r>
              <w:rPr>
                <w:rFonts w:hint="eastAsia" w:ascii="宋体" w:hAnsi="宋体" w:cs="仿宋"/>
                <w:b/>
                <w:bCs/>
                <w:sz w:val="24"/>
                <w:highlight w:val="none"/>
                <w:u w:val="none"/>
              </w:rPr>
              <w:t xml:space="preserve">投标文件中</w:t>
            </w:r>
            <w:r>
              <w:rPr>
                <w:rFonts w:hint="eastAsia" w:ascii="宋体" w:hAnsi="宋体" w:eastAsia="宋体" w:cs="仿宋"/>
                <w:b/>
                <w:bCs/>
                <w:i w:val="0"/>
                <w:iCs w:val="0"/>
                <w:caps w:val="0"/>
                <w:spacing w:val="0"/>
                <w:sz w:val="24"/>
                <w:szCs w:val="24"/>
                <w:highlight w:val="none"/>
                <w:shd w:val="clear" w:color="auto" w:fill="auto"/>
                <w:vertAlign w:val="baseline"/>
              </w:rPr>
              <w:t xml:space="preserve">提供</w:t>
            </w:r>
            <w:r>
              <w:rPr>
                <w:rFonts w:hint="eastAsia" w:ascii="宋体" w:hAnsi="宋体" w:eastAsia="宋体" w:cs="仿宋"/>
                <w:b/>
                <w:bCs/>
                <w:i w:val="0"/>
                <w:iCs w:val="0"/>
                <w:caps w:val="0"/>
                <w:spacing w:val="0"/>
                <w:sz w:val="24"/>
                <w:szCs w:val="24"/>
                <w:highlight w:val="none"/>
                <w:shd w:val="clear" w:color="auto" w:fill="auto"/>
                <w:vertAlign w:val="baseline"/>
                <w:lang w:val="en-US" w:eastAsia="zh-CN"/>
              </w:rPr>
              <w:t xml:space="preserve">有效证书复印件以及投标人</w:t>
            </w:r>
            <w:r>
              <w:rPr>
                <w:rFonts w:hint="eastAsia" w:ascii="宋体" w:hAnsi="宋体" w:eastAsia="宋体" w:cs="仿宋"/>
                <w:b/>
                <w:bCs/>
                <w:i w:val="0"/>
                <w:iCs w:val="0"/>
                <w:caps w:val="0"/>
                <w:spacing w:val="0"/>
                <w:sz w:val="24"/>
                <w:szCs w:val="24"/>
                <w:highlight w:val="none"/>
                <w:shd w:val="clear" w:color="auto" w:fill="auto"/>
                <w:vertAlign w:val="baseline"/>
              </w:rPr>
              <w:t xml:space="preserve">为</w:t>
            </w:r>
            <w:r>
              <w:rPr>
                <w:rFonts w:hint="eastAsia" w:ascii="宋体" w:hAnsi="宋体" w:eastAsia="宋体" w:cs="仿宋"/>
                <w:b/>
                <w:bCs/>
                <w:i w:val="0"/>
                <w:iCs w:val="0"/>
                <w:caps w:val="0"/>
                <w:spacing w:val="0"/>
                <w:sz w:val="24"/>
                <w:szCs w:val="24"/>
                <w:highlight w:val="none"/>
                <w:shd w:val="clear" w:color="auto" w:fill="auto"/>
                <w:vertAlign w:val="baseline"/>
                <w:lang w:val="en-US" w:eastAsia="zh-CN"/>
              </w:rPr>
              <w:t xml:space="preserve">对应人员</w:t>
            </w:r>
            <w:r>
              <w:rPr>
                <w:rFonts w:hint="eastAsia" w:ascii="宋体" w:hAnsi="宋体" w:eastAsia="宋体" w:cs="仿宋"/>
                <w:b/>
                <w:bCs/>
                <w:i w:val="0"/>
                <w:iCs w:val="0"/>
                <w:caps w:val="0"/>
                <w:spacing w:val="0"/>
                <w:sz w:val="24"/>
                <w:szCs w:val="24"/>
                <w:highlight w:val="none"/>
                <w:shd w:val="clear" w:color="auto" w:fill="auto"/>
                <w:vertAlign w:val="baseline"/>
              </w:rPr>
              <w:t xml:space="preserve">缴纳的2026年8月-10月三个月内任意一个月的社保缴纳证明材料加盖社保部门签章或电子签章</w:t>
            </w:r>
            <w:r>
              <w:rPr>
                <w:rFonts w:hint="eastAsia" w:ascii="宋体" w:hAnsi="宋体" w:eastAsia="宋体" w:cs="仿宋"/>
                <w:b/>
                <w:bCs/>
                <w:i w:val="0"/>
                <w:iCs w:val="0"/>
                <w:caps w:val="0"/>
                <w:spacing w:val="0"/>
                <w:sz w:val="24"/>
                <w:szCs w:val="24"/>
                <w:highlight w:val="none"/>
                <w:shd w:val="clear" w:color="auto" w:fill="auto"/>
                <w:vertAlign w:val="baseline"/>
                <w:lang w:val="en-US" w:eastAsia="zh-CN"/>
              </w:rPr>
              <w:t xml:space="preserve">复印件加盖投标人公章，否则不得分</w:t>
            </w:r>
            <w:r>
              <w:rPr>
                <w:rFonts w:hint="eastAsia" w:ascii="宋体" w:hAnsi="宋体" w:eastAsia="宋体" w:cs="仿宋"/>
                <w:b/>
                <w:bCs/>
                <w:i w:val="0"/>
                <w:iCs w:val="0"/>
                <w:caps w:val="0"/>
                <w:spacing w:val="0"/>
                <w:sz w:val="24"/>
                <w:szCs w:val="24"/>
                <w:highlight w:val="none"/>
                <w:shd w:val="clear" w:color="auto" w:fill="auto"/>
                <w:vertAlign w:val="baseline"/>
                <w:lang w:eastAsia="zh-CN"/>
              </w:rPr>
              <w:t xml:space="preserve">。</w:t>
            </w:r>
            <w:r>
              <w:rPr>
                <w:rFonts w:hint="eastAsia" w:ascii="宋体" w:hAnsi="宋体" w:cs="仿宋"/>
                <w:sz w:val="24"/>
                <w:highlight w:val="none"/>
                <w:u w:val="none"/>
              </w:rPr>
            </w:r>
            <w:r/>
          </w:p>
        </w:tc>
      </w:tr>
      <w:tr>
        <w:trPr>
          <w:trHeight w:val="317"/>
        </w:trPr>
        <w:tc>
          <w:tcPr>
            <w:tcW w:w="863" w:type="dxa"/>
            <w:vAlign w:val="center"/>
            <w:textDirection w:val="lrTb"/>
            <w:noWrap w:val="false"/>
          </w:tcPr>
          <w:p>
            <w:pPr>
              <w:pStyle w:val="769"/>
              <w:ind w:firstLine="28"/>
              <w:jc w:val="center"/>
              <w:spacing w:line="360" w:lineRule="exact"/>
              <w:rPr>
                <w:rFonts w:ascii="宋体" w:hAnsi="宋体" w:eastAsia="宋体" w:cs="仿宋"/>
                <w:sz w:val="24"/>
                <w:highlight w:val="none"/>
                <w:u w:val="none"/>
                <w:lang w:val="en-US" w:eastAsia="zh-CN"/>
              </w:rPr>
            </w:pPr>
            <w:r>
              <w:rPr>
                <w:rFonts w:hint="eastAsia" w:ascii="宋体" w:hAnsi="宋体" w:cs="仿宋"/>
                <w:sz w:val="24"/>
                <w:highlight w:val="none"/>
                <w:u w:val="none"/>
                <w:lang w:val="en-US" w:eastAsia="zh-CN"/>
              </w:rPr>
              <w:t xml:space="preserve">3.5</w:t>
            </w:r>
            <w:r>
              <w:rPr>
                <w:rFonts w:ascii="宋体" w:hAnsi="宋体" w:eastAsia="宋体" w:cs="仿宋"/>
                <w:sz w:val="24"/>
                <w:highlight w:val="none"/>
                <w:u w:val="none"/>
                <w:lang w:val="en-US" w:eastAsia="zh-CN"/>
              </w:rPr>
            </w:r>
            <w:r/>
          </w:p>
        </w:tc>
        <w:tc>
          <w:tcPr>
            <w:tcW w:w="1368" w:type="dxa"/>
            <w:vAlign w:val="center"/>
            <w:textDirection w:val="lrTb"/>
            <w:noWrap w:val="false"/>
          </w:tcPr>
          <w:p>
            <w:pPr>
              <w:pStyle w:val="769"/>
              <w:ind w:firstLine="28"/>
              <w:jc w:val="center"/>
              <w:spacing w:line="360" w:lineRule="exact"/>
              <w:rPr>
                <w:rFonts w:hint="eastAsia" w:ascii="宋体" w:hAnsi="宋体" w:cs="仿宋"/>
                <w:sz w:val="24"/>
                <w:highlight w:val="none"/>
                <w:u w:val="none"/>
              </w:rPr>
            </w:pPr>
            <w:r>
              <w:rPr>
                <w:rFonts w:hint="eastAsia" w:ascii="宋体" w:hAnsi="宋体" w:eastAsia="宋体" w:cs="仿宋"/>
                <w:sz w:val="24"/>
                <w:highlight w:val="none"/>
              </w:rPr>
              <w:t xml:space="preserve">质保期要求</w:t>
            </w:r>
            <w:r>
              <w:rPr>
                <w:rFonts w:hint="eastAsia" w:ascii="宋体" w:hAnsi="宋体" w:cs="仿宋"/>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eastAsia="宋体" w:cs="仿宋"/>
                <w:sz w:val="24"/>
                <w:highlight w:val="none"/>
                <w:u w:val="none"/>
                <w:lang w:val="en-US" w:eastAsia="zh-CN"/>
              </w:rPr>
            </w:pPr>
            <w:r>
              <w:rPr>
                <w:rFonts w:hint="eastAsia" w:ascii="宋体" w:hAnsi="宋体" w:cs="仿宋"/>
                <w:sz w:val="24"/>
                <w:highlight w:val="none"/>
                <w:u w:val="none"/>
                <w:lang w:val="en-US" w:eastAsia="zh-CN"/>
              </w:rPr>
              <w:t xml:space="preserve">3</w:t>
            </w:r>
            <w:r>
              <w:rPr>
                <w:rFonts w:hint="eastAsia" w:ascii="宋体" w:hAnsi="宋体" w:eastAsia="宋体" w:cs="仿宋"/>
                <w:sz w:val="24"/>
                <w:highlight w:val="none"/>
                <w:u w:val="none"/>
                <w:lang w:val="en-US" w:eastAsia="zh-CN"/>
              </w:rPr>
            </w:r>
            <w:r/>
          </w:p>
        </w:tc>
        <w:tc>
          <w:tcPr>
            <w:tcW w:w="4756" w:type="dxa"/>
            <w:vAlign w:val="center"/>
            <w:textDirection w:val="lrTb"/>
            <w:noWrap w:val="false"/>
          </w:tcPr>
          <w:p>
            <w:pPr>
              <w:pStyle w:val="1218"/>
              <w:ind w:left="0" w:firstLine="480"/>
              <w:spacing w:after="0" w:line="360" w:lineRule="exact"/>
              <w:rPr>
                <w:rFonts w:hint="eastAsia" w:ascii="宋体" w:hAnsi="宋体" w:cs="仿宋"/>
                <w:highlight w:val="none"/>
                <w:u w:val="none"/>
              </w:rPr>
            </w:pPr>
            <w:r>
              <w:rPr>
                <w:rFonts w:hint="eastAsia" w:ascii="宋体" w:hAnsi="宋体" w:cs="宋体"/>
                <w:highlight w:val="none"/>
              </w:rPr>
              <w:t xml:space="preserve">整体免费原厂质保三年的基础上，每延长一年整体</w:t>
            </w:r>
            <w:r>
              <w:rPr>
                <w:rFonts w:hint="eastAsia" w:ascii="宋体" w:hAnsi="宋体" w:cs="宋体"/>
                <w:highlight w:val="none"/>
                <w:lang w:val="en-US" w:eastAsia="zh-CN"/>
              </w:rPr>
              <w:t xml:space="preserve">原厂</w:t>
            </w:r>
            <w:r>
              <w:rPr>
                <w:rFonts w:hint="eastAsia" w:ascii="宋体" w:hAnsi="宋体" w:cs="宋体"/>
                <w:highlight w:val="none"/>
              </w:rPr>
              <w:t xml:space="preserve">质保期得</w:t>
            </w:r>
            <w:r>
              <w:rPr>
                <w:rFonts w:hint="eastAsia" w:ascii="宋体" w:hAnsi="宋体" w:cs="宋体"/>
                <w:highlight w:val="none"/>
                <w:lang w:val="en-US" w:eastAsia="zh-CN"/>
              </w:rPr>
              <w:t xml:space="preserve">1</w:t>
            </w:r>
            <w:r>
              <w:rPr>
                <w:rFonts w:hint="eastAsia" w:ascii="宋体" w:hAnsi="宋体" w:cs="宋体"/>
                <w:highlight w:val="none"/>
              </w:rPr>
              <w:t xml:space="preserve">分，最高得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eastAsia="宋体" w:cs="宋体"/>
                <w:highlight w:val="none"/>
              </w:rPr>
              <w:t xml:space="preserve">。</w:t>
            </w:r>
            <w:r>
              <w:rPr>
                <w:rFonts w:hint="eastAsia" w:ascii="宋体" w:hAnsi="宋体" w:cs="仿宋"/>
                <w:highlight w:val="none"/>
                <w:u w:val="none"/>
              </w:rPr>
            </w:r>
            <w:r/>
          </w:p>
        </w:tc>
        <w:tc>
          <w:tcPr>
            <w:tcW w:w="1905" w:type="dxa"/>
            <w:vAlign w:val="center"/>
            <w:textDirection w:val="lrTb"/>
            <w:noWrap w:val="false"/>
          </w:tcPr>
          <w:p>
            <w:pPr>
              <w:pStyle w:val="769"/>
              <w:ind w:left="-38"/>
              <w:spacing w:line="360" w:lineRule="exact"/>
              <w:rPr>
                <w:rFonts w:hint="eastAsia" w:ascii="宋体" w:hAnsi="宋体" w:cs="仿宋"/>
                <w:b/>
                <w:bCs/>
                <w:sz w:val="24"/>
                <w:highlight w:val="none"/>
                <w:u w:val="none"/>
              </w:rPr>
            </w:pPr>
            <w:r>
              <w:rPr>
                <w:rFonts w:hint="eastAsia" w:ascii="宋体" w:hAnsi="宋体" w:eastAsia="宋体" w:cs="仿宋"/>
                <w:b/>
                <w:bCs/>
                <w:sz w:val="24"/>
                <w:highlight w:val="none"/>
                <w:shd w:val="clear" w:color="auto" w:fill="auto"/>
                <w:lang w:val="en-US"/>
              </w:rPr>
              <w:t xml:space="preserve">提供投标</w:t>
            </w:r>
            <w:r>
              <w:rPr>
                <w:rFonts w:hint="eastAsia" w:ascii="宋体" w:hAnsi="宋体" w:eastAsia="宋体" w:cs="仿宋"/>
                <w:b/>
                <w:bCs/>
                <w:sz w:val="24"/>
                <w:highlight w:val="none"/>
                <w:shd w:val="clear" w:color="auto" w:fill="auto"/>
                <w:lang w:val="en-US" w:eastAsia="zh-CN"/>
              </w:rPr>
              <w:t xml:space="preserve">人</w:t>
            </w:r>
            <w:r>
              <w:rPr>
                <w:rFonts w:hint="eastAsia" w:ascii="宋体" w:hAnsi="宋体" w:eastAsia="宋体" w:cs="仿宋"/>
                <w:b/>
                <w:bCs/>
                <w:sz w:val="24"/>
                <w:highlight w:val="none"/>
                <w:shd w:val="clear" w:color="auto" w:fill="auto"/>
                <w:lang w:val="en-US"/>
              </w:rPr>
              <w:t xml:space="preserve">承诺函</w:t>
            </w:r>
            <w:r>
              <w:rPr>
                <w:rFonts w:hint="eastAsia" w:ascii="宋体" w:hAnsi="宋体" w:eastAsia="宋体" w:cs="仿宋"/>
                <w:b/>
                <w:bCs/>
                <w:sz w:val="24"/>
                <w:highlight w:val="none"/>
                <w:shd w:val="clear" w:color="auto" w:fill="auto"/>
                <w:lang w:val="en-US" w:eastAsia="zh-CN"/>
              </w:rPr>
              <w:t xml:space="preserve">（格式自拟）</w:t>
            </w:r>
            <w:r>
              <w:rPr>
                <w:rFonts w:hint="eastAsia" w:ascii="宋体" w:hAnsi="宋体" w:eastAsia="宋体" w:cs="仿宋"/>
                <w:b/>
                <w:bCs/>
                <w:sz w:val="24"/>
                <w:highlight w:val="none"/>
                <w:shd w:val="clear" w:color="auto" w:fill="auto"/>
                <w:lang w:val="en-US"/>
              </w:rPr>
              <w:t xml:space="preserve">加盖</w:t>
            </w:r>
            <w:r>
              <w:rPr>
                <w:rFonts w:hint="eastAsia" w:ascii="宋体" w:hAnsi="宋体" w:eastAsia="宋体" w:cs="仿宋"/>
                <w:b/>
                <w:bCs/>
                <w:sz w:val="24"/>
                <w:highlight w:val="none"/>
                <w:shd w:val="clear" w:color="auto" w:fill="auto"/>
                <w:lang w:val="en-US" w:eastAsia="zh-CN"/>
              </w:rPr>
              <w:t xml:space="preserve">投标人</w:t>
            </w:r>
            <w:r>
              <w:rPr>
                <w:rFonts w:hint="eastAsia" w:ascii="宋体" w:hAnsi="宋体" w:eastAsia="宋体" w:cs="仿宋"/>
                <w:b/>
                <w:bCs/>
                <w:sz w:val="24"/>
                <w:highlight w:val="none"/>
                <w:shd w:val="clear" w:color="auto" w:fill="auto"/>
                <w:lang w:val="en-US"/>
              </w:rPr>
              <w:t xml:space="preserve">公章，</w:t>
            </w:r>
            <w:r>
              <w:rPr>
                <w:rFonts w:hint="eastAsia" w:ascii="宋体" w:hAnsi="宋体" w:eastAsia="宋体" w:cs="仿宋"/>
                <w:b/>
                <w:bCs/>
                <w:sz w:val="24"/>
                <w:highlight w:val="none"/>
                <w:shd w:val="clear" w:color="auto" w:fill="auto"/>
                <w:lang w:val="en-US" w:eastAsia="zh-CN"/>
              </w:rPr>
              <w:t xml:space="preserve">否则不得分</w:t>
            </w:r>
            <w:r>
              <w:rPr>
                <w:rFonts w:hint="eastAsia" w:ascii="宋体" w:hAnsi="宋体" w:eastAsia="宋体" w:cs="仿宋"/>
                <w:b/>
                <w:bCs/>
                <w:sz w:val="24"/>
                <w:highlight w:val="none"/>
                <w:shd w:val="clear" w:color="auto" w:fill="auto"/>
                <w:lang w:val="en-US"/>
              </w:rPr>
              <w:t xml:space="preserve">。</w:t>
            </w:r>
            <w:r>
              <w:rPr>
                <w:rFonts w:hint="eastAsia" w:ascii="宋体" w:hAnsi="宋体" w:cs="仿宋"/>
                <w:b/>
                <w:bCs/>
                <w:sz w:val="24"/>
                <w:highlight w:val="none"/>
                <w:u w:val="none"/>
              </w:rPr>
            </w:r>
            <w:r/>
          </w:p>
        </w:tc>
      </w:tr>
      <w:tr>
        <w:trPr>
          <w:trHeight w:val="567"/>
        </w:trPr>
        <w:tc>
          <w:tcPr>
            <w:gridSpan w:val="2"/>
            <w:tcW w:w="2231"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合计</w:t>
            </w:r>
            <w:r>
              <w:rPr>
                <w:rFonts w:hint="eastAsia" w:ascii="宋体" w:hAnsi="宋体" w:cs="仿宋"/>
                <w:b/>
                <w:bCs/>
                <w:sz w:val="24"/>
                <w:highlight w:val="none"/>
                <w:u w:val="none"/>
              </w:rPr>
            </w:r>
            <w:r/>
          </w:p>
        </w:tc>
        <w:tc>
          <w:tcPr>
            <w:tcW w:w="839" w:type="dxa"/>
            <w:vAlign w:val="center"/>
            <w:textDirection w:val="lrTb"/>
            <w:noWrap w:val="false"/>
          </w:tcPr>
          <w:p>
            <w:pPr>
              <w:pStyle w:val="769"/>
              <w:ind w:firstLine="28"/>
              <w:jc w:val="center"/>
              <w:spacing w:line="360" w:lineRule="exact"/>
              <w:rPr>
                <w:rFonts w:hint="eastAsia" w:ascii="宋体" w:hAnsi="宋体" w:cs="仿宋"/>
                <w:b/>
                <w:bCs/>
                <w:sz w:val="24"/>
                <w:highlight w:val="none"/>
                <w:u w:val="none"/>
              </w:rPr>
            </w:pPr>
            <w:r>
              <w:rPr>
                <w:rFonts w:hint="eastAsia" w:ascii="宋体" w:hAnsi="宋体" w:cs="仿宋"/>
                <w:b/>
                <w:bCs/>
                <w:sz w:val="24"/>
                <w:highlight w:val="none"/>
                <w:u w:val="none"/>
              </w:rPr>
              <w:t xml:space="preserve">100</w:t>
            </w:r>
            <w:r>
              <w:rPr>
                <w:rFonts w:hint="eastAsia" w:ascii="宋体" w:hAnsi="宋体" w:cs="仿宋"/>
                <w:b/>
                <w:bCs/>
                <w:sz w:val="24"/>
                <w:highlight w:val="none"/>
                <w:u w:val="none"/>
              </w:rPr>
            </w:r>
            <w:r/>
          </w:p>
        </w:tc>
        <w:tc>
          <w:tcPr>
            <w:gridSpan w:val="2"/>
            <w:tcW w:w="6661" w:type="dxa"/>
            <w:vAlign w:val="center"/>
            <w:textDirection w:val="lrTb"/>
            <w:noWrap w:val="false"/>
          </w:tcPr>
          <w:p>
            <w:pPr>
              <w:pStyle w:val="769"/>
              <w:spacing w:line="360" w:lineRule="exact"/>
              <w:rPr>
                <w:rFonts w:hint="eastAsia" w:ascii="宋体" w:hAnsi="宋体" w:cs="仿宋"/>
                <w:sz w:val="24"/>
                <w:highlight w:val="none"/>
                <w:u w:val="none"/>
              </w:rPr>
            </w:pPr>
            <w:r>
              <w:rPr>
                <w:rFonts w:hint="eastAsia" w:ascii="宋体" w:hAnsi="宋体" w:cs="仿宋"/>
                <w:sz w:val="24"/>
                <w:highlight w:val="none"/>
                <w:u w:val="none"/>
              </w:rPr>
            </w:r>
            <w:r/>
          </w:p>
        </w:tc>
      </w:tr>
    </w:tbl>
    <w:p>
      <w:pPr>
        <w:pStyle w:val="769"/>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rPr>
      </w:r>
      <w:r/>
    </w:p>
    <w:p>
      <w:pPr>
        <w:pStyle w:val="769"/>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1.未能按以上要求提供相应证明的，不作为评审依据，不得分。</w:t>
      </w:r>
      <w:r>
        <w:rPr>
          <w:rFonts w:hint="eastAsia" w:ascii="宋体" w:hAnsi="宋体" w:eastAsia="宋体" w:cs="宋体"/>
          <w:b/>
          <w:sz w:val="24"/>
          <w:highlight w:val="none"/>
        </w:rPr>
      </w:r>
      <w:r/>
    </w:p>
    <w:p>
      <w:pPr>
        <w:pStyle w:val="769"/>
        <w:ind w:left="-38"/>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rPr>
          <w:rFonts w:hint="eastAsia" w:ascii="宋体" w:hAnsi="宋体" w:eastAsia="宋体" w:cs="宋体"/>
          <w:b/>
          <w:sz w:val="24"/>
          <w:highlight w:val="none"/>
        </w:rPr>
      </w:r>
      <w:r/>
    </w:p>
    <w:p>
      <w:pPr>
        <w:pStyle w:val="769"/>
        <w:jc w:val="left"/>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69"/>
        <w:numPr>
          <w:ilvl w:val="12"/>
          <w:numId w:val="0"/>
        </w:numPr>
        <w:jc w:val="center"/>
        <w:spacing w:line="360" w:lineRule="auto"/>
        <w:rPr>
          <w:rFonts w:hint="eastAsia" w:ascii="宋体" w:hAnsi="宋体" w:eastAsia="宋体" w:cs="宋体"/>
          <w:highlight w:val="none"/>
        </w:rPr>
        <w:outlineLvl w:val="0"/>
      </w:pPr>
      <w:r>
        <w:rPr>
          <w:rFonts w:hint="eastAsia" w:ascii="宋体" w:hAnsi="宋体" w:eastAsia="宋体" w:cs="宋体"/>
          <w:b/>
          <w:sz w:val="36"/>
          <w:szCs w:val="36"/>
          <w:highlight w:val="none"/>
        </w:rPr>
        <w:br w:type="page" w:clear="all"/>
      </w:r>
      <w:bookmarkStart w:id="817" w:name="_Toc21402"/>
      <w:r/>
      <w:bookmarkStart w:id="818" w:name="_Toc25439"/>
      <w:r/>
      <w:bookmarkStart w:id="819" w:name="_Toc2375"/>
      <w:r/>
      <w:bookmarkStart w:id="820" w:name="_Toc19911"/>
      <w:r/>
      <w:bookmarkStart w:id="821" w:name="_Toc10627"/>
      <w:r/>
      <w:bookmarkStart w:id="822" w:name="_Toc31339"/>
      <w:r>
        <w:rPr>
          <w:rFonts w:hint="eastAsia" w:ascii="宋体" w:hAnsi="宋体" w:eastAsia="宋体" w:cs="宋体"/>
          <w:b/>
          <w:color w:val="000000"/>
          <w:sz w:val="36"/>
          <w:szCs w:val="36"/>
          <w:highlight w:val="none"/>
        </w:rPr>
        <w:t xml:space="preserve">第五章   采购需求</w:t>
      </w:r>
      <w:bookmarkEnd w:id="817"/>
      <w:r/>
      <w:bookmarkEnd w:id="818"/>
      <w:r/>
      <w:bookmarkEnd w:id="819"/>
      <w:r/>
      <w:bookmarkEnd w:id="820"/>
      <w:r/>
      <w:bookmarkEnd w:id="821"/>
      <w:r/>
      <w:bookmarkEnd w:id="822"/>
      <w:r>
        <w:rPr>
          <w:rFonts w:hint="eastAsia" w:ascii="宋体" w:hAnsi="宋体" w:eastAsia="宋体" w:cs="宋体"/>
          <w:highlight w:val="none"/>
        </w:rPr>
      </w:r>
      <w:r/>
    </w:p>
    <w:p>
      <w:pPr>
        <w:pStyle w:val="1024"/>
        <w:ind w:firstLine="0"/>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一、项目概况</w:t>
      </w:r>
      <w:r>
        <w:rPr>
          <w:rFonts w:hint="eastAsia" w:ascii="宋体" w:hAnsi="宋体" w:eastAsia="宋体" w:cs="宋体"/>
          <w:b/>
          <w:color w:val="000000"/>
          <w:sz w:val="24"/>
          <w:highlight w:val="none"/>
        </w:rPr>
      </w:r>
      <w:r/>
    </w:p>
    <w:p>
      <w:pPr>
        <w:pStyle w:val="769"/>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本项目为</w:t>
      </w:r>
      <w:r>
        <w:rPr>
          <w:rFonts w:hint="eastAsia" w:ascii="宋体" w:hAnsi="宋体" w:eastAsia="宋体" w:cs="宋体"/>
          <w:color w:val="000000"/>
          <w:sz w:val="24"/>
          <w:highlight w:val="none"/>
          <w:lang w:eastAsia="zh-CN"/>
        </w:rPr>
        <w:t xml:space="preserve">常州市广化小学校新建校区信息化设备采购项目</w:t>
      </w:r>
      <w:r>
        <w:rPr>
          <w:rFonts w:hint="eastAsia" w:ascii="宋体" w:hAnsi="宋体" w:eastAsia="宋体" w:cs="宋体"/>
          <w:color w:val="000000"/>
          <w:sz w:val="24"/>
          <w:highlight w:val="none"/>
        </w:rPr>
        <w:t xml:space="preserve">，包括但不限于</w:t>
      </w:r>
      <w:r>
        <w:rPr>
          <w:rFonts w:hint="eastAsia" w:ascii="宋体" w:hAnsi="宋体" w:eastAsia="宋体" w:cs="宋体"/>
          <w:sz w:val="24"/>
          <w:highlight w:val="none"/>
          <w:lang w:bidi="ar"/>
        </w:rPr>
        <w:t xml:space="preserve">相应产品供货前的准备（包括现场踏勘、技术核对等）、产品设计、制造、采购、运输、装卸、安装、调试、技术指导培训、检验、质保期及维保服务等全部内容。</w:t>
      </w:r>
      <w:r>
        <w:rPr>
          <w:rFonts w:hint="eastAsia" w:ascii="宋体" w:hAnsi="宋体" w:eastAsia="宋体" w:cs="宋体"/>
          <w:bCs/>
          <w:color w:val="000000"/>
          <w:sz w:val="24"/>
          <w:highlight w:val="none"/>
        </w:rPr>
      </w:r>
      <w:r/>
    </w:p>
    <w:p>
      <w:pPr>
        <w:pStyle w:val="1024"/>
        <w:ind w:firstLine="0"/>
        <w:spacing w:line="360" w:lineRule="auto"/>
        <w:rPr>
          <w:rFonts w:hint="eastAsia" w:ascii="宋体" w:hAnsi="宋体" w:eastAsia="宋体" w:cs="宋体"/>
          <w:b/>
          <w:bCs w:val="0"/>
          <w:color w:val="000000"/>
          <w:sz w:val="24"/>
          <w:highlight w:val="none"/>
          <w:lang w:val="en-US" w:eastAsia="zh-CN" w:bidi="ar"/>
        </w:rPr>
        <w:outlineLvl w:val="1"/>
      </w:pPr>
      <w:r>
        <w:rPr>
          <w:rFonts w:hint="eastAsia" w:ascii="宋体" w:hAnsi="宋体" w:eastAsia="宋体" w:cs="宋体"/>
          <w:b/>
          <w:bCs w:val="0"/>
          <w:color w:val="000000"/>
          <w:sz w:val="24"/>
          <w:highlight w:val="none"/>
          <w:lang w:val="en-US" w:eastAsia="zh-CN" w:bidi="ar"/>
        </w:rPr>
        <w:t xml:space="preserve">二、基本要求</w:t>
      </w:r>
      <w:r>
        <w:rPr>
          <w:rFonts w:hint="eastAsia" w:ascii="宋体" w:hAnsi="宋体" w:eastAsia="宋体" w:cs="宋体"/>
          <w:b/>
          <w:bCs w:val="0"/>
          <w:color w:val="000000"/>
          <w:sz w:val="24"/>
          <w:highlight w:val="none"/>
          <w:lang w:val="en-US" w:eastAsia="zh-CN" w:bidi="ar"/>
        </w:rPr>
      </w:r>
      <w:r/>
    </w:p>
    <w:p>
      <w:pPr>
        <w:pStyle w:val="769"/>
        <w:contextualSpacing/>
        <w:ind w:firstLine="480"/>
        <w:jc w:val="left"/>
        <w:spacing w:line="360" w:lineRule="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i w:val="0"/>
          <w:iCs w:val="0"/>
          <w:color w:val="000000"/>
          <w:sz w:val="24"/>
          <w:szCs w:val="24"/>
          <w:highlight w:val="none"/>
          <w:u w:val="none"/>
          <w:lang w:val="en-US" w:eastAsia="zh-CN"/>
        </w:rPr>
      </w:r>
      <w:r/>
    </w:p>
    <w:p>
      <w:pPr>
        <w:pStyle w:val="769"/>
        <w:contextualSpacing/>
        <w:ind w:firstLine="480"/>
        <w:jc w:val="left"/>
        <w:spacing w:line="360" w:lineRule="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宋体"/>
          <w:i w:val="0"/>
          <w:iCs w:val="0"/>
          <w:color w:val="000000"/>
          <w:sz w:val="24"/>
          <w:szCs w:val="24"/>
          <w:highlight w:val="none"/>
          <w:u w:val="none"/>
          <w:lang w:val="en-US" w:eastAsia="zh-CN"/>
        </w:rPr>
      </w:r>
      <w:r/>
    </w:p>
    <w:p>
      <w:pPr>
        <w:pStyle w:val="769"/>
        <w:contextualSpacing/>
        <w:ind w:firstLine="480"/>
        <w:spacing w:line="360" w:lineRule="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3、投标人中标后须与采购人在投标产品的“功能配置、技术要求等”方面及时交底沟通；中标人开始供货之前，采购人有权要求中标人对产品进行确认，最终的产品须经采购人确认同意。</w:t>
      </w:r>
      <w:r>
        <w:rPr>
          <w:rFonts w:hint="eastAsia" w:ascii="宋体" w:hAnsi="宋体" w:eastAsia="宋体" w:cs="宋体"/>
          <w:i w:val="0"/>
          <w:iCs w:val="0"/>
          <w:color w:val="000000"/>
          <w:sz w:val="24"/>
          <w:szCs w:val="24"/>
          <w:highlight w:val="none"/>
          <w:u w:val="none"/>
          <w:lang w:val="en-US" w:eastAsia="zh-CN"/>
        </w:rPr>
      </w:r>
      <w:r/>
    </w:p>
    <w:p>
      <w:pPr>
        <w:pStyle w:val="1006"/>
        <w:spacing w:line="360" w:lineRule="auto"/>
        <w:tabs>
          <w:tab w:val="left" w:pos="567" w:leader="none"/>
        </w:tabs>
        <w:rPr>
          <w:rFonts w:hint="eastAsia" w:eastAsia="宋体" w:cs="宋体"/>
          <w:b/>
          <w:bCs/>
          <w:color w:val="000000"/>
          <w:highlight w:val="none"/>
        </w:rPr>
        <w:outlineLvl w:val="1"/>
      </w:pPr>
      <w:r>
        <w:rPr>
          <w:rFonts w:hint="eastAsia" w:eastAsia="宋体" w:cs="宋体"/>
          <w:b/>
          <w:bCs/>
          <w:highlight w:val="none"/>
          <w:lang w:val="en-US" w:eastAsia="zh-CN" w:bidi="ar"/>
        </w:rPr>
        <w:t xml:space="preserve">三</w:t>
      </w:r>
      <w:r>
        <w:rPr>
          <w:rFonts w:hint="eastAsia" w:eastAsia="宋体" w:cs="宋体"/>
          <w:b/>
          <w:bCs/>
          <w:highlight w:val="none"/>
          <w:lang w:bidi="ar"/>
        </w:rPr>
        <w:t xml:space="preserve">、</w:t>
      </w:r>
      <w:r>
        <w:rPr>
          <w:rFonts w:hint="eastAsia" w:eastAsia="宋体" w:cs="宋体"/>
          <w:b/>
          <w:bCs/>
          <w:color w:val="000000"/>
          <w:highlight w:val="none"/>
        </w:rPr>
        <w:t xml:space="preserve">采购清单及技术参数</w:t>
      </w:r>
      <w:r>
        <w:rPr>
          <w:rFonts w:hint="eastAsia" w:eastAsia="宋体" w:cs="宋体"/>
          <w:b/>
          <w:bCs/>
          <w:color w:val="000000"/>
          <w:highlight w:val="none"/>
        </w:rPr>
      </w:r>
      <w:r/>
    </w:p>
    <w:tbl>
      <w:tblPr>
        <w:tblW w:w="928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1"/>
        <w:gridCol w:w="1242"/>
        <w:gridCol w:w="5608"/>
        <w:gridCol w:w="594"/>
        <w:gridCol w:w="583"/>
        <w:gridCol w:w="621"/>
      </w:tblGrid>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综合布线系统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工作区子系统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单口信息面板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1、86型面板产品是采用阻燃、抗冲击、耐腐蚀的优质ABS工程塑料制作与RJ45模块和RJ11模块配套使用；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2、面板上自带防尘盖；面板带有标签标识功能，方便管理及日常维护；面板后面具有RJ45配套卡槽；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3、光面设计，增加与强电面板的匹配性；前后双层面板设计，外形美观，避免固定螺丝孔外露；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4、颜色：白色。</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双口信息面板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1、86型面板产品是采用阻燃、抗冲击、耐腐蚀的优质ABS工程塑料制作与RJ45模块和RJ11模块配套使用；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2、面板上自带防尘盖；面板带有标签标识功能，方便管理及日常维护；面板后面具有RJ45配套卡槽；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3、光面设计，增加与强电面板的匹配性；前后双层面板设计，外形美观，避免固定螺丝孔外露；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4、颜色：白色。</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六类非屏蔽信息模块插座</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产品采用抗冲击、耐腐蚀材料制作，产品可提供180度端接方式；</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2、符合ISO 11801:2008 标准的要求；</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3、RJ45端口金针：弧形金针设计，有效提升近端串音余量，≥50μ镀金，可插拔次数≥1500次；                                                            </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4、为实现线缆快速连接，模块两侧有T568A、T568B两种标准打线标记，方便快速完成端接，可接受22-26线规的电缆；</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5、独特的PCB线路板线对平衡设计，通过余量高；</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6、特有线缆保护盖，可维持线缆的垂直进线方式和防止灰尘，同时具有卡线功能。</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2米六类非屏蔽RJ45跳线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11801:2008标准的要求；采用多股软铜绞合线，100%原厂测试，确保线缆具有高标准的电气性能稳定；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2、插拔次数≥1500次；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3、跳线水晶头与多股线需有注塑式水晶色透明护套包裹，防松脱，并有水晶头弹片回包片，保护水晶头弹片不被弯折，确保电缆和插头的可靠性和链接稳定性；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4、跳线缆材上具有清晰的米标和类型印字；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5、水晶头采用≥50μ镀金三叉RJ45插头，确保镀金簧片与导体可靠接触，采用组合式设计，内置穿线过渡件，确保电缆导线在水晶头内部扭转最小，有效提高了跳线的串扰余量，可提供高达</w:t>
            </w:r>
            <w:r>
              <w:rPr>
                <w:rStyle w:val="1220"/>
                <w:rFonts w:hint="eastAsia" w:ascii="宋体" w:hAnsi="宋体" w:eastAsia="宋体" w:cs="宋体"/>
                <w:color w:val="000000"/>
                <w:sz w:val="20"/>
                <w:szCs w:val="20"/>
                <w:highlight w:val="none"/>
                <w:lang w:val="en-US" w:eastAsia="zh-CN" w:bidi="ar"/>
              </w:rPr>
              <w:t xml:space="preserve">250MHz</w:t>
            </w:r>
            <w:r>
              <w:rPr>
                <w:rStyle w:val="1221"/>
                <w:rFonts w:hint="eastAsia" w:ascii="宋体" w:hAnsi="宋体" w:eastAsia="宋体" w:cs="宋体"/>
                <w:color w:val="000000"/>
                <w:sz w:val="20"/>
                <w:szCs w:val="20"/>
                <w:highlight w:val="none"/>
                <w:lang w:val="en-US" w:eastAsia="zh-CN" w:bidi="ar"/>
              </w:rPr>
              <w:t xml:space="preserve">的带宽；</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6、可提供不同颜色和长度选择。</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水平子系统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六类四对非屏蔽双绞线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w:t>
            </w:r>
            <w:r>
              <w:rPr>
                <w:rStyle w:val="1221"/>
                <w:rFonts w:hint="eastAsia" w:ascii="宋体" w:hAnsi="宋体" w:eastAsia="宋体" w:cs="宋体"/>
                <w:color w:val="000000"/>
                <w:sz w:val="20"/>
                <w:szCs w:val="20"/>
                <w:highlight w:val="none"/>
                <w:lang w:val="en-US" w:eastAsia="zh-CN" w:bidi="ar"/>
              </w:rPr>
              <w:t xml:space="preserve">ISO 11801:2008标准的要求；</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2、带中心十字隔离骨架，可有效防止因线对之间绞距变化带来的性能下降；</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3、线规23AWG；</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4、护套采用优良的PVC材料；护套长度为逆序标注以方便识别线缆长度；</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5、导体材料：无氧圆铜（纯度99.99%）；最大导体直流电阻@20 Deg.C :9.5Ω/100m；线对直流电阻不平衡：≤2%；线对对地电容不平衡：＜330pF/100m；延迟偏差：≤45ns/100m；</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6、额定传输速率(NVP)：69%；绝缘电阻: ≥5000MΩ/km。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管理间子系统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24口六类非屏蔽模块式配线架（含模块）</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11801:2008标准的要求；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2、1U高度 标准19英寸机架式传统安装；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3、可拆卸式线缆托架，保证线缆垂直进线，让理线更牢固、清晰，背面有568B和568A两种打线方式标识卡；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4、RJ45端口金针：≥50μ镀金；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5、导线端接次数≥250；可接受：22-26线规规格，插头与插座的插合次数≥1500次；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6、电流功率：1.5Amps； 最小电介值承受功率:1000VAC RMS＠60Hz/min；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7、非屏蔽24口配线架有含模块和空架单独模块安装两种规格供现场选择使用。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3米六类非屏蔽跳线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11801:2008标准的要求；采用多股软铜绞合线，100%原厂测试，确保线缆具有高标准的电气性能稳定；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2、插拔次数≥1500次；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3、跳线水晶头与多股线需有注塑式水晶色透明护套包裹，防松脱，并有水晶头弹片回包片，保护水晶头弹片不被弯折，确保电缆和插头的可靠性和链接稳定性；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4、跳线缆材上具有清晰的米标和类型印字；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5、水晶头采用≥50μ镀金三叉RJ45插头，确保镀金簧片与导体可靠接触，采用组合式设计，内置穿线过渡件，确保电缆导线在水晶头内部扭转最小，有效提高了跳线的串扰余量，可提供高达</w:t>
            </w:r>
            <w:r>
              <w:rPr>
                <w:rStyle w:val="1220"/>
                <w:rFonts w:hint="eastAsia" w:ascii="宋体" w:hAnsi="宋体" w:eastAsia="宋体" w:cs="宋体"/>
                <w:color w:val="000000"/>
                <w:sz w:val="20"/>
                <w:szCs w:val="20"/>
                <w:highlight w:val="none"/>
                <w:lang w:val="en-US" w:eastAsia="zh-CN" w:bidi="ar"/>
              </w:rPr>
              <w:t xml:space="preserve">250MHz</w:t>
            </w:r>
            <w:r>
              <w:rPr>
                <w:rStyle w:val="1221"/>
                <w:rFonts w:hint="eastAsia" w:ascii="宋体" w:hAnsi="宋体" w:eastAsia="宋体" w:cs="宋体"/>
                <w:color w:val="000000"/>
                <w:sz w:val="20"/>
                <w:szCs w:val="20"/>
                <w:highlight w:val="none"/>
                <w:lang w:val="en-US" w:eastAsia="zh-CN" w:bidi="ar"/>
              </w:rPr>
              <w:t xml:space="preserve">的带宽；</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6、可提供不同颜色和长度选择。</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1U机架式标准12口LC光纤配线架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1、支持19″标准机架式安装，适用于多种机架、机柜上的安装；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2、光缆固定和光纤适配器安装提供可靠保护；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3、提供光纤熔接、配线管理；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4、满足光纤应用的多样性，支持LC、FC、SC、ST、单双工不同类型的光纤适配器；1U高度，单工最多可以安装24只，双工最多可以安装24只可以扩充到48口；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5、主要材料：优质冷轧钢板；24芯熔纤盘为：ABS工程塑料；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6、最大弯曲空间（mm）：≥30；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7、最大光纤芯数：24。</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LC-LC耦合器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2"/>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插入损耗&lt;0.2dB；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2、反射损耗&gt;55dB；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3、温度范围-40～+85摄氏度；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4、耐久性500yclds。</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5、变化小于等于0.2dB。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1.5米单模单芯LC光纤尾纤</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3"/>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≤0.3dB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≤0.1dB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光纤熔接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1、光纤熔接</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芯</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2、可关闭的下部走线通道，底部大走线孔尺寸可按需调整；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3、可方便拆卸的左右侧门和前后门，全方位操作,多方位查看；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4、可同时安装脚轮和支撑脚；最大静载达300KG；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5、高级月牙门锁；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6、有U数标识的方孔条，上框侧面为圆形通风孔；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7、脱脂、酸洗、防锈磷化、纯水清洗；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8、机柜颜色：黑色；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9、尺寸：600*600*1200；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10、全部选用优质冷轧钢板制作；厚度：方孔条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2、可关闭的下部走线通道，底部大走线孔尺寸可按需调整；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3、可方便拆卸的左右侧门和前后门，全方位操作,多方位查看；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4、可同时安装脚轮和支撑脚；最大静载达300KG；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5、高级月牙门锁；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6、有U数标识的方孔条，上框侧面为圆形通风孔；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7、脱脂、酸洗、防锈磷化、纯水清洗；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8、机柜颜色：黑色；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9、尺寸：600*600*2000；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10、全部选用优质冷轧钢板制作；厚度：方孔条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防雷PDU</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1、防雷PDU</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1、RVV3*2.5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垂直子系统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24芯室外单模光缆</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w:t>
            </w:r>
            <w:r>
              <w:rPr>
                <w:rStyle w:val="1220"/>
                <w:rFonts w:hint="eastAsia" w:ascii="宋体" w:hAnsi="宋体" w:eastAsia="宋体" w:cs="宋体"/>
                <w:color w:val="000000"/>
                <w:sz w:val="20"/>
                <w:szCs w:val="20"/>
                <w:highlight w:val="none"/>
                <w:lang w:val="en-US" w:eastAsia="zh-CN" w:bidi="ar"/>
              </w:rPr>
              <w:t xml:space="preserve">9/125um优化光纤</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2、纤芯衰耗：</w:t>
            </w:r>
            <w:r>
              <w:rPr>
                <w:rStyle w:val="1220"/>
                <w:rFonts w:hint="eastAsia" w:ascii="宋体" w:hAnsi="宋体" w:eastAsia="宋体" w:cs="宋体"/>
                <w:color w:val="000000"/>
                <w:sz w:val="20"/>
                <w:szCs w:val="20"/>
                <w:highlight w:val="none"/>
                <w:lang w:val="en-US" w:eastAsia="zh-CN" w:bidi="ar"/>
              </w:rPr>
              <w:t xml:space="preserve">最大0.4dB/km@1310nm,最大0.4dB/km@1550nm</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3、芯数：24芯；</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4、类型：</w:t>
            </w:r>
            <w:r>
              <w:rPr>
                <w:rStyle w:val="1220"/>
                <w:rFonts w:hint="eastAsia" w:ascii="宋体" w:hAnsi="宋体" w:eastAsia="宋体" w:cs="宋体"/>
                <w:color w:val="000000"/>
                <w:sz w:val="20"/>
                <w:szCs w:val="20"/>
                <w:highlight w:val="none"/>
                <w:lang w:val="en-US" w:eastAsia="zh-CN" w:bidi="ar"/>
              </w:rPr>
              <w:t xml:space="preserve">室外层绞式</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设备间子系统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1U机架式标准12口LC光纤配线架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1、支持19″标准机架式安装，适用于多种机架、机柜上的安装；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2、光缆固定和光纤适配器安装提供可靠保护；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3、提供光纤熔接、配线管理；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4、满足光纤应用的多样性，支持LC、FC、SC、ST、单双工不同类型的光纤适配器；1U高度，单工最多可以安装24只，双工最多可以安装24只可以扩充到48口；</w:t>
            </w:r>
            <w:r>
              <w:rPr>
                <w:rFonts w:hint="eastAsia" w:ascii="宋体" w:hAnsi="宋体" w:eastAsia="宋体" w:cs="宋体"/>
                <w:i w:val="0"/>
                <w:iCs w:val="0"/>
                <w:color w:val="000000"/>
                <w:sz w:val="20"/>
                <w:szCs w:val="20"/>
                <w:highlight w:val="none"/>
                <w:u w:val="none"/>
                <w:lang w:val="en-US" w:eastAsia="zh-CN" w:bidi="ar"/>
              </w:rPr>
              <w:br w:type="textWrapping" w:clear="all"/>
            </w:r>
            <w:r>
              <w:rPr>
                <w:rFonts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、主要材料：优质冷轧钢板；</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、24芯熔纤盘为：ABS工程塑料；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、最大弯曲空间（mm）：≥30；</w:t>
            </w:r>
            <w:r>
              <w:rPr>
                <w:rFonts w:hint="eastAsia" w:ascii="宋体" w:hAnsi="宋体" w:eastAsia="宋体" w:cs="宋体"/>
                <w:i w:val="0"/>
                <w:iCs w:val="0"/>
                <w:color w:val="000000"/>
                <w:sz w:val="20"/>
                <w:szCs w:val="20"/>
                <w:highlight w:val="none"/>
                <w:u w:val="none"/>
                <w:lang w:val="en-US" w:eastAsia="zh-CN" w:bidi="ar"/>
              </w:rPr>
              <w:br w:type="textWrapping" w:clear="all"/>
            </w:r>
            <w:r>
              <w:rPr>
                <w:rFonts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、最大光纤芯数：24。</w:t>
            </w:r>
            <w:r>
              <w:rPr>
                <w:rFonts w:hint="eastAsia" w:ascii="宋体" w:hAnsi="宋体" w:eastAsia="宋体" w:cs="宋体"/>
                <w:i w:val="0"/>
                <w:iCs w:val="0"/>
                <w:color w:val="000000"/>
                <w:sz w:val="21"/>
                <w:szCs w:val="21"/>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LC-LC耦合器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1、插入损耗&lt;0.2dB；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2、反射损耗&gt;55dB；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3、温度范围-40～+85摄氏度；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4、耐久性500yclds。</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5、变化小于等于0.2dB；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1.5米单模单芯LC光纤尾纤</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4"/>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≤0.3dB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4、重复性≤0.1dB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光纤熔接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1、光纤熔接</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芯</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98"/>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1、符合公制标准标准；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2、兼容19英寸国际标准，公制标准；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3、板材通过严格的脱脂、酸洗、防锈磷化、纯水清洗后，再进行静电喷塑，喷塑厚度为80um- 10um)，符合欧洲RoHS标准；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4、标准配备了带有可方便拆卸的透风孔的单开前门和双开后门，方便通风散热，提高网络设备运行的稳定性；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5、侧门为上下两节可独立开启，更易于施工和维护；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6、机柜顶部两侧各设置3个下线孔，孔上部加铝合金毛刷防止磨线，避免锐利边缘损伤线缆。电源线及信号线走各自独立的出线孔；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7、后部两侧带有多功能理线板；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9、安装支架上带有刻度标识，便于准确安装设备；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10、自带并轨件，便于机柜并轨和单独使用；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11、带有接地连接线，高级机柜门锁；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13、可选配安装底座，达到固定机柜的要求；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14、可同时安装脚轮和支撑脚；结构坚固，最大静载达1600KG；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15、尺寸：600*1000*2000；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16、全部选用优质冷轧钢板制作，厚度：框架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2.0mm，方孔条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2.0mm，侧门</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防雷PDU</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1、防雷PDU</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计算机网络系统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核心交换机</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设备交换容量≥68Tbps，包转发率≥50000 Mpps</w:t>
            </w:r>
            <w:r>
              <w:rPr>
                <w:rStyle w:val="1221"/>
                <w:rFonts w:hint="eastAsia" w:ascii="宋体" w:hAnsi="宋体" w:eastAsia="宋体" w:cs="宋体"/>
                <w:color w:val="000000"/>
                <w:sz w:val="20"/>
                <w:szCs w:val="20"/>
                <w:highlight w:val="none"/>
                <w:lang w:val="en-US" w:eastAsia="zh-CN" w:bidi="ar"/>
              </w:rPr>
              <w:t xml:space="preserve">；设备应该支持主控槽位≥2，业务槽位≥3，整机支持≥2个电源模块；</w:t>
            </w:r>
            <w:r>
              <w:rPr>
                <w:rStyle w:val="1221"/>
                <w:rFonts w:hint="eastAsia" w:ascii="宋体" w:hAnsi="宋体" w:eastAsia="宋体" w:cs="宋体"/>
                <w:b/>
                <w:bCs/>
                <w:color w:val="000000"/>
                <w:sz w:val="20"/>
                <w:szCs w:val="20"/>
                <w:highlight w:val="none"/>
                <w:lang w:val="en-US" w:eastAsia="zh-CN" w:bidi="ar"/>
              </w:rPr>
              <w:t xml:space="preserve">（投标文件中提供符合参数要求的官网截图证明加盖投标人公章）</w:t>
            </w:r>
            <w:r>
              <w:rPr>
                <w:rStyle w:val="1221"/>
                <w:rFonts w:hint="eastAsia" w:ascii="宋体" w:hAnsi="宋体" w:eastAsia="宋体" w:cs="宋体"/>
                <w:color w:val="000000"/>
                <w:sz w:val="20"/>
                <w:szCs w:val="20"/>
                <w:highlight w:val="none"/>
                <w:lang w:val="en-US" w:eastAsia="zh-CN" w:bidi="ar"/>
              </w:rPr>
              <w:t xml:space="preserve">。配置要求：实配总装机箱1套，主控板2块，交流电源模块2块，满配风扇框，配置不少于8个万兆光口，不少于48个千兆光口，不少于48个千兆电口；</w:t>
            </w:r>
            <w:r>
              <w:rPr>
                <w:rStyle w:val="1221"/>
                <w:rFonts w:hint="eastAsia" w:ascii="宋体" w:hAnsi="宋体" w:eastAsia="宋体" w:cs="宋体"/>
                <w:b/>
                <w:bCs/>
                <w:color w:val="000000"/>
                <w:sz w:val="20"/>
                <w:szCs w:val="20"/>
                <w:highlight w:val="none"/>
                <w:lang w:val="en-US" w:eastAsia="zh-CN" w:bidi="ar"/>
              </w:rPr>
              <w:t xml:space="preserve">（投标文件中提供</w:t>
            </w:r>
            <w:r>
              <w:rPr>
                <w:rStyle w:val="1220"/>
                <w:rFonts w:hint="eastAsia" w:ascii="宋体" w:hAnsi="宋体" w:eastAsia="宋体" w:cs="宋体"/>
                <w:b/>
                <w:bCs/>
                <w:color w:val="000000"/>
                <w:sz w:val="20"/>
                <w:szCs w:val="20"/>
                <w:highlight w:val="none"/>
                <w:lang w:val="en-US" w:eastAsia="zh-CN" w:bidi="ar"/>
              </w:rPr>
              <w:t xml:space="preserve">对应配置承诺说明（格式参见附件）</w:t>
            </w:r>
            <w:r>
              <w:rPr>
                <w:rStyle w:val="1221"/>
                <w:rFonts w:hint="eastAsia" w:ascii="宋体" w:hAnsi="宋体" w:eastAsia="宋体" w:cs="宋体"/>
                <w:b/>
                <w:bCs/>
                <w:color w:val="000000"/>
                <w:sz w:val="20"/>
                <w:szCs w:val="20"/>
                <w:highlight w:val="none"/>
                <w:lang w:val="en-US" w:eastAsia="zh-CN" w:bidi="ar"/>
              </w:rPr>
              <w:t xml:space="preserve">加盖投标人公章</w:t>
            </w:r>
            <w:r>
              <w:rPr>
                <w:rStyle w:val="1220"/>
                <w:rFonts w:hint="eastAsia" w:ascii="宋体" w:hAnsi="宋体" w:eastAsia="宋体" w:cs="宋体"/>
                <w:b/>
                <w:bCs/>
                <w:color w:val="000000"/>
                <w:sz w:val="20"/>
                <w:szCs w:val="20"/>
                <w:highlight w:val="none"/>
                <w:lang w:val="en-US" w:eastAsia="zh-CN" w:bidi="ar"/>
              </w:rPr>
              <w:t xml:space="preserve">）</w:t>
            </w:r>
            <w:r>
              <w:rPr>
                <w:rStyle w:val="1220"/>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2、支持业务板卡一键复位、下电、移除等功能，并支持可编辑板卡名称；</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3、设备需支持GE、10G、40G、100G等端口速率板卡；业务板卡支持最高端口密度为52个端口；</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4、要求单板卡支持≥10个100G端口，以保障足够的端口密度;</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5、支持静态路由、支持RIP v1/v2、OSPF，支持策略路由、支持VRRP；</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▲6、设备应支持芯片级系统级Flash双启动，避免因FLASH芯片故障导致交换机无法启动；</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7、设备需支持横向N:1虚拟化（N≥2），可以将多台物理设备虚拟化为逻辑上的一台设备；</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▲8、设备应支持支持二层广播自动发现、配置静态IP地址三层发现、DHCP Option43方式发现、DNS域名发现网管中心平台；</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▲9、设备需支持交换机板卡面板及可视化，整体机框状态直观可视，电源风扇、风扇状态可视，异常情况直观可视；</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办公网</w:t>
            </w:r>
            <w:r>
              <w:rPr>
                <w:rFonts w:hint="eastAsia" w:ascii="宋体" w:hAnsi="宋体" w:eastAsia="宋体" w:cs="宋体"/>
                <w:i w:val="0"/>
                <w:iCs w:val="0"/>
                <w:color w:val="000000"/>
                <w:sz w:val="20"/>
                <w:szCs w:val="20"/>
                <w:highlight w:val="none"/>
                <w:u w:val="none"/>
              </w:rPr>
            </w:r>
            <w:r/>
          </w:p>
        </w:tc>
      </w:tr>
      <w:tr>
        <w:trPr>
          <w:trHeight w:val="24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★1、设备的交换容量≥2.56Tbps，包转发率≥1300Mpps，为保障接入能力，整机的接口万兆SFP+光口≥24个，千兆电口≥24个，40GQSFP+光口≥2个；</w:t>
            </w:r>
            <w:r>
              <w:rPr>
                <w:rStyle w:val="1221"/>
                <w:rFonts w:hint="eastAsia" w:ascii="宋体" w:hAnsi="宋体" w:eastAsia="宋体" w:cs="宋体"/>
                <w:b/>
                <w:bCs/>
                <w:color w:val="000000"/>
                <w:sz w:val="20"/>
                <w:szCs w:val="20"/>
                <w:highlight w:val="none"/>
                <w:lang w:val="en-US" w:eastAsia="zh-CN" w:bidi="ar"/>
              </w:rPr>
              <w:t xml:space="preserve">（投标文件中提供符合参数要求的官网截图证明加盖投标人公章）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2、</w:t>
            </w:r>
            <w:r>
              <w:rPr>
                <w:rStyle w:val="1221"/>
                <w:rFonts w:hint="eastAsia" w:ascii="宋体" w:hAnsi="宋体" w:eastAsia="宋体" w:cs="宋体"/>
                <w:color w:val="000000"/>
                <w:sz w:val="20"/>
                <w:szCs w:val="20"/>
                <w:highlight w:val="none"/>
                <w:lang w:val="en-US" w:eastAsia="zh-CN" w:bidi="ar"/>
              </w:rPr>
              <w:t xml:space="preserve">设备需支持电源数量≥2个；</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3、支持MAC地址≥32K</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4、支持静态路由、RIPv1/2、OSPF、策略路由</w:t>
            </w:r>
            <w:r>
              <w:rPr>
                <w:rStyle w:val="1221"/>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t xml:space="preserve">5、支持堆叠、M-LAG技术，要求配对的设备有独立的控制平面</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▲6、支持在交换机上创建东西向安全策略，实现全网安全风险拦截；</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▲7、需支持联动第三方安全设备或平台，通过联动实现从系统及接入层交换机对风险终端MAC地址进行封堵；</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8、支持SNMPv1/v2c/v3、支持Console、Telnet、SSH</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9、支持通过APP进行远程管理，并且可以修改交换机网络配置</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设备网</w:t>
            </w: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3米LC-LC9/125单模双芯光纤跳线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5"/>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≤0.4dB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接入交换机</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8口千兆接入交换机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1、设备的交换容量≥670Gbps，包转发率≥100Mpps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2、千兆电口≥8个，1G/2.5G 光口≥2个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3、支持通过APP进行远程管理，并且可以修改交换机网络配置；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4、上线方式：支持云发现、支持配置网关IP或通过网关DNS域名自动发现上线；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5、支持通过在网管中心平台的Web页面对交换机进行可视化管理查看，包括交换机的端口状态及配置、vlan信息；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6、支持通过网管中心平台一键替换“按钮”即可完成故障设备替换；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7、支持EEE节能技术：当EEE使能时，大幅度减小端口在该阶段的功耗，达到节能目的；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办公网</w:t>
            </w:r>
            <w:r>
              <w:rPr>
                <w:rFonts w:hint="eastAsia" w:ascii="宋体" w:hAnsi="宋体" w:eastAsia="宋体" w:cs="宋体"/>
                <w:i w:val="0"/>
                <w:iCs w:val="0"/>
                <w:color w:val="000000"/>
                <w:sz w:val="20"/>
                <w:szCs w:val="20"/>
                <w:highlight w:val="none"/>
                <w:u w:val="none"/>
              </w:rPr>
            </w:r>
            <w:r/>
          </w:p>
        </w:tc>
      </w:tr>
      <w:tr>
        <w:trPr>
          <w:trHeight w:val="26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24口千兆接入交换机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★1、设备的交换容量≥670Gbps，包转发率≥120Mpps；</w:t>
            </w:r>
            <w:r>
              <w:rPr>
                <w:rStyle w:val="1221"/>
                <w:rFonts w:hint="eastAsia" w:ascii="宋体" w:hAnsi="宋体" w:eastAsia="宋体" w:cs="宋体"/>
                <w:b/>
                <w:bCs/>
                <w:color w:val="000000"/>
                <w:sz w:val="20"/>
                <w:szCs w:val="20"/>
                <w:highlight w:val="none"/>
                <w:lang w:val="en-US" w:eastAsia="zh-CN" w:bidi="ar"/>
              </w:rPr>
              <w:t xml:space="preserve">（投标文件中提供</w:t>
            </w:r>
            <w:r>
              <w:rPr>
                <w:rStyle w:val="1220"/>
                <w:rFonts w:hint="eastAsia" w:ascii="宋体" w:hAnsi="宋体" w:eastAsia="宋体" w:cs="宋体"/>
                <w:b/>
                <w:bCs/>
                <w:color w:val="000000"/>
                <w:sz w:val="20"/>
                <w:szCs w:val="20"/>
                <w:highlight w:val="none"/>
                <w:lang w:val="en-US" w:eastAsia="zh-CN" w:bidi="ar"/>
              </w:rPr>
              <w:t xml:space="preserve">对应配置承诺说明（格式参见附件）</w:t>
            </w:r>
            <w:r>
              <w:rPr>
                <w:rStyle w:val="1221"/>
                <w:rFonts w:hint="eastAsia" w:ascii="宋体" w:hAnsi="宋体" w:eastAsia="宋体" w:cs="宋体"/>
                <w:b/>
                <w:bCs/>
                <w:color w:val="000000"/>
                <w:sz w:val="20"/>
                <w:szCs w:val="20"/>
                <w:highlight w:val="none"/>
                <w:lang w:val="en-US" w:eastAsia="zh-CN" w:bidi="ar"/>
              </w:rPr>
              <w:t xml:space="preserve">加盖投标人公章</w:t>
            </w:r>
            <w:r>
              <w:rPr>
                <w:rStyle w:val="1220"/>
                <w:rFonts w:hint="eastAsia" w:ascii="宋体" w:hAnsi="宋体" w:eastAsia="宋体" w:cs="宋体"/>
                <w:b/>
                <w:bCs/>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2、千兆电口≥24个，2.5光口≥4个；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3、支持静态路由、RIPv1/2、OSPF、策略路由；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▲4、设备支持M-LAG技术，要求配对的设备有独立的控制平面</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5、为保障终端安全，支持终端IP-MAC绑定，当IP+MAC不对应时，可以将终端加入黑名单实现断开终端流量；</w:t>
            </w:r>
            <w:r>
              <w:rPr>
                <w:rFonts w:hint="eastAsia" w:ascii="宋体" w:hAnsi="宋体" w:eastAsia="宋体" w:cs="宋体"/>
                <w:i w:val="0"/>
                <w:iCs w:val="0"/>
                <w:color w:val="000000"/>
                <w:sz w:val="20"/>
                <w:szCs w:val="20"/>
                <w:highlight w:val="none"/>
                <w:u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▲6、</w:t>
            </w:r>
            <w:r>
              <w:rPr>
                <w:rStyle w:val="1220"/>
                <w:rFonts w:hint="eastAsia" w:ascii="宋体" w:hAnsi="宋体" w:eastAsia="宋体" w:cs="宋体"/>
                <w:color w:val="000000"/>
                <w:sz w:val="20"/>
                <w:szCs w:val="20"/>
                <w:highlight w:val="none"/>
                <w:lang w:val="en-US" w:eastAsia="zh-CN" w:bidi="ar"/>
              </w:rPr>
              <w:t xml:space="preserve">需支持在交换机上创建东西向安全策略，实现全网安全风险拦截</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7、支持EEE节能技术：当EEE使能时，大幅度减小端口在该阶段的功耗，达到节能目的；</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8、支持SNMPv1/v2c/v3、支持Console、Telnet、SSH</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▲9、交换机IK防护测试级别至少达到IK06；</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10、要求本项目核心交换机，接入交换机，AP，控制器为同一品牌。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办公网</w:t>
            </w:r>
            <w:r>
              <w:rPr>
                <w:rFonts w:hint="eastAsia" w:ascii="宋体" w:hAnsi="宋体" w:eastAsia="宋体" w:cs="宋体"/>
                <w:i w:val="0"/>
                <w:iCs w:val="0"/>
                <w:color w:val="000000"/>
                <w:sz w:val="20"/>
                <w:szCs w:val="20"/>
                <w:highlight w:val="none"/>
                <w:u w:val="none"/>
              </w:rPr>
            </w:r>
            <w:r/>
          </w:p>
        </w:tc>
      </w:tr>
      <w:tr>
        <w:trPr>
          <w:trHeight w:val="2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48口千兆接入交换机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★1、设备的交换容量≥670Gbps，包转发率≥200Mpps；</w:t>
            </w:r>
            <w:r>
              <w:rPr>
                <w:rStyle w:val="1221"/>
                <w:rFonts w:hint="eastAsia" w:ascii="宋体" w:hAnsi="宋体" w:eastAsia="宋体" w:cs="宋体"/>
                <w:b/>
                <w:bCs/>
                <w:color w:val="000000"/>
                <w:sz w:val="20"/>
                <w:szCs w:val="20"/>
                <w:highlight w:val="none"/>
                <w:lang w:val="en-US" w:eastAsia="zh-CN" w:bidi="ar"/>
              </w:rPr>
              <w:t xml:space="preserve">（投标文件中提供</w:t>
            </w:r>
            <w:r>
              <w:rPr>
                <w:rStyle w:val="1220"/>
                <w:rFonts w:hint="eastAsia" w:ascii="宋体" w:hAnsi="宋体" w:eastAsia="宋体" w:cs="宋体"/>
                <w:b/>
                <w:bCs/>
                <w:color w:val="000000"/>
                <w:sz w:val="20"/>
                <w:szCs w:val="20"/>
                <w:highlight w:val="none"/>
                <w:lang w:val="en-US" w:eastAsia="zh-CN" w:bidi="ar"/>
              </w:rPr>
              <w:t xml:space="preserve">对应配置承诺说明（格式参见附件）</w:t>
            </w:r>
            <w:r>
              <w:rPr>
                <w:rStyle w:val="1221"/>
                <w:rFonts w:hint="eastAsia" w:ascii="宋体" w:hAnsi="宋体" w:eastAsia="宋体" w:cs="宋体"/>
                <w:b/>
                <w:bCs/>
                <w:color w:val="000000"/>
                <w:sz w:val="20"/>
                <w:szCs w:val="20"/>
                <w:highlight w:val="none"/>
                <w:lang w:val="en-US" w:eastAsia="zh-CN" w:bidi="ar"/>
              </w:rPr>
              <w:t xml:space="preserve">加盖投标人公章</w:t>
            </w:r>
            <w:r>
              <w:rPr>
                <w:rStyle w:val="1220"/>
                <w:rFonts w:hint="eastAsia" w:ascii="宋体" w:hAnsi="宋体" w:eastAsia="宋体" w:cs="宋体"/>
                <w:b/>
                <w:bCs/>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2、千兆电口数≥48个，万兆光口≥4个；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3、支持MAC地址≥16K，支持MAC地址自动学习；支持源MAC地址过滤；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4、支持业务端口共模防雷≥6KV；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5、支持通过APP进行远程管理，并且可以修改交换机网络配置；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6、上线方式：支持云发现、支持配置网关IP或通过网关DNS域名自动发现上线；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7、支持通过在网管中心平台的Web页面对交换机进行可视化管理查看，包括交换机的端口状态及配置、vlan信息；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8、支持通过网管中心平台一键替换“按钮”即可完成故障设备替换；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9、支持EEE节能技术：当EEE使能时，大幅度减小端口在该阶段的功耗，达到节能目的；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办公网</w:t>
            </w:r>
            <w:r>
              <w:rPr>
                <w:rFonts w:hint="eastAsia" w:ascii="宋体" w:hAnsi="宋体" w:eastAsia="宋体" w:cs="宋体"/>
                <w:i w:val="0"/>
                <w:iCs w:val="0"/>
                <w:color w:val="000000"/>
                <w:sz w:val="20"/>
                <w:szCs w:val="20"/>
                <w:highlight w:val="none"/>
                <w:u w:val="none"/>
              </w:rPr>
            </w:r>
            <w:r/>
          </w:p>
        </w:tc>
      </w:tr>
      <w:tr>
        <w:trPr>
          <w:trHeight w:val="465"/>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8口千兆POE接入交换机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0"/>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1、设备的交换容量≥670Gbps，包转发率≥100Mpps；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2、千兆POE电口≥8个，1G/2.5G 光口≥2个；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3、单端口最大输出功率≥30W，整机最大输出功率≥125W；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4、支持通过APP进行远程管理，并且可以修改交换机网络配置；</w:t>
            </w:r>
            <w:r>
              <w:rPr>
                <w:rStyle w:val="1220"/>
                <w:rFonts w:hint="eastAsia" w:ascii="宋体" w:hAnsi="宋体" w:eastAsia="宋体" w:cs="宋体"/>
                <w:color w:val="000000"/>
                <w:sz w:val="20"/>
                <w:szCs w:val="20"/>
                <w:highlight w:val="none"/>
                <w:lang w:val="en-US" w:eastAsia="zh-CN" w:bidi="ar"/>
              </w:rPr>
              <w:t xml:space="preserve">支持以下上线方式：支持二层广播自动发现网管中心平台；支持配置静态IP地址；</w:t>
            </w:r>
            <w:r>
              <w:rPr>
                <w:rStyle w:val="1220"/>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0"/>
                <w:rFonts w:hint="eastAsia" w:ascii="宋体" w:hAnsi="宋体" w:eastAsia="宋体" w:cs="宋体"/>
                <w:color w:val="000000"/>
                <w:sz w:val="20"/>
                <w:szCs w:val="20"/>
                <w:highlight w:val="none"/>
                <w:lang w:val="en-US" w:eastAsia="zh-CN" w:bidi="ar"/>
              </w:rPr>
              <w:t xml:space="preserve">5、三层发现网管中心平台；支持DHCP Option43方式发现网管中心平台；支持DNS域名发现网管中心平台</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6、支持通过网管中心平台一键替换“按钮”即可完成故障设备替换；</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7、支持EEE节能技术：当EEE使能时，大幅度减小端口在该阶段的功耗，达到节能目的；</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无线网</w:t>
            </w:r>
            <w:r>
              <w:rPr>
                <w:rFonts w:hint="eastAsia" w:ascii="宋体" w:hAnsi="宋体" w:eastAsia="宋体" w:cs="宋体"/>
                <w:i w:val="0"/>
                <w:iCs w:val="0"/>
                <w:color w:val="000000"/>
                <w:sz w:val="20"/>
                <w:szCs w:val="20"/>
                <w:highlight w:val="none"/>
                <w:u w:val="none"/>
              </w:rPr>
            </w:r>
            <w:r/>
          </w:p>
        </w:tc>
      </w:tr>
      <w:tr>
        <w:trPr>
          <w:trHeight w:val="4112"/>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24口千兆POE接入交换机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0"/>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★1、设备的交换容量≥670Gbps，包转发率≥120Mpps；</w:t>
            </w:r>
            <w:r>
              <w:rPr>
                <w:rStyle w:val="1221"/>
                <w:rFonts w:hint="eastAsia" w:ascii="宋体" w:hAnsi="宋体" w:eastAsia="宋体" w:cs="宋体"/>
                <w:b/>
                <w:bCs/>
                <w:color w:val="000000"/>
                <w:sz w:val="20"/>
                <w:szCs w:val="20"/>
                <w:highlight w:val="none"/>
                <w:lang w:val="en-US" w:eastAsia="zh-CN" w:bidi="ar"/>
              </w:rPr>
              <w:t xml:space="preserve">（投标文件中提供</w:t>
            </w:r>
            <w:r>
              <w:rPr>
                <w:rStyle w:val="1220"/>
                <w:rFonts w:hint="eastAsia" w:ascii="宋体" w:hAnsi="宋体" w:eastAsia="宋体" w:cs="宋体"/>
                <w:b/>
                <w:bCs/>
                <w:color w:val="000000"/>
                <w:sz w:val="20"/>
                <w:szCs w:val="20"/>
                <w:highlight w:val="none"/>
                <w:lang w:val="en-US" w:eastAsia="zh-CN" w:bidi="ar"/>
              </w:rPr>
              <w:t xml:space="preserve">对应配置承诺说明（格式参见附件）</w:t>
            </w:r>
            <w:r>
              <w:rPr>
                <w:rStyle w:val="1221"/>
                <w:rFonts w:hint="eastAsia" w:ascii="宋体" w:hAnsi="宋体" w:eastAsia="宋体" w:cs="宋体"/>
                <w:b/>
                <w:bCs/>
                <w:color w:val="000000"/>
                <w:sz w:val="20"/>
                <w:szCs w:val="20"/>
                <w:highlight w:val="none"/>
                <w:lang w:val="en-US" w:eastAsia="zh-CN" w:bidi="ar"/>
              </w:rPr>
              <w:t xml:space="preserve">加盖投标人公章</w:t>
            </w:r>
            <w:r>
              <w:rPr>
                <w:rStyle w:val="1220"/>
                <w:rFonts w:hint="eastAsia" w:ascii="宋体" w:hAnsi="宋体" w:eastAsia="宋体" w:cs="宋体"/>
                <w:b/>
                <w:bCs/>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2、千兆POE电口≥24个，千兆SFP光口≥4个；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3、支持IEEE802.3af/at供电标准，单端口最大输出功率≥30W，整机最大输出功率≥370W；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4、支持通过APP进行远程管理，并且可以修改交换机网络配置；</w:t>
            </w:r>
            <w:r>
              <w:rPr>
                <w:rStyle w:val="1220"/>
                <w:rFonts w:hint="eastAsia" w:ascii="宋体" w:hAnsi="宋体" w:eastAsia="宋体" w:cs="宋体"/>
                <w:color w:val="000000"/>
                <w:sz w:val="20"/>
                <w:szCs w:val="20"/>
                <w:highlight w:val="none"/>
                <w:lang w:val="en-US" w:eastAsia="zh-CN" w:bidi="ar"/>
              </w:rPr>
              <w:t xml:space="preserve">支持以下上线方式：支持二层广播自动发现网管中心平台；支持配置静态IP地址；</w:t>
            </w:r>
            <w:r>
              <w:rPr>
                <w:rStyle w:val="1220"/>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0"/>
                <w:rFonts w:hint="eastAsia" w:ascii="宋体" w:hAnsi="宋体" w:eastAsia="宋体" w:cs="宋体"/>
                <w:color w:val="000000"/>
                <w:sz w:val="20"/>
                <w:szCs w:val="20"/>
                <w:highlight w:val="none"/>
                <w:lang w:val="en-US" w:eastAsia="zh-CN" w:bidi="ar"/>
              </w:rPr>
              <w:t xml:space="preserve">5、三层发现网管中心平台；支持DHCP Option43方式发现网管中心平台；支持DNS域名发现网管中心平台</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6、支持通过网管中心平台一键替换“按钮”即可完成故障设备替换；</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7、支持EEE节能技术：当EEE使能时，大幅度减小端口在该阶段的功耗，达到节能目的；</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无线网</w:t>
            </w:r>
            <w:r>
              <w:rPr>
                <w:rFonts w:hint="eastAsia" w:ascii="宋体" w:hAnsi="宋体" w:eastAsia="宋体" w:cs="宋体"/>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8口千兆POE接入交换机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1、设备的交换容量≥670Gbps，包转发率≥100Mpps；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2、千兆POE电口≥8个，1G/2.5G 光口≥2个；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3、支持供电标准，单端口最大输出功率≥30W，整机最大输出功率≥125W；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4、支持通过APP进行远程管理，并且可以修改交换机网络配置；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Style w:val="1220"/>
                <w:rFonts w:hint="eastAsia" w:ascii="宋体" w:hAnsi="宋体" w:eastAsia="宋体" w:cs="宋体"/>
                <w:color w:val="000000"/>
                <w:sz w:val="20"/>
                <w:szCs w:val="20"/>
                <w:highlight w:val="none"/>
                <w:lang w:val="en-US" w:eastAsia="zh-CN" w:bidi="ar"/>
              </w:rPr>
              <w:t xml:space="preserve">支持以下上线方式：支持二层广播自动发现网管中心平台；支持配置静态IP地址三层发现网管中心平台；支持DHCP Option43方式发现网管中心平台；支持DNS域名发现网管中心平台</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6、支持通过网管中心平台一键替换“按钮”即可完成故障设备替换；</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7、支持EEE节能技术：当EEE使能时，大幅度减小端口在该阶段的功耗，达到节能目的；</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监控网</w:t>
            </w:r>
            <w:r>
              <w:rPr>
                <w:rFonts w:hint="eastAsia" w:ascii="宋体" w:hAnsi="宋体" w:eastAsia="宋体" w:cs="宋体"/>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24口千兆POE接入交换机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★1、设备的交换容量≥670Gbps，包转发率≥120Mpps；</w:t>
            </w:r>
            <w:r>
              <w:rPr>
                <w:rStyle w:val="1221"/>
                <w:rFonts w:hint="eastAsia" w:ascii="宋体" w:hAnsi="宋体" w:eastAsia="宋体" w:cs="宋体"/>
                <w:b/>
                <w:bCs/>
                <w:color w:val="000000"/>
                <w:sz w:val="20"/>
                <w:szCs w:val="20"/>
                <w:highlight w:val="none"/>
                <w:lang w:val="en-US" w:eastAsia="zh-CN" w:bidi="ar"/>
              </w:rPr>
              <w:t xml:space="preserve">（投标文件中提供</w:t>
            </w:r>
            <w:r>
              <w:rPr>
                <w:rStyle w:val="1220"/>
                <w:rFonts w:hint="eastAsia" w:ascii="宋体" w:hAnsi="宋体" w:eastAsia="宋体" w:cs="宋体"/>
                <w:b/>
                <w:bCs/>
                <w:color w:val="000000"/>
                <w:sz w:val="20"/>
                <w:szCs w:val="20"/>
                <w:highlight w:val="none"/>
                <w:lang w:val="en-US" w:eastAsia="zh-CN" w:bidi="ar"/>
              </w:rPr>
              <w:t xml:space="preserve">对应配置承诺说明（格式参见附件）</w:t>
            </w:r>
            <w:r>
              <w:rPr>
                <w:rStyle w:val="1221"/>
                <w:rFonts w:hint="eastAsia" w:ascii="宋体" w:hAnsi="宋体" w:eastAsia="宋体" w:cs="宋体"/>
                <w:b/>
                <w:bCs/>
                <w:color w:val="000000"/>
                <w:sz w:val="20"/>
                <w:szCs w:val="20"/>
                <w:highlight w:val="none"/>
                <w:lang w:val="en-US" w:eastAsia="zh-CN" w:bidi="ar"/>
              </w:rPr>
              <w:t xml:space="preserve">加盖投标人公章</w:t>
            </w:r>
            <w:r>
              <w:rPr>
                <w:rStyle w:val="1220"/>
                <w:rFonts w:hint="eastAsia" w:ascii="宋体" w:hAnsi="宋体" w:eastAsia="宋体" w:cs="宋体"/>
                <w:b/>
                <w:bCs/>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2、千兆POE电口≥24个，千兆SFP光口≥4个；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3、支持单端口最大输出功率≥30W，整机最大输出功率≥370W；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4、支持通过APP进行远程管理，并且可以修改交换机网络配置；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Style w:val="1220"/>
                <w:rFonts w:hint="eastAsia" w:ascii="宋体" w:hAnsi="宋体" w:eastAsia="宋体" w:cs="宋体"/>
                <w:color w:val="000000"/>
                <w:sz w:val="20"/>
                <w:szCs w:val="20"/>
                <w:highlight w:val="none"/>
                <w:lang w:val="en-US" w:eastAsia="zh-CN" w:bidi="ar"/>
              </w:rPr>
              <w:t xml:space="preserve">支持以下上线方式：支持二层广播自动发现网管中心平台；支持配置静态IP地址三层发现网管中心平台；支持DHCP Option43方式发现网管中心平台；支持DNS域名发现网管中心平台</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6、支持通过网管中心平台一键替换“按钮”即可完成故障设备替换；</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7、支持EEE节能技术：当EEE使能时，大幅度减小端口在该阶段的功耗，达到节能目的；</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监控网</w:t>
            </w:r>
            <w:r>
              <w:rPr>
                <w:rFonts w:hint="eastAsia" w:ascii="宋体" w:hAnsi="宋体" w:eastAsia="宋体" w:cs="宋体"/>
                <w:i w:val="0"/>
                <w:iCs w:val="0"/>
                <w:color w:val="000000"/>
                <w:sz w:val="20"/>
                <w:szCs w:val="20"/>
                <w:highlight w:val="none"/>
                <w:u w:val="none"/>
              </w:rPr>
            </w:r>
            <w:r/>
          </w:p>
        </w:tc>
      </w:tr>
      <w:tr>
        <w:trPr>
          <w:trHeight w:val="3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千兆光模块</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1、SFP 千兆单模光模块，单模，1310nm，最大传输距离 10km，接头类型：LC；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2、为保证系统兼容性和稳定性，要求与交换机统一品牌。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rPr>
                <w:highlight w:val="none"/>
              </w:rPr>
            </w:r>
          </w:p>
        </w:tc>
        <w:tc>
          <w:tcPr>
            <w:tcW w:w="1242" w:type="dxa"/>
            <w:vAlign w:val="center"/>
            <w:textDirection w:val="lrTb"/>
            <w:noWrap w:val="false"/>
          </w:tcPr>
          <w:p>
            <w:pPr>
              <w:pStyle w:val="769"/>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3米LC-LC9/125单模双芯光纤跳线</w:t>
            </w:r>
            <w:r>
              <w:rPr>
                <w:rFonts w:hint="eastAsia" w:ascii="宋体" w:hAnsi="宋体" w:eastAsia="宋体" w:cs="宋体"/>
                <w:i w:val="0"/>
                <w:iCs w:val="0"/>
                <w:color w:val="000000"/>
                <w:sz w:val="20"/>
                <w:szCs w:val="20"/>
                <w:highlight w:val="none"/>
                <w:u w:val="none"/>
              </w:rPr>
            </w:r>
            <w:r>
              <w:rPr>
                <w:highlight w:val="none"/>
              </w:rPr>
            </w:r>
          </w:p>
        </w:tc>
        <w:tc>
          <w:tcPr>
            <w:tcW w:w="5608" w:type="dxa"/>
            <w:vAlign w:val="center"/>
            <w:textDirection w:val="lrTb"/>
            <w:noWrap w:val="false"/>
          </w:tcPr>
          <w:p>
            <w:pPr>
              <w:pStyle w:val="769"/>
              <w:numPr>
                <w:ilvl w:val="0"/>
                <w:numId w:val="16"/>
              </w:num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≤0.4dB ；</w:t>
            </w:r>
            <w:r>
              <w:rPr>
                <w:rFonts w:hint="eastAsia" w:ascii="宋体" w:hAnsi="宋体" w:eastAsia="宋体" w:cs="宋体"/>
                <w:i w:val="0"/>
                <w:iCs w:val="0"/>
                <w:color w:val="000000"/>
                <w:sz w:val="20"/>
                <w:szCs w:val="20"/>
                <w:highlight w:val="none"/>
                <w:u w:val="none"/>
                <w:lang w:val="en-US" w:eastAsia="zh-CN" w:bidi="ar"/>
              </w:rPr>
            </w:r>
            <w:r>
              <w:rPr>
                <w:highlight w:val="none"/>
              </w:rPr>
            </w:r>
          </w:p>
          <w:p>
            <w:pPr>
              <w:pStyle w:val="769"/>
              <w:numPr>
                <w:ilvl w:val="0"/>
                <w:numId w:val="0"/>
              </w:num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rPr>
                <w:highlight w:val="none"/>
              </w:rPr>
            </w:r>
          </w:p>
          <w:p>
            <w:pPr>
              <w:pStyle w:val="769"/>
              <w:numPr>
                <w:ilvl w:val="0"/>
                <w:numId w:val="0"/>
              </w:num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≤0.2dB ；</w:t>
            </w:r>
            <w:r>
              <w:rPr>
                <w:rFonts w:hint="eastAsia" w:ascii="宋体" w:hAnsi="宋体" w:eastAsia="宋体" w:cs="宋体"/>
                <w:i w:val="0"/>
                <w:iCs w:val="0"/>
                <w:color w:val="000000"/>
                <w:sz w:val="20"/>
                <w:szCs w:val="20"/>
                <w:highlight w:val="none"/>
                <w:u w:val="none"/>
              </w:rPr>
            </w:r>
            <w:r>
              <w:rPr>
                <w:highlight w:val="none"/>
              </w:rPr>
            </w:r>
          </w:p>
          <w:p>
            <w:pPr>
              <w:pStyle w:val="769"/>
              <w:numPr>
                <w:ilvl w:val="0"/>
                <w:numId w:val="0"/>
              </w:num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rPr>
                <w:highlight w:val="none"/>
              </w:rPr>
            </w:r>
          </w:p>
          <w:p>
            <w:pPr>
              <w:pStyle w:val="769"/>
              <w:numPr>
                <w:ilvl w:val="0"/>
                <w:numId w:val="0"/>
              </w:num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rPr>
                <w:highlight w:val="none"/>
              </w:rPr>
            </w:r>
          </w:p>
        </w:tc>
        <w:tc>
          <w:tcPr>
            <w:tcW w:w="594" w:type="dxa"/>
            <w:vAlign w:val="center"/>
            <w:textDirection w:val="lrTb"/>
            <w:noWrap w:val="false"/>
          </w:tcPr>
          <w:p>
            <w:pPr>
              <w:pStyle w:val="769"/>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rPr>
                <w:highlight w:val="none"/>
              </w:rPr>
            </w:r>
          </w:p>
        </w:tc>
        <w:tc>
          <w:tcPr>
            <w:tcW w:w="583" w:type="dxa"/>
            <w:vAlign w:val="center"/>
            <w:textDirection w:val="lrTb"/>
            <w:noWrap/>
          </w:tcPr>
          <w:p>
            <w:pPr>
              <w:pStyle w:val="769"/>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rPr>
                <w:highlight w:val="none"/>
              </w:rPr>
            </w:r>
          </w:p>
        </w:tc>
        <w:tc>
          <w:tcPr>
            <w:tcW w:w="621" w:type="dxa"/>
            <w:vAlign w:val="center"/>
            <w:textDirection w:val="lrTb"/>
            <w:noWrap w:val="false"/>
          </w:tcPr>
          <w:p>
            <w:pPr>
              <w:pStyle w:val="769"/>
              <w:jc w:val="center"/>
              <w:shd w:val="clear" w:color="auto" w:fill="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highlight w:val="none"/>
              </w:rPr>
            </w:r>
          </w:p>
        </w:tc>
      </w:tr>
      <w:tr>
        <w:trPr>
          <w:trHeight w:val="1140"/>
        </w:trPr>
        <w:tc>
          <w:tcPr>
            <w:tcW w:w="641" w:type="dxa"/>
            <w:vAlign w:val="center"/>
            <w:textDirection w:val="lrTb"/>
            <w:noWrap/>
          </w:tcPr>
          <w:p>
            <w:pPr>
              <w:pStyle w:val="769"/>
              <w:jc w:val="center"/>
              <w:keepLines w:val="0"/>
              <w:keepNext w:val="0"/>
              <w:widowControl/>
              <w:rPr>
                <w:rFonts w:ascii="宋体" w:hAnsi="宋体" w:eastAsia="宋体" w:cs="宋体"/>
                <w:b/>
                <w:bCs/>
                <w:i w:val="0"/>
                <w:iCs w:val="0"/>
                <w:color w:val="000000"/>
                <w:sz w:val="20"/>
                <w:szCs w:val="20"/>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ascii="宋体" w:hAnsi="宋体" w:eastAsia="宋体" w:cs="宋体"/>
                <w:b/>
                <w:bCs/>
                <w:i w:val="0"/>
                <w:iCs w:val="0"/>
                <w:color w:val="000000"/>
                <w:sz w:val="20"/>
                <w:szCs w:val="20"/>
                <w:highlight w:val="none"/>
                <w:u w:val="none"/>
                <w:lang w:val="en-US"/>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无线网络设备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0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放装AP</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1、最高支持802.11ax 协议，兼容802.11a/b/g/n/ac协议；</w:t>
            </w:r>
            <w:r>
              <w:rPr>
                <w:rFonts w:hint="eastAsia" w:ascii="宋体" w:hAnsi="宋体" w:eastAsia="宋体" w:cs="宋体"/>
                <w:i w:val="0"/>
                <w:iCs w:val="0"/>
                <w:color w:val="000000"/>
                <w:sz w:val="20"/>
                <w:szCs w:val="20"/>
                <w:highlight w:val="none"/>
                <w:u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w:t>
            </w:r>
            <w:r>
              <w:rPr>
                <w:rStyle w:val="1221"/>
                <w:rFonts w:hint="eastAsia" w:ascii="宋体" w:hAnsi="宋体" w:eastAsia="宋体" w:cs="宋体"/>
                <w:color w:val="000000"/>
                <w:sz w:val="20"/>
                <w:szCs w:val="20"/>
                <w:highlight w:val="none"/>
                <w:lang w:val="en-US" w:eastAsia="zh-CN" w:bidi="ar"/>
              </w:rPr>
              <w:t xml:space="preserve">整机采用三射频设计，Radio1最大传输速率≥500Mbps，Radio2最大传输速率≥2400Mbps，Radio3最大传输速率≥150Mbps，整机最大传输速率≥2.9Gbps；</w:t>
            </w:r>
            <w:r>
              <w:rPr>
                <w:rStyle w:val="1221"/>
                <w:rFonts w:hint="eastAsia" w:ascii="宋体" w:hAnsi="宋体" w:eastAsia="宋体" w:cs="宋体"/>
                <w:b/>
                <w:bCs/>
                <w:color w:val="000000"/>
                <w:sz w:val="20"/>
                <w:szCs w:val="20"/>
                <w:highlight w:val="none"/>
                <w:lang w:val="en-US" w:eastAsia="zh-CN" w:bidi="ar"/>
              </w:rPr>
              <w:t xml:space="preserve">（投标文件中提供符合参数要求的官网截图证明加盖投标人公章）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3、AP支持集中转发和本地转发两种数据转发模式，同一个AP上基于SSID选择本地转发或者集中转发；</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4、千兆以太网口≥1个；</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5、支持802.3at标准的PoE供电和本地电源适配器供电两种方式；</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6、支持Fat和Fit 两种工作模式，根据网络规划的需要，可以灵活地在Fat和Fit两种工作模式中切换，同时可以根据应用需求，选择工作模式；</w:t>
            </w:r>
            <w:r>
              <w:rPr>
                <w:rStyle w:val="1221"/>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t xml:space="preserve">7、可以自行对无线网络提供的服务进行检测，包括网络接入、DHCP、网关、DNS、网络地址等阶段的时延和质量检测，并以时光轴的方式进行展示具体时间点的检测情况，可以24小时周期性检测并第一时间告警运维人员，可以引导运维人员怎么排查故障到最终解决问题</w:t>
            </w:r>
            <w:r>
              <w:rPr>
                <w:rStyle w:val="1221"/>
                <w:rFonts w:hint="eastAsia" w:ascii="宋体" w:hAnsi="宋体" w:eastAsia="宋体" w:cs="宋体"/>
                <w:b/>
                <w:bCs/>
                <w:color w:val="000000"/>
                <w:sz w:val="20"/>
                <w:szCs w:val="20"/>
                <w:highlight w:val="none"/>
                <w:lang w:val="en-US" w:eastAsia="zh-CN" w:bidi="ar"/>
              </w:rPr>
              <w:t xml:space="preserve">；（投标文件中提供第三方检测机构出具的检测报告</w:t>
            </w:r>
            <w:r>
              <w:rPr>
                <w:rFonts w:hint="eastAsia" w:ascii="宋体" w:hAnsi="宋体" w:eastAsia="宋体" w:cs="宋体"/>
                <w:b/>
                <w:bCs/>
                <w:color w:val="000000"/>
                <w:sz w:val="20"/>
                <w:szCs w:val="20"/>
                <w:highlight w:val="none"/>
                <w:lang w:val="en-US" w:eastAsia="zh-CN" w:bidi="ar"/>
              </w:rPr>
              <w:t xml:space="preserve">加盖</w:t>
            </w:r>
            <w:r>
              <w:rPr>
                <w:rStyle w:val="1221"/>
                <w:rFonts w:hint="eastAsia" w:ascii="宋体" w:hAnsi="宋体" w:eastAsia="宋体" w:cs="宋体"/>
                <w:b/>
                <w:bCs/>
                <w:color w:val="000000"/>
                <w:sz w:val="20"/>
                <w:szCs w:val="20"/>
                <w:highlight w:val="none"/>
                <w:lang w:val="en-US" w:eastAsia="zh-CN" w:bidi="ar"/>
              </w:rPr>
              <w:t xml:space="preserve">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8、无线AP可以实现记录内网终端流量访问路径、识别异常终端访问行为、呈现全网异常访问趋势、下发策略阻断风险终端访问动作的全周期东西向流量安全可视化管控；</w:t>
            </w:r>
            <w:r>
              <w:rPr>
                <w:rStyle w:val="1223"/>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9、要求本项目核心交换机，接入交换机，AP，控制器为同一品牌。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面板AP</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1、支持802.11ax协议，兼容802.11a/b/g/n/ac协议，支持2.4G和5G同时工作；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2、整机采用双射频四空间流设计，理论无线传输速率＞2.9Gbps；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3、整机最大接入终端数≥256；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4、配置≥2个千兆以太网口；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5、安装尺寸符合86盒国家标准，墙外厚度≤15mm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6、支持Fat和Fit 两种工作模式，可根据网络规划需要灵活切换；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7、支持基于VLAN和SSID的用户终端隔离，避免多个用户群组间的互访风险；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8、要求本项目核心交换机，接入交换机，AP，控制器为同一品牌。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51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无线控制器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ind w:firstLine="0"/>
              <w:jc w:val="left"/>
              <w:spacing w:line="240" w:lineRule="auto"/>
              <w:widowControl/>
              <w:rPr>
                <w:rFonts w:hint="eastAsia" w:ascii="宋体" w:hAnsi="宋体" w:eastAsia="宋体"/>
                <w:b/>
                <w:bCs/>
                <w:color w:val="00000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★1、千兆以太网口数≥3，并需提供1个RJ-45 Console管理口，无线AP管理数≥280，用于外接硬件设备；</w:t>
            </w:r>
            <w:r>
              <w:rPr>
                <w:rFonts w:hint="eastAsia" w:ascii="宋体" w:hAnsi="宋体" w:eastAsia="宋体"/>
                <w:b/>
                <w:bCs/>
                <w:color w:val="000000"/>
                <w:highlight w:val="none"/>
                <w:lang w:val="en-US" w:eastAsia="zh-CN"/>
              </w:rPr>
              <w:t xml:space="preserve">（投标文件中提供符合参数要求的官网截图证明加盖投标人公章）</w:t>
            </w:r>
            <w:r>
              <w:rPr>
                <w:rFonts w:hint="eastAsia" w:ascii="宋体" w:hAnsi="宋体" w:eastAsia="宋体"/>
                <w:b/>
                <w:bCs/>
                <w:color w:val="000000"/>
                <w:highlight w:val="none"/>
                <w:lang w:val="en-US" w:eastAsia="zh-CN"/>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2、支持查看信号质量差的AP的TOP N，分析维度包括AP的信号利用率、噪声值、重传率、误码率趋势；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▲3、结合无线AP支持配置采用独立射频WIPS模糊或精准反制非法接入点并实时检测、告警及反制，过程中不影响用户正常网络接入</w:t>
            </w:r>
            <w:r>
              <w:rPr>
                <w:rStyle w:val="1221"/>
                <w:rFonts w:hint="eastAsia" w:ascii="宋体" w:hAnsi="宋体" w:eastAsia="宋体" w:cs="宋体"/>
                <w:b/>
                <w:bCs/>
                <w:color w:val="000000"/>
                <w:sz w:val="20"/>
                <w:szCs w:val="20"/>
                <w:highlight w:val="none"/>
                <w:lang w:val="en-US" w:eastAsia="zh-CN" w:bidi="ar"/>
              </w:rPr>
              <w:t xml:space="preserve">；</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4、支持通过在管理平台的Web页面对交换机进行可视化管理查看，包括交换机的端口状态及配置、vlan信息、交换机面板端口接入状态、交换机容量、端口负载、供电负载；</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5、支持从不安全终端数、终端类型异常、终端位置异常、终端地址异常等维度查看接入终端安全事件；</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6、对接内部系统结合802.1X、Web认证方式接入网络，支持批量的形式导入、导出认证信息实现高效的认证管理，自身最大可创建超过60000个用户认证的账号信息；</w:t>
            </w:r>
            <w:r>
              <w:rPr>
                <w:rStyle w:val="1221"/>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7、支持灵活的设置Portal认证页面内容，可基于接入位置、终端类型、MAC地址、用户名、运营商等信息呈现不同的Portal认证页面</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8、支持跨互联网进行远程部署，通过控制器平台可以对所有AP、交换机进行统一集中管理，包括统一配置和统一查看AP、交换机等设备的在线情况；</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9、可以查看到可视化的互访图显示，可以查看到观察区域和保护区域的数量、安全访问、风险访问次数、拦截次数、攻击终端数量等；</w:t>
            </w:r>
            <w:r>
              <w:rPr>
                <w:rStyle w:val="1221"/>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t xml:space="preserve">10、管理无线AP和交换机可以实现记录内网终端流量访问路径、识别异常终端访问行为、呈现全网异常访问趋势、下发策略阻断风险终端访问动作的全周期东西向流量安全可视化管控</w:t>
            </w:r>
            <w:r>
              <w:rPr>
                <w:rStyle w:val="1221"/>
                <w:rFonts w:hint="eastAsia" w:ascii="宋体" w:hAnsi="宋体" w:eastAsia="宋体" w:cs="宋体"/>
                <w:b w:val="0"/>
                <w:bCs w:val="0"/>
                <w:color w:val="000000"/>
                <w:sz w:val="20"/>
                <w:szCs w:val="20"/>
                <w:highlight w:val="none"/>
                <w:lang w:val="en-US" w:eastAsia="zh-CN" w:bidi="ar"/>
              </w:rPr>
              <w:t xml:space="preserve">；</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11、可以自行对无线网络提供的服务进行检测，包括网络接入、DHCP、网关、DNS、网络地址等阶段的时延和质量检测，并以时光轴的方式进行展示具体时间点的检测情况，可以24小时周期性检测并第一时间告警运维人员，可以引导运维人员怎么排查故障到最终解决问题；</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12、支持移动APP运维，支持呈现AP接入点状态、接入点管理、无线网络、交换机状态、交换机管理、安全状态、本地用户、二维码审核、角色授权等；</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13、本项目管理平台须具备不少于100G SSD固态硬盘数据存储能力。</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14、本次项目配置不少于本项目AP数量管理永久授权。</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1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六类四对非屏蔽双绞线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w:t>
            </w:r>
            <w:r>
              <w:rPr>
                <w:rStyle w:val="1221"/>
                <w:rFonts w:hint="eastAsia" w:ascii="宋体" w:hAnsi="宋体" w:eastAsia="宋体" w:cs="宋体"/>
                <w:color w:val="000000"/>
                <w:sz w:val="20"/>
                <w:szCs w:val="20"/>
                <w:highlight w:val="none"/>
                <w:lang w:val="en-US" w:eastAsia="zh-CN" w:bidi="ar"/>
              </w:rPr>
              <w:t xml:space="preserve">ISO 11801:2008标准的要求；</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2、带中心十字隔离骨架，可有效防止因线对之间绞距变化带来的性能下降； </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3、线规23AWG；</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4、护套采用优良的PVC材料；护套长度为逆序标注以方便识别线缆长度；</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5、导体材料：无氧圆铜（纯度99.99%）；最大导体直流电阻@20 Deg.C :9.5Ω/100m；线对直流电阻不平衡：≤2%；线对对地电容不平衡：＜330pF/100m；延迟偏差：≤45ns/100m；</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6、额定传输速率(NVP)：69%；绝缘电阻：≥5000MΩ/km。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3米六类非屏蔽跳线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11801:2008标准的要求；采用多股软铜绞合线，100%原厂测试，确保线缆具有高标准的电气性能稳定；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2、插拔次数≥1500次；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3、跳线水晶头与多股线需有注塑式水晶色透明护套包裹，防松脱，并有水晶头弹片回包片，保护水晶头弹片不被弯折，确保电缆和插头的可靠性和链接稳定性；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4、跳线缆材上具有清晰的米标和类型印字；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5、水晶头采用≥50μ镀金三叉RJ45插头，确保镀金簧片与导体可靠接触，采用组合式设计，内置穿线过渡件，确保电缆导线在水晶头内部扭转最小，有效提高了跳线的串扰余量，可提供高达350MHz的带宽；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6、可提供不同颜色和长度选择。</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安全设备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防火墙</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★1、硬件参数：网络层吞吐量≥2G，最大并发连接数≥90万，每秒新建连接数≥2.5万，内存≥4G，硬盘≥64G SSD，设备至少配备6个千兆电口和2个SFP</w:t>
            </w:r>
            <w:r>
              <w:rPr>
                <w:rStyle w:val="1220"/>
                <w:rFonts w:hint="eastAsia" w:ascii="宋体" w:hAnsi="宋体" w:eastAsia="宋体" w:cs="宋体"/>
                <w:b/>
                <w:bCs/>
                <w:color w:val="000000"/>
                <w:sz w:val="20"/>
                <w:szCs w:val="20"/>
                <w:highlight w:val="none"/>
                <w:lang w:val="en-US" w:eastAsia="zh-CN" w:bidi="ar"/>
              </w:rPr>
              <w:t xml:space="preserve">（投标文件中提供符合参数要求的功能截图证明加盖投标人公章）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▲2、当主机故障时，支持双机切换时不丢包，可实现双机部署下升级不断网；</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▲3、产品内置不低于13000种漏洞规则，同时支持在控制台界面通过漏洞ID、漏洞名称、危险等级、漏洞CVE标识、漏洞描述等条件查询漏洞特征信息，支持用户自定义IPS规则；</w:t>
            </w:r>
            <w:r>
              <w:rPr>
                <w:rStyle w:val="1221"/>
                <w:rFonts w:hint="eastAsia" w:ascii="宋体" w:hAnsi="宋体" w:eastAsia="宋体" w:cs="宋体"/>
                <w:b/>
                <w:bCs/>
                <w:color w:val="000000"/>
                <w:sz w:val="20"/>
                <w:szCs w:val="20"/>
                <w:highlight w:val="none"/>
                <w:lang w:val="en-US" w:eastAsia="zh-CN" w:bidi="ar"/>
              </w:rPr>
              <w:t xml:space="preserve">（投标文件中提供符合参数要求的</w:t>
            </w:r>
            <w:r>
              <w:rPr>
                <w:rStyle w:val="1220"/>
                <w:rFonts w:hint="eastAsia" w:ascii="宋体" w:hAnsi="宋体" w:eastAsia="宋体" w:cs="宋体"/>
                <w:b/>
                <w:bCs/>
                <w:color w:val="000000"/>
                <w:sz w:val="20"/>
                <w:szCs w:val="20"/>
                <w:highlight w:val="none"/>
                <w:lang w:val="en-US" w:eastAsia="zh-CN" w:bidi="ar"/>
              </w:rPr>
              <w:t xml:space="preserve">功能</w:t>
            </w:r>
            <w:r>
              <w:rPr>
                <w:rStyle w:val="1221"/>
                <w:rFonts w:hint="eastAsia" w:ascii="宋体" w:hAnsi="宋体" w:eastAsia="宋体" w:cs="宋体"/>
                <w:b/>
                <w:bCs/>
                <w:color w:val="000000"/>
                <w:sz w:val="20"/>
                <w:szCs w:val="20"/>
                <w:highlight w:val="none"/>
                <w:lang w:val="en-US" w:eastAsia="zh-CN" w:bidi="ar"/>
              </w:rPr>
              <w:t xml:space="preserve">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4、产品支持服务器漏洞防扫描功能，并对扫描源IP进行日志记录和联动封锁；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5、持预定义漏洞特征数量超过10000种，支持在产品漏洞特征库中以漏洞名称、漏洞ID、漏洞CVE标识、危险等级和漏洞描述等条件快速查询特定漏洞特征信息，支持用户自定义IPS规则；</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6、支持策略生命周期管理功能，支持对安全策略修改的时间、原因、变更类型进行统一管理，便于策略的运维与管理。</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视频监控系统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前端设备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星光级400万筒型网络摄像机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★1、采用高性能400万像素1/3英寸CMOS图像传感器，低照度效果好，图像清晰度高；</w:t>
            </w:r>
            <w:r>
              <w:rPr>
                <w:rFonts w:hint="eastAsia" w:ascii="宋体" w:hAnsi="宋体" w:eastAsia="宋体" w:cs="宋体"/>
                <w:b/>
                <w:bCs/>
                <w:i w:val="0"/>
                <w:iCs w:val="0"/>
                <w:color w:val="000000"/>
                <w:sz w:val="20"/>
                <w:szCs w:val="20"/>
                <w:highlight w:val="none"/>
                <w:u w:val="none"/>
                <w:lang w:val="en-US" w:eastAsia="zh-CN" w:bidi="ar"/>
              </w:rPr>
              <w:t xml:space="preserve">（投标文件中提供对应配置承诺说明（格式参见附件）加盖投标人公章）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2、最大可输出400万(2560×1440)@25fps；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3、支持H.265编码，压缩比高，超低码流；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4、内置高效红外补光灯，最大红外监控距离50米；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5、支持ROI，SMART H.264+/H.265+，灵活编码，适用不同带宽和存储环境；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6、支持数字宽动态，3D降噪，强光抑制，背光补偿，数字水印，适用不同监控环境；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7、支持多种异常检测：动态检测，视频遮挡，网络断开，IP冲突，音频异常侦测，非法访问；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8、内置麦克风；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9、支持DC12V/PoE供电方式；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10、支持IP67防护等级。</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星光级400万PoE海螺型网络摄像机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1、支持绊线入侵，区域入侵；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★2、采用高性能400万像素1/3英寸CMOS图像传感器，低照度效果好，图像清晰度高；</w:t>
            </w:r>
            <w:r>
              <w:rPr>
                <w:rFonts w:hint="eastAsia" w:ascii="宋体" w:hAnsi="宋体" w:eastAsia="宋体" w:cs="宋体"/>
                <w:b/>
                <w:bCs/>
                <w:i w:val="0"/>
                <w:iCs w:val="0"/>
                <w:color w:val="000000"/>
                <w:sz w:val="20"/>
                <w:szCs w:val="20"/>
                <w:highlight w:val="none"/>
                <w:u w:val="none"/>
                <w:lang w:val="en-US" w:eastAsia="zh-CN" w:bidi="ar"/>
              </w:rPr>
              <w:t xml:space="preserve">（投标文件中提供对应配置承诺说明（格式参见附件）加盖投标人公章）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3、默认可输出400万(2560×1440)@25fps，最大可输出400万(2688×1520)@20fps；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4、支持H.265编码，压缩比高，实现超低码流传输；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5、内置高效红外补光灯，最大红外监控距离50米；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6、支持走廊模式，宽动态，3D降噪，强光抑制，背光补偿，数字水印，适用不同监控环境；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7、支持ROI，SMART H.264/H.265，灵活编码，适用不同带宽和存储环境；</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8、支持内置麦克风；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9、支持DC12V/PoE供电方式；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10、支持IP67防护等级。</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200万像素防油污双光定焦枪型网络摄像机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1、内置GPU芯片，支持深度学习算法，有效提升检测准确率；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★2、采用高性能1/2.7英寸200万像素CMOS图像传感器，低照度效果好，图像清晰度高；</w:t>
            </w:r>
            <w:r>
              <w:rPr>
                <w:rFonts w:hint="eastAsia" w:ascii="宋体" w:hAnsi="宋体" w:eastAsia="宋体" w:cs="宋体"/>
                <w:b/>
                <w:bCs/>
                <w:i w:val="0"/>
                <w:iCs w:val="0"/>
                <w:color w:val="000000"/>
                <w:sz w:val="20"/>
                <w:szCs w:val="20"/>
                <w:highlight w:val="none"/>
                <w:u w:val="none"/>
                <w:lang w:val="en-US" w:eastAsia="zh-CN" w:bidi="ar"/>
              </w:rPr>
              <w:t xml:space="preserve">（投标文件中提供对应配置承诺说明（格式参见附件）加盖投标人公章）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3、最大输出200万(1920 x 1080)@25fps；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4、支持H.265编码，压缩比高，实现超低码流传输；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5、内置高效红外补光灯，最大补光监控距离80米；内置暖光灯，最大补光监控距离30米；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6、支持ROI，SMART H.264/H.265，灵活编码，适用不同带宽和存储环境；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7、支持走廊模式，宽动态，3D降噪，强光抑制，背光补偿，数字水印，适用不同监控环境；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8、支持智能侦测：区域入侵，绊线入侵，快速移动（三项均支持人车分类及精准检测），物品遗留，物品搬移，徘徊检测，人员聚集，停车检测，人脸检测，人数统计；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9、支持睿厨、玩手机检测、垃圾桶未盖检测、老鼠检测功能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同一静止场景,相同图像质量下,设备开启智能编码功能和不开启智能编码相比,码率节约1/2；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10、支持通过485接入温湿度传感器和电量传感器的超限报警功能；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11、支持多种异常检测：动态检测，视频遮挡，场景变更，音频异常侦测，无SD卡，SD卡空间不足，SD卡出错，网络断开，IP冲突，非法访问；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12、支持报警2进2出，音频1进1出，485，BNC，电源返送，最大支持512G Micro SD卡；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13、支持DC12V/PoE供电方式，方便工程安装；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14、支持IP67防护等级。</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400万防遮挡电梯智能检测摄像机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0"/>
                <w:rFonts w:hint="eastAsia" w:ascii="宋体" w:hAnsi="宋体" w:eastAsia="宋体" w:cs="宋体"/>
                <w:strike w:val="0"/>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★1、采用不低于400万像素1/2.9英寸CMOS图像传感器；</w:t>
            </w:r>
            <w:r>
              <w:rPr>
                <w:rFonts w:hint="eastAsia" w:ascii="宋体" w:hAnsi="宋体" w:eastAsia="宋体" w:cs="宋体"/>
                <w:b/>
                <w:bCs/>
                <w:i w:val="0"/>
                <w:iCs w:val="0"/>
                <w:color w:val="000000"/>
                <w:sz w:val="20"/>
                <w:szCs w:val="20"/>
                <w:highlight w:val="none"/>
                <w:u w:val="none"/>
                <w:lang w:val="en-US" w:eastAsia="zh-CN" w:bidi="ar"/>
              </w:rPr>
              <w:t xml:space="preserve">（投标文件中提供对应配置承诺说明（格式参见附件）加盖投标人公章）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2、可输出不低于400万(2688×1520)@25/30fps；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3、焦距≤2.8mm；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4、内置GPU芯片，支持深度学习算法；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5、支持电瓶车检测；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strike w:val="0"/>
                <w:color w:val="000000"/>
                <w:sz w:val="20"/>
                <w:szCs w:val="20"/>
                <w:highlight w:val="none"/>
                <w:u w:val="none"/>
                <w:lang w:val="en-US" w:eastAsia="zh-CN" w:bidi="ar"/>
              </w:rPr>
              <w:t xml:space="preserve">▲6、可通过IE浏览器配置电瓶车禁止入梯楼层,开启该功能后,当电瓶车在禁入楼层进入电梯时,将给出报警提示,默认布控楼层为1楼及地下楼层,已经在楼上的电瓶车可以正常入梯下楼</w:t>
            </w:r>
            <w:r>
              <w:rPr>
                <w:rStyle w:val="1221"/>
                <w:rFonts w:hint="eastAsia" w:ascii="宋体" w:hAnsi="宋体" w:eastAsia="宋体" w:cs="宋体"/>
                <w:b w:val="0"/>
                <w:bCs w:val="0"/>
                <w:strike w:val="0"/>
                <w:color w:val="000000"/>
                <w:sz w:val="20"/>
                <w:szCs w:val="20"/>
                <w:highlight w:val="none"/>
                <w:lang w:val="en-US" w:eastAsia="zh-CN" w:bidi="ar"/>
              </w:rPr>
              <w:t xml:space="preserve">；</w:t>
            </w:r>
            <w:r>
              <w:rPr>
                <w:rFonts w:hint="eastAsia" w:ascii="宋体" w:hAnsi="宋体" w:eastAsia="宋体"/>
                <w:b/>
                <w:bCs/>
                <w:strike w:val="0"/>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strike w:val="0"/>
                <w:color w:val="000000"/>
                <w:sz w:val="20"/>
                <w:szCs w:val="20"/>
                <w:highlight w:val="none"/>
                <w:lang w:val="en-US" w:eastAsia="zh-CN" w:bidi="ar"/>
              </w:rPr>
              <w:br w:type="textWrapping" w:clear="all"/>
            </w:r>
            <w:r>
              <w:rPr>
                <w:rStyle w:val="1220"/>
                <w:rFonts w:hint="eastAsia" w:ascii="宋体" w:hAnsi="宋体" w:eastAsia="宋体" w:cs="宋体"/>
                <w:strike w:val="0"/>
                <w:color w:val="000000"/>
                <w:sz w:val="20"/>
                <w:szCs w:val="20"/>
                <w:highlight w:val="none"/>
                <w:lang w:val="en-US" w:eastAsia="zh-CN" w:bidi="ar"/>
              </w:rPr>
              <w:t xml:space="preserve">▲7、支持同时开启视频遮挡和电瓶车入梯检测功能，当设备镜头被遮挡条件下电瓶车进入电梯，撤出遮挡物后应给出报警提示，直到电瓶车离开电梯，报警结束</w:t>
            </w:r>
            <w:r>
              <w:rPr>
                <w:rStyle w:val="1221"/>
                <w:rFonts w:hint="eastAsia" w:ascii="宋体" w:hAnsi="宋体" w:eastAsia="宋体" w:cs="宋体"/>
                <w:b w:val="0"/>
                <w:bCs w:val="0"/>
                <w:strike w:val="0"/>
                <w:color w:val="000000"/>
                <w:sz w:val="20"/>
                <w:szCs w:val="20"/>
                <w:highlight w:val="none"/>
                <w:lang w:val="en-US" w:eastAsia="zh-CN" w:bidi="ar"/>
              </w:rPr>
              <w:t xml:space="preserve">；</w:t>
            </w:r>
            <w:r>
              <w:rPr>
                <w:rFonts w:hint="eastAsia" w:ascii="宋体" w:hAnsi="宋体" w:eastAsia="宋体"/>
                <w:b/>
                <w:bCs/>
                <w:strike w:val="0"/>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strike w:val="0"/>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0"/>
                <w:rFonts w:hint="eastAsia" w:ascii="宋体" w:hAnsi="宋体" w:eastAsia="宋体" w:cs="宋体"/>
                <w:strike w:val="0"/>
                <w:color w:val="000000"/>
                <w:sz w:val="20"/>
                <w:szCs w:val="20"/>
                <w:highlight w:val="none"/>
                <w:lang w:val="en-US" w:eastAsia="zh-CN" w:bidi="ar"/>
              </w:rPr>
              <w:t xml:space="preserve">▲8、设备可通过电源返送接口和RS485接口外接楼层传感器:传感器正常工作后,可通过IE浏览器对楼层信息进行配置;可配置地上楼层数、地下楼层数,当前楼层;点击"智能填充"按钮,可分别对地上楼层和地下楼层进行方阵展示;双击楼层方框可对楼层名称进行修改,名称支持数字和大小写字母组合;当修改方框中数字的绝对值大于当前值时,则依次按顺序对其右侧方框中楼层值做填充;楼层信息配置完成后,刷新或再次进入预览/配置界面时,当前楼层配置框中显示值为实际楼层值</w:t>
            </w:r>
            <w:r>
              <w:rPr>
                <w:rStyle w:val="1221"/>
                <w:rFonts w:hint="eastAsia" w:ascii="宋体" w:hAnsi="宋体" w:eastAsia="宋体" w:cs="宋体"/>
                <w:b w:val="0"/>
                <w:bCs w:val="0"/>
                <w:strike w:val="0"/>
                <w:color w:val="000000"/>
                <w:sz w:val="20"/>
                <w:szCs w:val="20"/>
                <w:highlight w:val="none"/>
                <w:lang w:val="en-US" w:eastAsia="zh-CN" w:bidi="ar"/>
              </w:rPr>
              <w:t xml:space="preserve">；</w:t>
            </w:r>
            <w:r>
              <w:rPr>
                <w:rFonts w:hint="eastAsia" w:ascii="宋体" w:hAnsi="宋体" w:eastAsia="宋体"/>
                <w:b/>
                <w:bCs/>
                <w:strike w:val="0"/>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strike w:val="0"/>
                <w:color w:val="000000"/>
                <w:sz w:val="20"/>
                <w:szCs w:val="20"/>
                <w:highlight w:val="none"/>
                <w:lang w:val="en-US" w:eastAsia="zh-CN" w:bidi="ar"/>
              </w:rPr>
              <w:br w:type="textWrapping" w:clear="all"/>
            </w:r>
            <w:r>
              <w:rPr>
                <w:rStyle w:val="1220"/>
                <w:rFonts w:hint="eastAsia" w:ascii="宋体" w:hAnsi="宋体" w:eastAsia="宋体" w:cs="宋体"/>
                <w:strike w:val="0"/>
                <w:color w:val="000000"/>
                <w:sz w:val="20"/>
                <w:szCs w:val="20"/>
                <w:highlight w:val="none"/>
                <w:lang w:val="en-US" w:eastAsia="zh-CN" w:bidi="ar"/>
              </w:rPr>
              <w:t xml:space="preserve">▲9、</w:t>
            </w:r>
            <w:r>
              <w:rPr>
                <w:rStyle w:val="1220"/>
                <w:rFonts w:hint="eastAsia" w:ascii="宋体" w:hAnsi="宋体" w:eastAsia="宋体" w:cs="宋体"/>
                <w:color w:val="000000"/>
                <w:sz w:val="20"/>
                <w:szCs w:val="20"/>
                <w:highlight w:val="none"/>
                <w:lang w:val="en-US" w:eastAsia="zh-CN" w:bidi="ar"/>
              </w:rPr>
              <w:t xml:space="preserve">当设备进行重启操作后,无需重新配置楼层信息,监控画面可正确显示当前楼层</w:t>
            </w:r>
            <w:r>
              <w:rPr>
                <w:rStyle w:val="1221"/>
                <w:rFonts w:hint="eastAsia" w:ascii="宋体" w:hAnsi="宋体" w:eastAsia="宋体" w:cs="宋体"/>
                <w:b w:val="0"/>
                <w:bCs w:val="0"/>
                <w:color w:val="000000"/>
                <w:sz w:val="20"/>
                <w:szCs w:val="20"/>
                <w:highlight w:val="none"/>
                <w:lang w:val="en-US" w:eastAsia="zh-CN" w:bidi="ar"/>
              </w:rPr>
              <w:t xml:space="preserve">；</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10、</w:t>
            </w:r>
            <w:r>
              <w:rPr>
                <w:rStyle w:val="1190"/>
                <w:rFonts w:hint="eastAsia" w:ascii="宋体" w:hAnsi="宋体" w:eastAsia="宋体" w:cs="宋体"/>
                <w:color w:val="000000"/>
                <w:sz w:val="20"/>
                <w:szCs w:val="20"/>
                <w:highlight w:val="none"/>
                <w:lang w:val="en-US" w:eastAsia="zh-CN" w:bidi="ar"/>
              </w:rPr>
              <w:t xml:space="preserve">报警1进1出（报警输出为干式报警，支持常开/常闭），最大支持256GMicroSD卡，内置MIC，内置扬声器；</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11、支持工作电压DC12V（±30%）。</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电梯网桥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1、电梯专用网桥</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筒机壁装支架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1、壁装支架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立杆</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1、3米立杆、灰黑色，含地笼浇筑</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围墙壁装立杆</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1、1.5米围墙壁装杆</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室外弱电箱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1、500mm*400mm*200mm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4口光纤终端盒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1、4口光纤终端盒</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1U机架式标准12口LC光纤配线架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1、支持19″标准机架式安装，适用于多种机架、机柜上的安装；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2、光缆固定和光纤适配器安装提供可靠保护；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3、提供光纤熔接、配线管理；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4、满足光纤应用的多样性，支持LC、FC、SC、ST、单双工不同类型的光纤适配器；1U高度，单工最多可以安装24只，双工最多可以安装24只可以扩充到48口；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5、主要材料：优质冷轧钢板；24芯熔纤盘为：ABS工程塑料；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6、最大弯曲空间（mm）：≥30；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7、最大光纤芯数：</w:t>
            </w:r>
            <w:r>
              <w:rPr>
                <w:rStyle w:val="1220"/>
                <w:rFonts w:hint="eastAsia" w:ascii="宋体" w:hAnsi="宋体" w:eastAsia="宋体" w:cs="宋体"/>
                <w:color w:val="000000"/>
                <w:sz w:val="20"/>
                <w:szCs w:val="20"/>
                <w:highlight w:val="none"/>
                <w:lang w:val="en-US" w:eastAsia="zh-CN" w:bidi="ar"/>
              </w:rPr>
              <w:t xml:space="preserve">24</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LC-LC耦合器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7"/>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插入损耗&lt;0.2dB；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2、反射损耗&gt;55dB；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3、温度范围-40～+85摄氏度；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4、耐久性500yclds。</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5、变化小于等于0.2dB。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1.5米单模单芯LC光纤尾纤</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8"/>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≤0.3dB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≤0.1dB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光纤熔接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1、定制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芯</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2米LC-LC9/125单模双芯光纤跳线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19"/>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≤0.4dB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后端设备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24盘位磁盘阵列</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20"/>
              </w:numPr>
              <w:jc w:val="left"/>
              <w:keepLines w:val="0"/>
              <w:keepNext w:val="0"/>
              <w:widowControl/>
              <w:rPr>
                <w:rFonts w:hint="eastAsia" w:ascii="宋体" w:hAnsi="宋体" w:eastAsia="宋体"/>
                <w:b/>
                <w:bCs/>
                <w:color w:val="000000"/>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设备规格：≤4U,≥24盘位；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▲2、默认支持4个千兆RJ45自适应网络接口，支持1个百兆RJ45自适应管理网口。 选配支持1个Mini SAS HD接口。 样机前面板具有锁止功能，加锁后硬盘无法取出，具有可拆卸式防尘滤网 样机选配支持带显示器的前面板</w:t>
            </w:r>
            <w:r>
              <w:rPr>
                <w:rStyle w:val="1221"/>
                <w:rFonts w:hint="eastAsia" w:ascii="宋体" w:hAnsi="宋体" w:eastAsia="宋体" w:cs="宋体"/>
                <w:b w:val="0"/>
                <w:bCs w:val="0"/>
                <w:color w:val="000000"/>
                <w:sz w:val="20"/>
                <w:szCs w:val="20"/>
                <w:highlight w:val="none"/>
                <w:lang w:val="en-US" w:eastAsia="zh-CN" w:bidi="ar"/>
              </w:rPr>
              <w:t xml:space="preserve">；</w:t>
            </w:r>
            <w:r>
              <w:rPr>
                <w:rFonts w:hint="eastAsia" w:ascii="宋体" w:hAnsi="宋体" w:eastAsia="宋体"/>
                <w:b/>
                <w:bCs/>
                <w:color w:val="000000"/>
                <w:highlight w:val="none"/>
                <w:lang w:val="en-US" w:eastAsia="zh-CN"/>
              </w:rPr>
              <w:t xml:space="preserve">（投标文件中提供第三方检测机构出具的检测报告加盖投标人公章）</w:t>
            </w:r>
            <w:r>
              <w:rPr>
                <w:rFonts w:hint="eastAsia" w:ascii="宋体" w:hAnsi="宋体" w:eastAsia="宋体"/>
                <w:b/>
                <w:bCs/>
                <w:color w:val="000000"/>
                <w:highlight w:val="none"/>
                <w:lang w:val="en-US" w:eastAsia="zh-CN"/>
              </w:rPr>
            </w:r>
            <w:r/>
          </w:p>
          <w:p>
            <w:pPr>
              <w:pStyle w:val="769"/>
              <w:numPr>
                <w:ilvl w:val="0"/>
                <w:numId w:val="0"/>
              </w:numPr>
              <w:jc w:val="left"/>
              <w:keepLines w:val="0"/>
              <w:keepNext w:val="0"/>
              <w:widowControl/>
              <w:rPr>
                <w:rStyle w:val="1220"/>
                <w:rFonts w:hint="eastAsia" w:ascii="宋体" w:hAnsi="宋体" w:eastAsia="宋体" w:cs="宋体"/>
                <w:color w:val="000000"/>
                <w:sz w:val="20"/>
                <w:szCs w:val="20"/>
                <w:highlight w:val="none"/>
                <w:lang w:val="en-US" w:eastAsia="zh-CN" w:bidi="ar"/>
              </w:rPr>
              <w:suppressLineNumbers w:val="0"/>
            </w:pPr>
            <w:r>
              <w:rPr>
                <w:rStyle w:val="1220"/>
                <w:rFonts w:hint="eastAsia" w:ascii="宋体" w:hAnsi="宋体" w:eastAsia="宋体" w:cs="宋体"/>
                <w:color w:val="000000"/>
                <w:sz w:val="20"/>
                <w:szCs w:val="20"/>
                <w:highlight w:val="none"/>
                <w:lang w:val="en-US" w:eastAsia="zh-CN" w:bidi="ar"/>
              </w:rPr>
              <w:t xml:space="preserve">▲3、可通过IE 浏览器进行视频浏览、回放和下载；并支持多画面同时段录像同时回放，或不同时段录像同时回放；网络下载录像速度不低于150MB/s</w:t>
            </w:r>
            <w:r>
              <w:rPr>
                <w:rStyle w:val="1221"/>
                <w:rFonts w:hint="eastAsia" w:ascii="宋体" w:hAnsi="宋体" w:eastAsia="宋体" w:cs="宋体"/>
                <w:b w:val="0"/>
                <w:bCs w:val="0"/>
                <w:color w:val="000000"/>
                <w:sz w:val="20"/>
                <w:szCs w:val="20"/>
                <w:highlight w:val="none"/>
                <w:lang w:val="en-US" w:eastAsia="zh-CN" w:bidi="ar"/>
              </w:rPr>
              <w:t xml:space="preserve">；</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color w:val="000000"/>
                <w:sz w:val="20"/>
                <w:szCs w:val="20"/>
                <w:highlight w:val="none"/>
                <w:lang w:val="en-US" w:eastAsia="zh-CN" w:bidi="ar"/>
              </w:rPr>
            </w:r>
            <w:r/>
          </w:p>
          <w:p>
            <w:pPr>
              <w:pStyle w:val="769"/>
              <w:jc w:val="left"/>
              <w:keepLines w:val="0"/>
              <w:keepNext w:val="0"/>
              <w:widowControl/>
              <w:rPr>
                <w:rStyle w:val="1220"/>
                <w:rFonts w:hint="eastAsia" w:ascii="宋体" w:hAnsi="宋体" w:eastAsia="宋体" w:cs="宋体"/>
                <w:color w:val="000000"/>
                <w:sz w:val="20"/>
                <w:szCs w:val="20"/>
                <w:highlight w:val="none"/>
                <w:lang w:val="en-US" w:eastAsia="zh-CN" w:bidi="ar"/>
              </w:rPr>
              <w:suppressLineNumbers w:val="0"/>
            </w:pPr>
            <w:r>
              <w:rPr>
                <w:rStyle w:val="1220"/>
                <w:rFonts w:hint="eastAsia" w:ascii="宋体" w:hAnsi="宋体" w:eastAsia="宋体" w:cs="宋体"/>
                <w:color w:val="000000"/>
                <w:sz w:val="20"/>
                <w:szCs w:val="20"/>
                <w:highlight w:val="none"/>
                <w:lang w:val="en-US" w:eastAsia="zh-CN" w:bidi="ar"/>
              </w:rPr>
              <w:t xml:space="preserve">▲4、设备可接入双音轨，可同时或分别播放左右音轨</w:t>
            </w:r>
            <w:r>
              <w:rPr>
                <w:rStyle w:val="1221"/>
                <w:rFonts w:hint="eastAsia" w:ascii="宋体" w:hAnsi="宋体" w:eastAsia="宋体" w:cs="宋体"/>
                <w:b w:val="0"/>
                <w:bCs w:val="0"/>
                <w:color w:val="000000"/>
                <w:sz w:val="20"/>
                <w:szCs w:val="20"/>
                <w:highlight w:val="none"/>
                <w:lang w:val="en-US" w:eastAsia="zh-CN" w:bidi="ar"/>
              </w:rPr>
              <w:t xml:space="preserve">；</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190"/>
                <w:rFonts w:hint="eastAsia" w:ascii="宋体" w:hAnsi="宋体" w:eastAsia="宋体" w:cs="宋体"/>
                <w:color w:val="000000"/>
                <w:sz w:val="20"/>
                <w:szCs w:val="20"/>
                <w:highlight w:val="none"/>
                <w:lang w:val="en-US" w:eastAsia="zh-CN" w:bidi="ar"/>
              </w:rPr>
              <w:t xml:space="preserve">5、可适配CMR&amp;SMR硬盘，支持SATA硬盘，CMR单盘最大支持</w:t>
            </w:r>
            <w:r>
              <w:rPr>
                <w:rStyle w:val="1220"/>
                <w:rFonts w:hint="eastAsia" w:ascii="宋体" w:hAnsi="宋体" w:eastAsia="宋体" w:cs="宋体"/>
                <w:color w:val="000000"/>
                <w:sz w:val="20"/>
                <w:szCs w:val="20"/>
                <w:highlight w:val="none"/>
                <w:lang w:val="en-US" w:eastAsia="zh-CN" w:bidi="ar"/>
              </w:rPr>
              <w:t xml:space="preserve">26TB</w:t>
            </w:r>
            <w:r>
              <w:rPr>
                <w:rStyle w:val="1190"/>
                <w:rFonts w:hint="eastAsia" w:ascii="宋体" w:hAnsi="宋体" w:eastAsia="宋体" w:cs="宋体"/>
                <w:color w:val="000000"/>
                <w:sz w:val="20"/>
                <w:szCs w:val="20"/>
                <w:highlight w:val="none"/>
                <w:lang w:val="en-US" w:eastAsia="zh-CN" w:bidi="ar"/>
              </w:rPr>
              <w:t xml:space="preserve">硬盘，SMR单盘最大支持30TB；</w:t>
            </w:r>
            <w:r>
              <w:rPr>
                <w:rStyle w:val="122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6、1个HDMI，4个USB，1个eSATA，1个RS232；</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7、支持RAID0/1/5/6/10/50/60，SRAID，支持全局热备和局部热备盘；</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8、支持450路H.264/H.265混合接入，网络带宽1024Mbps接入，1024Mbps存储，1024Mbps转发；</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9、可通过ONVIF、GB28181、RTSP、视图库、主动注册等协议管理不同厂家前端摄像头，实现视频存储；</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10、仅CMR硬盘支持通过IPSAN、NAS（Samba、FTP、NFS）、视频直存模式访问存储资源；</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11、支持iSCSI客户端模式，访问第三方存储资源，增加存储空间，延长存储周期；</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12、支持硬盘健康状态监测，定期巡检，针对异常硬盘风险预警，支持系统盘、风扇、电源等异常告警；</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13、可结合硬盘状态、RAID配置、存储模式、网络状态、录像状态等信息，智能诊断用户配置合规性，保障整机可靠运行；</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14、可配合智能前端摄像头，实现结构化告警、周界告警、入户电梯告警等多种报警事件、图片透传平台；</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15、支持关键录像加锁，确保不被循环覆盖；</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16、支持N+M集群模式，可实现单台或多台设备故障时，故障设备业务自动迁移到其它健康设备上，保障业务不中断。</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20T硬盘</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1、SATA企业级硬盘 转速7200RPM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硬盘录像机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1、主处理器：工业级微控制器；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2、操作系统：嵌入式Linux操作系统；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3、后智能分析：支持后智能智能动检；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4、前智能分析：支持前智能人脸检测、人脸识别、周界防范、智能动检、立体行为分析、人群分布、人数统计、车牌识别；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5、周界前智能性能（路数）：全通道（最大处理6个事件/秒）；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6、人脸识别前智能性能（路数）：全通道（最大处理6个事件/秒）；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7、接入路数：32路；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8、分辨率：12MP；8MP；6MP；5MP；4MP；3MP；1080p；720p；960p；D1；CIF；QCIF；</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9、解码能力：不开智能：1路12MP@25fps; 2路8MP@25fps; 3路6MP@25fps; 3路5MP@25fps; 4路4MP@25fps; 10路1080p@25fps 开智能：1路12MP@25fps; 2路8MP@25fps; 3路6MP@25fps; 3路5MP@25fps; 4路4MP@25fps; 9路1080p@25fps；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10、报警输入：8路；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11、报警输出：2路；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12、硬盘接口：8个SATA，单盘最大20T；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13、RS-485接口：1个；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14、网络接口：2个（10M/100M/1000M以太网口，RJ-45）。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综合安防管理平台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0"/>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w:t>
            </w:r>
            <w:r>
              <w:rPr>
                <w:rStyle w:val="1220"/>
                <w:rFonts w:ascii="宋体" w:hAnsi="宋体" w:eastAsia="宋体" w:cs="宋体"/>
                <w:color w:val="000000"/>
                <w:sz w:val="20"/>
                <w:szCs w:val="20"/>
                <w:highlight w:val="none"/>
                <w:lang w:val="en-US" w:bidi="ar"/>
              </w:rPr>
              <w:t xml:space="preserve">与</w:t>
            </w:r>
            <w:r>
              <w:rPr>
                <w:rStyle w:val="1220"/>
                <w:rFonts w:hint="eastAsia" w:ascii="宋体" w:hAnsi="宋体" w:eastAsia="宋体" w:cs="宋体"/>
                <w:color w:val="000000"/>
                <w:sz w:val="20"/>
                <w:szCs w:val="20"/>
                <w:highlight w:val="none"/>
                <w:lang w:val="en-US" w:eastAsia="zh-CN" w:bidi="ar"/>
              </w:rPr>
              <w:t xml:space="preserve">现有</w:t>
            </w:r>
            <w:r>
              <w:rPr>
                <w:rStyle w:val="1220"/>
                <w:rFonts w:ascii="宋体" w:hAnsi="宋体" w:eastAsia="宋体" w:cs="宋体"/>
                <w:color w:val="000000"/>
                <w:sz w:val="20"/>
                <w:szCs w:val="20"/>
                <w:highlight w:val="none"/>
                <w:lang w:val="en-US" w:bidi="ar"/>
              </w:rPr>
              <w:t xml:space="preserve">钟楼区平安校园管理平台（品牌：大华；版本：V1.000.0000006.6.R.20211229_112449.2210544）无缝对接，实现本地监控图像上传至局端平台。</w:t>
            </w:r>
            <w:r>
              <w:rPr>
                <w:rStyle w:val="1220"/>
                <w:rFonts w:hint="eastAsia" w:ascii="宋体" w:hAnsi="宋体" w:eastAsia="宋体" w:cs="宋体"/>
                <w:b/>
                <w:bCs/>
                <w:color w:val="000000"/>
                <w:sz w:val="20"/>
                <w:szCs w:val="20"/>
                <w:highlight w:val="none"/>
                <w:lang w:val="en-US" w:eastAsia="zh-CN" w:bidi="ar"/>
              </w:rPr>
              <w:t xml:space="preserve">（投标文件中提供对应配置承诺说明（格式参见附件）加盖投标人公章）</w:t>
            </w:r>
            <w:r>
              <w:rPr>
                <w:rStyle w:val="1190"/>
                <w:rFonts w:hint="eastAsia" w:ascii="宋体" w:hAnsi="宋体" w:eastAsia="宋体" w:cs="宋体"/>
                <w:b/>
                <w:bCs/>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2、支持基础管理、视频监控、报警主机、人机非目标抓拍、门禁管理、访客管理、停车场管理等业务子系统；</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3、支持多终端（C/S客户端、移动APP、WEB）运行使用；</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4、视频监控单台600路，单台可购买扩展软授权500路，分布式堆叠最大2200路，门禁单台100路，单台可扩展软授权156路，分布式堆叠最大512路，停车单台5进5出，可扩展软授权3进3出，150车位，分布式堆叠最大16进16出，300车位；</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5、支持停车场车位管理，停车场缴费功能，可支持支付宝，微信等支付方式；</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6、支持平台运维管理，平台运营可视化；</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7、分布式能力，可通过分布式扩展接入和流媒体能力，满足项目扩容以及大路数并发拉流存储要求</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8、业务灵活可扩展，模块可单独购买扩展客流、考勤、巡更、梯控、AR云景（模块和授权单独购买）；</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9、处理器：双核四线程高性能处理器,</w:t>
            </w:r>
            <w:r>
              <w:rPr>
                <w:rFonts w:hint="eastAsia" w:ascii="宋体" w:hAnsi="宋体" w:eastAsia="宋体" w:cs="宋体"/>
                <w:i w:val="0"/>
                <w:iCs w:val="0"/>
                <w:color w:val="000000"/>
                <w:sz w:val="20"/>
                <w:szCs w:val="20"/>
                <w:highlight w:val="none"/>
                <w:u w:val="none"/>
                <w:lang w:val="en-US" w:eastAsia="zh-CN" w:bidi="ar"/>
              </w:rPr>
              <w:t xml:space="preserve">≥</w:t>
            </w:r>
            <w:r>
              <w:rPr>
                <w:rStyle w:val="1190"/>
                <w:rFonts w:hint="eastAsia" w:ascii="宋体" w:hAnsi="宋体" w:eastAsia="宋体" w:cs="宋体"/>
                <w:color w:val="000000"/>
                <w:sz w:val="20"/>
                <w:szCs w:val="20"/>
                <w:highlight w:val="none"/>
                <w:lang w:val="en-US" w:eastAsia="zh-CN" w:bidi="ar"/>
              </w:rPr>
              <w:t xml:space="preserve">3.0 GHz主频；支持最大TDP功耗28W；</w:t>
            </w:r>
            <w:r>
              <w:rPr>
                <w:rStyle w:val="1190"/>
                <w:rFonts w:hint="eastAsia" w:ascii="宋体" w:hAnsi="宋体" w:eastAsia="宋体" w:cs="宋体"/>
                <w:color w:val="000000"/>
                <w:sz w:val="20"/>
                <w:szCs w:val="20"/>
                <w:highlight w:val="none"/>
                <w:lang w:val="en-US" w:eastAsia="zh-CN" w:bidi="ar"/>
              </w:rPr>
              <w:br w:type="textWrapping" w:clear="all"/>
            </w:r>
            <w:r>
              <w:rPr>
                <w:rStyle w:val="1190"/>
                <w:rFonts w:hint="eastAsia" w:ascii="宋体" w:hAnsi="宋体" w:eastAsia="宋体" w:cs="宋体"/>
                <w:color w:val="000000"/>
                <w:sz w:val="20"/>
                <w:szCs w:val="20"/>
                <w:highlight w:val="none"/>
                <w:lang w:val="en-US" w:eastAsia="zh-CN" w:bidi="ar"/>
              </w:rPr>
              <w:t xml:space="preserve">10、内存：</w:t>
            </w:r>
            <w:r>
              <w:rPr>
                <w:rFonts w:hint="eastAsia" w:ascii="宋体" w:hAnsi="宋体" w:eastAsia="宋体" w:cs="宋体"/>
                <w:i w:val="0"/>
                <w:iCs w:val="0"/>
                <w:color w:val="000000"/>
                <w:sz w:val="20"/>
                <w:szCs w:val="20"/>
                <w:highlight w:val="none"/>
                <w:u w:val="none"/>
                <w:lang w:val="en-US" w:eastAsia="zh-CN" w:bidi="ar"/>
              </w:rPr>
              <w:t xml:space="preserve">≥</w:t>
            </w:r>
            <w:r>
              <w:rPr>
                <w:rStyle w:val="1190"/>
                <w:rFonts w:hint="eastAsia" w:ascii="宋体" w:hAnsi="宋体" w:eastAsia="宋体" w:cs="宋体"/>
                <w:color w:val="000000"/>
                <w:sz w:val="20"/>
                <w:szCs w:val="20"/>
                <w:highlight w:val="none"/>
                <w:lang w:val="en-US" w:eastAsia="zh-CN" w:bidi="ar"/>
              </w:rPr>
              <w:t xml:space="preserve">32G，存储：</w:t>
            </w:r>
            <w:r>
              <w:rPr>
                <w:rFonts w:hint="eastAsia" w:ascii="宋体" w:hAnsi="宋体" w:eastAsia="宋体" w:cs="宋体"/>
                <w:i w:val="0"/>
                <w:iCs w:val="0"/>
                <w:color w:val="000000"/>
                <w:sz w:val="20"/>
                <w:szCs w:val="20"/>
                <w:highlight w:val="none"/>
                <w:u w:val="none"/>
                <w:lang w:val="en-US" w:eastAsia="zh-CN" w:bidi="ar"/>
              </w:rPr>
              <w:t xml:space="preserve">≥</w:t>
            </w:r>
            <w:r>
              <w:rPr>
                <w:rStyle w:val="1190"/>
                <w:rFonts w:hint="eastAsia" w:ascii="宋体" w:hAnsi="宋体" w:eastAsia="宋体" w:cs="宋体"/>
                <w:color w:val="000000"/>
                <w:sz w:val="20"/>
                <w:szCs w:val="20"/>
                <w:highlight w:val="none"/>
                <w:lang w:val="en-US" w:eastAsia="zh-CN" w:bidi="ar"/>
              </w:rPr>
              <w:t xml:space="preserve">1个 128G-SSD固态硬盘，</w:t>
            </w:r>
            <w:r>
              <w:rPr>
                <w:rFonts w:hint="eastAsia" w:ascii="宋体" w:hAnsi="宋体" w:eastAsia="宋体" w:cs="宋体"/>
                <w:i w:val="0"/>
                <w:iCs w:val="0"/>
                <w:color w:val="000000"/>
                <w:sz w:val="20"/>
                <w:szCs w:val="20"/>
                <w:highlight w:val="none"/>
                <w:u w:val="none"/>
                <w:lang w:val="en-US" w:eastAsia="zh-CN" w:bidi="ar"/>
              </w:rPr>
              <w:t xml:space="preserve">≥</w:t>
            </w:r>
            <w:r>
              <w:rPr>
                <w:rStyle w:val="1190"/>
                <w:rFonts w:hint="eastAsia" w:ascii="宋体" w:hAnsi="宋体" w:eastAsia="宋体" w:cs="宋体"/>
                <w:color w:val="000000"/>
                <w:sz w:val="20"/>
                <w:szCs w:val="20"/>
                <w:highlight w:val="none"/>
                <w:lang w:val="en-US" w:eastAsia="zh-CN" w:bidi="ar"/>
              </w:rPr>
              <w:t xml:space="preserve">1个 2T-3.5英寸企业级机械硬盘。</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1U机架式标准12口LC光纤配线架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1、支持19″标准机架式安装，适用于多种机架、机柜上的安装；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2、光缆固定和光纤适配器安装提供可靠保护；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3、提供光纤熔接、配线管理；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4、满足光纤应用的多样性，支持LC、FC、SC、ST、单双工不同类型的光纤适配器；1U高度，单工最多可以安装24只，双工最多可以安装24只可以扩充到48口；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5、主要材料：优质冷轧钢板；24芯熔纤盘为：ABS工程塑料；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6、最大弯曲空间（mm）：≥30；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7、最大光纤芯数：</w:t>
            </w:r>
            <w:r>
              <w:rPr>
                <w:rStyle w:val="1220"/>
                <w:rFonts w:hint="eastAsia" w:ascii="宋体" w:hAnsi="宋体" w:eastAsia="宋体" w:cs="宋体"/>
                <w:color w:val="000000"/>
                <w:sz w:val="20"/>
                <w:szCs w:val="20"/>
                <w:highlight w:val="none"/>
                <w:lang w:val="en-US" w:eastAsia="zh-CN" w:bidi="ar"/>
              </w:rPr>
              <w:t xml:space="preserve">24</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LC-LC耦合器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21"/>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插入损耗&lt;0.2dB；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2、反射损耗&gt;55dB；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3、温度范围-40～+85摄氏度；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4、耐久性500yclds。</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5、变化小于等于0.2dB。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1.5米单模单芯LC光纤尾纤</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22"/>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≤0.3dB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≤0.1dB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光纤熔接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1、光纤熔接</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芯</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2米LC-LC9/125单模双芯光纤跳线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23"/>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用于光纤配线箱到有源设备的连接；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2、插入损耗 ≤0.4dB ；</w:t>
            </w:r>
            <w:r>
              <w:rPr>
                <w:rFonts w:hint="eastAsia" w:ascii="宋体" w:hAnsi="宋体" w:eastAsia="宋体" w:cs="宋体"/>
                <w:i w:val="0"/>
                <w:iCs w:val="0"/>
                <w:color w:val="000000"/>
                <w:sz w:val="20"/>
                <w:szCs w:val="20"/>
                <w:highlight w:val="none"/>
                <w:u w:val="none"/>
                <w:lang w:val="en-US" w:eastAsia="zh-CN" w:bidi="ar"/>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3、温度性能 ：-40℃～+80℃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4、重复性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5、互换性 ≤0.2dB ；</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6、回波损耗 ≥45dB；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7、光纤护套：PVC；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8、可能提供不同类型的接头与之交换机接口配套使用。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显示设备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46寸液晶拼接屏</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1、工业级面板：采用工业级面板，适合7×24小时连续工作；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2、物理双边拼缝：双边物理拼缝3.5mm；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3、高亮背光：直下式LED背光源，显示单元亮度更加均匀，无边界暗影现象；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4、高清显示：物理分辨率高达1920×1080，画面细腻，色彩丰富；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5、安装方式：积木式、壁挂式、前维护等多种方式供用户选择；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6、电磁辐射：金属外壳，防辐射、防磁场、防强电场干扰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7、最高支持1920×1080高清显示；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8、支持HDMI、DVI、VGA、CVBS信号采集输入；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9、支持画面和OSD菜单180度翻转功能；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10、双边拼缝3.5mm；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11、内置拼接功能；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12、支持一键开关机功能（需配合光控盒使用）。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前维护液压支架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1、气动前维护壁挂支架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拼接屏包边</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1、拼接屏包边</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1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4路视频解码服务器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1、支持4路HDMI信号输出接口；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2、支持4路HDMI音频输出；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3、支持MPEG2/MPEG4/H.264/H.265/SVAC/MJPEG标准网络视频流解码；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4、支持QCIF/CIF/2CIF/HD1/D1/720p/1080p/3MP/5MP/6MP/8MP/12MP/32MP视频解码；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5、支持通过串口控制屏幕开关；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6、最大支持2路32MP@25fps / 7路12MP@25fps / 10路8MP@25fps / 14路6MP@25fps / 18路5MP@25fps / 28路3MP@25fps / 36路1080p @30fps /144路D1@30fps同时解码；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7、支持单屏1/4/6/8/9/16/25/36分割，支持M×N自由分割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HDMI输出接口支持3840×2160， 1920×1080， 1280×1024， 1280×720， 1024×768五种显示分辨率；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▲8、支持设置指定电脑允许的接管范围和窗口，除此之外的电脑内容不予以显示。</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▲9、</w:t>
            </w:r>
            <w:r>
              <w:rPr>
                <w:rStyle w:val="1221"/>
                <w:rFonts w:hint="eastAsia" w:ascii="宋体" w:hAnsi="宋体" w:eastAsia="宋体" w:cs="宋体"/>
                <w:color w:val="000000"/>
                <w:sz w:val="20"/>
                <w:szCs w:val="20"/>
                <w:highlight w:val="none"/>
                <w:lang w:val="en-US" w:eastAsia="zh-CN" w:bidi="ar"/>
              </w:rPr>
              <w:t xml:space="preserve">支持输出口资源复制借用，使每个输出口同时实现 36 路 1920×1080、30 帧/秒的视频画面分割显示。</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10、支持预案轮巡；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11、支持底色选择；</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12、支持自定义分辨率输出，支持小间距LED对接；</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13、支持多屏融合拼接，跨屏画面毫秒级完美同步；</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14、支持1个10M/100M/1000M自适应以太网接口；加强用户保密等级：HTTP的MD5加密，HTTPS和SSL证书认证，ELNET的密码修改同步应用的用户账号管理；</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15、采用标准网络协议和标准压缩算法，在各种平台上轻松实现互联互通。</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传输线缆系统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24口超五类非屏蔽模块式配线架（含模块）</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11801:2008标准的要求；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2、1U高度 标准19英寸机架式传统安装；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3、RJ45端口金针：25μ镀金；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4、导线端接次数≥250；可接受：22-26线规规格，插头与插座的插合次数≥1500次；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5、电流功率:1.5Amps； 最小电介值承受功率:1000VAC RMS＠60Hz/min；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6、非屏蔽24口配线架有含模块和空架单独模块安装两种规格供现场选择使用。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超五类非屏蔽跳线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11801:2008标准的要求；采用多股软铜绞合线，100%原厂测试，确保线缆具有高标准的电气性能稳定；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2、插拔次数≥1500次；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3、采用注塑式尾套，防止与水晶头松脱，水晶头弹片两侧边缘处有耳部保护片，保护水晶头弹片不被弯折，确保电缆和插头的可靠性和链接稳定性；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4、跳线缆材上具有清晰的米标和类型印字；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5、水晶头采用≥50μ镀金三叉RJ45插头，确保镀金簧片与导体可靠接触，采用组合式设计，内置穿线过渡件，确保电缆导线在水晶头内部扭转最小，有效提高了跳线的串扰余量，可提供高达250MHz的带宽；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6、可提供不同颜色和长度选择。</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超五类四对非屏蔽双绞线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w:t>
            </w:r>
            <w:r>
              <w:rPr>
                <w:rStyle w:val="1221"/>
                <w:rFonts w:hint="eastAsia" w:ascii="宋体" w:hAnsi="宋体" w:eastAsia="宋体" w:cs="宋体"/>
                <w:color w:val="000000"/>
                <w:sz w:val="20"/>
                <w:szCs w:val="20"/>
                <w:highlight w:val="none"/>
                <w:lang w:val="en-US" w:eastAsia="zh-CN" w:bidi="ar"/>
              </w:rPr>
              <w:t xml:space="preserve">ISO 11801:2008标准的要求；</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2、带中心十字隔离骨架，可有效防止因线对之间绞距变化带来的性能下降；</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3、可提供</w:t>
            </w:r>
            <w:r>
              <w:rPr>
                <w:rStyle w:val="1220"/>
                <w:rFonts w:hint="eastAsia" w:ascii="宋体" w:hAnsi="宋体" w:eastAsia="宋体" w:cs="宋体"/>
                <w:color w:val="000000"/>
                <w:sz w:val="20"/>
                <w:szCs w:val="20"/>
                <w:highlight w:val="none"/>
                <w:lang w:val="en-US" w:eastAsia="zh-CN" w:bidi="ar"/>
              </w:rPr>
              <w:t xml:space="preserve">100MHZ</w:t>
            </w:r>
            <w:r>
              <w:rPr>
                <w:rStyle w:val="1221"/>
                <w:rFonts w:hint="eastAsia" w:ascii="宋体" w:hAnsi="宋体" w:eastAsia="宋体" w:cs="宋体"/>
                <w:color w:val="000000"/>
                <w:sz w:val="20"/>
                <w:szCs w:val="20"/>
                <w:highlight w:val="none"/>
                <w:lang w:val="en-US" w:eastAsia="zh-CN" w:bidi="ar"/>
              </w:rPr>
              <w:t xml:space="preserve">带宽，线规24AWG；</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4、护套采用优良的PVC材料；护套长度为逆序标注以方便识别线缆长度；</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5、导体材料：无氧圆铜（纯度99.99%）；最大导体直流电阻@20 Deg.C :9.5Ω/100m；线对直流电阻不平衡：≤2%；线对对地电容不平衡：＜330pF/100m；延迟偏差：≤45ns/100m；额定传输速率(NVP)：65%；绝缘电阻：≥5000MΩ/km。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1U封闭滑槽式理线架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优质金属成品</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2、背部双孔进线，避免旁路进线带来的拥塞；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w:t>
            </w:r>
            <w:r>
              <w:rPr>
                <w:rStyle w:val="1220"/>
                <w:rFonts w:hint="eastAsia" w:ascii="宋体" w:hAnsi="宋体" w:eastAsia="宋体" w:cs="宋体"/>
                <w:color w:val="000000"/>
                <w:sz w:val="20"/>
                <w:szCs w:val="20"/>
                <w:highlight w:val="none"/>
                <w:lang w:val="en-US" w:eastAsia="zh-CN" w:bidi="ar"/>
              </w:rPr>
              <w:t xml:space="preserve">前盖板可拆卸</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4、宽孔值设计，保证单理线架容纳48根六类跳线；</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5、按19英寸机架标准设计；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6、黑色的外观可与其他的任何机房设备相结合。</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4芯室外单模光缆</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w:t>
            </w:r>
            <w:r>
              <w:rPr>
                <w:rStyle w:val="1220"/>
                <w:rFonts w:hint="eastAsia" w:ascii="宋体" w:hAnsi="宋体" w:eastAsia="宋体" w:cs="宋体"/>
                <w:color w:val="000000"/>
                <w:sz w:val="20"/>
                <w:szCs w:val="20"/>
                <w:highlight w:val="none"/>
                <w:lang w:val="en-US" w:eastAsia="zh-CN" w:bidi="ar"/>
              </w:rPr>
              <w:t xml:space="preserve">9/125um激光优化光纤</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2、纤芯衰耗：</w:t>
            </w:r>
            <w:r>
              <w:rPr>
                <w:rStyle w:val="1220"/>
                <w:rFonts w:hint="eastAsia" w:ascii="宋体" w:hAnsi="宋体" w:eastAsia="宋体" w:cs="宋体"/>
                <w:color w:val="000000"/>
                <w:sz w:val="20"/>
                <w:szCs w:val="20"/>
                <w:highlight w:val="none"/>
                <w:lang w:val="en-US" w:eastAsia="zh-CN" w:bidi="ar"/>
              </w:rPr>
              <w:t xml:space="preserve">最大0.4dB/km@1310nm,最大0.4dB/km@1550nm</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3、芯数：4芯；</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4、类型：室外中心束管式。</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1、RVV3*2.5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校园出入口管理系统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前端设备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90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出入口抓拍一体机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1、显示屏尺寸：304.0mm×152.0mm×15.0mm（高×宽×厚）；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2、传感器类型：1/3英寸CMOS；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▲3、抓拍图片分辨率检查：2880×1684(含OSD黑边)</w:t>
            </w:r>
            <w:r>
              <w:rPr>
                <w:rFonts w:hint="eastAsia" w:ascii="宋体" w:hAnsi="宋体" w:eastAsia="宋体"/>
                <w:b/>
                <w:bCs/>
                <w:color w:val="000000"/>
                <w:highlight w:val="none"/>
                <w:lang w:val="en-US" w:eastAsia="zh-CN"/>
              </w:rPr>
              <w:t xml:space="preserve">（投标文件中提供第三方检测机构出具的检测报告加盖投标人公章）</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4、视频压缩标准：H.265；H.264B；H.264M；H.264H；MJPEG；</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5、抓拍距离：2.5m～6m；</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6、除雾功能：支持自动除雾；</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7、供电方式：AC110–230V；</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8、镜头：标配；</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9、镜头类型：变焦；</w:t>
            </w:r>
            <w:r>
              <w:rPr>
                <w:rStyle w:val="1220"/>
                <w:rFonts w:hint="eastAsia" w:ascii="宋体" w:hAnsi="宋体" w:eastAsia="宋体" w:cs="宋体"/>
                <w:color w:val="000000"/>
                <w:sz w:val="20"/>
                <w:szCs w:val="20"/>
                <w:highlight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10、镜头焦距：2.7mm～13.5mm。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变频直臂道闸</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1、杆件类型：直杆，杆长：4米。起杆速度：2s；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2、电机类型：直流无刷；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3、支持压力波防砸、雷达防砸、线圈防砸、红外防砸。</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防砸雷达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1、发射频率：77GHz～81GHz；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2、发射功率： 22dBm；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3、波束宽度： 俯仰 ±15 °，水 平±60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4、响应时间： 100ms；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5、检测区域： 1m～6m（可调）；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6、防砸区域： 广告杆、栅栏杆：左侧0.7m～1.5m（可调），右侧0.7m～1.5m（可调）折臂杆、直杆：左侧0.1m～1.5m（可调），右侧0.1m～1.5m（可调）；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7、检测目标： 人、车；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8、在线调试： 支持（RS485上位机软件、手机APP通过蓝牙连接）；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9、升级功能： 支持（RS485上位机软件、手机APP通过蓝牙连接）；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10、RS-485接口：1个；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11、I/O接口： 2个（继电器输出，一个常开，一个常闭）；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12、工作电压： DC10–16V；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13、工作电流： 0.2A（支持最大电流为2A）；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14、功耗： ＜2.5W；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15、工作温度： -40℃～+70℃；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16、防护等级： IP66。</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刷卡门禁一体机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1、采用32位内核处理器，支持本机设定及管理；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2、全触摸按键，液晶显示人机操作界面；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3、非接触式读卡，支持ID卡识别，可读取ID卡号；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4、支持5种开门模式，卡、卡+密码、密码、卡或密码、分时段；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5、支持防拆报警、非法闯入报警、开门超时报警、支持胁迫卡及胁迫码设定，强化系统安全。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单门磁力锁</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1、上锁时NO输出，开锁时NC输出；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2、最大拉力280kg静态直线拉力；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3、锁体长480x宽48.5x厚26.5(mm)。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双门磁力锁</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1、上锁时NO输出，开锁时NC输出；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2、最大拉力280kg*2静态直线拉力；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3、锁体长480x宽48.5x厚26.5(mm)。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开门按钮</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1、86型、塑壳</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后端设备</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115"/>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停车管理模块</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1、支持5类车类：免费车、月租车、储值车、临时车、VIP车、访客车；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2、支持3种车型：黄牌、蓝牌和绿牌；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3、支持添加2万条白名单，支持同步下发相机；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4、支持按次收费、按时收费、按时段收费、按日夜收费、分时收费；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5、记录中心：进出记录、在场车辆、充值记录查询；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6、中心值守：支持车道对讲接入、车牌号纠正、手动匹配在场记录、远程开闸、车辆费用信息展示等；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7、异常处理：手动放行、手动抓拍、手动匹配、手动修改车牌。</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发卡器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1、采用PC+ABS材质，适用于室内；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2、支持Mifare卡（IC卡）刷卡；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3、支持USB2.0接口，即插即用，无需安装驱动；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4、发卡成功或失败有双色LED指示灯和蜂鸣器提示。</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空白IC卡</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1、符合ISO 7816协议；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2、支持非接触式通讯；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3、支持13.56MHZ工作频率。</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传输线缆</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超五类四对非屏蔽双绞线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w:t>
            </w:r>
            <w:r>
              <w:rPr>
                <w:rStyle w:val="1221"/>
                <w:rFonts w:hint="eastAsia" w:ascii="宋体" w:hAnsi="宋体" w:eastAsia="宋体" w:cs="宋体"/>
                <w:color w:val="000000"/>
                <w:sz w:val="20"/>
                <w:szCs w:val="20"/>
                <w:highlight w:val="none"/>
                <w:lang w:val="en-US" w:eastAsia="zh-CN" w:bidi="ar"/>
              </w:rPr>
              <w:t xml:space="preserve">ISO 11801:2008标准的要求；</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2、带中心十字隔离骨架，可有效防止因线对之间绞距变化带来的性能下降；</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3、可提供</w:t>
            </w:r>
            <w:r>
              <w:rPr>
                <w:rStyle w:val="1220"/>
                <w:rFonts w:hint="eastAsia" w:ascii="宋体" w:hAnsi="宋体" w:eastAsia="宋体" w:cs="宋体"/>
                <w:color w:val="000000"/>
                <w:sz w:val="20"/>
                <w:szCs w:val="20"/>
                <w:highlight w:val="none"/>
                <w:lang w:val="en-US" w:eastAsia="zh-CN" w:bidi="ar"/>
              </w:rPr>
              <w:t xml:space="preserve">100MHZ</w:t>
            </w:r>
            <w:r>
              <w:rPr>
                <w:rStyle w:val="1221"/>
                <w:rFonts w:hint="eastAsia" w:ascii="宋体" w:hAnsi="宋体" w:eastAsia="宋体" w:cs="宋体"/>
                <w:color w:val="000000"/>
                <w:sz w:val="20"/>
                <w:szCs w:val="20"/>
                <w:highlight w:val="none"/>
                <w:lang w:val="en-US" w:eastAsia="zh-CN" w:bidi="ar"/>
              </w:rPr>
              <w:t xml:space="preserve">带宽，线规24AWG；</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4、护套采用优良的PVC材料；护套长度为逆序标注以方便识别线缆长度；</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5、导体材料：无氧圆铜（纯度99.99%）；最大导体直流电阻@20 Deg.C :9.5Ω/100m；线对直流电阻不平衡：≤2%；线对对地电容不平衡：＜330pF/100m；延迟偏差：≤45ns/100m；额定传输速率(NVP)：65%；绝缘电阻: ≥5000MΩ/km。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1、RVV2*1.0</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1、RVV3*2.5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1、RVVP4*1.0</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PE管</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1、PE50管，含开挖预埋</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校园广播系统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网络中心-主控</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控制主机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1、结构</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高档8U铝合金黑色拉丝面板，嵌入触摸屏和数字矩阵键盘操作集成一体，前置超薄DVD光驱；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2、屏幕尺寸</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≥17.3＂；</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3、分辨率</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≥1920*1080；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4、亮度</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≥300cd/m2；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5、触摸屏</w:t>
            </w:r>
            <w:r>
              <w:rPr>
                <w:rStyle w:val="1221"/>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电阻式；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6、主板：工业主板，支持7*24小时不间断运行；</w:t>
            </w:r>
            <w:r>
              <w:rPr>
                <w:rFonts w:hint="eastAsia" w:ascii="宋体" w:hAnsi="宋体" w:eastAsia="宋体" w:cs="宋体"/>
                <w:i w:val="0"/>
                <w:iCs w:val="0"/>
                <w:color w:val="000000"/>
                <w:sz w:val="20"/>
                <w:szCs w:val="20"/>
                <w:highlight w:val="none"/>
                <w:u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7、处理器：四核四线程≥3.3GHz；</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8、内存：≥8G DDR4，最大支持≥32GB；</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9、硬盘：≥256G SSD固态硬盘，mSATA接口；</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10、前置I/O接口：电源开关≥1路，一键报警按钮≥1路，MIC≥1路，USB2.0≥2路,</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后置I/O接口：≥2路LAN,≥2路RS-485,≥4路USB3.0,≥2路USB2.0,≥1路VGA,≥1路HDMI,≥1路PS/2,≥1组3.5音频,≥2组6.35莲花音频，≥1路报警触发接口。</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9"/>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数字化IP网络广播客户端管理软件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1、系统架构：系统采用BS架构；浏览器登录操作管理；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终端管理：支持批量添加终端，终端匹配自动上线；每个终端可以绑定一路监控视频流；支持列表视图（树形结构）和网格视图.地图模式三种管理模式；支持终端状态（在线.离线.广播）及任务状态显示及不同颜色提示；可视对讲终端有视频颜色特殊标识</w:t>
            </w:r>
            <w:r>
              <w:rPr>
                <w:rFonts w:hint="eastAsia" w:ascii="宋体" w:hAnsi="宋体" w:eastAsia="宋体" w:cs="宋体"/>
                <w:b/>
                <w:bCs/>
                <w:i w:val="0"/>
                <w:iCs w:val="0"/>
                <w:color w:val="000000"/>
                <w:sz w:val="20"/>
                <w:szCs w:val="20"/>
                <w:highlight w:val="none"/>
                <w:u w:val="none"/>
                <w:lang w:val="en-US" w:eastAsia="zh-CN" w:bidi="ar"/>
              </w:rPr>
              <w:t xml:space="preserve">；（投标文件中提供符合参数要求的软件界面截图证明加盖投标人公章）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▲3、终端故障自动检测：当IP终端的ID号或者IP地址冲突时，终端以红色提示异常，当在线终端离线时，终端以黄色提示异常</w:t>
            </w:r>
            <w:r>
              <w:rPr>
                <w:rFonts w:hint="eastAsia" w:ascii="宋体" w:hAnsi="宋体" w:eastAsia="宋体" w:cs="宋体"/>
                <w:b/>
                <w:bCs/>
                <w:i w:val="0"/>
                <w:iCs w:val="0"/>
                <w:color w:val="000000"/>
                <w:sz w:val="20"/>
                <w:szCs w:val="20"/>
                <w:highlight w:val="none"/>
                <w:u w:val="none"/>
                <w:lang w:val="en-US" w:eastAsia="zh-CN" w:bidi="ar"/>
              </w:rPr>
              <w:t xml:space="preserve">；</w:t>
            </w:r>
            <w:r>
              <w:rPr>
                <w:rFonts w:hint="eastAsia" w:ascii="宋体" w:hAnsi="宋体" w:eastAsia="宋体"/>
                <w:b/>
                <w:bCs/>
                <w:color w:val="000000"/>
                <w:highlight w:val="none"/>
                <w:lang w:val="en-US" w:eastAsia="zh-CN"/>
              </w:rPr>
              <w:t xml:space="preserve">（投标文件中提供符合参数要求的软件界面截图证明加盖投标人公章）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4、提供全双工语音对讲及视频对讲，响应各对讲终端的呼叫和视频通话请求，支持一键呼叫.一键对讲.一键求助.一键报警等通话模式，支持自动接听.手动接听，支持无应答自动转接，转接时间可设置；</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5、地图模式：支持在线地图模式，地图可任意缩放，每个终端可以绑定一个坐标位置，在地图上显示；</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实时任务:支持显示实时任务播放列表，支持一键启动和停止任务；支持MP3和WAV音频文件，支持播放歌曲列表显示，可以调整歌曲的播放顺序，支持文本转语音广播，可自定义播放时长，具备实时任务优先级调整；</w:t>
            </w:r>
            <w:r>
              <w:rPr>
                <w:rFonts w:hint="eastAsia" w:ascii="宋体" w:hAnsi="宋体" w:eastAsia="宋体"/>
                <w:b/>
                <w:bCs/>
                <w:color w:val="000000"/>
                <w:highlight w:val="none"/>
                <w:lang w:val="en-US" w:eastAsia="zh-CN"/>
              </w:rPr>
              <w:t xml:space="preserve">（投标文件中提供符合参数要求的软件界面截图证明加盖投标人公章）</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7、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8、联动管理：支持消防报警信号接入.短路信号以及其他信号触发，可自定义触发区域，可自定义触发音源播放的时间，触发音源包括媒体库音频文件.终端采集.文本转语音广播；</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9、支持终端短路输入联动触发，支持多种联动预案，可任意设置联动触发方案和触发终端数量，触发方案包括短路输出.音乐播放.终端采集.语音合成.警报等；</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10、视频监控：终端可以绑定摄像头或网络视频流，选择终端即可显示绑定的监控或网络视频信息，发现异常可对指定的终端或者分区进行广播；监控画面显示支持全屏及分屏显示；</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11、媒体库：广播系统软件自带音频文件码流转换功能，支持分类保存音频文件，支持音频文件试听及下载；</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12、历史记录：用户操作.广播.对讲以及终端的注册及离线的记录都可以保存，后期可以根据不同操作类型查看操作及广播记录；</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13、录音录像；语音及可视对讲均可在服务器端同步录音录像；可自定义录音录像保存位置，可开启和关闭录音录像，录音录像可以进行下载播放；</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14、用户管理：支持超级管理员.管理员.用户.操作员4种用户角色，可对每个用户角色功能及管理终端进行授权，分控端只需要通过浏览器登录即可操作，不需要安装任何插件；</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15、分区管理：支持批量对终端进行分区，每个分区前会显示分区号，方便用IP话筒进行分区广播。</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16、广播模式：支持单薄.组播两种模式，支持互联网.局域网部署；</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17、平台支持3种皮肤颜色，一键切换系统配色；</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18、支持广播系统备份，通过备份广播系统指定文件夹，可以备份终端信息.实时任务列表.定时任务以及媒体库音频文件；</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19、SDK：提供SDK二次开发包与其它系统平台集成整合。第三方软件可直接控制对讲和广播，并接收终端当前状态；与监控系统配合，可由监控系统控制通话开关，或通话时自动切换监控画面。</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2、提供+48V幻像电源；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3、三段风格均衡；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4、1组AUX辅助输出AUX1为推子前；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5、采用16种数字显示延时数码效果器；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6、内置净化宽电压开关电源，电压范围：AC90 - 250V。</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CD播放器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1、兼容DVD.CD.MP3等多种播放格式，可外接USB盘播放MP3音乐；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2、音频信号左右声道输出，输出频响范围为20~20KHz；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3、设有轻触式按键操作，可选择播放.立体声.左右声道.上一曲.下一曲.单曲循环.全部循环等功能；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4、直接选择曲目，高亮度动态VFD荧光显示，清晰醒眼；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5、具有通电后自动播放功能。</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1、频率响应：20-18Khz；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2、输出阻抗：75Ω欧姆；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3、灵敏度：-40db；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4、动态范围：109db 1khz；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5、供电电压：DC3V；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6、特点：带前奏声提示.带环灯指示。</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1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寻呼话筒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1、采用桌面式话筒设计，带有≥7英寸电容触摸显示屏；支持通过触摸呼叫广播及发起对讲；支持呼叫终端及多个终端.呼叫分区及多个分区.呼叫全区广播；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2、内置≥1路网络硬件音频解码模块，具有≥1路RJ45网络接口，100Mbps传输速率；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3、支持双向对讲功能，内置3W全频扬声器，实现双向通话。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▲4、支持≥1路3.5mm音频线路输入，支持采集播放功能；具有≥1路3.5mm音频线路输出，可外接功率放大器</w:t>
            </w:r>
            <w:r>
              <w:rPr>
                <w:rFonts w:hint="eastAsia" w:ascii="宋体" w:hAnsi="宋体" w:eastAsia="宋体" w:cs="宋体"/>
                <w:b/>
                <w:bCs/>
                <w:i w:val="0"/>
                <w:iCs w:val="0"/>
                <w:color w:val="000000"/>
                <w:sz w:val="20"/>
                <w:szCs w:val="20"/>
                <w:highlight w:val="none"/>
                <w:u w:val="none"/>
                <w:lang w:val="en-US" w:eastAsia="zh-CN" w:bidi="ar"/>
              </w:rPr>
              <w:t xml:space="preserve">（投标文件中</w:t>
            </w:r>
            <w:r>
              <w:rPr>
                <w:rStyle w:val="1222"/>
                <w:rFonts w:hint="eastAsia" w:ascii="宋体" w:hAnsi="宋体" w:eastAsia="宋体" w:cs="宋体"/>
                <w:b/>
                <w:bCs/>
                <w:color w:val="000000"/>
                <w:sz w:val="20"/>
                <w:szCs w:val="20"/>
                <w:highlight w:val="none"/>
                <w:lang w:val="en-US" w:eastAsia="zh-CN" w:bidi="ar"/>
              </w:rPr>
              <w:t xml:space="preserve">提供</w:t>
            </w:r>
            <w:r>
              <w:rPr>
                <w:rStyle w:val="1221"/>
                <w:rFonts w:hint="eastAsia" w:ascii="宋体" w:hAnsi="宋体" w:eastAsia="宋体" w:cs="宋体"/>
                <w:b/>
                <w:bCs/>
                <w:color w:val="000000"/>
                <w:sz w:val="20"/>
                <w:szCs w:val="20"/>
                <w:highlight w:val="none"/>
                <w:lang w:val="en-US" w:eastAsia="zh-CN" w:bidi="ar"/>
              </w:rPr>
              <w:t xml:space="preserve">设备线路输入与输出接口佐证图加盖投标人公章）</w:t>
            </w:r>
            <w:r>
              <w:rPr>
                <w:rStyle w:val="1221"/>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5、支持直接操作呼叫或对讲任意终端，</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6、支持通过话筒广播呼叫功能，广播延时低于100毫秒；</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7、支持线路输入采集及U盘广播；</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8、支持多种呼叫策略；</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9、支持手动转移；</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10、支持无响应转移；</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11、支持占线转移；</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12、支持关机转移；</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13、支持自动接听；</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14、支持手动接听；</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15、支持用户权限设置，可设置管理和显示指定分区及终端；</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16、支持操作登录密码验证.操作登录密码验证支持开启和关闭；</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17、支持广播提示音开启和关闭选择；</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10、支持紧急广播；</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18、支持预警广播快捷键；</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19、支持自然灾害快捷键；</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20、支持地震广播快捷键；</w:t>
            </w:r>
            <w:r>
              <w:rPr>
                <w:rFonts w:hint="eastAsia" w:ascii="宋体" w:hAnsi="宋体" w:eastAsia="宋体" w:cs="宋体"/>
                <w:i w:val="0"/>
                <w:iCs w:val="0"/>
                <w:color w:val="000000"/>
                <w:sz w:val="20"/>
                <w:szCs w:val="20"/>
                <w:highlight w:val="none"/>
                <w:u w:val="none"/>
              </w:rPr>
            </w:r>
            <w:r/>
          </w:p>
          <w:p>
            <w:pPr>
              <w:pStyle w:val="769"/>
              <w:numPr>
                <w:ilvl w:val="0"/>
                <w:numId w:val="0"/>
              </w:numPr>
              <w:jc w:val="left"/>
              <w:keepLines w:val="0"/>
              <w:keepNext w:val="0"/>
              <w:widowControl/>
              <w:tabs>
                <w:tab w:val="left" w:pos="312" w:leader="none"/>
              </w:tabs>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21、长按快捷键可以快速发起设置好的广播任务；</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22、具有≥1路短路输出接口.≥1路短路输入接口；</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▲23、支持WEB修改和配置话筒参数，包括本机IP.服务器IP.用户权限参数等；</w:t>
            </w:r>
            <w:r>
              <w:rPr>
                <w:rFonts w:hint="eastAsia" w:ascii="宋体" w:hAnsi="宋体" w:eastAsia="宋体"/>
                <w:b/>
                <w:bCs/>
                <w:color w:val="000000"/>
                <w:highlight w:val="none"/>
                <w:lang w:val="en-US" w:eastAsia="zh-CN"/>
              </w:rPr>
              <w:t xml:space="preserve">（投标文件中提供符合参数要求的软件界面截图证明加盖投标人公章）</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24、支持自定义寻呼话筒是否接收广播，可以手动开启和关闭。</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IP网络音箱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1、木质外壳结构，采用5寸全频喇叭及独立高音单元，数字解码终端与音箱一体功能；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2、硬件音频解码，音质达到CD级；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3、可网络接收音频节目内容；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4、支持1路话筒输入.1路线路输入，具有音量调节功能；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5、采用2*15W功放芯片，声音清晰；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6、1路RJ45接口，支持局域网及互联网；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7、具有一主一副两只音箱。</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strike/>
                <w:color w:val="000000"/>
                <w:sz w:val="20"/>
                <w:szCs w:val="20"/>
                <w:highlight w:val="none"/>
              </w:rPr>
              <w:suppressLineNumbers w:val="0"/>
            </w:pPr>
            <w:r>
              <w:rPr>
                <w:rFonts w:hint="eastAsia" w:ascii="宋体" w:hAnsi="宋体" w:eastAsia="宋体" w:cs="宋体"/>
                <w:i w:val="0"/>
                <w:iCs w:val="0"/>
                <w:strike/>
                <w:color w:val="000000"/>
                <w:sz w:val="20"/>
                <w:szCs w:val="20"/>
                <w:highlight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采集器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1、采用嵌入式芯片，可通过WEB登录修改设备参数；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2、支持32路报警输入，可联动服务软件对应任务；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3、报警输入支持短路信号和12V信号可选；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4、支持状态报警、开路报警、闭路报警三种模式选择；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5、具有1个标准RJ45(10/100M)网络交换接口，支持局域网、广域网接入。</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消防语音系统软件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1、嵌入式软件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电源管理器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1、可控制电源≥8路，每路电源额定输出≥15A；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3、具备万能插座辅助通道和灯具辅助照明配置；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3、待机.运行.全部旁通.单独通道旁通全功能；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4、联机控制连线可达≥2米，可联机控制设备最多≥10台，联机控制接口1/4”TR，外部时序控制接口；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5、具有智能截频FILTER多重净化技术，可滤除外部杂波信号及设备间干扰信号，为每路设备提供干净而稳定的电源；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6、采用SMT.AOI全自动生产和测试技术,保证标准化生产和产品性能的一致性。</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消控室分控</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IP网络广播系统分控软件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1、内置嵌入式软件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寻呼话筒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1、采用桌面式话筒设计，带有≥7英寸电容触摸显示屏；支持通过触摸呼叫广播及发起对讲；支持呼叫终端及多个终端.呼叫分区及多个分区.呼叫全区广播；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2、内置≥1路网络硬件音频解码模块，具有≥1路RJ45网络接口，100Mbps传输速率；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3、支持双向对讲功能，内置3W全频扬声器，实现双向通话。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4、支持≥1路3.5mm音频线路输入，</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支持采集播放功能；</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具有≥1路3.5mm音频线路输出，可外接功率放大器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5、支持直接操作呼叫或对讲任意终端，</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支持通过话筒广播呼叫功能，广播延时低于100毫秒，</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支持线路输入采集及U盘广播。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6、支持多种呼叫策略，</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7、支持包括手动转移；</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8、支持无响应转移；</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9、支持占线转移；</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10、支持关机转移；</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11、支持自动接听；</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12、支持手动接听；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13、支持用户权限设置，可设置管理和显示指定分区及终端；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14、支持操作登录密码验证.操作登录密码验证支持开启和关闭；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15、支持广播提示音开启和关闭选择；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16、支持紧急广播、预警广播、自然灾害、地震广播四个快捷键；</w:t>
            </w:r>
            <w:r>
              <w:rPr>
                <w:rFonts w:hint="eastAsia" w:ascii="宋体" w:hAnsi="宋体" w:eastAsia="宋体" w:cs="宋体"/>
                <w:i w:val="0"/>
                <w:iCs w:val="0"/>
                <w:color w:val="000000"/>
                <w:sz w:val="20"/>
                <w:szCs w:val="20"/>
                <w:highlight w:val="none"/>
                <w:u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17、长按快捷键可以快速发起设置好的广播任务；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18、具有≥1路短路输出接口.≥1路短路输入接口；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19、支持WEB修改和配置话筒参数，包括本机IP.服务器IP.用户权限参数等</w:t>
            </w:r>
            <w:r>
              <w:rPr>
                <w:rStyle w:val="1190"/>
                <w:rFonts w:hint="eastAsia" w:ascii="宋体" w:hAnsi="宋体" w:eastAsia="宋体" w:cs="宋体"/>
                <w:color w:val="000000"/>
                <w:sz w:val="20"/>
                <w:szCs w:val="20"/>
                <w:highlight w:val="none"/>
                <w:lang w:val="en-US" w:eastAsia="zh-CN" w:bidi="ar"/>
              </w:rPr>
              <w:t xml:space="preserve">；</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20、支持自定义寻呼话筒是否接收广播，可以手动开启和关闭。</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教室</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IP网络音箱</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1、木质外壳结构，采用5寸全频喇叭及独立高音单元，数字解码终端与音箱一体功能；</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2、硬件音频解码，音质达到CD级；</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3、可网络接收音频节目内容；</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4、支持1路话筒输入.1路线路输入，具有音量调节功能；</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★5、采用2*15W功放芯片，声音清晰；</w:t>
            </w:r>
            <w:r>
              <w:rPr>
                <w:rFonts w:hint="eastAsia" w:ascii="宋体" w:hAnsi="宋体" w:eastAsia="宋体" w:cs="宋体"/>
                <w:b/>
                <w:bCs/>
                <w:i w:val="0"/>
                <w:iCs w:val="0"/>
                <w:color w:val="000000"/>
                <w:sz w:val="20"/>
                <w:szCs w:val="20"/>
                <w:highlight w:val="none"/>
                <w:u w:val="none"/>
                <w:lang w:val="en-US" w:eastAsia="zh-CN" w:bidi="ar"/>
              </w:rPr>
              <w:t xml:space="preserve">（投标文件中提供符合参数要求的产品彩页复印件证明加盖投标人公章）</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6、1路RJ45接口，支持局域网及互联网；</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7、具有一主一副两只音箱。</w:t>
            </w: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82</w:t>
            </w: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套</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核心产品</w:t>
            </w: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开关面板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1、一位开关面板</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室外活动区扩声</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1、输入电压：70/100V；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2、额定功率：40/60W；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3、频 响：150～18KHZ。</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接收机技术参数：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1、工作频率：500-980MHz；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2、通道：2*100通道可调频；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3、红外对频，频率同频技术；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4、S/N信噪比：&gt;105dB；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5、频率回应：40Hz-18KHz；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发射器技术参数：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6、频道：200频道；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7、频带宽度：50MHz；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8、频道间隔：300KHz；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9、系统包括有一台主机+两个手持话筒；</w:t>
            </w:r>
            <w:r>
              <w:rPr>
                <w:rFonts w:hint="eastAsia" w:ascii="宋体" w:hAnsi="宋体" w:eastAsia="宋体" w:cs="宋体"/>
                <w:i w:val="0"/>
                <w:iCs w:val="0"/>
                <w:color w:val="000000"/>
                <w:sz w:val="20"/>
                <w:szCs w:val="20"/>
                <w:highlight w:val="none"/>
                <w:u w:val="none"/>
                <w:lang w:val="en-US" w:eastAsia="zh-CN" w:bidi="ar"/>
              </w:rPr>
              <w:br w:type="textWrapping" w:clear="all"/>
            </w:r>
            <w:r>
              <w:rPr>
                <w:rStyle w:val="1220"/>
                <w:rFonts w:hint="eastAsia" w:ascii="宋体" w:hAnsi="宋体" w:eastAsia="宋体" w:cs="宋体"/>
                <w:color w:val="000000"/>
                <w:sz w:val="20"/>
                <w:szCs w:val="20"/>
                <w:highlight w:val="none"/>
                <w:lang w:val="en-US" w:eastAsia="zh-CN" w:bidi="ar"/>
              </w:rPr>
              <w:t xml:space="preserve">10、为了防止外界环境因素的干扰，产品需支持抗EMI、RFI技术。</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话筒天线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1、频率范围：500-950MHz；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2、输入截断点：+22dBm；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3、噪声比：4.0dB Type(Center Band)；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4、增益：+6-9dB(Center Band)；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5、输出阻抗：15dB 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6、阻抗：50Ω；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7、频宽：450MHz；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8、插座：BNC female。</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含2条30米天线延长线</w:t>
            </w:r>
            <w:r>
              <w:rPr>
                <w:rFonts w:hint="eastAsia" w:ascii="宋体" w:hAnsi="宋体" w:eastAsia="宋体" w:cs="宋体"/>
                <w:i w:val="0"/>
                <w:iCs w:val="0"/>
                <w:color w:val="000000"/>
                <w:sz w:val="20"/>
                <w:szCs w:val="20"/>
                <w:highlight w:val="none"/>
                <w:u w:val="none"/>
              </w:rPr>
            </w:r>
            <w:r/>
          </w:p>
        </w:tc>
      </w:tr>
      <w:tr>
        <w:trPr>
          <w:trHeight w:val="11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2、提供+48V幻像电源；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3、三段风格均衡；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4、1组AUX辅助输出AUX1为推子前；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5、采用16种数字显示延时数码效果器；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6、内置净化宽电压开关电源，电压范围：AC90 - 250V。</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纯后级功放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1、70V/100V或8欧定阻扬声器输出；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2、采用先进高效功率放大电路；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3、带压限电路,限制输入信号过大；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4、具有输出短路\过载\过热等；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5、节能设计，无信号输入时，15分钟系统自动进入待机状态；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6、待机功率小于8W，节能环保，增加设备使用寿命；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7、输出功率：1500W。</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IP解码终端</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1、10路输入（6路6.3话筒，3路RCA莲花线路,1路6.3紧急）；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2、各输入通道音量独立调节；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3、可接收IP广播数据流，转发给模拟功放；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4、1路RJ45接口，有网络的地方即可接入；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5、支持协议：ARP.UDP.TCP/IP.ICMP；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6、高对比度128X64中文点阵屏,内置音源信息一目了然,自动屏保功能；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7、内置高品质蓝牙解码芯片,音质完美,传输距离远,连接速度快。</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传输线缆</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74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1、符合GB/T3047.2标准；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2、兼容19英寸国际标准、公制标准；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3、板材通过严格的脱脂、酸洗、防锈磷化、纯水清洗后，再进行静电喷塑，喷塑厚度为80um- 10um)，符合欧洲RoHS标准；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4、标准配备了带有可方便拆卸的透风孔的单开前门和双开后门，方便通风散热，提高网络设备运行的稳定性；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5、侧门为上下两节可独立开启，更易于施工和维护；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6、机柜顶部两侧各设置3个下线孔，孔上部加铝合金毛刷防止磨线，避免锐利边缘损伤线缆。电源线及信号线走各自独立的出线孔；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7、后部两侧带有多功能理线板；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9、安装支架上带有刻度标识，便于准确安装设备；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10、自带并轨件，便于机柜并轨和单独使用；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11、带有接地连接线，高级机柜门锁；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13、可选配安装底座，达到固定机柜的要求；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14、可同时安装脚轮和支撑脚；结构坚固，最大静载达1600KG；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15、尺寸：600*1000*2000；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16、全部选用优质冷轧钢板制作，厚度：框架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2.0mm，方孔条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2.0mm，侧门</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1、3.5转双莲花</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1、SYV50-5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超五类四对非屏蔽双绞线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w:t>
            </w:r>
            <w:r>
              <w:rPr>
                <w:rStyle w:val="1221"/>
                <w:rFonts w:hint="eastAsia" w:ascii="宋体" w:hAnsi="宋体" w:eastAsia="宋体" w:cs="宋体"/>
                <w:color w:val="000000"/>
                <w:sz w:val="20"/>
                <w:szCs w:val="20"/>
                <w:highlight w:val="none"/>
                <w:lang w:val="en-US" w:eastAsia="zh-CN" w:bidi="ar"/>
              </w:rPr>
              <w:t xml:space="preserve">ISO 11801:2008标准的要求；</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2、带中心十字隔离骨架，可有效防止因线对之间绞距变化带来的性能下降；</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3、可提供</w:t>
            </w:r>
            <w:r>
              <w:rPr>
                <w:rStyle w:val="1220"/>
                <w:rFonts w:hint="eastAsia" w:ascii="宋体" w:hAnsi="宋体" w:eastAsia="宋体" w:cs="宋体"/>
                <w:color w:val="000000"/>
                <w:sz w:val="20"/>
                <w:szCs w:val="20"/>
                <w:highlight w:val="none"/>
                <w:lang w:val="en-US" w:eastAsia="zh-CN" w:bidi="ar"/>
              </w:rPr>
              <w:t xml:space="preserve">100MHZ</w:t>
            </w:r>
            <w:r>
              <w:rPr>
                <w:rStyle w:val="1221"/>
                <w:rFonts w:hint="eastAsia" w:ascii="宋体" w:hAnsi="宋体" w:eastAsia="宋体" w:cs="宋体"/>
                <w:color w:val="000000"/>
                <w:sz w:val="20"/>
                <w:szCs w:val="20"/>
                <w:highlight w:val="none"/>
                <w:lang w:val="en-US" w:eastAsia="zh-CN" w:bidi="ar"/>
              </w:rPr>
              <w:t xml:space="preserve">带宽，线规24AWG；</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4、护套采用优良的PVC材料；护套长度为逆序标注以方便识别线缆长度；</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5、导体材料：无氧圆铜（纯度99.99%）；最大导体直流电阻@20 Deg.C :9.5Ω/100m；线对直流电阻不平衡：≤2%；线对对地电容不平衡：＜330pF/100m；延迟偏差：≤45ns/100m；额定传输速率(NVP)：65%；绝缘电阻: ≥5000MΩ/km。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教室音频线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1、音频线</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1、RVS2*2.5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1、RVV2*1.0</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多媒体会议系统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gridSpan w:val="5"/>
            <w:tcW w:w="8668"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综合楼</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显示系统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100寸电视机</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1、100寸电视机，不低于2G内存，不低于32G机身存储，4K分辨率</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100寸电视机壁装支架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1、100寸电视机壁装支架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扩声系统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主扩音箱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1、低音单元10寸，高音单元1.3寸；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2、阻抗：8Ω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3、额定功率：≥250W；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4、频率响应：65Hz-20KHz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5、输入灵敏度：≥96dB/w/m。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辅助音箱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1、低音单元10寸，高音单元1.3寸；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2、阻抗：8Ω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3、额定功率：≥250W；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4、频率响应：65Hz-20KHz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5、输入灵敏度：≥96dB/w/m。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主扩功放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1、输出功率：8Ω≥500W×2；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辅助功放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 ≥400W×2；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音频处理器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1、2路平衡式信号输入，6路平衡式信号输出；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2、32/64-bit高精度浮点专业音频DSP为数据处理核心；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3、内置24-bit AD/DA发烧皇冠级转换芯片；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4、每个输入和输出处理均有6段独立的全参量均衡；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5、具有有延时和相位控制及哑音设置；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6、每个输入通道可调噪声门，并且每个输入通道有两段全参数可调的动态均衡（DEQ），自动增益控制；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7、输出通道还可独立控制压缩、限幅及自由选择输入信号通道。</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数字反馈抑制器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1、采用自适应环境啸叫抑制算法，采用高速浮点数字音频处理器和先进的子带（Sub-Band)回声消除(Echo Cancellation)技术；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2、内置自适应动态噪声滤波器；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3、内置24Bit  A/D、D/A转换；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4、内置AGC自动增益控制；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5、内置数字高低通调节控制；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6、内置数字压限器；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7、内置10段图示均衡器。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1、≥12输入通道,≥4路单声道,≥2组立体声；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2、≥6个高性能话筒放大器带幻象电源开关；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3、≥4通道内置通道压缩器；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4、所有话筒输入均配置三段式通道均衡器和HPF；</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5、≥2路辅助发送/立体声辅助返回；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6、≥4母线(立体声, 2编组)；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7、内置SPX效果器。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1、8路输出单路最大输出电流10A最大输入电流60A；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2、工作电压AC220/50HZ-60H；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3、轻触按钮每路开关间隔时间为1秒,每路带开关灯指示；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4、电路板采用2安铜双面板设计,采用60%高纯度锡，高端分流技术,经强化加粗处理供电电源为变压器；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5、电源线3*6平方电缆,(长度可订做)机箱高度1U符合机柜安装标准)；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6、液晶电压显示。</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无线会议系统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无线会议话筒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1、U段一拖四台式鹅颈红外对频，电容无线麦克风会议话筒（可选领夹耳麦及手持） ，每通道 32 个信道，每信道频点连续可调， 电容式高灵敏度拾音器 ，频率范围 500MHZ-900MHZ,每通道限定频率互不干扰，动态范围 100dB,信噪比 105dB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线缆及管路</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 GB/T3047.2 标准，兼容19"国际标准、公制标准；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2、可关闭的下部走线通道，底部大走线孔尺寸可按需调整；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3、可方便拆卸的左右侧门和前后门，全方位操作,多方位查看；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4、可同时安装脚轮和支撑脚；最大静载达300KG；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5、高级月牙门锁；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6、有U数标识的方孔条，上框侧面为圆形通风孔；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7、脱脂、酸洗、防锈磷化、纯水清洗；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8、机柜颜色：黑色；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9、尺寸：600*600*1200；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10、全部选用优质冷轧钢板制作；厚度：方孔条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网络接入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1、校园网接入机柜（光纤或弱电线缆至弱电间）</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音频连接线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1、1.8米音频连接线：卡侬头（母）-卡侬头（公）</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1、RVV2*2.5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1#楼</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老楼四层多功能室</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扩声系统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主扩音箱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1、低音单元10寸，高音单元1.3寸；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2、阻抗：8Ω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3、额定功率：≥250W；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4、频率响应：65Hz-20KHz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5、输入灵敏度：≥96dB/w/m。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辅助音箱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1、低音单元10寸，高音单元1.3寸；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2、阻抗：8Ω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3、额定功率：≥250W；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4、频率响应：65Hz-20KHz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5、输入灵敏度：≥96dB/w/m。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主扩功放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1、输出功率：8Ω≥500W×2；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辅助功放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 ≥400W×2；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音频处理器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1、2路平衡式信号输入，6路平衡式信号输出；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2、32/64-bit高精度浮点专业音频DSP为数据处理核心；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3、内置24-bit AD/DA发烧皇冠级转换芯片；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4、每个输入和输出处理均有6段独立的全参量均衡；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5、具有有延时和相位控制及哑音设置；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6、每个输入通道可调噪声门，并且每个输入通道有两段全参数可调的动态均衡（DEQ），自动增益控制；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7、输出通道还可独立控制压缩、限幅及自由选择输入信号通道。</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数字反馈抑制器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1、采用自适应环境啸叫抑制算法，采用高速浮点数字音频处理器和先进的子带（Sub-Band)回声消除(Echo Cancellation)技术；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2、内置自适应动态噪声滤波器；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3、内置24Bit  A/D、D/A转换；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4、内置AGC自动增益控制；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5、内置数字高低通调节控制；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6、内置数字压限器；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7、内置10段图示均衡器。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1、≥12输入通道,≥4路单声道,≥2组立体声；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2、≥6个高性能话筒放大器带幻象电源开关；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3、≥4通道内置通道压缩器；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4、所有话筒输入均配置三段式通道均衡器和HPF；</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5、≥2路辅助发送/立体声辅助返回；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6、≥4母线(立体声, 2编组)；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7、内置SPX效果器。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1、8路输出单路最大输出电流10A最大输入电流60A；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2、工作电压AC220/50HZ-60H；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3、轻触按钮每路开关间隔时间为1秒,每路带开关灯指示；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4、电路板采用2安铜双面板设计,采用60%高纯度锡，高端分流技术,经强化加粗处理供电电源为变压器；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5、电源线3*6平方电缆,(长度可订做)机箱高度1U符合机柜安装标准)；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6、液晶电压显示。</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无线会议系统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无线会议话筒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1、U段一拖四台式鹅颈红外对频，电容无线麦克风会议话筒（可选领夹耳麦及手持） ，每通道 32 个信道，每信道频点连续可调， 电容式高灵敏度拾音器 ，频率范围 500MHZ-900MHZ,每通道限定频率互不干扰，动态范围 100dB,信噪比 105dB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线缆及管路</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1、符合GB/T3047.2 标准，兼容19"国际标准、公制标准；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2、可关闭的下部走线通道，底部大走线孔尺寸可按需调整；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3、可方便拆卸的左右侧门和前后门，全方位操作,多方位查看；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4、可同时安装脚轮和支撑脚；最大静载达300KG；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5、高级月牙门锁；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6、有U数标识的方孔条，上框侧面为圆形通风孔；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7、脱脂、酸洗、防锈磷化、纯水清洗；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8、机柜颜色：黑色；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9、尺寸：600*600*1200；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10、全部选用优质冷轧钢板制作；厚度：方孔条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报告厅</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扩声系统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主扩线阵音响</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双8",两分频波导线阵列全频音箱；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2、频率范围：64-19KHz（±3db)；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3、额定输入功率：≥300W；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4、最大峰值功率：≥600W；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5、最大声压级输出：134dB；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6、灵敏度：104dB；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7、额定阻抗：8Ω；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8、分频点：1.8KHz；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9、低音单元：2*8"，Φ65芯、165磁；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10、高音单元：1"/Φ75芯、140磁；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11、覆盖范围：100°X 100°；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12、吊挂结构：田字架三点线性吊法。</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低音音箱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1、阻抗：8Ω；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2、频响：39Hz-3kHz；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3、额定功率：≥500W；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4、峰值功率：≥1000W；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5、灵敏度：101dB/W/M；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6、最大声压级（额定/峰值）：128dB；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7、低音：≥15寸低音×1。</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返听音箱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1、低音单元12寸，高音单元1.3寸；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2、阻抗：8Ω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3、额定功率：≥350W；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4、频率响应：55Hz-20KHz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5、输入灵敏度：≥96dB/w/m。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85"/>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辅助音箱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1、低音单元12寸，高音单元1.3寸；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2、阻抗：8Ω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3、额定功率：≥350W；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4、频率响应：55Hz-20KHz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5、输入灵敏度：≥96dB/w/m。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主扩功放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1、输出功率：8Ω≥500W×2；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返听功放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 ≥400W×2；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低音功放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1、立体声/并联8Ω×2：≥800W×2；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2、立体声/并联4Ω×2：≥1500W×2；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 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5、信噪比：﹥100dB。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辅助功放</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1、输出功率：8Ω ≥400W×2；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2、具有立体声、单声道、桥接等工作模式选择；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3、输入灵敏度：0.775V/1.4V；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4、频率响应：20-20000Hz(±0.3dB) 。</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数字反馈抑制器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1、采用自适应环境啸叫抑制算法，采用高速浮点数字音频处理器和先进的子带（Sub-Band)回声消除(Echo Cancellation)技术；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2、内置自适应动态噪声滤波器；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3、内置24Bit  A/D、D/A转换；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4、内置AGC自动增益控制；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5、内置数字高低通调节控制；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6、内置数字压限器；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7、内置10段图示均衡器。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3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220"/>
                <w:rFonts w:hint="eastAsia" w:ascii="宋体" w:hAnsi="宋体" w:eastAsia="宋体" w:cs="宋体"/>
                <w:color w:val="000000"/>
                <w:sz w:val="20"/>
                <w:szCs w:val="20"/>
                <w:highlight w:val="none"/>
                <w:lang w:val="en-US" w:eastAsia="zh-CN" w:bidi="ar"/>
              </w:rPr>
              <w:t xml:space="preserve">≥16</w:t>
            </w:r>
            <w:r>
              <w:rPr>
                <w:rStyle w:val="1221"/>
                <w:rFonts w:hint="eastAsia" w:ascii="宋体" w:hAnsi="宋体" w:eastAsia="宋体" w:cs="宋体"/>
                <w:color w:val="000000"/>
                <w:sz w:val="20"/>
                <w:szCs w:val="20"/>
                <w:highlight w:val="none"/>
                <w:lang w:val="en-US" w:eastAsia="zh-CN" w:bidi="ar"/>
              </w:rPr>
              <w:t xml:space="preserve">输入通道,≥4路单声道,≥2组立体声；</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2、≥6个高性能话筒放大器带幻象电源开关；</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3、≥4通道内置通道压缩器；</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4、所有话筒输入均配置三段式通道均衡器和HPF；</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5、≥2路辅助发送/立体声辅助返回；</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6、≥4母线(立体声, 2编组)；</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7、内置SPX效果器。</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音频处理器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1、4路平衡式信号输入，8路平衡式信号输出；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2、32/64-bit高精度浮点专业音频DSP为数据处理核心；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3、内置24-bit AD/DA发烧皇冠级转换芯片；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4、每个输入和输出处理均有6段独立的全参量均衡；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5、具有有延时和相位控制及哑音设置；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6、每个输入通道可调噪声门，并且每个输入通道有两段全参数可调的动态均衡（DEQ），自动增益控制；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7、输出通道还可独立控制压缩、限幅及自由选择输入信号通道。</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9"/>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1、适用范围：娱乐会议多功能厅影K系列(可带6-8台800W-1000W功放)最大输入电流60A；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2、单路最大输出电流13A；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3、工作电压AC220/50HZ-60H(可定做110V)；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4、输出万用插座,后面16路受控万用插座,前面板1路固定万用插座每一路开关间隔时间为1秒,每路带开关灯指示；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5、电路板采用2安铜双面板设计,采用60%高纯度锡，高端分流技术,经强化加粗处理供电电源为变压器；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6、电源线3*6平方电缆,电缆线标配长度为15米(长度可订做)机箱高度2U符合机柜安装标准)；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7、单路受控功能：没有；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8、联机功能：没有；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9、电压显示表：有。</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线性阵列系统支架及吊装配件</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1、田字吊装支架 含吊装带 起重钢丝等</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监听音箱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1、输出功率：60W；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2、灵敏度：89dB；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3、频率响应：20Hz-20KHz；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4、信噪比：≥87dB。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无线会议系统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7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无线会议话筒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1、U段一拖四台式鹅颈红外对频，电容无线麦克风会议话筒（可选领夹耳麦及手持） ，每通道 32 个信道，每信道频点连续可调， 电容式高灵敏度拾音器 ，频率范围 500MHZ-900MHZ,每通道限定频率互不干扰，动态范围 100dB,信噪比 105dB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无线手持话筒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1、无线频率范围：698-787MHz、频率范围：50-15KHz、总谐波失真：＜1%（参考，+/-48KHz频偏@1KHz）；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2、动态范围＞90分贝，A-加权；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3、接收机信号转换方式：微机控制按键LCD 显示、接收机输出：2 XLR平衡，1/4寸非平衡，发射功率：1mW-10mW、接收机最大输出：-16dBV(XLR接口），-22dBV、工作范围：LO功率18米；HI功率模式75米。</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无线头戴话筒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1、包括双通道接收机，配2个头戴话筒；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2、U段频点可调；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3、频率范围：740-790MHz；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4、动态范围：100dB；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5、综合信噪比：＞105dB。</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舞台灯光系统</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PAR灯</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1、功率：180W；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2、灯珠：54颗*3W；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3、通道：7CH  控制模式：DMX512 主从 自走 声控；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4、控制方式：标准DMX512信号，3芯接口。</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平板柔光灯</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1、额定电压：AC110-240V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3、光源数量：432颗LED灯珠；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4、颜色：暖白；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5、控制模式：蓝牙。</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1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面光成像灯</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2、光源：1颗200W COB 2合1；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3、通道：六种通道状态下可选择使用4、7通道；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4、光束角度：60°；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5、菜单显示：LCD数码显示控制：DMX512,声控，自走，主从控制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6、特点：无闪光，采用稳定的恒流驱动和电源，适合录像拍摄照度过渡均衡，无杂斑，无可见相对暗区；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7、灯具内置智能温度与噪音平衡模块；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8、防水：IP20,风机自然散热。</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信号分配器</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1、8路光电隔离DMX信号分配器(Ver： 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2、2路DMX512数码输入，8路DMX512直接输出；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3、输入/输出光电隔离；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4、8路独立放大驱动输出；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5、信号放大整形功能，延长信号传输距离；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6、增强数据总线接入设备数量的能力；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7、保护灯光控制台DMX512输出接口，故障现场隔离，提高数字式灯光控制系统的安全运行可靠性；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8、电源：AC100V-240V / 50-60Hz。</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电源直通箱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1、12路电源输出（每路输出4KW）；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2、配备二级开关，符合供电规范；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3、指示灯显示三相电源状态；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4、电源供电：380Volt±10%AC，50Hz/60Hz。</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56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灯控台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Style w:val="1221"/>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1、DMX512通道数</w:t>
            </w:r>
            <w:r>
              <w:rPr>
                <w:rStyle w:val="1220"/>
                <w:rFonts w:hint="eastAsia" w:ascii="宋体" w:hAnsi="宋体" w:eastAsia="宋体" w:cs="宋体"/>
                <w:color w:val="000000"/>
                <w:sz w:val="20"/>
                <w:szCs w:val="20"/>
                <w:highlight w:val="none"/>
                <w:lang w:val="en-US" w:eastAsia="zh-CN" w:bidi="ar"/>
              </w:rPr>
              <w:t xml:space="preserve">≥1024；</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2、电脑灯的配接数量</w:t>
            </w:r>
            <w:r>
              <w:rPr>
                <w:rStyle w:val="1220"/>
                <w:rFonts w:hint="eastAsia" w:ascii="宋体" w:hAnsi="宋体" w:eastAsia="宋体" w:cs="宋体"/>
                <w:color w:val="000000"/>
                <w:sz w:val="20"/>
                <w:szCs w:val="20"/>
                <w:highlight w:val="none"/>
                <w:lang w:val="en-US" w:eastAsia="zh-CN" w:bidi="ar"/>
              </w:rPr>
              <w:t xml:space="preserve">≥96；</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3、电脑灯重新配接地址码：支持；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4、灯具水平垂直交换：支持；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5、灯具通道反倒输出：支持；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6、灯具通道滑步模式切换：支持；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7、每台电脑灯最多可用控制通道：40主通道+40微调通道；</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8、灯库：支持珍珠R20灯库；</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9、可保存的场景数量</w:t>
            </w:r>
            <w:r>
              <w:rPr>
                <w:rStyle w:val="1220"/>
                <w:rFonts w:hint="eastAsia" w:ascii="宋体" w:hAnsi="宋体" w:eastAsia="宋体" w:cs="宋体"/>
                <w:color w:val="000000"/>
                <w:sz w:val="20"/>
                <w:szCs w:val="20"/>
                <w:highlight w:val="none"/>
                <w:lang w:val="en-US" w:eastAsia="zh-CN" w:bidi="ar"/>
              </w:rPr>
              <w:t xml:space="preserve">≥60；</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10、可同时运行的场景数量</w:t>
            </w:r>
            <w:r>
              <w:rPr>
                <w:rStyle w:val="1220"/>
                <w:rFonts w:hint="eastAsia" w:ascii="宋体" w:hAnsi="宋体" w:eastAsia="宋体" w:cs="宋体"/>
                <w:color w:val="000000"/>
                <w:sz w:val="20"/>
                <w:szCs w:val="20"/>
                <w:highlight w:val="none"/>
                <w:lang w:val="en-US" w:eastAsia="zh-CN" w:bidi="ar"/>
              </w:rPr>
              <w:t xml:space="preserve">≥10；</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11、多步场景的总步数</w:t>
            </w:r>
            <w:r>
              <w:rPr>
                <w:rStyle w:val="1220"/>
                <w:rFonts w:hint="eastAsia" w:ascii="宋体" w:hAnsi="宋体" w:eastAsia="宋体" w:cs="宋体"/>
                <w:color w:val="000000"/>
                <w:sz w:val="20"/>
                <w:szCs w:val="20"/>
                <w:highlight w:val="none"/>
                <w:lang w:val="en-US" w:eastAsia="zh-CN" w:bidi="ar"/>
              </w:rPr>
              <w:t xml:space="preserve">≥600；</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12、场景的时间控制：淡入、淡出、LTP滑步；</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13、每个场景可存储图形数量：5；</w:t>
            </w:r>
            <w:r>
              <w:rPr>
                <w:rStyle w:val="1221"/>
                <w:rFonts w:hint="eastAsia" w:ascii="宋体" w:hAnsi="宋体" w:eastAsia="宋体" w:cs="宋体"/>
                <w:color w:val="000000"/>
                <w:sz w:val="20"/>
                <w:szCs w:val="20"/>
                <w:highlight w:val="none"/>
                <w:lang w:val="en-US" w:eastAsia="zh-CN" w:bidi="ar"/>
              </w:rPr>
            </w:r>
            <w:r/>
          </w:p>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221"/>
                <w:rFonts w:hint="eastAsia" w:ascii="宋体" w:hAnsi="宋体" w:eastAsia="宋体" w:cs="宋体"/>
                <w:color w:val="000000"/>
                <w:sz w:val="20"/>
                <w:szCs w:val="20"/>
                <w:highlight w:val="none"/>
                <w:lang w:val="en-US" w:eastAsia="zh-CN" w:bidi="ar"/>
              </w:rPr>
              <w:t xml:space="preserve">14、推杆启动场景并进行调光：支持；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15、互锁场景：支持；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16、点控场景：支持；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17、图形生成器：可生成Dimmer, P/T, RGB, CMY, Color, Gobo, Iris, Focus图形；</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18、可同时运行图形数量：5；</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19、主控推杆：全局、重演、灯具；</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20、立即黑场：支持；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21、转盘调整通道数值：支持；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22、推杆调整通道数值：支持；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23、推杆调光：支持；</w:t>
            </w:r>
            <w:r>
              <w:rPr>
                <w:rStyle w:val="1221"/>
                <w:rFonts w:hint="eastAsia" w:ascii="宋体" w:hAnsi="宋体" w:eastAsia="宋体" w:cs="宋体"/>
                <w:color w:val="000000"/>
                <w:sz w:val="20"/>
                <w:szCs w:val="20"/>
                <w:highlight w:val="none"/>
                <w:lang w:val="en-US" w:eastAsia="zh-CN" w:bidi="ar"/>
              </w:rPr>
              <w:br w:type="textWrapping" w:clear="all"/>
            </w:r>
            <w:r>
              <w:rPr>
                <w:rStyle w:val="1221"/>
                <w:rFonts w:hint="eastAsia" w:ascii="宋体" w:hAnsi="宋体" w:eastAsia="宋体" w:cs="宋体"/>
                <w:color w:val="000000"/>
                <w:sz w:val="20"/>
                <w:szCs w:val="20"/>
                <w:highlight w:val="none"/>
                <w:lang w:val="en-US" w:eastAsia="zh-CN" w:bidi="ar"/>
              </w:rPr>
              <w:t xml:space="preserve">24、U盘读取：支持FAT32格式。</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灯钩及保险绳</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1、灯钩及保险绳</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舞台灯光杆体</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1、双杆 直径40mm 长度6米，表面喷塑 黑色 带拼接件</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线缆及管路</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val="false"/>
          </w:tcPr>
          <w:p>
            <w:pPr>
              <w:pStyle w:val="76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46"/>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线缆管理机柜</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1、符合GB/T3047.2 标准，兼容19"国际标准、公制标准；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2、可关闭的下部走线通道，底部大走线孔尺寸可按需调整；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3、可方便拆卸的左右侧门和前后门，全方位操作,多方位查看；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4、可同时安装脚轮和支撑脚；最大静载达300KG；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5、高级月牙门锁；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6、有U数标识的方孔条，上框侧面为圆形通风孔；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7、脱脂、酸洗、防锈磷化、纯水清洗；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8、机柜颜色：黑色；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9、尺寸：600*600*2000；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10、全部选用优质冷轧钢板制作；厚度：方孔条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1.2mm,框架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0.8mm。</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操作台</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1、两联操作台</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网络接入</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1、校园网接入机柜（光纤或弱电线缆至弱电间）</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音频连接线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1、1.8米音频连接线：卡侬头（母）-卡侬头（公）</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1、RVPE2*0.5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1、RVV2*2.5</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舞台灯光专业线缆</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1、舞台灯光专业线缆</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5"/>
            <w:tcW w:w="8668"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机房工程系统</w:t>
            </w: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val="false"/>
          </w:tcPr>
          <w:p>
            <w:pPr>
              <w:pStyle w:val="769"/>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防雷接地</w:t>
            </w:r>
            <w:r>
              <w:rPr>
                <w:rFonts w:hint="eastAsia" w:ascii="宋体" w:hAnsi="宋体" w:eastAsia="宋体" w:cs="宋体"/>
                <w:b/>
                <w:bCs/>
                <w:i w:val="0"/>
                <w:iCs w:val="0"/>
                <w:color w:val="000000"/>
                <w:sz w:val="20"/>
                <w:szCs w:val="20"/>
                <w:highlight w:val="none"/>
                <w:u w:val="none"/>
              </w:rPr>
            </w:r>
            <w:r/>
          </w:p>
        </w:tc>
        <w:tc>
          <w:tcPr>
            <w:tcW w:w="5608"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94"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接地铜排</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1、30*3紫铜</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绝缘子</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1、100mm（含膨胀螺丝、螺帽）</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等电位接地端子箱</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1、等电位接地端子箱</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接地母线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1、ZR-BVR50mm²,（含铜鼻子）</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接地线</w:t>
            </w:r>
            <w:r>
              <w:rPr>
                <w:rFonts w:hint="eastAsia" w:ascii="宋体" w:hAnsi="宋体" w:eastAsia="宋体" w:cs="宋体"/>
                <w:i w:val="0"/>
                <w:iCs w:val="0"/>
                <w:color w:val="000000"/>
                <w:sz w:val="20"/>
                <w:szCs w:val="20"/>
                <w:highlight w:val="none"/>
                <w:u w:val="none"/>
              </w:rPr>
            </w:r>
            <w:r/>
          </w:p>
        </w:tc>
        <w:tc>
          <w:tcPr>
            <w:tcW w:w="5608" w:type="dxa"/>
            <w:vAlign w:val="center"/>
            <w:textDirection w:val="lrTb"/>
            <w:noWrap w:val="false"/>
          </w:tcPr>
          <w:p>
            <w:pPr>
              <w:pStyle w:val="76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1、ZR-BVR6mm²,（含铜鼻子）</w:t>
            </w:r>
            <w:r>
              <w:rPr>
                <w:rFonts w:hint="eastAsia" w:ascii="宋体" w:hAnsi="宋体" w:eastAsia="宋体" w:cs="宋体"/>
                <w:i w:val="0"/>
                <w:iCs w:val="0"/>
                <w:color w:val="000000"/>
                <w:sz w:val="20"/>
                <w:szCs w:val="20"/>
                <w:highlight w:val="none"/>
                <w:u w:val="none"/>
              </w:rPr>
            </w:r>
            <w:r/>
          </w:p>
        </w:tc>
        <w:tc>
          <w:tcPr>
            <w:tcW w:w="594"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76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621" w:type="dxa"/>
            <w:vAlign w:val="center"/>
            <w:textDirection w:val="lrTb"/>
            <w:noWrap w:val="false"/>
          </w:tcPr>
          <w:p>
            <w:pPr>
              <w:pStyle w:val="76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gridSpan w:val="6"/>
            <w:tcW w:w="9289" w:type="dxa"/>
            <w:vAlign w:val="center"/>
            <w:textDirection w:val="lrTb"/>
            <w:noWrap/>
          </w:tcPr>
          <w:p>
            <w:pPr>
              <w:pStyle w:val="769"/>
              <w:jc w:val="center"/>
              <w:widowControl/>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集成服务</w:t>
            </w:r>
            <w:r>
              <w:rPr>
                <w:rFonts w:hint="eastAsia" w:ascii="宋体" w:hAnsi="宋体" w:eastAsia="宋体" w:cs="宋体"/>
                <w:b/>
                <w:bCs/>
                <w:i w:val="0"/>
                <w:iCs w:val="0"/>
                <w:color w:val="000000"/>
                <w:sz w:val="20"/>
                <w:szCs w:val="20"/>
                <w:highlight w:val="none"/>
                <w:u w:val="none"/>
              </w:rPr>
            </w:r>
            <w:r/>
          </w:p>
        </w:tc>
      </w:tr>
      <w:tr>
        <w:trPr>
          <w:trHeight w:val="280"/>
        </w:trPr>
        <w:tc>
          <w:tcPr>
            <w:tcW w:w="641" w:type="dxa"/>
            <w:vAlign w:val="center"/>
            <w:textDirection w:val="lrTb"/>
            <w:noWrap/>
          </w:tcPr>
          <w:p>
            <w:pPr>
              <w:pStyle w:val="769"/>
              <w:jc w:val="center"/>
              <w:keepLines w:val="0"/>
              <w:keepNext w:val="0"/>
              <w:widowControl/>
              <w:rPr>
                <w:rFonts w:hint="eastAsia" w:ascii="宋体" w:hAnsi="宋体" w:eastAsia="宋体" w:cs="宋体"/>
                <w:b/>
                <w:bCs/>
                <w:i w:val="0"/>
                <w:iCs w:val="0"/>
                <w:color w:val="000000"/>
                <w:sz w:val="20"/>
                <w:szCs w:val="20"/>
                <w:highlight w:val="none"/>
                <w:u w:val="none"/>
                <w:lang w:val="en-US" w:eastAsia="zh-CN"/>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lang w:val="en-US" w:eastAsia="zh-CN"/>
              </w:rPr>
            </w:r>
            <w:r/>
          </w:p>
        </w:tc>
        <w:tc>
          <w:tcPr>
            <w:tcW w:w="1242" w:type="dxa"/>
            <w:vAlign w:val="center"/>
            <w:textDirection w:val="lrTb"/>
            <w:noWrap w:val="false"/>
          </w:tcPr>
          <w:p>
            <w:pPr>
              <w:pStyle w:val="769"/>
              <w:jc w:val="center"/>
              <w:keepLines w:val="0"/>
              <w:keepNext w:val="0"/>
              <w:widowControl/>
              <w:rPr>
                <w:rFonts w:hint="eastAsia" w:ascii="宋体" w:hAnsi="宋体" w:eastAsia="宋体" w:cs="宋体"/>
                <w:b/>
                <w:bCs/>
                <w:i w:val="0"/>
                <w:iCs w:val="0"/>
                <w:color w:val="000000"/>
                <w:sz w:val="20"/>
                <w:szCs w:val="20"/>
                <w:highlight w:val="none"/>
                <w:u w:val="none"/>
                <w:lang w:val="en-US" w:eastAsia="zh-CN"/>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集成服务</w:t>
            </w:r>
            <w:r>
              <w:rPr>
                <w:rFonts w:hint="eastAsia" w:ascii="宋体" w:hAnsi="宋体" w:eastAsia="宋体" w:cs="宋体"/>
                <w:b/>
                <w:bCs/>
                <w:i w:val="0"/>
                <w:iCs w:val="0"/>
                <w:color w:val="000000"/>
                <w:sz w:val="20"/>
                <w:szCs w:val="20"/>
                <w:highlight w:val="none"/>
                <w:u w:val="none"/>
                <w:lang w:val="en-US" w:eastAsia="zh-CN"/>
              </w:rPr>
            </w:r>
            <w:r/>
          </w:p>
        </w:tc>
        <w:tc>
          <w:tcPr>
            <w:tcW w:w="5608" w:type="dxa"/>
            <w:vAlign w:val="center"/>
            <w:textDirection w:val="lrTb"/>
            <w:noWrap/>
          </w:tcPr>
          <w:p>
            <w:pPr>
              <w:pStyle w:val="769"/>
              <w:jc w:val="left"/>
              <w:keepLines w:val="0"/>
              <w:keepNext w:val="0"/>
              <w:widowControl/>
              <w:rPr>
                <w:rFonts w:hint="eastAsia" w:ascii="宋体" w:hAnsi="宋体" w:eastAsia="宋体" w:cs="宋体"/>
                <w:b/>
                <w:bCs/>
                <w:i w:val="0"/>
                <w:iCs w:val="0"/>
                <w:color w:val="000000"/>
                <w:sz w:val="20"/>
                <w:szCs w:val="20"/>
                <w:highlight w:val="none"/>
                <w:u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lang w:val="en-US" w:eastAsia="zh-CN" w:bidi="ar"/>
              </w:rPr>
              <w:t xml:space="preserve">含所有与校区内非新建建筑原有软硬件设备和系统的调整、设置、调试、对接等工作。</w:t>
            </w:r>
            <w:r>
              <w:rPr>
                <w:rFonts w:hint="eastAsia" w:ascii="宋体" w:hAnsi="宋体" w:eastAsia="宋体" w:cs="宋体"/>
                <w:b/>
                <w:bCs/>
                <w:i w:val="0"/>
                <w:iCs w:val="0"/>
                <w:color w:val="000000"/>
                <w:sz w:val="20"/>
                <w:szCs w:val="20"/>
                <w:highlight w:val="none"/>
                <w:u w:val="none"/>
                <w:lang w:eastAsia="zh-CN"/>
              </w:rPr>
            </w:r>
            <w:r/>
          </w:p>
        </w:tc>
        <w:tc>
          <w:tcPr>
            <w:tcW w:w="594" w:type="dxa"/>
            <w:vAlign w:val="center"/>
            <w:textDirection w:val="lrTb"/>
            <w:noWrap/>
          </w:tcPr>
          <w:p>
            <w:pPr>
              <w:pStyle w:val="769"/>
              <w:jc w:val="center"/>
              <w:rPr>
                <w:rFonts w:hint="eastAsia" w:ascii="宋体" w:hAnsi="宋体" w:eastAsia="宋体" w:cs="宋体"/>
                <w:b w:val="0"/>
                <w:bCs w:val="0"/>
                <w:i w:val="0"/>
                <w:iCs w:val="0"/>
                <w:color w:val="000000"/>
                <w:sz w:val="20"/>
                <w:szCs w:val="20"/>
                <w:highlight w:val="none"/>
                <w:u w:val="none"/>
                <w:lang w:val="en-US" w:eastAsia="zh-CN"/>
              </w:rPr>
            </w:pPr>
            <w:r>
              <w:rPr>
                <w:rFonts w:hint="eastAsia" w:ascii="宋体" w:hAnsi="宋体" w:eastAsia="宋体" w:cs="宋体"/>
                <w:b w:val="0"/>
                <w:bCs w:val="0"/>
                <w:i w:val="0"/>
                <w:iCs w:val="0"/>
                <w:color w:val="000000"/>
                <w:sz w:val="20"/>
                <w:szCs w:val="20"/>
                <w:highlight w:val="none"/>
                <w:u w:val="none"/>
                <w:lang w:val="en-US" w:eastAsia="zh-CN"/>
              </w:rPr>
              <w:t xml:space="preserve">1</w:t>
            </w:r>
            <w:r>
              <w:rPr>
                <w:rFonts w:hint="eastAsia" w:ascii="宋体" w:hAnsi="宋体" w:eastAsia="宋体" w:cs="宋体"/>
                <w:b w:val="0"/>
                <w:bCs w:val="0"/>
                <w:i w:val="0"/>
                <w:iCs w:val="0"/>
                <w:color w:val="000000"/>
                <w:sz w:val="20"/>
                <w:szCs w:val="20"/>
                <w:highlight w:val="none"/>
                <w:u w:val="none"/>
                <w:lang w:val="en-US" w:eastAsia="zh-CN"/>
              </w:rPr>
            </w:r>
            <w:r/>
          </w:p>
        </w:tc>
        <w:tc>
          <w:tcPr>
            <w:tcW w:w="583" w:type="dxa"/>
            <w:vAlign w:val="center"/>
            <w:textDirection w:val="lrTb"/>
            <w:noWrap/>
          </w:tcPr>
          <w:p>
            <w:pPr>
              <w:pStyle w:val="769"/>
              <w:jc w:val="center"/>
              <w:rPr>
                <w:rFonts w:hint="eastAsia" w:ascii="宋体" w:hAnsi="宋体" w:eastAsia="宋体" w:cs="宋体"/>
                <w:b w:val="0"/>
                <w:bCs w:val="0"/>
                <w:i w:val="0"/>
                <w:iCs w:val="0"/>
                <w:color w:val="000000"/>
                <w:sz w:val="20"/>
                <w:szCs w:val="20"/>
                <w:highlight w:val="none"/>
                <w:u w:val="none"/>
                <w:lang w:val="en-US" w:eastAsia="zh-CN"/>
              </w:rPr>
            </w:pPr>
            <w:r>
              <w:rPr>
                <w:rFonts w:hint="eastAsia" w:ascii="宋体" w:hAnsi="宋体" w:eastAsia="宋体" w:cs="宋体"/>
                <w:b w:val="0"/>
                <w:bCs w:val="0"/>
                <w:i w:val="0"/>
                <w:iCs w:val="0"/>
                <w:color w:val="000000"/>
                <w:sz w:val="20"/>
                <w:szCs w:val="20"/>
                <w:highlight w:val="none"/>
                <w:u w:val="none"/>
                <w:lang w:val="en-US" w:eastAsia="zh-CN"/>
              </w:rPr>
              <w:t xml:space="preserve">批</w:t>
            </w:r>
            <w:r>
              <w:rPr>
                <w:rFonts w:hint="eastAsia" w:ascii="宋体" w:hAnsi="宋体" w:eastAsia="宋体" w:cs="宋体"/>
                <w:b w:val="0"/>
                <w:bCs w:val="0"/>
                <w:i w:val="0"/>
                <w:iCs w:val="0"/>
                <w:color w:val="000000"/>
                <w:sz w:val="20"/>
                <w:szCs w:val="20"/>
                <w:highlight w:val="none"/>
                <w:u w:val="none"/>
                <w:lang w:val="en-US" w:eastAsia="zh-CN"/>
              </w:rPr>
            </w:r>
            <w:r/>
          </w:p>
        </w:tc>
        <w:tc>
          <w:tcPr>
            <w:tcW w:w="621" w:type="dxa"/>
            <w:vAlign w:val="center"/>
            <w:textDirection w:val="lrTb"/>
            <w:noWrap/>
          </w:tcPr>
          <w:p>
            <w:pPr>
              <w:pStyle w:val="769"/>
              <w:jc w:val="center"/>
              <w:rPr>
                <w:rFonts w:hint="eastAsia" w:ascii="宋体" w:hAnsi="宋体" w:eastAsia="宋体" w:cs="宋体"/>
                <w:b/>
                <w:bCs/>
                <w:i w:val="0"/>
                <w:iCs w:val="0"/>
                <w:color w:val="000000"/>
                <w:sz w:val="20"/>
                <w:szCs w:val="20"/>
                <w:highlight w:val="none"/>
                <w:u w:val="none"/>
                <w:lang w:eastAsia="zh-CN"/>
              </w:rPr>
            </w:pPr>
            <w:r>
              <w:rPr>
                <w:rFonts w:hint="eastAsia" w:ascii="宋体" w:hAnsi="宋体" w:eastAsia="宋体" w:cs="宋体"/>
                <w:b/>
                <w:bCs/>
                <w:i w:val="0"/>
                <w:iCs w:val="0"/>
                <w:color w:val="000000"/>
                <w:sz w:val="20"/>
                <w:szCs w:val="20"/>
                <w:highlight w:val="none"/>
                <w:u w:val="none"/>
                <w:lang w:eastAsia="zh-CN"/>
              </w:rPr>
            </w:r>
            <w:r/>
          </w:p>
        </w:tc>
      </w:tr>
    </w:tbl>
    <w:p>
      <w:pPr>
        <w:pStyle w:val="769"/>
        <w:rPr>
          <w:highlight w:val="none"/>
        </w:rPr>
      </w:pPr>
      <w:r>
        <w:rPr>
          <w:highlight w:val="none"/>
        </w:rPr>
      </w:r>
      <w:r/>
    </w:p>
    <w:p>
      <w:pPr>
        <w:pStyle w:val="1006"/>
        <w:spacing w:line="360" w:lineRule="auto"/>
        <w:tabs>
          <w:tab w:val="left" w:pos="567" w:leader="none"/>
        </w:tabs>
        <w:rPr>
          <w:rFonts w:hint="eastAsia" w:ascii="宋体" w:hAnsi="宋体" w:eastAsia="宋体" w:cs="宋体"/>
          <w:b/>
          <w:bCs/>
          <w:color w:val="000000"/>
          <w:sz w:val="24"/>
          <w:highlight w:val="none"/>
          <w:lang w:bidi="ar"/>
        </w:rPr>
        <w:outlineLvl w:val="9"/>
      </w:pPr>
      <w:r>
        <w:rPr>
          <w:rFonts w:hint="eastAsia" w:ascii="宋体" w:hAnsi="宋体" w:eastAsia="宋体" w:cs="宋体"/>
          <w:b/>
          <w:bCs/>
          <w:color w:val="000000"/>
          <w:sz w:val="24"/>
          <w:highlight w:val="none"/>
          <w:lang w:bidi="ar"/>
        </w:rPr>
        <w:t xml:space="preserve">注意事项：</w:t>
      </w:r>
      <w:r>
        <w:rPr>
          <w:rFonts w:hint="eastAsia" w:ascii="宋体" w:hAnsi="宋体" w:eastAsia="宋体" w:cs="宋体"/>
          <w:b/>
          <w:bCs/>
          <w:color w:val="000000"/>
          <w:sz w:val="24"/>
          <w:highlight w:val="none"/>
          <w:lang w:bidi="ar"/>
        </w:rPr>
      </w:r>
      <w:r/>
    </w:p>
    <w:p>
      <w:pPr>
        <w:pStyle w:val="769"/>
        <w:ind w:firstLine="482"/>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（1</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采购需求技术参数中带“★”项为实质性响应技术参数，</w:t>
      </w:r>
      <w:r>
        <w:rPr>
          <w:rFonts w:hint="eastAsia" w:ascii="宋体" w:hAnsi="宋体" w:eastAsia="宋体" w:cs="宋体"/>
          <w:b/>
          <w:bCs/>
          <w:i w:val="0"/>
          <w:iCs w:val="0"/>
          <w:color w:val="000000"/>
          <w:sz w:val="24"/>
          <w:szCs w:val="24"/>
          <w:highlight w:val="none"/>
          <w:u w:val="none"/>
          <w:lang w:val="en-US" w:eastAsia="zh-CN" w:bidi="ar"/>
        </w:rPr>
        <w:t xml:space="preserve">投标人需按要求提供参数证明材料</w:t>
      </w:r>
      <w:r>
        <w:rPr>
          <w:rFonts w:hint="eastAsia" w:ascii="宋体" w:hAnsi="宋体" w:eastAsia="宋体" w:cs="宋体"/>
          <w:b/>
          <w:bCs/>
          <w:color w:val="000000"/>
          <w:sz w:val="24"/>
          <w:highlight w:val="none"/>
          <w:lang w:bidi="ar"/>
        </w:rPr>
        <w:t xml:space="preserve">，并</w:t>
      </w:r>
      <w:r>
        <w:rPr>
          <w:rFonts w:hint="eastAsia" w:ascii="宋体" w:hAnsi="宋体" w:eastAsia="宋体" w:cs="宋体"/>
          <w:b/>
          <w:bCs/>
          <w:color w:val="000000"/>
          <w:sz w:val="24"/>
          <w:highlight w:val="none"/>
          <w:lang w:val="en-US" w:eastAsia="zh-CN" w:bidi="ar"/>
        </w:rPr>
        <w:t xml:space="preserve">在材料中</w:t>
      </w:r>
      <w:r>
        <w:rPr>
          <w:rFonts w:hint="eastAsia" w:ascii="宋体" w:hAnsi="宋体" w:eastAsia="宋体" w:cs="宋体"/>
          <w:b/>
          <w:bCs/>
          <w:color w:val="000000"/>
          <w:sz w:val="24"/>
          <w:highlight w:val="none"/>
          <w:lang w:bidi="ar"/>
        </w:rPr>
        <w:t xml:space="preserve">将对应参数标注明确，每有1项参数负偏离或未提供有效证明材料的，作无效</w:t>
      </w:r>
      <w:r>
        <w:rPr>
          <w:rFonts w:hint="eastAsia" w:ascii="宋体" w:hAnsi="宋体" w:eastAsia="宋体" w:cs="宋体"/>
          <w:b/>
          <w:bCs/>
          <w:color w:val="000000"/>
          <w:sz w:val="24"/>
          <w:highlight w:val="none"/>
          <w:lang w:val="en-US" w:eastAsia="zh-CN" w:bidi="ar"/>
        </w:rPr>
        <w:t xml:space="preserve">投标</w:t>
      </w:r>
      <w:r>
        <w:rPr>
          <w:rFonts w:hint="eastAsia" w:ascii="宋体" w:hAnsi="宋体" w:eastAsia="宋体" w:cs="宋体"/>
          <w:b/>
          <w:bCs/>
          <w:color w:val="000000"/>
          <w:sz w:val="24"/>
          <w:highlight w:val="none"/>
          <w:lang w:bidi="ar"/>
        </w:rPr>
        <w:t xml:space="preserve">处理。</w:t>
      </w:r>
      <w:r>
        <w:rPr>
          <w:rFonts w:hint="eastAsia" w:ascii="宋体" w:hAnsi="宋体" w:eastAsia="宋体" w:cs="宋体"/>
          <w:b/>
          <w:bCs/>
          <w:color w:val="000000"/>
          <w:sz w:val="24"/>
          <w:highlight w:val="none"/>
          <w:lang w:bidi="ar"/>
        </w:rPr>
      </w:r>
      <w:r/>
    </w:p>
    <w:p>
      <w:pPr>
        <w:pStyle w:val="769"/>
        <w:ind w:firstLine="482"/>
        <w:spacing w:line="360" w:lineRule="auto"/>
        <w:rPr>
          <w:rFonts w:hint="eastAsia" w:ascii="宋体" w:hAnsi="宋体" w:eastAsia="宋体" w:cs="宋体"/>
          <w:b/>
          <w:bCs/>
          <w:color w:val="000000"/>
          <w:sz w:val="24"/>
          <w:highlight w:val="none"/>
          <w:lang w:eastAsia="zh-CN"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2</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采购需求技术参数中带“▲”项为重要技术参数，</w:t>
      </w:r>
      <w:r>
        <w:rPr>
          <w:rFonts w:hint="eastAsia" w:ascii="宋体" w:hAnsi="宋体" w:eastAsia="宋体" w:cs="宋体"/>
          <w:b/>
          <w:bCs/>
          <w:i w:val="0"/>
          <w:iCs w:val="0"/>
          <w:color w:val="000000"/>
          <w:sz w:val="24"/>
          <w:szCs w:val="24"/>
          <w:highlight w:val="none"/>
          <w:u w:val="none"/>
          <w:lang w:val="en-US" w:eastAsia="zh-CN" w:bidi="ar"/>
        </w:rPr>
        <w:t xml:space="preserve">投标人需按要求提供参数证明材料</w:t>
      </w:r>
      <w:r>
        <w:rPr>
          <w:rFonts w:hint="eastAsia" w:ascii="宋体" w:hAnsi="宋体" w:eastAsia="宋体" w:cs="宋体"/>
          <w:b/>
          <w:bCs/>
          <w:color w:val="000000"/>
          <w:sz w:val="24"/>
          <w:highlight w:val="none"/>
          <w:lang w:bidi="ar"/>
        </w:rPr>
        <w:t xml:space="preserve">，</w:t>
      </w:r>
      <w:r>
        <w:rPr>
          <w:rFonts w:hint="eastAsia" w:ascii="宋体" w:hAnsi="宋体" w:eastAsia="宋体" w:cs="宋体"/>
          <w:b/>
          <w:bCs/>
          <w:color w:val="000000"/>
          <w:sz w:val="24"/>
          <w:highlight w:val="none"/>
          <w:lang w:bidi="ar"/>
        </w:rPr>
        <w:t xml:space="preserve">并将对应参数标注明确，每负偏离一项按评分标准进行扣分</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eastAsia="zh-CN" w:bidi="ar"/>
        </w:rPr>
      </w:r>
      <w:r/>
    </w:p>
    <w:p>
      <w:pPr>
        <w:pStyle w:val="769"/>
        <w:ind w:firstLine="482"/>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3</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其他技术参数在投标文件《采购需求偏离表》中按要求响应，每负偏离一项按评分标准进行扣分。</w:t>
      </w:r>
      <w:r>
        <w:rPr>
          <w:rFonts w:hint="eastAsia" w:ascii="宋体" w:hAnsi="宋体" w:eastAsia="宋体" w:cs="宋体"/>
          <w:b/>
          <w:bCs/>
          <w:color w:val="000000"/>
          <w:sz w:val="24"/>
          <w:highlight w:val="none"/>
          <w:lang w:bidi="ar"/>
        </w:rPr>
      </w:r>
      <w:r/>
    </w:p>
    <w:p>
      <w:pPr>
        <w:pStyle w:val="769"/>
        <w:ind w:firstLine="482"/>
        <w:spacing w:line="360" w:lineRule="auto"/>
        <w:rPr>
          <w:rFonts w:hint="eastAsia" w:ascii="宋体" w:hAnsi="宋体" w:eastAsia="宋体" w:cs="宋体"/>
          <w:b/>
          <w:bCs/>
          <w:color w:val="000000"/>
          <w:sz w:val="24"/>
          <w:highlight w:val="none"/>
          <w:u w:val="none"/>
          <w:lang w:bidi="ar"/>
        </w:rPr>
      </w:pPr>
      <w:r>
        <w:rPr>
          <w:rFonts w:hint="eastAsia" w:ascii="宋体" w:hAnsi="宋体" w:eastAsia="宋体" w:cs="宋体"/>
          <w:b/>
          <w:bCs/>
          <w:color w:val="000000"/>
          <w:sz w:val="24"/>
          <w:highlight w:val="none"/>
          <w:u w:val="none"/>
          <w:lang w:eastAsia="zh-CN" w:bidi="ar"/>
        </w:rPr>
        <w:t xml:space="preserve">（</w:t>
      </w:r>
      <w:r>
        <w:rPr>
          <w:rFonts w:hint="eastAsia" w:ascii="宋体" w:hAnsi="宋体" w:eastAsia="宋体" w:cs="宋体"/>
          <w:b/>
          <w:bCs/>
          <w:color w:val="000000"/>
          <w:sz w:val="24"/>
          <w:highlight w:val="none"/>
          <w:u w:val="none"/>
          <w:lang w:val="en-US" w:eastAsia="zh-CN" w:bidi="ar"/>
        </w:rPr>
        <w:t xml:space="preserve">4</w:t>
      </w:r>
      <w:r>
        <w:rPr>
          <w:rFonts w:hint="eastAsia" w:ascii="宋体" w:hAnsi="宋体" w:eastAsia="宋体" w:cs="宋体"/>
          <w:b/>
          <w:bCs/>
          <w:color w:val="000000"/>
          <w:sz w:val="24"/>
          <w:highlight w:val="none"/>
          <w:u w:val="none"/>
          <w:lang w:eastAsia="zh-CN" w:bidi="ar"/>
        </w:rPr>
        <w:t xml:space="preserve">）</w:t>
      </w:r>
      <w:r>
        <w:rPr>
          <w:rFonts w:hint="eastAsia" w:ascii="宋体" w:hAnsi="宋体" w:eastAsia="宋体" w:cs="宋体"/>
          <w:b/>
          <w:bCs/>
          <w:color w:val="000000"/>
          <w:sz w:val="24"/>
          <w:highlight w:val="none"/>
          <w:u w:val="none"/>
          <w:lang w:bidi="ar"/>
        </w:rPr>
        <w:t xml:space="preserve">评委现场对技术参数证明材料进行现场比对、核实，不提供证明材料或证明材料不符合</w:t>
      </w:r>
      <w:r>
        <w:rPr>
          <w:rFonts w:hint="eastAsia" w:ascii="宋体" w:hAnsi="宋体" w:eastAsia="宋体" w:cs="宋体"/>
          <w:b/>
          <w:bCs/>
          <w:color w:val="000000"/>
          <w:sz w:val="24"/>
          <w:highlight w:val="none"/>
          <w:u w:val="none"/>
          <w:lang w:val="en-US" w:eastAsia="zh-CN" w:bidi="ar"/>
        </w:rPr>
        <w:t xml:space="preserve">招标</w:t>
      </w:r>
      <w:r>
        <w:rPr>
          <w:rFonts w:hint="eastAsia" w:ascii="宋体" w:hAnsi="宋体" w:eastAsia="宋体" w:cs="宋体"/>
          <w:b/>
          <w:bCs/>
          <w:color w:val="000000"/>
          <w:sz w:val="24"/>
          <w:highlight w:val="none"/>
          <w:u w:val="none"/>
          <w:lang w:bidi="ar"/>
        </w:rPr>
        <w:t xml:space="preserve">文件要求的不作为评审依据。（提供的证明材料需标明对应位置及页码）</w:t>
      </w:r>
      <w:r>
        <w:rPr>
          <w:rFonts w:hint="eastAsia" w:ascii="宋体" w:hAnsi="宋体" w:eastAsia="宋体" w:cs="宋体"/>
          <w:b/>
          <w:bCs/>
          <w:color w:val="000000"/>
          <w:sz w:val="24"/>
          <w:highlight w:val="none"/>
          <w:u w:val="none"/>
          <w:lang w:bidi="ar"/>
        </w:rPr>
      </w:r>
      <w:r/>
    </w:p>
    <w:p>
      <w:pPr>
        <w:pStyle w:val="769"/>
        <w:ind w:firstLine="482"/>
        <w:spacing w:line="360" w:lineRule="auto"/>
        <w:rPr>
          <w:rFonts w:hint="eastAsia" w:ascii="宋体" w:hAnsi="宋体" w:eastAsia="宋体" w:cs="宋体"/>
          <w:b/>
          <w:bCs/>
          <w:color w:val="000000"/>
          <w:sz w:val="24"/>
          <w:highlight w:val="none"/>
          <w:u w:val="none"/>
          <w:lang w:bidi="ar"/>
        </w:rPr>
      </w:pPr>
      <w:r>
        <w:rPr>
          <w:rFonts w:hint="eastAsia" w:ascii="宋体" w:hAnsi="宋体" w:eastAsia="宋体" w:cs="宋体"/>
          <w:b/>
          <w:bCs/>
          <w:color w:val="000000"/>
          <w:sz w:val="24"/>
          <w:highlight w:val="none"/>
          <w:u w:val="none"/>
          <w:lang w:eastAsia="zh-CN" w:bidi="ar"/>
        </w:rPr>
        <w:t xml:space="preserve">（</w:t>
      </w:r>
      <w:r>
        <w:rPr>
          <w:rFonts w:hint="eastAsia" w:ascii="宋体" w:hAnsi="宋体" w:eastAsia="宋体" w:cs="宋体"/>
          <w:b/>
          <w:bCs/>
          <w:color w:val="000000"/>
          <w:sz w:val="24"/>
          <w:highlight w:val="none"/>
          <w:u w:val="none"/>
          <w:lang w:val="en-US" w:eastAsia="zh-CN" w:bidi="ar"/>
        </w:rPr>
        <w:t xml:space="preserve">5</w:t>
      </w:r>
      <w:r>
        <w:rPr>
          <w:rFonts w:hint="eastAsia" w:ascii="宋体" w:hAnsi="宋体" w:eastAsia="宋体" w:cs="宋体"/>
          <w:b/>
          <w:bCs/>
          <w:color w:val="000000"/>
          <w:sz w:val="24"/>
          <w:highlight w:val="none"/>
          <w:u w:val="none"/>
          <w:lang w:eastAsia="zh-CN" w:bidi="ar"/>
        </w:rPr>
        <w:t xml:space="preserve">）</w:t>
      </w:r>
      <w:r>
        <w:rPr>
          <w:rFonts w:hint="eastAsia" w:ascii="宋体" w:hAnsi="宋体" w:eastAsia="宋体" w:cs="宋体"/>
          <w:b/>
          <w:bCs/>
          <w:color w:val="000000"/>
          <w:sz w:val="24"/>
          <w:highlight w:val="none"/>
          <w:u w:val="none"/>
          <w:lang w:bidi="ar"/>
        </w:rPr>
        <w:t xml:space="preserve">投标文件中关于所投产品技术参数表述如存在有两处及以上不一致的，按以下优先顺序确定：第三方具备检测资质的检测机构出具的检测报告</w:t>
      </w:r>
      <w:r>
        <w:rPr>
          <w:rFonts w:hint="eastAsia" w:ascii="宋体" w:hAnsi="宋体" w:eastAsia="宋体" w:cs="宋体"/>
          <w:b/>
          <w:bCs/>
          <w:color w:val="000000"/>
          <w:sz w:val="24"/>
          <w:highlight w:val="none"/>
          <w:u w:val="none"/>
          <w:lang w:eastAsia="zh-CN" w:bidi="ar"/>
        </w:rPr>
        <w:t xml:space="preserve">、</w:t>
      </w:r>
      <w:r>
        <w:rPr>
          <w:rFonts w:hint="eastAsia" w:ascii="宋体" w:hAnsi="宋体" w:eastAsia="宋体" w:cs="宋体"/>
          <w:b/>
          <w:bCs/>
          <w:color w:val="000000"/>
          <w:sz w:val="24"/>
          <w:highlight w:val="none"/>
          <w:u w:val="none"/>
          <w:lang w:bidi="ar"/>
        </w:rPr>
        <w:t xml:space="preserve">产品彩页</w:t>
      </w:r>
      <w:r>
        <w:rPr>
          <w:rFonts w:hint="eastAsia" w:ascii="宋体" w:hAnsi="宋体" w:eastAsia="宋体" w:cs="宋体"/>
          <w:b/>
          <w:bCs/>
          <w:color w:val="000000"/>
          <w:sz w:val="24"/>
          <w:highlight w:val="none"/>
          <w:u w:val="none"/>
          <w:lang w:eastAsia="zh-CN" w:bidi="ar"/>
        </w:rPr>
        <w:t xml:space="preserve">、</w:t>
      </w:r>
      <w:r>
        <w:rPr>
          <w:rFonts w:hint="eastAsia" w:ascii="宋体" w:hAnsi="宋体" w:eastAsia="宋体" w:cs="宋体"/>
          <w:b/>
          <w:bCs/>
          <w:color w:val="000000"/>
          <w:sz w:val="24"/>
          <w:highlight w:val="none"/>
          <w:u w:val="none"/>
          <w:lang w:val="en-US" w:eastAsia="zh-CN" w:bidi="ar"/>
        </w:rPr>
        <w:t xml:space="preserve">官网截图、软件界面截图、功能截图</w:t>
      </w:r>
      <w:r>
        <w:rPr>
          <w:rFonts w:hint="eastAsia" w:ascii="宋体" w:hAnsi="宋体" w:eastAsia="宋体" w:cs="宋体"/>
          <w:b/>
          <w:bCs/>
          <w:color w:val="000000"/>
          <w:sz w:val="24"/>
          <w:highlight w:val="none"/>
          <w:u w:val="none"/>
          <w:lang w:bidi="ar"/>
        </w:rPr>
        <w:t xml:space="preserve">。</w:t>
      </w:r>
      <w:r>
        <w:rPr>
          <w:rFonts w:hint="eastAsia" w:ascii="宋体" w:hAnsi="宋体" w:eastAsia="宋体" w:cs="宋体"/>
          <w:b/>
          <w:bCs/>
          <w:color w:val="000000"/>
          <w:sz w:val="24"/>
          <w:highlight w:val="none"/>
          <w:u w:val="none"/>
          <w:lang w:bidi="ar"/>
        </w:rPr>
      </w:r>
      <w:r/>
    </w:p>
    <w:p>
      <w:pPr>
        <w:pStyle w:val="769"/>
        <w:numPr>
          <w:ilvl w:val="0"/>
          <w:numId w:val="0"/>
        </w:numPr>
        <w:ind w:firstLine="482"/>
        <w:spacing w:line="360" w:lineRule="auto"/>
        <w:rPr>
          <w:rFonts w:hint="eastAsia" w:ascii="宋体" w:hAnsi="宋体" w:eastAsia="宋体" w:cs="宋体"/>
          <w:b/>
          <w:bCs/>
          <w:color w:val="000000"/>
          <w:sz w:val="24"/>
          <w:highlight w:val="none"/>
          <w:u w:val="none"/>
          <w:lang w:bidi="ar"/>
        </w:rPr>
      </w:pPr>
      <w:r>
        <w:rPr>
          <w:rFonts w:hint="eastAsia" w:ascii="宋体" w:hAnsi="宋体" w:eastAsia="宋体" w:cs="宋体"/>
          <w:b/>
          <w:bCs/>
          <w:color w:val="000000"/>
          <w:sz w:val="24"/>
          <w:szCs w:val="24"/>
          <w:highlight w:val="none"/>
          <w:lang w:val="en-US" w:eastAsia="zh-CN" w:bidi="ar"/>
        </w:rPr>
        <w:t xml:space="preserve">（6</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highlight w:val="none"/>
          <w:u w:val="none"/>
          <w:lang w:bidi="ar"/>
        </w:rPr>
        <w:t xml:space="preserve">项目验收时逐条验证技术指标，如发现投标人虚假应标，招标人将无条件退货并上报相关政府采购监管部门处理。</w:t>
      </w:r>
      <w:r>
        <w:rPr>
          <w:rFonts w:hint="eastAsia" w:ascii="宋体" w:hAnsi="宋体" w:eastAsia="宋体" w:cs="宋体"/>
          <w:b/>
          <w:bCs/>
          <w:color w:val="000000"/>
          <w:sz w:val="24"/>
          <w:highlight w:val="none"/>
          <w:u w:val="none"/>
          <w:lang w:bidi="ar"/>
        </w:rPr>
      </w:r>
      <w:r/>
    </w:p>
    <w:p>
      <w:pPr>
        <w:pStyle w:val="769"/>
        <w:numPr>
          <w:ilvl w:val="0"/>
          <w:numId w:val="0"/>
        </w:numPr>
        <w:ind w:firstLine="482"/>
        <w:spacing w:line="360" w:lineRule="auto"/>
        <w:rPr>
          <w:rFonts w:hint="eastAsia" w:ascii="宋体" w:hAnsi="宋体" w:eastAsia="宋体" w:cs="宋体"/>
          <w:b/>
          <w:bCs/>
          <w:color w:val="000000"/>
          <w:sz w:val="24"/>
          <w:highlight w:val="none"/>
          <w:u w:val="none"/>
          <w:lang w:val="en-US" w:bidi="ar"/>
        </w:rPr>
      </w:pPr>
      <w:r>
        <w:rPr>
          <w:rFonts w:hint="eastAsia" w:ascii="宋体" w:hAnsi="宋体" w:eastAsia="宋体" w:cs="宋体"/>
          <w:b/>
          <w:bCs/>
          <w:color w:val="000000"/>
          <w:sz w:val="24"/>
          <w:szCs w:val="24"/>
          <w:highlight w:val="none"/>
          <w:lang w:val="en-US" w:eastAsia="zh-CN" w:bidi="ar"/>
        </w:rPr>
        <w:t xml:space="preserve">（7）</w:t>
      </w:r>
      <w:r>
        <w:rPr>
          <w:rFonts w:hint="eastAsia" w:ascii="宋体" w:hAnsi="宋体" w:eastAsia="宋体" w:cs="宋体"/>
          <w:b/>
          <w:bCs/>
          <w:color w:val="000000"/>
          <w:sz w:val="24"/>
          <w:highlight w:val="none"/>
          <w:u w:val="none"/>
          <w:lang w:val="en-US" w:eastAsia="zh-CN" w:bidi="ar"/>
        </w:rPr>
        <w:t xml:space="preserve">参数中引用相关标准</w:t>
      </w:r>
      <w:r>
        <w:rPr>
          <w:rFonts w:hint="eastAsia" w:ascii="宋体" w:hAnsi="宋体" w:eastAsia="宋体" w:cs="宋体"/>
          <w:b/>
          <w:bCs/>
          <w:color w:val="000000"/>
          <w:sz w:val="24"/>
          <w:highlight w:val="none"/>
          <w:lang w:val="en-US" w:bidi="ar"/>
        </w:rPr>
        <w:t xml:space="preserve">如后续有更新版本，</w:t>
      </w:r>
      <w:r>
        <w:rPr>
          <w:rFonts w:hint="eastAsia" w:ascii="宋体" w:hAnsi="宋体" w:eastAsia="宋体" w:cs="宋体"/>
          <w:b/>
          <w:bCs/>
          <w:color w:val="000000"/>
          <w:sz w:val="24"/>
          <w:highlight w:val="none"/>
          <w:lang w:val="en-US" w:eastAsia="zh-CN" w:bidi="ar"/>
        </w:rPr>
        <w:t xml:space="preserve">投标人所投产品参数可</w:t>
      </w:r>
      <w:r>
        <w:rPr>
          <w:rFonts w:hint="eastAsia" w:ascii="宋体" w:hAnsi="宋体" w:eastAsia="宋体" w:cs="宋体"/>
          <w:b/>
          <w:bCs/>
          <w:color w:val="000000"/>
          <w:sz w:val="24"/>
          <w:highlight w:val="none"/>
          <w:lang w:val="en-US" w:bidi="ar"/>
        </w:rPr>
        <w:t xml:space="preserve">满足现行有效版本即可</w:t>
      </w:r>
      <w:r>
        <w:rPr>
          <w:rFonts w:hint="eastAsia" w:ascii="宋体" w:hAnsi="宋体" w:eastAsia="宋体" w:cs="宋体"/>
          <w:b/>
          <w:bCs/>
          <w:color w:val="000000"/>
          <w:sz w:val="24"/>
          <w:highlight w:val="none"/>
          <w:lang w:val="en-US" w:eastAsia="zh-CN" w:bidi="ar"/>
        </w:rPr>
        <w:t xml:space="preserve">。</w:t>
      </w:r>
      <w:r>
        <w:rPr>
          <w:rFonts w:hint="eastAsia" w:ascii="宋体" w:hAnsi="宋体" w:eastAsia="宋体" w:cs="宋体"/>
          <w:b/>
          <w:bCs/>
          <w:color w:val="000000"/>
          <w:sz w:val="24"/>
          <w:highlight w:val="none"/>
          <w:u w:val="none"/>
          <w:lang w:val="en-US" w:bidi="ar"/>
        </w:rPr>
      </w:r>
      <w:r/>
    </w:p>
    <w:p>
      <w:pPr>
        <w:pStyle w:val="1024"/>
        <w:ind w:firstLine="0"/>
        <w:spacing w:line="360" w:lineRule="auto"/>
        <w:rPr>
          <w:rFonts w:hint="eastAsia" w:ascii="宋体" w:hAnsi="宋体" w:eastAsia="宋体" w:cs="宋体"/>
          <w:b/>
          <w:color w:val="000000"/>
          <w:sz w:val="24"/>
          <w:highlight w:val="none"/>
          <w:lang w:val="en-US" w:eastAsia="zh-CN" w:bidi="ar"/>
        </w:rPr>
        <w:outlineLvl w:val="1"/>
      </w:pPr>
      <w:r>
        <w:rPr>
          <w:rFonts w:hint="eastAsia" w:ascii="宋体" w:hAnsi="宋体" w:eastAsia="宋体" w:cs="宋体"/>
          <w:b/>
          <w:color w:val="000000"/>
          <w:sz w:val="24"/>
          <w:highlight w:val="none"/>
          <w:lang w:val="en-US" w:eastAsia="zh-CN" w:bidi="ar"/>
        </w:rPr>
        <w:t xml:space="preserve">四、人员要求</w:t>
      </w:r>
      <w:r>
        <w:rPr>
          <w:rFonts w:hint="eastAsia" w:ascii="宋体" w:hAnsi="宋体" w:eastAsia="宋体" w:cs="宋体"/>
          <w:b/>
          <w:color w:val="000000"/>
          <w:sz w:val="24"/>
          <w:highlight w:val="none"/>
          <w:lang w:val="en-US" w:eastAsia="zh-CN" w:bidi="ar"/>
        </w:rPr>
      </w:r>
      <w:r/>
    </w:p>
    <w:p>
      <w:pPr>
        <w:pStyle w:val="769"/>
        <w:numPr>
          <w:ilvl w:val="0"/>
          <w:numId w:val="0"/>
        </w:numPr>
        <w:ind w:firstLine="480"/>
        <w:jc w:val="left"/>
        <w:spacing w:line="360" w:lineRule="auto"/>
        <w:rPr>
          <w:rFonts w:hint="eastAsia" w:ascii="宋体" w:hAnsi="宋体" w:eastAsia="宋体" w:cs="宋体"/>
          <w:bCs/>
          <w:color w:val="000000"/>
          <w:sz w:val="24"/>
          <w:szCs w:val="22"/>
          <w:highlight w:val="none"/>
          <w:lang w:bidi="ar"/>
        </w:rPr>
        <w:outlineLvl w:val="9"/>
      </w:pPr>
      <w:r>
        <w:rPr>
          <w:rFonts w:hint="eastAsia" w:ascii="宋体" w:hAnsi="宋体" w:eastAsia="宋体" w:cs="宋体"/>
          <w:bCs/>
          <w:color w:val="000000"/>
          <w:sz w:val="24"/>
          <w:szCs w:val="22"/>
          <w:highlight w:val="none"/>
          <w:lang w:val="en-US" w:eastAsia="zh-CN" w:bidi="ar"/>
        </w:rPr>
        <w:t xml:space="preserve">1.投标人需根据项目采购需求配备项目组成员，</w:t>
      </w:r>
      <w:r>
        <w:rPr>
          <w:rFonts w:hint="eastAsia" w:ascii="宋体" w:hAnsi="宋体" w:eastAsia="宋体" w:cs="宋体"/>
          <w:bCs/>
          <w:color w:val="000000"/>
          <w:sz w:val="24"/>
          <w:szCs w:val="22"/>
          <w:highlight w:val="none"/>
          <w:lang w:bidi="ar"/>
        </w:rPr>
        <w:t xml:space="preserve">至少须包含项目</w:t>
      </w:r>
      <w:r>
        <w:rPr>
          <w:rFonts w:hint="eastAsia" w:ascii="宋体" w:hAnsi="宋体" w:eastAsia="宋体" w:cs="宋体"/>
          <w:bCs/>
          <w:color w:val="000000"/>
          <w:sz w:val="24"/>
          <w:szCs w:val="22"/>
          <w:highlight w:val="none"/>
          <w:lang w:val="en-US" w:eastAsia="zh-CN" w:bidi="ar"/>
        </w:rPr>
        <w:t xml:space="preserve">经理</w:t>
      </w:r>
      <w:r>
        <w:rPr>
          <w:rFonts w:hint="eastAsia" w:ascii="宋体" w:hAnsi="宋体" w:eastAsia="宋体" w:cs="宋体"/>
          <w:bCs/>
          <w:color w:val="000000"/>
          <w:sz w:val="24"/>
          <w:szCs w:val="22"/>
          <w:highlight w:val="none"/>
          <w:lang w:bidi="ar"/>
        </w:rPr>
        <w:t xml:space="preserve">、技术负责人</w:t>
      </w:r>
      <w:r>
        <w:rPr>
          <w:rFonts w:hint="eastAsia" w:ascii="宋体" w:hAnsi="宋体" w:eastAsia="宋体" w:cs="宋体"/>
          <w:bCs/>
          <w:color w:val="000000"/>
          <w:sz w:val="24"/>
          <w:szCs w:val="22"/>
          <w:highlight w:val="none"/>
          <w:lang w:eastAsia="zh-CN" w:bidi="ar"/>
        </w:rPr>
        <w:t xml:space="preserve">、</w:t>
      </w:r>
      <w:r>
        <w:rPr>
          <w:rFonts w:hint="eastAsia" w:ascii="宋体" w:hAnsi="宋体" w:eastAsia="宋体" w:cs="宋体"/>
          <w:bCs/>
          <w:color w:val="000000"/>
          <w:sz w:val="24"/>
          <w:szCs w:val="22"/>
          <w:highlight w:val="none"/>
          <w:lang w:val="en-US" w:eastAsia="zh-CN" w:bidi="ar"/>
        </w:rPr>
        <w:t xml:space="preserve">售后负责人</w:t>
      </w:r>
      <w:r>
        <w:rPr>
          <w:rFonts w:hint="eastAsia" w:ascii="宋体" w:hAnsi="宋体" w:eastAsia="宋体" w:cs="宋体"/>
          <w:bCs/>
          <w:color w:val="000000"/>
          <w:sz w:val="24"/>
          <w:szCs w:val="22"/>
          <w:highlight w:val="none"/>
          <w:lang w:bidi="ar"/>
        </w:rPr>
        <w:t xml:space="preserve">及若干项目组成员。</w:t>
      </w:r>
      <w:r>
        <w:rPr>
          <w:rFonts w:hint="eastAsia" w:ascii="宋体" w:hAnsi="宋体" w:eastAsia="宋体" w:cs="宋体"/>
          <w:bCs/>
          <w:color w:val="000000"/>
          <w:sz w:val="24"/>
          <w:szCs w:val="22"/>
          <w:highlight w:val="none"/>
          <w:lang w:bidi="ar"/>
        </w:rPr>
      </w:r>
      <w:r/>
    </w:p>
    <w:p>
      <w:pPr>
        <w:pStyle w:val="769"/>
        <w:numPr>
          <w:ilvl w:val="0"/>
          <w:numId w:val="0"/>
        </w:numPr>
        <w:ind w:firstLine="480"/>
        <w:jc w:val="left"/>
        <w:spacing w:line="360" w:lineRule="auto"/>
        <w:rPr>
          <w:rFonts w:hint="eastAsia" w:ascii="宋体" w:hAnsi="宋体" w:eastAsia="宋体" w:cs="宋体"/>
          <w:b w:val="0"/>
          <w:bCs/>
          <w:color w:val="000000"/>
          <w:sz w:val="24"/>
          <w:szCs w:val="22"/>
          <w:highlight w:val="none"/>
          <w:lang w:val="en-US" w:eastAsia="zh-CN" w:bidi="ar"/>
        </w:rPr>
        <w:outlineLvl w:val="9"/>
      </w:pPr>
      <w:r>
        <w:rPr>
          <w:rFonts w:hint="eastAsia" w:ascii="宋体" w:hAnsi="宋体" w:eastAsia="宋体" w:cs="宋体"/>
          <w:bCs/>
          <w:color w:val="000000"/>
          <w:sz w:val="24"/>
          <w:szCs w:val="22"/>
          <w:highlight w:val="none"/>
          <w:lang w:val="en-US" w:eastAsia="zh-CN" w:bidi="ar"/>
        </w:rPr>
        <w:t xml:space="preserve">2.</w:t>
      </w:r>
      <w:r>
        <w:rPr>
          <w:rFonts w:hint="eastAsia" w:ascii="宋体" w:hAnsi="宋体" w:eastAsia="宋体" w:cs="宋体"/>
          <w:bCs/>
          <w:color w:val="000000"/>
          <w:sz w:val="24"/>
          <w:szCs w:val="22"/>
          <w:highlight w:val="none"/>
          <w:lang w:bidi="ar"/>
        </w:rPr>
        <w:t xml:space="preserve">如因不可抗力导致项目成员无法继续提供服务的情况，经</w:t>
      </w:r>
      <w:r>
        <w:rPr>
          <w:rFonts w:hint="eastAsia" w:ascii="宋体" w:hAnsi="宋体" w:eastAsia="宋体" w:cs="宋体"/>
          <w:bCs/>
          <w:color w:val="000000"/>
          <w:sz w:val="24"/>
          <w:szCs w:val="22"/>
          <w:highlight w:val="none"/>
          <w:lang w:val="en-US" w:eastAsia="zh-CN" w:bidi="ar"/>
        </w:rPr>
        <w:t xml:space="preserve">采购</w:t>
      </w:r>
      <w:r>
        <w:rPr>
          <w:rFonts w:hint="eastAsia" w:ascii="宋体" w:hAnsi="宋体" w:eastAsia="宋体" w:cs="宋体"/>
          <w:bCs/>
          <w:color w:val="000000"/>
          <w:sz w:val="24"/>
          <w:szCs w:val="22"/>
          <w:highlight w:val="none"/>
          <w:lang w:bidi="ar"/>
        </w:rPr>
        <w:t xml:space="preserve">人同意，中标人必须提供相应服务能力和资质水平的人员。</w:t>
      </w:r>
      <w:r>
        <w:rPr>
          <w:rFonts w:hint="eastAsia" w:ascii="宋体" w:hAnsi="宋体" w:eastAsia="宋体" w:cs="宋体"/>
          <w:b w:val="0"/>
          <w:bCs/>
          <w:color w:val="000000"/>
          <w:sz w:val="24"/>
          <w:szCs w:val="22"/>
          <w:highlight w:val="none"/>
          <w:lang w:val="en-US" w:eastAsia="zh-CN" w:bidi="ar"/>
        </w:rPr>
      </w:r>
      <w:r/>
    </w:p>
    <w:p>
      <w:pPr>
        <w:pStyle w:val="1024"/>
        <w:ind w:firstLine="0"/>
        <w:spacing w:line="360" w:lineRule="auto"/>
        <w:rPr>
          <w:rFonts w:hint="eastAsia" w:ascii="宋体" w:hAnsi="宋体" w:eastAsia="宋体" w:cs="宋体"/>
          <w:b/>
          <w:color w:val="000000"/>
          <w:sz w:val="24"/>
          <w:highlight w:val="none"/>
          <w:lang w:eastAsia="zh-CN" w:bidi="ar"/>
        </w:rPr>
        <w:outlineLvl w:val="1"/>
      </w:pPr>
      <w:r>
        <w:rPr>
          <w:rFonts w:hint="eastAsia" w:ascii="宋体" w:hAnsi="宋体" w:eastAsia="宋体" w:cs="宋体"/>
          <w:b/>
          <w:color w:val="000000"/>
          <w:sz w:val="24"/>
          <w:highlight w:val="none"/>
          <w:lang w:val="en-US" w:eastAsia="zh-CN" w:bidi="ar"/>
        </w:rPr>
        <w:t xml:space="preserve">五</w:t>
      </w:r>
      <w:r>
        <w:rPr>
          <w:rFonts w:hint="eastAsia" w:ascii="宋体" w:hAnsi="宋体" w:eastAsia="宋体" w:cs="宋体"/>
          <w:b/>
          <w:color w:val="000000"/>
          <w:sz w:val="24"/>
          <w:highlight w:val="none"/>
          <w:lang w:bidi="ar"/>
        </w:rPr>
        <w:t xml:space="preserve">、交货期、交货地点</w:t>
      </w:r>
      <w:r>
        <w:rPr>
          <w:rFonts w:hint="eastAsia" w:ascii="宋体" w:hAnsi="宋体" w:eastAsia="宋体" w:cs="宋体"/>
          <w:b/>
          <w:color w:val="000000"/>
          <w:sz w:val="24"/>
          <w:highlight w:val="none"/>
          <w:lang w:eastAsia="zh-CN" w:bidi="ar"/>
        </w:rPr>
      </w:r>
      <w:r/>
    </w:p>
    <w:p>
      <w:pPr>
        <w:pStyle w:val="769"/>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iCs/>
          <w:color w:val="000000"/>
          <w:sz w:val="24"/>
          <w:highlight w:val="none"/>
        </w:rPr>
        <w:t xml:space="preserve">1.交货期：</w:t>
      </w:r>
      <w:r>
        <w:rPr>
          <w:rFonts w:hint="eastAsia" w:ascii="宋体" w:hAnsi="宋体" w:eastAsia="宋体" w:cs="宋体"/>
          <w:sz w:val="24"/>
          <w:highlight w:val="none"/>
          <w:lang w:eastAsia="zh-CN"/>
        </w:rPr>
        <w:t xml:space="preserve">合同签订后</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0天内完成合同范围内所有设备的供货、安装调试完成。</w:t>
      </w:r>
      <w:r>
        <w:rPr>
          <w:rFonts w:hint="eastAsia" w:ascii="宋体" w:hAnsi="宋体" w:eastAsia="宋体" w:cs="宋体"/>
          <w:color w:val="000000"/>
          <w:sz w:val="24"/>
          <w:highlight w:val="none"/>
          <w:lang w:eastAsia="zh-CN"/>
        </w:rPr>
      </w:r>
      <w:r/>
    </w:p>
    <w:p>
      <w:pPr>
        <w:pStyle w:val="1024"/>
        <w:ind w:firstLine="480"/>
        <w:spacing w:line="360" w:lineRule="auto"/>
        <w:rPr>
          <w:rFonts w:hint="eastAsia" w:ascii="宋体" w:hAnsi="宋体" w:eastAsia="宋体" w:cs="宋体"/>
          <w:b w:val="0"/>
          <w:bCs w:val="0"/>
          <w:i w:val="0"/>
          <w:iCs/>
          <w:color w:val="000000"/>
          <w:sz w:val="24"/>
          <w:szCs w:val="24"/>
          <w:highlight w:val="none"/>
          <w:u w:val="none"/>
          <w:lang w:bidi="ar"/>
        </w:rPr>
        <w:outlineLvl w:val="9"/>
      </w:pPr>
      <w:r>
        <w:rPr>
          <w:rFonts w:hint="eastAsia" w:ascii="宋体" w:hAnsi="宋体" w:eastAsia="宋体" w:cs="宋体"/>
          <w:b w:val="0"/>
          <w:bCs w:val="0"/>
          <w:iCs/>
          <w:color w:val="000000"/>
          <w:sz w:val="24"/>
          <w:szCs w:val="24"/>
          <w:highlight w:val="none"/>
          <w:lang w:bidi="ar"/>
        </w:rPr>
        <w:t xml:space="preserve">2.交货地点：</w:t>
      </w:r>
      <w:r>
        <w:rPr>
          <w:rFonts w:hint="eastAsia" w:ascii="宋体" w:hAnsi="宋体" w:eastAsia="宋体" w:cs="宋体"/>
          <w:b w:val="0"/>
          <w:bCs w:val="0"/>
          <w:i w:val="0"/>
          <w:iCs/>
          <w:color w:val="000000"/>
          <w:sz w:val="24"/>
          <w:szCs w:val="24"/>
          <w:highlight w:val="none"/>
          <w:u w:val="none"/>
          <w:lang w:bidi="ar"/>
        </w:rPr>
        <w:t xml:space="preserve">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eastAsia="宋体" w:cs="宋体"/>
          <w:b w:val="0"/>
          <w:bCs w:val="0"/>
          <w:i w:val="0"/>
          <w:iCs/>
          <w:color w:val="000000"/>
          <w:sz w:val="24"/>
          <w:szCs w:val="24"/>
          <w:highlight w:val="none"/>
          <w:u w:val="none"/>
          <w:lang w:bidi="ar"/>
        </w:rPr>
      </w:r>
      <w:r/>
    </w:p>
    <w:p>
      <w:pPr>
        <w:pStyle w:val="1024"/>
        <w:ind w:firstLine="480"/>
        <w:spacing w:line="360" w:lineRule="auto"/>
        <w:widowControl w:val="off"/>
        <w:rPr>
          <w:rFonts w:hint="eastAsia" w:ascii="宋体" w:hAnsi="宋体" w:eastAsia="宋体" w:cs="宋体"/>
          <w:iCs/>
          <w:color w:val="000000"/>
          <w:sz w:val="24"/>
          <w:szCs w:val="24"/>
          <w:highlight w:val="none"/>
          <w:lang w:bidi="ar"/>
        </w:rPr>
        <w:outlineLvl w:val="9"/>
      </w:pPr>
      <w:r>
        <w:rPr>
          <w:rFonts w:hint="eastAsia" w:ascii="宋体" w:hAnsi="宋体" w:eastAsia="宋体" w:cs="宋体"/>
          <w:b w:val="0"/>
          <w:bCs w:val="0"/>
          <w:i w:val="0"/>
          <w:iCs/>
          <w:color w:val="000000"/>
          <w:sz w:val="24"/>
          <w:szCs w:val="24"/>
          <w:highlight w:val="none"/>
          <w:u w:val="none"/>
          <w:lang w:bidi="ar"/>
        </w:rPr>
        <w:t xml:space="preserve">3</w:t>
      </w:r>
      <w:r>
        <w:rPr>
          <w:rFonts w:hint="eastAsia" w:ascii="宋体" w:hAnsi="宋体" w:eastAsia="宋体" w:cs="宋体"/>
          <w:b w:val="0"/>
          <w:bCs w:val="0"/>
          <w:i w:val="0"/>
          <w:iCs/>
          <w:color w:val="000000"/>
          <w:sz w:val="24"/>
          <w:szCs w:val="24"/>
          <w:highlight w:val="none"/>
          <w:u w:val="none"/>
          <w:lang w:eastAsia="zh-CN" w:bidi="ar"/>
        </w:rPr>
        <w:t xml:space="preserve">.</w:t>
      </w:r>
      <w:r>
        <w:rPr>
          <w:rFonts w:hint="eastAsia" w:ascii="宋体" w:hAnsi="宋体" w:eastAsia="宋体" w:cs="宋体"/>
          <w:b w:val="0"/>
          <w:bCs w:val="0"/>
          <w:i w:val="0"/>
          <w:iCs/>
          <w:color w:val="000000"/>
          <w:sz w:val="24"/>
          <w:szCs w:val="24"/>
          <w:highlight w:val="none"/>
          <w:u w:val="none"/>
          <w:lang w:bidi="ar"/>
        </w:rPr>
        <w:t xml:space="preserve">安装地址：采购人指定地点和楼层。</w:t>
      </w:r>
      <w:r>
        <w:rPr>
          <w:rFonts w:hint="eastAsia" w:ascii="宋体" w:hAnsi="宋体" w:eastAsia="宋体" w:cs="宋体"/>
          <w:iCs/>
          <w:color w:val="000000"/>
          <w:sz w:val="24"/>
          <w:szCs w:val="24"/>
          <w:highlight w:val="none"/>
          <w:lang w:bidi="ar"/>
        </w:rPr>
      </w:r>
      <w:r/>
    </w:p>
    <w:p>
      <w:pPr>
        <w:pStyle w:val="1024"/>
        <w:contextualSpacing/>
        <w:ind w:firstLine="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、包装和运输</w:t>
      </w:r>
      <w:r>
        <w:rPr>
          <w:rFonts w:hint="eastAsia" w:ascii="宋体" w:hAnsi="宋体" w:eastAsia="宋体" w:cs="宋体"/>
          <w:b/>
          <w:bCs/>
          <w:sz w:val="24"/>
          <w:highlight w:val="none"/>
        </w:rPr>
      </w:r>
      <w:r/>
    </w:p>
    <w:p>
      <w:pPr>
        <w:pStyle w:val="769"/>
        <w:contextualSpacing/>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eastAsia="宋体" w:cs="宋体"/>
          <w:sz w:val="24"/>
          <w:highlight w:val="none"/>
        </w:rPr>
      </w:r>
      <w:r/>
    </w:p>
    <w:p>
      <w:pPr>
        <w:pStyle w:val="769"/>
        <w:contextualSpacing/>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投标人应负责安排运输并承担运费、装卸费等相关费用。在运输和卸货过程中所涉及的一切安全责任，均由投标人负责。</w:t>
      </w:r>
      <w:r>
        <w:rPr>
          <w:rFonts w:hint="eastAsia" w:ascii="宋体" w:hAnsi="宋体" w:eastAsia="宋体" w:cs="宋体"/>
          <w:sz w:val="24"/>
          <w:highlight w:val="none"/>
        </w:rPr>
      </w:r>
      <w:r/>
    </w:p>
    <w:p>
      <w:pPr>
        <w:pStyle w:val="769"/>
        <w:contextualSpacing/>
        <w:ind w:firstLine="480"/>
        <w:spacing w:line="360" w:lineRule="auto"/>
        <w:rPr>
          <w:rFonts w:hint="eastAsia" w:ascii="宋体" w:hAnsi="宋体" w:eastAsia="宋体" w:cs="宋体"/>
          <w:b/>
          <w:color w:val="000000"/>
          <w:sz w:val="24"/>
          <w:highlight w:val="none"/>
        </w:rPr>
      </w:pPr>
      <w:r>
        <w:rPr>
          <w:rFonts w:hint="eastAsia" w:ascii="宋体" w:hAnsi="宋体" w:eastAsia="宋体" w:cs="宋体"/>
          <w:sz w:val="24"/>
          <w:highlight w:val="none"/>
          <w:lang w:val="en-US" w:eastAsia="zh-CN"/>
        </w:rPr>
        <w:t xml:space="preserve">3.</w:t>
      </w:r>
      <w:r>
        <w:rPr>
          <w:color w:val="000000"/>
          <w:sz w:val="24"/>
          <w:highlight w:val="none"/>
        </w:rPr>
        <w:t xml:space="preserve">须满足《关于印发〈商品包装政府采购需求标准（试行）〉、〈快递包装政府采购需求标准（试行）〉的通知》（财办库﹝2020﹞123号））。</w:t>
      </w:r>
      <w:r>
        <w:rPr>
          <w:rFonts w:hint="eastAsia" w:ascii="宋体" w:hAnsi="宋体" w:eastAsia="宋体" w:cs="宋体"/>
          <w:b/>
          <w:color w:val="000000"/>
          <w:sz w:val="24"/>
          <w:highlight w:val="none"/>
        </w:rPr>
      </w:r>
      <w:r/>
    </w:p>
    <w:p>
      <w:pPr>
        <w:pStyle w:val="1024"/>
        <w:contextualSpacing/>
        <w:ind w:firstLine="0"/>
        <w:spacing w:line="360" w:lineRule="auto"/>
        <w:rPr>
          <w:rFonts w:hint="eastAsia" w:ascii="宋体" w:hAnsi="宋体" w:eastAsia="宋体" w:cs="宋体"/>
          <w:b/>
          <w:bCs/>
          <w:sz w:val="24"/>
          <w:highlight w:val="none"/>
        </w:rPr>
        <w:outlineLvl w:val="1"/>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bCs/>
          <w:sz w:val="24"/>
          <w:highlight w:val="none"/>
        </w:rPr>
        <w:t xml:space="preserve">、质保及售后服务要求</w:t>
      </w:r>
      <w:r>
        <w:rPr>
          <w:rFonts w:hint="eastAsia" w:ascii="宋体" w:hAnsi="宋体" w:eastAsia="宋体" w:cs="宋体"/>
          <w:b/>
          <w:bCs/>
          <w:sz w:val="24"/>
          <w:highlight w:val="none"/>
        </w:rPr>
      </w:r>
      <w:r/>
    </w:p>
    <w:p>
      <w:pPr>
        <w:pStyle w:val="769"/>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质保期</w:t>
      </w:r>
      <w:r>
        <w:rPr>
          <w:rFonts w:ascii="宋体" w:hAnsi="宋体" w:eastAsia="宋体" w:cs="宋体"/>
          <w:sz w:val="24"/>
          <w:highlight w:val="none"/>
          <w:lang w:val="en-US" w:eastAsia="zh-CN"/>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w:t>
      </w:r>
      <w:r>
        <w:rPr>
          <w:rFonts w:hint="eastAsia" w:ascii="宋体" w:hAnsi="宋体" w:eastAsia="宋体" w:cs="宋体"/>
          <w:sz w:val="24"/>
          <w:highlight w:val="none"/>
          <w:lang w:eastAsia="zh-CN"/>
        </w:rPr>
        <w:t xml:space="preserve">免费</w:t>
      </w:r>
      <w:r>
        <w:rPr>
          <w:rFonts w:hint="eastAsia" w:ascii="宋体" w:hAnsi="宋体" w:eastAsia="宋体" w:cs="宋体"/>
          <w:sz w:val="24"/>
          <w:highlight w:val="none"/>
          <w:lang w:val="en-US" w:eastAsia="zh-CN"/>
        </w:rPr>
        <w:t xml:space="preserve">原厂</w:t>
      </w:r>
      <w:r>
        <w:rPr>
          <w:rFonts w:hint="eastAsia" w:ascii="宋体" w:hAnsi="宋体" w:eastAsia="宋体" w:cs="宋体"/>
          <w:sz w:val="24"/>
          <w:highlight w:val="none"/>
        </w:rPr>
        <w:t xml:space="preserve">质保期</w:t>
      </w:r>
      <w:r>
        <w:rPr>
          <w:rFonts w:hint="eastAsia" w:ascii="宋体" w:hAnsi="宋体" w:eastAsia="宋体" w:cs="宋体"/>
          <w:sz w:val="24"/>
          <w:highlight w:val="none"/>
          <w:lang w:val="en-US" w:eastAsia="zh-CN"/>
        </w:rPr>
        <w:t xml:space="preserve">不少于</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w:t>
      </w:r>
      <w:r>
        <w:rPr>
          <w:rFonts w:hint="eastAsia" w:ascii="宋体" w:hAnsi="宋体" w:eastAsia="宋体" w:cs="宋体"/>
          <w:sz w:val="24"/>
          <w:highlight w:val="none"/>
        </w:rPr>
        <w:t xml:space="preserve">（包括3年免费备件保、免费原厂人工保）</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自产品验收</w:t>
      </w:r>
      <w:r>
        <w:rPr>
          <w:rFonts w:hint="eastAsia" w:ascii="宋体" w:hAnsi="宋体" w:eastAsia="宋体" w:cs="宋体"/>
          <w:sz w:val="24"/>
          <w:highlight w:val="none"/>
          <w:lang w:val="en-US" w:eastAsia="zh-CN"/>
        </w:rPr>
        <w:t xml:space="preserve">报告签字</w:t>
      </w:r>
      <w:r>
        <w:rPr>
          <w:rFonts w:hint="eastAsia" w:ascii="宋体" w:hAnsi="宋体" w:eastAsia="宋体" w:cs="宋体"/>
          <w:sz w:val="24"/>
          <w:highlight w:val="none"/>
        </w:rPr>
        <w:t xml:space="preserve">之日起计算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。中标人对质保期内所发生的设备维护、维修、更换等一切费用负责。</w:t>
      </w:r>
      <w:r>
        <w:rPr>
          <w:rFonts w:hint="eastAsia" w:ascii="宋体" w:hAnsi="宋体" w:eastAsia="宋体" w:cs="宋体"/>
          <w:sz w:val="24"/>
          <w:highlight w:val="none"/>
        </w:rPr>
      </w:r>
      <w:r/>
    </w:p>
    <w:p>
      <w:pPr>
        <w:pStyle w:val="76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售后服务</w:t>
      </w:r>
      <w:r>
        <w:rPr>
          <w:rFonts w:hint="eastAsia" w:ascii="宋体" w:hAnsi="宋体" w:eastAsia="宋体" w:cs="宋体"/>
          <w:sz w:val="24"/>
          <w:highlight w:val="none"/>
          <w:lang w:val="en-US" w:eastAsia="zh-CN"/>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1.质量保证书一套（包括但不限于产品合格证书、使用维护说明书、验收报告书、质量保证期内免费更换零配件（人为损坏除外），质量保证期满后实行终身有偿维修保养。投标人接到保修请求，维修应在2小时内响应，24小时内维修人员到达现场，排除故障；48小时内解决故障问题，恢复设备正常使用。质保期后，投标人提供终生服务，保证零配件的供给。售后服务免收所有人工费用，所需材料须经采购人认可、价格以同期《常州市造价信息》材料信息价的70%为准（若无信息价，则参考市场同类产品报价）。</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3.投标人应按照国家有关法律法规和“三包”规定以及投标文件中的“售后服务承诺”提供服务。</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4.因投标人所提供的产品，造成采购人设备损坏或其他损失，以及其他第三方损失的，一经核实，投标人必须赔偿采购人或第三方因此造成的所有损失。</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5.投标人所提供货物必须是全新未使用的并符合国家有关技术标准。</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6.投标人应在交付货物的同时向采购人提供产品全套随机资料、原厂保修单等）。根据采购人要求免费提供并安装操作应用软件。</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（三）人员培训</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1.投标人应安排专业技术人员提供现场技术培训，保证使用人员能正常操作设备的各种功能。</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2.对采购人员工进行设备安全培训。</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3.提供设备运行、调试、维护过程中必要的专用工具、软件，以及对相关人员进行工艺设置、设备运行、调试和维护过程中相关的专用工具及软件使用的培训。</w:t>
      </w:r>
      <w:r>
        <w:rPr>
          <w:rFonts w:hint="eastAsia" w:ascii="宋体" w:hAnsi="宋体" w:eastAsia="宋体" w:cs="宋体"/>
          <w:i w:val="0"/>
          <w:iCs w:val="0"/>
          <w:sz w:val="24"/>
          <w:szCs w:val="24"/>
          <w:highlight w:val="none"/>
          <w:u w:val="none"/>
          <w:lang w:val="en-US" w:eastAsia="zh-CN" w:bidi="ar-SA"/>
        </w:rPr>
      </w:r>
      <w:r/>
    </w:p>
    <w:p>
      <w:pPr>
        <w:pStyle w:val="769"/>
        <w:ind w:firstLine="480"/>
        <w:spacing w:line="360" w:lineRule="auto"/>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4.中标人应免费提供一定数量的培训资料。</w:t>
      </w:r>
      <w:r>
        <w:rPr>
          <w:rFonts w:hint="eastAsia" w:ascii="宋体" w:hAnsi="宋体" w:eastAsia="宋体" w:cs="宋体"/>
          <w:i w:val="0"/>
          <w:iCs w:val="0"/>
          <w:sz w:val="24"/>
          <w:szCs w:val="24"/>
          <w:highlight w:val="none"/>
          <w:u w:val="none"/>
          <w:lang w:val="en-US" w:eastAsia="zh-CN" w:bidi="ar-SA"/>
        </w:rPr>
      </w:r>
      <w:r/>
    </w:p>
    <w:p>
      <w:pPr>
        <w:pStyle w:val="769"/>
        <w:ind w:firstLine="480"/>
        <w:jc w:val="left"/>
        <w:spacing w:line="360" w:lineRule="auto"/>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（四）保险</w:t>
      </w:r>
      <w:r>
        <w:rPr>
          <w:rFonts w:hint="eastAsia" w:ascii="宋体" w:hAnsi="宋体" w:eastAsia="宋体" w:cs="宋体"/>
          <w:b w:val="0"/>
          <w:bCs w:val="0"/>
          <w:i w:val="0"/>
          <w:iCs w:val="0"/>
          <w:sz w:val="24"/>
          <w:szCs w:val="24"/>
          <w:highlight w:val="none"/>
          <w:u w:val="none"/>
          <w:lang w:val="en-US" w:eastAsia="zh-CN" w:bidi="ar-SA"/>
        </w:rPr>
      </w:r>
      <w:r/>
    </w:p>
    <w:p>
      <w:pPr>
        <w:pStyle w:val="1024"/>
        <w:ind w:firstLine="480"/>
        <w:spacing w:line="360" w:lineRule="auto"/>
        <w:rPr>
          <w:rFonts w:hint="eastAsia" w:ascii="宋体" w:hAnsi="宋体" w:eastAsia="宋体" w:cs="宋体"/>
          <w:i w:val="0"/>
          <w:iCs w:val="0"/>
          <w:sz w:val="24"/>
          <w:szCs w:val="24"/>
          <w:highlight w:val="none"/>
          <w:u w:val="none"/>
          <w:lang w:val="en-US" w:eastAsia="zh-CN" w:bidi="ar-SA"/>
        </w:rPr>
        <w:outlineLvl w:val="9"/>
      </w:pPr>
      <w:r>
        <w:rPr>
          <w:rFonts w:hint="eastAsia" w:ascii="宋体" w:hAnsi="宋体" w:eastAsia="宋体" w:cs="宋体"/>
          <w:i w:val="0"/>
          <w:iCs w:val="0"/>
          <w:sz w:val="24"/>
          <w:szCs w:val="24"/>
          <w:highlight w:val="none"/>
          <w:u w:val="none"/>
          <w:lang w:val="en-US" w:eastAsia="zh-CN" w:bidi="ar-SA"/>
        </w:rPr>
        <w:t xml:space="preserve">投标人应承担相应货物的保险费。</w:t>
      </w:r>
      <w:r>
        <w:rPr>
          <w:rFonts w:hint="eastAsia" w:ascii="宋体" w:hAnsi="宋体" w:eastAsia="宋体" w:cs="宋体"/>
          <w:i w:val="0"/>
          <w:iCs w:val="0"/>
          <w:sz w:val="24"/>
          <w:szCs w:val="24"/>
          <w:highlight w:val="none"/>
          <w:u w:val="none"/>
          <w:lang w:val="en-US" w:eastAsia="zh-CN" w:bidi="ar-SA"/>
        </w:rPr>
      </w:r>
      <w:r/>
    </w:p>
    <w:p>
      <w:pPr>
        <w:pStyle w:val="1024"/>
        <w:ind w:firstLine="0"/>
        <w:spacing w:line="360" w:lineRule="auto"/>
        <w:rPr>
          <w:rFonts w:hint="eastAsia" w:ascii="宋体" w:hAnsi="宋体" w:eastAsia="宋体" w:cs="宋体"/>
          <w:b/>
          <w:bCs/>
          <w:sz w:val="24"/>
          <w:szCs w:val="21"/>
          <w:highlight w:val="none"/>
          <w:lang w:bidi="ar"/>
        </w:rPr>
        <w:outlineLvl w:val="1"/>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sz w:val="24"/>
          <w:szCs w:val="24"/>
          <w:highlight w:val="none"/>
        </w:rPr>
        <w:t xml:space="preserve">、</w:t>
      </w:r>
      <w:r>
        <w:rPr>
          <w:rFonts w:hint="eastAsia" w:ascii="宋体" w:hAnsi="宋体" w:eastAsia="宋体" w:cs="宋体"/>
          <w:b/>
          <w:bCs/>
          <w:sz w:val="24"/>
          <w:szCs w:val="21"/>
          <w:highlight w:val="none"/>
          <w:lang w:bidi="ar"/>
        </w:rPr>
        <w:t xml:space="preserve">验收标准</w:t>
      </w:r>
      <w:r>
        <w:rPr>
          <w:rFonts w:hint="eastAsia" w:ascii="宋体" w:hAnsi="宋体" w:eastAsia="宋体" w:cs="宋体"/>
          <w:b/>
          <w:bCs/>
          <w:sz w:val="24"/>
          <w:szCs w:val="21"/>
          <w:highlight w:val="none"/>
          <w:lang w:bidi="ar"/>
        </w:rPr>
      </w:r>
      <w:r/>
    </w:p>
    <w:p>
      <w:pPr>
        <w:pStyle w:val="769"/>
        <w:ind w:firstLine="480"/>
        <w:spacing w:line="360" w:lineRule="auto"/>
        <w:rPr>
          <w:rFonts w:hint="eastAsia" w:ascii="宋体" w:hAnsi="宋体" w:eastAsia="宋体" w:cs="宋体"/>
          <w:sz w:val="24"/>
          <w:szCs w:val="21"/>
          <w:highlight w:val="none"/>
          <w:lang w:bidi="ar"/>
        </w:rPr>
      </w:pPr>
      <w:r>
        <w:rPr>
          <w:rFonts w:hint="eastAsia" w:ascii="宋体" w:hAnsi="宋体" w:eastAsia="宋体" w:cs="宋体"/>
          <w:sz w:val="24"/>
          <w:szCs w:val="21"/>
          <w:highlight w:val="none"/>
          <w:lang w:bidi="ar"/>
        </w:rPr>
        <w:t xml:space="preserve">1</w:t>
      </w:r>
      <w:r>
        <w:rPr>
          <w:rFonts w:hint="eastAsia" w:ascii="宋体" w:hAnsi="宋体" w:eastAsia="宋体" w:cs="宋体"/>
          <w:sz w:val="24"/>
          <w:szCs w:val="21"/>
          <w:highlight w:val="none"/>
          <w:lang w:eastAsia="zh-CN" w:bidi="ar"/>
        </w:rPr>
        <w:t xml:space="preserve">.</w:t>
      </w:r>
      <w:r>
        <w:rPr>
          <w:rFonts w:hint="eastAsia" w:ascii="宋体" w:hAnsi="宋体" w:eastAsia="宋体" w:cs="宋体"/>
          <w:sz w:val="24"/>
          <w:szCs w:val="21"/>
          <w:highlight w:val="none"/>
          <w:lang w:bidi="ar"/>
        </w:rPr>
        <w:t xml:space="preserve">产品到达交货地点后，采购人和中标人在2日内共同检验产品数量、质量等状况，由中标人负责并承担相关费用，采购人应积极配合。中标人进行安装调试并经过性能测试后，由采购人组织联合验收小组验收。验收合格后，双方在《验收报告》上签字确认。</w:t>
      </w:r>
      <w:r>
        <w:rPr>
          <w:rFonts w:hint="eastAsia" w:ascii="宋体" w:hAnsi="宋体" w:eastAsia="宋体" w:cs="宋体"/>
          <w:sz w:val="24"/>
          <w:szCs w:val="21"/>
          <w:highlight w:val="none"/>
          <w:lang w:bidi="ar"/>
        </w:rPr>
      </w:r>
      <w:r/>
    </w:p>
    <w:p>
      <w:pPr>
        <w:pStyle w:val="769"/>
        <w:ind w:firstLine="480"/>
        <w:spacing w:line="360" w:lineRule="auto"/>
        <w:rPr>
          <w:rFonts w:hint="eastAsia" w:ascii="宋体" w:hAnsi="宋体" w:eastAsia="宋体" w:cs="宋体"/>
          <w:sz w:val="24"/>
          <w:szCs w:val="21"/>
          <w:highlight w:val="none"/>
          <w:lang w:bidi="ar"/>
        </w:rPr>
      </w:pPr>
      <w:r>
        <w:rPr>
          <w:rFonts w:hint="eastAsia" w:ascii="宋体" w:hAnsi="宋体" w:eastAsia="宋体" w:cs="宋体"/>
          <w:sz w:val="24"/>
          <w:szCs w:val="21"/>
          <w:highlight w:val="none"/>
          <w:lang w:bidi="ar"/>
        </w:rPr>
        <w:t xml:space="preserve">2</w:t>
      </w:r>
      <w:r>
        <w:rPr>
          <w:rFonts w:hint="eastAsia" w:ascii="宋体" w:hAnsi="宋体" w:eastAsia="宋体" w:cs="宋体"/>
          <w:sz w:val="24"/>
          <w:szCs w:val="21"/>
          <w:highlight w:val="none"/>
          <w:lang w:eastAsia="zh-CN" w:bidi="ar"/>
        </w:rPr>
        <w:t xml:space="preserve">.</w:t>
      </w:r>
      <w:r>
        <w:rPr>
          <w:rFonts w:hint="eastAsia" w:ascii="宋体" w:hAnsi="宋体" w:eastAsia="宋体" w:cs="宋体"/>
          <w:sz w:val="24"/>
          <w:szCs w:val="21"/>
          <w:highlight w:val="none"/>
          <w:lang w:bidi="ar"/>
        </w:rPr>
        <w:t xml:space="preserve">对产品的外观或质量问题，采购人应在发现和应当发现之日起30日内向中标人提出书面异议，中标人在接到书面异议后，应当在2日内负责处理。采购人逾期提出的，对所交产品视为符合合同的规定。</w:t>
      </w:r>
      <w:r>
        <w:rPr>
          <w:rFonts w:hint="eastAsia" w:ascii="宋体" w:hAnsi="宋体" w:eastAsia="宋体" w:cs="宋体"/>
          <w:sz w:val="24"/>
          <w:szCs w:val="21"/>
          <w:highlight w:val="none"/>
          <w:lang w:bidi="ar"/>
        </w:rPr>
      </w:r>
      <w:r/>
    </w:p>
    <w:p>
      <w:pPr>
        <w:pStyle w:val="769"/>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sz w:val="24"/>
          <w:szCs w:val="21"/>
          <w:highlight w:val="none"/>
          <w:lang w:bidi="ar"/>
        </w:rPr>
        <w:t xml:space="preserve">3</w:t>
      </w:r>
      <w:r>
        <w:rPr>
          <w:rFonts w:hint="eastAsia" w:ascii="宋体" w:hAnsi="宋体" w:eastAsia="宋体" w:cs="宋体"/>
          <w:sz w:val="24"/>
          <w:szCs w:val="21"/>
          <w:highlight w:val="none"/>
          <w:lang w:eastAsia="zh-CN" w:bidi="ar"/>
        </w:rPr>
        <w:t xml:space="preserve">.</w:t>
      </w:r>
      <w:r>
        <w:rPr>
          <w:rFonts w:hint="eastAsia" w:ascii="宋体" w:hAnsi="宋体" w:eastAsia="宋体" w:cs="宋体"/>
          <w:sz w:val="24"/>
          <w:szCs w:val="21"/>
          <w:highlight w:val="none"/>
          <w:lang w:bidi="ar"/>
        </w:rPr>
        <w:t xml:space="preserve">经双方共同验收，产品性能参数达不到招标要求的，采购人可以拒收，并可以无条件解除合同。</w:t>
      </w:r>
      <w:r>
        <w:rPr>
          <w:rFonts w:hint="eastAsia" w:ascii="宋体" w:hAnsi="宋体" w:eastAsia="宋体" w:cs="宋体"/>
          <w:b/>
          <w:color w:val="000000"/>
          <w:sz w:val="24"/>
          <w:highlight w:val="none"/>
          <w:lang w:bidi="ar"/>
        </w:rPr>
      </w:r>
      <w:r/>
    </w:p>
    <w:p>
      <w:pPr>
        <w:pStyle w:val="1024"/>
        <w:ind w:firstLine="0"/>
        <w:spacing w:line="360" w:lineRule="auto"/>
        <w:rPr>
          <w:rFonts w:hint="eastAsia" w:ascii="宋体" w:hAnsi="宋体" w:eastAsia="宋体" w:cs="宋体"/>
          <w:b/>
          <w:color w:val="000000"/>
          <w:sz w:val="24"/>
          <w:highlight w:val="none"/>
          <w:lang w:bidi="ar"/>
        </w:rPr>
        <w:outlineLvl w:val="1"/>
      </w:pPr>
      <w:r>
        <w:rPr>
          <w:rFonts w:hint="eastAsia" w:ascii="宋体" w:hAnsi="宋体" w:eastAsia="宋体" w:cs="宋体"/>
          <w:b/>
          <w:color w:val="000000"/>
          <w:sz w:val="24"/>
          <w:highlight w:val="none"/>
          <w:lang w:val="en-US" w:eastAsia="zh-CN" w:bidi="ar"/>
        </w:rPr>
        <w:t xml:space="preserve">九</w:t>
      </w:r>
      <w:r>
        <w:rPr>
          <w:rFonts w:hint="eastAsia" w:ascii="宋体" w:hAnsi="宋体" w:eastAsia="宋体" w:cs="宋体"/>
          <w:b/>
          <w:color w:val="000000"/>
          <w:sz w:val="24"/>
          <w:highlight w:val="none"/>
          <w:lang w:bidi="ar"/>
        </w:rPr>
        <w:t xml:space="preserve">、承包方式</w:t>
      </w:r>
      <w:r>
        <w:rPr>
          <w:rFonts w:hint="eastAsia" w:ascii="宋体" w:hAnsi="宋体" w:eastAsia="宋体" w:cs="宋体"/>
          <w:b/>
          <w:color w:val="000000"/>
          <w:sz w:val="24"/>
          <w:highlight w:val="none"/>
          <w:lang w:bidi="ar"/>
        </w:rPr>
      </w:r>
      <w:r/>
    </w:p>
    <w:p>
      <w:pPr>
        <w:pStyle w:val="1209"/>
        <w:contextualSpacing/>
        <w:ind w:left="-2" w:firstLine="482"/>
        <w:jc w:val="left"/>
        <w:spacing w:line="360" w:lineRule="auto"/>
        <w:tabs>
          <w:tab w:val="left" w:pos="567" w:leader="none"/>
        </w:tabs>
        <w:rPr>
          <w:rFonts w:ascii="宋体" w:hAnsi="宋体" w:eastAsia="宋体" w:cs="宋体"/>
          <w:iCs/>
          <w:sz w:val="24"/>
          <w:highlight w:val="none"/>
          <w:lang w:val="en-US" w:eastAsia="zh-CN" w:bidi="ar"/>
        </w:rPr>
      </w:pPr>
      <w:r>
        <w:rPr>
          <w:rFonts w:hint="eastAsia" w:ascii="宋体" w:hAnsi="宋体" w:eastAsia="宋体" w:cs="宋体"/>
          <w:iCs/>
          <w:sz w:val="24"/>
          <w:highlight w:val="none"/>
          <w:lang w:val="en-US" w:eastAsia="zh-CN" w:bidi="ar"/>
        </w:rPr>
        <w:t xml:space="preserve">1.固定总价包干。</w:t>
      </w:r>
      <w:r>
        <w:rPr>
          <w:rFonts w:ascii="宋体" w:hAnsi="宋体" w:eastAsia="宋体" w:cs="宋体"/>
          <w:iCs/>
          <w:sz w:val="24"/>
          <w:highlight w:val="none"/>
          <w:lang w:val="en-US" w:eastAsia="zh-CN" w:bidi="ar"/>
        </w:rPr>
      </w:r>
      <w:r/>
    </w:p>
    <w:p>
      <w:pPr>
        <w:pStyle w:val="1209"/>
        <w:contextualSpacing/>
        <w:ind w:left="-2" w:firstLine="482"/>
        <w:jc w:val="left"/>
        <w:spacing w:line="360" w:lineRule="auto"/>
        <w:tabs>
          <w:tab w:val="left" w:pos="567" w:leader="none"/>
        </w:tabs>
        <w:rPr>
          <w:rFonts w:hint="eastAsia" w:ascii="宋体" w:hAnsi="宋体" w:eastAsia="宋体" w:cs="宋体"/>
          <w:iCs/>
          <w:sz w:val="24"/>
          <w:highlight w:val="none"/>
          <w:lang w:bidi="ar"/>
        </w:rPr>
      </w:pPr>
      <w:r>
        <w:rPr>
          <w:rFonts w:hint="eastAsia" w:ascii="宋体" w:hAnsi="宋体" w:eastAsia="宋体" w:cs="宋体"/>
          <w:iCs/>
          <w:sz w:val="24"/>
          <w:highlight w:val="none"/>
          <w:lang w:val="en-US" w:eastAsia="zh-CN" w:bidi="ar"/>
        </w:rPr>
        <w:t xml:space="preserve">2.</w:t>
      </w:r>
      <w:r>
        <w:rPr>
          <w:rFonts w:hint="eastAsia" w:ascii="宋体" w:hAnsi="宋体" w:eastAsia="宋体" w:cs="宋体"/>
          <w:iCs/>
          <w:sz w:val="24"/>
          <w:highlight w:val="none"/>
          <w:lang w:bidi="ar"/>
        </w:rPr>
        <w:t xml:space="preserve">本项目报价包括但不限于</w:t>
      </w:r>
      <w:r>
        <w:rPr>
          <w:rFonts w:hint="eastAsia" w:ascii="宋体" w:hAnsi="宋体" w:eastAsia="宋体" w:cs="宋体"/>
          <w:iCs/>
          <w:sz w:val="24"/>
          <w:highlight w:val="none"/>
          <w:lang w:val="en-US" w:eastAsia="zh-CN" w:bidi="ar"/>
        </w:rPr>
        <w:t xml:space="preserve">招标</w:t>
      </w:r>
      <w:r>
        <w:rPr>
          <w:rFonts w:hint="eastAsia" w:ascii="宋体" w:hAnsi="宋体" w:eastAsia="宋体" w:cs="宋体"/>
          <w:iCs/>
          <w:sz w:val="24"/>
          <w:highlight w:val="none"/>
          <w:lang w:bidi="ar"/>
        </w:rPr>
        <w:t xml:space="preserve">文件及技术要求范围内相应设备制造前的准备(包括现场踏勘、技术核对等)、产品(包括材料、附件、备品备件、专用工具等)、设计、制造、加工、检验、包装、技术资料、发货、运输、保险、检测验收、装卸、安装、设备自身调试、技术指导培训、售后服务、质保期及维保服务、应缴纳的各项税款(包括但不限于增值税及其他税费)、政策性文件规定及合同包含的所有风险、责任和</w:t>
      </w:r>
      <w:r>
        <w:rPr>
          <w:rFonts w:hint="eastAsia" w:ascii="宋体" w:hAnsi="宋体" w:eastAsia="宋体" w:cs="宋体"/>
          <w:iCs/>
          <w:sz w:val="24"/>
          <w:highlight w:val="none"/>
          <w:lang w:val="en-US" w:eastAsia="zh-CN" w:bidi="ar"/>
        </w:rPr>
        <w:t xml:space="preserve">招标</w:t>
      </w:r>
      <w:r>
        <w:rPr>
          <w:rFonts w:hint="eastAsia" w:ascii="宋体" w:hAnsi="宋体" w:eastAsia="宋体" w:cs="宋体"/>
          <w:iCs/>
          <w:sz w:val="24"/>
          <w:highlight w:val="none"/>
          <w:lang w:bidi="ar"/>
        </w:rPr>
        <w:t xml:space="preserve">文件所要求的相关服务等全部内容。</w:t>
      </w:r>
      <w:r>
        <w:rPr>
          <w:rFonts w:hint="eastAsia" w:ascii="宋体" w:hAnsi="宋体" w:eastAsia="宋体" w:cs="宋体"/>
          <w:iCs/>
          <w:sz w:val="24"/>
          <w:highlight w:val="none"/>
          <w:lang w:val="en-US" w:eastAsia="zh-CN" w:bidi="ar"/>
        </w:rPr>
        <w:t xml:space="preserve">招标</w:t>
      </w:r>
      <w:r>
        <w:rPr>
          <w:rFonts w:hint="eastAsia" w:ascii="宋体" w:hAnsi="宋体" w:eastAsia="宋体" w:cs="宋体"/>
          <w:iCs/>
          <w:sz w:val="24"/>
          <w:highlight w:val="none"/>
          <w:lang w:bidi="ar"/>
        </w:rPr>
        <w:t xml:space="preserve">人不再支付其他任何费用。安装、调试、验收过程中，如发现有漏项、缺件，中标人应无条件、无偿补齐，所发生的一切费用，视为已包含在报价中，且并不因此而影响交付实际使用人的时间。</w:t>
      </w:r>
      <w:r>
        <w:rPr>
          <w:rFonts w:hint="eastAsia" w:ascii="宋体" w:hAnsi="宋体" w:eastAsia="宋体" w:cs="宋体"/>
          <w:iCs/>
          <w:sz w:val="24"/>
          <w:highlight w:val="none"/>
          <w:lang w:bidi="ar"/>
        </w:rPr>
      </w:r>
      <w:r/>
    </w:p>
    <w:p>
      <w:pPr>
        <w:pStyle w:val="1024"/>
        <w:contextualSpacing/>
        <w:ind w:firstLine="0"/>
        <w:spacing w:line="360" w:lineRule="auto"/>
        <w:rPr>
          <w:rFonts w:hint="eastAsia" w:ascii="宋体" w:hAnsi="宋体" w:eastAsia="宋体" w:cs="宋体"/>
          <w:b/>
          <w:bCs/>
          <w:sz w:val="24"/>
          <w:highlight w:val="none"/>
        </w:rPr>
        <w:outlineLvl w:val="1"/>
      </w:pPr>
      <w:r>
        <w:rPr>
          <w:rFonts w:hint="eastAsia" w:ascii="宋体" w:hAnsi="宋体" w:eastAsia="宋体" w:cs="宋体"/>
          <w:b/>
          <w:color w:val="000000"/>
          <w:sz w:val="24"/>
          <w:highlight w:val="none"/>
          <w:lang w:val="en-US" w:eastAsia="zh-CN"/>
        </w:rPr>
        <w:t xml:space="preserve">十</w:t>
      </w:r>
      <w:r>
        <w:rPr>
          <w:rFonts w:hint="eastAsia" w:ascii="宋体" w:hAnsi="宋体" w:eastAsia="宋体" w:cs="宋体"/>
          <w:b/>
          <w:bCs/>
          <w:sz w:val="24"/>
          <w:highlight w:val="none"/>
        </w:rPr>
        <w:t xml:space="preserve">、付款条件（进度和方式）</w:t>
      </w:r>
      <w:r>
        <w:rPr>
          <w:rFonts w:hint="eastAsia" w:ascii="宋体" w:hAnsi="宋体" w:eastAsia="宋体" w:cs="宋体"/>
          <w:b/>
          <w:bCs/>
          <w:sz w:val="24"/>
          <w:highlight w:val="none"/>
        </w:rPr>
      </w:r>
      <w:r/>
    </w:p>
    <w:p>
      <w:pPr>
        <w:pStyle w:val="769"/>
        <w:ind w:firstLine="480"/>
        <w:jc w:val="left"/>
        <w:spacing w:line="360" w:lineRule="auto"/>
        <w:widowControl/>
        <w:rPr>
          <w:rFonts w:hint="eastAsia" w:ascii="宋体" w:hAnsi="宋体" w:eastAsia="宋体" w:cs="宋体"/>
          <w:iCs/>
          <w:sz w:val="24"/>
          <w:highlight w:val="none"/>
          <w:lang w:bidi="ar"/>
        </w:rPr>
      </w:pPr>
      <w:r>
        <w:rPr>
          <w:rFonts w:hint="eastAsia" w:ascii="宋体" w:hAnsi="宋体" w:eastAsia="宋体" w:cs="宋体"/>
          <w:iCs/>
          <w:sz w:val="24"/>
          <w:highlight w:val="none"/>
          <w:lang w:val="en-US" w:eastAsia="zh-CN" w:bidi="ar"/>
        </w:rPr>
        <w:t xml:space="preserve">1.</w:t>
      </w:r>
      <w:r>
        <w:rPr>
          <w:rFonts w:hint="eastAsia" w:ascii="宋体" w:hAnsi="宋体" w:eastAsia="宋体" w:cs="宋体"/>
          <w:iCs/>
          <w:sz w:val="24"/>
          <w:highlight w:val="none"/>
          <w:lang w:bidi="ar"/>
        </w:rPr>
        <w:t xml:space="preserve">合同签订后支付合同价款</w:t>
      </w:r>
      <w:r>
        <w:rPr>
          <w:rFonts w:hint="eastAsia" w:ascii="宋体" w:hAnsi="宋体" w:eastAsia="宋体" w:cs="宋体"/>
          <w:iCs/>
          <w:sz w:val="24"/>
          <w:highlight w:val="none"/>
          <w:lang w:val="en-US" w:eastAsia="zh-CN" w:bidi="ar"/>
        </w:rPr>
        <w:t xml:space="preserve">的3</w:t>
      </w:r>
      <w:r>
        <w:rPr>
          <w:rFonts w:hint="eastAsia" w:ascii="宋体" w:hAnsi="宋体" w:eastAsia="宋体" w:cs="宋体"/>
          <w:iCs/>
          <w:sz w:val="24"/>
          <w:highlight w:val="none"/>
          <w:lang w:bidi="ar"/>
        </w:rPr>
        <w:t xml:space="preserve">0%，货物到达采购人指定地点完成安装并验收合格后，按要求开具发票，采购人收到发票后30日内付至合同价的100%。</w:t>
      </w:r>
      <w:r>
        <w:rPr>
          <w:rFonts w:hint="eastAsia" w:ascii="宋体" w:hAnsi="宋体" w:eastAsia="宋体" w:cs="宋体"/>
          <w:iCs/>
          <w:sz w:val="24"/>
          <w:highlight w:val="none"/>
          <w:lang w:bidi="ar"/>
        </w:rPr>
      </w:r>
      <w:r/>
    </w:p>
    <w:p>
      <w:pPr>
        <w:pStyle w:val="769"/>
        <w:ind w:firstLine="480"/>
        <w:spacing w:line="360" w:lineRule="auto"/>
        <w:rPr>
          <w:rFonts w:hint="eastAsia" w:ascii="宋体" w:hAnsi="宋体" w:eastAsia="宋体" w:cs="宋体"/>
          <w:b/>
          <w:color w:val="000000"/>
          <w:sz w:val="24"/>
          <w:highlight w:val="none"/>
          <w:lang w:bidi="ar"/>
        </w:rPr>
      </w:pPr>
      <w:r>
        <w:rPr>
          <w:rFonts w:hint="eastAsia" w:ascii="宋体" w:hAnsi="宋体" w:eastAsia="宋体" w:cs="宋体"/>
          <w:iCs/>
          <w:sz w:val="24"/>
          <w:highlight w:val="none"/>
          <w:lang w:val="en-US" w:eastAsia="zh-CN" w:bidi="ar"/>
        </w:rPr>
        <w:t xml:space="preserve">2.</w:t>
      </w:r>
      <w:r>
        <w:rPr>
          <w:rFonts w:hint="eastAsia" w:ascii="宋体" w:hAnsi="宋体" w:eastAsia="宋体" w:cs="宋体"/>
          <w:iCs/>
          <w:sz w:val="24"/>
          <w:highlight w:val="none"/>
          <w:lang w:bidi="ar"/>
        </w:rPr>
        <w:t xml:space="preserve">中标人必须开具有效全额发票，凭票向采购人申请付款，同时随票须附采购人所需办理付款的其他相关材料。因中标人未及时提供发票及所需材料导致相应后果的，采购人不承担任何责任。</w:t>
      </w:r>
      <w:r>
        <w:rPr>
          <w:rFonts w:hint="eastAsia" w:ascii="宋体" w:hAnsi="宋体" w:eastAsia="宋体" w:cs="宋体"/>
          <w:b/>
          <w:color w:val="000000"/>
          <w:sz w:val="24"/>
          <w:highlight w:val="none"/>
          <w:lang w:bidi="ar"/>
        </w:rPr>
      </w:r>
      <w:r/>
    </w:p>
    <w:p>
      <w:pPr>
        <w:pStyle w:val="1024"/>
        <w:ind w:firstLine="0"/>
        <w:spacing w:line="360" w:lineRule="auto"/>
        <w:rPr>
          <w:rFonts w:hint="eastAsia" w:ascii="宋体" w:hAnsi="宋体" w:eastAsia="宋体" w:cs="宋体"/>
          <w:b/>
          <w:bCs/>
          <w:sz w:val="24"/>
          <w:highlight w:val="none"/>
        </w:rPr>
        <w:outlineLvl w:val="1"/>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bCs/>
          <w:sz w:val="24"/>
          <w:highlight w:val="none"/>
        </w:rPr>
        <w:t xml:space="preserve">、项目预算金额、最高限价</w:t>
      </w:r>
      <w:r>
        <w:rPr>
          <w:rFonts w:hint="eastAsia" w:ascii="宋体" w:hAnsi="宋体" w:eastAsia="宋体" w:cs="宋体"/>
          <w:b/>
          <w:bCs/>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项目预算金额：人民币</w:t>
      </w:r>
      <w:r>
        <w:rPr>
          <w:rFonts w:hint="eastAsia" w:ascii="宋体" w:hAnsi="宋体" w:eastAsia="宋体" w:cs="宋体"/>
          <w:sz w:val="24"/>
          <w:highlight w:val="none"/>
          <w:lang w:val="en-US" w:eastAsia="zh-CN"/>
        </w:rPr>
        <w:t xml:space="preserve">225.98345</w:t>
      </w:r>
      <w:r>
        <w:rPr>
          <w:rFonts w:hint="eastAsia" w:ascii="宋体" w:hAnsi="宋体" w:eastAsia="宋体" w:cs="宋体"/>
          <w:sz w:val="24"/>
          <w:highlight w:val="none"/>
        </w:rPr>
        <w:t xml:space="preserve">万元</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项目最高限价：人民币</w:t>
      </w:r>
      <w:r>
        <w:rPr>
          <w:rFonts w:hint="eastAsia" w:ascii="宋体" w:hAnsi="宋体" w:eastAsia="宋体" w:cs="宋体"/>
          <w:sz w:val="24"/>
          <w:highlight w:val="none"/>
          <w:lang w:val="en-US" w:eastAsia="zh-CN"/>
        </w:rPr>
        <w:t xml:space="preserve">225.98345</w:t>
      </w:r>
      <w:r>
        <w:rPr>
          <w:rFonts w:hint="eastAsia" w:ascii="宋体" w:hAnsi="宋体" w:eastAsia="宋体" w:cs="宋体"/>
          <w:sz w:val="24"/>
          <w:highlight w:val="none"/>
        </w:rPr>
        <w:t xml:space="preserve">万元，投标人报价不得高于最高限价，否则作为无效投标处理。</w:t>
      </w:r>
      <w:r>
        <w:rPr>
          <w:rFonts w:hint="eastAsia" w:ascii="宋体" w:hAnsi="宋体" w:eastAsia="宋体" w:cs="宋体"/>
          <w:sz w:val="24"/>
          <w:highlight w:val="none"/>
        </w:rPr>
      </w:r>
      <w:r/>
    </w:p>
    <w:p>
      <w:pPr>
        <w:pStyle w:val="769"/>
        <w:contextualSpacing/>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pStyle w:val="769"/>
        <w:numPr>
          <w:ilvl w:val="12"/>
          <w:numId w:val="0"/>
        </w:numPr>
        <w:jc w:val="center"/>
        <w:spacing w:line="360" w:lineRule="auto"/>
        <w:rPr>
          <w:rFonts w:hint="eastAsia" w:ascii="宋体" w:hAnsi="宋体" w:eastAsia="宋体" w:cs="宋体"/>
          <w:highlight w:val="none"/>
        </w:rPr>
        <w:outlineLvl w:val="0"/>
      </w:pPr>
      <w:r/>
      <w:bookmarkStart w:id="823" w:name="_Toc16602"/>
      <w:r/>
      <w:bookmarkStart w:id="824" w:name="_Toc22150"/>
      <w:r>
        <w:rPr>
          <w:rFonts w:hint="eastAsia" w:ascii="宋体" w:hAnsi="宋体" w:eastAsia="宋体" w:cs="宋体"/>
          <w:b/>
          <w:sz w:val="36"/>
          <w:szCs w:val="36"/>
          <w:highlight w:val="none"/>
        </w:rPr>
        <w:br w:type="page" w:clear="all"/>
      </w:r>
      <w:r>
        <w:rPr>
          <w:rFonts w:hint="eastAsia" w:ascii="宋体" w:hAnsi="宋体" w:eastAsia="宋体" w:cs="宋体"/>
          <w:b/>
          <w:color w:val="000000"/>
          <w:sz w:val="36"/>
          <w:szCs w:val="36"/>
          <w:highlight w:val="none"/>
        </w:rPr>
        <w:t xml:space="preserve">第六章   拟签订的合同文本</w:t>
      </w:r>
      <w:r>
        <w:rPr>
          <w:rFonts w:hint="eastAsia" w:ascii="宋体" w:hAnsi="宋体" w:eastAsia="宋体" w:cs="宋体"/>
          <w:highlight w:val="none"/>
        </w:rPr>
      </w:r>
      <w:r/>
    </w:p>
    <w:p>
      <w:pPr>
        <w:pStyle w:val="769"/>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769"/>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合同编号：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r>
      <w:r/>
    </w:p>
    <w:p>
      <w:pPr>
        <w:pStyle w:val="769"/>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r>
      <w:r/>
    </w:p>
    <w:p>
      <w:pPr>
        <w:pStyle w:val="769"/>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r>
      <w:r/>
    </w:p>
    <w:p>
      <w:pPr>
        <w:pStyle w:val="769"/>
        <w:jc w:val="center"/>
        <w:rPr>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lang w:eastAsia="zh-CN"/>
        </w:rPr>
        <w:t xml:space="preserve">常州市广化小学校</w:t>
      </w:r>
      <w:r>
        <w:rPr>
          <w:rFonts w:hint="eastAsia" w:ascii="宋体" w:hAnsi="宋体" w:eastAsia="宋体" w:cs="宋体"/>
          <w:color w:val="000000"/>
          <w:sz w:val="48"/>
          <w:szCs w:val="48"/>
          <w:highlight w:val="none"/>
        </w:rPr>
        <w:t xml:space="preserve">新建校区信息化设备</w:t>
      </w:r>
      <w:r>
        <w:rPr>
          <w:rFonts w:hint="eastAsia" w:ascii="宋体" w:hAnsi="宋体" w:eastAsia="宋体" w:cs="宋体"/>
          <w:color w:val="000000"/>
          <w:sz w:val="48"/>
          <w:szCs w:val="48"/>
          <w:highlight w:val="none"/>
        </w:rPr>
      </w:r>
      <w:r/>
    </w:p>
    <w:p>
      <w:pPr>
        <w:pStyle w:val="769"/>
        <w:jc w:val="center"/>
        <w:rPr>
          <w:rFonts w:hint="eastAsia" w:ascii="宋体" w:hAnsi="宋体" w:eastAsia="宋体" w:cs="宋体"/>
          <w:color w:val="000000"/>
          <w:sz w:val="48"/>
          <w:szCs w:val="48"/>
          <w:highlight w:val="none"/>
          <w:lang w:eastAsia="zh-CN"/>
        </w:rPr>
      </w:pPr>
      <w:r>
        <w:rPr>
          <w:rFonts w:hint="eastAsia" w:ascii="宋体" w:hAnsi="宋体" w:eastAsia="宋体" w:cs="宋体"/>
          <w:color w:val="000000"/>
          <w:sz w:val="48"/>
          <w:szCs w:val="48"/>
          <w:highlight w:val="none"/>
        </w:rPr>
        <w:t xml:space="preserve">采购项目</w:t>
      </w:r>
      <w:r>
        <w:rPr>
          <w:rFonts w:hint="eastAsia" w:ascii="宋体" w:hAnsi="宋体" w:eastAsia="宋体" w:cs="宋体"/>
          <w:color w:val="000000"/>
          <w:sz w:val="48"/>
          <w:szCs w:val="48"/>
          <w:highlight w:val="none"/>
          <w:lang w:eastAsia="zh-CN"/>
        </w:rPr>
      </w:r>
      <w:r/>
    </w:p>
    <w:p>
      <w:pPr>
        <w:pStyle w:val="769"/>
        <w:jc w:val="center"/>
        <w:rPr>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rPr>
      </w:r>
      <w:r/>
    </w:p>
    <w:p>
      <w:pPr>
        <w:pStyle w:val="769"/>
        <w:jc w:val="center"/>
        <w:rPr>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rPr>
        <w:t xml:space="preserve">货物采购合同</w:t>
      </w:r>
      <w:r>
        <w:rPr>
          <w:rFonts w:hint="eastAsia" w:ascii="宋体" w:hAnsi="宋体" w:eastAsia="宋体" w:cs="宋体"/>
          <w:color w:val="000000"/>
          <w:sz w:val="48"/>
          <w:szCs w:val="48"/>
          <w:highlight w:val="none"/>
        </w:rPr>
      </w:r>
      <w:r/>
    </w:p>
    <w:p>
      <w:pPr>
        <w:pStyle w:val="769"/>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769"/>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769"/>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76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9"/>
        <w:ind w:firstLine="224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甲方：</w:t>
      </w:r>
      <w:r>
        <w:rPr>
          <w:rFonts w:hint="eastAsia" w:ascii="宋体" w:hAnsi="宋体" w:eastAsia="宋体" w:cs="宋体"/>
          <w:color w:val="000000"/>
          <w:sz w:val="32"/>
          <w:szCs w:val="32"/>
          <w:highlight w:val="none"/>
          <w:lang w:eastAsia="zh-CN"/>
        </w:rPr>
        <w:t xml:space="preserve">常州市广化小学校</w:t>
      </w:r>
      <w:r>
        <w:rPr>
          <w:rFonts w:hint="eastAsia" w:ascii="宋体" w:hAnsi="宋体" w:eastAsia="宋体" w:cs="宋体"/>
          <w:color w:val="000000"/>
          <w:sz w:val="32"/>
          <w:szCs w:val="32"/>
          <w:highlight w:val="none"/>
          <w:lang w:eastAsia="zh-CN"/>
        </w:rPr>
      </w:r>
      <w:r/>
    </w:p>
    <w:p>
      <w:pPr>
        <w:pStyle w:val="769"/>
        <w:ind w:firstLine="22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乙方：</w:t>
      </w:r>
      <w:r>
        <w:rPr>
          <w:rFonts w:hint="eastAsia" w:ascii="宋体" w:hAnsi="宋体" w:eastAsia="宋体" w:cs="宋体"/>
          <w:color w:val="000000"/>
          <w:sz w:val="32"/>
          <w:szCs w:val="32"/>
          <w:highlight w:val="none"/>
          <w:u w:val="single"/>
          <w:shd w:val="clear" w:color="auto" w:fill="ffffff"/>
        </w:rPr>
        <w:t xml:space="preserve">                     </w:t>
      </w:r>
      <w:r>
        <w:rPr>
          <w:rFonts w:hint="eastAsia" w:ascii="宋体" w:hAnsi="宋体" w:eastAsia="宋体" w:cs="宋体"/>
          <w:color w:val="000000"/>
          <w:sz w:val="32"/>
          <w:szCs w:val="32"/>
          <w:highlight w:val="none"/>
          <w:u w:val="single"/>
        </w:rPr>
      </w:r>
      <w:r/>
    </w:p>
    <w:p>
      <w:pPr>
        <w:pStyle w:val="769"/>
        <w:ind w:firstLine="22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9"/>
        <w:ind w:firstLine="22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江苏常州</w:t>
      </w:r>
      <w:r>
        <w:rPr>
          <w:rFonts w:hint="eastAsia" w:ascii="宋体" w:hAnsi="宋体" w:eastAsia="宋体" w:cs="宋体"/>
          <w:color w:val="000000"/>
          <w:sz w:val="32"/>
          <w:szCs w:val="32"/>
          <w:highlight w:val="none"/>
        </w:rPr>
      </w:r>
      <w:r/>
    </w:p>
    <w:p>
      <w:pPr>
        <w:pStyle w:val="793"/>
        <w:jc w:val="center"/>
        <w:keepLines w:val="0"/>
        <w:keepNext w:val="0"/>
        <w:pageBreakBefore w:val="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202</w:t>
      </w:r>
      <w:r>
        <w:rPr>
          <w:rFonts w:hint="eastAsia" w:ascii="宋体" w:hAnsi="宋体" w:eastAsia="宋体" w:cs="宋体"/>
          <w:color w:val="000000"/>
          <w:sz w:val="32"/>
          <w:szCs w:val="32"/>
          <w:highlight w:val="none"/>
          <w:lang w:val="en-US" w:eastAsia="zh-CN"/>
        </w:rPr>
        <w:t xml:space="preserve">6</w:t>
      </w:r>
      <w:r>
        <w:rPr>
          <w:rFonts w:hint="eastAsia" w:ascii="宋体" w:hAnsi="宋体" w:eastAsia="宋体" w:cs="宋体"/>
          <w:color w:val="000000"/>
          <w:sz w:val="32"/>
          <w:szCs w:val="32"/>
          <w:highlight w:val="none"/>
        </w:rPr>
        <w:t xml:space="preserve">年  月  日</w:t>
      </w:r>
      <w:r>
        <w:rPr>
          <w:rFonts w:hint="eastAsia" w:ascii="宋体" w:hAnsi="宋体" w:eastAsia="宋体" w:cs="宋体"/>
          <w:color w:val="000000"/>
          <w:sz w:val="32"/>
          <w:szCs w:val="32"/>
          <w:highlight w:val="none"/>
        </w:rPr>
      </w:r>
      <w:r/>
    </w:p>
    <w:p>
      <w:pPr>
        <w:pStyle w:val="793"/>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32"/>
          <w:szCs w:val="32"/>
          <w:highlight w:val="none"/>
        </w:rPr>
        <w:br w:type="page" w:clear="all"/>
      </w:r>
      <w:r>
        <w:rPr>
          <w:rFonts w:hint="eastAsia" w:ascii="宋体" w:hAnsi="宋体" w:eastAsia="宋体" w:cs="宋体"/>
          <w:b/>
          <w:color w:val="000000"/>
          <w:sz w:val="24"/>
          <w:szCs w:val="24"/>
          <w:highlight w:val="none"/>
        </w:rPr>
        <w:t xml:space="preserve">采购方（甲方）: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签约时间：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供货方（乙方）: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签约地点：</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9"/>
        <w:ind w:firstLine="0"/>
        <w:keepLines w:val="0"/>
        <w:keepNext w:val="0"/>
        <w:pageBreakBefore w:val="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793"/>
        <w:ind w:firstLine="2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根据《中华人民共和国民法典》、《中华人民共和国产品质量法》等有关法律法规，双方经过充分友好协商，本着诚实守信、平等互利的原则，就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项目一事，达成如下合同条款：</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甲、乙双方经营资格及承诺</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1、依据相关法律法规合法设立并有效存续的法律实体。</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2、本合同之签字页上该方名称一栏中的签字均系分别由获该方正式授权的签字人有效签署。</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w:t>
      </w:r>
      <w:r>
        <w:rPr>
          <w:rFonts w:hint="eastAsia" w:ascii="宋体" w:hAnsi="宋体" w:eastAsia="宋体" w:cs="宋体"/>
          <w:b/>
          <w:color w:val="000000"/>
          <w:sz w:val="24"/>
          <w:szCs w:val="24"/>
          <w:highlight w:val="none"/>
          <w:lang w:val="en-US" w:eastAsia="zh-CN"/>
        </w:rPr>
        <w:t xml:space="preserve">项目</w:t>
      </w:r>
      <w:r>
        <w:rPr>
          <w:rFonts w:hint="eastAsia" w:ascii="宋体" w:hAnsi="宋体" w:eastAsia="宋体" w:cs="宋体"/>
          <w:b/>
          <w:color w:val="000000"/>
          <w:sz w:val="24"/>
          <w:szCs w:val="24"/>
          <w:highlight w:val="none"/>
        </w:rPr>
        <w:t xml:space="preserve">清单、产品品牌及金额</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详见附件</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合同总价款</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1、本合同产品总价款为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lang w:val="en-US" w:eastAsia="zh-CN"/>
        </w:rPr>
        <w:t xml:space="preserve">总价包干，</w:t>
      </w:r>
      <w:r>
        <w:rPr>
          <w:rFonts w:hint="eastAsia" w:ascii="宋体" w:hAnsi="宋体" w:eastAsia="宋体" w:cs="宋体"/>
          <w:color w:val="000000"/>
          <w:sz w:val="24"/>
          <w:szCs w:val="24"/>
          <w:highlight w:val="none"/>
          <w:lang w:eastAsia="zh-CN"/>
        </w:rPr>
        <w:t xml:space="preserve">包含但不限于采购范围内相应货物（服务）设计、制造、采购、供货、运输（至指定地点）、仓储、装卸、安装到位、调试、检测、产品保护、备品备件、验收、移交、售后服务、培训、质保期服务、专利技术和完成这些工作所需的设备、材料、工器具、人工、机械、各种税费以及其他相关服务，</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不再支付其他任何费用。</w:t>
      </w:r>
      <w:r>
        <w:rPr>
          <w:rFonts w:hint="eastAsia" w:ascii="宋体" w:hAnsi="宋体" w:eastAsia="宋体" w:cs="宋体"/>
          <w:color w:val="000000"/>
          <w:sz w:val="24"/>
          <w:szCs w:val="24"/>
          <w:highlight w:val="none"/>
          <w:lang w:eastAsia="zh-CN"/>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付款方式</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合同签订后支付合同价款30%，货物到达甲方指定地点完成安装并验收合格后，按要求开具发票，</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收到发票后</w:t>
      </w:r>
      <w:r>
        <w:rPr>
          <w:rFonts w:hint="eastAsia" w:ascii="宋体" w:hAnsi="宋体" w:eastAsia="宋体" w:cs="宋体"/>
          <w:color w:val="000000"/>
          <w:sz w:val="24"/>
          <w:szCs w:val="24"/>
          <w:highlight w:val="none"/>
          <w:lang w:val="en-US" w:eastAsia="zh-CN"/>
        </w:rPr>
        <w:t xml:space="preserve">30日内</w:t>
      </w:r>
      <w:r>
        <w:rPr>
          <w:rFonts w:hint="eastAsia" w:ascii="宋体" w:hAnsi="宋体" w:eastAsia="宋体" w:cs="宋体"/>
          <w:color w:val="000000"/>
          <w:sz w:val="24"/>
          <w:szCs w:val="24"/>
          <w:highlight w:val="none"/>
        </w:rPr>
        <w:t xml:space="preserve">付至</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lang w:val="en-US" w:eastAsia="zh-CN"/>
        </w:rPr>
        <w:t xml:space="preserve">价的100%。</w:t>
      </w:r>
      <w:r>
        <w:rPr>
          <w:rFonts w:hint="eastAsia" w:ascii="宋体" w:hAnsi="宋体" w:eastAsia="宋体" w:cs="宋体"/>
          <w:color w:val="000000"/>
          <w:sz w:val="24"/>
          <w:szCs w:val="24"/>
          <w:highlight w:val="none"/>
          <w:lang w:val="en-US" w:eastAsia="zh-CN"/>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必须开具有效全额发票，凭票向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申请付款，同时随票须附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所需办理付款的其他相关材料。因</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未及时提供发票及所需材料导致相应后果的，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不承担任何责任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 质量标准</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1、乙方应保证其所提交的产品质量符合如下要求，孰高者为准：</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1.1符合国家和行业最新标准及国家产品强制性认证（即3C认证）规定。</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1.2甲方对产品有特殊要求的，按甲乙双方商定的技术条件或补充的技术要求执行；</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2、甲方对产品有特殊要求的，甲方需及时提出书面请求，后按甲乙双方商定的技术条件或补充的技术要求达成书面文件并执行。</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4、乙方应保证甲方在使用该货物或其任何一部分时不受第三方提出侵犯其专利权、著作权、商标权等知识产权的起诉。一旦出现侵权、索赔或诉讼，乙方应承担全部责任，同时甲方有权解除本合同。</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第六条 产品包装与产品损耗</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1、产品的包装应为</w:t>
      </w:r>
      <w:r>
        <w:rPr>
          <w:rFonts w:hint="eastAsia" w:ascii="宋体" w:hAnsi="宋体" w:eastAsia="宋体" w:cs="宋体"/>
          <w:color w:val="000000"/>
          <w:sz w:val="24"/>
          <w:szCs w:val="24"/>
          <w:highlight w:val="none"/>
          <w:u w:val="singl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2、包装物（不回收/回收）：</w:t>
      </w:r>
      <w:r>
        <w:rPr>
          <w:rFonts w:hint="eastAsia" w:ascii="宋体" w:hAnsi="宋体" w:eastAsia="宋体" w:cs="宋体"/>
          <w:color w:val="000000"/>
          <w:sz w:val="24"/>
          <w:szCs w:val="24"/>
          <w:highlight w:val="none"/>
          <w:u w:val="single"/>
        </w:rPr>
        <w:t xml:space="preserve">包装物不回收，但乙方安装完成应将包装物和安装产生的垃圾带离相关场所。</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每一包装单元内应附详细的装箱单和质量合格凭证。</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、本合同结算数量以交货验收合格的数量为准，</w:t>
      </w:r>
      <w:r>
        <w:rPr>
          <w:rFonts w:hint="eastAsia" w:ascii="宋体" w:hAnsi="宋体" w:eastAsia="宋体" w:cs="宋体"/>
          <w:bCs/>
          <w:color w:val="000000"/>
          <w:sz w:val="24"/>
          <w:szCs w:val="24"/>
          <w:highlight w:val="none"/>
        </w:rPr>
        <w:t xml:space="preserve">合同总价以最终结算数量为准做相应增减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第七条 交付、运输及保险</w:t>
      </w:r>
      <w:r>
        <w:rPr>
          <w:rFonts w:hint="eastAsia" w:ascii="宋体" w:hAnsi="宋体" w:eastAsia="宋体" w:cs="宋体"/>
          <w:b/>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highlight w:val="none"/>
          <w:u w:val="single"/>
        </w:rPr>
        <w:t xml:space="preserve">合同签订后</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0天内完成合同范围内所有设备的供货、安装调试完成。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lang w:val="en-US" w:eastAsia="zh-CN"/>
        </w:rPr>
        <w:t xml:space="preserve">和楼层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乙方应负责安排运输并承担运费、装卸费等相关费用。</w:t>
      </w:r>
      <w:r>
        <w:rPr>
          <w:rFonts w:hint="eastAsia" w:ascii="宋体" w:hAnsi="宋体" w:eastAsia="宋体" w:cs="宋体"/>
          <w:bCs/>
          <w:color w:val="000000"/>
          <w:sz w:val="24"/>
          <w:szCs w:val="24"/>
          <w:highlight w:val="none"/>
        </w:rPr>
        <w:t xml:space="preserve">在运输和卸货过程中所涉及的一切安全责任，均由乙方负责。</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4、其他：</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b/>
          <w:color w:val="000000"/>
          <w:sz w:val="24"/>
          <w:szCs w:val="24"/>
          <w:highlight w:val="none"/>
          <w:u w:val="single"/>
        </w:rPr>
      </w:r>
      <w:r/>
    </w:p>
    <w:p>
      <w:pPr>
        <w:pStyle w:val="76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第八条 产品验收</w:t>
      </w:r>
      <w:r>
        <w:rPr>
          <w:rFonts w:hint="eastAsia" w:ascii="宋体" w:hAnsi="宋体" w:eastAsia="宋体" w:cs="宋体"/>
          <w:b/>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乙方应当在合同签订后</w:t>
      </w:r>
      <w:r>
        <w:rPr>
          <w:rFonts w:hint="eastAsia" w:ascii="宋体" w:hAnsi="宋体" w:eastAsia="宋体" w:cs="宋体"/>
          <w:sz w:val="24"/>
          <w:szCs w:val="24"/>
          <w:highlight w:val="none"/>
          <w:lang w:val="en-US" w:eastAsia="zh-CN"/>
        </w:rPr>
        <w:t xml:space="preserve"> 30 </w:t>
      </w:r>
      <w:r>
        <w:rPr>
          <w:rFonts w:hint="eastAsia" w:ascii="宋体" w:hAnsi="宋体" w:eastAsia="宋体" w:cs="宋体"/>
          <w:sz w:val="24"/>
          <w:szCs w:val="24"/>
          <w:highlight w:val="none"/>
        </w:rPr>
        <w:t xml:space="preserve">天内将货物安装调试完毕交付甲方正常使用，地点由甲方指定。招标文件有约定的，从其约定。</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货物的到货验收包括：生产厂家名称、品牌、型号、规格、数量、外观质量、配置及货物包装是否完好。</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a.重新调试直至合格为止；</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b.要求乙方对货物进行免费更换，然后重新调试直至合格为止。</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甲方因乙方原因所产生的所有费用均由乙方负担。 </w:t>
      </w:r>
      <w:r>
        <w:rPr>
          <w:rFonts w:hint="eastAsia" w:ascii="宋体" w:hAnsi="宋体" w:eastAsia="宋体" w:cs="宋体"/>
          <w:sz w:val="24"/>
          <w:szCs w:val="24"/>
          <w:highlight w:val="none"/>
        </w:rPr>
      </w:r>
      <w:r/>
    </w:p>
    <w:p>
      <w:pPr>
        <w:pStyle w:val="769"/>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r>
      <w:r/>
    </w:p>
    <w:p>
      <w:pPr>
        <w:pStyle w:val="76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九</w:t>
      </w:r>
      <w:r>
        <w:rPr>
          <w:rFonts w:hint="eastAsia" w:ascii="宋体" w:hAnsi="宋体" w:eastAsia="宋体" w:cs="宋体"/>
          <w:b/>
          <w:color w:val="000000"/>
          <w:sz w:val="24"/>
          <w:szCs w:val="24"/>
          <w:highlight w:val="none"/>
        </w:rPr>
        <w:t xml:space="preserve">条 伴随服务／售后服务</w:t>
      </w:r>
      <w:r>
        <w:rPr>
          <w:rFonts w:hint="eastAsia" w:ascii="宋体" w:hAnsi="宋体" w:eastAsia="宋体" w:cs="宋体"/>
          <w:b/>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除前款规定外，乙方还应提供下列服务：</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（1）货物的现场安装、调试或启动监督；</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（2）就货物的安装、启动、运行及维护等对甲方人员进行免费培训。</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若招标文件中不包含有关伴随服务或售后服务的承诺，双方作如下约定：</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3.2所购货物按乙方投标承诺提供免费维护和质量保证，保修费用计入总价。</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3.3保修期内，乙方负责对其提供的货物整机进行维修和系统维护，不再收取任何费用，但不可抗力（如火灾、雷击等）造成的故障除外。</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3.4货物故障报修的响应时间按乙方投标承诺执行。</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质量保证期内免费更换零配件（人为损坏除外），质量保证期满后实行终身有偿维修保养。投标人接到保修请求，维修应在</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rPr>
        <w:t xml:space="preserve">小时内响应，</w:t>
      </w:r>
      <w:r>
        <w:rPr>
          <w:rFonts w:hint="eastAsia" w:ascii="宋体" w:hAnsi="宋体" w:eastAsia="宋体" w:cs="宋体"/>
          <w:color w:val="000000"/>
          <w:sz w:val="24"/>
          <w:szCs w:val="24"/>
          <w:highlight w:val="none"/>
          <w:u w:val="single"/>
          <w:lang w:val="en-US" w:eastAsia="zh-CN"/>
        </w:rPr>
        <w:t xml:space="preserve"> 24 </w:t>
      </w:r>
      <w:r>
        <w:rPr>
          <w:rFonts w:hint="eastAsia" w:ascii="宋体" w:hAnsi="宋体" w:eastAsia="宋体" w:cs="宋体"/>
          <w:color w:val="000000"/>
          <w:sz w:val="24"/>
          <w:szCs w:val="24"/>
          <w:highlight w:val="none"/>
        </w:rPr>
        <w:t xml:space="preserve">小时内维修人员到达现场，排除故障；</w:t>
      </w:r>
      <w:r>
        <w:rPr>
          <w:rFonts w:hint="eastAsia" w:ascii="宋体" w:hAnsi="宋体" w:eastAsia="宋体" w:cs="宋体"/>
          <w:color w:val="000000"/>
          <w:sz w:val="24"/>
          <w:szCs w:val="24"/>
          <w:highlight w:val="none"/>
          <w:u w:val="single"/>
          <w:lang w:val="en-US" w:eastAsia="zh-CN"/>
        </w:rPr>
        <w:t xml:space="preserve"> 48 </w:t>
      </w:r>
      <w:r>
        <w:rPr>
          <w:rFonts w:hint="eastAsia" w:ascii="宋体" w:hAnsi="宋体" w:eastAsia="宋体" w:cs="宋体"/>
          <w:color w:val="000000"/>
          <w:sz w:val="24"/>
          <w:szCs w:val="24"/>
          <w:highlight w:val="none"/>
        </w:rPr>
        <w:t xml:space="preserve">小时内解决故障问题，恢复设备正常使用。质保期后，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提供终生服务，保证零配件的供给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售后服务免收所有人工费用，所需材料须经甲方认可、价格以同期《常州工程造价信息》材料信息价的70%为准（若无信息价，则参考市场同类产品报价）。</w:t>
      </w:r>
      <w:r>
        <w:rPr>
          <w:rFonts w:hint="eastAsia" w:ascii="宋体" w:hAnsi="宋体" w:eastAsia="宋体" w:cs="宋体"/>
          <w:b w:val="0"/>
          <w:bCs/>
          <w:color w:val="000000"/>
          <w:sz w:val="24"/>
          <w:szCs w:val="24"/>
          <w:highlight w:val="none"/>
          <w:lang w:val="en-US" w:eastAsia="zh-CN"/>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所有货物保修服务方式均为乙方上门保修，即由乙方派员到货物使用现场维修，由此产生的一切费用均由乙方承担。</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保修期后的货物维护由双方协商再定。</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本项目免费</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保修期为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年。自产品验收</w:t>
      </w:r>
      <w:r>
        <w:rPr>
          <w:rFonts w:hint="eastAsia" w:ascii="宋体" w:hAnsi="宋体" w:eastAsia="宋体" w:cs="宋体"/>
          <w:color w:val="000000"/>
          <w:sz w:val="24"/>
          <w:szCs w:val="24"/>
          <w:highlight w:val="none"/>
          <w:lang w:val="en-US" w:eastAsia="zh-CN"/>
        </w:rPr>
        <w:t xml:space="preserve">报告签字</w:t>
      </w:r>
      <w:r>
        <w:rPr>
          <w:rFonts w:hint="eastAsia" w:ascii="宋体" w:hAnsi="宋体" w:eastAsia="宋体" w:cs="宋体"/>
          <w:color w:val="000000"/>
          <w:sz w:val="24"/>
          <w:szCs w:val="24"/>
          <w:highlight w:val="none"/>
        </w:rPr>
        <w:t xml:space="preserve">之日起计算。</w:t>
      </w:r>
      <w:r>
        <w:rPr>
          <w:rFonts w:hint="eastAsia" w:ascii="宋体" w:hAnsi="宋体" w:eastAsia="宋体" w:cs="宋体"/>
          <w:color w:val="000000"/>
          <w:sz w:val="24"/>
          <w:szCs w:val="24"/>
          <w:highlight w:val="none"/>
          <w:u w:val="singl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第十条 违约责任</w:t>
      </w:r>
      <w:r>
        <w:rPr>
          <w:rFonts w:hint="eastAsia" w:ascii="宋体" w:hAnsi="宋体" w:eastAsia="宋体" w:cs="宋体"/>
          <w:b/>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乙方不能按时交付货物完成安装调试的，每逾期1天，乙方向甲方偿付合同总额5‰的违约金；乙方逾期交付货物或完成安装调试超过10天（含10天），甲方有权解除合同，乙方交纳的全部履约保证金不予退还，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甲方未按合同规定的期限向乙方支付货款的，每逾期1天甲方向乙方偿付欠款总额的5‰滞纳金，但累计滞纳金总额不超过欠款总额的5% 。</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乙方所交付的货物品种、型号、规格不符合合同规定的，甲方有权拒收，同时有权解除合同，全部履约保证金不予退还，解除合同的通知自发出之日生效。</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不予退还履约保证金和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乙方未按本合同规定向甲方交付履约保证金的，甲方有权拒绝签订本合同，同时乙方应按应交付履约保证金的100%向甲方支付违约金。</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乙方未按本合同的规定和</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服务承诺提供伴随服务/售后服务的，甲方有权提前解除本合同，同时乙方应按合同总价款的5%向甲方承担违约责任。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1、如果发生签约时不能预见的事故，而双方又不能避免或克服其影响，该事故即构成不可抗力。这些事故包括但不限于自然灾害（如地震、失火、洪水等恶劣天气）和战争。</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2、在履行本合同期间，由于各方面都无法控制的不可抗力因素而造成本合同无法履行或延迟履行，不应视为违约。</w:t>
      </w:r>
      <w:r>
        <w:rPr>
          <w:rFonts w:hint="eastAsia" w:ascii="宋体" w:hAnsi="宋体" w:eastAsia="宋体" w:cs="宋体"/>
          <w:color w:val="000000"/>
          <w:sz w:val="24"/>
          <w:szCs w:val="24"/>
          <w:highlight w:val="none"/>
        </w:rPr>
      </w:r>
      <w:r/>
    </w:p>
    <w:p>
      <w:pPr>
        <w:pStyle w:val="769"/>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3、当不可抗力发生后，受害方应以最快的方式通知对方，并提供有效的书面证明，而且在所有情况下，均应积极采取措施，以消除或减少不可抗力所造成的影响。</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条 争议解决</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在法院审理和仲裁期间，除有争议部分外，本合同其他部分应继续履行。</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本合同一经签订，甲乙双方不得擅自变更、中止或终止合同。</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除发生法律规定的不能预见、不能避免并不能克服的客观情况外，甲乙双方不得放弃或拒绝履行合同。乙方放弃或拒绝履行合同，履约保证金不予退还。</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条 质量问题或缺陷的索赔</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乙方交付货物后，甲方发现货物的质量与合同内容不符或证实货物存在缺陷的（包括潜在缺陷），乙方应在收到甲方</w:t>
      </w:r>
      <w:r>
        <w:rPr>
          <w:rFonts w:hint="eastAsia" w:ascii="宋体" w:hAnsi="宋体" w:eastAsia="宋体" w:cs="宋体"/>
          <w:color w:val="000000"/>
          <w:sz w:val="24"/>
          <w:szCs w:val="24"/>
          <w:highlight w:val="none"/>
        </w:rPr>
        <w:t xml:space="preserve">索赔通知后3日内到甲方处，商量解决货物质量或缺陷问题。若乙方未在上述约定时间内到场解决，因此产生的损失以及扩大损失全部由乙方承担，甲方有权选择解除合同，要求退还全部货物，返还所有货款，不予退还全部履约保证金，并有权按照合同总额5%标准向乙方主张违约金；或者有权安排第三方解决货物质量或缺陷问题，因此产生的所有费用全部由乙方承担，甲方可以在应付乙方的货款中直接扣除，同时甲方不予退还全部履约保证金，并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769"/>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条 其他条款</w:t>
      </w:r>
      <w:r>
        <w:rPr>
          <w:rFonts w:hint="eastAsia" w:ascii="宋体" w:hAnsi="宋体" w:eastAsia="宋体" w:cs="宋体"/>
          <w:b/>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1、本合同自双方方代表签字或单位盖章后生效。如尚有未尽事宜，双方可根据具体情况结合有关规定约定附则条款，作为本合同附件，与本合同具有同等法律效力。</w:t>
      </w:r>
      <w:r>
        <w:rPr>
          <w:rFonts w:hint="eastAsia" w:ascii="宋体" w:hAnsi="宋体" w:eastAsia="宋体" w:cs="宋体"/>
          <w:color w:val="000000"/>
          <w:sz w:val="24"/>
          <w:szCs w:val="24"/>
          <w:highlight w:val="none"/>
        </w:rPr>
      </w:r>
      <w:r/>
    </w:p>
    <w:p>
      <w:pPr>
        <w:pStyle w:val="769"/>
        <w:ind w:firstLine="480"/>
        <w:jc w:val="left"/>
        <w:keepLines w:val="0"/>
        <w:keepNext w:val="0"/>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伍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779"/>
        <w:keepLines w:val="0"/>
        <w:keepNext w:val="0"/>
        <w:pageBreakBefore w:val="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、本合同履行完成后自动终止。</w:t>
      </w:r>
      <w:r>
        <w:rPr>
          <w:rFonts w:hint="eastAsia" w:ascii="宋体" w:hAnsi="宋体" w:eastAsia="宋体" w:cs="宋体"/>
          <w:b/>
          <w:bCs/>
          <w:color w:val="000000"/>
          <w:sz w:val="24"/>
          <w:szCs w:val="24"/>
          <w:highlight w:val="none"/>
        </w:rPr>
      </w:r>
      <w:r/>
    </w:p>
    <w:p>
      <w:pPr>
        <w:pStyle w:val="776"/>
        <w:keepLines w:val="0"/>
        <w:keepNext w:val="0"/>
        <w:pageBreakBefore w:val="0"/>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6"/>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甲方(盖章):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乙方(盖章):</w:t>
      </w:r>
      <w:r>
        <w:rPr>
          <w:rFonts w:hint="eastAsia" w:ascii="宋体" w:hAnsi="宋体" w:eastAsia="宋体" w:cs="宋体"/>
          <w:color w:val="000000"/>
          <w:sz w:val="24"/>
          <w:szCs w:val="24"/>
          <w:highlight w:val="none"/>
        </w:rPr>
      </w:r>
      <w:r/>
    </w:p>
    <w:p>
      <w:pPr>
        <w:pStyle w:val="76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rPr>
      </w:r>
      <w:r/>
    </w:p>
    <w:p>
      <w:pPr>
        <w:pStyle w:val="76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     </w:t>
      </w:r>
      <w:r>
        <w:rPr>
          <w:rFonts w:hint="eastAsia" w:ascii="宋体" w:hAnsi="宋体" w:eastAsia="宋体" w:cs="宋体"/>
          <w:color w:val="000000"/>
          <w:sz w:val="24"/>
          <w:szCs w:val="24"/>
          <w:highlight w:val="none"/>
        </w:rPr>
      </w:r>
      <w:r/>
    </w:p>
    <w:p>
      <w:pPr>
        <w:pStyle w:val="76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经办人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经办人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9"/>
        <w:ind w:firstLine="0"/>
        <w:spacing w:line="360" w:lineRule="auto"/>
        <w:rPr>
          <w:rStyle w:val="839"/>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电话：                                   电话：</w:t>
      </w:r>
      <w:r>
        <w:rPr>
          <w:rStyle w:val="839"/>
          <w:rFonts w:hint="eastAsia" w:ascii="宋体" w:hAnsi="宋体" w:eastAsia="宋体" w:cs="宋体"/>
          <w:color w:val="000000"/>
          <w:highlight w:val="none"/>
        </w:rPr>
      </w:r>
      <w:r/>
    </w:p>
    <w:p>
      <w:pPr>
        <w:pStyle w:val="769"/>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769"/>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769"/>
        <w:spacing w:line="360" w:lineRule="auto"/>
        <w:rPr>
          <w:rFonts w:ascii="宋体" w:hAnsi="宋体" w:cs="宋体"/>
          <w:bCs/>
          <w:sz w:val="24"/>
          <w:highlight w:val="none"/>
        </w:rPr>
      </w:pPr>
      <w:r>
        <w:rPr>
          <w:rFonts w:hint="eastAsia" w:ascii="宋体" w:hAnsi="宋体" w:cs="宋体"/>
          <w:b/>
          <w:bCs/>
          <w:sz w:val="24"/>
          <w:highlight w:val="none"/>
        </w:rPr>
        <w:t xml:space="preserve">见证方：</w:t>
      </w:r>
      <w:r>
        <w:rPr>
          <w:rFonts w:hint="eastAsia" w:ascii="宋体" w:hAnsi="宋体" w:cs="宋体"/>
          <w:sz w:val="24"/>
          <w:highlight w:val="none"/>
        </w:rPr>
        <w:t xml:space="preserve">常州中宇建设工程管理有限公司</w:t>
      </w:r>
      <w:r>
        <w:rPr>
          <w:rFonts w:ascii="宋体" w:hAnsi="宋体" w:cs="宋体"/>
          <w:bCs/>
          <w:sz w:val="24"/>
          <w:highlight w:val="none"/>
        </w:rPr>
      </w:r>
      <w:r/>
    </w:p>
    <w:p>
      <w:pPr>
        <w:pStyle w:val="769"/>
        <w:spacing w:line="360" w:lineRule="auto"/>
        <w:rPr>
          <w:rFonts w:ascii="宋体" w:hAnsi="宋体" w:cs="宋体"/>
          <w:bCs/>
          <w:sz w:val="24"/>
          <w:highlight w:val="none"/>
        </w:rPr>
      </w:pPr>
      <w:r>
        <w:rPr>
          <w:rFonts w:hint="eastAsia" w:ascii="宋体" w:hAnsi="宋体" w:cs="宋体"/>
          <w:bCs/>
          <w:sz w:val="24"/>
          <w:highlight w:val="none"/>
        </w:rPr>
        <w:t xml:space="preserve">联系电话： </w:t>
      </w:r>
      <w:r>
        <w:rPr>
          <w:rFonts w:ascii="宋体" w:hAnsi="宋体" w:cs="宋体"/>
          <w:bCs/>
          <w:sz w:val="24"/>
          <w:highlight w:val="none"/>
        </w:rPr>
      </w:r>
      <w:r/>
    </w:p>
    <w:p>
      <w:pPr>
        <w:pStyle w:val="769"/>
        <w:ind w:firstLine="0"/>
        <w:spacing w:line="360" w:lineRule="auto"/>
        <w:rPr>
          <w:rFonts w:hint="eastAsia" w:ascii="宋体" w:hAnsi="宋体" w:cs="宋体"/>
          <w:bCs/>
          <w:sz w:val="24"/>
          <w:highlight w:val="none"/>
        </w:rPr>
      </w:pPr>
      <w:r>
        <w:rPr>
          <w:rFonts w:hint="eastAsia" w:ascii="宋体" w:hAnsi="宋体" w:cs="宋体"/>
          <w:bCs/>
          <w:sz w:val="24"/>
          <w:highlight w:val="none"/>
        </w:rPr>
        <w:t xml:space="preserve">联系人：</w:t>
      </w:r>
      <w:r>
        <w:rPr>
          <w:rFonts w:hint="eastAsia" w:ascii="宋体" w:hAnsi="宋体" w:cs="宋体"/>
          <w:bCs/>
          <w:sz w:val="24"/>
          <w:highlight w:val="none"/>
        </w:rPr>
      </w:r>
      <w:r/>
    </w:p>
    <w:p>
      <w:pPr>
        <w:pStyle w:val="769"/>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769"/>
        <w:spacing w:line="360" w:lineRule="auto"/>
        <w:rPr>
          <w:rFonts w:ascii="宋体" w:hAnsi="宋体" w:cs="宋体"/>
          <w:b/>
          <w:bCs/>
          <w:sz w:val="24"/>
          <w:highlight w:val="none"/>
        </w:rPr>
      </w:pPr>
      <w:r>
        <w:rPr>
          <w:rFonts w:hint="eastAsia" w:ascii="宋体" w:hAnsi="宋体" w:cs="宋体"/>
          <w:b/>
          <w:bCs/>
          <w:sz w:val="24"/>
          <w:highlight w:val="none"/>
        </w:rPr>
        <w:t xml:space="preserve">注：上述格式及内容仅供参考，具体以甲方签订合同时内容为准。</w:t>
      </w:r>
      <w:r>
        <w:rPr>
          <w:rFonts w:ascii="宋体" w:hAnsi="宋体" w:cs="宋体"/>
          <w:b/>
          <w:bCs/>
          <w:sz w:val="24"/>
          <w:highlight w:val="none"/>
        </w:rPr>
      </w:r>
      <w:r/>
    </w:p>
    <w:p>
      <w:pPr>
        <w:pStyle w:val="769"/>
        <w:ind w:firstLine="0"/>
        <w:spacing w:line="360" w:lineRule="auto"/>
        <w:rPr>
          <w:rFonts w:hint="eastAsia" w:ascii="宋体" w:hAnsi="宋体" w:cs="宋体"/>
          <w:bCs/>
          <w:sz w:val="24"/>
          <w:highlight w:val="none"/>
        </w:rPr>
      </w:pPr>
      <w:r>
        <w:rPr>
          <w:rFonts w:hint="eastAsia" w:ascii="宋体" w:hAnsi="宋体" w:cs="宋体"/>
          <w:bCs/>
          <w:sz w:val="24"/>
          <w:highlight w:val="none"/>
        </w:rPr>
      </w:r>
      <w:r/>
    </w:p>
    <w:p>
      <w:pPr>
        <w:pStyle w:val="769"/>
        <w:ind w:firstLine="0"/>
        <w:spacing w:line="360" w:lineRule="auto"/>
        <w:rPr>
          <w:rFonts w:hint="eastAsia" w:ascii="宋体" w:hAnsi="宋体" w:cs="宋体"/>
          <w:bCs/>
          <w:sz w:val="24"/>
          <w:highlight w:val="none"/>
        </w:rPr>
      </w:pPr>
      <w:r>
        <w:rPr>
          <w:rFonts w:hint="eastAsia" w:ascii="宋体" w:hAnsi="宋体" w:cs="宋体"/>
          <w:bCs/>
          <w:sz w:val="24"/>
          <w:highlight w:val="none"/>
        </w:rPr>
      </w:r>
      <w:r/>
    </w:p>
    <w:p>
      <w:pPr>
        <w:pStyle w:val="769"/>
        <w:ind w:firstLine="0"/>
        <w:spacing w:line="360" w:lineRule="auto"/>
        <w:rPr>
          <w:rFonts w:hint="eastAsia" w:ascii="宋体" w:hAnsi="宋体" w:cs="宋体"/>
          <w:bCs/>
          <w:sz w:val="24"/>
          <w:highlight w:val="none"/>
        </w:rPr>
        <w:sectPr>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417" w:bottom="1418" w:left="1417" w:header="851" w:footer="851" w:gutter="0"/>
          <w:pgNumType w:start="1"/>
          <w:cols w:num="1" w:sep="0" w:space="1701" w:equalWidth="1"/>
          <w:docGrid w:linePitch="360"/>
        </w:sectPr>
      </w:pPr>
      <w:r>
        <w:rPr>
          <w:rFonts w:hint="eastAsia" w:ascii="宋体" w:hAnsi="宋体" w:cs="宋体"/>
          <w:bCs/>
          <w:sz w:val="24"/>
          <w:highlight w:val="none"/>
        </w:rPr>
      </w:r>
      <w:r/>
    </w:p>
    <w:p>
      <w:pPr>
        <w:pStyle w:val="769"/>
        <w:jc w:val="center"/>
        <w:spacing w:line="360" w:lineRule="auto"/>
        <w:rPr>
          <w:rFonts w:hint="eastAsia" w:ascii="宋体" w:hAnsi="宋体" w:eastAsia="宋体" w:cs="宋体"/>
          <w:b/>
          <w:color w:val="000000"/>
          <w:sz w:val="36"/>
          <w:szCs w:val="36"/>
          <w:highlight w:val="none"/>
        </w:rPr>
        <w:outlineLvl w:val="0"/>
      </w:pPr>
      <w:r/>
      <w:bookmarkEnd w:id="823"/>
      <w:r/>
      <w:bookmarkEnd w:id="824"/>
      <w:r/>
      <w:bookmarkStart w:id="825" w:name="_Toc19244"/>
      <w:r/>
      <w:bookmarkStart w:id="826" w:name="_Toc10045"/>
      <w:r>
        <w:rPr>
          <w:rFonts w:hint="eastAsia" w:ascii="宋体" w:hAnsi="宋体" w:eastAsia="宋体" w:cs="宋体"/>
          <w:b/>
          <w:color w:val="000000"/>
          <w:sz w:val="36"/>
          <w:szCs w:val="36"/>
          <w:highlight w:val="none"/>
        </w:rPr>
        <w:t xml:space="preserve">第七章   投标文件格式</w:t>
      </w:r>
      <w:bookmarkEnd w:id="825"/>
      <w:r/>
      <w:bookmarkEnd w:id="826"/>
      <w:r>
        <w:rPr>
          <w:rFonts w:hint="eastAsia" w:ascii="宋体" w:hAnsi="宋体" w:eastAsia="宋体" w:cs="宋体"/>
          <w:b/>
          <w:color w:val="000000"/>
          <w:sz w:val="36"/>
          <w:szCs w:val="36"/>
          <w:highlight w:val="none"/>
        </w:rPr>
      </w:r>
      <w:r/>
    </w:p>
    <w:p>
      <w:pPr>
        <w:pStyle w:val="769"/>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pStyle w:val="769"/>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pStyle w:val="769"/>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rPr>
          <w:rFonts w:hint="eastAsia" w:ascii="宋体" w:hAnsi="宋体" w:eastAsia="宋体" w:cs="宋体"/>
          <w:sz w:val="24"/>
          <w:highlight w:val="none"/>
        </w:rPr>
      </w:r>
      <w:r/>
    </w:p>
    <w:p>
      <w:pPr>
        <w:pStyle w:val="769"/>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sz w:val="24"/>
          <w:highlight w:val="none"/>
        </w:rPr>
      </w:r>
      <w:r/>
    </w:p>
    <w:p>
      <w:pPr>
        <w:pStyle w:val="769"/>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rPr>
          <w:rFonts w:hint="eastAsia" w:ascii="宋体" w:hAnsi="宋体" w:eastAsia="宋体" w:cs="宋体"/>
          <w:sz w:val="24"/>
          <w:highlight w:val="none"/>
        </w:rPr>
      </w:r>
      <w:r/>
    </w:p>
    <w:p>
      <w:pPr>
        <w:pStyle w:val="769"/>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rPr>
          <w:rFonts w:hint="eastAsia" w:ascii="宋体" w:hAnsi="宋体" w:eastAsia="宋体" w:cs="宋体"/>
          <w:sz w:val="24"/>
          <w:highlight w:val="none"/>
        </w:rPr>
      </w:r>
      <w:r/>
    </w:p>
    <w:p>
      <w:pPr>
        <w:pStyle w:val="769"/>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w:t>
      </w:r>
      <w:r>
        <w:rPr>
          <w:rFonts w:hint="eastAsia" w:ascii="宋体" w:hAnsi="宋体" w:eastAsia="宋体" w:cs="宋体"/>
          <w:sz w:val="24"/>
          <w:szCs w:val="20"/>
          <w:highlight w:val="none"/>
        </w:rPr>
        <w:t xml:space="preserve">签字、签章或印鉴</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rFonts w:hint="eastAsia" w:ascii="宋体" w:hAnsi="宋体" w:eastAsia="宋体" w:cs="宋体"/>
          <w:sz w:val="24"/>
          <w:highlight w:val="none"/>
        </w:rPr>
      </w:r>
      <w:r/>
    </w:p>
    <w:p>
      <w:pPr>
        <w:pStyle w:val="769"/>
        <w:jc w:val="left"/>
        <w:keepLines/>
        <w:keepNext/>
        <w:spacing w:before="120" w:line="300" w:lineRule="auto"/>
        <w:rPr>
          <w:rFonts w:hint="eastAsia" w:ascii="宋体" w:hAnsi="宋体" w:eastAsia="宋体" w:cs="宋体"/>
          <w:b/>
          <w:sz w:val="30"/>
          <w:szCs w:val="20"/>
          <w:highlight w:val="none"/>
        </w:rPr>
        <w:outlineLvl w:val="1"/>
      </w:pPr>
      <w:r>
        <w:rPr>
          <w:rFonts w:hint="eastAsia" w:ascii="宋体" w:hAnsi="宋体" w:eastAsia="宋体" w:cs="宋体"/>
          <w:b/>
          <w:spacing w:val="20"/>
          <w:sz w:val="24"/>
          <w:highlight w:val="none"/>
        </w:rPr>
        <w:t xml:space="preserve">一、资格证明文件格式</w:t>
      </w:r>
      <w:r>
        <w:rPr>
          <w:rFonts w:hint="eastAsia" w:ascii="宋体" w:hAnsi="宋体" w:eastAsia="宋体" w:cs="宋体"/>
          <w:b/>
          <w:sz w:val="30"/>
          <w:szCs w:val="20"/>
          <w:highlight w:val="none"/>
        </w:rPr>
      </w:r>
      <w:r/>
    </w:p>
    <w:p>
      <w:pPr>
        <w:pStyle w:val="769"/>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pStyle w:val="769"/>
        <w:jc w:val="cente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rPr>
          <w:rFonts w:hint="eastAsia" w:ascii="宋体" w:hAnsi="宋体" w:eastAsia="宋体" w:cs="宋体"/>
          <w:b/>
          <w:sz w:val="24"/>
          <w:highlight w:val="none"/>
        </w:rPr>
      </w:r>
      <w:r/>
    </w:p>
    <w:p>
      <w:pPr>
        <w:pStyle w:val="769"/>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769"/>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rPr>
          <w:rFonts w:hint="eastAsia" w:ascii="宋体" w:hAnsi="宋体" w:eastAsia="宋体" w:cs="宋体"/>
          <w:b/>
          <w:spacing w:val="60"/>
          <w:sz w:val="84"/>
          <w:szCs w:val="84"/>
          <w:highlight w:val="none"/>
        </w:rPr>
      </w:r>
      <w:r/>
    </w:p>
    <w:p>
      <w:pPr>
        <w:pStyle w:val="769"/>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pStyle w:val="769"/>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pStyle w:val="769"/>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pStyle w:val="769"/>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pStyle w:val="769"/>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769"/>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69"/>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69"/>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769"/>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69"/>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rPr>
          <w:rFonts w:hint="eastAsia" w:ascii="宋体" w:hAnsi="宋体" w:eastAsia="宋体" w:cs="宋体"/>
          <w:b/>
          <w:sz w:val="32"/>
          <w:szCs w:val="32"/>
          <w:highlight w:val="none"/>
        </w:rPr>
        <w:t xml:space="preserve">一、资格证明文件</w:t>
      </w:r>
      <w:r>
        <w:rPr>
          <w:rFonts w:hint="eastAsia" w:ascii="宋体" w:hAnsi="宋体" w:eastAsia="宋体" w:cs="宋体"/>
          <w:b/>
          <w:sz w:val="32"/>
          <w:szCs w:val="32"/>
          <w:highlight w:val="none"/>
        </w:rPr>
      </w:r>
      <w:r/>
    </w:p>
    <w:p>
      <w:pPr>
        <w:pStyle w:val="769"/>
        <w:rPr>
          <w:rFonts w:hint="eastAsia" w:ascii="宋体" w:hAnsi="宋体" w:eastAsia="宋体" w:cs="宋体"/>
          <w:b/>
          <w:highlight w:val="none"/>
        </w:rPr>
      </w:pPr>
      <w:r>
        <w:rPr>
          <w:rFonts w:hint="eastAsia" w:ascii="宋体" w:hAnsi="宋体" w:eastAsia="宋体" w:cs="宋体"/>
          <w:b/>
          <w:highlight w:val="none"/>
        </w:rPr>
      </w:r>
      <w:r/>
    </w:p>
    <w:p>
      <w:pPr>
        <w:pStyle w:val="769"/>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t xml:space="preserve">1 </w:t>
      </w:r>
      <w:r>
        <w:rPr>
          <w:rFonts w:hint="eastAsia" w:ascii="宋体" w:hAnsi="宋体" w:eastAsia="宋体" w:cs="宋体"/>
          <w:sz w:val="24"/>
          <w:highlight w:val="none"/>
        </w:rPr>
        <w:t xml:space="preserve">满足《中华人民共和国政府采购法》第二十二条规定及法律法规的其他规定</w:t>
      </w:r>
      <w:r>
        <w:rPr>
          <w:rFonts w:hint="eastAsia" w:ascii="宋体" w:hAnsi="宋体" w:eastAsia="宋体" w:cs="宋体"/>
          <w:sz w:val="24"/>
          <w:szCs w:val="20"/>
          <w:highlight w:val="none"/>
        </w:rPr>
      </w:r>
      <w:r/>
    </w:p>
    <w:p>
      <w:pPr>
        <w:pStyle w:val="989"/>
        <w:rPr>
          <w:rFonts w:hint="eastAsia" w:ascii="宋体" w:hAnsi="宋体" w:eastAsia="宋体" w:cs="宋体"/>
          <w:b w:val="0"/>
          <w:bCs/>
          <w:sz w:val="24"/>
          <w:szCs w:val="18"/>
          <w:highlight w:val="none"/>
        </w:rPr>
        <w:outlineLvl w:val="3"/>
      </w:pPr>
      <w:r>
        <w:rPr>
          <w:rFonts w:hint="eastAsia" w:ascii="宋体" w:hAnsi="宋体" w:eastAsia="宋体" w:cs="宋体"/>
          <w:b w:val="0"/>
          <w:sz w:val="24"/>
          <w:szCs w:val="18"/>
          <w:highlight w:val="none"/>
        </w:rPr>
        <w:t xml:space="preserve">1-1 投标人资格声明函（实质性格式）</w:t>
      </w:r>
      <w:r>
        <w:rPr>
          <w:rFonts w:hint="eastAsia" w:ascii="宋体" w:hAnsi="宋体" w:eastAsia="宋体" w:cs="宋体"/>
          <w:b w:val="0"/>
          <w:bCs/>
          <w:sz w:val="24"/>
          <w:szCs w:val="18"/>
          <w:highlight w:val="none"/>
        </w:rPr>
      </w:r>
      <w:r/>
    </w:p>
    <w:p>
      <w:pPr>
        <w:pStyle w:val="769"/>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69"/>
        <w:jc w:val="center"/>
        <w:spacing w:before="120" w:line="360" w:lineRule="auto"/>
        <w:widowControl/>
        <w:rPr>
          <w:rFonts w:hint="eastAsia" w:ascii="宋体" w:hAnsi="宋体" w:eastAsia="宋体" w:cs="宋体"/>
          <w:szCs w:val="21"/>
          <w:highlight w:val="none"/>
        </w:rPr>
      </w:pPr>
      <w:r>
        <w:rPr>
          <w:rFonts w:hint="eastAsia" w:ascii="宋体" w:hAnsi="宋体" w:eastAsia="宋体" w:cs="宋体"/>
          <w:b/>
          <w:sz w:val="28"/>
          <w:szCs w:val="28"/>
          <w:highlight w:val="none"/>
        </w:rPr>
        <w:t xml:space="preserve">投标人资格声明函</w:t>
      </w:r>
      <w:r>
        <w:rPr>
          <w:rFonts w:hint="eastAsia" w:ascii="宋体" w:hAnsi="宋体" w:eastAsia="宋体" w:cs="宋体"/>
          <w:szCs w:val="21"/>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致：常州中宇建设工程管理有限公司</w:t>
      </w:r>
      <w:r>
        <w:rPr>
          <w:rFonts w:hint="eastAsia" w:hAnsi="宋体" w:eastAsia="宋体" w:cs="宋体"/>
          <w:highlight w:val="none"/>
        </w:rPr>
      </w:r>
      <w:r/>
    </w:p>
    <w:p>
      <w:pPr>
        <w:pStyle w:val="779"/>
        <w:ind w:firstLine="1024"/>
        <w:spacing w:line="460" w:lineRule="exact"/>
        <w:rPr>
          <w:rFonts w:hint="eastAsia" w:hAnsi="宋体" w:eastAsia="宋体" w:cs="宋体"/>
          <w:highlight w:val="none"/>
          <w:lang w:eastAsia="zh-CN"/>
        </w:rPr>
      </w:pPr>
      <w:r>
        <w:rPr>
          <w:rFonts w:hint="eastAsia" w:hAnsi="宋体" w:eastAsia="宋体" w:cs="宋体"/>
          <w:highlight w:val="none"/>
          <w:lang w:eastAsia="zh-CN"/>
        </w:rPr>
        <w:t xml:space="preserve">常州市广化小学校</w:t>
      </w:r>
      <w:r>
        <w:rPr>
          <w:rFonts w:hint="eastAsia" w:hAnsi="宋体" w:eastAsia="宋体" w:cs="宋体"/>
          <w:highlight w:val="none"/>
          <w:lang w:eastAsia="zh-CN"/>
        </w:rPr>
      </w:r>
      <w:r/>
    </w:p>
    <w:p>
      <w:pPr>
        <w:pStyle w:val="779"/>
        <w:ind w:firstLine="1024"/>
        <w:spacing w:line="460" w:lineRule="exact"/>
        <w:rPr>
          <w:rFonts w:hint="eastAsia" w:hAnsi="宋体" w:eastAsia="宋体" w:cs="宋体"/>
          <w:highlight w:val="none"/>
        </w:rPr>
      </w:pP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按照《中华人民共和国政府采购法》第二十二条和招标文件的规定，我单位郑重声明如下：</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一、我单位是按照中华人民共和国法律规定登记注册的，注册地点为</w:t>
      </w:r>
      <w:r>
        <w:rPr>
          <w:rFonts w:hint="eastAsia" w:hAnsi="宋体" w:eastAsia="宋体" w:cs="宋体"/>
          <w:highlight w:val="none"/>
          <w:u w:val="single"/>
        </w:rPr>
        <w:t xml:space="preserve">         </w:t>
      </w:r>
      <w:r>
        <w:rPr>
          <w:rFonts w:hint="eastAsia" w:hAnsi="宋体" w:eastAsia="宋体" w:cs="宋体"/>
          <w:highlight w:val="none"/>
        </w:rPr>
        <w:t xml:space="preserve">，全称为</w:t>
      </w:r>
      <w:r>
        <w:rPr>
          <w:rFonts w:hint="eastAsia" w:hAnsi="宋体" w:eastAsia="宋体" w:cs="宋体"/>
          <w:highlight w:val="none"/>
          <w:u w:val="single"/>
        </w:rPr>
        <w:t xml:space="preserve">        </w:t>
      </w:r>
      <w:r>
        <w:rPr>
          <w:rFonts w:hint="eastAsia" w:hAnsi="宋体" w:eastAsia="宋体" w:cs="宋体"/>
          <w:highlight w:val="none"/>
        </w:rPr>
        <w:t xml:space="preserve">，统一社会信用代码为</w:t>
      </w:r>
      <w:r>
        <w:rPr>
          <w:rFonts w:hint="eastAsia" w:hAnsi="宋体" w:eastAsia="宋体" w:cs="宋体"/>
          <w:highlight w:val="none"/>
          <w:u w:val="single"/>
        </w:rPr>
        <w:t xml:space="preserve">           </w:t>
      </w:r>
      <w:r>
        <w:rPr>
          <w:rFonts w:hint="eastAsia" w:hAnsi="宋体" w:eastAsia="宋体" w:cs="宋体"/>
          <w:highlight w:val="none"/>
        </w:rPr>
        <w:t xml:space="preserve"> ，法定代表人（单位负责人）为</w:t>
      </w:r>
      <w:r>
        <w:rPr>
          <w:rFonts w:hint="eastAsia" w:hAnsi="宋体" w:eastAsia="宋体" w:cs="宋体"/>
          <w:highlight w:val="none"/>
          <w:u w:val="single"/>
        </w:rPr>
        <w:t xml:space="preserve">         </w:t>
      </w:r>
      <w:r>
        <w:rPr>
          <w:rFonts w:hint="eastAsia" w:hAnsi="宋体" w:eastAsia="宋体" w:cs="宋体"/>
          <w:highlight w:val="none"/>
        </w:rPr>
        <w:t xml:space="preserve">，具有独立承担民事责任的能力。</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二、我单位具有良好的商业信誉（指投标人经营状况良好，无本资格声明第十条情形）和健全的财务会计制度。</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三、我单位依法进行纳税和社会保险申报并实际履行了义务。</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主要设备有：</w:t>
      </w:r>
      <w:r>
        <w:rPr>
          <w:rFonts w:hint="eastAsia" w:hAnsi="宋体" w:eastAsia="宋体" w:cs="宋体"/>
          <w:highlight w:val="none"/>
          <w:u w:val="single"/>
        </w:rPr>
        <w:t xml:space="preserve">            </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主要专业技术能力有</w:t>
      </w:r>
      <w:r>
        <w:rPr>
          <w:rFonts w:hint="eastAsia" w:hAnsi="宋体" w:eastAsia="宋体" w:cs="宋体"/>
          <w:highlight w:val="none"/>
          <w:u w:val="single"/>
        </w:rPr>
        <w:t xml:space="preserve">                 </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六、我单位具备法律、行政法规规定的其他条件。</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七、与我单位存在“单位负责人为同一人或者存在直接控股、管理关系”的其他单位信息如下（如无此情形的，填写“无”）：</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1、与我单位的法定代表人（单位负责人）为同一人的其他单位如下：</w:t>
      </w:r>
      <w:r>
        <w:rPr>
          <w:rFonts w:hint="eastAsia" w:hAnsi="宋体" w:eastAsia="宋体" w:cs="宋体"/>
          <w:highlight w:val="none"/>
          <w:u w:val="single"/>
        </w:rPr>
        <w:t xml:space="preserve">     </w:t>
      </w:r>
      <w:r>
        <w:rPr>
          <w:rFonts w:hint="eastAsia" w:hAnsi="宋体" w:eastAsia="宋体" w:cs="宋体"/>
          <w:highlight w:val="none"/>
        </w:rPr>
        <w:t xml:space="preserve">          </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2、我单位直接控股的其他单位如下：</w:t>
      </w:r>
      <w:r>
        <w:rPr>
          <w:rFonts w:hint="eastAsia" w:hAnsi="宋体" w:eastAsia="宋体" w:cs="宋体"/>
          <w:highlight w:val="none"/>
          <w:u w:val="single"/>
        </w:rPr>
        <w:t xml:space="preserve">                    </w:t>
      </w:r>
      <w:r>
        <w:rPr>
          <w:rFonts w:hint="eastAsia" w:hAnsi="宋体" w:eastAsia="宋体" w:cs="宋体"/>
          <w:highlight w:val="none"/>
        </w:rPr>
        <w:t xml:space="preserve"> </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3、与我单位存在管理关系的其他单位如下：</w:t>
      </w:r>
      <w:r>
        <w:rPr>
          <w:rFonts w:hint="eastAsia" w:hAnsi="宋体" w:eastAsia="宋体" w:cs="宋体"/>
          <w:highlight w:val="none"/>
          <w:u w:val="single"/>
        </w:rPr>
        <w:t xml:space="preserve">              </w:t>
      </w:r>
      <w:r>
        <w:rPr>
          <w:rFonts w:hint="eastAsia" w:hAnsi="宋体" w:eastAsia="宋体" w:cs="宋体"/>
          <w:highlight w:val="none"/>
        </w:rPr>
        <w:t xml:space="preserve"> </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lang w:eastAsia="zh-CN"/>
        </w:rPr>
        <w:t xml:space="preserve">八</w:t>
      </w:r>
      <w:r>
        <w:rPr>
          <w:rFonts w:hint="eastAsia" w:hAnsi="宋体" w:eastAsia="宋体" w:cs="宋体"/>
          <w:highlight w:val="none"/>
        </w:rPr>
        <w:t xml:space="preserve">、我单位无以下不良信用记录情形：</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1、在“信用中国”网站被列入失信被执行人和重大税收违法案件当事人名单；</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2、在“中国政府采购网”网站被列入政府采购严重违法失信行为记录名单；</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3、不符合《政府采购法》第二十二条规定的条件。</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我单位保证上述声明的事项都是真实的，如有虚假，我单位愿意承担相应的法律责任，并承担因此所造成的一切损失。</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                                     投标人：（加盖公章）</w:t>
      </w:r>
      <w:r>
        <w:rPr>
          <w:rFonts w:hint="eastAsia" w:hAnsi="宋体" w:eastAsia="宋体" w:cs="宋体"/>
          <w:highlight w:val="none"/>
        </w:rPr>
      </w:r>
      <w:r/>
    </w:p>
    <w:p>
      <w:pPr>
        <w:pStyle w:val="779"/>
        <w:ind w:firstLine="480"/>
        <w:spacing w:line="460" w:lineRule="exact"/>
        <w:rPr>
          <w:rFonts w:hint="eastAsia" w:hAnsi="宋体" w:eastAsia="宋体" w:cs="宋体"/>
          <w:highlight w:val="none"/>
        </w:rPr>
      </w:pPr>
      <w:r>
        <w:rPr>
          <w:rFonts w:hint="eastAsia" w:hAnsi="宋体" w:eastAsia="宋体" w:cs="宋体"/>
          <w:highlight w:val="none"/>
        </w:rPr>
        <w:t xml:space="preserve">                    法定代表人（或单位负责人）签字或盖章：</w:t>
      </w:r>
      <w:r>
        <w:rPr>
          <w:rFonts w:hint="eastAsia" w:hAnsi="宋体" w:eastAsia="宋体" w:cs="宋体"/>
          <w:highlight w:val="none"/>
        </w:rPr>
      </w:r>
      <w:r/>
    </w:p>
    <w:p>
      <w:pPr>
        <w:pStyle w:val="779"/>
        <w:ind w:firstLine="6340"/>
        <w:spacing w:line="460" w:lineRule="exact"/>
        <w:rPr>
          <w:rFonts w:hint="eastAsia" w:hAnsi="宋体" w:eastAsia="宋体" w:cs="宋体"/>
          <w:highlight w:val="none"/>
        </w:rPr>
      </w:pPr>
      <w:r>
        <w:rPr>
          <w:rFonts w:hint="eastAsia" w:hAnsi="宋体" w:eastAsia="宋体" w:cs="宋体"/>
          <w:highlight w:val="none"/>
        </w:rPr>
        <w:t xml:space="preserve">日期：  年  月  日</w:t>
      </w:r>
      <w:r>
        <w:rPr>
          <w:rFonts w:hint="eastAsia" w:hAnsi="宋体" w:eastAsia="宋体" w:cs="宋体"/>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供应商承诺不实的，依据《政府采购法》第七十七条“提供虚假材料谋取中标、成交的”有关规定予以处理。</w:t>
      </w:r>
      <w:r>
        <w:rPr>
          <w:rFonts w:hint="eastAsia" w:ascii="宋体" w:hAnsi="宋体" w:eastAsia="宋体" w:cs="宋体"/>
          <w:sz w:val="24"/>
          <w:highlight w:val="none"/>
        </w:rPr>
      </w:r>
      <w:r/>
    </w:p>
    <w:p>
      <w:pPr>
        <w:pStyle w:val="769"/>
        <w:ind w:firstLine="0"/>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line="360" w:lineRule="auto"/>
        <w:rPr>
          <w:rFonts w:hint="eastAsia" w:ascii="宋体" w:hAnsi="宋体" w:eastAsia="宋体" w:cs="宋体"/>
          <w:b/>
          <w:bCs/>
          <w:color w:val="000000"/>
          <w:sz w:val="24"/>
          <w:highlight w:val="none"/>
          <w:u w:val="single"/>
          <w:lang w:eastAsia="zh-CN"/>
        </w:rPr>
        <w:outlineLvl w:val="3"/>
      </w:pPr>
      <w:r>
        <w:rPr>
          <w:rFonts w:hint="eastAsia" w:ascii="宋体" w:hAnsi="宋体" w:eastAsia="宋体" w:cs="宋体"/>
          <w:b/>
          <w:bCs/>
          <w:color w:val="000000"/>
          <w:sz w:val="24"/>
          <w:highlight w:val="none"/>
          <w:u w:val="none"/>
        </w:rPr>
        <w:t xml:space="preserve">1-2提供有效</w:t>
      </w:r>
      <w:r>
        <w:rPr>
          <w:rFonts w:hint="eastAsia" w:ascii="宋体" w:hAnsi="宋体" w:eastAsia="宋体" w:cs="宋体"/>
          <w:b/>
          <w:bCs w:val="0"/>
          <w:sz w:val="24"/>
          <w:szCs w:val="24"/>
          <w:highlight w:val="none"/>
          <w:lang w:val="en-US" w:eastAsia="zh-CN" w:bidi="ar-SA"/>
        </w:rPr>
        <w:t xml:space="preserve">“三证合一”的</w:t>
      </w:r>
      <w:r>
        <w:rPr>
          <w:rFonts w:hint="eastAsia" w:ascii="宋体" w:hAnsi="宋体" w:eastAsia="宋体" w:cs="宋体"/>
          <w:b/>
          <w:sz w:val="24"/>
          <w:highlight w:val="none"/>
        </w:rPr>
        <w:t xml:space="preserve">营业执照副本或事业单位法人证书</w:t>
      </w:r>
      <w:r>
        <w:rPr>
          <w:rFonts w:hint="eastAsia" w:ascii="宋体" w:hAnsi="宋体" w:eastAsia="宋体" w:cs="宋体"/>
          <w:b/>
          <w:bCs/>
          <w:color w:val="000000"/>
          <w:sz w:val="24"/>
          <w:highlight w:val="none"/>
          <w:u w:val="single"/>
          <w:lang w:eastAsia="zh-CN"/>
        </w:rPr>
      </w:r>
      <w:r/>
    </w:p>
    <w:p>
      <w:pPr>
        <w:pStyle w:val="769"/>
        <w:spacing w:line="240" w:lineRule="auto"/>
        <w:rPr>
          <w:rFonts w:ascii="Times New Roman" w:hAnsi="Times New Roman" w:eastAsia="宋体"/>
          <w:bCs/>
          <w:color w:val="000000"/>
          <w:sz w:val="24"/>
          <w:szCs w:val="18"/>
          <w:highlight w:val="none"/>
        </w:rPr>
        <w:outlineLvl w:val="3"/>
      </w:pPr>
      <w:r>
        <w:rPr>
          <w:rFonts w:hint="eastAsia" w:ascii="宋体" w:hAnsi="宋体" w:eastAsia="宋体" w:cs="宋体"/>
          <w:sz w:val="24"/>
          <w:szCs w:val="20"/>
          <w:highlight w:val="none"/>
        </w:rPr>
        <w:br w:type="page" w:clear="all"/>
      </w:r>
      <w:r>
        <w:rPr>
          <w:rFonts w:ascii="Times New Roman" w:hAnsi="Times New Roman" w:eastAsia="宋体"/>
          <w:bCs/>
          <w:color w:val="000000"/>
          <w:sz w:val="24"/>
          <w:szCs w:val="18"/>
          <w:highlight w:val="none"/>
        </w:rPr>
        <w:t xml:space="preserve">1-3投标人管理关系或控股关系信息情况表（实质性格式）</w:t>
      </w:r>
      <w:r>
        <w:rPr>
          <w:rFonts w:ascii="Times New Roman" w:hAnsi="Times New Roman" w:eastAsia="宋体"/>
          <w:bCs/>
          <w:color w:val="000000"/>
          <w:sz w:val="24"/>
          <w:szCs w:val="18"/>
          <w:highlight w:val="none"/>
        </w:rPr>
      </w:r>
      <w:r/>
    </w:p>
    <w:p>
      <w:pPr>
        <w:pStyle w:val="769"/>
        <w:jc w:val="center"/>
        <w:rPr>
          <w:b/>
          <w:bCs/>
          <w:color w:val="000000"/>
          <w:sz w:val="32"/>
          <w:szCs w:val="32"/>
          <w:highlight w:val="none"/>
        </w:rPr>
      </w:pPr>
      <w:r>
        <w:rPr>
          <w:b/>
          <w:bCs/>
          <w:color w:val="000000"/>
          <w:sz w:val="32"/>
          <w:szCs w:val="32"/>
          <w:highlight w:val="none"/>
        </w:rPr>
      </w:r>
      <w:r/>
    </w:p>
    <w:p>
      <w:pPr>
        <w:pStyle w:val="769"/>
        <w:jc w:val="center"/>
        <w:rPr>
          <w:color w:val="000000"/>
          <w:sz w:val="30"/>
          <w:szCs w:val="30"/>
          <w:highlight w:val="none"/>
        </w:rPr>
      </w:pPr>
      <w:r>
        <w:rPr>
          <w:b/>
          <w:bCs/>
          <w:color w:val="000000"/>
          <w:sz w:val="32"/>
          <w:szCs w:val="32"/>
          <w:highlight w:val="none"/>
        </w:rPr>
        <w:t xml:space="preserve">投标人管理关系或控股关系信息情况表</w:t>
      </w:r>
      <w:r>
        <w:rPr>
          <w:color w:val="000000"/>
          <w:sz w:val="30"/>
          <w:szCs w:val="30"/>
          <w:highlight w:val="none"/>
        </w:rPr>
      </w:r>
      <w:r/>
    </w:p>
    <w:p>
      <w:pPr>
        <w:pStyle w:val="769"/>
        <w:ind w:firstLine="560"/>
        <w:jc w:val="left"/>
        <w:spacing w:line="520" w:lineRule="exact"/>
        <w:rPr>
          <w:color w:val="000000"/>
          <w:sz w:val="24"/>
          <w:highlight w:val="none"/>
        </w:rPr>
      </w:pPr>
      <w:r>
        <w:rPr>
          <w:color w:val="000000"/>
          <w:sz w:val="24"/>
          <w:highlight w:val="none"/>
        </w:rPr>
        <w:t xml:space="preserve">投标人名称：</w:t>
      </w:r>
      <w:r>
        <w:rPr>
          <w:color w:val="000000"/>
          <w:sz w:val="24"/>
          <w:highlight w:val="none"/>
        </w:rPr>
      </w:r>
      <w:r/>
    </w:p>
    <w:tbl>
      <w:tblPr>
        <w:tblW w:w="930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3357"/>
      </w:tblGrid>
      <w:tr>
        <w:trPr>
          <w:cantSplit/>
          <w:trHeight w:val="463"/>
        </w:trPr>
        <w:tc>
          <w:tcPr>
            <w:tcW w:w="2496"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t xml:space="preserve">法定代表人</w:t>
            </w:r>
            <w:r>
              <w:rPr>
                <w:color w:val="000000"/>
                <w:sz w:val="24"/>
                <w:highlight w:val="none"/>
              </w:rPr>
            </w:r>
            <w:r/>
          </w:p>
        </w:tc>
        <w:tc>
          <w:tcPr>
            <w:tcW w:w="1994"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r>
            <w:r/>
          </w:p>
        </w:tc>
        <w:tc>
          <w:tcPr>
            <w:tcW w:w="1453" w:type="dxa"/>
            <w:vAlign w:val="center"/>
            <w:textDirection w:val="lrTb"/>
            <w:noWrap w:val="false"/>
          </w:tcPr>
          <w:p>
            <w:pPr>
              <w:pStyle w:val="769"/>
              <w:jc w:val="left"/>
              <w:spacing w:line="400" w:lineRule="exact"/>
              <w:rPr>
                <w:color w:val="000000"/>
                <w:sz w:val="24"/>
                <w:highlight w:val="none"/>
              </w:rPr>
            </w:pPr>
            <w:r>
              <w:rPr>
                <w:color w:val="000000"/>
                <w:sz w:val="24"/>
                <w:highlight w:val="none"/>
              </w:rPr>
              <w:t xml:space="preserve">成立日期</w:t>
            </w:r>
            <w:r>
              <w:rPr>
                <w:color w:val="000000"/>
                <w:sz w:val="24"/>
                <w:highlight w:val="none"/>
              </w:rPr>
            </w:r>
            <w:r/>
          </w:p>
        </w:tc>
        <w:tc>
          <w:tcPr>
            <w:tcW w:w="3357"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r>
            <w:r/>
          </w:p>
        </w:tc>
      </w:tr>
      <w:tr>
        <w:trPr>
          <w:cantSplit/>
          <w:trHeight w:val="412"/>
        </w:trPr>
        <w:tc>
          <w:tcPr>
            <w:tcW w:w="2496"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t xml:space="preserve">企业地址</w:t>
            </w:r>
            <w:r>
              <w:rPr>
                <w:color w:val="000000"/>
                <w:sz w:val="24"/>
                <w:highlight w:val="none"/>
              </w:rPr>
            </w:r>
            <w:r/>
          </w:p>
        </w:tc>
        <w:tc>
          <w:tcPr>
            <w:tcW w:w="1994"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r>
            <w:r/>
          </w:p>
        </w:tc>
        <w:tc>
          <w:tcPr>
            <w:tcW w:w="1453" w:type="dxa"/>
            <w:vAlign w:val="center"/>
            <w:textDirection w:val="lrTb"/>
            <w:noWrap w:val="false"/>
          </w:tcPr>
          <w:p>
            <w:pPr>
              <w:pStyle w:val="769"/>
              <w:jc w:val="left"/>
              <w:spacing w:line="400" w:lineRule="exact"/>
              <w:rPr>
                <w:color w:val="000000"/>
                <w:sz w:val="24"/>
                <w:highlight w:val="none"/>
              </w:rPr>
            </w:pPr>
            <w:r>
              <w:rPr>
                <w:color w:val="000000"/>
                <w:sz w:val="24"/>
                <w:highlight w:val="none"/>
              </w:rPr>
              <w:t xml:space="preserve">注册资本</w:t>
            </w:r>
            <w:r>
              <w:rPr>
                <w:color w:val="000000"/>
                <w:sz w:val="24"/>
                <w:highlight w:val="none"/>
              </w:rPr>
            </w:r>
            <w:r/>
          </w:p>
        </w:tc>
        <w:tc>
          <w:tcPr>
            <w:tcW w:w="3357"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t xml:space="preserve">万元</w:t>
            </w:r>
            <w:r>
              <w:rPr>
                <w:color w:val="000000"/>
                <w:sz w:val="24"/>
                <w:highlight w:val="none"/>
              </w:rPr>
            </w:r>
            <w:r/>
          </w:p>
        </w:tc>
      </w:tr>
      <w:tr>
        <w:trPr>
          <w:cantSplit/>
          <w:trHeight w:val="412"/>
        </w:trPr>
        <w:tc>
          <w:tcPr>
            <w:tcW w:w="2496" w:type="dxa"/>
            <w:vAlign w:val="center"/>
            <w:textDirection w:val="lrTb"/>
            <w:noWrap w:val="false"/>
          </w:tcPr>
          <w:p>
            <w:pPr>
              <w:pStyle w:val="769"/>
              <w:jc w:val="left"/>
              <w:spacing w:line="400" w:lineRule="exact"/>
              <w:rPr>
                <w:color w:val="000000"/>
                <w:sz w:val="24"/>
                <w:highlight w:val="none"/>
              </w:rPr>
            </w:pPr>
            <w:r>
              <w:rPr>
                <w:color w:val="000000"/>
                <w:sz w:val="24"/>
                <w:highlight w:val="none"/>
              </w:rPr>
              <w:t xml:space="preserve">统一社会信用代码</w:t>
            </w:r>
            <w:r>
              <w:rPr>
                <w:color w:val="000000"/>
                <w:sz w:val="24"/>
                <w:highlight w:val="none"/>
              </w:rPr>
            </w:r>
            <w:r/>
          </w:p>
        </w:tc>
        <w:tc>
          <w:tcPr>
            <w:gridSpan w:val="3"/>
            <w:tcW w:w="6804"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r>
            <w:r/>
          </w:p>
        </w:tc>
      </w:tr>
      <w:tr>
        <w:trPr>
          <w:cantSplit/>
          <w:trHeight w:val="2164"/>
        </w:trPr>
        <w:tc>
          <w:tcPr>
            <w:tcW w:w="2496" w:type="dxa"/>
            <w:vAlign w:val="center"/>
            <w:textDirection w:val="lrTb"/>
            <w:noWrap w:val="false"/>
          </w:tcPr>
          <w:p>
            <w:pPr>
              <w:pStyle w:val="769"/>
              <w:ind w:firstLine="560"/>
              <w:jc w:val="left"/>
              <w:spacing w:line="400" w:lineRule="exact"/>
              <w:rPr>
                <w:color w:val="000000"/>
                <w:sz w:val="24"/>
                <w:highlight w:val="none"/>
              </w:rPr>
            </w:pPr>
            <w:r>
              <w:rPr>
                <w:color w:val="000000"/>
                <w:sz w:val="24"/>
                <w:highlight w:val="none"/>
              </w:rPr>
              <w:t xml:space="preserve">股东信息</w:t>
            </w:r>
            <w:r>
              <w:rPr>
                <w:color w:val="000000"/>
                <w:sz w:val="24"/>
                <w:highlight w:val="none"/>
              </w:rPr>
            </w:r>
            <w:r/>
          </w:p>
        </w:tc>
        <w:tc>
          <w:tcPr>
            <w:gridSpan w:val="3"/>
            <w:tcW w:w="6804" w:type="dxa"/>
            <w:vAlign w:val="center"/>
            <w:textDirection w:val="lrTb"/>
            <w:noWrap w:val="false"/>
          </w:tcPr>
          <w:p>
            <w:pPr>
              <w:pStyle w:val="769"/>
              <w:jc w:val="left"/>
              <w:spacing w:line="400" w:lineRule="exact"/>
              <w:rPr>
                <w:color w:val="000000"/>
                <w:sz w:val="24"/>
                <w:highlight w:val="none"/>
              </w:rPr>
            </w:pPr>
            <w:r>
              <w:rPr>
                <w:color w:val="000000"/>
                <w:sz w:val="24"/>
                <w:highlight w:val="none"/>
              </w:rPr>
              <w:t xml:space="preserve">股东1（姓名或单位名称）：</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股东1持股比例：</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股东2（姓名或单位名称）：</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股东2持股比例：</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（不够的可自行增加）</w:t>
            </w:r>
            <w:r>
              <w:rPr>
                <w:color w:val="000000"/>
                <w:sz w:val="24"/>
                <w:highlight w:val="none"/>
              </w:rPr>
            </w:r>
            <w:r/>
          </w:p>
        </w:tc>
      </w:tr>
      <w:tr>
        <w:trPr>
          <w:cantSplit/>
          <w:trHeight w:val="964"/>
        </w:trPr>
        <w:tc>
          <w:tcPr>
            <w:tcW w:w="2496" w:type="dxa"/>
            <w:vAlign w:val="center"/>
            <w:textDirection w:val="lrTb"/>
            <w:noWrap w:val="false"/>
          </w:tcPr>
          <w:p>
            <w:pPr>
              <w:pStyle w:val="769"/>
              <w:jc w:val="left"/>
              <w:spacing w:line="400" w:lineRule="exact"/>
              <w:rPr>
                <w:color w:val="000000"/>
                <w:sz w:val="24"/>
                <w:highlight w:val="none"/>
              </w:rPr>
            </w:pPr>
            <w:r>
              <w:rPr>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color w:val="000000"/>
                <w:sz w:val="24"/>
                <w:highlight w:val="none"/>
              </w:rPr>
              <w:t xml:space="preserve">中进行勾选）</w:t>
            </w:r>
            <w:r>
              <w:rPr>
                <w:color w:val="000000"/>
                <w:sz w:val="24"/>
                <w:highlight w:val="none"/>
              </w:rPr>
            </w:r>
            <w:r/>
          </w:p>
        </w:tc>
        <w:tc>
          <w:tcPr>
            <w:gridSpan w:val="3"/>
            <w:tcW w:w="6804" w:type="dxa"/>
            <w:vAlign w:val="center"/>
            <w:textDirection w:val="lrTb"/>
            <w:noWrap w:val="false"/>
          </w:tcPr>
          <w:p>
            <w:pPr>
              <w:pStyle w:val="769"/>
              <w:jc w:val="left"/>
              <w:spacing w:line="40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无直接控股、管理关系的关联企业</w:t>
            </w:r>
            <w:r>
              <w:rPr>
                <w:color w:val="000000"/>
                <w:sz w:val="24"/>
                <w:highlight w:val="none"/>
              </w:rPr>
            </w:r>
            <w:r/>
          </w:p>
          <w:p>
            <w:pPr>
              <w:pStyle w:val="769"/>
              <w:jc w:val="left"/>
              <w:spacing w:line="40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有直接控股、管理关系的关联企业，关联信息如下：</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企业1名称：</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（直接控股</w:t>
            </w:r>
            <w:r>
              <w:rPr>
                <w:rFonts w:ascii="Wingdings 2" w:hAnsi="Wingdings 2" w:eastAsia="Wingdings 2" w:cs="Wingdings 2"/>
                <w:color w:val="000000"/>
                <w:sz w:val="24"/>
                <w:highlight w:val="none"/>
              </w:rPr>
              <w:t xml:space="preserve">£</w:t>
            </w:r>
            <w:r>
              <w:rPr>
                <w:color w:val="000000"/>
                <w:sz w:val="24"/>
                <w:highlight w:val="none"/>
              </w:rPr>
              <w:t xml:space="preserve">（持股比例：%；管理关系</w:t>
            </w:r>
            <w:r>
              <w:rPr>
                <w:rFonts w:ascii="Wingdings 2" w:hAnsi="Wingdings 2" w:eastAsia="Wingdings 2" w:cs="Wingdings 2"/>
                <w:color w:val="000000"/>
                <w:sz w:val="24"/>
                <w:highlight w:val="none"/>
              </w:rPr>
              <w:t xml:space="preserve">£</w:t>
            </w:r>
            <w:r>
              <w:rPr>
                <w:color w:val="000000"/>
                <w:sz w:val="24"/>
                <w:highlight w:val="none"/>
              </w:rPr>
              <w:t xml:space="preserve">）</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企业2名称：</w:t>
            </w:r>
            <w:r>
              <w:rPr>
                <w:color w:val="000000"/>
                <w:sz w:val="24"/>
                <w:highlight w:val="none"/>
              </w:rPr>
            </w:r>
            <w:r/>
          </w:p>
          <w:p>
            <w:pPr>
              <w:pStyle w:val="769"/>
              <w:jc w:val="left"/>
              <w:spacing w:line="400" w:lineRule="exact"/>
              <w:rPr>
                <w:color w:val="000000"/>
                <w:sz w:val="24"/>
                <w:highlight w:val="none"/>
              </w:rPr>
            </w:pPr>
            <w:r>
              <w:rPr>
                <w:color w:val="000000"/>
                <w:sz w:val="24"/>
                <w:highlight w:val="none"/>
              </w:rPr>
              <w:t xml:space="preserve">（直接控股</w:t>
            </w:r>
            <w:r>
              <w:rPr>
                <w:rFonts w:ascii="Wingdings 2" w:hAnsi="Wingdings 2" w:eastAsia="Wingdings 2" w:cs="Wingdings 2"/>
                <w:color w:val="000000"/>
                <w:sz w:val="24"/>
                <w:highlight w:val="none"/>
              </w:rPr>
              <w:t xml:space="preserve">£</w:t>
            </w:r>
            <w:r>
              <w:rPr>
                <w:color w:val="000000"/>
                <w:sz w:val="24"/>
                <w:highlight w:val="none"/>
              </w:rPr>
              <w:t xml:space="preserve">（持股比例：%；管理关系</w:t>
            </w:r>
            <w:r>
              <w:rPr>
                <w:rFonts w:ascii="Wingdings 2" w:hAnsi="Wingdings 2" w:eastAsia="Wingdings 2" w:cs="Wingdings 2"/>
                <w:color w:val="000000"/>
                <w:sz w:val="24"/>
                <w:highlight w:val="none"/>
              </w:rPr>
              <w:t xml:space="preserve">£</w:t>
            </w:r>
            <w:r>
              <w:rPr>
                <w:color w:val="000000"/>
                <w:sz w:val="24"/>
                <w:highlight w:val="none"/>
              </w:rPr>
              <w:t xml:space="preserve">）</w:t>
            </w:r>
            <w:r>
              <w:rPr>
                <w:color w:val="000000"/>
                <w:sz w:val="24"/>
                <w:highlight w:val="none"/>
              </w:rPr>
            </w:r>
            <w:r/>
          </w:p>
          <w:p>
            <w:pPr>
              <w:pStyle w:val="769"/>
              <w:jc w:val="left"/>
              <w:spacing w:line="400" w:lineRule="exact"/>
              <w:rPr>
                <w:color w:val="000000"/>
                <w:highlight w:val="none"/>
              </w:rPr>
            </w:pPr>
            <w:r>
              <w:rPr>
                <w:color w:val="000000"/>
                <w:sz w:val="24"/>
                <w:highlight w:val="none"/>
              </w:rPr>
              <w:t xml:space="preserve">（不够的可自行增加或以附件形式提交）</w:t>
            </w:r>
            <w:r>
              <w:rPr>
                <w:color w:val="000000"/>
                <w:highlight w:val="none"/>
              </w:rPr>
            </w:r>
            <w:r/>
          </w:p>
        </w:tc>
      </w:tr>
      <w:tr>
        <w:trPr>
          <w:cantSplit/>
          <w:trHeight w:val="5186"/>
        </w:trPr>
        <w:tc>
          <w:tcPr>
            <w:gridSpan w:val="4"/>
            <w:tcW w:w="9300" w:type="dxa"/>
            <w:vAlign w:val="center"/>
            <w:textDirection w:val="lrTb"/>
            <w:noWrap w:val="false"/>
          </w:tcPr>
          <w:p>
            <w:pPr>
              <w:pStyle w:val="769"/>
              <w:ind w:firstLine="561"/>
              <w:jc w:val="left"/>
              <w:spacing w:line="400" w:lineRule="exact"/>
              <w:rPr>
                <w:color w:val="000000"/>
                <w:sz w:val="24"/>
                <w:highlight w:val="none"/>
              </w:rPr>
            </w:pPr>
            <w:r>
              <w:rPr>
                <w:color w:val="000000"/>
                <w:sz w:val="24"/>
                <w:highlight w:val="none"/>
              </w:rPr>
              <w:t xml:space="preserve">本单位承诺：</w:t>
            </w:r>
            <w:r>
              <w:rPr>
                <w:color w:val="000000"/>
                <w:sz w:val="24"/>
                <w:highlight w:val="none"/>
              </w:rPr>
            </w:r>
            <w:r/>
          </w:p>
          <w:p>
            <w:pPr>
              <w:pStyle w:val="769"/>
              <w:numPr>
                <w:ilvl w:val="0"/>
                <w:numId w:val="24"/>
              </w:numPr>
              <w:ind w:firstLine="561"/>
              <w:jc w:val="left"/>
              <w:spacing w:line="400" w:lineRule="exact"/>
              <w:tabs>
                <w:tab w:val="left" w:pos="312" w:leader="none"/>
              </w:tabs>
              <w:rPr>
                <w:color w:val="000000"/>
                <w:sz w:val="24"/>
                <w:highlight w:val="none"/>
              </w:rPr>
            </w:pPr>
            <w:r>
              <w:rPr>
                <w:color w:val="000000"/>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rPr>
                <w:color w:val="000000"/>
                <w:sz w:val="24"/>
                <w:highlight w:val="none"/>
              </w:rPr>
            </w:r>
            <w:r/>
          </w:p>
          <w:p>
            <w:pPr>
              <w:pStyle w:val="769"/>
              <w:numPr>
                <w:ilvl w:val="0"/>
                <w:numId w:val="24"/>
              </w:numPr>
              <w:ind w:firstLine="561"/>
              <w:jc w:val="left"/>
              <w:spacing w:line="400" w:lineRule="exact"/>
              <w:tabs>
                <w:tab w:val="left" w:pos="312" w:leader="none"/>
              </w:tabs>
              <w:rPr>
                <w:color w:val="000000"/>
                <w:sz w:val="24"/>
                <w:highlight w:val="none"/>
              </w:rPr>
            </w:pPr>
            <w:r>
              <w:rPr>
                <w:color w:val="000000"/>
                <w:sz w:val="24"/>
                <w:highlight w:val="none"/>
              </w:rPr>
              <w:t xml:space="preserve">自觉接受行政管理、监督部门、行业组织、社会公众的监督。</w:t>
            </w:r>
            <w:r>
              <w:rPr>
                <w:color w:val="000000"/>
                <w:sz w:val="24"/>
                <w:highlight w:val="none"/>
              </w:rPr>
            </w:r>
            <w:r/>
          </w:p>
          <w:p>
            <w:pPr>
              <w:pStyle w:val="769"/>
              <w:ind w:firstLine="561"/>
              <w:jc w:val="left"/>
              <w:spacing w:line="400" w:lineRule="exact"/>
              <w:rPr>
                <w:color w:val="000000"/>
                <w:sz w:val="24"/>
                <w:highlight w:val="none"/>
              </w:rPr>
            </w:pPr>
            <w:r>
              <w:rPr>
                <w:color w:val="000000"/>
                <w:sz w:val="24"/>
                <w:highlight w:val="none"/>
              </w:rPr>
              <w:t xml:space="preserve">3.若违背承诺约定，经查实，愿意接受相关部门、采购人的处理，承担违约责任，并依法承担相应的法律责任。</w:t>
            </w:r>
            <w:r>
              <w:rPr>
                <w:color w:val="000000"/>
                <w:sz w:val="24"/>
                <w:highlight w:val="none"/>
              </w:rPr>
            </w:r>
            <w:r/>
          </w:p>
          <w:p>
            <w:pPr>
              <w:pStyle w:val="769"/>
              <w:ind w:firstLine="561"/>
              <w:jc w:val="left"/>
              <w:spacing w:line="400" w:lineRule="exact"/>
              <w:rPr>
                <w:color w:val="000000"/>
                <w:sz w:val="24"/>
                <w:highlight w:val="none"/>
              </w:rPr>
            </w:pPr>
            <w:r>
              <w:rPr>
                <w:color w:val="000000"/>
                <w:sz w:val="24"/>
                <w:highlight w:val="none"/>
              </w:rPr>
            </w:r>
            <w:r/>
          </w:p>
          <w:p>
            <w:pPr>
              <w:pStyle w:val="769"/>
              <w:ind w:firstLine="561"/>
              <w:jc w:val="left"/>
              <w:spacing w:line="400" w:lineRule="exact"/>
              <w:rPr>
                <w:color w:val="000000"/>
                <w:sz w:val="24"/>
                <w:highlight w:val="none"/>
              </w:rPr>
            </w:pPr>
            <w:r>
              <w:rPr>
                <w:color w:val="000000"/>
                <w:sz w:val="24"/>
                <w:highlight w:val="none"/>
              </w:rPr>
              <w:t xml:space="preserve">投标人（盖章）：</w:t>
            </w:r>
            <w:r>
              <w:rPr>
                <w:color w:val="000000"/>
                <w:sz w:val="24"/>
                <w:highlight w:val="none"/>
              </w:rPr>
            </w:r>
            <w:r/>
          </w:p>
          <w:p>
            <w:pPr>
              <w:pStyle w:val="769"/>
              <w:ind w:firstLine="561"/>
              <w:jc w:val="left"/>
              <w:spacing w:line="400" w:lineRule="exact"/>
              <w:rPr>
                <w:color w:val="000000"/>
                <w:sz w:val="24"/>
                <w:highlight w:val="none"/>
              </w:rPr>
            </w:pPr>
            <w:r>
              <w:rPr>
                <w:color w:val="000000"/>
                <w:sz w:val="24"/>
                <w:highlight w:val="none"/>
              </w:rPr>
              <w:t xml:space="preserve">法定代表人（签字</w:t>
            </w:r>
            <w:r>
              <w:rPr>
                <w:rFonts w:hint="eastAsia"/>
                <w:color w:val="000000"/>
                <w:sz w:val="24"/>
                <w:highlight w:val="none"/>
                <w:lang w:val="en-US" w:eastAsia="zh-CN"/>
              </w:rPr>
              <w:t xml:space="preserve">或</w:t>
            </w:r>
            <w:r>
              <w:rPr>
                <w:color w:val="000000"/>
                <w:sz w:val="24"/>
                <w:highlight w:val="none"/>
              </w:rPr>
              <w:t xml:space="preserve">盖章）：</w:t>
            </w:r>
            <w:r>
              <w:rPr>
                <w:color w:val="000000"/>
                <w:sz w:val="24"/>
                <w:highlight w:val="none"/>
              </w:rPr>
            </w:r>
            <w:r/>
          </w:p>
          <w:p>
            <w:pPr>
              <w:pStyle w:val="769"/>
              <w:ind w:firstLine="560"/>
              <w:jc w:val="left"/>
              <w:spacing w:line="400" w:lineRule="exact"/>
              <w:rPr>
                <w:color w:val="000000"/>
                <w:sz w:val="24"/>
                <w:highlight w:val="none"/>
              </w:rPr>
            </w:pPr>
            <w:r>
              <w:rPr>
                <w:color w:val="000000"/>
                <w:sz w:val="24"/>
                <w:highlight w:val="none"/>
              </w:rPr>
              <w:t xml:space="preserve">日期：年月日</w:t>
            </w:r>
            <w:r>
              <w:rPr>
                <w:color w:val="000000"/>
                <w:sz w:val="24"/>
                <w:highlight w:val="none"/>
              </w:rPr>
            </w:r>
            <w:r/>
          </w:p>
        </w:tc>
      </w:tr>
    </w:tbl>
    <w:p>
      <w:pPr>
        <w:pStyle w:val="769"/>
        <w:jc w:val="left"/>
        <w:spacing w:line="360" w:lineRule="auto"/>
        <w:widowControl/>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br w:type="page" w:clear="all"/>
      </w:r>
      <w:r>
        <w:rPr>
          <w:rFonts w:hint="eastAsia" w:ascii="宋体" w:hAnsi="宋体" w:eastAsia="宋体" w:cs="宋体"/>
          <w:sz w:val="24"/>
          <w:szCs w:val="20"/>
          <w:highlight w:val="none"/>
        </w:rPr>
        <w:t xml:space="preserve">2 落实政府采购政策需满足的资格要求</w:t>
      </w:r>
      <w:r>
        <w:rPr>
          <w:rFonts w:hint="eastAsia" w:ascii="宋体" w:hAnsi="宋体" w:eastAsia="宋体" w:cs="宋体"/>
          <w:sz w:val="24"/>
          <w:szCs w:val="20"/>
          <w:highlight w:val="none"/>
        </w:rPr>
      </w:r>
      <w:r/>
    </w:p>
    <w:p>
      <w:pPr>
        <w:pStyle w:val="769"/>
        <w:ind w:firstLine="0"/>
        <w:jc w:val="left"/>
        <w:spacing w:line="588" w:lineRule="exact"/>
        <w:widowControl/>
        <w:rPr>
          <w:rFonts w:hint="eastAsia" w:ascii="宋体" w:hAnsi="宋体" w:eastAsia="宋体" w:cs="宋体"/>
          <w:color w:val="000000"/>
          <w:spacing w:val="6"/>
          <w:sz w:val="24"/>
          <w:szCs w:val="24"/>
          <w:highlight w:val="none"/>
        </w:rPr>
        <w:outlineLvl w:val="9"/>
      </w:pPr>
      <w:r>
        <w:rPr>
          <w:rFonts w:hint="eastAsia" w:ascii="宋体" w:hAnsi="宋体" w:eastAsia="宋体" w:cs="宋体"/>
          <w:color w:val="000000"/>
          <w:spacing w:val="6"/>
          <w:sz w:val="24"/>
          <w:highlight w:val="none"/>
        </w:rPr>
        <w:t xml:space="preserve">具体要求见第一章《投标邀请》</w:t>
      </w:r>
      <w:r>
        <w:rPr>
          <w:rFonts w:hint="eastAsia" w:ascii="宋体" w:hAnsi="宋体" w:eastAsia="宋体" w:cs="宋体"/>
          <w:color w:val="000000"/>
          <w:spacing w:val="6"/>
          <w:sz w:val="24"/>
          <w:szCs w:val="24"/>
          <w:highlight w:val="none"/>
        </w:rPr>
      </w:r>
      <w:r/>
    </w:p>
    <w:p>
      <w:pPr>
        <w:pStyle w:val="769"/>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lang w:val="en-US" w:eastAsia="zh-CN"/>
        </w:rPr>
        <w:br w:type="page" w:clear="all"/>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rPr>
        <w:t xml:space="preserve"> 本项目的特定资格要求（如有）</w:t>
      </w: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lang w:val="en-US" w:eastAsia="zh-CN"/>
        </w:rPr>
        <w:outlineLvl w:val="3"/>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其他特定资格要求：</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0"/>
          <w:highlight w:val="none"/>
          <w:lang w:val="en-US" w:eastAsia="zh-CN"/>
        </w:rPr>
      </w:r>
      <w:r/>
    </w:p>
    <w:p>
      <w:pPr>
        <w:pStyle w:val="769"/>
        <w:jc w:val="center"/>
        <w:widowControl/>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二、商务技术文件格式</w:t>
      </w:r>
      <w:bookmarkStart w:id="827" w:name="_Toc226965829"/>
      <w:r/>
      <w:bookmarkStart w:id="828" w:name="_Toc150480794"/>
      <w:r/>
      <w:bookmarkStart w:id="829" w:name="_Toc226309800"/>
      <w:r/>
      <w:bookmarkStart w:id="830" w:name="_Ref467988698"/>
      <w:r/>
      <w:bookmarkStart w:id="831" w:name="_Toc142311058"/>
      <w:r/>
      <w:bookmarkStart w:id="832" w:name="_Toc226337252"/>
      <w:r/>
      <w:bookmarkStart w:id="833" w:name="_Toc226965746"/>
      <w:r/>
      <w:bookmarkStart w:id="834" w:name="_Toc150774761"/>
      <w:r/>
      <w:bookmarkStart w:id="835" w:name="_Toc520356217"/>
      <w:r/>
      <w:bookmarkStart w:id="836" w:name="_Toc480942349"/>
      <w:r/>
      <w:bookmarkStart w:id="837" w:name="_Toc195842921"/>
      <w:r/>
      <w:bookmarkStart w:id="838" w:name="_Toc127151556"/>
      <w:r>
        <w:rPr>
          <w:rFonts w:hint="eastAsia" w:ascii="宋体" w:hAnsi="宋体" w:eastAsia="宋体" w:cs="宋体"/>
          <w:b/>
          <w:sz w:val="32"/>
          <w:szCs w:val="32"/>
          <w:highlight w:val="none"/>
        </w:rPr>
      </w:r>
      <w:r/>
    </w:p>
    <w:p>
      <w:pPr>
        <w:pStyle w:val="769"/>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69"/>
        <w:spacing w:line="360" w:lineRule="auto"/>
        <w:rPr>
          <w:rFonts w:hint="eastAsia" w:ascii="宋体" w:hAnsi="宋体" w:eastAsia="宋体" w:cs="宋体"/>
          <w:sz w:val="24"/>
          <w:szCs w:val="20"/>
          <w:highlight w:val="none"/>
        </w:rPr>
        <w:outlineLvl w:val="2"/>
      </w:pPr>
      <w:r>
        <w:rPr>
          <w:rFonts w:hint="eastAsia" w:ascii="宋体" w:hAnsi="宋体" w:eastAsia="宋体" w:cs="宋体"/>
          <w:sz w:val="24"/>
          <w:highlight w:val="none"/>
        </w:rPr>
        <w:t xml:space="preserve">1</w:t>
      </w:r>
      <w:r>
        <w:rPr>
          <w:rFonts w:hint="eastAsia" w:ascii="宋体" w:hAnsi="宋体" w:eastAsia="宋体" w:cs="宋体"/>
          <w:sz w:val="24"/>
          <w:szCs w:val="20"/>
          <w:highlight w:val="none"/>
        </w:rPr>
        <w:t xml:space="preserve">  </w:t>
      </w:r>
      <w:r>
        <w:rPr>
          <w:rFonts w:hint="eastAsia" w:ascii="宋体" w:hAnsi="宋体" w:eastAsia="宋体" w:cs="宋体"/>
          <w:sz w:val="24"/>
          <w:highlight w:val="none"/>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eastAsia="宋体" w:cs="宋体"/>
          <w:sz w:val="24"/>
          <w:highlight w:val="none"/>
        </w:rPr>
        <w:t xml:space="preserve">函</w:t>
      </w:r>
      <w:r>
        <w:rPr>
          <w:rFonts w:hint="eastAsia" w:ascii="宋体" w:hAnsi="宋体" w:eastAsia="宋体" w:cs="宋体"/>
          <w:sz w:val="24"/>
          <w:szCs w:val="20"/>
          <w:highlight w:val="none"/>
        </w:rPr>
        <w:t xml:space="preserve">（实质性格式）</w:t>
      </w:r>
      <w:r>
        <w:rPr>
          <w:rFonts w:hint="eastAsia" w:ascii="宋体" w:hAnsi="宋体" w:eastAsia="宋体" w:cs="宋体"/>
          <w:sz w:val="24"/>
          <w:szCs w:val="20"/>
          <w:highlight w:val="none"/>
        </w:rPr>
      </w:r>
      <w:r/>
    </w:p>
    <w:p>
      <w:pPr>
        <w:pStyle w:val="76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投标函</w:t>
      </w:r>
      <w:r>
        <w:rPr>
          <w:rFonts w:hint="eastAsia" w:ascii="宋体" w:hAnsi="宋体" w:eastAsia="宋体" w:cs="宋体"/>
          <w:b/>
          <w:sz w:val="36"/>
          <w:szCs w:val="36"/>
          <w:highlight w:val="none"/>
        </w:rPr>
      </w:r>
      <w:r/>
    </w:p>
    <w:p>
      <w:pPr>
        <w:pStyle w:val="76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（招标人或采购代理机构）</w:t>
      </w:r>
      <w:r>
        <w:rPr>
          <w:rFonts w:hint="eastAsia" w:ascii="宋体" w:hAnsi="宋体" w:eastAsia="宋体" w:cs="宋体"/>
          <w:sz w:val="24"/>
          <w:highlight w:val="none"/>
        </w:rPr>
      </w:r>
      <w:r/>
    </w:p>
    <w:p>
      <w:pPr>
        <w:pStyle w:val="769"/>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我方参加你方就</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u w:val="single"/>
          <w:lang w:eastAsia="zh-CN"/>
        </w:rPr>
        <w:t xml:space="preserve">JSZC-320404-CZZY-G2026-0029</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u w:val="single"/>
          <w:lang w:eastAsia="zh-CN"/>
        </w:rPr>
        <w:t xml:space="preserve">常州市广化小学校新建校区信息化设备采购项目</w:t>
      </w:r>
      <w:r>
        <w:rPr>
          <w:rFonts w:hint="eastAsia" w:ascii="宋体" w:hAnsi="宋体" w:eastAsia="宋体" w:cs="宋体"/>
          <w:sz w:val="24"/>
          <w:szCs w:val="20"/>
          <w:highlight w:val="none"/>
        </w:rPr>
        <w:t xml:space="preserve">（项目名称，项目编号/包号）组织的招标活动，并对此项目进行投标。</w:t>
      </w:r>
      <w:r>
        <w:rPr>
          <w:rFonts w:hint="eastAsia" w:ascii="宋体" w:hAnsi="宋体" w:eastAsia="宋体" w:cs="宋体"/>
          <w:sz w:val="24"/>
          <w:szCs w:val="20"/>
          <w:highlight w:val="none"/>
        </w:rPr>
      </w:r>
      <w:r/>
    </w:p>
    <w:p>
      <w:pPr>
        <w:pStyle w:val="769"/>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 我方</w:t>
      </w:r>
      <w:r>
        <w:rPr>
          <w:rFonts w:hint="eastAsia" w:ascii="宋体" w:hAnsi="宋体" w:eastAsia="宋体" w:cs="宋体"/>
          <w:sz w:val="24"/>
          <w:highlight w:val="none"/>
        </w:rPr>
        <w:t xml:space="preserve">已详细审查全部招标文件</w:t>
      </w:r>
      <w:r>
        <w:rPr>
          <w:rFonts w:hint="eastAsia" w:ascii="宋体" w:hAnsi="宋体" w:eastAsia="宋体" w:cs="宋体"/>
          <w:sz w:val="24"/>
          <w:szCs w:val="20"/>
          <w:highlight w:val="none"/>
        </w:rPr>
        <w:t xml:space="preserve">，自愿参与投标并承诺如下：</w:t>
      </w:r>
      <w:r>
        <w:rPr>
          <w:rFonts w:hint="eastAsia" w:ascii="宋体" w:hAnsi="宋体" w:eastAsia="宋体" w:cs="宋体"/>
          <w:sz w:val="24"/>
          <w:szCs w:val="20"/>
          <w:highlight w:val="none"/>
        </w:rPr>
      </w:r>
      <w:r/>
    </w:p>
    <w:p>
      <w:pPr>
        <w:pStyle w:val="769"/>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（1）本投标有效期为自提交投标文件的截止之日起</w:t>
      </w:r>
      <w:r>
        <w:rPr>
          <w:rFonts w:hint="eastAsia" w:ascii="宋体" w:hAnsi="宋体" w:eastAsia="宋体" w:cs="宋体"/>
          <w:sz w:val="24"/>
          <w:highlight w:val="none"/>
        </w:rPr>
        <w:t xml:space="preserve">90</w:t>
      </w:r>
      <w:r>
        <w:rPr>
          <w:rFonts w:hint="eastAsia" w:ascii="宋体" w:hAnsi="宋体" w:eastAsia="宋体" w:cs="宋体"/>
          <w:sz w:val="24"/>
          <w:szCs w:val="20"/>
          <w:highlight w:val="none"/>
        </w:rPr>
        <w:t xml:space="preserve">个日历日。</w:t>
      </w:r>
      <w:r>
        <w:rPr>
          <w:rFonts w:hint="eastAsia" w:ascii="宋体" w:hAnsi="宋体" w:eastAsia="宋体" w:cs="宋体"/>
          <w:sz w:val="24"/>
          <w:szCs w:val="20"/>
          <w:highlight w:val="none"/>
        </w:rPr>
      </w:r>
      <w:r/>
    </w:p>
    <w:p>
      <w:pPr>
        <w:pStyle w:val="769"/>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（2）除合同条款及采购需求偏离表列出的偏离外，我方响应招标文件的全部要求。</w:t>
      </w:r>
      <w:r>
        <w:rPr>
          <w:rFonts w:hint="eastAsia" w:ascii="宋体" w:hAnsi="宋体" w:eastAsia="宋体" w:cs="宋体"/>
          <w:sz w:val="24"/>
          <w:szCs w:val="20"/>
          <w:highlight w:val="none"/>
        </w:rPr>
      </w:r>
      <w:r/>
    </w:p>
    <w:p>
      <w:pPr>
        <w:pStyle w:val="769"/>
        <w:ind w:firstLine="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（3）我方已提供的全部文件资料是真实、准确的，并对此承担一切法律后果。</w:t>
      </w:r>
      <w:r>
        <w:rPr>
          <w:rFonts w:hint="eastAsia" w:ascii="宋体" w:hAnsi="宋体" w:eastAsia="宋体" w:cs="宋体"/>
          <w:sz w:val="24"/>
          <w:szCs w:val="20"/>
          <w:highlight w:val="none"/>
        </w:rPr>
      </w:r>
      <w:r/>
    </w:p>
    <w:p>
      <w:pPr>
        <w:pStyle w:val="769"/>
        <w:ind w:firstLine="420"/>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sz w:val="24"/>
          <w:highlight w:val="none"/>
        </w:rPr>
      </w:r>
      <w:r/>
    </w:p>
    <w:p>
      <w:pPr>
        <w:pStyle w:val="769"/>
        <w:ind w:left="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其他补充条款（如有）：</w:t>
      </w:r>
      <w:r>
        <w:rPr>
          <w:rFonts w:hint="eastAsia" w:ascii="宋体" w:hAnsi="宋体" w:eastAsia="宋体" w:cs="宋体"/>
          <w:sz w:val="24"/>
          <w:szCs w:val="20"/>
          <w:highlight w:val="none"/>
        </w:rPr>
        <w:t xml:space="preserve">___________</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与本投标有关的一切正式往来信函请寄：</w:t>
      </w:r>
      <w:r>
        <w:rPr>
          <w:rFonts w:hint="eastAsia" w:ascii="宋体" w:hAnsi="宋体" w:eastAsia="宋体" w:cs="宋体"/>
          <w:sz w:val="24"/>
          <w:highlight w:val="none"/>
        </w:rPr>
      </w:r>
      <w:r/>
    </w:p>
    <w:p>
      <w:pPr>
        <w:pStyle w:val="769"/>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地址_________________________     传真____________________________</w:t>
      </w:r>
      <w:r>
        <w:rPr>
          <w:rFonts w:hint="eastAsia" w:ascii="宋体" w:hAnsi="宋体" w:eastAsia="宋体" w:cs="宋体"/>
          <w:sz w:val="24"/>
          <w:szCs w:val="20"/>
          <w:highlight w:val="none"/>
        </w:rPr>
      </w:r>
      <w:r/>
    </w:p>
    <w:p>
      <w:pPr>
        <w:pStyle w:val="769"/>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电话_________________________     电子函件________________________</w:t>
      </w:r>
      <w:r>
        <w:rPr>
          <w:rFonts w:hint="eastAsia" w:ascii="宋体" w:hAnsi="宋体" w:eastAsia="宋体" w:cs="宋体"/>
          <w:sz w:val="24"/>
          <w:szCs w:val="20"/>
          <w:highlight w:val="none"/>
        </w:rPr>
      </w:r>
      <w:r/>
    </w:p>
    <w:p>
      <w:pPr>
        <w:pStyle w:val="769"/>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投标人名称（加盖公章） ___________</w:t>
      </w:r>
      <w:r>
        <w:rPr>
          <w:rFonts w:hint="eastAsia" w:ascii="宋体" w:hAnsi="宋体" w:eastAsia="宋体" w:cs="宋体"/>
          <w:sz w:val="24"/>
          <w:szCs w:val="20"/>
          <w:highlight w:val="none"/>
        </w:rPr>
      </w:r>
      <w:r/>
    </w:p>
    <w:p>
      <w:pPr>
        <w:pStyle w:val="769"/>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szCs w:val="20"/>
          <w:highlight w:val="none"/>
        </w:rPr>
      </w:r>
      <w:r/>
    </w:p>
    <w:p>
      <w:pPr>
        <w:pStyle w:val="769"/>
        <w:ind w:left="420"/>
        <w:spacing w:line="360" w:lineRule="auto"/>
        <w:tabs>
          <w:tab w:val="left" w:pos="5580" w:leader="none"/>
        </w:tabs>
        <w:rPr>
          <w:rFonts w:hint="eastAsia" w:ascii="宋体" w:hAnsi="宋体" w:eastAsia="宋体" w:cs="宋体"/>
          <w:sz w:val="24"/>
          <w:szCs w:val="20"/>
          <w:highlight w:val="none"/>
          <w:u w:val="single"/>
        </w:rPr>
      </w:pPr>
      <w:r>
        <w:rPr>
          <w:rFonts w:hint="eastAsia" w:ascii="宋体" w:hAnsi="宋体" w:eastAsia="宋体" w:cs="宋体"/>
          <w:sz w:val="24"/>
          <w:szCs w:val="20"/>
          <w:highlight w:val="none"/>
          <w:u w:val="single"/>
        </w:rPr>
      </w:r>
      <w:r/>
    </w:p>
    <w:p>
      <w:pPr>
        <w:pStyle w:val="769"/>
        <w:jc w:val="left"/>
        <w:spacing w:line="240" w:lineRule="auto"/>
        <w:widowControl/>
        <w:rPr>
          <w:rFonts w:hint="eastAsia" w:ascii="宋体" w:hAnsi="宋体" w:eastAsia="宋体" w:cs="宋体"/>
          <w:sz w:val="24"/>
          <w:highlight w:val="none"/>
        </w:rPr>
        <w:outlineLvl w:val="2"/>
      </w:pPr>
      <w:r/>
      <w:bookmarkStart w:id="839" w:name="_Hlt520355938"/>
      <w:r/>
      <w:bookmarkEnd w:id="839"/>
      <w:r/>
      <w:bookmarkStart w:id="840" w:name="_Hlt520356243"/>
      <w:r/>
      <w:bookmarkEnd w:id="840"/>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2  法定代表人资格证明书</w:t>
      </w:r>
      <w:r>
        <w:rPr>
          <w:rFonts w:hint="eastAsia" w:ascii="宋体" w:hAnsi="宋体" w:eastAsia="宋体" w:cs="宋体"/>
          <w:sz w:val="24"/>
          <w:szCs w:val="20"/>
          <w:highlight w:val="none"/>
        </w:rPr>
        <w:t xml:space="preserve">（实质性格式）</w:t>
      </w:r>
      <w:r>
        <w:rPr>
          <w:rFonts w:hint="eastAsia" w:ascii="宋体" w:hAnsi="宋体" w:eastAsia="宋体" w:cs="宋体"/>
          <w:sz w:val="24"/>
          <w:highlight w:val="none"/>
        </w:rPr>
      </w:r>
      <w:r/>
    </w:p>
    <w:p>
      <w:pPr>
        <w:pStyle w:val="769"/>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69"/>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法定代表人资格证明书</w:t>
      </w:r>
      <w:r>
        <w:rPr>
          <w:rFonts w:hint="eastAsia" w:ascii="宋体" w:hAnsi="宋体" w:eastAsia="宋体" w:cs="宋体"/>
          <w:b/>
          <w:sz w:val="32"/>
          <w:szCs w:val="32"/>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rPr>
          <w:rFonts w:hint="eastAsia" w:ascii="宋体" w:hAnsi="宋体" w:eastAsia="宋体" w:cs="宋体"/>
          <w:sz w:val="24"/>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的法定代表人。为参与</w:t>
      </w:r>
      <w:r>
        <w:rPr>
          <w:rFonts w:hint="eastAsia" w:ascii="宋体" w:hAnsi="宋体" w:eastAsia="宋体" w:cs="宋体"/>
          <w:sz w:val="24"/>
          <w:highlight w:val="none"/>
          <w:u w:val="single"/>
          <w:lang w:eastAsia="zh-CN"/>
        </w:rPr>
        <w:t xml:space="preserve">常州市广化小学校新建校区信息化设备采购项目</w:t>
      </w:r>
      <w:r>
        <w:rPr>
          <w:rFonts w:hint="eastAsia" w:ascii="宋体" w:hAnsi="宋体" w:eastAsia="宋体" w:cs="宋体"/>
          <w:sz w:val="24"/>
          <w:highlight w:val="none"/>
        </w:rPr>
        <w:t xml:space="preserve">的政府采购活动，</w:t>
      </w:r>
      <w:r>
        <w:rPr>
          <w:rFonts w:hint="eastAsia" w:ascii="宋体" w:hAnsi="宋体" w:eastAsia="宋体" w:cs="宋体"/>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rPr>
          <w:rFonts w:hint="eastAsia" w:ascii="宋体" w:hAnsi="宋体" w:eastAsia="宋体" w:cs="宋体"/>
          <w:sz w:val="24"/>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rPr>
          <w:rFonts w:hint="eastAsia" w:ascii="宋体" w:hAnsi="宋体" w:eastAsia="宋体" w:cs="宋体"/>
          <w:sz w:val="24"/>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76"/>
        <w:ind w:right="-46"/>
        <w:spacing w:line="583" w:lineRule="auto"/>
        <w:tabs>
          <w:tab w:val="left" w:pos="567" w:leader="none"/>
        </w:tabs>
        <w:rPr>
          <w:rFonts w:hint="eastAsia" w:eastAsia="宋体" w:cs="宋体"/>
          <w:spacing w:val="-3"/>
          <w:highlight w:val="none"/>
        </w:rPr>
      </w:pPr>
      <w:r>
        <w:rPr>
          <w:rFonts w:hint="eastAsia" w:eastAsia="宋体" w:cs="宋体"/>
          <w:highlight w:val="none"/>
        </w:rPr>
        <w:t xml:space="preserve">附：</w:t>
      </w:r>
      <w:r>
        <w:rPr>
          <w:rFonts w:hint="eastAsia" w:eastAsia="宋体" w:cs="宋体"/>
          <w:spacing w:val="-3"/>
          <w:highlight w:val="none"/>
        </w:rPr>
        <w:t xml:space="preserve">法</w:t>
      </w:r>
      <w:r>
        <w:rPr>
          <w:rFonts w:hint="eastAsia" w:eastAsia="宋体" w:cs="宋体"/>
          <w:highlight w:val="none"/>
        </w:rPr>
        <w:t xml:space="preserve">定</w:t>
      </w:r>
      <w:r>
        <w:rPr>
          <w:rFonts w:hint="eastAsia" w:eastAsia="宋体" w:cs="宋体"/>
          <w:spacing w:val="-3"/>
          <w:highlight w:val="none"/>
        </w:rPr>
        <w:t xml:space="preserve">代</w:t>
      </w:r>
      <w:r>
        <w:rPr>
          <w:rFonts w:hint="eastAsia" w:eastAsia="宋体" w:cs="宋体"/>
          <w:highlight w:val="none"/>
        </w:rPr>
        <w:t xml:space="preserve">表</w:t>
      </w:r>
      <w:r>
        <w:rPr>
          <w:rFonts w:hint="eastAsia" w:eastAsia="宋体" w:cs="宋体"/>
          <w:spacing w:val="-3"/>
          <w:highlight w:val="none"/>
        </w:rPr>
        <w:t xml:space="preserve">人</w:t>
      </w:r>
      <w:r>
        <w:rPr>
          <w:rFonts w:hint="eastAsia" w:eastAsia="宋体" w:cs="宋体"/>
          <w:highlight w:val="none"/>
        </w:rPr>
        <w:t xml:space="preserve">（</w:t>
      </w:r>
      <w:r>
        <w:rPr>
          <w:rFonts w:hint="eastAsia" w:eastAsia="宋体" w:cs="宋体"/>
          <w:spacing w:val="-3"/>
          <w:highlight w:val="none"/>
        </w:rPr>
        <w:t xml:space="preserve">单</w:t>
      </w:r>
      <w:r>
        <w:rPr>
          <w:rFonts w:hint="eastAsia" w:eastAsia="宋体" w:cs="宋体"/>
          <w:highlight w:val="none"/>
        </w:rPr>
        <w:t xml:space="preserve">位</w:t>
      </w:r>
      <w:r>
        <w:rPr>
          <w:rFonts w:hint="eastAsia" w:eastAsia="宋体" w:cs="宋体"/>
          <w:spacing w:val="-3"/>
          <w:highlight w:val="none"/>
        </w:rPr>
        <w:t xml:space="preserve">负</w:t>
      </w:r>
      <w:r>
        <w:rPr>
          <w:rFonts w:hint="eastAsia" w:eastAsia="宋体" w:cs="宋体"/>
          <w:highlight w:val="none"/>
        </w:rPr>
        <w:t xml:space="preserve">责人</w:t>
      </w:r>
      <w:r>
        <w:rPr>
          <w:rFonts w:hint="eastAsia" w:eastAsia="宋体" w:cs="宋体"/>
          <w:spacing w:val="-3"/>
          <w:highlight w:val="none"/>
        </w:rPr>
        <w:t xml:space="preserve">）有效期内的身份证正反面电子件。</w:t>
      </w:r>
      <w:r>
        <w:rPr>
          <w:rFonts w:hint="eastAsia" w:eastAsia="宋体" w:cs="宋体"/>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9"/>
              <w:jc w:val="left"/>
              <w:spacing w:line="360" w:lineRule="auto"/>
              <w:widowControl w:val="off"/>
              <w:tabs>
                <w:tab w:val="left" w:pos="5580" w:leader="none"/>
              </w:tabs>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769"/>
              <w:jc w:val="left"/>
              <w:spacing w:line="360" w:lineRule="auto"/>
              <w:widowControl w:val="off"/>
              <w:tabs>
                <w:tab w:val="left" w:pos="5580" w:leader="none"/>
              </w:tabs>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769"/>
              <w:jc w:val="left"/>
              <w:spacing w:line="360" w:lineRule="auto"/>
              <w:widowControl w:val="off"/>
              <w:tabs>
                <w:tab w:val="left" w:pos="5580" w:leader="none"/>
              </w:tabs>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tc>
        <w:tc>
          <w:tcPr>
            <w:tcW w:w="4536" w:type="dxa"/>
            <w:vAlign w:val="top"/>
            <w:textDirection w:val="lrTb"/>
            <w:noWrap w:val="false"/>
          </w:tcPr>
          <w:p>
            <w:pPr>
              <w:pStyle w:val="769"/>
              <w:jc w:val="left"/>
              <w:spacing w:line="360" w:lineRule="auto"/>
              <w:widowControl w:val="off"/>
              <w:tabs>
                <w:tab w:val="left" w:pos="5580" w:leader="none"/>
              </w:tabs>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769"/>
              <w:jc w:val="left"/>
              <w:spacing w:line="360" w:lineRule="auto"/>
              <w:widowControl w:val="off"/>
              <w:tabs>
                <w:tab w:val="left" w:pos="5580" w:leader="none"/>
              </w:tabs>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769"/>
              <w:jc w:val="left"/>
              <w:spacing w:line="360" w:lineRule="auto"/>
              <w:widowControl w:val="off"/>
              <w:tabs>
                <w:tab w:val="left" w:pos="5580" w:leader="none"/>
              </w:tabs>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tc>
      </w:tr>
    </w:tbl>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投标人：（加盖公章）</w:t>
      </w:r>
      <w:r>
        <w:rPr>
          <w:rFonts w:hint="eastAsia" w:ascii="宋体" w:hAnsi="宋体" w:eastAsia="宋体" w:cs="宋体"/>
          <w:sz w:val="24"/>
          <w:highlight w:val="none"/>
        </w:rPr>
      </w:r>
      <w:r/>
    </w:p>
    <w:p>
      <w:pPr>
        <w:pStyle w:val="769"/>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sz w:val="24"/>
          <w:szCs w:val="20"/>
          <w:highlight w:val="none"/>
        </w:rPr>
        <w:t xml:space="preserve">签字、签章或印鉴</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9"/>
        <w:ind w:firstLine="432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说明：</w:t>
      </w:r>
      <w:r>
        <w:rPr>
          <w:rFonts w:hint="eastAsia" w:ascii="宋体" w:hAnsi="宋体" w:eastAsia="宋体" w:cs="宋体"/>
          <w:sz w:val="24"/>
          <w:szCs w:val="20"/>
          <w:highlight w:val="none"/>
        </w:rPr>
      </w:r>
      <w:r/>
    </w:p>
    <w:p>
      <w:pPr>
        <w:pStyle w:val="769"/>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sz w:val="24"/>
          <w:szCs w:val="20"/>
          <w:highlight w:val="none"/>
        </w:rPr>
      </w:r>
      <w:r/>
    </w:p>
    <w:p>
      <w:pPr>
        <w:pStyle w:val="769"/>
        <w:jc w:val="left"/>
        <w:spacing w:line="360" w:lineRule="auto"/>
        <w:tabs>
          <w:tab w:val="left" w:pos="5580" w:leader="none"/>
        </w:tabs>
        <w:rPr>
          <w:rFonts w:hint="eastAsia" w:ascii="宋体" w:hAnsi="宋体" w:eastAsia="宋体" w:cs="宋体"/>
          <w:i/>
          <w:sz w:val="24"/>
          <w:szCs w:val="20"/>
          <w:highlight w:val="none"/>
          <w:u w:val="single"/>
        </w:rPr>
      </w:pPr>
      <w:r>
        <w:rPr>
          <w:rFonts w:hint="eastAsia" w:ascii="宋体" w:hAnsi="宋体" w:eastAsia="宋体" w:cs="宋体"/>
          <w:sz w:val="24"/>
          <w:szCs w:val="20"/>
          <w:highlight w:val="none"/>
        </w:rPr>
        <w:t xml:space="preserve">3.供应商为自然人的情形，可不提供本《授权委托书》。</w:t>
      </w:r>
      <w:r>
        <w:rPr>
          <w:rFonts w:hint="eastAsia" w:ascii="宋体" w:hAnsi="宋体" w:eastAsia="宋体" w:cs="宋体"/>
          <w:i/>
          <w:sz w:val="24"/>
          <w:szCs w:val="20"/>
          <w:highlight w:val="none"/>
          <w:u w:val="singl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spacing w:line="360" w:lineRule="auto"/>
        <w:widowControl/>
        <w:rPr>
          <w:rFonts w:hint="eastAsia" w:ascii="宋体" w:hAnsi="宋体" w:eastAsia="宋体" w:cs="宋体"/>
          <w:sz w:val="24"/>
          <w:highlight w:val="none"/>
        </w:rPr>
        <w:outlineLvl w:val="2"/>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3  政府采购供应商信用承诺书（实质性格式）</w:t>
      </w:r>
      <w:r>
        <w:rPr>
          <w:rFonts w:hint="eastAsia" w:ascii="宋体" w:hAnsi="宋体" w:eastAsia="宋体" w:cs="宋体"/>
          <w:sz w:val="24"/>
          <w:highlight w:val="none"/>
        </w:rPr>
      </w:r>
      <w:r/>
    </w:p>
    <w:p>
      <w:pPr>
        <w:pStyle w:val="769"/>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69"/>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政府采购供应商信用承诺书</w:t>
      </w:r>
      <w:r>
        <w:rPr>
          <w:rFonts w:hint="eastAsia" w:ascii="宋体" w:hAnsi="宋体" w:eastAsia="宋体" w:cs="宋体"/>
          <w:b/>
          <w:sz w:val="32"/>
          <w:szCs w:val="32"/>
          <w:highlight w:val="none"/>
        </w:rPr>
      </w:r>
      <w:r/>
    </w:p>
    <w:p>
      <w:pPr>
        <w:pStyle w:val="769"/>
        <w:ind w:firstLine="640"/>
        <w:rPr>
          <w:rFonts w:hint="eastAsia" w:ascii="宋体" w:hAnsi="宋体" w:eastAsia="宋体" w:cs="宋体"/>
          <w:highlight w:val="none"/>
        </w:rPr>
      </w:pPr>
      <w:r>
        <w:rPr>
          <w:rFonts w:hint="eastAsia" w:ascii="宋体" w:hAnsi="宋体" w:eastAsia="宋体" w:cs="宋体"/>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，并对所提供资料的真实性负责。</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七、承诺本单位在信用中国（江苏）网站中无违法违规、较重或严重失信记录。 </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4"/>
          <w:highlight w:val="none"/>
        </w:rPr>
      </w:r>
      <w:r/>
    </w:p>
    <w:p>
      <w:pPr>
        <w:pStyle w:val="769"/>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4"/>
          <w:highlight w:val="none"/>
        </w:rPr>
      </w:r>
      <w:r/>
    </w:p>
    <w:p>
      <w:pPr>
        <w:pStyle w:val="1177"/>
        <w:ind w:right="1050" w:firstLine="2880"/>
        <w:jc w:val="both"/>
        <w:spacing w:line="276"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769"/>
        <w:jc w:val="left"/>
        <w:spacing w:line="240" w:lineRule="auto"/>
        <w:widowControl/>
        <w:rPr>
          <w:rFonts w:hint="eastAsia" w:ascii="宋体" w:hAnsi="宋体" w:eastAsia="宋体" w:cs="宋体"/>
          <w:sz w:val="24"/>
          <w:szCs w:val="20"/>
          <w:highlight w:val="none"/>
        </w:rPr>
        <w:outlineLvl w:val="2"/>
      </w:pPr>
      <w:r/>
      <w:bookmarkStart w:id="841" w:name="_Hlt520350918"/>
      <w:r/>
      <w:bookmarkEnd w:id="841"/>
      <w:r/>
      <w:bookmarkStart w:id="842" w:name="_Hlt520274065"/>
      <w:r/>
      <w:bookmarkEnd w:id="842"/>
      <w:r/>
      <w:bookmarkStart w:id="843" w:name="_Hlt520355504"/>
      <w:r/>
      <w:bookmarkEnd w:id="843"/>
      <w:r/>
      <w:bookmarkStart w:id="844" w:name="_Hlt520343000"/>
      <w:r/>
      <w:bookmarkEnd w:id="844"/>
      <w:r/>
      <w:bookmarkStart w:id="845" w:name="_Hlt520273711"/>
      <w:r/>
      <w:bookmarkEnd w:id="845"/>
      <w:r/>
      <w:bookmarkStart w:id="846" w:name="_Hlt520271212"/>
      <w:r/>
      <w:bookmarkEnd w:id="846"/>
      <w:r/>
      <w:bookmarkStart w:id="847" w:name="_Hlt520274407"/>
      <w:r/>
      <w:bookmarkEnd w:id="847"/>
      <w:r/>
      <w:bookmarkStart w:id="848" w:name="_Hlt520343392"/>
      <w:r/>
      <w:bookmarkEnd w:id="848"/>
      <w:r/>
      <w:bookmarkStart w:id="849" w:name="_Hlt520274393"/>
      <w:r/>
      <w:bookmarkEnd w:id="849"/>
      <w:r/>
      <w:bookmarkStart w:id="850" w:name="_Hlt520274121"/>
      <w:r/>
      <w:bookmarkEnd w:id="850"/>
      <w:r/>
      <w:bookmarkStart w:id="851" w:name="_Toc305158825"/>
      <w:r/>
      <w:bookmarkStart w:id="852" w:name="_Toc127151557"/>
      <w:r/>
      <w:bookmarkStart w:id="853" w:name="_Toc265228395"/>
      <w:r/>
      <w:bookmarkStart w:id="854" w:name="_Toc195842922"/>
      <w:r/>
      <w:bookmarkStart w:id="855" w:name="_Toc150774762"/>
      <w:r/>
      <w:bookmarkStart w:id="856" w:name="_Toc226965747"/>
      <w:r/>
      <w:bookmarkStart w:id="857" w:name="_Toc305158899"/>
      <w:r/>
      <w:bookmarkStart w:id="858" w:name="_Toc150480795"/>
      <w:r/>
      <w:bookmarkStart w:id="859" w:name="_Toc142311059"/>
      <w:r/>
      <w:bookmarkStart w:id="860" w:name="_Toc226309801"/>
      <w:r/>
      <w:bookmarkStart w:id="861" w:name="_Toc264969247"/>
      <w:r/>
      <w:bookmarkStart w:id="862" w:name="_Toc226337253"/>
      <w:r/>
      <w:bookmarkStart w:id="863" w:name="_Toc520356218"/>
      <w:r/>
      <w:bookmarkStart w:id="864" w:name="_Toc226965830"/>
      <w:r/>
      <w:bookmarkStart w:id="865" w:name="_Toc480942350"/>
      <w:r/>
      <w:bookmarkStart w:id="866" w:name="_Ref467988705"/>
      <w:r>
        <w:rPr>
          <w:rFonts w:hint="eastAsia" w:ascii="宋体" w:hAnsi="宋体" w:eastAsia="宋体" w:cs="宋体"/>
          <w:sz w:val="24"/>
          <w:szCs w:val="20"/>
          <w:highlight w:val="none"/>
        </w:rPr>
        <w:br w:type="page" w:clear="all"/>
      </w:r>
      <w:r>
        <w:rPr>
          <w:rFonts w:hint="eastAsia" w:ascii="宋体" w:hAnsi="宋体" w:eastAsia="宋体" w:cs="宋体"/>
          <w:sz w:val="24"/>
          <w:szCs w:val="20"/>
          <w:highlight w:val="none"/>
        </w:rPr>
        <w:t xml:space="preserve">4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eastAsia" w:ascii="宋体" w:hAnsi="宋体" w:eastAsia="宋体" w:cs="宋体"/>
          <w:sz w:val="24"/>
          <w:szCs w:val="20"/>
          <w:highlight w:val="none"/>
        </w:rPr>
        <w:t xml:space="preserve">（实质性格式）</w:t>
      </w:r>
      <w:r>
        <w:rPr>
          <w:rFonts w:hint="eastAsia" w:ascii="宋体" w:hAnsi="宋体" w:eastAsia="宋体" w:cs="宋体"/>
          <w:sz w:val="24"/>
          <w:szCs w:val="20"/>
          <w:highlight w:val="none"/>
        </w:rPr>
      </w:r>
      <w:r/>
    </w:p>
    <w:p>
      <w:pPr>
        <w:pStyle w:val="769"/>
        <w:jc w:val="center"/>
        <w:spacing w:line="360" w:lineRule="exact"/>
        <w:rPr>
          <w:rFonts w:hint="eastAsia" w:ascii="宋体" w:hAnsi="宋体" w:eastAsia="宋体" w:cs="宋体"/>
          <w:b/>
          <w:sz w:val="36"/>
          <w:szCs w:val="36"/>
          <w:highlight w:val="none"/>
        </w:rPr>
      </w:pPr>
      <w:r/>
      <w:bookmarkStart w:id="867" w:name="_Toc265228396"/>
      <w:r/>
      <w:bookmarkStart w:id="868" w:name="_Toc226337254"/>
      <w:r/>
      <w:bookmarkStart w:id="869" w:name="_Toc305158900"/>
      <w:r/>
      <w:bookmarkStart w:id="870" w:name="_Toc305158826"/>
      <w:r/>
      <w:bookmarkStart w:id="871" w:name="_Toc164608827"/>
      <w:r/>
      <w:bookmarkStart w:id="872" w:name="_Toc226965748"/>
      <w:r/>
      <w:bookmarkStart w:id="873" w:name="_Toc264969248"/>
      <w:r/>
      <w:bookmarkStart w:id="874" w:name="_Toc226309802"/>
      <w:r/>
      <w:bookmarkStart w:id="875" w:name="_Toc164608672"/>
      <w:r/>
      <w:bookmarkStart w:id="876" w:name="_Toc195842923"/>
      <w:r/>
      <w:bookmarkStart w:id="877" w:name="_Toc226965831"/>
      <w:r>
        <w:rPr>
          <w:rFonts w:hint="eastAsia" w:ascii="宋体" w:hAnsi="宋体" w:eastAsia="宋体" w:cs="宋体"/>
          <w:b/>
          <w:sz w:val="36"/>
          <w:szCs w:val="36"/>
          <w:highlight w:val="none"/>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ascii="宋体" w:hAnsi="宋体" w:eastAsia="宋体" w:cs="宋体"/>
          <w:b/>
          <w:sz w:val="36"/>
          <w:szCs w:val="36"/>
          <w:highlight w:val="none"/>
        </w:rPr>
      </w:r>
      <w:r/>
    </w:p>
    <w:p>
      <w:pPr>
        <w:pStyle w:val="769"/>
        <w:jc w:val="left"/>
        <w:spacing w:line="360" w:lineRule="auto"/>
        <w:tabs>
          <w:tab w:val="left" w:pos="1800" w:leader="none"/>
          <w:tab w:val="left" w:pos="5580" w:leader="none"/>
        </w:tabs>
        <w:rPr>
          <w:rFonts w:hint="eastAsia" w:ascii="宋体" w:hAnsi="宋体" w:eastAsia="宋体" w:cs="宋体"/>
          <w:i/>
          <w:sz w:val="24"/>
          <w:highlight w:val="none"/>
        </w:rPr>
      </w:pPr>
      <w:r>
        <w:rPr>
          <w:rFonts w:hint="eastAsia" w:ascii="宋体" w:hAnsi="宋体" w:eastAsia="宋体" w:cs="宋体"/>
          <w:i/>
          <w:sz w:val="24"/>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sz w:val="24"/>
          <w:highlight w:val="none"/>
          <w:lang w:eastAsia="zh-CN"/>
        </w:rPr>
      </w:r>
      <w:r/>
    </w:p>
    <w:tbl>
      <w:tblPr>
        <w:tblW w:w="486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cantSplit/>
          <w:trHeight w:val="528"/>
        </w:trPr>
        <w:tc>
          <w:tcPr>
            <w:tcW w:w="5000" w:type="dxa"/>
            <w:vAlign w:val="center"/>
            <w:textDirection w:val="lrTb"/>
            <w:noWrap w:val="false"/>
          </w:tcPr>
          <w:p>
            <w:pPr>
              <w:pStyle w:val="769"/>
              <w:ind w:firstLine="482"/>
              <w:jc w:val="left"/>
              <w:spacing w:line="400" w:lineRule="exact"/>
              <w:widowControl w:val="off"/>
              <w:rPr>
                <w:rFonts w:hint="eastAsia" w:ascii="宋体" w:hAnsi="宋体" w:eastAsia="宋体" w:cs="宋体"/>
                <w:sz w:val="22"/>
                <w:szCs w:val="24"/>
                <w:highlight w:val="none"/>
                <w:lang w:val="en-US" w:eastAsia="zh-CN" w:bidi="ar-SA"/>
              </w:rPr>
            </w:pPr>
            <w:r>
              <w:rPr>
                <w:rFonts w:hint="eastAsia" w:ascii="宋体" w:hAnsi="宋体" w:eastAsia="宋体" w:cs="宋体"/>
                <w:b/>
                <w:bCs/>
                <w:sz w:val="22"/>
                <w:szCs w:val="24"/>
                <w:highlight w:val="none"/>
                <w:lang w:val="en-US" w:eastAsia="zh-CN" w:bidi="ar-SA"/>
              </w:rPr>
              <w:t xml:space="preserve">                            投标报价</w:t>
            </w:r>
            <w:r>
              <w:rPr>
                <w:rFonts w:hint="eastAsia" w:ascii="宋体" w:hAnsi="宋体" w:eastAsia="宋体" w:cs="宋体"/>
                <w:sz w:val="22"/>
                <w:szCs w:val="24"/>
                <w:highlight w:val="none"/>
                <w:lang w:val="en-US" w:eastAsia="zh-CN" w:bidi="ar-SA"/>
              </w:rPr>
            </w:r>
            <w:r/>
          </w:p>
        </w:tc>
      </w:tr>
      <w:tr>
        <w:trPr>
          <w:cantSplit/>
          <w:trHeight w:val="1134"/>
        </w:trPr>
        <w:tc>
          <w:tcPr>
            <w:tcW w:w="5000" w:type="dxa"/>
            <w:vAlign w:val="center"/>
            <w:textDirection w:val="lrTb"/>
            <w:noWrap w:val="false"/>
          </w:tcPr>
          <w:p>
            <w:pPr>
              <w:pStyle w:val="776"/>
              <w:jc w:val="both"/>
              <w:spacing w:before="120" w:line="300" w:lineRule="auto"/>
              <w:widowControl w:val="off"/>
              <w:tabs>
                <w:tab w:val="left" w:pos="567"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大写：</w:t>
            </w:r>
            <w:r>
              <w:rPr>
                <w:rFonts w:hint="eastAsia" w:ascii="宋体" w:hAnsi="宋体" w:eastAsia="宋体" w:cs="宋体"/>
                <w:sz w:val="22"/>
                <w:szCs w:val="22"/>
                <w:highlight w:val="none"/>
                <w:lang w:val="en-US" w:eastAsia="zh-CN" w:bidi="ar-SA"/>
              </w:rPr>
            </w:r>
            <w:r/>
          </w:p>
          <w:p>
            <w:pPr>
              <w:pStyle w:val="776"/>
              <w:jc w:val="both"/>
              <w:spacing w:before="120" w:line="300" w:lineRule="auto"/>
              <w:widowControl w:val="off"/>
              <w:tabs>
                <w:tab w:val="left" w:pos="567"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小写：           </w:t>
            </w:r>
            <w:r>
              <w:rPr>
                <w:rFonts w:hint="eastAsia" w:ascii="宋体" w:hAnsi="宋体" w:eastAsia="宋体" w:cs="宋体"/>
                <w:b/>
                <w:bCs/>
                <w:sz w:val="22"/>
                <w:szCs w:val="22"/>
                <w:highlight w:val="none"/>
                <w:lang w:val="en-US" w:eastAsia="zh-CN" w:bidi="ar-SA"/>
              </w:rPr>
            </w:r>
            <w:r/>
          </w:p>
        </w:tc>
      </w:tr>
      <w:tr>
        <w:trPr>
          <w:cantSplit/>
          <w:trHeight w:val="868"/>
        </w:trPr>
        <w:tc>
          <w:tcPr>
            <w:tcW w:w="5000" w:type="dxa"/>
            <w:vAlign w:val="center"/>
            <w:textDirection w:val="lrTb"/>
            <w:noWrap w:val="false"/>
          </w:tcPr>
          <w:p>
            <w:pPr>
              <w:pStyle w:val="776"/>
              <w:jc w:val="both"/>
              <w:spacing w:before="120" w:line="300" w:lineRule="auto"/>
              <w:widowControl w:val="off"/>
              <w:tabs>
                <w:tab w:val="left" w:pos="567" w:leader="none"/>
              </w:tabs>
              <w:rPr>
                <w:rFonts w:hint="eastAsia" w:ascii="宋体" w:hAnsi="宋体" w:eastAsia="宋体" w:cs="宋体"/>
                <w:sz w:val="22"/>
                <w:szCs w:val="22"/>
                <w:highlight w:val="none"/>
                <w:lang w:val="en-US" w:eastAsia="zh-CN" w:bidi="ar-SA"/>
              </w:rPr>
            </w:pPr>
            <w:r>
              <w:rPr>
                <w:rFonts w:hint="eastAsia" w:cs="宋体"/>
                <w:b/>
                <w:bCs/>
                <w:sz w:val="22"/>
                <w:szCs w:val="22"/>
                <w:highlight w:val="none"/>
              </w:rPr>
              <w:t xml:space="preserve">核心产品品牌：</w:t>
            </w:r>
            <w:r>
              <w:rPr>
                <w:rFonts w:hint="eastAsia" w:ascii="宋体" w:hAnsi="宋体" w:eastAsia="宋体" w:cs="宋体"/>
                <w:sz w:val="22"/>
                <w:szCs w:val="22"/>
                <w:highlight w:val="none"/>
                <w:lang w:val="en-US" w:eastAsia="zh-CN" w:bidi="ar-SA"/>
              </w:rPr>
            </w:r>
            <w:r/>
          </w:p>
        </w:tc>
      </w:tr>
    </w:tbl>
    <w:p>
      <w:pPr>
        <w:pStyle w:val="769"/>
        <w:jc w:val="left"/>
        <w:rPr>
          <w:rFonts w:hint="eastAsia" w:ascii="宋体" w:hAnsi="宋体" w:eastAsia="宋体" w:cs="宋体"/>
          <w:sz w:val="24"/>
          <w:highlight w:val="none"/>
        </w:rPr>
      </w:pPr>
      <w:r>
        <w:rPr>
          <w:rFonts w:hint="eastAsia" w:ascii="宋体" w:hAnsi="宋体" w:eastAsia="宋体" w:cs="宋体"/>
          <w:sz w:val="24"/>
          <w:highlight w:val="none"/>
        </w:rPr>
      </w:r>
      <w:r/>
    </w:p>
    <w:p>
      <w:pPr>
        <w:pStyle w:val="769"/>
        <w:ind w:firstLine="0"/>
        <w:jc w:val="left"/>
        <w:spacing w:line="360" w:lineRule="auto"/>
        <w:rPr>
          <w:rFonts w:hint="eastAsia" w:ascii="宋体" w:hAnsi="宋体" w:eastAsia="宋体" w:cs="宋体"/>
          <w:b/>
          <w:bCs/>
          <w:sz w:val="24"/>
          <w:szCs w:val="20"/>
          <w:highlight w:val="none"/>
        </w:rPr>
      </w:pPr>
      <w:r>
        <w:rPr>
          <w:rFonts w:hint="eastAsia" w:ascii="宋体" w:hAnsi="宋体" w:eastAsia="宋体" w:cs="宋体"/>
          <w:b/>
          <w:bCs/>
          <w:sz w:val="24"/>
          <w:highlight w:val="none"/>
        </w:rPr>
        <w:t xml:space="preserve">注：1.</w:t>
      </w:r>
      <w:r>
        <w:rPr>
          <w:rFonts w:hint="eastAsia" w:ascii="宋体" w:hAnsi="宋体" w:eastAsia="宋体" w:cs="宋体"/>
          <w:b/>
          <w:bCs/>
          <w:sz w:val="24"/>
          <w:szCs w:val="20"/>
          <w:highlight w:val="none"/>
        </w:rPr>
        <w:t xml:space="preserve">此表中投标报价应和《分项报价表》中的总价相一致。</w:t>
      </w:r>
      <w:r>
        <w:rPr>
          <w:rFonts w:hint="eastAsia" w:ascii="宋体" w:hAnsi="宋体" w:eastAsia="宋体" w:cs="宋体"/>
          <w:b/>
          <w:bCs/>
          <w:sz w:val="24"/>
          <w:szCs w:val="20"/>
          <w:highlight w:val="none"/>
        </w:rPr>
      </w:r>
      <w:r/>
    </w:p>
    <w:p>
      <w:pPr>
        <w:pStyle w:val="769"/>
        <w:ind w:firstLine="482"/>
        <w:spacing w:before="25" w:after="25"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2.如投标人在苏采云系统中报价与本《开标一览表》不一致的，以苏采云系统中报价金额为准。</w:t>
      </w:r>
      <w:bookmarkStart w:id="878" w:name="_GoBack"/>
      <w:r/>
      <w:bookmarkEnd w:id="878"/>
      <w:r>
        <w:rPr>
          <w:rFonts w:hint="eastAsia" w:ascii="宋体" w:hAnsi="宋体" w:eastAsia="宋体" w:cs="宋体"/>
          <w:b/>
          <w:bCs/>
          <w:sz w:val="24"/>
          <w:highlight w:val="none"/>
        </w:rPr>
      </w:r>
      <w:r/>
    </w:p>
    <w:p>
      <w:pPr>
        <w:pStyle w:val="769"/>
        <w:spacing w:before="25" w:after="25"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769"/>
        <w:spacing w:line="240" w:lineRule="auto"/>
        <w:rPr>
          <w:rFonts w:hint="eastAsia" w:ascii="宋体" w:hAnsi="宋体" w:eastAsia="宋体" w:cs="宋体"/>
          <w:sz w:val="24"/>
          <w:szCs w:val="24"/>
          <w:highlight w:val="none"/>
        </w:rPr>
        <w:outlineLvl w:val="2"/>
      </w:pPr>
      <w:r/>
      <w:bookmarkStart w:id="879" w:name="_Toc226337258"/>
      <w:r/>
      <w:bookmarkStart w:id="880" w:name="_Toc305158904"/>
      <w:r/>
      <w:bookmarkStart w:id="881" w:name="_Toc226309806"/>
      <w:r/>
      <w:bookmarkStart w:id="882" w:name="_Toc265228400"/>
      <w:r/>
      <w:bookmarkStart w:id="883" w:name="_Toc226965835"/>
      <w:r/>
      <w:bookmarkStart w:id="884" w:name="_Toc150480798"/>
      <w:r/>
      <w:bookmarkStart w:id="885" w:name="_Toc150774765"/>
      <w:r/>
      <w:bookmarkStart w:id="886" w:name="_Toc195842927"/>
      <w:r/>
      <w:bookmarkStart w:id="887" w:name="_Toc127151562"/>
      <w:r/>
      <w:bookmarkStart w:id="888" w:name="_Toc142311062"/>
      <w:r/>
      <w:bookmarkStart w:id="889" w:name="_Toc226965752"/>
      <w:r/>
      <w:bookmarkStart w:id="890" w:name="_Toc305158830"/>
      <w:r/>
      <w:bookmarkStart w:id="891" w:name="_Toc264969252"/>
      <w:r/>
      <w:bookmarkStart w:id="892" w:name="_Toc226309805"/>
      <w:r/>
      <w:bookmarkStart w:id="893" w:name="_Toc226965834"/>
      <w:r/>
      <w:bookmarkStart w:id="894" w:name="_Toc305158829"/>
      <w:r/>
      <w:bookmarkStart w:id="895" w:name="_Toc265228399"/>
      <w:r/>
      <w:bookmarkStart w:id="896" w:name="_Toc150774764"/>
      <w:r/>
      <w:bookmarkStart w:id="897" w:name="_Toc150480797"/>
      <w:r/>
      <w:bookmarkStart w:id="898" w:name="_Toc305158903"/>
      <w:r/>
      <w:bookmarkStart w:id="899" w:name="_Toc226965751"/>
      <w:r/>
      <w:bookmarkStart w:id="900" w:name="_Toc142311061"/>
      <w:r/>
      <w:bookmarkStart w:id="901" w:name="_Toc264969251"/>
      <w:r/>
      <w:bookmarkStart w:id="902" w:name="_Toc226337257"/>
      <w:r/>
      <w:bookmarkStart w:id="903" w:name="_Toc195842926"/>
      <w:r/>
      <w:bookmarkStart w:id="904" w:name="_Toc127151561"/>
      <w:r>
        <w:rPr>
          <w:rFonts w:hint="eastAsia" w:ascii="宋体" w:hAnsi="宋体" w:eastAsia="宋体" w:cs="宋体"/>
          <w:sz w:val="24"/>
          <w:szCs w:val="20"/>
          <w:highlight w:val="none"/>
          <w:lang w:val="en-US" w:eastAsia="zh-CN"/>
        </w:rPr>
        <w:br w:type="page" w:clear="all"/>
      </w:r>
      <w:r>
        <w:rPr>
          <w:rFonts w:hint="eastAsia" w:ascii="宋体" w:hAnsi="宋体" w:eastAsia="宋体" w:cs="宋体"/>
          <w:sz w:val="24"/>
          <w:szCs w:val="20"/>
          <w:highlight w:val="none"/>
          <w:lang w:val="en-US" w:eastAsia="zh-CN"/>
        </w:rPr>
        <w:t xml:space="preserve">5</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lang w:val="en-US" w:eastAsia="zh-CN"/>
        </w:rPr>
        <w:t xml:space="preserve">分项报价</w:t>
      </w:r>
      <w:r>
        <w:rPr>
          <w:rFonts w:hint="eastAsia" w:ascii="宋体" w:hAnsi="宋体" w:eastAsia="宋体" w:cs="宋体"/>
          <w:sz w:val="24"/>
          <w:szCs w:val="20"/>
          <w:highlight w:val="none"/>
        </w:rPr>
        <w:t xml:space="preserve">表（实质性格式）</w:t>
      </w:r>
      <w:r>
        <w:rPr>
          <w:rFonts w:hint="eastAsia" w:ascii="宋体" w:hAnsi="宋体" w:eastAsia="宋体" w:cs="宋体"/>
          <w:sz w:val="24"/>
          <w:szCs w:val="24"/>
          <w:highlight w:val="none"/>
        </w:rPr>
      </w:r>
      <w:r/>
    </w:p>
    <w:p>
      <w:pPr>
        <w:pStyle w:val="769"/>
        <w:jc w:val="center"/>
        <w:spacing w:line="360" w:lineRule="exact"/>
        <w:rPr>
          <w:rFonts w:hint="eastAsia" w:ascii="宋体" w:hAnsi="宋体" w:eastAsia="宋体" w:cs="宋体"/>
          <w:b/>
          <w:bCs w:val="0"/>
          <w:sz w:val="36"/>
          <w:szCs w:val="36"/>
          <w:highlight w:val="none"/>
          <w:u w:val="none"/>
        </w:rPr>
        <w:outlineLvl w:val="9"/>
      </w:pPr>
      <w:r>
        <w:rPr>
          <w:rFonts w:hint="eastAsia" w:ascii="宋体" w:hAnsi="宋体" w:eastAsia="宋体" w:cs="宋体"/>
          <w:b/>
          <w:bCs w:val="0"/>
          <w:sz w:val="36"/>
          <w:szCs w:val="36"/>
          <w:highlight w:val="none"/>
          <w:u w:val="none"/>
        </w:rPr>
      </w:r>
      <w:r/>
    </w:p>
    <w:p>
      <w:pPr>
        <w:pStyle w:val="769"/>
        <w:jc w:val="center"/>
        <w:spacing w:line="360" w:lineRule="exact"/>
        <w:rPr>
          <w:rFonts w:hint="eastAsia" w:ascii="宋体" w:hAnsi="宋体" w:eastAsia="宋体" w:cs="宋体"/>
          <w:b/>
          <w:bCs w:val="0"/>
          <w:sz w:val="36"/>
          <w:szCs w:val="36"/>
          <w:highlight w:val="none"/>
          <w:u w:val="none"/>
        </w:rPr>
        <w:outlineLvl w:val="9"/>
      </w:pPr>
      <w:r>
        <w:rPr>
          <w:rFonts w:hint="eastAsia" w:ascii="宋体" w:hAnsi="宋体" w:eastAsia="宋体" w:cs="宋体"/>
          <w:b/>
          <w:bCs w:val="0"/>
          <w:sz w:val="36"/>
          <w:szCs w:val="36"/>
          <w:highlight w:val="none"/>
          <w:u w:val="none"/>
        </w:rPr>
        <w:t xml:space="preserve">分项报价表</w:t>
      </w:r>
      <w:r>
        <w:rPr>
          <w:rFonts w:hint="eastAsia" w:ascii="宋体" w:hAnsi="宋体" w:eastAsia="宋体" w:cs="宋体"/>
          <w:b/>
          <w:bCs w:val="0"/>
          <w:sz w:val="36"/>
          <w:szCs w:val="36"/>
          <w:highlight w:val="none"/>
          <w:u w:val="none"/>
        </w:rPr>
      </w:r>
      <w:r/>
    </w:p>
    <w:p>
      <w:pPr>
        <w:pStyle w:val="1208"/>
        <w:spacing w:line="42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color w:val="000000"/>
          <w:szCs w:val="21"/>
          <w:highlight w:val="none"/>
          <w:lang w:eastAsia="zh-CN"/>
        </w:rPr>
      </w:r>
      <w:r/>
    </w:p>
    <w:p>
      <w:pPr>
        <w:pStyle w:val="1208"/>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color w:val="000000"/>
          <w:szCs w:val="21"/>
          <w:highlight w:val="none"/>
        </w:rPr>
      </w:r>
      <w:r/>
    </w:p>
    <w:tbl>
      <w:tblPr>
        <w:tblW w:w="9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64"/>
        <w:gridCol w:w="950"/>
        <w:gridCol w:w="1596"/>
        <w:gridCol w:w="1677"/>
        <w:gridCol w:w="737"/>
        <w:gridCol w:w="918"/>
        <w:gridCol w:w="882"/>
        <w:gridCol w:w="915"/>
      </w:tblGrid>
      <w:tr>
        <w:trPr>
          <w:cantSplit/>
          <w:trHeight w:val="789"/>
        </w:trPr>
        <w:tc>
          <w:tcPr>
            <w:tcW w:w="785"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序号</w:t>
            </w:r>
            <w:r>
              <w:rPr>
                <w:rFonts w:hint="eastAsia" w:ascii="宋体" w:hAnsi="宋体" w:eastAsia="宋体" w:cs="宋体"/>
                <w:sz w:val="22"/>
                <w:szCs w:val="28"/>
                <w:highlight w:val="none"/>
                <w:lang w:val="en-US" w:eastAsia="zh-CN" w:bidi="ar-SA"/>
              </w:rPr>
            </w:r>
            <w:r/>
          </w:p>
        </w:tc>
        <w:tc>
          <w:tcPr>
            <w:tcW w:w="1364"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名称</w:t>
            </w:r>
            <w:r>
              <w:rPr>
                <w:rFonts w:hint="eastAsia" w:ascii="宋体" w:hAnsi="宋体" w:eastAsia="宋体" w:cs="宋体"/>
                <w:sz w:val="22"/>
                <w:szCs w:val="28"/>
                <w:highlight w:val="none"/>
                <w:lang w:val="en-US" w:eastAsia="zh-CN" w:bidi="ar-SA"/>
              </w:rPr>
            </w:r>
            <w:r/>
          </w:p>
        </w:tc>
        <w:tc>
          <w:tcPr>
            <w:tcW w:w="950"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2"/>
                <w:szCs w:val="24"/>
                <w:highlight w:val="none"/>
                <w:lang w:val="en-US" w:eastAsia="zh-CN" w:bidi="ar-SA"/>
              </w:rPr>
              <w:t xml:space="preserve">品牌、产地</w:t>
            </w:r>
            <w:r>
              <w:rPr>
                <w:rFonts w:hint="eastAsia" w:ascii="宋体" w:hAnsi="宋体" w:eastAsia="宋体" w:cs="宋体"/>
                <w:sz w:val="24"/>
                <w:szCs w:val="24"/>
                <w:highlight w:val="none"/>
                <w:lang w:val="en-US" w:eastAsia="zh-CN" w:bidi="ar-SA"/>
              </w:rPr>
            </w:r>
            <w:r/>
          </w:p>
        </w:tc>
        <w:tc>
          <w:tcPr>
            <w:tcW w:w="1596" w:type="dxa"/>
            <w:vAlign w:val="center"/>
            <w:textDirection w:val="lrTb"/>
            <w:noWrap w:val="false"/>
          </w:tcPr>
          <w:p>
            <w:pPr>
              <w:pStyle w:val="769"/>
              <w:jc w:val="center"/>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产品规格型号</w:t>
            </w:r>
            <w:r>
              <w:rPr>
                <w:rFonts w:hint="eastAsia" w:ascii="宋体" w:hAnsi="宋体" w:eastAsia="宋体" w:cs="宋体"/>
                <w:sz w:val="22"/>
                <w:szCs w:val="24"/>
                <w:highlight w:val="none"/>
                <w:lang w:val="en-US" w:eastAsia="zh-CN" w:bidi="ar-SA"/>
              </w:rPr>
            </w:r>
            <w:r/>
          </w:p>
        </w:tc>
        <w:tc>
          <w:tcPr>
            <w:tcW w:w="1677"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4"/>
                <w:highlight w:val="none"/>
                <w:lang w:val="en-US" w:eastAsia="zh-CN" w:bidi="ar-SA"/>
              </w:rPr>
              <w:t xml:space="preserve">主要技术指标</w:t>
            </w:r>
            <w:r>
              <w:rPr>
                <w:rFonts w:hint="eastAsia" w:ascii="宋体" w:hAnsi="宋体" w:eastAsia="宋体" w:cs="宋体"/>
                <w:sz w:val="22"/>
                <w:szCs w:val="28"/>
                <w:highlight w:val="none"/>
                <w:lang w:val="en-US" w:eastAsia="zh-CN" w:bidi="ar-SA"/>
              </w:rPr>
            </w:r>
            <w:r/>
          </w:p>
        </w:tc>
        <w:tc>
          <w:tcPr>
            <w:tcW w:w="737"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单价</w:t>
            </w:r>
            <w:r>
              <w:rPr>
                <w:rFonts w:hint="eastAsia" w:ascii="宋体" w:hAnsi="宋体" w:eastAsia="宋体" w:cs="宋体"/>
                <w:sz w:val="22"/>
                <w:szCs w:val="28"/>
                <w:highlight w:val="none"/>
                <w:lang w:val="en-US" w:eastAsia="zh-CN" w:bidi="ar-SA"/>
              </w:rPr>
            </w:r>
            <w:r/>
          </w:p>
        </w:tc>
        <w:tc>
          <w:tcPr>
            <w:tcW w:w="918"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数量</w:t>
            </w:r>
            <w:r>
              <w:rPr>
                <w:rFonts w:hint="eastAsia" w:ascii="宋体" w:hAnsi="宋体" w:eastAsia="宋体" w:cs="宋体"/>
                <w:sz w:val="22"/>
                <w:szCs w:val="28"/>
                <w:highlight w:val="none"/>
                <w:lang w:val="en-US" w:eastAsia="zh-CN" w:bidi="ar-SA"/>
              </w:rPr>
            </w:r>
            <w:r/>
          </w:p>
        </w:tc>
        <w:tc>
          <w:tcPr>
            <w:tcW w:w="882"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小计</w:t>
            </w:r>
            <w:r>
              <w:rPr>
                <w:rFonts w:hint="eastAsia" w:ascii="宋体" w:hAnsi="宋体" w:eastAsia="宋体" w:cs="宋体"/>
                <w:sz w:val="22"/>
                <w:szCs w:val="28"/>
                <w:highlight w:val="none"/>
                <w:lang w:val="en-US" w:eastAsia="zh-CN" w:bidi="ar-SA"/>
              </w:rPr>
            </w:r>
            <w:r/>
          </w:p>
        </w:tc>
        <w:tc>
          <w:tcPr>
            <w:tcW w:w="915"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备注</w:t>
            </w:r>
            <w:r>
              <w:rPr>
                <w:rFonts w:hint="eastAsia" w:ascii="宋体" w:hAnsi="宋体" w:eastAsia="宋体" w:cs="宋体"/>
                <w:sz w:val="22"/>
                <w:szCs w:val="28"/>
                <w:highlight w:val="none"/>
                <w:lang w:val="en-US" w:eastAsia="zh-CN" w:bidi="ar-SA"/>
              </w:rPr>
            </w:r>
            <w:r/>
          </w:p>
        </w:tc>
      </w:tr>
      <w:tr>
        <w:trPr>
          <w:cantSplit/>
          <w:trHeight w:val="582"/>
        </w:trPr>
        <w:tc>
          <w:tcPr>
            <w:tcW w:w="785"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364" w:type="dxa"/>
            <w:vAlign w:val="center"/>
            <w:textDirection w:val="lrTb"/>
            <w:noWrap w:val="false"/>
          </w:tcPr>
          <w:p>
            <w:pPr>
              <w:pStyle w:val="769"/>
              <w:jc w:val="center"/>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950"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596"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7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73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8" w:type="dxa"/>
            <w:vAlign w:val="center"/>
            <w:textDirection w:val="lrTb"/>
            <w:noWrap w:val="false"/>
          </w:tcPr>
          <w:p>
            <w:pPr>
              <w:pStyle w:val="769"/>
              <w:jc w:val="center"/>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tcW w:w="882"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5"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cantSplit/>
          <w:trHeight w:val="582"/>
        </w:trPr>
        <w:tc>
          <w:tcPr>
            <w:tcW w:w="785" w:type="dxa"/>
            <w:vAlign w:val="center"/>
            <w:textDirection w:val="lrTb"/>
            <w:noWrap w:val="false"/>
          </w:tcPr>
          <w:p>
            <w:pPr>
              <w:pStyle w:val="769"/>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364"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50"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596"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7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73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8"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882"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5"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cantSplit/>
          <w:trHeight w:val="582"/>
        </w:trPr>
        <w:tc>
          <w:tcPr>
            <w:tcW w:w="785" w:type="dxa"/>
            <w:vAlign w:val="center"/>
            <w:textDirection w:val="lrTb"/>
            <w:noWrap w:val="false"/>
          </w:tcPr>
          <w:p>
            <w:pPr>
              <w:pStyle w:val="769"/>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364"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50"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596"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7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73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8"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882"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5"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cantSplit/>
          <w:trHeight w:val="582"/>
        </w:trPr>
        <w:tc>
          <w:tcPr>
            <w:tcW w:w="785" w:type="dxa"/>
            <w:vAlign w:val="center"/>
            <w:textDirection w:val="lrTb"/>
            <w:noWrap w:val="false"/>
          </w:tcPr>
          <w:p>
            <w:pPr>
              <w:pStyle w:val="769"/>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pStyle w:val="769"/>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364"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50"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596"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7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737"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8"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882"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5" w:type="dxa"/>
            <w:vAlign w:val="center"/>
            <w:textDirection w:val="lrTb"/>
            <w:noWrap w:val="false"/>
          </w:tcPr>
          <w:p>
            <w:pPr>
              <w:pStyle w:val="769"/>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cantSplit/>
          <w:trHeight w:val="627"/>
        </w:trPr>
        <w:tc>
          <w:tcPr>
            <w:gridSpan w:val="7"/>
            <w:tcW w:w="8027"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合计</w:t>
            </w:r>
            <w:r>
              <w:rPr>
                <w:rFonts w:hint="eastAsia" w:ascii="宋体" w:hAnsi="宋体" w:eastAsia="宋体" w:cs="宋体"/>
                <w:sz w:val="22"/>
                <w:szCs w:val="28"/>
                <w:highlight w:val="none"/>
                <w:lang w:val="en-US" w:eastAsia="zh-CN" w:bidi="ar-SA"/>
              </w:rPr>
            </w:r>
            <w:r/>
          </w:p>
        </w:tc>
        <w:tc>
          <w:tcPr>
            <w:tcW w:w="882"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r>
            <w:r/>
          </w:p>
        </w:tc>
        <w:tc>
          <w:tcPr>
            <w:tcW w:w="915" w:type="dxa"/>
            <w:vAlign w:val="center"/>
            <w:textDirection w:val="lrTb"/>
            <w:noWrap w:val="false"/>
          </w:tcPr>
          <w:p>
            <w:pPr>
              <w:pStyle w:val="769"/>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r>
            <w:r/>
          </w:p>
        </w:tc>
      </w:tr>
      <w:tr>
        <w:trPr>
          <w:cantSplit/>
          <w:trHeight w:val="931"/>
        </w:trPr>
        <w:tc>
          <w:tcPr>
            <w:tcW w:w="785" w:type="dxa"/>
            <w:vAlign w:val="center"/>
            <w:textDirection w:val="lrTb"/>
            <w:noWrap w:val="false"/>
          </w:tcPr>
          <w:p>
            <w:pPr>
              <w:pStyle w:val="769"/>
              <w:jc w:val="center"/>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项目总价</w:t>
            </w:r>
            <w:r>
              <w:rPr>
                <w:rFonts w:hint="eastAsia" w:ascii="宋体" w:hAnsi="宋体" w:eastAsia="宋体" w:cs="宋体"/>
                <w:sz w:val="22"/>
                <w:szCs w:val="24"/>
                <w:highlight w:val="none"/>
                <w:lang w:val="en-US" w:eastAsia="zh-CN" w:bidi="ar-SA"/>
              </w:rPr>
            </w:r>
            <w:r/>
          </w:p>
        </w:tc>
        <w:tc>
          <w:tcPr>
            <w:gridSpan w:val="7"/>
            <w:tcW w:w="8124" w:type="dxa"/>
            <w:vAlign w:val="center"/>
            <w:textDirection w:val="lrTb"/>
            <w:noWrap w:val="false"/>
          </w:tcPr>
          <w:p>
            <w:pPr>
              <w:pStyle w:val="776"/>
              <w:jc w:val="both"/>
              <w:spacing w:before="120" w:line="300" w:lineRule="auto"/>
              <w:widowControl w:val="off"/>
              <w:tabs>
                <w:tab w:val="left" w:pos="567"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大写：</w:t>
            </w:r>
            <w:r>
              <w:rPr>
                <w:rFonts w:hint="eastAsia" w:ascii="宋体" w:hAnsi="宋体" w:eastAsia="宋体" w:cs="宋体"/>
                <w:sz w:val="22"/>
                <w:szCs w:val="22"/>
                <w:highlight w:val="none"/>
                <w:lang w:val="en-US" w:eastAsia="zh-CN" w:bidi="ar-SA"/>
              </w:rPr>
            </w:r>
            <w:r/>
          </w:p>
          <w:p>
            <w:pPr>
              <w:pStyle w:val="769"/>
              <w:jc w:val="both"/>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小写：                             （人民币）</w:t>
            </w:r>
            <w:r>
              <w:rPr>
                <w:rFonts w:hint="eastAsia" w:ascii="宋体" w:hAnsi="宋体" w:eastAsia="宋体" w:cs="宋体"/>
                <w:sz w:val="22"/>
                <w:szCs w:val="24"/>
                <w:highlight w:val="none"/>
                <w:lang w:val="en-US" w:eastAsia="zh-CN" w:bidi="ar-SA"/>
              </w:rPr>
            </w:r>
            <w:r/>
          </w:p>
        </w:tc>
        <w:tc>
          <w:tcPr>
            <w:tcW w:w="915" w:type="dxa"/>
            <w:vAlign w:val="center"/>
            <w:textDirection w:val="lrTb"/>
            <w:noWrap w:val="false"/>
          </w:tcPr>
          <w:p>
            <w:pPr>
              <w:pStyle w:val="769"/>
              <w:jc w:val="both"/>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r>
            <w:r/>
          </w:p>
        </w:tc>
      </w:tr>
      <w:tr>
        <w:trPr>
          <w:cantSplit/>
          <w:trHeight w:val="931"/>
        </w:trPr>
        <w:tc>
          <w:tcPr>
            <w:gridSpan w:val="9"/>
            <w:tcW w:w="9824" w:type="dxa"/>
            <w:vAlign w:val="center"/>
            <w:textDirection w:val="lrTb"/>
            <w:noWrap w:val="false"/>
          </w:tcPr>
          <w:p>
            <w:pPr>
              <w:pStyle w:val="769"/>
              <w:jc w:val="both"/>
              <w:widowControl w:val="off"/>
              <w:rPr>
                <w:rFonts w:hint="eastAsia" w:ascii="宋体" w:hAnsi="宋体" w:eastAsia="宋体" w:cs="宋体"/>
                <w:sz w:val="22"/>
                <w:szCs w:val="24"/>
                <w:highlight w:val="none"/>
                <w:lang w:val="en-US" w:eastAsia="zh-CN" w:bidi="ar-SA"/>
              </w:rPr>
            </w:pPr>
            <w:r>
              <w:rPr>
                <w:rFonts w:hint="eastAsia" w:ascii="宋体" w:hAnsi="宋体" w:eastAsia="宋体" w:cs="宋体"/>
                <w:b/>
                <w:bCs/>
                <w:color w:val="000000"/>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2"/>
                <w:szCs w:val="22"/>
                <w:highlight w:val="none"/>
                <w:u w:val="single"/>
              </w:rPr>
              <w:t xml:space="preserve">   </w:t>
            </w:r>
            <w:r>
              <w:rPr>
                <w:rFonts w:hint="eastAsia" w:ascii="宋体" w:hAnsi="宋体" w:eastAsia="宋体" w:cs="宋体"/>
                <w:b/>
                <w:bCs/>
                <w:color w:val="000000"/>
                <w:sz w:val="22"/>
                <w:szCs w:val="22"/>
                <w:highlight w:val="none"/>
              </w:rPr>
              <w:t xml:space="preserve">%。</w:t>
            </w:r>
            <w:r>
              <w:rPr>
                <w:rFonts w:hint="eastAsia" w:ascii="宋体" w:hAnsi="宋体" w:eastAsia="宋体" w:cs="宋体"/>
                <w:sz w:val="22"/>
                <w:szCs w:val="24"/>
                <w:highlight w:val="none"/>
                <w:lang w:val="en-US" w:eastAsia="zh-CN" w:bidi="ar-SA"/>
              </w:rPr>
            </w:r>
            <w:r/>
          </w:p>
        </w:tc>
      </w:tr>
    </w:tbl>
    <w:p>
      <w:pPr>
        <w:pStyle w:val="1208"/>
        <w:ind w:firstLine="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208"/>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1208"/>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期：________年____月____日</w:t>
      </w:r>
      <w:r>
        <w:rPr>
          <w:rFonts w:hint="eastAsia" w:ascii="宋体" w:hAnsi="宋体" w:eastAsia="宋体" w:cs="宋体"/>
          <w:color w:val="000000"/>
          <w:szCs w:val="21"/>
          <w:highlight w:val="none"/>
        </w:rPr>
      </w:r>
      <w:r/>
    </w:p>
    <w:p>
      <w:pPr>
        <w:pStyle w:val="76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9"/>
        <w:ind w:firstLine="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.如果不提供分项报价将视为没有实质性响应</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.本表行数可以按照项目分项情况增加。</w:t>
      </w:r>
      <w:r>
        <w:rPr>
          <w:rFonts w:hint="eastAsia" w:ascii="宋体" w:hAnsi="宋体" w:eastAsia="宋体" w:cs="宋体"/>
          <w:color w:val="000000"/>
          <w:sz w:val="24"/>
          <w:highlight w:val="none"/>
        </w:rPr>
      </w:r>
      <w:r/>
    </w:p>
    <w:p>
      <w:pPr>
        <w:pStyle w:val="769"/>
        <w:ind w:firstLine="480"/>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.上述各项的详细规格、技术参数如表格中填写不下的，可以逐项另页描述。</w:t>
      </w:r>
      <w:r>
        <w:rPr>
          <w:rFonts w:hint="eastAsia" w:ascii="宋体" w:hAnsi="宋体" w:eastAsia="宋体" w:cs="宋体"/>
          <w:color w:val="000000"/>
          <w:sz w:val="24"/>
          <w:highlight w:val="none"/>
        </w:rPr>
      </w:r>
      <w:r/>
    </w:p>
    <w:p>
      <w:pPr>
        <w:pStyle w:val="769"/>
        <w:ind w:firstLine="480"/>
        <w:jc w:val="left"/>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769"/>
        <w:ind w:firstLine="0"/>
        <w:jc w:val="left"/>
        <w:spacing w:line="360" w:lineRule="auto"/>
        <w:rPr>
          <w:rFonts w:hint="eastAsia" w:ascii="宋体" w:hAnsi="宋体" w:eastAsia="宋体" w:cs="宋体"/>
          <w:sz w:val="24"/>
          <w:szCs w:val="20"/>
          <w:highlight w:val="none"/>
          <w:lang w:val="en-US"/>
        </w:rPr>
        <w:outlineLvl w:val="2"/>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lang w:val="en-US"/>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hint="eastAsia" w:ascii="宋体" w:hAnsi="宋体" w:eastAsia="宋体" w:cs="宋体"/>
          <w:sz w:val="24"/>
          <w:szCs w:val="20"/>
          <w:highlight w:val="none"/>
          <w:lang w:val="en-US"/>
        </w:rPr>
        <w:t xml:space="preserve">（实质性格式）</w:t>
      </w:r>
      <w:r>
        <w:rPr>
          <w:rFonts w:hint="eastAsia" w:ascii="宋体" w:hAnsi="宋体" w:eastAsia="宋体" w:cs="宋体"/>
          <w:sz w:val="24"/>
          <w:szCs w:val="20"/>
          <w:highlight w:val="none"/>
          <w:lang w:val="en-US"/>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jc w:val="center"/>
        <w:spacing w:line="360" w:lineRule="auto"/>
        <w:tabs>
          <w:tab w:val="left" w:pos="2775" w:leader="none"/>
          <w:tab w:val="center" w:pos="4153" w:leader="none"/>
        </w:tabs>
        <w:rPr>
          <w:rFonts w:hint="eastAsia" w:ascii="宋体" w:hAnsi="宋体" w:eastAsia="宋体" w:cs="宋体"/>
          <w:sz w:val="24"/>
          <w:szCs w:val="20"/>
          <w:highlight w:val="none"/>
        </w:rPr>
      </w:pPr>
      <w:r>
        <w:rPr>
          <w:rFonts w:hint="eastAsia" w:ascii="宋体" w:hAnsi="宋体" w:eastAsia="宋体" w:cs="宋体"/>
          <w:b/>
          <w:sz w:val="36"/>
          <w:szCs w:val="36"/>
          <w:highlight w:val="none"/>
        </w:rPr>
        <w:t xml:space="preserve">合同条款偏离表</w:t>
      </w: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769"/>
              <w:jc w:val="lef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对本项目合同条款的偏离情况（请进行勾选）：</w:t>
            </w:r>
            <w:r>
              <w:rPr>
                <w:rFonts w:hint="eastAsia" w:ascii="宋体" w:hAnsi="宋体" w:eastAsia="宋体" w:cs="宋体"/>
                <w:b/>
                <w:sz w:val="24"/>
                <w:szCs w:val="24"/>
                <w:highlight w:val="none"/>
                <w:lang w:val="en-US" w:eastAsia="zh-CN" w:bidi="ar-SA"/>
              </w:rPr>
            </w:r>
            <w:r/>
          </w:p>
          <w:p>
            <w:pPr>
              <w:pStyle w:val="769"/>
              <w:jc w:val="lef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□无偏离</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1"/>
                <w:highlight w:val="none"/>
                <w:lang w:val="en-US" w:eastAsia="zh-CN" w:bidi="ar-SA"/>
              </w:rPr>
              <w:t xml:space="preserve">如无偏离，仅勾选无偏离即可</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sz w:val="24"/>
                <w:szCs w:val="24"/>
                <w:highlight w:val="none"/>
                <w:lang w:val="en-US" w:eastAsia="zh-CN" w:bidi="ar-SA"/>
              </w:rPr>
            </w:r>
            <w:r/>
          </w:p>
          <w:p>
            <w:pPr>
              <w:pStyle w:val="769"/>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□有偏离</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1"/>
                <w:highlight w:val="none"/>
                <w:lang w:val="en-US" w:eastAsia="zh-CN" w:bidi="ar-SA"/>
              </w:rPr>
              <w:t xml:space="preserve">如有偏离，</w:t>
            </w:r>
            <w:r>
              <w:rPr>
                <w:rFonts w:hint="eastAsia" w:ascii="宋体" w:hAnsi="宋体" w:eastAsia="宋体" w:cs="宋体"/>
                <w:sz w:val="24"/>
                <w:szCs w:val="24"/>
                <w:highlight w:val="none"/>
                <w:lang w:val="en-US" w:eastAsia="zh-CN" w:bidi="ar-SA"/>
              </w:rPr>
              <w:t xml:space="preserve">则应在本表中对偏离项逐一列明）</w:t>
            </w:r>
            <w:r>
              <w:rPr>
                <w:rFonts w:hint="eastAsia" w:ascii="宋体" w:hAnsi="宋体" w:eastAsia="宋体" w:cs="宋体"/>
                <w:sz w:val="24"/>
                <w:szCs w:val="24"/>
                <w:highlight w:val="none"/>
                <w:lang w:val="en-US" w:eastAsia="zh-CN" w:bidi="ar-SA"/>
              </w:rPr>
            </w:r>
            <w:r/>
          </w:p>
        </w:tc>
      </w:tr>
      <w:tr>
        <w:trPr>
          <w:trHeight w:val="930"/>
        </w:trPr>
        <w:tc>
          <w:tcPr>
            <w:tcW w:w="83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W w:w="129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1"/>
                <w:highlight w:val="none"/>
                <w:lang w:val="en-US" w:eastAsia="zh-CN" w:bidi="ar-SA"/>
              </w:rPr>
              <w:t xml:space="preserve">招标文件</w:t>
            </w:r>
            <w:r>
              <w:rPr>
                <w:rFonts w:hint="eastAsia" w:ascii="宋体" w:hAnsi="宋体" w:eastAsia="宋体" w:cs="宋体"/>
                <w:sz w:val="24"/>
                <w:szCs w:val="24"/>
                <w:highlight w:val="none"/>
                <w:lang w:val="en-US" w:eastAsia="zh-CN" w:bidi="ar-SA"/>
              </w:rPr>
              <w:t xml:space="preserve">条目号（页码）</w:t>
            </w:r>
            <w:r>
              <w:rPr>
                <w:rFonts w:hint="eastAsia" w:ascii="宋体" w:hAnsi="宋体" w:eastAsia="宋体" w:cs="宋体"/>
                <w:sz w:val="24"/>
                <w:szCs w:val="24"/>
                <w:highlight w:val="none"/>
                <w:lang w:val="en-US" w:eastAsia="zh-CN" w:bidi="ar-SA"/>
              </w:rPr>
            </w:r>
            <w:r/>
          </w:p>
        </w:tc>
        <w:tc>
          <w:tcPr>
            <w:tcW w:w="1980"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1"/>
                <w:highlight w:val="none"/>
                <w:lang w:val="en-US" w:eastAsia="zh-CN" w:bidi="ar-SA"/>
              </w:rPr>
              <w:t xml:space="preserve">招标文件</w:t>
            </w:r>
            <w:r>
              <w:rPr>
                <w:rFonts w:hint="eastAsia" w:ascii="宋体" w:hAnsi="宋体" w:eastAsia="宋体" w:cs="宋体"/>
                <w:sz w:val="24"/>
                <w:szCs w:val="24"/>
                <w:highlight w:val="none"/>
                <w:lang w:val="en-US" w:eastAsia="zh-CN" w:bidi="ar-SA"/>
              </w:rPr>
              <w:t xml:space="preserve">要求</w:t>
            </w:r>
            <w:r>
              <w:rPr>
                <w:rFonts w:hint="eastAsia" w:ascii="宋体" w:hAnsi="宋体" w:eastAsia="宋体" w:cs="宋体"/>
                <w:sz w:val="24"/>
                <w:szCs w:val="24"/>
                <w:highlight w:val="none"/>
                <w:lang w:val="en-US" w:eastAsia="zh-CN" w:bidi="ar-SA"/>
              </w:rPr>
            </w:r>
            <w:r/>
          </w:p>
        </w:tc>
        <w:tc>
          <w:tcPr>
            <w:tcW w:w="198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投标文件内容</w:t>
            </w:r>
            <w:r>
              <w:rPr>
                <w:rFonts w:hint="eastAsia" w:ascii="宋体" w:hAnsi="宋体" w:eastAsia="宋体" w:cs="宋体"/>
                <w:sz w:val="24"/>
                <w:szCs w:val="24"/>
                <w:highlight w:val="none"/>
                <w:lang w:val="en-US" w:eastAsia="zh-CN" w:bidi="ar-SA"/>
              </w:rPr>
            </w:r>
            <w:r/>
          </w:p>
        </w:tc>
        <w:tc>
          <w:tcPr>
            <w:tcW w:w="2423"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偏离情况</w:t>
            </w:r>
            <w:r>
              <w:rPr>
                <w:rFonts w:hint="eastAsia" w:ascii="宋体" w:hAnsi="宋体" w:eastAsia="宋体" w:cs="宋体"/>
                <w:sz w:val="24"/>
                <w:szCs w:val="24"/>
                <w:highlight w:val="none"/>
                <w:lang w:val="en-US" w:eastAsia="zh-CN" w:bidi="ar-SA"/>
              </w:rPr>
            </w:r>
            <w:r/>
          </w:p>
        </w:tc>
        <w:tc>
          <w:tcPr>
            <w:tcW w:w="78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说明</w:t>
            </w:r>
            <w:r>
              <w:rPr>
                <w:rFonts w:hint="eastAsia" w:ascii="宋体" w:hAnsi="宋体" w:eastAsia="宋体" w:cs="宋体"/>
                <w:sz w:val="24"/>
                <w:szCs w:val="24"/>
                <w:highlight w:val="none"/>
                <w:lang w:val="en-US" w:eastAsia="zh-CN" w:bidi="ar-SA"/>
              </w:rPr>
            </w:r>
            <w:r/>
          </w:p>
        </w:tc>
      </w:tr>
      <w:tr>
        <w:trPr>
          <w:trHeight w:val="930"/>
        </w:trPr>
        <w:tc>
          <w:tcPr>
            <w:tcW w:w="83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0"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23"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8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30"/>
        </w:trPr>
        <w:tc>
          <w:tcPr>
            <w:tcW w:w="83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0"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23"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8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30"/>
        </w:trPr>
        <w:tc>
          <w:tcPr>
            <w:tcW w:w="83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0"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23"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8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30"/>
        </w:trPr>
        <w:tc>
          <w:tcPr>
            <w:tcW w:w="83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129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0"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81"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23"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82" w:type="dxa"/>
            <w:vAlign w:val="center"/>
            <w:textDirection w:val="lrTb"/>
            <w:noWrap w:val="false"/>
          </w:tcPr>
          <w:p>
            <w:pPr>
              <w:pStyle w:val="769"/>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对合同条款中的所有要求，除本表所列明的所有偏离外，均视作供应商已对之理解和响应。</w:t>
      </w: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 “偏离情况”列应据实填写“正偏离”、“无偏离”或“负偏离”。</w:t>
      </w:r>
      <w:r>
        <w:rPr>
          <w:rFonts w:hint="eastAsia" w:ascii="宋体" w:hAnsi="宋体" w:eastAsia="宋体" w:cs="宋体"/>
          <w:sz w:val="24"/>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769"/>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br w:type="page" w:clear="all"/>
      </w:r>
      <w:r>
        <w:rPr>
          <w:rFonts w:hint="eastAsia" w:ascii="宋体" w:hAnsi="宋体" w:eastAsia="宋体" w:cs="宋体"/>
          <w:sz w:val="24"/>
          <w:szCs w:val="20"/>
          <w:highlight w:val="none"/>
          <w:lang w:val="en-US" w:eastAsia="zh-CN"/>
        </w:rPr>
        <w:t xml:space="preserve">7</w:t>
      </w:r>
      <w:r>
        <w:rPr>
          <w:rFonts w:hint="eastAsia" w:ascii="宋体" w:hAnsi="宋体" w:eastAsia="宋体" w:cs="宋体"/>
          <w:sz w:val="24"/>
          <w:szCs w:val="20"/>
          <w:highlight w:val="none"/>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eastAsia="宋体" w:cs="宋体"/>
          <w:sz w:val="24"/>
          <w:szCs w:val="20"/>
          <w:highlight w:val="none"/>
        </w:rPr>
        <w:t xml:space="preserve">采购需求偏离表（实质性格式）</w:t>
      </w:r>
      <w:r>
        <w:rPr>
          <w:rFonts w:hint="eastAsia" w:ascii="宋体" w:hAnsi="宋体" w:eastAsia="宋体" w:cs="宋体"/>
          <w:sz w:val="24"/>
          <w:szCs w:val="20"/>
          <w:highlight w:val="none"/>
        </w:rPr>
      </w:r>
      <w:r/>
    </w:p>
    <w:p>
      <w:pPr>
        <w:pStyle w:val="769"/>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69"/>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采购需求偏离表</w:t>
      </w:r>
      <w:r>
        <w:rPr>
          <w:rFonts w:hint="eastAsia" w:ascii="宋体" w:hAnsi="宋体" w:eastAsia="宋体" w:cs="宋体"/>
          <w:b/>
          <w:sz w:val="36"/>
          <w:szCs w:val="36"/>
          <w:highlight w:val="none"/>
        </w:rPr>
      </w:r>
      <w:r/>
    </w:p>
    <w:p>
      <w:pPr>
        <w:pStyle w:val="769"/>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9"/>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b/>
          <w:bCs/>
          <w:sz w:val="24"/>
          <w:highlight w:val="none"/>
        </w:rPr>
        <w:t xml:space="preserve"> </w:t>
      </w:r>
      <w:r>
        <w:rPr>
          <w:rFonts w:hint="eastAsia" w:ascii="宋体" w:hAnsi="宋体" w:eastAsia="宋体" w:cs="宋体"/>
          <w:b/>
          <w:bCs/>
          <w:sz w:val="24"/>
          <w:highlight w:val="none"/>
        </w:rPr>
      </w:r>
      <w:r/>
    </w:p>
    <w:p>
      <w:pPr>
        <w:pStyle w:val="769"/>
        <w:jc w:val="right"/>
        <w:rPr>
          <w:rFonts w:hint="eastAsia" w:ascii="宋体" w:hAnsi="宋体" w:eastAsia="宋体" w:cs="宋体"/>
          <w:highlight w:val="none"/>
        </w:rPr>
      </w:pPr>
      <w:r>
        <w:rPr>
          <w:rFonts w:hint="eastAsia" w:ascii="宋体" w:hAnsi="宋体" w:eastAsia="宋体" w:cs="宋体"/>
          <w:sz w:val="24"/>
          <w:highlight w:val="none"/>
        </w:rPr>
        <w:t xml:space="preserve">                      </w:t>
      </w:r>
      <w:r>
        <w:rPr>
          <w:rFonts w:hint="eastAsia" w:ascii="宋体" w:hAnsi="宋体" w:eastAsia="宋体" w:cs="宋体"/>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69"/>
              <w:jc w:val="center"/>
              <w:spacing w:line="360" w:lineRule="auto"/>
              <w:widowControl w:val="off"/>
              <w:tabs>
                <w:tab w:val="left" w:pos="1800" w:leader="none"/>
                <w:tab w:val="left" w:pos="55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spacing w:line="360" w:lineRule="auto"/>
              <w:widowControl w:val="off"/>
              <w:tabs>
                <w:tab w:val="left" w:pos="1800" w:leader="none"/>
                <w:tab w:val="left" w:pos="55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招标文件条目号(页码)</w:t>
            </w: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spacing w:line="360" w:lineRule="auto"/>
              <w:widowControl w:val="off"/>
              <w:tabs>
                <w:tab w:val="left" w:pos="1800" w:leader="none"/>
                <w:tab w:val="left" w:pos="55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spacing w:line="360" w:lineRule="auto"/>
              <w:widowControl w:val="off"/>
              <w:tabs>
                <w:tab w:val="left" w:pos="1800" w:leader="none"/>
                <w:tab w:val="left" w:pos="55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投标响应内容</w:t>
            </w: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spacing w:line="360" w:lineRule="auto"/>
              <w:widowControl w:val="off"/>
              <w:tabs>
                <w:tab w:val="left" w:pos="1800" w:leader="none"/>
                <w:tab w:val="left" w:pos="55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偏离情况</w:t>
            </w: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spacing w:line="360" w:lineRule="auto"/>
              <w:widowControl w:val="off"/>
              <w:tabs>
                <w:tab w:val="left" w:pos="1800" w:leader="none"/>
                <w:tab w:val="left" w:pos="55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rPr>
                <w:rFonts w:hint="eastAsia" w:ascii="宋体" w:hAnsi="宋体" w:eastAsia="宋体" w:cs="宋体"/>
                <w:color w:val="000000"/>
                <w:sz w:val="24"/>
                <w:szCs w:val="24"/>
                <w:highlight w:val="none"/>
                <w:lang w:val="en-US" w:eastAsia="zh-CN" w:bidi="ar-SA"/>
              </w:rPr>
            </w:r>
            <w:r/>
          </w:p>
        </w:tc>
      </w:tr>
      <w:tr>
        <w:trPr>
          <w:trHeight w:val="930"/>
        </w:trPr>
        <w:tc>
          <w:tcPr>
            <w:tcW w:w="7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30"/>
        </w:trPr>
        <w:tc>
          <w:tcPr>
            <w:tcW w:w="7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30"/>
        </w:trPr>
        <w:tc>
          <w:tcPr>
            <w:tcW w:w="7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30"/>
        </w:trPr>
        <w:tc>
          <w:tcPr>
            <w:tcW w:w="7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30"/>
        </w:trPr>
        <w:tc>
          <w:tcPr>
            <w:tcW w:w="7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30"/>
        </w:trPr>
        <w:tc>
          <w:tcPr>
            <w:tcW w:w="7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1482"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4"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75"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9" w:type="dxa"/>
            <w:vAlign w:val="center"/>
            <w:textDirection w:val="lrTb"/>
            <w:noWrap w:val="false"/>
          </w:tcPr>
          <w:p>
            <w:pPr>
              <w:pStyle w:val="76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2.“偏离情况”列应据实填写“正偏离”、“无偏离”或“负偏离”。</w:t>
      </w: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69"/>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769"/>
        <w:rPr>
          <w:rFonts w:hint="eastAsia" w:ascii="宋体" w:hAnsi="宋体" w:eastAsia="宋体" w:cs="宋体"/>
          <w:i w:val="0"/>
          <w:iCs w:val="0"/>
          <w:sz w:val="24"/>
          <w:szCs w:val="20"/>
          <w:highlight w:val="none"/>
          <w:u w:val="none"/>
          <w:lang w:val="en-US" w:eastAsia="zh-CN" w:bidi="ar"/>
        </w:rPr>
        <w:outlineLvl w:val="2"/>
      </w:pPr>
      <w:r>
        <w:rPr>
          <w:rFonts w:hint="eastAsia" w:ascii="宋体" w:hAnsi="宋体" w:eastAsia="宋体" w:cs="宋体"/>
          <w:sz w:val="24"/>
          <w:szCs w:val="20"/>
          <w:highlight w:val="none"/>
        </w:rPr>
        <w:br w:type="page" w:clear="all"/>
      </w:r>
      <w:r>
        <w:rPr>
          <w:rFonts w:hint="eastAsia" w:ascii="宋体" w:hAnsi="宋体" w:eastAsia="宋体" w:cs="宋体"/>
          <w:sz w:val="24"/>
          <w:szCs w:val="20"/>
          <w:highlight w:val="none"/>
          <w:lang w:val="en-US" w:eastAsia="zh-CN"/>
        </w:rPr>
        <w:t xml:space="preserve">8</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lang w:val="en-US" w:eastAsia="zh-CN"/>
        </w:rPr>
        <w:t xml:space="preserve">实质性响应条款</w:t>
      </w:r>
      <w:r>
        <w:rPr>
          <w:rFonts w:hint="eastAsia" w:ascii="宋体" w:hAnsi="宋体" w:eastAsia="宋体" w:cs="宋体"/>
          <w:i w:val="0"/>
          <w:iCs w:val="0"/>
          <w:sz w:val="24"/>
          <w:szCs w:val="20"/>
          <w:highlight w:val="none"/>
          <w:u w:val="none"/>
          <w:lang w:val="en-US" w:eastAsia="zh-CN" w:bidi="ar"/>
        </w:rPr>
        <w:t xml:space="preserve">★项</w:t>
      </w:r>
      <w:r>
        <w:rPr>
          <w:rFonts w:hint="eastAsia" w:ascii="宋体" w:hAnsi="宋体" w:eastAsia="宋体" w:cs="宋体"/>
          <w:i w:val="0"/>
          <w:iCs w:val="0"/>
          <w:sz w:val="24"/>
          <w:szCs w:val="20"/>
          <w:highlight w:val="none"/>
          <w:u w:val="none"/>
          <w:lang w:val="en-US" w:eastAsia="zh-CN" w:bidi="ar"/>
        </w:rPr>
      </w:r>
      <w:r/>
    </w:p>
    <w:p>
      <w:pPr>
        <w:pStyle w:val="769"/>
        <w:jc w:val="center"/>
        <w:spacing w:line="360" w:lineRule="auto"/>
        <w:rPr>
          <w:rFonts w:hint="eastAsia" w:ascii="宋体" w:hAnsi="宋体" w:eastAsia="宋体" w:cs="宋体"/>
          <w:b/>
          <w:i w:val="0"/>
          <w:iCs w:val="0"/>
          <w:sz w:val="36"/>
          <w:szCs w:val="36"/>
          <w:highlight w:val="none"/>
          <w:u w:val="none"/>
          <w:lang w:val="en-US" w:eastAsia="zh-CN" w:bidi="ar"/>
        </w:rPr>
        <w:outlineLvl w:val="9"/>
      </w:pPr>
      <w:r>
        <w:rPr>
          <w:rFonts w:hint="eastAsia" w:ascii="宋体" w:hAnsi="宋体" w:eastAsia="宋体" w:cs="宋体"/>
          <w:b/>
          <w:i w:val="0"/>
          <w:iCs w:val="0"/>
          <w:sz w:val="36"/>
          <w:szCs w:val="36"/>
          <w:highlight w:val="none"/>
          <w:u w:val="none"/>
          <w:lang w:val="en-US" w:eastAsia="zh-CN" w:bidi="ar"/>
        </w:rPr>
        <w:t xml:space="preserve">承 诺 函</w:t>
      </w:r>
      <w:r>
        <w:rPr>
          <w:rFonts w:hint="eastAsia" w:ascii="宋体" w:hAnsi="宋体" w:eastAsia="宋体" w:cs="宋体"/>
          <w:b/>
          <w:i w:val="0"/>
          <w:iCs w:val="0"/>
          <w:sz w:val="36"/>
          <w:szCs w:val="36"/>
          <w:highlight w:val="none"/>
          <w:u w:val="none"/>
          <w:lang w:val="en-US" w:eastAsia="zh-CN" w:bidi="ar"/>
        </w:rPr>
      </w:r>
      <w:r/>
    </w:p>
    <w:p>
      <w:pPr>
        <w:pStyle w:val="769"/>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（招标人或采购代理机构）</w:t>
      </w:r>
      <w:r>
        <w:rPr>
          <w:rFonts w:hint="eastAsia" w:ascii="宋体" w:hAnsi="宋体" w:eastAsia="宋体" w:cs="宋体"/>
          <w:sz w:val="21"/>
          <w:szCs w:val="21"/>
          <w:highlight w:val="none"/>
        </w:rPr>
      </w:r>
      <w:r/>
    </w:p>
    <w:p>
      <w:pPr>
        <w:pStyle w:val="769"/>
        <w:ind w:firstLine="42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 w:val="0"/>
          <w:bCs/>
          <w:i w:val="0"/>
          <w:iCs w:val="0"/>
          <w:sz w:val="21"/>
          <w:szCs w:val="21"/>
          <w:highlight w:val="none"/>
          <w:u w:val="none"/>
          <w:lang w:val="en-US" w:eastAsia="zh-CN" w:bidi="ar"/>
        </w:rPr>
        <w:t xml:space="preserve">采购需求“三、</w:t>
      </w:r>
      <w:r>
        <w:rPr>
          <w:rFonts w:hint="eastAsia" w:eastAsia="宋体" w:cs="宋体"/>
          <w:b w:val="0"/>
          <w:bCs/>
          <w:color w:val="000000"/>
          <w:sz w:val="21"/>
          <w:szCs w:val="21"/>
          <w:highlight w:val="none"/>
        </w:rPr>
        <w:t xml:space="preserve">采购清单及技术参数</w:t>
      </w:r>
      <w:r>
        <w:rPr>
          <w:rFonts w:hint="eastAsia" w:ascii="宋体" w:hAnsi="宋体" w:eastAsia="宋体" w:cs="宋体"/>
          <w:b w:val="0"/>
          <w:bCs/>
          <w:i w:val="0"/>
          <w:iCs w:val="0"/>
          <w:sz w:val="21"/>
          <w:szCs w:val="21"/>
          <w:highlight w:val="none"/>
          <w:u w:val="none"/>
          <w:lang w:val="en-US" w:eastAsia="zh-CN" w:bidi="ar"/>
        </w:rPr>
        <w:t xml:space="preserve">”</w:t>
      </w:r>
      <w:r>
        <w:rPr>
          <w:rFonts w:hint="eastAsia" w:eastAsia="宋体" w:cs="宋体"/>
          <w:b w:val="0"/>
          <w:bCs/>
          <w:color w:val="000000"/>
          <w:sz w:val="21"/>
          <w:szCs w:val="21"/>
          <w:highlight w:val="none"/>
          <w:lang w:val="en-US" w:eastAsia="zh-CN"/>
        </w:rPr>
        <w:t xml:space="preserve">中</w:t>
      </w:r>
      <w:r>
        <w:rPr>
          <w:rFonts w:hint="eastAsia" w:ascii="宋体" w:hAnsi="宋体" w:eastAsia="宋体" w:cs="宋体"/>
          <w:bCs/>
          <w:i w:val="0"/>
          <w:iCs w:val="0"/>
          <w:sz w:val="21"/>
          <w:szCs w:val="21"/>
          <w:highlight w:val="none"/>
          <w:u w:val="none"/>
          <w:lang w:val="en-US" w:eastAsia="zh-CN" w:bidi="ar"/>
        </w:rPr>
        <w:t xml:space="preserve">★项</w:t>
      </w:r>
      <w:r>
        <w:rPr>
          <w:rFonts w:hint="eastAsia" w:ascii="宋体" w:hAnsi="宋体" w:eastAsia="宋体" w:cs="宋体"/>
          <w:bCs/>
          <w:sz w:val="21"/>
          <w:szCs w:val="21"/>
          <w:highlight w:val="none"/>
          <w:lang w:val="en-US" w:eastAsia="zh-CN"/>
        </w:rPr>
        <w:t xml:space="preserve">实质性响应条款如下：</w:t>
      </w:r>
      <w:r>
        <w:rPr>
          <w:rFonts w:hint="eastAsia" w:ascii="宋体" w:hAnsi="宋体" w:eastAsia="宋体" w:cs="宋体"/>
          <w:bCs/>
          <w:sz w:val="21"/>
          <w:szCs w:val="21"/>
          <w:highlight w:val="none"/>
          <w:lang w:val="en-US" w:eastAsia="zh-CN"/>
        </w:rPr>
      </w:r>
      <w:r/>
    </w:p>
    <w:p>
      <w:pPr>
        <w:pStyle w:val="769"/>
        <w:numPr>
          <w:ilvl w:val="0"/>
          <w:numId w:val="25"/>
        </w:numPr>
        <w:ind w:firstLine="422"/>
        <w:spacing w:line="360" w:lineRule="auto"/>
        <w:rPr>
          <w:rFonts w:hint="eastAsia" w:ascii="宋体" w:hAnsi="宋体" w:eastAsia="宋体" w:cs="宋体"/>
          <w:b/>
          <w:bCs w:val="0"/>
          <w:i w:val="0"/>
          <w:iCs w:val="0"/>
          <w:color w:val="000000"/>
          <w:sz w:val="21"/>
          <w:szCs w:val="21"/>
          <w:highlight w:val="none"/>
          <w:u w:val="none"/>
          <w:lang w:val="en-US" w:eastAsia="zh-CN" w:bidi="ar"/>
        </w:rPr>
      </w:pPr>
      <w:r>
        <w:rPr>
          <w:rFonts w:hint="eastAsia" w:ascii="宋体" w:hAnsi="宋体" w:eastAsia="宋体" w:cs="宋体"/>
          <w:b/>
          <w:bCs w:val="0"/>
          <w:i w:val="0"/>
          <w:iCs w:val="0"/>
          <w:color w:val="000000"/>
          <w:sz w:val="21"/>
          <w:szCs w:val="21"/>
          <w:highlight w:val="none"/>
          <w:u w:val="none"/>
          <w:lang w:val="en-US" w:eastAsia="zh-CN" w:bidi="ar"/>
        </w:rPr>
        <w:t xml:space="preserve">计算机网络系统</w:t>
      </w:r>
      <w:r>
        <w:rPr>
          <w:rFonts w:hint="eastAsia" w:ascii="宋体" w:hAnsi="宋体" w:eastAsia="宋体" w:cs="宋体"/>
          <w:b/>
          <w:bCs w:val="0"/>
          <w:i w:val="0"/>
          <w:iCs w:val="0"/>
          <w:color w:val="000000"/>
          <w:sz w:val="21"/>
          <w:szCs w:val="21"/>
          <w:highlight w:val="none"/>
          <w:u w:val="none"/>
          <w:lang w:val="en-US" w:eastAsia="zh-CN" w:bidi="ar"/>
        </w:rPr>
      </w:r>
      <w:r/>
    </w:p>
    <w:p>
      <w:pPr>
        <w:pStyle w:val="769"/>
        <w:numPr>
          <w:ilvl w:val="0"/>
          <w:numId w:val="0"/>
        </w:numPr>
        <w:ind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1.序号1、</w:t>
      </w:r>
      <w:r>
        <w:rPr>
          <w:rFonts w:hint="eastAsia" w:ascii="宋体" w:hAnsi="宋体" w:eastAsia="宋体" w:cs="宋体"/>
          <w:bCs/>
          <w:i w:val="0"/>
          <w:iCs w:val="0"/>
          <w:color w:val="000000"/>
          <w:sz w:val="21"/>
          <w:szCs w:val="21"/>
          <w:highlight w:val="none"/>
          <w:u w:val="none"/>
          <w:lang w:val="en-US" w:eastAsia="zh-CN" w:bidi="ar"/>
        </w:rPr>
        <w:t xml:space="preserve">核心交换机：</w:t>
      </w:r>
      <w:r>
        <w:rPr>
          <w:rFonts w:hint="eastAsia" w:ascii="宋体" w:hAnsi="宋体" w:eastAsia="宋体" w:cs="宋体"/>
          <w:bCs/>
          <w:i w:val="0"/>
          <w:iCs w:val="0"/>
          <w:color w:val="000000"/>
          <w:sz w:val="21"/>
          <w:szCs w:val="21"/>
          <w:highlight w:val="none"/>
          <w:u w:val="none"/>
          <w:lang w:val="en-US" w:eastAsia="zh-CN" w:bidi="ar"/>
        </w:rPr>
      </w:r>
      <w:r/>
    </w:p>
    <w:p>
      <w:pPr>
        <w:pStyle w:val="769"/>
        <w:numPr>
          <w:ilvl w:val="0"/>
          <w:numId w:val="0"/>
        </w:numPr>
        <w:ind w:firstLine="420"/>
        <w:spacing w:line="360" w:lineRule="auto"/>
        <w:rPr>
          <w:rStyle w:val="1221"/>
          <w:rFonts w:hint="eastAsia" w:ascii="宋体" w:hAnsi="宋体" w:eastAsia="宋体" w:cs="宋体"/>
          <w:bCs/>
          <w:color w:val="000000"/>
          <w:sz w:val="21"/>
          <w:szCs w:val="21"/>
          <w:highlight w:val="none"/>
          <w:lang w:val="en-US" w:eastAsia="zh-CN" w:bidi="ar"/>
        </w:rPr>
      </w:pPr>
      <w:r>
        <w:rPr>
          <w:rStyle w:val="1221"/>
          <w:rFonts w:hint="eastAsia" w:ascii="宋体" w:hAnsi="宋体" w:eastAsia="宋体" w:cs="宋体"/>
          <w:bCs/>
          <w:color w:val="000000"/>
          <w:sz w:val="21"/>
          <w:szCs w:val="21"/>
          <w:highlight w:val="none"/>
          <w:lang w:val="en-US" w:eastAsia="zh-CN" w:bidi="ar"/>
        </w:rPr>
        <w:t xml:space="preserve">配置要求：</w:t>
      </w:r>
      <w:r>
        <w:rPr>
          <w:rFonts w:hint="eastAsia" w:ascii="宋体" w:hAnsi="宋体" w:eastAsia="宋体" w:cs="宋体"/>
          <w:bCs/>
          <w:i w:val="0"/>
          <w:iCs w:val="0"/>
          <w:color w:val="000000"/>
          <w:sz w:val="21"/>
          <w:szCs w:val="21"/>
          <w:highlight w:val="none"/>
          <w:u w:val="none"/>
          <w:lang w:val="en-US" w:eastAsia="zh-CN" w:bidi="ar"/>
        </w:rPr>
        <w:t xml:space="preserve">★1、</w:t>
      </w:r>
      <w:r>
        <w:rPr>
          <w:rStyle w:val="1221"/>
          <w:rFonts w:hint="eastAsia" w:ascii="宋体" w:hAnsi="宋体" w:eastAsia="宋体" w:cs="宋体"/>
          <w:bCs/>
          <w:color w:val="000000"/>
          <w:sz w:val="21"/>
          <w:szCs w:val="21"/>
          <w:highlight w:val="none"/>
          <w:lang w:val="en-US" w:eastAsia="zh-CN" w:bidi="ar"/>
        </w:rPr>
        <w:t xml:space="preserve">实配总装机箱1套，主控板2块，交流电源模块2块，满配风扇框，配置不少于8个万兆光口，不少于48个千兆光口，不少于48个千兆电口；</w:t>
      </w:r>
      <w:r>
        <w:rPr>
          <w:rStyle w:val="1221"/>
          <w:rFonts w:hint="eastAsia" w:ascii="宋体" w:hAnsi="宋体" w:eastAsia="宋体" w:cs="宋体"/>
          <w:bCs/>
          <w:color w:val="000000"/>
          <w:sz w:val="21"/>
          <w:szCs w:val="21"/>
          <w:highlight w:val="none"/>
          <w:lang w:val="en-US" w:eastAsia="zh-CN" w:bidi="ar"/>
        </w:rPr>
      </w:r>
      <w:r/>
    </w:p>
    <w:p>
      <w:pPr>
        <w:pStyle w:val="769"/>
        <w:numPr>
          <w:ilvl w:val="0"/>
          <w:numId w:val="25"/>
        </w:numPr>
        <w:ind w:firstLine="422"/>
        <w:spacing w:line="360" w:lineRule="auto"/>
        <w:rPr>
          <w:rFonts w:hint="eastAsia" w:ascii="宋体" w:hAnsi="宋体" w:eastAsia="宋体" w:cs="宋体"/>
          <w:b/>
          <w:bCs w:val="0"/>
          <w:i w:val="0"/>
          <w:iCs w:val="0"/>
          <w:color w:val="000000"/>
          <w:sz w:val="21"/>
          <w:szCs w:val="21"/>
          <w:highlight w:val="none"/>
          <w:u w:val="none"/>
          <w:lang w:val="en-US" w:eastAsia="zh-CN" w:bidi="ar"/>
        </w:rPr>
      </w:pPr>
      <w:r>
        <w:rPr>
          <w:rFonts w:hint="eastAsia" w:ascii="宋体" w:hAnsi="宋体" w:eastAsia="宋体" w:cs="宋体"/>
          <w:b/>
          <w:bCs w:val="0"/>
          <w:i w:val="0"/>
          <w:iCs w:val="0"/>
          <w:color w:val="000000"/>
          <w:sz w:val="21"/>
          <w:szCs w:val="21"/>
          <w:highlight w:val="none"/>
          <w:u w:val="none"/>
          <w:lang w:val="en-US" w:eastAsia="zh-CN" w:bidi="ar"/>
        </w:rPr>
        <w:t xml:space="preserve">接入交换机</w:t>
      </w:r>
      <w:r>
        <w:rPr>
          <w:rFonts w:hint="eastAsia" w:ascii="宋体" w:hAnsi="宋体" w:eastAsia="宋体" w:cs="宋体"/>
          <w:b/>
          <w:bCs w:val="0"/>
          <w:i w:val="0"/>
          <w:iCs w:val="0"/>
          <w:color w:val="000000"/>
          <w:sz w:val="21"/>
          <w:szCs w:val="21"/>
          <w:highlight w:val="none"/>
          <w:u w:val="none"/>
          <w:lang w:val="en-US" w:eastAsia="zh-CN" w:bidi="ar"/>
        </w:rPr>
      </w:r>
      <w:r/>
    </w:p>
    <w:p>
      <w:pPr>
        <w:pStyle w:val="769"/>
        <w:numPr>
          <w:ilvl w:val="0"/>
          <w:numId w:val="0"/>
        </w:numPr>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1.序号2、</w:t>
      </w:r>
      <w:r>
        <w:rPr>
          <w:rFonts w:hint="eastAsia" w:ascii="宋体" w:hAnsi="宋体" w:eastAsia="宋体" w:cs="宋体"/>
          <w:bCs/>
          <w:i w:val="0"/>
          <w:iCs w:val="0"/>
          <w:color w:val="000000"/>
          <w:sz w:val="21"/>
          <w:szCs w:val="21"/>
          <w:highlight w:val="none"/>
          <w:u w:val="none"/>
          <w:lang w:val="en-US" w:eastAsia="zh-CN" w:bidi="ar"/>
        </w:rPr>
        <w:t xml:space="preserve">24口千兆接入交换机：★1、设备的交换容量≥670Gbps，包转发率≥120Mpps；</w:t>
      </w:r>
      <w:r>
        <w:rPr>
          <w:rFonts w:hint="eastAsia" w:ascii="宋体" w:hAnsi="宋体" w:eastAsia="宋体" w:cs="宋体"/>
          <w:bCs/>
          <w:i w:val="0"/>
          <w:iCs w:val="0"/>
          <w:color w:val="000000"/>
          <w:sz w:val="21"/>
          <w:szCs w:val="21"/>
          <w:highlight w:val="none"/>
          <w:u w:val="none"/>
          <w:lang w:val="en-US" w:eastAsia="zh-CN" w:bidi="ar"/>
        </w:rPr>
      </w:r>
      <w:r/>
    </w:p>
    <w:p>
      <w:pPr>
        <w:pStyle w:val="769"/>
        <w:numPr>
          <w:ilvl w:val="0"/>
          <w:numId w:val="0"/>
        </w:numPr>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2.序号3、</w:t>
      </w:r>
      <w:r>
        <w:rPr>
          <w:rFonts w:hint="eastAsia" w:ascii="宋体" w:hAnsi="宋体" w:eastAsia="宋体" w:cs="宋体"/>
          <w:bCs/>
          <w:i w:val="0"/>
          <w:iCs w:val="0"/>
          <w:color w:val="000000"/>
          <w:sz w:val="21"/>
          <w:szCs w:val="21"/>
          <w:highlight w:val="none"/>
          <w:u w:val="none"/>
          <w:lang w:val="en-US" w:eastAsia="zh-CN" w:bidi="ar"/>
        </w:rPr>
        <w:t xml:space="preserve">48口千兆接入交换机：★1、设备的交换容量≥670Gbps，包转发率≥200Mpps；</w:t>
      </w:r>
      <w:r>
        <w:rPr>
          <w:rFonts w:hint="eastAsia" w:ascii="宋体" w:hAnsi="宋体" w:eastAsia="宋体" w:cs="宋体"/>
          <w:bCs/>
          <w:i w:val="0"/>
          <w:iCs w:val="0"/>
          <w:color w:val="000000"/>
          <w:sz w:val="21"/>
          <w:szCs w:val="21"/>
          <w:highlight w:val="none"/>
          <w:u w:val="none"/>
          <w:lang w:val="en-US" w:eastAsia="zh-CN" w:bidi="ar"/>
        </w:rPr>
      </w:r>
      <w:r/>
    </w:p>
    <w:p>
      <w:pPr>
        <w:pStyle w:val="769"/>
        <w:numPr>
          <w:ilvl w:val="0"/>
          <w:numId w:val="0"/>
        </w:numPr>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Cs/>
          <w:i w:val="0"/>
          <w:iCs w:val="0"/>
          <w:color w:val="000000"/>
          <w:sz w:val="21"/>
          <w:szCs w:val="21"/>
          <w:highlight w:val="none"/>
          <w:u w:val="none"/>
          <w:lang w:val="en-US" w:eastAsia="zh-CN" w:bidi="ar"/>
        </w:rPr>
        <w:t xml:space="preserve">3.</w:t>
      </w:r>
      <w:r>
        <w:rPr>
          <w:rFonts w:hint="eastAsia" w:ascii="宋体" w:hAnsi="宋体" w:eastAsia="宋体" w:cs="宋体"/>
          <w:b w:val="0"/>
          <w:bCs/>
          <w:i w:val="0"/>
          <w:iCs w:val="0"/>
          <w:color w:val="000000"/>
          <w:sz w:val="21"/>
          <w:szCs w:val="21"/>
          <w:highlight w:val="none"/>
          <w:u w:val="none"/>
          <w:lang w:val="en-US" w:eastAsia="zh-CN" w:bidi="ar"/>
        </w:rPr>
        <w:t xml:space="preserve">序号5、24</w:t>
      </w:r>
      <w:r>
        <w:rPr>
          <w:rFonts w:hint="eastAsia" w:ascii="宋体" w:hAnsi="宋体" w:eastAsia="宋体" w:cs="宋体"/>
          <w:bCs/>
          <w:i w:val="0"/>
          <w:iCs w:val="0"/>
          <w:color w:val="000000"/>
          <w:sz w:val="21"/>
          <w:szCs w:val="21"/>
          <w:highlight w:val="none"/>
          <w:u w:val="none"/>
          <w:lang w:val="en-US" w:eastAsia="zh-CN" w:bidi="ar"/>
        </w:rPr>
        <w:t xml:space="preserve">口千兆POE接入交换机：★1、设备的交换容量≥670Gbps，包转发率≥120Mpps；</w:t>
      </w:r>
      <w:r>
        <w:rPr>
          <w:rFonts w:hint="eastAsia" w:ascii="宋体" w:hAnsi="宋体" w:eastAsia="宋体" w:cs="宋体"/>
          <w:bCs/>
          <w:i w:val="0"/>
          <w:iCs w:val="0"/>
          <w:color w:val="000000"/>
          <w:sz w:val="21"/>
          <w:szCs w:val="21"/>
          <w:highlight w:val="none"/>
          <w:u w:val="none"/>
          <w:lang w:val="en-US" w:eastAsia="zh-CN" w:bidi="ar"/>
        </w:rPr>
      </w:r>
      <w:r/>
    </w:p>
    <w:p>
      <w:pPr>
        <w:pStyle w:val="769"/>
        <w:numPr>
          <w:ilvl w:val="0"/>
          <w:numId w:val="0"/>
        </w:numPr>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Cs/>
          <w:i w:val="0"/>
          <w:iCs w:val="0"/>
          <w:color w:val="000000"/>
          <w:sz w:val="21"/>
          <w:szCs w:val="21"/>
          <w:highlight w:val="none"/>
          <w:u w:val="none"/>
          <w:lang w:val="en-US" w:eastAsia="zh-CN" w:bidi="ar"/>
        </w:rPr>
        <w:t xml:space="preserve">4.</w:t>
      </w:r>
      <w:r>
        <w:rPr>
          <w:rFonts w:hint="eastAsia" w:ascii="宋体" w:hAnsi="宋体" w:eastAsia="宋体" w:cs="宋体"/>
          <w:b w:val="0"/>
          <w:bCs/>
          <w:i w:val="0"/>
          <w:iCs w:val="0"/>
          <w:color w:val="000000"/>
          <w:sz w:val="21"/>
          <w:szCs w:val="21"/>
          <w:highlight w:val="none"/>
          <w:u w:val="none"/>
          <w:lang w:val="en-US" w:eastAsia="zh-CN" w:bidi="ar"/>
        </w:rPr>
        <w:t xml:space="preserve">序号7、24</w:t>
      </w:r>
      <w:r>
        <w:rPr>
          <w:rFonts w:hint="eastAsia" w:ascii="宋体" w:hAnsi="宋体" w:eastAsia="宋体" w:cs="宋体"/>
          <w:bCs/>
          <w:i w:val="0"/>
          <w:iCs w:val="0"/>
          <w:color w:val="000000"/>
          <w:sz w:val="21"/>
          <w:szCs w:val="21"/>
          <w:highlight w:val="none"/>
          <w:u w:val="none"/>
          <w:lang w:val="en-US" w:eastAsia="zh-CN" w:bidi="ar"/>
        </w:rPr>
        <w:t xml:space="preserve">口千兆POE接入交换机：★1、设备的交换容量≥670Gbps，包转发率≥120Mpps；</w:t>
      </w:r>
      <w:r>
        <w:rPr>
          <w:rFonts w:hint="eastAsia" w:ascii="宋体" w:hAnsi="宋体" w:eastAsia="宋体" w:cs="宋体"/>
          <w:bCs/>
          <w:i w:val="0"/>
          <w:iCs w:val="0"/>
          <w:color w:val="000000"/>
          <w:sz w:val="21"/>
          <w:szCs w:val="21"/>
          <w:highlight w:val="none"/>
          <w:u w:val="none"/>
          <w:lang w:val="en-US" w:eastAsia="zh-CN" w:bidi="ar"/>
        </w:rPr>
      </w:r>
      <w:r/>
    </w:p>
    <w:p>
      <w:pPr>
        <w:pStyle w:val="769"/>
        <w:numPr>
          <w:ilvl w:val="0"/>
          <w:numId w:val="25"/>
        </w:numPr>
        <w:ind w:left="0" w:firstLine="422"/>
        <w:spacing w:line="360" w:lineRule="auto"/>
        <w:rPr>
          <w:rFonts w:hint="eastAsia" w:ascii="宋体" w:hAnsi="宋体" w:eastAsia="宋体" w:cs="宋体"/>
          <w:b/>
          <w:bCs w:val="0"/>
          <w:i w:val="0"/>
          <w:iCs w:val="0"/>
          <w:color w:val="000000"/>
          <w:sz w:val="21"/>
          <w:szCs w:val="21"/>
          <w:highlight w:val="none"/>
          <w:u w:val="none"/>
          <w:lang w:val="en-US" w:eastAsia="zh-CN" w:bidi="ar"/>
        </w:rPr>
      </w:pPr>
      <w:r>
        <w:rPr>
          <w:rFonts w:hint="eastAsia" w:ascii="宋体" w:hAnsi="宋体" w:eastAsia="宋体" w:cs="宋体"/>
          <w:b/>
          <w:bCs w:val="0"/>
          <w:i w:val="0"/>
          <w:iCs w:val="0"/>
          <w:color w:val="000000"/>
          <w:sz w:val="21"/>
          <w:szCs w:val="21"/>
          <w:highlight w:val="none"/>
          <w:u w:val="none"/>
          <w:lang w:val="en-US" w:eastAsia="zh-CN" w:bidi="ar"/>
        </w:rPr>
        <w:t xml:space="preserve">视频监控系统</w:t>
      </w:r>
      <w:r>
        <w:rPr>
          <w:rFonts w:hint="eastAsia" w:ascii="宋体" w:hAnsi="宋体" w:eastAsia="宋体" w:cs="宋体"/>
          <w:b/>
          <w:bCs w:val="0"/>
          <w:i w:val="0"/>
          <w:iCs w:val="0"/>
          <w:color w:val="000000"/>
          <w:sz w:val="21"/>
          <w:szCs w:val="21"/>
          <w:highlight w:val="none"/>
          <w:u w:val="none"/>
          <w:lang w:val="en-US" w:eastAsia="zh-CN" w:bidi="ar"/>
        </w:rPr>
      </w:r>
      <w:r/>
    </w:p>
    <w:p>
      <w:pPr>
        <w:pStyle w:val="769"/>
        <w:numPr>
          <w:ilvl w:val="0"/>
          <w:numId w:val="0"/>
        </w:numPr>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1.序号1、</w:t>
      </w:r>
      <w:r>
        <w:rPr>
          <w:rFonts w:hint="eastAsia" w:ascii="宋体" w:hAnsi="宋体" w:eastAsia="宋体" w:cs="宋体"/>
          <w:bCs/>
          <w:i w:val="0"/>
          <w:iCs w:val="0"/>
          <w:color w:val="000000"/>
          <w:sz w:val="21"/>
          <w:szCs w:val="21"/>
          <w:highlight w:val="none"/>
          <w:u w:val="none"/>
          <w:lang w:val="en-US" w:eastAsia="zh-CN" w:bidi="ar"/>
        </w:rPr>
        <w:t xml:space="preserve">星光级400万筒型网络摄像机：★1、采用高性能400万像素1/3英寸CMOS图像传感器，低照度效果好，图像清晰度高；</w:t>
      </w:r>
      <w:r>
        <w:rPr>
          <w:rFonts w:hint="eastAsia" w:ascii="宋体" w:hAnsi="宋体" w:eastAsia="宋体" w:cs="宋体"/>
          <w:bCs/>
          <w:i w:val="0"/>
          <w:iCs w:val="0"/>
          <w:color w:val="000000"/>
          <w:sz w:val="21"/>
          <w:szCs w:val="21"/>
          <w:highlight w:val="none"/>
          <w:u w:val="none"/>
          <w:lang w:val="en-US" w:eastAsia="zh-CN" w:bidi="ar"/>
        </w:rPr>
      </w:r>
      <w:r/>
    </w:p>
    <w:p>
      <w:pPr>
        <w:pStyle w:val="769"/>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2.序号2、</w:t>
      </w:r>
      <w:r>
        <w:rPr>
          <w:rFonts w:hint="eastAsia" w:ascii="宋体" w:hAnsi="宋体" w:eastAsia="宋体" w:cs="宋体"/>
          <w:bCs/>
          <w:i w:val="0"/>
          <w:iCs w:val="0"/>
          <w:color w:val="000000"/>
          <w:sz w:val="21"/>
          <w:szCs w:val="21"/>
          <w:highlight w:val="none"/>
          <w:u w:val="none"/>
          <w:lang w:val="en-US" w:eastAsia="zh-CN" w:bidi="ar"/>
        </w:rPr>
        <w:t xml:space="preserve">星光级400万PoE海螺型网络摄像机：★2、采用高性能400万像素1/3英寸CMOS图像传感器，低照度效果好，图像清晰度高；</w:t>
      </w:r>
      <w:r>
        <w:rPr>
          <w:rFonts w:hint="eastAsia" w:ascii="宋体" w:hAnsi="宋体" w:eastAsia="宋体" w:cs="宋体"/>
          <w:bCs/>
          <w:i w:val="0"/>
          <w:iCs w:val="0"/>
          <w:color w:val="000000"/>
          <w:sz w:val="21"/>
          <w:szCs w:val="21"/>
          <w:highlight w:val="none"/>
          <w:u w:val="none"/>
          <w:lang w:val="en-US" w:eastAsia="zh-CN" w:bidi="ar"/>
        </w:rPr>
      </w:r>
      <w:r/>
    </w:p>
    <w:p>
      <w:pPr>
        <w:pStyle w:val="769"/>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3.序号3、</w:t>
      </w:r>
      <w:r>
        <w:rPr>
          <w:rFonts w:hint="eastAsia" w:ascii="宋体" w:hAnsi="宋体" w:eastAsia="宋体" w:cs="宋体"/>
          <w:bCs/>
          <w:i w:val="0"/>
          <w:iCs w:val="0"/>
          <w:color w:val="000000"/>
          <w:sz w:val="21"/>
          <w:szCs w:val="21"/>
          <w:highlight w:val="none"/>
          <w:u w:val="none"/>
          <w:lang w:val="en-US" w:eastAsia="zh-CN" w:bidi="ar"/>
        </w:rPr>
        <w:t xml:space="preserve">200万像素防油污双光定焦枪型网络摄像机：★2、采用高性能1/2.7英寸200万像素CMOS图像传感器，低照度效果好，图像清晰度高；</w:t>
      </w:r>
      <w:r>
        <w:rPr>
          <w:rFonts w:hint="eastAsia" w:ascii="宋体" w:hAnsi="宋体" w:eastAsia="宋体" w:cs="宋体"/>
          <w:bCs/>
          <w:i w:val="0"/>
          <w:iCs w:val="0"/>
          <w:color w:val="000000"/>
          <w:sz w:val="21"/>
          <w:szCs w:val="21"/>
          <w:highlight w:val="none"/>
          <w:u w:val="none"/>
          <w:lang w:val="en-US" w:eastAsia="zh-CN" w:bidi="ar"/>
        </w:rPr>
      </w:r>
      <w:r/>
    </w:p>
    <w:p>
      <w:pPr>
        <w:pStyle w:val="769"/>
        <w:ind w:left="0" w:firstLine="420"/>
        <w:spacing w:line="360" w:lineRule="auto"/>
        <w:rPr>
          <w:rFonts w:hint="eastAsia" w:ascii="宋体" w:hAnsi="宋体" w:eastAsia="宋体" w:cs="宋体"/>
          <w:bCs/>
          <w:i w:val="0"/>
          <w:iCs w:val="0"/>
          <w:color w:val="000000"/>
          <w:sz w:val="21"/>
          <w:szCs w:val="21"/>
          <w:highlight w:val="none"/>
          <w:u w:val="none"/>
          <w:lang w:val="en-US" w:eastAsia="zh-CN" w:bidi="ar"/>
        </w:rPr>
      </w:pPr>
      <w:r>
        <w:rPr>
          <w:rFonts w:hint="eastAsia" w:ascii="宋体" w:hAnsi="宋体" w:eastAsia="宋体" w:cs="宋体"/>
          <w:b w:val="0"/>
          <w:bCs/>
          <w:i w:val="0"/>
          <w:iCs w:val="0"/>
          <w:color w:val="000000"/>
          <w:sz w:val="21"/>
          <w:szCs w:val="21"/>
          <w:highlight w:val="none"/>
          <w:u w:val="none"/>
          <w:lang w:val="en-US" w:eastAsia="zh-CN" w:bidi="ar"/>
        </w:rPr>
        <w:t xml:space="preserve">4.序号4、</w:t>
      </w:r>
      <w:r>
        <w:rPr>
          <w:rFonts w:hint="eastAsia" w:ascii="宋体" w:hAnsi="宋体" w:eastAsia="宋体" w:cs="宋体"/>
          <w:bCs/>
          <w:i w:val="0"/>
          <w:iCs w:val="0"/>
          <w:color w:val="000000"/>
          <w:sz w:val="21"/>
          <w:szCs w:val="21"/>
          <w:highlight w:val="none"/>
          <w:u w:val="none"/>
          <w:lang w:val="en-US" w:eastAsia="zh-CN" w:bidi="ar"/>
        </w:rPr>
        <w:t xml:space="preserve">400万防遮挡电梯智能检测摄像机：★1、采用不低于400万像素1/2.9英寸CMOS图像传感器；</w:t>
      </w:r>
      <w:r>
        <w:rPr>
          <w:rFonts w:hint="eastAsia" w:ascii="宋体" w:hAnsi="宋体" w:eastAsia="宋体" w:cs="宋体"/>
          <w:bCs/>
          <w:i w:val="0"/>
          <w:iCs w:val="0"/>
          <w:color w:val="000000"/>
          <w:sz w:val="21"/>
          <w:szCs w:val="21"/>
          <w:highlight w:val="none"/>
          <w:u w:val="none"/>
          <w:lang w:val="en-US" w:eastAsia="zh-CN" w:bidi="ar"/>
        </w:rPr>
      </w:r>
      <w:r/>
    </w:p>
    <w:p>
      <w:pPr>
        <w:pStyle w:val="769"/>
        <w:ind w:firstLine="420"/>
        <w:jc w:val="both"/>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 w:val="0"/>
          <w:bCs/>
          <w:i w:val="0"/>
          <w:iCs w:val="0"/>
          <w:sz w:val="21"/>
          <w:szCs w:val="21"/>
          <w:highlight w:val="none"/>
          <w:u w:val="none"/>
          <w:lang w:val="en-US" w:eastAsia="zh-CN" w:bidi="ar"/>
        </w:rPr>
        <w:t xml:space="preserve">我单位承诺完全响应以上</w:t>
      </w:r>
      <w:r>
        <w:rPr>
          <w:rFonts w:hint="eastAsia" w:ascii="宋体" w:hAnsi="宋体" w:eastAsia="宋体" w:cs="宋体"/>
          <w:bCs/>
          <w:i w:val="0"/>
          <w:iCs w:val="0"/>
          <w:sz w:val="21"/>
          <w:szCs w:val="21"/>
          <w:highlight w:val="none"/>
          <w:u w:val="none"/>
          <w:lang w:val="en-US" w:eastAsia="zh-CN" w:bidi="ar"/>
        </w:rPr>
        <w:t xml:space="preserve">★项</w:t>
      </w:r>
      <w:r>
        <w:rPr>
          <w:rFonts w:hint="eastAsia" w:ascii="宋体" w:hAnsi="宋体" w:eastAsia="宋体" w:cs="宋体"/>
          <w:bCs/>
          <w:sz w:val="21"/>
          <w:szCs w:val="21"/>
          <w:highlight w:val="none"/>
          <w:lang w:val="en-US" w:eastAsia="zh-CN"/>
        </w:rPr>
        <w:t xml:space="preserve">实质性响应条款要求，若我单位有幸中标，提供的产品能完全满足以上技术参数要求，若存在参数不符合的情况，招标人有权终止合同且不承担任何违约责任，由此双方产生的一切经济损失由我单位承担。</w:t>
      </w:r>
      <w:r>
        <w:rPr>
          <w:rFonts w:hint="eastAsia" w:ascii="宋体" w:hAnsi="宋体" w:eastAsia="宋体" w:cs="宋体"/>
          <w:bCs/>
          <w:sz w:val="21"/>
          <w:szCs w:val="21"/>
          <w:highlight w:val="none"/>
          <w:lang w:val="en-US" w:eastAsia="zh-CN"/>
        </w:rPr>
      </w:r>
      <w:r/>
    </w:p>
    <w:p>
      <w:pPr>
        <w:pStyle w:val="769"/>
        <w:ind w:firstLine="480"/>
        <w:spacing w:before="25" w:after="25"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ind w:firstLine="480"/>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rPr>
          <w:rFonts w:hint="eastAsia" w:ascii="宋体" w:hAnsi="宋体" w:eastAsia="宋体" w:cs="宋体"/>
          <w:sz w:val="24"/>
          <w:highlight w:val="none"/>
          <w:lang w:val="zh-CN"/>
        </w:rPr>
      </w:r>
      <w:r/>
    </w:p>
    <w:p>
      <w:pPr>
        <w:pStyle w:val="769"/>
        <w:ind w:firstLine="480"/>
        <w:jc w:val="both"/>
        <w:spacing w:line="360" w:lineRule="auto"/>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日期：_____年______月______日</w:t>
      </w:r>
      <w:r>
        <w:rPr>
          <w:rFonts w:hint="eastAsia" w:ascii="宋体" w:hAnsi="宋体" w:eastAsia="宋体" w:cs="宋体"/>
          <w:sz w:val="24"/>
          <w:szCs w:val="20"/>
          <w:highlight w:val="none"/>
        </w:rPr>
      </w:r>
      <w:r/>
    </w:p>
    <w:p>
      <w:pPr>
        <w:pStyle w:val="769"/>
        <w:ind w:firstLine="0"/>
        <w:jc w:val="both"/>
        <w:spacing w:line="360" w:lineRule="auto"/>
        <w:rPr>
          <w:rFonts w:hint="eastAsia" w:ascii="宋体" w:hAnsi="宋体" w:eastAsia="宋体" w:cs="宋体"/>
          <w:sz w:val="24"/>
          <w:szCs w:val="20"/>
          <w:highlight w:val="none"/>
        </w:rPr>
        <w:outlineLvl w:val="2"/>
      </w:pPr>
      <w:r>
        <w:rPr>
          <w:rFonts w:hint="eastAsia" w:ascii="宋体" w:hAnsi="宋体" w:eastAsia="宋体" w:cs="宋体"/>
          <w:b w:val="0"/>
          <w:bCs/>
          <w:sz w:val="24"/>
          <w:szCs w:val="24"/>
          <w:highlight w:val="none"/>
        </w:rPr>
        <w:br w:type="page" w:clear="all"/>
      </w:r>
      <w:r>
        <w:rPr>
          <w:rFonts w:hint="eastAsia" w:ascii="宋体" w:hAnsi="宋体" w:eastAsia="宋体" w:cs="宋体"/>
          <w:sz w:val="24"/>
          <w:szCs w:val="20"/>
          <w:highlight w:val="none"/>
          <w:lang w:val="en-US" w:eastAsia="zh-CN"/>
        </w:rPr>
        <w:t xml:space="preserve">9</w:t>
      </w:r>
      <w:r>
        <w:rPr>
          <w:rFonts w:hint="eastAsia" w:ascii="宋体" w:hAnsi="宋体" w:eastAsia="宋体" w:cs="宋体"/>
          <w:sz w:val="24"/>
          <w:szCs w:val="20"/>
          <w:highlight w:val="none"/>
        </w:rPr>
        <w:t xml:space="preserve">  项目实施方案等，包括但不限于如下主题：</w:t>
      </w:r>
      <w:r>
        <w:rPr>
          <w:rFonts w:hint="eastAsia" w:ascii="宋体" w:hAnsi="宋体" w:eastAsia="宋体" w:cs="宋体"/>
          <w:sz w:val="24"/>
          <w:szCs w:val="20"/>
          <w:highlight w:val="none"/>
        </w:rPr>
      </w:r>
      <w:r/>
    </w:p>
    <w:p>
      <w:pPr>
        <w:pStyle w:val="769"/>
        <w:numPr>
          <w:ilvl w:val="12"/>
          <w:numId w:val="0"/>
        </w:numPr>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详见评分标准</w:t>
      </w: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1006"/>
        <w:tabs>
          <w:tab w:val="left" w:pos="567" w:leader="none"/>
        </w:tabs>
        <w:rPr>
          <w:rFonts w:hint="eastAsia" w:eastAsia="宋体" w:cs="宋体"/>
          <w:highlight w:val="none"/>
        </w:rPr>
      </w:pPr>
      <w:r>
        <w:rPr>
          <w:rFonts w:hint="eastAsia" w:eastAsia="宋体" w:cs="宋体"/>
          <w:highlight w:val="none"/>
        </w:rPr>
      </w:r>
      <w:r/>
    </w:p>
    <w:p>
      <w:pPr>
        <w:pStyle w:val="1007"/>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1006"/>
        <w:tabs>
          <w:tab w:val="left" w:pos="567" w:leader="none"/>
        </w:tabs>
        <w:rPr>
          <w:rFonts w:hint="eastAsia" w:eastAsia="宋体" w:cs="宋体"/>
          <w:highlight w:val="none"/>
        </w:rPr>
      </w:pPr>
      <w:r>
        <w:rPr>
          <w:rFonts w:hint="eastAsia" w:eastAsia="宋体" w:cs="宋体"/>
          <w:highlight w:val="none"/>
        </w:rPr>
      </w:r>
      <w:r/>
    </w:p>
    <w:p>
      <w:pPr>
        <w:pStyle w:val="769"/>
        <w:spacing w:line="360" w:lineRule="auto"/>
        <w:rPr>
          <w:rFonts w:hint="eastAsia" w:ascii="宋体" w:hAnsi="宋体" w:eastAsia="宋体" w:cs="宋体"/>
          <w:sz w:val="24"/>
          <w:highlight w:val="none"/>
        </w:rPr>
        <w:outlineLvl w:val="2"/>
      </w:pPr>
      <w:r>
        <w:rPr>
          <w:rFonts w:hint="eastAsia" w:ascii="宋体" w:hAnsi="宋体" w:eastAsia="宋体" w:cs="宋体"/>
          <w:sz w:val="24"/>
          <w:szCs w:val="20"/>
          <w:highlight w:val="none"/>
          <w:lang w:val="en-US" w:eastAsia="zh-CN"/>
        </w:rPr>
        <w:t xml:space="preserve">10</w:t>
      </w:r>
      <w:r>
        <w:rPr>
          <w:rFonts w:hint="eastAsia" w:ascii="宋体" w:hAnsi="宋体" w:eastAsia="宋体" w:cs="宋体"/>
          <w:sz w:val="24"/>
          <w:szCs w:val="20"/>
          <w:highlight w:val="none"/>
        </w:rPr>
        <w:t xml:space="preserve"> 落实政府采购政策需满足的资格要求</w:t>
      </w:r>
      <w:r>
        <w:rPr>
          <w:rFonts w:hint="eastAsia" w:ascii="宋体" w:hAnsi="宋体" w:eastAsia="宋体" w:cs="宋体"/>
          <w:sz w:val="24"/>
          <w:highlight w:val="none"/>
        </w:rPr>
      </w:r>
      <w:r/>
    </w:p>
    <w:p>
      <w:pPr>
        <w:pStyle w:val="769"/>
        <w:spacing w:line="360" w:lineRule="auto"/>
        <w:tabs>
          <w:tab w:val="left" w:pos="55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中小企业声明函</w:t>
      </w:r>
      <w:r>
        <w:rPr>
          <w:rFonts w:hint="eastAsia" w:ascii="宋体" w:hAnsi="宋体" w:eastAsia="宋体" w:cs="宋体"/>
          <w:color w:val="000000"/>
          <w:sz w:val="24"/>
          <w:szCs w:val="24"/>
          <w:highlight w:val="none"/>
        </w:rPr>
      </w:r>
      <w:r/>
    </w:p>
    <w:p>
      <w:pPr>
        <w:pStyle w:val="76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76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宋体" w:hAnsi="宋体" w:eastAsia="宋体" w:cs="宋体"/>
          <w:color w:val="000000"/>
          <w:sz w:val="24"/>
          <w:highlight w:val="none"/>
        </w:rPr>
      </w:r>
      <w:r/>
    </w:p>
    <w:p>
      <w:pPr>
        <w:pStyle w:val="76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4"/>
          <w:highlight w:val="none"/>
        </w:rPr>
      </w:r>
      <w:r/>
    </w:p>
    <w:p>
      <w:pPr>
        <w:pStyle w:val="76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color w:val="000000"/>
          <w:sz w:val="24"/>
          <w:highlight w:val="none"/>
        </w:rPr>
      </w:r>
      <w:r/>
    </w:p>
    <w:p>
      <w:pPr>
        <w:pStyle w:val="76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4）中小企业认定标准以《关于印发中小企业划型标准规定的通知》（工信部联企业〔2011〕300号）文件规定为准。</w:t>
      </w:r>
      <w:r>
        <w:rPr>
          <w:rFonts w:hint="eastAsia" w:ascii="宋体" w:hAnsi="宋体" w:eastAsia="宋体" w:cs="宋体"/>
          <w:color w:val="000000"/>
          <w:sz w:val="24"/>
          <w:highlight w:val="none"/>
        </w:rPr>
      </w:r>
      <w:r/>
    </w:p>
    <w:p>
      <w:pPr>
        <w:pStyle w:val="76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"http://202.106.120.146/baosong/appweb/orgScale.html" </w:instrText>
      </w:r>
      <w:r>
        <w:rPr>
          <w:rFonts w:hint="eastAsia" w:ascii="宋体" w:hAnsi="宋体" w:eastAsia="宋体" w:cs="宋体"/>
          <w:highlight w:val="none"/>
        </w:rPr>
        <w:fldChar w:fldCharType="separate"/>
      </w:r>
      <w:r>
        <w:rPr>
          <w:rStyle w:val="1200"/>
          <w:rFonts w:hint="eastAsia" w:ascii="宋体" w:hAnsi="宋体" w:cs="宋体"/>
          <w:color w:val="000000"/>
          <w:sz w:val="24"/>
          <w:highlight w:val="none"/>
        </w:rPr>
        <w:t xml:space="preserve">http://202.106.120.146/baosong/appweb/orgScale.html</w:t>
      </w:r>
      <w:r>
        <w:rPr>
          <w:rStyle w:val="1200"/>
          <w:rFonts w:hint="eastAsia" w:ascii="宋体" w:hAnsi="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9"/>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w:t>
      </w:r>
      <w:r>
        <w:rPr>
          <w:rFonts w:hint="eastAsia" w:ascii="宋体" w:hAnsi="宋体" w:eastAsia="宋体" w:cs="宋体"/>
          <w:b/>
          <w:color w:val="000000"/>
          <w:sz w:val="24"/>
          <w:highlight w:val="none"/>
        </w:rPr>
      </w:r>
      <w:r/>
    </w:p>
    <w:p>
      <w:pPr>
        <w:pStyle w:val="769"/>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7）关于规范填写《中小企业声明函》的温馨提示（http://zfcg.changzhou.gov.cn/html/ns/tzgg/980332060316367.html）</w:t>
      </w:r>
      <w:r>
        <w:rPr>
          <w:rFonts w:hint="eastAsia" w:ascii="宋体" w:hAnsi="宋体" w:eastAsia="宋体" w:cs="宋体"/>
          <w:b/>
          <w:color w:val="000000"/>
          <w:sz w:val="24"/>
          <w:highlight w:val="none"/>
        </w:rPr>
      </w:r>
      <w:r/>
    </w:p>
    <w:p>
      <w:pPr>
        <w:pStyle w:val="769"/>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r>
      <w:r/>
    </w:p>
    <w:p>
      <w:pPr>
        <w:pStyle w:val="769"/>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中小企业声明函（货物）格式</w:t>
      </w:r>
      <w:r>
        <w:rPr>
          <w:rFonts w:hint="eastAsia" w:ascii="宋体" w:hAnsi="宋体" w:eastAsia="宋体" w:cs="宋体"/>
          <w:b/>
          <w:color w:val="000000"/>
          <w:sz w:val="36"/>
          <w:szCs w:val="36"/>
          <w:highlight w:val="none"/>
        </w:rPr>
      </w:r>
      <w:r/>
    </w:p>
    <w:p>
      <w:pPr>
        <w:pStyle w:val="769"/>
        <w:ind w:left="220" w:right="415" w:firstLine="6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i/>
          <w:color w:val="000000"/>
          <w:sz w:val="24"/>
          <w:highlight w:val="none"/>
          <w:u w:val="single"/>
        </w:rPr>
        <w:t xml:space="preserve">（项目名称）</w:t>
      </w:r>
      <w:r>
        <w:rPr>
          <w:rFonts w:hint="eastAsia" w:ascii="宋体" w:hAnsi="宋体" w:eastAsia="宋体" w:cs="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highlight w:val="none"/>
        </w:rPr>
      </w:r>
      <w:r/>
    </w:p>
    <w:p>
      <w:pPr>
        <w:pStyle w:val="769"/>
        <w:numPr>
          <w:ilvl w:val="0"/>
          <w:numId w:val="26"/>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rPr>
        <w:t xml:space="preserve">（</w:t>
      </w:r>
      <w:r>
        <w:rPr>
          <w:rFonts w:hint="eastAsia" w:ascii="宋体" w:hAnsi="宋体" w:eastAsia="宋体" w:cs="宋体"/>
          <w:i/>
          <w:color w:val="000000"/>
          <w:sz w:val="24"/>
          <w:highlight w:val="none"/>
          <w:u w:val="single"/>
        </w:rPr>
        <w:t xml:space="preserve">采购文件中明确的所属行业）行业</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制造商</w:t>
      </w:r>
      <w:r>
        <w:rPr>
          <w:rFonts w:hint="eastAsia" w:ascii="宋体" w:hAnsi="宋体" w:eastAsia="宋体" w:cs="宋体"/>
          <w:color w:val="000000"/>
          <w:sz w:val="24"/>
          <w:highlight w:val="none"/>
        </w:rPr>
        <w:t xml:space="preserve">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"_bookmark0" </w:instrText>
      </w:r>
      <w:r>
        <w:rPr>
          <w:rFonts w:hint="eastAsia" w:ascii="宋体" w:hAnsi="宋体" w:eastAsia="宋体" w:cs="宋体"/>
          <w:highlight w:val="none"/>
        </w:rPr>
        <w:fldChar w:fldCharType="separate"/>
      </w:r>
      <w:r>
        <w:rPr>
          <w:rFonts w:hint="eastAsia" w:ascii="宋体" w:hAnsi="宋体" w:eastAsia="宋体" w:cs="宋体"/>
          <w:color w:val="000000"/>
          <w:position w:val="16"/>
          <w:sz w:val="24"/>
          <w:highlight w:val="none"/>
        </w:rPr>
        <w:t xml:space="preserve">1</w:t>
      </w:r>
      <w:r>
        <w:rPr>
          <w:rFonts w:hint="eastAsia" w:ascii="宋体" w:hAnsi="宋体" w:eastAsia="宋体" w:cs="宋体"/>
          <w:color w:val="000000"/>
          <w:position w:val="16"/>
          <w:sz w:val="24"/>
          <w:highlight w:val="none"/>
        </w:rPr>
        <w:fldChar w:fldCharType="end"/>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9"/>
        <w:numPr>
          <w:ilvl w:val="0"/>
          <w:numId w:val="26"/>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rPr>
        <w:t xml:space="preserve">（</w:t>
      </w:r>
      <w:r>
        <w:rPr>
          <w:rFonts w:hint="eastAsia" w:ascii="宋体" w:hAnsi="宋体" w:eastAsia="宋体" w:cs="宋体"/>
          <w:i/>
          <w:color w:val="000000"/>
          <w:sz w:val="24"/>
          <w:highlight w:val="none"/>
          <w:u w:val="single"/>
        </w:rPr>
        <w:t xml:space="preserve">采购文件中明确的所属行业）行业</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制造商</w:t>
      </w:r>
      <w:r>
        <w:rPr>
          <w:rFonts w:hint="eastAsia" w:ascii="宋体" w:hAnsi="宋体" w:eastAsia="宋体" w:cs="宋体"/>
          <w:color w:val="000000"/>
          <w:sz w:val="24"/>
          <w:highlight w:val="none"/>
        </w:rPr>
        <w:t xml:space="preserve">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9"/>
        <w:ind w:left="8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9"/>
        <w:ind w:left="220" w:right="417" w:firstLine="64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769"/>
        <w:ind w:left="220" w:right="372" w:firstLine="645"/>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76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6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6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76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76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69"/>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vertAlign w:val="superscript"/>
                <w:lang w:val="en-US" w:eastAsia="zh-CN" w:bidi="ar-SA"/>
              </w:rPr>
              <w:t xml:space="preserve">1</w:t>
            </w:r>
            <w:r>
              <w:rPr>
                <w:rFonts w:hint="eastAsia" w:ascii="宋体" w:hAnsi="宋体" w:eastAsia="宋体" w:cs="宋体"/>
                <w:color w:val="000000"/>
                <w:sz w:val="21"/>
                <w:szCs w:val="21"/>
                <w:highlight w:val="none"/>
                <w:lang w:val="en-US" w:eastAsia="zh-CN" w:bidi="ar-SA"/>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lang w:val="en-US" w:eastAsia="zh-CN" w:bidi="ar-SA"/>
              </w:rPr>
            </w:r>
            <w:r/>
          </w:p>
        </w:tc>
      </w:tr>
    </w:tbl>
    <w:p>
      <w:pPr>
        <w:pStyle w:val="769"/>
        <w:jc w:val="center"/>
        <w:spacing w:before="240" w:after="240"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769"/>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769"/>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769"/>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769"/>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769"/>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69"/>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69"/>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769"/>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769"/>
        <w:jc w:val="left"/>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69"/>
        <w:rPr>
          <w:rFonts w:hint="eastAsia" w:ascii="宋体" w:hAnsi="宋体" w:eastAsia="宋体" w:cs="宋体"/>
          <w:b/>
          <w:color w:val="000000"/>
          <w:sz w:val="24"/>
          <w:highlight w:val="none"/>
        </w:rPr>
        <w:outlineLvl w:val="2"/>
      </w:pPr>
      <w:r>
        <w:rPr>
          <w:rFonts w:hint="eastAsia" w:ascii="宋体" w:hAnsi="宋体" w:eastAsia="宋体" w:cs="宋体"/>
          <w:b/>
          <w:sz w:val="32"/>
          <w:szCs w:val="32"/>
          <w:highlight w:val="none"/>
        </w:rPr>
        <w:br w:type="page" w:clear="all"/>
      </w:r>
      <w:r>
        <w:rPr>
          <w:rFonts w:hint="eastAsia" w:ascii="宋体" w:hAnsi="宋体" w:eastAsia="宋体" w:cs="宋体"/>
          <w:sz w:val="24"/>
          <w:szCs w:val="20"/>
          <w:highlight w:val="none"/>
          <w:lang w:val="en-US" w:eastAsia="zh-CN"/>
        </w:rPr>
        <w:t xml:space="preserve">11</w:t>
      </w:r>
      <w:r>
        <w:rPr>
          <w:rFonts w:hint="eastAsia" w:ascii="宋体" w:hAnsi="宋体" w:eastAsia="宋体" w:cs="宋体"/>
          <w:sz w:val="24"/>
          <w:szCs w:val="20"/>
          <w:highlight w:val="none"/>
        </w:rPr>
        <w:t xml:space="preserve"> </w:t>
      </w:r>
      <w:r>
        <w:rPr>
          <w:rFonts w:hint="eastAsia" w:ascii="宋体" w:hAnsi="宋体" w:eastAsia="宋体" w:cs="宋体"/>
          <w:b w:val="0"/>
          <w:bCs/>
          <w:color w:val="000000"/>
          <w:sz w:val="24"/>
          <w:highlight w:val="none"/>
        </w:rPr>
        <w:t xml:space="preserve">关于符合本国产品标准的声明函</w:t>
      </w:r>
      <w:r>
        <w:rPr>
          <w:rFonts w:hint="eastAsia" w:ascii="宋体" w:hAnsi="宋体" w:eastAsia="宋体" w:cs="宋体"/>
          <w:b/>
          <w:color w:val="000000"/>
          <w:sz w:val="24"/>
          <w:highlight w:val="none"/>
        </w:rPr>
      </w:r>
      <w:r/>
    </w:p>
    <w:p>
      <w:pPr>
        <w:pStyle w:val="76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9"/>
        <w:jc w:val="cente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关于符合本国产品标准的声明函（采购包号：</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819"/>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9"/>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819"/>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1.</w:t>
      </w:r>
      <w:r>
        <w:rPr>
          <w:rStyle w:val="833"/>
          <w:rFonts w:hint="eastAsia" w:ascii="宋体" w:hAnsi="宋体" w:eastAsia="宋体" w:cs="宋体"/>
          <w:color w:val="000000"/>
          <w:highlight w:val="none"/>
          <w:u w:val="single"/>
          <w:shd w:val="clear" w:color="auto" w:fill="ffffff"/>
        </w:rPr>
        <w:t xml:space="preserve">（产品名称1）</w:t>
      </w:r>
      <w:r>
        <w:rPr>
          <w:rStyle w:val="833"/>
          <w:rFonts w:hint="eastAsia" w:ascii="宋体" w:hAnsi="宋体" w:eastAsia="宋体" w:cs="宋体"/>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833"/>
          <w:rFonts w:hint="eastAsia" w:ascii="宋体" w:hAnsi="宋体" w:eastAsia="宋体" w:cs="宋体"/>
          <w:color w:val="000000"/>
          <w:highlight w:val="none"/>
          <w:u w:val="single"/>
          <w:shd w:val="clear" w:color="auto" w:fill="ffffff"/>
        </w:rPr>
        <w:t xml:space="preserve">（厂名）</w:t>
      </w:r>
      <w:r>
        <w:rPr>
          <w:rStyle w:val="833"/>
          <w:rFonts w:hint="eastAsia" w:ascii="宋体" w:hAnsi="宋体" w:eastAsia="宋体" w:cs="宋体"/>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833"/>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strike/>
          <w:color w:val="000000"/>
          <w:highlight w:val="none"/>
          <w:u w:val="single"/>
          <w:shd w:val="clear" w:color="auto" w:fill="ffffff"/>
        </w:rPr>
        <w:t xml:space="preserve"> </w:t>
      </w:r>
      <w:r>
        <w:rPr>
          <w:rStyle w:val="833"/>
          <w:rFonts w:hint="eastAsia" w:ascii="宋体" w:hAnsi="宋体" w:eastAsia="宋体" w:cs="宋体"/>
          <w:strike/>
          <w:color w:val="000000"/>
          <w:highlight w:val="none"/>
          <w:u w:val="single"/>
          <w:shd w:val="clear" w:color="auto" w:fill="ffffff"/>
        </w:rPr>
        <w:t xml:space="preserve">（产品名称1）</w:t>
      </w:r>
      <w:r>
        <w:rPr>
          <w:rStyle w:val="833"/>
          <w:rFonts w:hint="eastAsia" w:ascii="宋体" w:hAnsi="宋体" w:eastAsia="宋体" w:cs="宋体"/>
          <w:color w:val="000000"/>
          <w:highlight w:val="none"/>
          <w:u w:val="single"/>
          <w:shd w:val="clear" w:color="auto" w:fill="ffffff"/>
        </w:rPr>
        <w:t xml:space="preserve"> </w:t>
      </w:r>
      <w:r>
        <w:rPr>
          <w:rFonts w:hint="eastAsia" w:ascii="宋体" w:hAnsi="宋体" w:eastAsia="宋体" w:cs="宋体"/>
          <w:color w:val="000000"/>
          <w:highlight w:val="none"/>
          <w:shd w:val="clear" w:color="auto" w:fill="ffffff"/>
        </w:rPr>
        <w:t xml:space="preserve">的中国境内生产的组件成本占比≥</w:t>
      </w:r>
      <w:r>
        <w:rPr>
          <w:rStyle w:val="833"/>
          <w:rFonts w:hint="eastAsia" w:ascii="宋体" w:hAnsi="宋体" w:eastAsia="宋体" w:cs="宋体"/>
          <w:strike/>
          <w:color w:val="000000"/>
          <w:highlight w:val="none"/>
          <w:u w:val="single"/>
          <w:shd w:val="clear" w:color="auto" w:fill="ffffff"/>
        </w:rPr>
        <w:t xml:space="preserve">（规定比例）</w:t>
      </w:r>
      <w:r>
        <w:rPr>
          <w:rStyle w:val="833"/>
          <w:rFonts w:hint="eastAsia" w:ascii="宋体" w:hAnsi="宋体" w:eastAsia="宋体" w:cs="宋体"/>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833"/>
          <w:rFonts w:hint="eastAsia" w:ascii="宋体" w:hAnsi="宋体" w:eastAsia="宋体" w:cs="宋体"/>
          <w:strike/>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33"/>
          <w:rFonts w:hint="eastAsia" w:ascii="宋体" w:hAnsi="宋体" w:eastAsia="宋体" w:cs="宋体"/>
          <w:strike/>
          <w:color w:val="000000"/>
          <w:highlight w:val="none"/>
          <w:u w:val="single"/>
          <w:shd w:val="clear" w:color="auto" w:fill="ffffff"/>
        </w:rPr>
        <w:t xml:space="preserve">（关键组件）</w:t>
      </w:r>
      <w:r>
        <w:rPr>
          <w:rStyle w:val="833"/>
          <w:rFonts w:hint="eastAsia" w:ascii="宋体" w:hAnsi="宋体" w:eastAsia="宋体" w:cs="宋体"/>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833"/>
          <w:rFonts w:hint="eastAsia" w:ascii="宋体" w:hAnsi="宋体" w:eastAsia="宋体" w:cs="宋体"/>
          <w:strike/>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33"/>
          <w:rFonts w:hint="eastAsia" w:ascii="宋体" w:hAnsi="宋体" w:eastAsia="宋体" w:cs="宋体"/>
          <w:strike/>
          <w:color w:val="000000"/>
          <w:highlight w:val="none"/>
          <w:u w:val="single"/>
          <w:shd w:val="clear" w:color="auto" w:fill="ffffff"/>
        </w:rPr>
        <w:t xml:space="preserve">（关键工序）</w:t>
      </w:r>
      <w:r>
        <w:rPr>
          <w:rStyle w:val="833"/>
          <w:rFonts w:hint="eastAsia" w:ascii="宋体" w:hAnsi="宋体" w:eastAsia="宋体" w:cs="宋体"/>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19"/>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2.</w:t>
      </w:r>
      <w:r>
        <w:rPr>
          <w:rStyle w:val="833"/>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833"/>
          <w:rFonts w:hint="eastAsia" w:ascii="宋体" w:hAnsi="宋体" w:eastAsia="宋体" w:cs="宋体"/>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833"/>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833"/>
          <w:rFonts w:hint="eastAsia" w:ascii="宋体" w:hAnsi="宋体" w:eastAsia="宋体" w:cs="宋体"/>
          <w:strike/>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833"/>
          <w:rFonts w:hint="eastAsia" w:ascii="宋体" w:hAnsi="宋体" w:eastAsia="宋体" w:cs="宋体"/>
          <w:strike/>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833"/>
          <w:rFonts w:hint="eastAsia" w:ascii="宋体" w:hAnsi="宋体" w:eastAsia="宋体" w:cs="宋体"/>
          <w:strike/>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833"/>
          <w:rFonts w:hint="eastAsia" w:ascii="宋体" w:hAnsi="宋体" w:eastAsia="宋体" w:cs="宋体"/>
          <w:strike/>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833"/>
          <w:rFonts w:hint="eastAsia" w:ascii="宋体" w:hAnsi="宋体" w:eastAsia="宋体" w:cs="宋体"/>
          <w:strike/>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833"/>
          <w:rFonts w:hint="eastAsia" w:ascii="宋体" w:hAnsi="宋体" w:eastAsia="宋体" w:cs="宋体"/>
          <w:strike/>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19"/>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819"/>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819"/>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9"/>
        <w:ind w:right="480" w:firstLine="37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819"/>
        <w:jc w:val="center"/>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819"/>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819"/>
        <w:spacing w:before="30" w:beforeAutospacing="0" w:after="30" w:afterAutospacing="0" w:line="360" w:lineRule="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1.产品如有型号，请在“产品名称”栏一并填写。</w:t>
      </w:r>
      <w:r>
        <w:rPr>
          <w:rFonts w:hint="eastAsia" w:ascii="宋体" w:hAnsi="宋体" w:eastAsia="宋体" w:cs="宋体"/>
          <w:color w:val="000000"/>
          <w:highlight w:val="none"/>
          <w:shd w:val="clear" w:color="auto" w:fill="ffffff"/>
        </w:rPr>
      </w:r>
      <w:r/>
    </w:p>
    <w:p>
      <w:pPr>
        <w:pStyle w:val="819"/>
        <w:spacing w:before="30" w:beforeAutospacing="0" w:after="30" w:afterAutospacing="0" w:line="360" w:lineRule="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2.生产厂名与厂址应与生产厂营业执照载明的相关信息保持一致。</w:t>
      </w:r>
      <w:r>
        <w:rPr>
          <w:rFonts w:hint="eastAsia" w:ascii="宋体" w:hAnsi="宋体" w:eastAsia="宋体" w:cs="宋体"/>
          <w:color w:val="000000"/>
          <w:highlight w:val="none"/>
          <w:shd w:val="clear" w:color="auto" w:fill="ffffff"/>
        </w:rPr>
      </w:r>
      <w:r/>
    </w:p>
    <w:p>
      <w:pPr>
        <w:pStyle w:val="819"/>
        <w:spacing w:before="30" w:beforeAutospacing="0" w:after="30" w:afterAutospacing="0" w:line="360" w:lineRule="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highlight w:val="none"/>
          <w:shd w:val="clear" w:color="auto" w:fill="ffffff"/>
        </w:rPr>
      </w:r>
      <w:r/>
    </w:p>
    <w:p>
      <w:pPr>
        <w:pStyle w:val="819"/>
        <w:spacing w:before="30" w:beforeAutospacing="0" w:after="30" w:afterAutospacing="0" w:line="360" w:lineRule="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4.该产品的关键组件要求实施前，“关键组件”栏可不填，下同。</w:t>
      </w:r>
      <w:r>
        <w:rPr>
          <w:rFonts w:hint="eastAsia" w:ascii="宋体" w:hAnsi="宋体" w:eastAsia="宋体" w:cs="宋体"/>
          <w:color w:val="000000"/>
          <w:highlight w:val="none"/>
          <w:shd w:val="clear" w:color="auto" w:fill="ffffff"/>
        </w:rPr>
      </w:r>
      <w:r/>
    </w:p>
    <w:p>
      <w:pPr>
        <w:pStyle w:val="819"/>
        <w:spacing w:before="30" w:beforeAutospacing="0" w:after="30" w:afterAutospacing="0" w:line="360" w:lineRule="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5.该产品的关键工序要求实施前，“关键工序”栏可不填，下同。</w:t>
      </w:r>
      <w:r>
        <w:rPr>
          <w:rFonts w:hint="eastAsia" w:ascii="宋体" w:hAnsi="宋体" w:eastAsia="宋体" w:cs="宋体"/>
          <w:color w:val="000000"/>
          <w:highlight w:val="none"/>
          <w:shd w:val="clear" w:color="auto" w:fill="ffffff"/>
        </w:rPr>
      </w:r>
      <w:r/>
    </w:p>
    <w:p>
      <w:pPr>
        <w:pStyle w:val="769"/>
        <w:rPr>
          <w:rFonts w:hint="eastAsia" w:ascii="宋体" w:hAnsi="宋体" w:eastAsia="宋体" w:cs="宋体"/>
          <w:color w:val="000000"/>
          <w:sz w:val="24"/>
          <w:highlight w:val="none"/>
          <w:shd w:val="clear" w:color="auto" w:fill="ffffff"/>
        </w:rPr>
        <w:outlineLvl w:val="9"/>
      </w:pPr>
      <w:r>
        <w:rPr>
          <w:rFonts w:hint="eastAsia" w:ascii="宋体" w:hAnsi="宋体" w:eastAsia="宋体" w:cs="宋体"/>
          <w:color w:val="000000"/>
          <w:sz w:val="24"/>
          <w:highlight w:val="none"/>
          <w:shd w:val="clear" w:color="auto" w:fill="ffffff"/>
        </w:rPr>
        <w:t xml:space="preserve">6.用</w:t>
      </w:r>
      <w:r>
        <w:rPr>
          <w:rFonts w:hint="eastAsia" w:ascii="宋体" w:hAnsi="宋体" w:eastAsia="宋体" w:cs="宋体"/>
          <w:color w:val="000000"/>
          <w:sz w:val="24"/>
          <w:highlight w:val="none"/>
          <w:shd w:val="clear" w:color="auto" w:fill="ffffff"/>
          <w:lang w:val="en-US" w:eastAsia="zh-CN"/>
        </w:rPr>
        <w:t xml:space="preserve">横</w:t>
      </w:r>
      <w:r>
        <w:rPr>
          <w:rFonts w:hint="eastAsia" w:ascii="宋体" w:hAnsi="宋体" w:eastAsia="宋体" w:cs="宋体"/>
          <w:color w:val="000000"/>
          <w:sz w:val="24"/>
          <w:highlight w:val="none"/>
          <w:shd w:val="clear" w:color="auto" w:fill="ffffff"/>
        </w:rPr>
        <w:t xml:space="preserve">线划除的地方无需填写。</w:t>
      </w:r>
      <w:r>
        <w:rPr>
          <w:rFonts w:hint="eastAsia" w:ascii="宋体" w:hAnsi="宋体" w:eastAsia="宋体" w:cs="宋体"/>
          <w:color w:val="000000"/>
          <w:sz w:val="24"/>
          <w:highlight w:val="none"/>
          <w:shd w:val="clear" w:color="auto" w:fill="ffffff"/>
        </w:rPr>
      </w:r>
      <w:r/>
    </w:p>
    <w:p>
      <w:pPr>
        <w:pStyle w:val="769"/>
        <w:rPr>
          <w:rFonts w:hint="eastAsia" w:ascii="宋体" w:hAnsi="宋体" w:eastAsia="宋体" w:cs="宋体"/>
          <w:sz w:val="24"/>
          <w:szCs w:val="20"/>
          <w:highlight w:val="none"/>
        </w:rPr>
        <w:outlineLvl w:val="2"/>
      </w:pPr>
      <w:r>
        <w:rPr>
          <w:rFonts w:hint="eastAsia" w:ascii="宋体" w:hAnsi="宋体" w:eastAsia="宋体" w:cs="宋体"/>
          <w:color w:val="000000"/>
          <w:highlight w:val="none"/>
          <w:shd w:val="clear" w:color="auto" w:fill="ffffff"/>
        </w:rPr>
        <w:br w:type="page" w:clear="all"/>
      </w:r>
      <w:r>
        <w:rPr>
          <w:rFonts w:hint="eastAsia" w:ascii="宋体" w:hAnsi="宋体" w:eastAsia="宋体" w:cs="宋体"/>
          <w:color w:val="000000"/>
          <w:highlight w:val="none"/>
          <w:shd w:val="clear" w:color="auto" w:fill="ffffff"/>
          <w:lang w:val="en-US" w:eastAsia="zh-CN"/>
        </w:rPr>
        <w:t xml:space="preserve">12 </w:t>
      </w:r>
      <w:r>
        <w:rPr>
          <w:rFonts w:hint="eastAsia" w:ascii="宋体" w:hAnsi="宋体" w:eastAsia="宋体" w:cs="宋体"/>
          <w:sz w:val="24"/>
          <w:szCs w:val="20"/>
          <w:highlight w:val="none"/>
        </w:rPr>
        <w:t xml:space="preserve">参加本项目人员一览表</w:t>
      </w:r>
      <w:r>
        <w:rPr>
          <w:rFonts w:hint="eastAsia" w:ascii="宋体" w:hAnsi="宋体" w:eastAsia="宋体" w:cs="宋体"/>
          <w:sz w:val="24"/>
          <w:szCs w:val="20"/>
          <w:highlight w:val="none"/>
        </w:rPr>
      </w:r>
      <w:r/>
    </w:p>
    <w:p>
      <w:pPr>
        <w:pStyle w:val="769"/>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69"/>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参加本项目人员一览表</w:t>
      </w:r>
      <w:r>
        <w:rPr>
          <w:rFonts w:hint="eastAsia" w:ascii="宋体" w:hAnsi="宋体" w:eastAsia="宋体" w:cs="宋体"/>
          <w:b/>
          <w:sz w:val="32"/>
          <w:szCs w:val="32"/>
          <w:highlight w:val="none"/>
        </w:rPr>
      </w:r>
      <w:r/>
    </w:p>
    <w:p>
      <w:pPr>
        <w:pStyle w:val="769"/>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9"/>
        <w:jc w:val="left"/>
        <w:spacing w:line="360" w:lineRule="auto"/>
        <w:rPr>
          <w:rFonts w:hint="eastAsia" w:ascii="宋体" w:hAnsi="宋体" w:eastAsia="宋体" w:cs="宋体"/>
          <w:sz w:val="22"/>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sz w:val="22"/>
          <w:highlight w:val="none"/>
          <w:lang w:eastAsia="zh-CN"/>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性别</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年龄</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毕业学校和学历</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专业培训及证书</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责任</w:t>
            </w:r>
            <w:r>
              <w:rPr>
                <w:rFonts w:hint="eastAsia" w:ascii="宋体" w:hAnsi="宋体" w:eastAsia="宋体" w:cs="宋体"/>
                <w:sz w:val="24"/>
                <w:szCs w:val="24"/>
                <w:highlight w:val="none"/>
                <w:lang w:val="en-US" w:eastAsia="zh-CN" w:bidi="ar-SA"/>
              </w:rPr>
            </w:r>
            <w:r/>
          </w:p>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或分工</w:t>
            </w:r>
            <w:r>
              <w:rPr>
                <w:rFonts w:hint="eastAsia" w:ascii="宋体" w:hAnsi="宋体" w:eastAsia="宋体" w:cs="宋体"/>
                <w:sz w:val="24"/>
                <w:szCs w:val="24"/>
                <w:highlight w:val="none"/>
                <w:lang w:val="en-US" w:eastAsia="zh-CN" w:bidi="ar-SA"/>
              </w:rPr>
            </w:r>
            <w:r/>
          </w:p>
        </w:tc>
        <w:tc>
          <w:tcPr>
            <w:tcW w:w="945"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项目经历或主要工作</w:t>
            </w:r>
            <w:r>
              <w:rPr>
                <w:rFonts w:hint="eastAsia" w:ascii="宋体" w:hAnsi="宋体" w:eastAsia="宋体" w:cs="宋体"/>
                <w:sz w:val="24"/>
                <w:szCs w:val="24"/>
                <w:highlight w:val="none"/>
                <w:lang w:val="en-US" w:eastAsia="zh-CN" w:bidi="ar-SA"/>
              </w:rPr>
            </w:r>
            <w:r/>
          </w:p>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业绩</w:t>
            </w:r>
            <w:r>
              <w:rPr>
                <w:rFonts w:hint="eastAsia" w:ascii="宋体" w:hAnsi="宋体" w:eastAsia="宋体" w:cs="宋体"/>
                <w:sz w:val="24"/>
                <w:szCs w:val="24"/>
                <w:highlight w:val="none"/>
                <w:lang w:val="en-US" w:eastAsia="zh-CN" w:bidi="ar-SA"/>
              </w:rPr>
            </w:r>
            <w:r/>
          </w:p>
        </w:tc>
      </w:tr>
      <w:tr>
        <w:trPr/>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r>
        <w:trPr/>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c>
          <w:tcPr>
            <w:tcW w:w="945"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r>
            <w:r/>
          </w:p>
        </w:tc>
      </w:tr>
    </w:tbl>
    <w:p>
      <w:pPr>
        <w:pStyle w:val="769"/>
        <w:tabs>
          <w:tab w:val="left" w:pos="9765" w:leader="none"/>
        </w:tabs>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769"/>
        <w:rPr>
          <w:rFonts w:hint="eastAsia" w:ascii="宋体" w:hAnsi="宋体" w:eastAsia="宋体" w:cs="宋体"/>
          <w:sz w:val="24"/>
          <w:szCs w:val="20"/>
          <w:highlight w:val="none"/>
        </w:rPr>
        <w:outlineLvl w:val="2"/>
      </w:pPr>
      <w:r>
        <w:rPr>
          <w:rFonts w:hint="eastAsia" w:ascii="宋体" w:hAnsi="宋体" w:eastAsia="宋体" w:cs="宋体"/>
          <w:sz w:val="22"/>
          <w:highlight w:val="none"/>
        </w:rPr>
        <w:br w:type="page" w:clear="all"/>
      </w:r>
      <w:bookmarkStart w:id="905" w:name="_Toc288738397"/>
      <w:r/>
      <w:bookmarkStart w:id="906" w:name="_Toc288738839"/>
      <w:r>
        <w:rPr>
          <w:rFonts w:hint="eastAsia" w:ascii="宋体" w:hAnsi="宋体" w:eastAsia="宋体" w:cs="宋体"/>
          <w:sz w:val="24"/>
          <w:szCs w:val="20"/>
          <w:highlight w:val="none"/>
          <w:lang w:val="en-US" w:eastAsia="zh-CN"/>
        </w:rPr>
        <w:t xml:space="preserve">13</w:t>
      </w:r>
      <w:r>
        <w:rPr>
          <w:rFonts w:hint="eastAsia" w:ascii="宋体" w:hAnsi="宋体" w:eastAsia="宋体" w:cs="宋体"/>
          <w:sz w:val="24"/>
          <w:szCs w:val="20"/>
          <w:highlight w:val="none"/>
        </w:rPr>
        <w:t xml:space="preserve"> 相关业绩案例一览表</w:t>
      </w:r>
      <w:r>
        <w:rPr>
          <w:rFonts w:hint="eastAsia" w:ascii="宋体" w:hAnsi="宋体" w:eastAsia="宋体" w:cs="宋体"/>
          <w:sz w:val="24"/>
          <w:szCs w:val="20"/>
          <w:highlight w:val="none"/>
        </w:rPr>
      </w:r>
      <w:r/>
    </w:p>
    <w:p>
      <w:pPr>
        <w:pStyle w:val="769"/>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相关业绩案例一览表</w:t>
      </w:r>
      <w:bookmarkEnd w:id="905"/>
      <w:r/>
      <w:bookmarkEnd w:id="906"/>
      <w:r>
        <w:rPr>
          <w:rFonts w:hint="eastAsia" w:ascii="宋体" w:hAnsi="宋体" w:eastAsia="宋体" w:cs="宋体"/>
          <w:b/>
          <w:sz w:val="32"/>
          <w:szCs w:val="32"/>
          <w:highlight w:val="none"/>
        </w:rPr>
      </w:r>
      <w:r/>
    </w:p>
    <w:p>
      <w:pPr>
        <w:pStyle w:val="769"/>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JSZC-320404-CZZY-G2026-0029</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9"/>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常州市广化小学校新建校区信息化设备采购项目</w:t>
      </w:r>
      <w:r>
        <w:rPr>
          <w:rFonts w:hint="eastAsia" w:ascii="宋体" w:hAnsi="宋体" w:eastAsia="宋体" w:cs="宋体"/>
          <w:sz w:val="24"/>
          <w:highlight w:val="none"/>
          <w:lang w:eastAsia="zh-CN"/>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项目时间</w:t>
            </w:r>
            <w:r>
              <w:rPr>
                <w:rFonts w:hint="eastAsia" w:ascii="宋体" w:hAnsi="宋体" w:eastAsia="宋体" w:cs="宋体"/>
                <w:sz w:val="24"/>
                <w:szCs w:val="24"/>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项目甲方单位</w:t>
            </w:r>
            <w:r>
              <w:rPr>
                <w:rFonts w:hint="eastAsia" w:ascii="宋体" w:hAnsi="宋体" w:eastAsia="宋体" w:cs="宋体"/>
                <w:sz w:val="24"/>
                <w:szCs w:val="24"/>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项目名称</w:t>
            </w:r>
            <w:r>
              <w:rPr>
                <w:rFonts w:hint="eastAsia" w:ascii="宋体" w:hAnsi="宋体" w:eastAsia="宋体" w:cs="宋体"/>
                <w:sz w:val="24"/>
                <w:szCs w:val="24"/>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合同金额</w:t>
            </w:r>
            <w:r>
              <w:rPr>
                <w:rFonts w:hint="eastAsia" w:ascii="宋体" w:hAnsi="宋体" w:eastAsia="宋体" w:cs="宋体"/>
                <w:sz w:val="24"/>
                <w:szCs w:val="24"/>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甲方单位地址</w:t>
            </w:r>
            <w:r>
              <w:rPr>
                <w:rFonts w:hint="eastAsia" w:ascii="宋体" w:hAnsi="宋体" w:eastAsia="宋体" w:cs="宋体"/>
                <w:sz w:val="24"/>
                <w:szCs w:val="24"/>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甲方联系电话</w:t>
            </w:r>
            <w:r>
              <w:rPr>
                <w:rFonts w:hint="eastAsia" w:ascii="宋体" w:hAnsi="宋体" w:eastAsia="宋体" w:cs="宋体"/>
                <w:sz w:val="24"/>
                <w:szCs w:val="24"/>
                <w:highlight w:val="none"/>
                <w:lang w:val="zh-CN"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9"/>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9"/>
              <w:ind w:hanging="523"/>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69"/>
              <w:ind w:hanging="523"/>
              <w:jc w:val="center"/>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69"/>
              <w:jc w:val="both"/>
              <w:spacing w:line="360" w:lineRule="auto"/>
              <w:widowControl w:val="off"/>
              <w:tabs>
                <w:tab w:val="left" w:pos="976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69"/>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76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rPr>
          <w:rFonts w:hint="eastAsia" w:ascii="宋体" w:hAnsi="宋体" w:eastAsia="宋体" w:cs="宋体"/>
          <w:sz w:val="24"/>
          <w:highlight w:val="none"/>
          <w:lang w:val="zh-CN"/>
        </w:rPr>
      </w:r>
      <w:r/>
    </w:p>
    <w:p>
      <w:pPr>
        <w:pStyle w:val="769"/>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769"/>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lang w:val="en-US" w:eastAsia="zh-CN"/>
        </w:rPr>
        <w:t xml:space="preserve">14 </w:t>
      </w:r>
      <w:r>
        <w:rPr>
          <w:rFonts w:hint="eastAsia" w:ascii="宋体" w:hAnsi="宋体" w:eastAsia="宋体" w:cs="宋体"/>
          <w:sz w:val="24"/>
          <w:szCs w:val="20"/>
          <w:highlight w:val="none"/>
        </w:rPr>
        <w:t xml:space="preserve">招标文件要求提供或投标人认为应附的其他材料</w:t>
      </w:r>
      <w:r>
        <w:rPr>
          <w:rFonts w:hint="eastAsia" w:ascii="宋体" w:hAnsi="宋体" w:eastAsia="宋体" w:cs="宋体"/>
          <w:sz w:val="24"/>
          <w:szCs w:val="20"/>
          <w:highlight w:val="none"/>
        </w:rPr>
      </w:r>
      <w:r/>
    </w:p>
    <w:p>
      <w:pPr>
        <w:pStyle w:val="769"/>
        <w:jc w:val="left"/>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sectPr>
      <w:footnotePr/>
      <w:endnotePr/>
      <w:type w:val="nextPage"/>
      <w:pgSz w:w="11907" w:h="16840" w:orient="portrait"/>
      <w:pgMar w:top="1418" w:right="1417" w:bottom="1418" w:left="1417"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103</w:t>
                          </w:r>
                          <w:r>
                            <w:t xml:space="preserve"> 页</w:t>
                          </w:r>
                          <w:r/>
                        </w:p>
                        <w:p>
                          <w:pPr>
                            <w:pStyle w:val="7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103</w:t>
                    </w:r>
                    <w:r>
                      <w:t xml:space="preserve"> 页</w:t>
                    </w:r>
                    <w:r/>
                  </w:p>
                  <w:p>
                    <w:pPr>
                      <w:pStyle w:val="76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rPr>
        <w:rStyle w:val="831"/>
      </w:rPr>
      <w:framePr w:wrap="around" w:vAnchor="text" w:hAnchor="margin" w:xAlign="right" w:y="1"/>
    </w:pPr>
    <w:r>
      <w:rPr>
        <w:rStyle w:val="831"/>
      </w:rPr>
      <w:fldChar w:fldCharType="begin"/>
    </w:r>
    <w:r>
      <w:rPr>
        <w:rStyle w:val="831"/>
      </w:rPr>
      <w:instrText xml:space="preserve">PAGE  </w:instrText>
    </w:r>
    <w:r>
      <w:rPr>
        <w:rStyle w:val="831"/>
      </w:rPr>
      <w:fldChar w:fldCharType="separate"/>
    </w:r>
    <w:r>
      <w:rPr>
        <w:rStyle w:val="831"/>
      </w:rPr>
      <w:fldChar w:fldCharType="end"/>
    </w:r>
    <w:r>
      <w:rPr>
        <w:rStyle w:val="831"/>
      </w:rPr>
    </w:r>
    <w:r/>
  </w:p>
  <w:p>
    <w:pPr>
      <w:pStyle w:val="1002"/>
      <w:ind w:right="360"/>
      <w:tabs>
        <w:tab w:val="center" w:pos="4153" w:leader="none"/>
        <w:tab w:val="right" w:pos="8306" w:leader="none"/>
      </w:tabs>
    </w:pPr>
    <w:r/>
    <w:r/>
  </w:p>
  <w:p>
    <w:pPr>
      <w:pStyle w:val="7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
  </w:p>
  <w:p>
    <w:pPr>
      <w:pStyle w:val="7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9"/>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83"/>
      <w:isLgl w:val="false"/>
      <w:suff w:val="tab"/>
      <w:lvlText w:val="%1."/>
      <w:lvlJc w:val="left"/>
      <w:pPr>
        <w:pStyle w:val="769"/>
        <w:ind w:left="360" w:hanging="360"/>
        <w:tabs>
          <w:tab w:val="num" w:pos="360" w:leader="none"/>
        </w:tabs>
      </w:pPr>
    </w:lvl>
    <w:lvl w:ilvl="1">
      <w:start w:val="1"/>
      <w:numFmt w:val="bullet"/>
      <w:isLgl w:val="false"/>
      <w:suff w:val="tab"/>
      <w:lvlText w:val="o"/>
      <w:lvlJc w:val="left"/>
      <w:pPr>
        <w:pStyle w:val="769"/>
        <w:ind w:left="1440" w:hanging="360"/>
      </w:pPr>
      <w:rPr>
        <w:rFonts w:ascii="Courier New" w:hAnsi="Courier New" w:eastAsia="Courier New" w:cs="Courier New"/>
      </w:rPr>
    </w:lvl>
    <w:lvl w:ilvl="2">
      <w:start w:val="1"/>
      <w:numFmt w:val="bullet"/>
      <w:isLgl w:val="false"/>
      <w:suff w:val="tab"/>
      <w:lvlText w:val="§"/>
      <w:lvlJc w:val="left"/>
      <w:pPr>
        <w:pStyle w:val="769"/>
        <w:ind w:left="2160" w:hanging="360"/>
      </w:pPr>
      <w:rPr>
        <w:rFonts w:ascii="Wingdings" w:hAnsi="Wingdings" w:eastAsia="Wingdings" w:cs="Wingdings"/>
      </w:rPr>
    </w:lvl>
    <w:lvl w:ilvl="3">
      <w:start w:val="1"/>
      <w:numFmt w:val="bullet"/>
      <w:isLgl w:val="false"/>
      <w:suff w:val="tab"/>
      <w:lvlText w:val="·"/>
      <w:lvlJc w:val="left"/>
      <w:pPr>
        <w:pStyle w:val="769"/>
        <w:ind w:left="2880" w:hanging="360"/>
      </w:pPr>
      <w:rPr>
        <w:rFonts w:ascii="Symbol" w:hAnsi="Symbol" w:eastAsia="Symbol" w:cs="Symbol"/>
      </w:rPr>
    </w:lvl>
    <w:lvl w:ilvl="4">
      <w:start w:val="1"/>
      <w:numFmt w:val="bullet"/>
      <w:isLgl w:val="false"/>
      <w:suff w:val="tab"/>
      <w:lvlText w:val="o"/>
      <w:lvlJc w:val="left"/>
      <w:pPr>
        <w:pStyle w:val="769"/>
        <w:ind w:left="3600" w:hanging="360"/>
      </w:pPr>
      <w:rPr>
        <w:rFonts w:ascii="Courier New" w:hAnsi="Courier New" w:eastAsia="Courier New" w:cs="Courier New"/>
      </w:rPr>
    </w:lvl>
    <w:lvl w:ilvl="5">
      <w:start w:val="1"/>
      <w:numFmt w:val="bullet"/>
      <w:isLgl w:val="false"/>
      <w:suff w:val="tab"/>
      <w:lvlText w:val="§"/>
      <w:lvlJc w:val="left"/>
      <w:pPr>
        <w:pStyle w:val="769"/>
        <w:ind w:left="4320" w:hanging="360"/>
      </w:pPr>
      <w:rPr>
        <w:rFonts w:ascii="Wingdings" w:hAnsi="Wingdings" w:eastAsia="Wingdings" w:cs="Wingdings"/>
      </w:rPr>
    </w:lvl>
    <w:lvl w:ilvl="6">
      <w:start w:val="1"/>
      <w:numFmt w:val="bullet"/>
      <w:isLgl w:val="false"/>
      <w:suff w:val="tab"/>
      <w:lvlText w:val="·"/>
      <w:lvlJc w:val="left"/>
      <w:pPr>
        <w:pStyle w:val="769"/>
        <w:ind w:left="5040" w:hanging="360"/>
      </w:pPr>
      <w:rPr>
        <w:rFonts w:ascii="Symbol" w:hAnsi="Symbol" w:eastAsia="Symbol" w:cs="Symbol"/>
      </w:rPr>
    </w:lvl>
    <w:lvl w:ilvl="7">
      <w:start w:val="1"/>
      <w:numFmt w:val="bullet"/>
      <w:isLgl w:val="false"/>
      <w:suff w:val="tab"/>
      <w:lvlText w:val="o"/>
      <w:lvlJc w:val="left"/>
      <w:pPr>
        <w:pStyle w:val="769"/>
        <w:ind w:left="5760" w:hanging="360"/>
      </w:pPr>
      <w:rPr>
        <w:rFonts w:ascii="Courier New" w:hAnsi="Courier New" w:eastAsia="Courier New" w:cs="Courier New"/>
      </w:rPr>
    </w:lvl>
    <w:lvl w:ilvl="8">
      <w:start w:val="1"/>
      <w:numFmt w:val="bullet"/>
      <w:isLgl w:val="false"/>
      <w:suff w:val="tab"/>
      <w:lvlText w:val="§"/>
      <w:lvlJc w:val="left"/>
      <w:pPr>
        <w:pStyle w:val="769"/>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38"/>
      <w:isLgl w:val="false"/>
      <w:suff w:val="tab"/>
      <w:lvlText w:val="%1."/>
      <w:lvlJc w:val="left"/>
      <w:pPr>
        <w:pStyle w:val="769"/>
        <w:ind w:left="420" w:hanging="420"/>
      </w:pPr>
    </w:lvl>
    <w:lvl w:ilvl="1">
      <w:start w:val="1"/>
      <w:numFmt w:val="decimal"/>
      <w:isLgl w:val="false"/>
      <w:suff w:val="tab"/>
      <w:lvlText w:val="（%2）"/>
      <w:lvlJc w:val="left"/>
      <w:pPr>
        <w:pStyle w:val="769"/>
        <w:ind w:left="1140" w:hanging="720"/>
        <w:tabs>
          <w:tab w:val="num" w:pos="1140" w:leader="none"/>
        </w:tabs>
      </w:pPr>
      <w:rPr>
        <w:rFonts w:hint="eastAsia"/>
      </w:rPr>
    </w:lvl>
    <w:lvl w:ilvl="2">
      <w:start w:val="1"/>
      <w:numFmt w:val="lowerRoman"/>
      <w:isLgl w:val="false"/>
      <w:suff w:val="tab"/>
      <w:lvlText w:val="%3."/>
      <w:lvlJc w:val="right"/>
      <w:pPr>
        <w:pStyle w:val="769"/>
        <w:ind w:left="1260" w:hanging="420"/>
      </w:pPr>
    </w:lvl>
    <w:lvl w:ilvl="3">
      <w:start w:val="1"/>
      <w:numFmt w:val="decimal"/>
      <w:isLgl w:val="false"/>
      <w:suff w:val="tab"/>
      <w:lvlText w:val="%4."/>
      <w:lvlJc w:val="left"/>
      <w:pPr>
        <w:pStyle w:val="769"/>
        <w:ind w:left="1680" w:hanging="420"/>
      </w:pPr>
    </w:lvl>
    <w:lvl w:ilvl="4">
      <w:start w:val="1"/>
      <w:numFmt w:val="lowerLetter"/>
      <w:isLgl w:val="false"/>
      <w:suff w:val="tab"/>
      <w:lvlText w:val="%5)"/>
      <w:lvlJc w:val="left"/>
      <w:pPr>
        <w:pStyle w:val="769"/>
        <w:ind w:left="2100" w:hanging="420"/>
      </w:pPr>
    </w:lvl>
    <w:lvl w:ilvl="5">
      <w:start w:val="1"/>
      <w:numFmt w:val="lowerRoman"/>
      <w:isLgl w:val="false"/>
      <w:suff w:val="tab"/>
      <w:lvlText w:val="%6."/>
      <w:lvlJc w:val="right"/>
      <w:pPr>
        <w:pStyle w:val="769"/>
        <w:ind w:left="2520" w:hanging="420"/>
      </w:pPr>
    </w:lvl>
    <w:lvl w:ilvl="6">
      <w:start w:val="1"/>
      <w:numFmt w:val="decimal"/>
      <w:isLgl w:val="false"/>
      <w:suff w:val="tab"/>
      <w:lvlText w:val="%7."/>
      <w:lvlJc w:val="left"/>
      <w:pPr>
        <w:pStyle w:val="769"/>
        <w:ind w:left="2940" w:hanging="420"/>
      </w:pPr>
    </w:lvl>
    <w:lvl w:ilvl="7">
      <w:start w:val="1"/>
      <w:numFmt w:val="lowerLetter"/>
      <w:isLgl w:val="false"/>
      <w:suff w:val="tab"/>
      <w:lvlText w:val="%8)"/>
      <w:lvlJc w:val="left"/>
      <w:pPr>
        <w:pStyle w:val="769"/>
        <w:ind w:left="3360" w:hanging="420"/>
      </w:pPr>
    </w:lvl>
    <w:lvl w:ilvl="8">
      <w:start w:val="1"/>
      <w:numFmt w:val="lowerRoman"/>
      <w:isLgl w:val="false"/>
      <w:suff w:val="tab"/>
      <w:lvlText w:val="%9."/>
      <w:lvlJc w:val="right"/>
      <w:pPr>
        <w:pStyle w:val="769"/>
        <w:ind w:left="3780" w:hanging="420"/>
      </w:pPr>
    </w:lvl>
  </w:abstractNum>
  <w:abstractNum w:abstractNumId="13">
    <w:multiLevelType w:val="hybridMultilevel"/>
    <w:lvl w:ilvl="0">
      <w:start w:val="1"/>
      <w:numFmt w:val="decimal"/>
      <w:isLgl w:val="false"/>
      <w:suff w:val="space"/>
      <w:lvlText w:val="%1."/>
      <w:lvlJc w:val="left"/>
      <w:pPr>
        <w:pStyle w:val="769"/>
        <w:tabs>
          <w:tab w:val="num" w:pos="312" w:leader="none"/>
        </w:tabs>
      </w:pPr>
    </w:lvl>
    <w:lvl w:ilvl="1">
      <w:start w:val="1"/>
      <w:numFmt w:val="bullet"/>
      <w:isLgl w:val="false"/>
      <w:suff w:val="space"/>
      <w:lvlText w:val="o"/>
      <w:lvlJc w:val="left"/>
      <w:pPr>
        <w:pStyle w:val="769"/>
        <w:ind w:left="1440" w:hanging="360"/>
      </w:pPr>
      <w:rPr>
        <w:rFonts w:ascii="Courier New" w:hAnsi="Courier New" w:eastAsia="Courier New" w:cs="Courier New"/>
      </w:rPr>
    </w:lvl>
    <w:lvl w:ilvl="2">
      <w:start w:val="1"/>
      <w:numFmt w:val="bullet"/>
      <w:isLgl w:val="false"/>
      <w:suff w:val="space"/>
      <w:lvlText w:val="§"/>
      <w:lvlJc w:val="left"/>
      <w:pPr>
        <w:pStyle w:val="769"/>
        <w:ind w:left="2160" w:hanging="360"/>
      </w:pPr>
      <w:rPr>
        <w:rFonts w:ascii="Wingdings" w:hAnsi="Wingdings" w:eastAsia="Wingdings" w:cs="Wingdings"/>
      </w:rPr>
    </w:lvl>
    <w:lvl w:ilvl="3">
      <w:start w:val="1"/>
      <w:numFmt w:val="bullet"/>
      <w:isLgl w:val="false"/>
      <w:suff w:val="space"/>
      <w:lvlText w:val="·"/>
      <w:lvlJc w:val="left"/>
      <w:pPr>
        <w:pStyle w:val="769"/>
        <w:ind w:left="2880" w:hanging="360"/>
      </w:pPr>
      <w:rPr>
        <w:rFonts w:ascii="Symbol" w:hAnsi="Symbol" w:eastAsia="Symbol" w:cs="Symbol"/>
      </w:rPr>
    </w:lvl>
    <w:lvl w:ilvl="4">
      <w:start w:val="1"/>
      <w:numFmt w:val="bullet"/>
      <w:isLgl w:val="false"/>
      <w:suff w:val="space"/>
      <w:lvlText w:val="o"/>
      <w:lvlJc w:val="left"/>
      <w:pPr>
        <w:pStyle w:val="769"/>
        <w:ind w:left="3600" w:hanging="360"/>
      </w:pPr>
      <w:rPr>
        <w:rFonts w:ascii="Courier New" w:hAnsi="Courier New" w:eastAsia="Courier New" w:cs="Courier New"/>
      </w:rPr>
    </w:lvl>
    <w:lvl w:ilvl="5">
      <w:start w:val="1"/>
      <w:numFmt w:val="bullet"/>
      <w:isLgl w:val="false"/>
      <w:suff w:val="space"/>
      <w:lvlText w:val="§"/>
      <w:lvlJc w:val="left"/>
      <w:pPr>
        <w:pStyle w:val="769"/>
        <w:ind w:left="4320" w:hanging="360"/>
      </w:pPr>
      <w:rPr>
        <w:rFonts w:ascii="Wingdings" w:hAnsi="Wingdings" w:eastAsia="Wingdings" w:cs="Wingdings"/>
      </w:rPr>
    </w:lvl>
    <w:lvl w:ilvl="6">
      <w:start w:val="1"/>
      <w:numFmt w:val="bullet"/>
      <w:isLgl w:val="false"/>
      <w:suff w:val="space"/>
      <w:lvlText w:val="·"/>
      <w:lvlJc w:val="left"/>
      <w:pPr>
        <w:pStyle w:val="769"/>
        <w:ind w:left="5040" w:hanging="360"/>
      </w:pPr>
      <w:rPr>
        <w:rFonts w:ascii="Symbol" w:hAnsi="Symbol" w:eastAsia="Symbol" w:cs="Symbol"/>
      </w:rPr>
    </w:lvl>
    <w:lvl w:ilvl="7">
      <w:start w:val="1"/>
      <w:numFmt w:val="bullet"/>
      <w:isLgl w:val="false"/>
      <w:suff w:val="space"/>
      <w:lvlText w:val="o"/>
      <w:lvlJc w:val="left"/>
      <w:pPr>
        <w:pStyle w:val="769"/>
        <w:ind w:left="5760" w:hanging="360"/>
      </w:pPr>
      <w:rPr>
        <w:rFonts w:ascii="Courier New" w:hAnsi="Courier New" w:eastAsia="Courier New" w:cs="Courier New"/>
      </w:rPr>
    </w:lvl>
    <w:lvl w:ilvl="8">
      <w:start w:val="1"/>
      <w:numFmt w:val="bullet"/>
      <w:isLgl w:val="false"/>
      <w:suff w:val="space"/>
      <w:lvlText w:val="§"/>
      <w:lvlJc w:val="left"/>
      <w:pPr>
        <w:pStyle w:val="769"/>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769"/>
        <w:ind w:left="4941" w:hanging="1140"/>
        <w:tabs>
          <w:tab w:val="num" w:pos="4941" w:leader="none"/>
        </w:tabs>
      </w:pPr>
      <w:rPr>
        <w:rFonts w:hint="eastAsia"/>
      </w:rPr>
    </w:lvl>
    <w:lvl w:ilvl="1">
      <w:start w:val="1"/>
      <w:numFmt w:val="lowerLetter"/>
      <w:isLgl w:val="false"/>
      <w:suff w:val="tab"/>
      <w:lvlText w:val="%2)"/>
      <w:lvlJc w:val="left"/>
      <w:pPr>
        <w:pStyle w:val="769"/>
        <w:ind w:left="4641" w:hanging="420"/>
        <w:tabs>
          <w:tab w:val="num" w:pos="4641" w:leader="none"/>
        </w:tabs>
      </w:pPr>
    </w:lvl>
    <w:lvl w:ilvl="2">
      <w:start w:val="1"/>
      <w:numFmt w:val="lowerRoman"/>
      <w:isLgl w:val="false"/>
      <w:suff w:val="tab"/>
      <w:lvlText w:val="%3."/>
      <w:lvlJc w:val="right"/>
      <w:pPr>
        <w:pStyle w:val="769"/>
        <w:ind w:left="5061" w:hanging="420"/>
        <w:tabs>
          <w:tab w:val="num" w:pos="5061" w:leader="none"/>
        </w:tabs>
      </w:pPr>
    </w:lvl>
    <w:lvl w:ilvl="3">
      <w:start w:val="1"/>
      <w:numFmt w:val="decimal"/>
      <w:isLgl w:val="false"/>
      <w:suff w:val="tab"/>
      <w:lvlText w:val="%4."/>
      <w:lvlJc w:val="left"/>
      <w:pPr>
        <w:pStyle w:val="769"/>
        <w:ind w:left="5481" w:hanging="420"/>
        <w:tabs>
          <w:tab w:val="num" w:pos="5481" w:leader="none"/>
        </w:tabs>
      </w:pPr>
    </w:lvl>
    <w:lvl w:ilvl="4">
      <w:start w:val="1"/>
      <w:numFmt w:val="lowerLetter"/>
      <w:isLgl w:val="false"/>
      <w:suff w:val="tab"/>
      <w:lvlText w:val="%5)"/>
      <w:lvlJc w:val="left"/>
      <w:pPr>
        <w:pStyle w:val="769"/>
        <w:ind w:left="5901" w:hanging="420"/>
        <w:tabs>
          <w:tab w:val="num" w:pos="5901" w:leader="none"/>
        </w:tabs>
      </w:pPr>
    </w:lvl>
    <w:lvl w:ilvl="5">
      <w:start w:val="1"/>
      <w:numFmt w:val="lowerRoman"/>
      <w:isLgl w:val="false"/>
      <w:suff w:val="tab"/>
      <w:lvlText w:val="%6."/>
      <w:lvlJc w:val="right"/>
      <w:pPr>
        <w:pStyle w:val="769"/>
        <w:ind w:left="6321" w:hanging="420"/>
        <w:tabs>
          <w:tab w:val="num" w:pos="6321" w:leader="none"/>
        </w:tabs>
      </w:pPr>
    </w:lvl>
    <w:lvl w:ilvl="6">
      <w:start w:val="1"/>
      <w:numFmt w:val="decimal"/>
      <w:isLgl w:val="false"/>
      <w:suff w:val="tab"/>
      <w:lvlText w:val="%7."/>
      <w:lvlJc w:val="left"/>
      <w:pPr>
        <w:pStyle w:val="769"/>
        <w:ind w:left="6741" w:hanging="420"/>
        <w:tabs>
          <w:tab w:val="num" w:pos="6741" w:leader="none"/>
        </w:tabs>
      </w:pPr>
    </w:lvl>
    <w:lvl w:ilvl="7">
      <w:start w:val="1"/>
      <w:numFmt w:val="lowerLetter"/>
      <w:isLgl w:val="false"/>
      <w:suff w:val="tab"/>
      <w:lvlText w:val="%8)"/>
      <w:lvlJc w:val="left"/>
      <w:pPr>
        <w:pStyle w:val="769"/>
        <w:ind w:left="7161" w:hanging="420"/>
        <w:tabs>
          <w:tab w:val="num" w:pos="7161" w:leader="none"/>
        </w:tabs>
      </w:pPr>
    </w:lvl>
    <w:lvl w:ilvl="8">
      <w:start w:val="1"/>
      <w:numFmt w:val="lowerRoman"/>
      <w:isLgl w:val="false"/>
      <w:suff w:val="tab"/>
      <w:lvlText w:val="%9."/>
      <w:lvlJc w:val="right"/>
      <w:pPr>
        <w:pStyle w:val="769"/>
        <w:ind w:left="7581" w:hanging="420"/>
        <w:tabs>
          <w:tab w:val="num" w:pos="7581" w:leader="none"/>
        </w:tabs>
      </w:pPr>
    </w:lvl>
  </w:abstractNum>
  <w:abstractNum w:abstractNumId="16">
    <w:multiLevelType w:val="hybridMultilevel"/>
    <w:lvl w:ilvl="0">
      <w:start w:val="1"/>
      <w:numFmt w:val="decimal"/>
      <w:pStyle w:val="1037"/>
      <w:isLgl w:val="false"/>
      <w:suff w:val="tab"/>
      <w:lvlText w:val="%1)"/>
      <w:lvlJc w:val="left"/>
      <w:pPr>
        <w:pStyle w:val="769"/>
        <w:ind w:left="420" w:hanging="420"/>
      </w:pPr>
    </w:lvl>
    <w:lvl w:ilvl="1">
      <w:start w:val="1"/>
      <w:numFmt w:val="lowerLetter"/>
      <w:isLgl w:val="false"/>
      <w:suff w:val="tab"/>
      <w:lvlText w:val="%2)"/>
      <w:lvlJc w:val="left"/>
      <w:pPr>
        <w:pStyle w:val="769"/>
        <w:ind w:left="840" w:hanging="420"/>
      </w:pPr>
    </w:lvl>
    <w:lvl w:ilvl="2">
      <w:start w:val="1"/>
      <w:numFmt w:val="lowerRoman"/>
      <w:isLgl w:val="false"/>
      <w:suff w:val="tab"/>
      <w:lvlText w:val="%3."/>
      <w:lvlJc w:val="right"/>
      <w:pPr>
        <w:pStyle w:val="769"/>
        <w:ind w:left="1260" w:hanging="420"/>
      </w:pPr>
    </w:lvl>
    <w:lvl w:ilvl="3">
      <w:start w:val="1"/>
      <w:numFmt w:val="decimal"/>
      <w:isLgl w:val="false"/>
      <w:suff w:val="tab"/>
      <w:lvlText w:val="%4."/>
      <w:lvlJc w:val="left"/>
      <w:pPr>
        <w:pStyle w:val="769"/>
        <w:ind w:left="1680" w:hanging="420"/>
      </w:pPr>
    </w:lvl>
    <w:lvl w:ilvl="4">
      <w:start w:val="1"/>
      <w:numFmt w:val="lowerLetter"/>
      <w:isLgl w:val="false"/>
      <w:suff w:val="tab"/>
      <w:lvlText w:val="%5)"/>
      <w:lvlJc w:val="left"/>
      <w:pPr>
        <w:pStyle w:val="769"/>
        <w:ind w:left="2100" w:hanging="420"/>
      </w:pPr>
    </w:lvl>
    <w:lvl w:ilvl="5">
      <w:start w:val="1"/>
      <w:numFmt w:val="lowerRoman"/>
      <w:isLgl w:val="false"/>
      <w:suff w:val="tab"/>
      <w:lvlText w:val="%6."/>
      <w:lvlJc w:val="right"/>
      <w:pPr>
        <w:pStyle w:val="769"/>
        <w:ind w:left="2520" w:hanging="420"/>
      </w:pPr>
    </w:lvl>
    <w:lvl w:ilvl="6">
      <w:start w:val="1"/>
      <w:numFmt w:val="decimal"/>
      <w:isLgl w:val="false"/>
      <w:suff w:val="tab"/>
      <w:lvlText w:val="%7."/>
      <w:lvlJc w:val="left"/>
      <w:pPr>
        <w:pStyle w:val="769"/>
        <w:ind w:left="2940" w:hanging="420"/>
      </w:pPr>
    </w:lvl>
    <w:lvl w:ilvl="7">
      <w:start w:val="1"/>
      <w:numFmt w:val="lowerLetter"/>
      <w:isLgl w:val="false"/>
      <w:suff w:val="tab"/>
      <w:lvlText w:val="%8)"/>
      <w:lvlJc w:val="left"/>
      <w:pPr>
        <w:pStyle w:val="769"/>
        <w:ind w:left="3360" w:hanging="420"/>
      </w:pPr>
    </w:lvl>
    <w:lvl w:ilvl="8">
      <w:start w:val="1"/>
      <w:numFmt w:val="lowerRoman"/>
      <w:isLgl w:val="false"/>
      <w:suff w:val="tab"/>
      <w:lvlText w:val="%9."/>
      <w:lvlJc w:val="right"/>
      <w:pPr>
        <w:pStyle w:val="769"/>
        <w:ind w:left="3780" w:hanging="420"/>
      </w:pPr>
    </w:lvl>
  </w:abstractNum>
  <w:abstractNum w:abstractNumId="17">
    <w:multiLevelType w:val="hybridMultilevel"/>
    <w:lvl w:ilvl="0">
      <w:start w:val="1"/>
      <w:numFmt w:val="decimal"/>
      <w:pStyle w:val="1138"/>
      <w:isLgl w:val="false"/>
      <w:suff w:val="tab"/>
      <w:lvlText w:val="%1"/>
      <w:lvlJc w:val="left"/>
      <w:pPr>
        <w:pStyle w:val="769"/>
        <w:ind w:left="680" w:hanging="680"/>
      </w:pPr>
      <w:rPr>
        <w:rFonts w:hint="eastAsia" w:ascii="宋体" w:hAnsi="宋体" w:eastAsia="宋体"/>
      </w:rPr>
    </w:lvl>
    <w:lvl w:ilvl="1">
      <w:start w:val="1"/>
      <w:numFmt w:val="decimal"/>
      <w:pStyle w:val="1139"/>
      <w:isLgl w:val="false"/>
      <w:suff w:val="tab"/>
      <w:lvlText w:val="%1.%2"/>
      <w:lvlJc w:val="left"/>
      <w:pPr>
        <w:pStyle w:val="769"/>
        <w:ind w:left="851" w:hanging="851"/>
      </w:pPr>
      <w:rPr>
        <w:rFonts w:hint="eastAsia" w:ascii="宋体" w:hAnsi="宋体" w:eastAsia="宋体"/>
        <w:color w:val="000000"/>
      </w:rPr>
    </w:lvl>
    <w:lvl w:ilvl="2">
      <w:start w:val="1"/>
      <w:numFmt w:val="decimal"/>
      <w:pStyle w:val="1140"/>
      <w:isLgl w:val="false"/>
      <w:suff w:val="tab"/>
      <w:lvlText w:val="%1.%2.%3"/>
      <w:lvlJc w:val="left"/>
      <w:pPr>
        <w:pStyle w:val="769"/>
        <w:ind w:left="851" w:hanging="851"/>
      </w:pPr>
      <w:rPr>
        <w:rFonts w:hint="eastAsia"/>
      </w:rPr>
    </w:lvl>
    <w:lvl w:ilvl="3">
      <w:start w:val="1"/>
      <w:numFmt w:val="decimal"/>
      <w:isLgl w:val="false"/>
      <w:suff w:val="tab"/>
      <w:lvlText w:val="%1.%2.%3.%4"/>
      <w:lvlJc w:val="left"/>
      <w:pPr>
        <w:pStyle w:val="769"/>
        <w:ind w:left="680" w:hanging="680"/>
      </w:pPr>
      <w:rPr>
        <w:rFonts w:hint="eastAsia"/>
      </w:rPr>
    </w:lvl>
    <w:lvl w:ilvl="4">
      <w:start w:val="1"/>
      <w:numFmt w:val="decimal"/>
      <w:isLgl w:val="false"/>
      <w:suff w:val="tab"/>
      <w:lvlText w:val="%1.%2.%3.%4.%5"/>
      <w:lvlJc w:val="left"/>
      <w:pPr>
        <w:pStyle w:val="769"/>
        <w:ind w:left="680" w:hanging="680"/>
      </w:pPr>
      <w:rPr>
        <w:rFonts w:hint="eastAsia"/>
      </w:rPr>
    </w:lvl>
    <w:lvl w:ilvl="5">
      <w:start w:val="1"/>
      <w:numFmt w:val="decimal"/>
      <w:isLgl w:val="false"/>
      <w:suff w:val="tab"/>
      <w:lvlText w:val="%1.%2.%3.%4.%5.%6"/>
      <w:lvlJc w:val="left"/>
      <w:pPr>
        <w:pStyle w:val="769"/>
        <w:ind w:left="680" w:hanging="680"/>
      </w:pPr>
      <w:rPr>
        <w:rFonts w:hint="eastAsia"/>
      </w:rPr>
    </w:lvl>
    <w:lvl w:ilvl="6">
      <w:start w:val="1"/>
      <w:numFmt w:val="decimal"/>
      <w:isLgl w:val="false"/>
      <w:suff w:val="tab"/>
      <w:lvlText w:val="%1.%2.%3.%4.%5.%6.%7"/>
      <w:lvlJc w:val="left"/>
      <w:pPr>
        <w:pStyle w:val="769"/>
        <w:ind w:left="680" w:hanging="680"/>
      </w:pPr>
      <w:rPr>
        <w:rFonts w:hint="eastAsia"/>
      </w:rPr>
    </w:lvl>
    <w:lvl w:ilvl="7">
      <w:start w:val="1"/>
      <w:numFmt w:val="decimal"/>
      <w:isLgl w:val="false"/>
      <w:suff w:val="tab"/>
      <w:lvlText w:val="%1.%2.%3.%4.%5.%6.%7.%8"/>
      <w:lvlJc w:val="left"/>
      <w:pPr>
        <w:pStyle w:val="769"/>
        <w:ind w:left="680" w:hanging="680"/>
      </w:pPr>
      <w:rPr>
        <w:rFonts w:hint="eastAsia"/>
      </w:rPr>
    </w:lvl>
    <w:lvl w:ilvl="8">
      <w:start w:val="1"/>
      <w:numFmt w:val="decimal"/>
      <w:isLgl w:val="false"/>
      <w:suff w:val="tab"/>
      <w:lvlText w:val="%1.%2.%3.%4.%5.%6.%7.%8.%9"/>
      <w:lvlJc w:val="left"/>
      <w:pPr>
        <w:pStyle w:val="769"/>
        <w:ind w:left="680" w:hanging="680"/>
      </w:pPr>
      <w:rPr>
        <w:rFonts w:hint="eastAsia"/>
      </w:rPr>
    </w:lvl>
  </w:abstractNum>
  <w:abstractNum w:abstractNumId="18">
    <w:multiLevelType w:val="hybridMultilevel"/>
    <w:lvl w:ilvl="0">
      <w:start w:val="1"/>
      <w:numFmt w:val="decimal"/>
      <w:isLgl w:val="false"/>
      <w:suff w:val="tab"/>
      <w:lvlText w:val="%1"/>
      <w:lvlJc w:val="left"/>
      <w:pPr>
        <w:pStyle w:val="769"/>
        <w:ind w:left="900" w:hanging="900"/>
        <w:tabs>
          <w:tab w:val="num" w:pos="900" w:leader="none"/>
        </w:tabs>
      </w:pPr>
      <w:rPr>
        <w:rFonts w:hint="eastAsia"/>
      </w:rPr>
    </w:lvl>
    <w:lvl w:ilvl="1">
      <w:start w:val="1"/>
      <w:numFmt w:val="decimal"/>
      <w:isLgl w:val="false"/>
      <w:suff w:val="tab"/>
      <w:lvlText w:val="%1.%2"/>
      <w:lvlJc w:val="left"/>
      <w:pPr>
        <w:pStyle w:val="7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9"/>
        <w:ind w:left="1980" w:hanging="900"/>
        <w:tabs>
          <w:tab w:val="num" w:pos="1980" w:leader="none"/>
        </w:tabs>
      </w:pPr>
      <w:rPr>
        <w:rFonts w:ascii="Times New Roman" w:hAnsi="Times New Roman" w:cs="Times New Roman"/>
      </w:rPr>
    </w:lvl>
    <w:lvl w:ilvl="3">
      <w:start w:val="1"/>
      <w:numFmt w:val="decimal"/>
      <w:isLgl w:val="false"/>
      <w:suff w:val="tab"/>
      <w:lvlText w:val="%1.%2.%3.%4"/>
      <w:lvlJc w:val="left"/>
      <w:pPr>
        <w:pStyle w:val="769"/>
        <w:ind w:left="900" w:hanging="900"/>
        <w:tabs>
          <w:tab w:val="num" w:pos="900" w:leader="none"/>
        </w:tabs>
      </w:pPr>
      <w:rPr>
        <w:rFonts w:hint="eastAsia"/>
      </w:rPr>
    </w:lvl>
    <w:lvl w:ilvl="4">
      <w:start w:val="1"/>
      <w:numFmt w:val="decimal"/>
      <w:isLgl w:val="false"/>
      <w:suff w:val="tab"/>
      <w:lvlText w:val="%1.%2.%3.%4.%5"/>
      <w:lvlJc w:val="left"/>
      <w:pPr>
        <w:pStyle w:val="769"/>
        <w:ind w:left="900" w:hanging="900"/>
        <w:tabs>
          <w:tab w:val="num" w:pos="900" w:leader="none"/>
        </w:tabs>
      </w:pPr>
      <w:rPr>
        <w:rFonts w:hint="eastAsia"/>
      </w:rPr>
    </w:lvl>
    <w:lvl w:ilvl="5">
      <w:start w:val="1"/>
      <w:numFmt w:val="decimal"/>
      <w:isLgl w:val="false"/>
      <w:suff w:val="tab"/>
      <w:lvlText w:val="%1.%2.%3.%4.%5.%6"/>
      <w:lvlJc w:val="left"/>
      <w:pPr>
        <w:pStyle w:val="769"/>
        <w:ind w:left="900" w:hanging="900"/>
        <w:tabs>
          <w:tab w:val="num" w:pos="900" w:leader="none"/>
        </w:tabs>
      </w:pPr>
      <w:rPr>
        <w:rFonts w:hint="eastAsia"/>
      </w:rPr>
    </w:lvl>
    <w:lvl w:ilvl="6">
      <w:start w:val="1"/>
      <w:numFmt w:val="decimal"/>
      <w:isLgl w:val="false"/>
      <w:suff w:val="tab"/>
      <w:lvlText w:val="%1.%2.%3.%4.%5.%6.%7"/>
      <w:lvlJc w:val="left"/>
      <w:pPr>
        <w:pStyle w:val="769"/>
        <w:ind w:left="900" w:hanging="900"/>
        <w:tabs>
          <w:tab w:val="num" w:pos="900" w:leader="none"/>
        </w:tabs>
      </w:pPr>
      <w:rPr>
        <w:rFonts w:hint="eastAsia"/>
      </w:rPr>
    </w:lvl>
    <w:lvl w:ilvl="7">
      <w:start w:val="1"/>
      <w:numFmt w:val="decimal"/>
      <w:isLgl w:val="false"/>
      <w:suff w:val="tab"/>
      <w:lvlText w:val="%1.%2.%3.%4.%5.%6.%7.%8"/>
      <w:lvlJc w:val="left"/>
      <w:pPr>
        <w:pStyle w:val="769"/>
        <w:ind w:left="900" w:hanging="900"/>
        <w:tabs>
          <w:tab w:val="num" w:pos="900" w:leader="none"/>
        </w:tabs>
      </w:pPr>
      <w:rPr>
        <w:rFonts w:hint="eastAsia"/>
      </w:rPr>
    </w:lvl>
    <w:lvl w:ilvl="8">
      <w:start w:val="1"/>
      <w:numFmt w:val="decimal"/>
      <w:isLgl w:val="false"/>
      <w:suff w:val="tab"/>
      <w:lvlText w:val="%1.%2.%3.%4.%5.%6.%7.%8.%9"/>
      <w:lvlJc w:val="left"/>
      <w:pPr>
        <w:pStyle w:val="769"/>
        <w:ind w:left="900" w:hanging="900"/>
        <w:tabs>
          <w:tab w:val="num" w:pos="900" w:leader="none"/>
        </w:tabs>
      </w:pPr>
      <w:rPr>
        <w:rFonts w:hint="eastAsia"/>
      </w:rPr>
    </w:lvl>
  </w:abstractNum>
  <w:abstractNum w:abstractNumId="19">
    <w:multiLevelType w:val="hybridMultilevel"/>
    <w:lvl w:ilvl="0">
      <w:start w:val="1"/>
      <w:numFmt w:val="lowerLetter"/>
      <w:pStyle w:val="1113"/>
      <w:isLgl w:val="false"/>
      <w:suff w:val="tab"/>
      <w:lvlText w:val="%1)"/>
      <w:lvlJc w:val="left"/>
      <w:pPr>
        <w:pStyle w:val="769"/>
        <w:ind w:left="902" w:hanging="420"/>
      </w:pPr>
      <w:rPr>
        <w:color w:val="000000"/>
      </w:rPr>
    </w:lvl>
    <w:lvl w:ilvl="1">
      <w:start w:val="1"/>
      <w:numFmt w:val="lowerLetter"/>
      <w:isLgl w:val="false"/>
      <w:suff w:val="tab"/>
      <w:lvlText w:val="%2)"/>
      <w:lvlJc w:val="left"/>
      <w:pPr>
        <w:pStyle w:val="769"/>
        <w:ind w:left="1322" w:hanging="420"/>
      </w:pPr>
    </w:lvl>
    <w:lvl w:ilvl="2">
      <w:start w:val="1"/>
      <w:numFmt w:val="lowerRoman"/>
      <w:isLgl w:val="false"/>
      <w:suff w:val="tab"/>
      <w:lvlText w:val="%3."/>
      <w:lvlJc w:val="right"/>
      <w:pPr>
        <w:pStyle w:val="769"/>
        <w:ind w:left="1742" w:hanging="420"/>
      </w:pPr>
    </w:lvl>
    <w:lvl w:ilvl="3">
      <w:start w:val="1"/>
      <w:numFmt w:val="decimal"/>
      <w:isLgl w:val="false"/>
      <w:suff w:val="tab"/>
      <w:lvlText w:val="%4."/>
      <w:lvlJc w:val="left"/>
      <w:pPr>
        <w:pStyle w:val="769"/>
        <w:ind w:left="2162" w:hanging="420"/>
      </w:pPr>
    </w:lvl>
    <w:lvl w:ilvl="4">
      <w:start w:val="1"/>
      <w:numFmt w:val="lowerLetter"/>
      <w:isLgl w:val="false"/>
      <w:suff w:val="tab"/>
      <w:lvlText w:val="%5)"/>
      <w:lvlJc w:val="left"/>
      <w:pPr>
        <w:pStyle w:val="769"/>
        <w:ind w:left="2582" w:hanging="420"/>
      </w:pPr>
    </w:lvl>
    <w:lvl w:ilvl="5">
      <w:start w:val="1"/>
      <w:numFmt w:val="lowerRoman"/>
      <w:isLgl w:val="false"/>
      <w:suff w:val="tab"/>
      <w:lvlText w:val="%6."/>
      <w:lvlJc w:val="right"/>
      <w:pPr>
        <w:pStyle w:val="769"/>
        <w:ind w:left="3002" w:hanging="420"/>
      </w:pPr>
    </w:lvl>
    <w:lvl w:ilvl="6">
      <w:start w:val="1"/>
      <w:numFmt w:val="decimal"/>
      <w:isLgl w:val="false"/>
      <w:suff w:val="tab"/>
      <w:lvlText w:val="%7."/>
      <w:lvlJc w:val="left"/>
      <w:pPr>
        <w:pStyle w:val="769"/>
        <w:ind w:left="3422" w:hanging="420"/>
      </w:pPr>
    </w:lvl>
    <w:lvl w:ilvl="7">
      <w:start w:val="1"/>
      <w:numFmt w:val="lowerLetter"/>
      <w:isLgl w:val="false"/>
      <w:suff w:val="tab"/>
      <w:lvlText w:val="%8)"/>
      <w:lvlJc w:val="left"/>
      <w:pPr>
        <w:pStyle w:val="769"/>
        <w:ind w:left="3842" w:hanging="420"/>
      </w:pPr>
    </w:lvl>
    <w:lvl w:ilvl="8">
      <w:start w:val="1"/>
      <w:numFmt w:val="lowerRoman"/>
      <w:isLgl w:val="false"/>
      <w:suff w:val="tab"/>
      <w:lvlText w:val="%9."/>
      <w:lvlJc w:val="right"/>
      <w:pPr>
        <w:pStyle w:val="769"/>
        <w:ind w:left="4262" w:hanging="420"/>
      </w:pPr>
    </w:lvl>
  </w:abstractNum>
  <w:abstractNum w:abstractNumId="20">
    <w:multiLevelType w:val="hybridMultilevel"/>
    <w:lvl w:ilvl="0">
      <w:start w:val="1"/>
      <w:numFmt w:val="decimal"/>
      <w:isLgl w:val="false"/>
      <w:suff w:val="tab"/>
      <w:lvlText w:val="%1"/>
      <w:lvlJc w:val="left"/>
      <w:pPr>
        <w:pStyle w:val="769"/>
        <w:ind w:left="900" w:hanging="900"/>
        <w:tabs>
          <w:tab w:val="num" w:pos="900" w:leader="none"/>
        </w:tabs>
      </w:pPr>
      <w:rPr>
        <w:rFonts w:hint="eastAsia"/>
      </w:rPr>
    </w:lvl>
    <w:lvl w:ilvl="1">
      <w:start w:val="1"/>
      <w:numFmt w:val="decimal"/>
      <w:isLgl w:val="false"/>
      <w:suff w:val="tab"/>
      <w:lvlText w:val="%1.%2"/>
      <w:lvlJc w:val="left"/>
      <w:pPr>
        <w:pStyle w:val="7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9"/>
        <w:ind w:left="1980" w:hanging="900"/>
        <w:tabs>
          <w:tab w:val="num" w:pos="1980" w:leader="none"/>
        </w:tabs>
      </w:pPr>
      <w:rPr>
        <w:rFonts w:hint="eastAsia"/>
      </w:rPr>
    </w:lvl>
    <w:lvl w:ilvl="3">
      <w:start w:val="1"/>
      <w:numFmt w:val="decimal"/>
      <w:isLgl w:val="false"/>
      <w:suff w:val="tab"/>
      <w:lvlText w:val="%1.%2.%3.%4"/>
      <w:lvlJc w:val="left"/>
      <w:pPr>
        <w:pStyle w:val="769"/>
        <w:ind w:left="900" w:hanging="900"/>
        <w:tabs>
          <w:tab w:val="num" w:pos="900" w:leader="none"/>
        </w:tabs>
      </w:pPr>
      <w:rPr>
        <w:rFonts w:hint="eastAsia"/>
      </w:rPr>
    </w:lvl>
    <w:lvl w:ilvl="4">
      <w:start w:val="1"/>
      <w:numFmt w:val="decimal"/>
      <w:isLgl w:val="false"/>
      <w:suff w:val="tab"/>
      <w:lvlText w:val="%1.%2.%3.%4.%5"/>
      <w:lvlJc w:val="left"/>
      <w:pPr>
        <w:pStyle w:val="769"/>
        <w:ind w:left="900" w:hanging="900"/>
        <w:tabs>
          <w:tab w:val="num" w:pos="900" w:leader="none"/>
        </w:tabs>
      </w:pPr>
      <w:rPr>
        <w:rFonts w:hint="eastAsia"/>
      </w:rPr>
    </w:lvl>
    <w:lvl w:ilvl="5">
      <w:start w:val="1"/>
      <w:numFmt w:val="decimal"/>
      <w:isLgl w:val="false"/>
      <w:suff w:val="tab"/>
      <w:lvlText w:val="%1.%2.%3.%4.%5.%6"/>
      <w:lvlJc w:val="left"/>
      <w:pPr>
        <w:pStyle w:val="769"/>
        <w:ind w:left="900" w:hanging="900"/>
        <w:tabs>
          <w:tab w:val="num" w:pos="900" w:leader="none"/>
        </w:tabs>
      </w:pPr>
      <w:rPr>
        <w:rFonts w:hint="eastAsia"/>
      </w:rPr>
    </w:lvl>
    <w:lvl w:ilvl="6">
      <w:start w:val="1"/>
      <w:numFmt w:val="decimal"/>
      <w:isLgl w:val="false"/>
      <w:suff w:val="tab"/>
      <w:lvlText w:val="%1.%2.%3.%4.%5.%6.%7"/>
      <w:lvlJc w:val="left"/>
      <w:pPr>
        <w:pStyle w:val="769"/>
        <w:ind w:left="900" w:hanging="900"/>
        <w:tabs>
          <w:tab w:val="num" w:pos="900" w:leader="none"/>
        </w:tabs>
      </w:pPr>
      <w:rPr>
        <w:rFonts w:hint="eastAsia"/>
      </w:rPr>
    </w:lvl>
    <w:lvl w:ilvl="7">
      <w:start w:val="1"/>
      <w:numFmt w:val="decimal"/>
      <w:isLgl w:val="false"/>
      <w:suff w:val="tab"/>
      <w:lvlText w:val="%1.%2.%3.%4.%5.%6.%7.%8"/>
      <w:lvlJc w:val="left"/>
      <w:pPr>
        <w:pStyle w:val="769"/>
        <w:ind w:left="900" w:hanging="900"/>
        <w:tabs>
          <w:tab w:val="num" w:pos="900" w:leader="none"/>
        </w:tabs>
      </w:pPr>
      <w:rPr>
        <w:rFonts w:hint="eastAsia"/>
      </w:rPr>
    </w:lvl>
    <w:lvl w:ilvl="8">
      <w:start w:val="1"/>
      <w:numFmt w:val="decimal"/>
      <w:isLgl w:val="false"/>
      <w:suff w:val="tab"/>
      <w:lvlText w:val="%1.%2.%3.%4.%5.%6.%7.%8.%9"/>
      <w:lvlJc w:val="left"/>
      <w:pPr>
        <w:pStyle w:val="769"/>
        <w:ind w:left="900" w:hanging="900"/>
        <w:tabs>
          <w:tab w:val="num" w:pos="900" w:leader="none"/>
        </w:tabs>
      </w:pPr>
      <w:rPr>
        <w:rFonts w:hint="eastAsia"/>
      </w:rPr>
    </w:lvl>
  </w:abstractNum>
  <w:abstractNum w:abstractNumId="21">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769"/>
        <w:ind w:left="205" w:hanging="322"/>
      </w:pPr>
      <w:rPr>
        <w:rFonts w:ascii="仿宋" w:hAnsi="仿宋" w:eastAsia="仿宋" w:cs="仿宋"/>
        <w:spacing w:val="-46"/>
        <w:sz w:val="30"/>
        <w:szCs w:val="30"/>
      </w:rPr>
    </w:lvl>
    <w:lvl w:ilvl="1">
      <w:start w:val="1"/>
      <w:numFmt w:val="lowerLetter"/>
      <w:isLgl w:val="false"/>
      <w:suff w:val="tab"/>
      <w:lvlText w:val="%2)"/>
      <w:lvlJc w:val="left"/>
      <w:pPr>
        <w:pStyle w:val="769"/>
        <w:ind w:left="840" w:hanging="420"/>
      </w:pPr>
    </w:lvl>
    <w:lvl w:ilvl="2">
      <w:start w:val="1"/>
      <w:numFmt w:val="lowerRoman"/>
      <w:isLgl w:val="false"/>
      <w:suff w:val="tab"/>
      <w:lvlText w:val="%3."/>
      <w:lvlJc w:val="right"/>
      <w:pPr>
        <w:pStyle w:val="769"/>
        <w:ind w:left="1260" w:hanging="420"/>
      </w:pPr>
    </w:lvl>
    <w:lvl w:ilvl="3">
      <w:start w:val="1"/>
      <w:numFmt w:val="decimal"/>
      <w:isLgl w:val="false"/>
      <w:suff w:val="tab"/>
      <w:lvlText w:val="%4."/>
      <w:lvlJc w:val="left"/>
      <w:pPr>
        <w:pStyle w:val="769"/>
        <w:ind w:left="1680" w:hanging="420"/>
      </w:pPr>
    </w:lvl>
    <w:lvl w:ilvl="4">
      <w:start w:val="1"/>
      <w:numFmt w:val="lowerLetter"/>
      <w:isLgl w:val="false"/>
      <w:suff w:val="tab"/>
      <w:lvlText w:val="%5)"/>
      <w:lvlJc w:val="left"/>
      <w:pPr>
        <w:pStyle w:val="769"/>
        <w:ind w:left="2100" w:hanging="420"/>
      </w:pPr>
    </w:lvl>
    <w:lvl w:ilvl="5">
      <w:start w:val="1"/>
      <w:numFmt w:val="lowerRoman"/>
      <w:isLgl w:val="false"/>
      <w:suff w:val="tab"/>
      <w:lvlText w:val="%6."/>
      <w:lvlJc w:val="right"/>
      <w:pPr>
        <w:pStyle w:val="769"/>
        <w:ind w:left="2520" w:hanging="420"/>
      </w:pPr>
    </w:lvl>
    <w:lvl w:ilvl="6">
      <w:start w:val="1"/>
      <w:numFmt w:val="decimal"/>
      <w:isLgl w:val="false"/>
      <w:suff w:val="tab"/>
      <w:lvlText w:val="%7."/>
      <w:lvlJc w:val="left"/>
      <w:pPr>
        <w:pStyle w:val="769"/>
        <w:ind w:left="2940" w:hanging="420"/>
      </w:pPr>
    </w:lvl>
    <w:lvl w:ilvl="7">
      <w:start w:val="1"/>
      <w:numFmt w:val="lowerLetter"/>
      <w:isLgl w:val="false"/>
      <w:suff w:val="tab"/>
      <w:lvlText w:val="%8)"/>
      <w:lvlJc w:val="left"/>
      <w:pPr>
        <w:pStyle w:val="769"/>
        <w:ind w:left="3360" w:hanging="420"/>
      </w:pPr>
    </w:lvl>
    <w:lvl w:ilvl="8">
      <w:start w:val="1"/>
      <w:numFmt w:val="lowerRoman"/>
      <w:isLgl w:val="false"/>
      <w:suff w:val="tab"/>
      <w:lvlText w:val="%9."/>
      <w:lvlJc w:val="right"/>
      <w:pPr>
        <w:pStyle w:val="769"/>
        <w:ind w:left="3780" w:hanging="420"/>
      </w:pPr>
    </w:lvl>
  </w:abstractNum>
  <w:abstractNum w:abstractNumId="23">
    <w:multiLevelType w:val="hybridMultilevel"/>
    <w:lvl w:ilvl="0">
      <w:start w:val="1"/>
      <w:numFmt w:val="decimal"/>
      <w:pStyle w:val="1032"/>
      <w:isLgl w:val="false"/>
      <w:suff w:val="nothing"/>
      <w:lvlText w:val="%1　"/>
      <w:lvlJc w:val="left"/>
      <w:pPr>
        <w:pStyle w:val="7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69"/>
        <w:ind w:left="-25" w:firstLine="0"/>
      </w:pPr>
      <w:rPr>
        <w:rFonts w:ascii="Times New Roman" w:hAnsi="Times New Roman" w:eastAsia="黑体"/>
        <w:b/>
        <w:i w:val="0"/>
        <w:sz w:val="28"/>
      </w:rPr>
    </w:lvl>
    <w:lvl w:ilvl="3">
      <w:start w:val="1"/>
      <w:numFmt w:val="decimal"/>
      <w:pStyle w:val="1068"/>
      <w:isLgl w:val="false"/>
      <w:suff w:val="nothing"/>
      <w:lvlText w:val="%1.%2.%3.%4　"/>
      <w:lvlJc w:val="left"/>
      <w:pPr>
        <w:pStyle w:val="7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69"/>
        <w:ind w:left="-25" w:firstLine="0"/>
      </w:pPr>
      <w:rPr>
        <w:rFonts w:ascii="Times New Roman" w:hAnsi="Times New Roman" w:eastAsia="宋体"/>
        <w:b/>
        <w:i w:val="0"/>
        <w:sz w:val="28"/>
      </w:rPr>
    </w:lvl>
    <w:lvl w:ilvl="6">
      <w:start w:val="1"/>
      <w:numFmt w:val="lowerLetter"/>
      <w:pStyle w:val="1089"/>
      <w:isLgl w:val="false"/>
      <w:suff w:val="tab"/>
      <w:lvlText w:val="%7) "/>
      <w:lvlJc w:val="left"/>
      <w:pPr>
        <w:pStyle w:val="769"/>
        <w:ind w:left="-125" w:firstLine="400"/>
        <w:tabs>
          <w:tab w:val="num" w:pos="635" w:leader="none"/>
        </w:tabs>
      </w:pPr>
      <w:rPr>
        <w:rFonts w:ascii="Times New Roman" w:hAnsi="Times New Roman" w:eastAsia="宋体"/>
        <w:b/>
        <w:i w:val="0"/>
        <w:color w:val="000000"/>
        <w:sz w:val="28"/>
        <w:u w:val="none"/>
      </w:rPr>
    </w:lvl>
    <w:lvl w:ilvl="7">
      <w:start w:val="1"/>
      <w:numFmt w:val="decimal"/>
      <w:pStyle w:val="1052"/>
      <w:isLgl w:val="false"/>
      <w:suff w:val="tab"/>
      <w:lvlText w:val="%8) "/>
      <w:lvlJc w:val="left"/>
      <w:pPr>
        <w:pStyle w:val="7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69"/>
        <w:ind w:left="500" w:firstLine="0"/>
        <w:tabs>
          <w:tab w:val="num" w:pos="860" w:leader="none"/>
        </w:tabs>
      </w:pPr>
      <w:rPr>
        <w:rFonts w:hint="eastAsia" w:ascii="宋体" w:eastAsia="宋体"/>
        <w:b w:val="0"/>
        <w:i w:val="0"/>
        <w:color w:val="000000"/>
        <w:sz w:val="28"/>
        <w:u w:val="none"/>
      </w:rPr>
    </w:lvl>
  </w:abstractNum>
  <w:abstractNum w:abstractNumId="24">
    <w:multiLevelType w:val="hybridMultilevel"/>
    <w:lvl w:ilvl="0">
      <w:start w:val="1"/>
      <w:numFmt w:val="decimal"/>
      <w:isLgl w:val="false"/>
      <w:suff w:val="tab"/>
      <w:lvlText w:val="%1．"/>
      <w:lvlJc w:val="left"/>
      <w:pPr>
        <w:pStyle w:val="769"/>
        <w:ind w:left="768" w:hanging="360"/>
        <w:tabs>
          <w:tab w:val="num" w:pos="768" w:leader="none"/>
        </w:tabs>
      </w:pPr>
      <w:rPr>
        <w:rFonts w:hint="eastAsia"/>
      </w:rPr>
    </w:lvl>
    <w:lvl w:ilvl="1">
      <w:start w:val="1"/>
      <w:numFmt w:val="decimal"/>
      <w:pStyle w:val="1070"/>
      <w:isLgl w:val="false"/>
      <w:suff w:val="tab"/>
      <w:lvlText w:val="%2、"/>
      <w:lvlJc w:val="left"/>
      <w:pPr>
        <w:pStyle w:val="769"/>
        <w:ind w:left="1188" w:hanging="360"/>
        <w:tabs>
          <w:tab w:val="num" w:pos="1188" w:leader="none"/>
        </w:tabs>
      </w:pPr>
      <w:rPr>
        <w:rFonts w:hint="eastAsia"/>
      </w:rPr>
    </w:lvl>
    <w:lvl w:ilvl="2">
      <w:start w:val="1"/>
      <w:numFmt w:val="decimal"/>
      <w:isLgl w:val="false"/>
      <w:suff w:val="tab"/>
      <w:lvlText w:val="（%3）"/>
      <w:lvlJc w:val="left"/>
      <w:pPr>
        <w:pStyle w:val="769"/>
        <w:ind w:left="1968" w:hanging="720"/>
        <w:tabs>
          <w:tab w:val="num" w:pos="1968" w:leader="none"/>
        </w:tabs>
      </w:pPr>
      <w:rPr>
        <w:rFonts w:hint="eastAsia"/>
        <w:u w:val="none"/>
      </w:rPr>
    </w:lvl>
    <w:lvl w:ilvl="3">
      <w:start w:val="1"/>
      <w:numFmt w:val="decimal"/>
      <w:isLgl w:val="false"/>
      <w:suff w:val="tab"/>
      <w:lvlText w:val="%4."/>
      <w:lvlJc w:val="left"/>
      <w:pPr>
        <w:pStyle w:val="769"/>
        <w:ind w:left="2088" w:hanging="420"/>
        <w:tabs>
          <w:tab w:val="num" w:pos="2088" w:leader="none"/>
        </w:tabs>
      </w:pPr>
    </w:lvl>
    <w:lvl w:ilvl="4">
      <w:start w:val="1"/>
      <w:numFmt w:val="lowerLetter"/>
      <w:isLgl w:val="false"/>
      <w:suff w:val="tab"/>
      <w:lvlText w:val="%5)"/>
      <w:lvlJc w:val="left"/>
      <w:pPr>
        <w:pStyle w:val="769"/>
        <w:ind w:left="2508" w:hanging="420"/>
        <w:tabs>
          <w:tab w:val="num" w:pos="2508" w:leader="none"/>
        </w:tabs>
      </w:pPr>
    </w:lvl>
    <w:lvl w:ilvl="5">
      <w:start w:val="1"/>
      <w:numFmt w:val="lowerRoman"/>
      <w:isLgl w:val="false"/>
      <w:suff w:val="tab"/>
      <w:lvlText w:val="%6."/>
      <w:lvlJc w:val="right"/>
      <w:pPr>
        <w:pStyle w:val="769"/>
        <w:ind w:left="2928" w:hanging="420"/>
        <w:tabs>
          <w:tab w:val="num" w:pos="2928" w:leader="none"/>
        </w:tabs>
      </w:pPr>
    </w:lvl>
    <w:lvl w:ilvl="6">
      <w:start w:val="1"/>
      <w:numFmt w:val="decimal"/>
      <w:isLgl w:val="false"/>
      <w:suff w:val="tab"/>
      <w:lvlText w:val="%7."/>
      <w:lvlJc w:val="left"/>
      <w:pPr>
        <w:pStyle w:val="769"/>
        <w:ind w:left="3348" w:hanging="420"/>
        <w:tabs>
          <w:tab w:val="num" w:pos="3348" w:leader="none"/>
        </w:tabs>
      </w:pPr>
    </w:lvl>
    <w:lvl w:ilvl="7">
      <w:start w:val="1"/>
      <w:numFmt w:val="lowerLetter"/>
      <w:isLgl w:val="false"/>
      <w:suff w:val="tab"/>
      <w:lvlText w:val="%8)"/>
      <w:lvlJc w:val="left"/>
      <w:pPr>
        <w:pStyle w:val="769"/>
        <w:ind w:left="3768" w:hanging="420"/>
        <w:tabs>
          <w:tab w:val="num" w:pos="3768" w:leader="none"/>
        </w:tabs>
      </w:pPr>
    </w:lvl>
    <w:lvl w:ilvl="8">
      <w:start w:val="1"/>
      <w:numFmt w:val="lowerRoman"/>
      <w:isLgl w:val="false"/>
      <w:suff w:val="tab"/>
      <w:lvlText w:val="%9."/>
      <w:lvlJc w:val="right"/>
      <w:pPr>
        <w:pStyle w:val="769"/>
        <w:ind w:left="4188" w:hanging="420"/>
        <w:tabs>
          <w:tab w:val="num" w:pos="4188" w:leader="none"/>
        </w:tabs>
      </w:pPr>
    </w:lvl>
  </w:abstractNum>
  <w:abstractNum w:abstractNumId="2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12"/>
  </w:num>
  <w:num w:numId="3">
    <w:abstractNumId w:val="16"/>
  </w:num>
  <w:num w:numId="4">
    <w:abstractNumId w:val="24"/>
  </w:num>
  <w:num w:numId="5">
    <w:abstractNumId w:val="10"/>
  </w:num>
  <w:num w:numId="6">
    <w:abstractNumId w:val="19"/>
  </w:num>
  <w:num w:numId="7">
    <w:abstractNumId w:val="17"/>
  </w:num>
  <w:num w:numId="8">
    <w:abstractNumId w:val="15"/>
  </w:num>
  <w:num w:numId="9">
    <w:abstractNumId w:val="20"/>
  </w:num>
  <w:num w:numId="10">
    <w:abstractNumId w:val="18"/>
  </w:num>
  <w:num w:numId="11">
    <w:abstractNumId w:val="9"/>
  </w:num>
  <w:num w:numId="12">
    <w:abstractNumId w:val="1"/>
  </w:num>
  <w:num w:numId="13">
    <w:abstractNumId w:val="25"/>
  </w:num>
  <w:num w:numId="14">
    <w:abstractNumId w:val="3"/>
  </w:num>
  <w:num w:numId="15">
    <w:abstractNumId w:val="2"/>
  </w:num>
  <w:num w:numId="16">
    <w:abstractNumId w:val="5"/>
  </w:num>
  <w:num w:numId="17">
    <w:abstractNumId w:val="14"/>
  </w:num>
  <w:num w:numId="18">
    <w:abstractNumId w:val="0"/>
  </w:num>
  <w:num w:numId="19">
    <w:abstractNumId w:val="11"/>
  </w:num>
  <w:num w:numId="20">
    <w:abstractNumId w:val="8"/>
  </w:num>
  <w:num w:numId="21">
    <w:abstractNumId w:val="21"/>
  </w:num>
  <w:num w:numId="22">
    <w:abstractNumId w:val="7"/>
  </w:num>
  <w:num w:numId="23">
    <w:abstractNumId w:val="4"/>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69"/>
    <w:next w:val="769"/>
    <w:link w:val="849"/>
    <w:uiPriority w:val="10"/>
    <w:qFormat/>
    <w:pPr>
      <w:contextualSpacing/>
      <w:spacing w:before="300" w:after="200"/>
    </w:pPr>
    <w:rPr>
      <w:sz w:val="48"/>
      <w:szCs w:val="48"/>
    </w:rPr>
  </w:style>
  <w:style w:type="paragraph" w:styleId="35">
    <w:name w:val="Subtitle"/>
    <w:basedOn w:val="769"/>
    <w:next w:val="769"/>
    <w:link w:val="808"/>
    <w:uiPriority w:val="11"/>
    <w:qFormat/>
    <w:pPr>
      <w:spacing w:before="200" w:after="200"/>
    </w:pPr>
    <w:rPr>
      <w:sz w:val="24"/>
      <w:szCs w:val="24"/>
    </w:rPr>
  </w:style>
  <w:style w:type="paragraph" w:styleId="41">
    <w:name w:val="Header"/>
    <w:basedOn w:val="769"/>
    <w:link w:val="854"/>
    <w:uiPriority w:val="99"/>
    <w:unhideWhenUsed/>
    <w:pPr>
      <w:spacing w:after="0" w:line="240" w:lineRule="auto"/>
      <w:tabs>
        <w:tab w:val="center" w:pos="7143" w:leader="none"/>
        <w:tab w:val="right" w:pos="14287" w:leader="none"/>
      </w:tabs>
    </w:pPr>
  </w:style>
  <w:style w:type="paragraph" w:styleId="43">
    <w:name w:val="Footer"/>
    <w:basedOn w:val="769"/>
    <w:link w:val="856"/>
    <w:uiPriority w:val="99"/>
    <w:unhideWhenUsed/>
    <w:pPr>
      <w:spacing w:after="0" w:line="240" w:lineRule="auto"/>
      <w:tabs>
        <w:tab w:val="center" w:pos="7143" w:leader="none"/>
        <w:tab w:val="right" w:pos="14287" w:leader="none"/>
      </w:tabs>
    </w:pPr>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9"/>
    <w:link w:val="81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9"/>
    <w:link w:val="80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9"/>
    <w:next w:val="769"/>
    <w:uiPriority w:val="39"/>
    <w:unhideWhenUsed/>
    <w:pPr>
      <w:ind w:left="0" w:right="0" w:firstLine="0"/>
      <w:spacing w:after="57"/>
    </w:pPr>
  </w:style>
  <w:style w:type="paragraph" w:styleId="181">
    <w:name w:val="toc 2"/>
    <w:basedOn w:val="769"/>
    <w:next w:val="769"/>
    <w:uiPriority w:val="39"/>
    <w:unhideWhenUsed/>
    <w:pPr>
      <w:ind w:left="283" w:right="0" w:firstLine="0"/>
      <w:spacing w:after="57"/>
    </w:p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90">
    <w:name w:val="table of figures"/>
    <w:basedOn w:val="769"/>
    <w:next w:val="769"/>
    <w:uiPriority w:val="99"/>
    <w:unhideWhenUsed/>
    <w:pPr>
      <w:spacing w:after="0" w:afterAutospacing="0"/>
    </w:pPr>
  </w:style>
  <w:style w:type="paragraph" w:styleId="769" w:default="1">
    <w:name w:val="Normal"/>
    <w:next w:val="775"/>
    <w:link w:val="769"/>
    <w:qFormat/>
    <w:pPr>
      <w:jc w:val="both"/>
      <w:widowControl w:val="off"/>
    </w:pPr>
    <w:rPr>
      <w:sz w:val="21"/>
      <w:szCs w:val="24"/>
      <w:lang w:eastAsia="zh-CN"/>
    </w:rPr>
  </w:style>
  <w:style w:type="paragraph" w:styleId="770">
    <w:name w:val="标题 1"/>
    <w:basedOn w:val="769"/>
    <w:next w:val="769"/>
    <w:link w:val="76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71">
    <w:name w:val="标题 4"/>
    <w:basedOn w:val="769"/>
    <w:next w:val="769"/>
    <w:link w:val="769"/>
    <w:qFormat/>
    <w:pPr>
      <w:keepLines/>
      <w:keepNext/>
      <w:spacing w:before="280" w:after="290" w:line="376" w:lineRule="atLeast"/>
      <w:outlineLvl w:val="3"/>
    </w:pPr>
    <w:rPr>
      <w:rFonts w:ascii="Arial" w:hAnsi="Arial" w:eastAsia="黑体"/>
      <w:b/>
      <w:sz w:val="28"/>
      <w:szCs w:val="20"/>
    </w:rPr>
  </w:style>
  <w:style w:type="paragraph" w:styleId="772">
    <w:name w:val="标题 5"/>
    <w:basedOn w:val="769"/>
    <w:next w:val="769"/>
    <w:link w:val="769"/>
    <w:uiPriority w:val="9"/>
    <w:unhideWhenUsed/>
    <w:qFormat/>
    <w:pPr>
      <w:keepLines/>
      <w:keepNext/>
      <w:spacing w:before="320" w:after="200"/>
      <w:outlineLvl w:val="4"/>
    </w:pPr>
    <w:rPr>
      <w:rFonts w:ascii="Arial" w:hAnsi="Arial" w:eastAsia="Arial" w:cs="Arial"/>
      <w:b/>
      <w:bCs/>
      <w:sz w:val="24"/>
      <w:szCs w:val="24"/>
    </w:rPr>
  </w:style>
  <w:style w:type="character" w:styleId="773">
    <w:name w:val="默认段落字体"/>
    <w:next w:val="773"/>
    <w:link w:val="769"/>
    <w:uiPriority w:val="1"/>
    <w:unhideWhenUsed/>
    <w:qFormat/>
  </w:style>
  <w:style w:type="table" w:styleId="774">
    <w:name w:val="普通表格"/>
    <w:next w:val="774"/>
    <w:link w:val="769"/>
    <w:uiPriority w:val="99"/>
    <w:unhideWhenUsed/>
    <w:qFormat/>
    <w:tblPr/>
  </w:style>
  <w:style w:type="paragraph" w:styleId="775">
    <w:name w:val="正文首行缩进"/>
    <w:basedOn w:val="776"/>
    <w:next w:val="775"/>
    <w:link w:val="769"/>
    <w:qFormat/>
    <w:pPr>
      <w:ind w:firstLine="200"/>
      <w:spacing w:line="360" w:lineRule="auto"/>
      <w:tabs>
        <w:tab w:val="left" w:pos="567" w:leader="none"/>
      </w:tabs>
    </w:pPr>
    <w:rPr>
      <w:rFonts w:ascii="仿宋_GB2312" w:eastAsia="仿宋_GB2312"/>
      <w:sz w:val="30"/>
      <w:szCs w:val="30"/>
    </w:rPr>
  </w:style>
  <w:style w:type="paragraph" w:styleId="776">
    <w:name w:val="正文文本"/>
    <w:basedOn w:val="769"/>
    <w:next w:val="776"/>
    <w:link w:val="777"/>
    <w:qFormat/>
    <w:pPr>
      <w:spacing w:before="120" w:line="22" w:lineRule="atLeast"/>
      <w:tabs>
        <w:tab w:val="left" w:pos="567" w:leader="none"/>
      </w:tabs>
    </w:pPr>
    <w:rPr>
      <w:rFonts w:ascii="宋体" w:hAnsi="宋体"/>
      <w:sz w:val="24"/>
    </w:rPr>
  </w:style>
  <w:style w:type="character" w:styleId="777">
    <w:name w:val="正文文本 字符"/>
    <w:next w:val="777"/>
    <w:link w:val="776"/>
    <w:qFormat/>
    <w:rPr>
      <w:rFonts w:ascii="宋体" w:hAnsi="宋体"/>
      <w:sz w:val="24"/>
      <w:szCs w:val="24"/>
    </w:rPr>
  </w:style>
  <w:style w:type="paragraph" w:styleId="778">
    <w:name w:val="目录 7"/>
    <w:basedOn w:val="769"/>
    <w:next w:val="769"/>
    <w:link w:val="769"/>
    <w:qFormat/>
    <w:pPr>
      <w:ind w:left="2520"/>
    </w:pPr>
  </w:style>
  <w:style w:type="paragraph" w:styleId="779">
    <w:name w:val="正文缩进"/>
    <w:basedOn w:val="769"/>
    <w:next w:val="769"/>
    <w:link w:val="780"/>
    <w:qFormat/>
    <w:pPr>
      <w:ind w:firstLine="420"/>
      <w:jc w:val="left"/>
    </w:pPr>
    <w:rPr>
      <w:rFonts w:ascii="宋体"/>
      <w:sz w:val="24"/>
    </w:rPr>
  </w:style>
  <w:style w:type="character" w:styleId="780">
    <w:name w:val="正文缩进 字符"/>
    <w:next w:val="780"/>
    <w:link w:val="779"/>
    <w:qFormat/>
    <w:rPr>
      <w:rFonts w:ascii="宋体" w:eastAsia="宋体"/>
      <w:sz w:val="24"/>
      <w:szCs w:val="24"/>
      <w:lang w:val="en-US" w:eastAsia="zh-CN" w:bidi="ar-SA"/>
    </w:rPr>
  </w:style>
  <w:style w:type="paragraph" w:styleId="781">
    <w:name w:val="文档结构图"/>
    <w:basedOn w:val="769"/>
    <w:next w:val="781"/>
    <w:link w:val="782"/>
    <w:qFormat/>
    <w:pPr>
      <w:shd w:val="clear" w:color="auto" w:fill="000080"/>
    </w:pPr>
  </w:style>
  <w:style w:type="character" w:styleId="782">
    <w:name w:val="文档结构图 字符"/>
    <w:next w:val="782"/>
    <w:link w:val="781"/>
    <w:qFormat/>
    <w:rPr>
      <w:sz w:val="21"/>
      <w:szCs w:val="24"/>
      <w:shd w:val="clear" w:color="auto" w:fill="000080"/>
    </w:rPr>
  </w:style>
  <w:style w:type="paragraph" w:styleId="783">
    <w:name w:val="批注文字"/>
    <w:basedOn w:val="769"/>
    <w:next w:val="783"/>
    <w:link w:val="784"/>
    <w:uiPriority w:val="99"/>
    <w:qFormat/>
    <w:pPr>
      <w:jc w:val="left"/>
    </w:pPr>
  </w:style>
  <w:style w:type="character" w:styleId="784">
    <w:name w:val="批注文字 字符1"/>
    <w:next w:val="784"/>
    <w:link w:val="783"/>
    <w:uiPriority w:val="99"/>
    <w:qFormat/>
    <w:rPr>
      <w:sz w:val="21"/>
      <w:szCs w:val="24"/>
    </w:rPr>
  </w:style>
  <w:style w:type="paragraph" w:styleId="785">
    <w:name w:val="正文文本 3"/>
    <w:basedOn w:val="769"/>
    <w:next w:val="785"/>
    <w:link w:val="786"/>
    <w:qFormat/>
    <w:pPr>
      <w:spacing w:after="120"/>
    </w:pPr>
    <w:rPr>
      <w:sz w:val="16"/>
      <w:szCs w:val="16"/>
    </w:rPr>
  </w:style>
  <w:style w:type="character" w:styleId="786">
    <w:name w:val="正文文本 3 字符"/>
    <w:next w:val="786"/>
    <w:link w:val="785"/>
    <w:qFormat/>
    <w:rPr>
      <w:sz w:val="16"/>
      <w:szCs w:val="16"/>
    </w:rPr>
  </w:style>
  <w:style w:type="paragraph" w:styleId="787">
    <w:name w:val="正文文本缩进"/>
    <w:basedOn w:val="769"/>
    <w:next w:val="787"/>
    <w:link w:val="788"/>
    <w:qFormat/>
    <w:pPr>
      <w:ind w:firstLine="570"/>
      <w:spacing w:line="360" w:lineRule="auto"/>
    </w:pPr>
    <w:rPr>
      <w:sz w:val="24"/>
    </w:rPr>
  </w:style>
  <w:style w:type="character" w:styleId="788">
    <w:name w:val="正文文本缩进 字符"/>
    <w:next w:val="788"/>
    <w:link w:val="787"/>
    <w:qFormat/>
    <w:rPr>
      <w:rFonts w:eastAsia="宋体"/>
      <w:sz w:val="24"/>
      <w:szCs w:val="24"/>
      <w:lang w:val="en-US" w:eastAsia="zh-CN" w:bidi="ar-SA"/>
    </w:rPr>
  </w:style>
  <w:style w:type="paragraph" w:styleId="789">
    <w:name w:val="列表 2"/>
    <w:basedOn w:val="769"/>
    <w:next w:val="789"/>
    <w:link w:val="769"/>
    <w:qFormat/>
    <w:pPr>
      <w:ind w:left="100" w:hanging="200"/>
    </w:pPr>
  </w:style>
  <w:style w:type="paragraph" w:styleId="790">
    <w:name w:val="文本块"/>
    <w:basedOn w:val="769"/>
    <w:next w:val="790"/>
    <w:link w:val="769"/>
    <w:qFormat/>
    <w:pPr>
      <w:ind w:left="480" w:right="-341" w:firstLine="513"/>
      <w:widowControl/>
    </w:pPr>
    <w:rPr>
      <w:sz w:val="24"/>
      <w:szCs w:val="20"/>
    </w:rPr>
  </w:style>
  <w:style w:type="paragraph" w:styleId="791">
    <w:name w:val="目录 5"/>
    <w:basedOn w:val="769"/>
    <w:next w:val="769"/>
    <w:link w:val="769"/>
    <w:qFormat/>
    <w:pPr>
      <w:ind w:left="1680"/>
    </w:pPr>
  </w:style>
  <w:style w:type="paragraph" w:styleId="792">
    <w:name w:val="目录 3"/>
    <w:basedOn w:val="769"/>
    <w:next w:val="769"/>
    <w:link w:val="769"/>
    <w:uiPriority w:val="39"/>
    <w:qFormat/>
    <w:pPr>
      <w:ind w:left="840"/>
    </w:pPr>
  </w:style>
  <w:style w:type="paragraph" w:styleId="793">
    <w:name w:val="纯文本"/>
    <w:basedOn w:val="769"/>
    <w:next w:val="793"/>
    <w:link w:val="794"/>
    <w:qFormat/>
    <w:rPr>
      <w:rFonts w:hint="eastAsia" w:ascii="宋体" w:hAnsi="Courier New"/>
      <w:szCs w:val="20"/>
    </w:rPr>
  </w:style>
  <w:style w:type="character" w:styleId="794">
    <w:name w:val="纯文本 字符2"/>
    <w:next w:val="794"/>
    <w:link w:val="793"/>
    <w:qFormat/>
    <w:rPr>
      <w:rFonts w:hint="eastAsia" w:ascii="宋体" w:hAnsi="Courier New" w:eastAsia="宋体" w:cs="宋体"/>
      <w:sz w:val="21"/>
    </w:rPr>
  </w:style>
  <w:style w:type="paragraph" w:styleId="795">
    <w:name w:val="目录 8"/>
    <w:basedOn w:val="769"/>
    <w:next w:val="769"/>
    <w:link w:val="769"/>
    <w:qFormat/>
    <w:pPr>
      <w:ind w:left="2940"/>
    </w:pPr>
  </w:style>
  <w:style w:type="paragraph" w:styleId="796">
    <w:name w:val="日期"/>
    <w:basedOn w:val="769"/>
    <w:next w:val="769"/>
    <w:link w:val="797"/>
    <w:qFormat/>
    <w:pPr>
      <w:ind w:left="100"/>
    </w:pPr>
    <w:rPr>
      <w:rFonts w:ascii="仿宋_GB2312" w:hAnsi="宋体" w:eastAsia="仿宋_GB2312"/>
      <w:color w:val="000000"/>
      <w:sz w:val="24"/>
    </w:rPr>
  </w:style>
  <w:style w:type="character" w:styleId="797">
    <w:name w:val="日期 字符"/>
    <w:next w:val="797"/>
    <w:link w:val="796"/>
    <w:qFormat/>
    <w:rPr>
      <w:rFonts w:ascii="仿宋_GB2312" w:hAnsi="宋体" w:eastAsia="仿宋_GB2312"/>
      <w:color w:val="000000"/>
      <w:sz w:val="24"/>
      <w:szCs w:val="24"/>
    </w:rPr>
  </w:style>
  <w:style w:type="paragraph" w:styleId="798">
    <w:name w:val="正文文本缩进 2"/>
    <w:basedOn w:val="769"/>
    <w:next w:val="798"/>
    <w:link w:val="799"/>
    <w:qFormat/>
    <w:pPr>
      <w:ind w:firstLine="480"/>
    </w:pPr>
    <w:rPr>
      <w:rFonts w:ascii="仿宋_GB2312" w:eastAsia="仿宋_GB2312"/>
      <w:sz w:val="24"/>
    </w:rPr>
  </w:style>
  <w:style w:type="character" w:styleId="799">
    <w:name w:val="正文文本缩进 2 字符"/>
    <w:next w:val="799"/>
    <w:link w:val="798"/>
    <w:qFormat/>
    <w:rPr>
      <w:rFonts w:ascii="仿宋_GB2312" w:eastAsia="仿宋_GB2312"/>
      <w:sz w:val="24"/>
      <w:szCs w:val="24"/>
    </w:rPr>
  </w:style>
  <w:style w:type="paragraph" w:styleId="800">
    <w:name w:val="尾注文本"/>
    <w:basedOn w:val="769"/>
    <w:next w:val="800"/>
    <w:link w:val="801"/>
    <w:uiPriority w:val="99"/>
    <w:unhideWhenUsed/>
    <w:pPr>
      <w:spacing w:after="0" w:line="240" w:lineRule="auto"/>
    </w:pPr>
    <w:rPr>
      <w:sz w:val="20"/>
    </w:rPr>
  </w:style>
  <w:style w:type="character" w:styleId="801">
    <w:name w:val="Endnote Text Char"/>
    <w:next w:val="801"/>
    <w:link w:val="800"/>
    <w:uiPriority w:val="99"/>
    <w:rPr>
      <w:sz w:val="20"/>
    </w:rPr>
  </w:style>
  <w:style w:type="paragraph" w:styleId="802">
    <w:name w:val="批注框文本"/>
    <w:basedOn w:val="769"/>
    <w:next w:val="802"/>
    <w:link w:val="803"/>
    <w:qFormat/>
    <w:rPr>
      <w:sz w:val="18"/>
      <w:szCs w:val="18"/>
    </w:rPr>
  </w:style>
  <w:style w:type="character" w:styleId="803">
    <w:name w:val="批注框文本 字符"/>
    <w:next w:val="803"/>
    <w:link w:val="802"/>
    <w:qFormat/>
    <w:rPr>
      <w:sz w:val="18"/>
      <w:szCs w:val="18"/>
    </w:rPr>
  </w:style>
  <w:style w:type="paragraph" w:styleId="804">
    <w:name w:val="页脚"/>
    <w:basedOn w:val="769"/>
    <w:next w:val="804"/>
    <w:link w:val="769"/>
    <w:uiPriority w:val="99"/>
    <w:unhideWhenUsed/>
    <w:pPr>
      <w:jc w:val="left"/>
      <w:tabs>
        <w:tab w:val="center" w:pos="4153" w:leader="none"/>
        <w:tab w:val="right" w:pos="8306" w:leader="none"/>
      </w:tabs>
    </w:pPr>
    <w:rPr>
      <w:sz w:val="18"/>
    </w:rPr>
  </w:style>
  <w:style w:type="paragraph" w:styleId="805">
    <w:name w:val="目录 1"/>
    <w:basedOn w:val="769"/>
    <w:next w:val="769"/>
    <w:link w:val="769"/>
    <w:uiPriority w:val="39"/>
    <w:qFormat/>
    <w:pPr>
      <w:spacing w:line="300" w:lineRule="auto"/>
      <w:tabs>
        <w:tab w:val="left" w:pos="1050" w:leader="none"/>
        <w:tab w:val="right" w:pos="8937" w:leader="dot"/>
      </w:tabs>
    </w:pPr>
    <w:rPr>
      <w:rFonts w:ascii="宋体" w:hAnsi="宋体"/>
      <w:b/>
      <w:sz w:val="24"/>
    </w:rPr>
  </w:style>
  <w:style w:type="paragraph" w:styleId="806">
    <w:name w:val="目录 4"/>
    <w:basedOn w:val="769"/>
    <w:next w:val="769"/>
    <w:link w:val="769"/>
    <w:qFormat/>
    <w:pPr>
      <w:ind w:left="1260"/>
    </w:pPr>
  </w:style>
  <w:style w:type="paragraph" w:styleId="807">
    <w:name w:val="副标题"/>
    <w:basedOn w:val="769"/>
    <w:next w:val="769"/>
    <w:link w:val="808"/>
    <w:uiPriority w:val="11"/>
    <w:qFormat/>
    <w:pPr>
      <w:spacing w:before="200" w:after="200"/>
    </w:pPr>
    <w:rPr>
      <w:sz w:val="24"/>
      <w:szCs w:val="24"/>
    </w:rPr>
  </w:style>
  <w:style w:type="character" w:styleId="808">
    <w:name w:val="Subtitle Char"/>
    <w:basedOn w:val="773"/>
    <w:next w:val="808"/>
    <w:link w:val="807"/>
    <w:uiPriority w:val="11"/>
    <w:rPr>
      <w:sz w:val="24"/>
      <w:szCs w:val="24"/>
    </w:rPr>
  </w:style>
  <w:style w:type="paragraph" w:styleId="809">
    <w:name w:val="脚注文本"/>
    <w:basedOn w:val="769"/>
    <w:next w:val="809"/>
    <w:link w:val="810"/>
    <w:uiPriority w:val="99"/>
    <w:unhideWhenUsed/>
    <w:pPr>
      <w:spacing w:after="40" w:line="240" w:lineRule="auto"/>
    </w:pPr>
    <w:rPr>
      <w:sz w:val="18"/>
    </w:rPr>
  </w:style>
  <w:style w:type="character" w:styleId="810">
    <w:name w:val="Footnote Text Char"/>
    <w:next w:val="810"/>
    <w:link w:val="809"/>
    <w:uiPriority w:val="99"/>
    <w:rPr>
      <w:sz w:val="18"/>
    </w:rPr>
  </w:style>
  <w:style w:type="paragraph" w:styleId="811">
    <w:name w:val="目录 6"/>
    <w:basedOn w:val="769"/>
    <w:next w:val="769"/>
    <w:link w:val="769"/>
    <w:qFormat/>
    <w:pPr>
      <w:ind w:left="2100"/>
    </w:pPr>
  </w:style>
  <w:style w:type="paragraph" w:styleId="812">
    <w:name w:val="正文文本缩进 3"/>
    <w:basedOn w:val="769"/>
    <w:next w:val="812"/>
    <w:link w:val="813"/>
    <w:qFormat/>
    <w:pPr>
      <w:ind w:left="720" w:firstLine="480"/>
      <w:jc w:val="left"/>
      <w:spacing w:before="120" w:line="22" w:lineRule="atLeast"/>
    </w:pPr>
    <w:rPr>
      <w:rFonts w:ascii="宋体"/>
      <w:sz w:val="24"/>
      <w:szCs w:val="20"/>
    </w:rPr>
  </w:style>
  <w:style w:type="character" w:styleId="813">
    <w:name w:val="正文文本缩进 3 字符"/>
    <w:next w:val="813"/>
    <w:link w:val="812"/>
    <w:qFormat/>
    <w:rPr>
      <w:rFonts w:ascii="宋体"/>
      <w:sz w:val="24"/>
    </w:rPr>
  </w:style>
  <w:style w:type="paragraph" w:styleId="814">
    <w:name w:val="图表目录"/>
    <w:basedOn w:val="769"/>
    <w:next w:val="769"/>
    <w:link w:val="769"/>
    <w:uiPriority w:val="99"/>
    <w:unhideWhenUsed/>
    <w:pPr>
      <w:spacing w:after="0" w:afterAutospacing="0"/>
    </w:pPr>
  </w:style>
  <w:style w:type="paragraph" w:styleId="815">
    <w:name w:val="目录 2"/>
    <w:basedOn w:val="769"/>
    <w:next w:val="769"/>
    <w:link w:val="769"/>
    <w:uiPriority w:val="39"/>
    <w:qFormat/>
    <w:pPr>
      <w:ind w:left="420"/>
      <w:spacing w:line="312" w:lineRule="auto"/>
      <w:tabs>
        <w:tab w:val="right" w:pos="8937" w:leader="dot"/>
      </w:tabs>
    </w:pPr>
  </w:style>
  <w:style w:type="paragraph" w:styleId="816">
    <w:name w:val="目录 9"/>
    <w:basedOn w:val="769"/>
    <w:next w:val="769"/>
    <w:link w:val="769"/>
    <w:qFormat/>
    <w:pPr>
      <w:ind w:left="3360"/>
    </w:pPr>
  </w:style>
  <w:style w:type="paragraph" w:styleId="817">
    <w:name w:val="HTML 预设格式"/>
    <w:basedOn w:val="769"/>
    <w:next w:val="817"/>
    <w:link w:val="8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18">
    <w:name w:val="HTML 预设格式 字符"/>
    <w:next w:val="818"/>
    <w:link w:val="817"/>
    <w:qFormat/>
    <w:rPr>
      <w:rFonts w:ascii="宋体" w:hAnsi="宋体" w:cs="宋体"/>
      <w:sz w:val="24"/>
      <w:szCs w:val="24"/>
    </w:rPr>
  </w:style>
  <w:style w:type="paragraph" w:styleId="819">
    <w:name w:val="普通(网站)"/>
    <w:basedOn w:val="769"/>
    <w:next w:val="819"/>
    <w:link w:val="769"/>
    <w:uiPriority w:val="99"/>
    <w:unhideWhenUsed/>
    <w:qFormat/>
    <w:pPr>
      <w:jc w:val="left"/>
      <w:spacing w:before="100" w:beforeAutospacing="1" w:after="100" w:afterAutospacing="1"/>
      <w:widowControl/>
    </w:pPr>
    <w:rPr>
      <w:rFonts w:ascii="宋体" w:hAnsi="宋体" w:cs="宋体"/>
      <w:sz w:val="24"/>
    </w:rPr>
  </w:style>
  <w:style w:type="paragraph" w:styleId="820">
    <w:name w:val="索引 1"/>
    <w:basedOn w:val="769"/>
    <w:next w:val="769"/>
    <w:link w:val="769"/>
    <w:qFormat/>
    <w:rPr>
      <w:szCs w:val="20"/>
    </w:rPr>
  </w:style>
  <w:style w:type="paragraph" w:styleId="821">
    <w:name w:val="标题"/>
    <w:basedOn w:val="769"/>
    <w:next w:val="821"/>
    <w:link w:val="822"/>
    <w:qFormat/>
    <w:pPr>
      <w:jc w:val="center"/>
      <w:outlineLvl w:val="0"/>
    </w:pPr>
    <w:rPr>
      <w:b/>
      <w:sz w:val="32"/>
      <w:szCs w:val="20"/>
    </w:rPr>
  </w:style>
  <w:style w:type="character" w:styleId="822">
    <w:name w:val="标题 字符"/>
    <w:next w:val="822"/>
    <w:link w:val="821"/>
    <w:qFormat/>
    <w:rPr>
      <w:b/>
      <w:sz w:val="32"/>
    </w:rPr>
  </w:style>
  <w:style w:type="paragraph" w:styleId="823">
    <w:name w:val="批注主题"/>
    <w:basedOn w:val="783"/>
    <w:next w:val="783"/>
    <w:link w:val="824"/>
    <w:qFormat/>
    <w:rPr>
      <w:b/>
      <w:bCs/>
    </w:rPr>
  </w:style>
  <w:style w:type="character" w:styleId="824">
    <w:name w:val="批注主题 字符"/>
    <w:next w:val="824"/>
    <w:link w:val="823"/>
    <w:qFormat/>
    <w:rPr>
      <w:rFonts w:ascii="Times New Roman" w:hAnsi="Times New Roman" w:eastAsia="宋体" w:cs="Times New Roman"/>
      <w:b/>
      <w:bCs/>
      <w:sz w:val="21"/>
      <w:szCs w:val="24"/>
      <w:lang w:val="en-US" w:eastAsia="zh-CN" w:bidi="ar-SA"/>
    </w:rPr>
  </w:style>
  <w:style w:type="paragraph" w:styleId="825">
    <w:name w:val="正文首行缩进 2"/>
    <w:basedOn w:val="787"/>
    <w:next w:val="825"/>
    <w:link w:val="826"/>
    <w:qFormat/>
    <w:pPr>
      <w:ind w:left="420" w:firstLine="420"/>
      <w:spacing w:after="120" w:line="480" w:lineRule="exact"/>
    </w:pPr>
    <w:rPr>
      <w:szCs w:val="20"/>
    </w:rPr>
  </w:style>
  <w:style w:type="character" w:styleId="826">
    <w:name w:val="正文文本首行缩进 2 字符"/>
    <w:next w:val="826"/>
    <w:link w:val="825"/>
    <w:qFormat/>
    <w:rPr>
      <w:rFonts w:eastAsia="宋体"/>
      <w:sz w:val="24"/>
      <w:szCs w:val="24"/>
      <w:lang w:val="en-US" w:eastAsia="zh-CN" w:bidi="ar-SA"/>
    </w:rPr>
  </w:style>
  <w:style w:type="table" w:styleId="827">
    <w:name w:val="网格型"/>
    <w:basedOn w:val="774"/>
    <w:next w:val="827"/>
    <w:link w:val="769"/>
    <w:uiPriority w:val="39"/>
    <w:qFormat/>
    <w:tblPr/>
  </w:style>
  <w:style w:type="table" w:styleId="828">
    <w:name w:val="中等深浅网格 1 - 强调文字颜色 2"/>
    <w:basedOn w:val="774"/>
    <w:next w:val="828"/>
    <w:link w:val="769"/>
    <w:qFormat/>
    <w:rPr>
      <w:sz w:val="21"/>
      <w:szCs w:val="24"/>
    </w:rPr>
    <w:tblPr/>
  </w:style>
  <w:style w:type="character" w:styleId="829">
    <w:name w:val="要点"/>
    <w:basedOn w:val="773"/>
    <w:next w:val="829"/>
    <w:link w:val="769"/>
    <w:qFormat/>
    <w:rPr>
      <w:b/>
      <w:bCs/>
    </w:rPr>
  </w:style>
  <w:style w:type="character" w:styleId="830">
    <w:name w:val="尾注引用"/>
    <w:basedOn w:val="773"/>
    <w:next w:val="830"/>
    <w:link w:val="769"/>
    <w:uiPriority w:val="99"/>
    <w:unhideWhenUsed/>
    <w:rPr>
      <w:vertAlign w:val="superscript"/>
    </w:rPr>
  </w:style>
  <w:style w:type="character" w:styleId="831">
    <w:name w:val="页码"/>
    <w:next w:val="831"/>
    <w:link w:val="769"/>
    <w:qFormat/>
  </w:style>
  <w:style w:type="character" w:styleId="832">
    <w:name w:val="已访问的超链接"/>
    <w:next w:val="832"/>
    <w:link w:val="769"/>
    <w:qFormat/>
    <w:rPr>
      <w:color w:val="555555"/>
      <w:u w:val="none"/>
    </w:rPr>
  </w:style>
  <w:style w:type="character" w:styleId="833">
    <w:name w:val="强调"/>
    <w:next w:val="833"/>
    <w:link w:val="769"/>
    <w:uiPriority w:val="20"/>
    <w:qFormat/>
    <w:rPr>
      <w:color w:val="cc0033"/>
    </w:rPr>
  </w:style>
  <w:style w:type="character" w:styleId="834">
    <w:name w:val="超链接"/>
    <w:next w:val="834"/>
    <w:link w:val="769"/>
    <w:uiPriority w:val="99"/>
    <w:qFormat/>
    <w:rPr>
      <w:color w:val="555555"/>
      <w:u w:val="none"/>
    </w:rPr>
  </w:style>
  <w:style w:type="character" w:styleId="835">
    <w:name w:val="批注引用"/>
    <w:next w:val="835"/>
    <w:link w:val="769"/>
    <w:uiPriority w:val="99"/>
    <w:qFormat/>
    <w:rPr>
      <w:sz w:val="21"/>
      <w:szCs w:val="21"/>
    </w:rPr>
  </w:style>
  <w:style w:type="character" w:styleId="836">
    <w:name w:val="HTML 引文"/>
    <w:next w:val="836"/>
    <w:link w:val="769"/>
    <w:qFormat/>
    <w:rPr>
      <w:i/>
      <w:iCs/>
    </w:rPr>
  </w:style>
  <w:style w:type="character" w:styleId="837">
    <w:name w:val="脚注引用"/>
    <w:basedOn w:val="773"/>
    <w:next w:val="837"/>
    <w:link w:val="769"/>
    <w:uiPriority w:val="99"/>
    <w:unhideWhenUsed/>
    <w:rPr>
      <w:vertAlign w:val="superscript"/>
    </w:rPr>
  </w:style>
  <w:style w:type="paragraph" w:styleId="838">
    <w:name w:val="_Style 3"/>
    <w:next w:val="838"/>
    <w:link w:val="769"/>
    <w:uiPriority w:val="1"/>
    <w:qFormat/>
    <w:pPr>
      <w:jc w:val="both"/>
      <w:widowControl w:val="off"/>
    </w:pPr>
    <w:rPr>
      <w:rFonts w:ascii="Times New Roman" w:hAnsi="Times New Roman" w:eastAsia="宋体" w:cs="Times New Roman"/>
      <w:sz w:val="21"/>
      <w:szCs w:val="22"/>
      <w:lang w:val="en-US" w:eastAsia="zh-CN" w:bidi="ar-SA"/>
    </w:rPr>
  </w:style>
  <w:style w:type="character" w:styleId="839">
    <w:name w:val="pt-a0-000005"/>
    <w:next w:val="839"/>
    <w:link w:val="769"/>
    <w:qFormat/>
  </w:style>
  <w:style w:type="character" w:styleId="840">
    <w:name w:val="Heading 1 Char"/>
    <w:basedOn w:val="773"/>
    <w:next w:val="840"/>
    <w:link w:val="769"/>
    <w:uiPriority w:val="9"/>
    <w:rPr>
      <w:rFonts w:ascii="Arial" w:hAnsi="Arial" w:eastAsia="Arial" w:cs="Arial"/>
      <w:sz w:val="40"/>
      <w:szCs w:val="40"/>
    </w:rPr>
  </w:style>
  <w:style w:type="character" w:styleId="841">
    <w:name w:val="Heading 2 Char"/>
    <w:basedOn w:val="773"/>
    <w:next w:val="841"/>
    <w:link w:val="769"/>
    <w:uiPriority w:val="9"/>
    <w:rPr>
      <w:rFonts w:ascii="Arial" w:hAnsi="Arial" w:eastAsia="Arial" w:cs="Arial"/>
      <w:sz w:val="34"/>
    </w:rPr>
  </w:style>
  <w:style w:type="character" w:styleId="842">
    <w:name w:val="Heading 3 Char"/>
    <w:basedOn w:val="773"/>
    <w:next w:val="842"/>
    <w:link w:val="769"/>
    <w:uiPriority w:val="9"/>
    <w:rPr>
      <w:rFonts w:ascii="Arial" w:hAnsi="Arial" w:eastAsia="Arial" w:cs="Arial"/>
      <w:sz w:val="30"/>
      <w:szCs w:val="30"/>
    </w:rPr>
  </w:style>
  <w:style w:type="character" w:styleId="843">
    <w:name w:val="Heading 4 Char"/>
    <w:basedOn w:val="773"/>
    <w:next w:val="843"/>
    <w:link w:val="769"/>
    <w:uiPriority w:val="9"/>
    <w:rPr>
      <w:rFonts w:ascii="Arial" w:hAnsi="Arial" w:eastAsia="Arial" w:cs="Arial"/>
      <w:b/>
      <w:bCs/>
      <w:sz w:val="26"/>
      <w:szCs w:val="26"/>
    </w:rPr>
  </w:style>
  <w:style w:type="character" w:styleId="844">
    <w:name w:val="Heading 5 Char"/>
    <w:basedOn w:val="773"/>
    <w:next w:val="844"/>
    <w:link w:val="769"/>
    <w:uiPriority w:val="9"/>
    <w:rPr>
      <w:rFonts w:ascii="Arial" w:hAnsi="Arial" w:eastAsia="Arial" w:cs="Arial"/>
      <w:b/>
      <w:bCs/>
      <w:sz w:val="24"/>
      <w:szCs w:val="24"/>
    </w:rPr>
  </w:style>
  <w:style w:type="character" w:styleId="845">
    <w:name w:val="Heading 6 Char"/>
    <w:basedOn w:val="773"/>
    <w:next w:val="845"/>
    <w:link w:val="769"/>
    <w:uiPriority w:val="9"/>
    <w:rPr>
      <w:rFonts w:ascii="Arial" w:hAnsi="Arial" w:eastAsia="Arial" w:cs="Arial"/>
      <w:b/>
      <w:bCs/>
      <w:sz w:val="22"/>
      <w:szCs w:val="22"/>
    </w:rPr>
  </w:style>
  <w:style w:type="character" w:styleId="846">
    <w:name w:val="Heading 7 Char"/>
    <w:basedOn w:val="773"/>
    <w:next w:val="846"/>
    <w:link w:val="769"/>
    <w:uiPriority w:val="9"/>
    <w:rPr>
      <w:rFonts w:ascii="Arial" w:hAnsi="Arial" w:eastAsia="Arial" w:cs="Arial"/>
      <w:b/>
      <w:bCs/>
      <w:i/>
      <w:iCs/>
      <w:sz w:val="22"/>
      <w:szCs w:val="22"/>
    </w:rPr>
  </w:style>
  <w:style w:type="character" w:styleId="847">
    <w:name w:val="Heading 8 Char"/>
    <w:basedOn w:val="773"/>
    <w:next w:val="847"/>
    <w:link w:val="769"/>
    <w:uiPriority w:val="9"/>
    <w:rPr>
      <w:rFonts w:ascii="Arial" w:hAnsi="Arial" w:eastAsia="Arial" w:cs="Arial"/>
      <w:i/>
      <w:iCs/>
      <w:sz w:val="22"/>
      <w:szCs w:val="22"/>
    </w:rPr>
  </w:style>
  <w:style w:type="character" w:styleId="848">
    <w:name w:val="Heading 9 Char"/>
    <w:basedOn w:val="773"/>
    <w:next w:val="848"/>
    <w:link w:val="769"/>
    <w:uiPriority w:val="9"/>
    <w:rPr>
      <w:rFonts w:ascii="Arial" w:hAnsi="Arial" w:eastAsia="Arial" w:cs="Arial"/>
      <w:i/>
      <w:iCs/>
      <w:sz w:val="21"/>
      <w:szCs w:val="21"/>
    </w:rPr>
  </w:style>
  <w:style w:type="character" w:styleId="849">
    <w:name w:val="Title Char"/>
    <w:basedOn w:val="773"/>
    <w:next w:val="849"/>
    <w:link w:val="769"/>
    <w:uiPriority w:val="10"/>
    <w:rPr>
      <w:sz w:val="48"/>
      <w:szCs w:val="48"/>
    </w:rPr>
  </w:style>
  <w:style w:type="paragraph" w:styleId="850">
    <w:name w:val="Quote"/>
    <w:basedOn w:val="769"/>
    <w:next w:val="769"/>
    <w:link w:val="851"/>
    <w:uiPriority w:val="29"/>
    <w:qFormat/>
    <w:pPr>
      <w:ind w:left="720" w:right="720"/>
    </w:pPr>
    <w:rPr>
      <w:i/>
    </w:rPr>
  </w:style>
  <w:style w:type="character" w:styleId="851">
    <w:name w:val="Quote Char"/>
    <w:next w:val="851"/>
    <w:link w:val="850"/>
    <w:uiPriority w:val="29"/>
    <w:rPr>
      <w:i/>
    </w:rPr>
  </w:style>
  <w:style w:type="paragraph" w:styleId="852">
    <w:name w:val="Intense Quote"/>
    <w:basedOn w:val="769"/>
    <w:next w:val="769"/>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next w:val="853"/>
    <w:link w:val="852"/>
    <w:uiPriority w:val="30"/>
    <w:rPr>
      <w:i/>
    </w:rPr>
  </w:style>
  <w:style w:type="character" w:styleId="854">
    <w:name w:val="Header Char"/>
    <w:basedOn w:val="773"/>
    <w:next w:val="854"/>
    <w:link w:val="769"/>
    <w:uiPriority w:val="99"/>
  </w:style>
  <w:style w:type="character" w:styleId="855">
    <w:name w:val="Footer Char"/>
    <w:basedOn w:val="773"/>
    <w:next w:val="855"/>
    <w:link w:val="769"/>
    <w:uiPriority w:val="99"/>
  </w:style>
  <w:style w:type="character" w:styleId="856">
    <w:name w:val="Caption Char"/>
    <w:next w:val="856"/>
    <w:link w:val="769"/>
    <w:uiPriority w:val="99"/>
  </w:style>
  <w:style w:type="table" w:styleId="857">
    <w:name w:val="Table Grid Light"/>
    <w:basedOn w:val="774"/>
    <w:next w:val="857"/>
    <w:link w:val="769"/>
    <w:uiPriority w:val="59"/>
    <w:pPr>
      <w:spacing w:after="0" w:line="240" w:lineRule="auto"/>
    </w:pPr>
    <w:tblPr/>
  </w:style>
  <w:style w:type="table" w:styleId="858">
    <w:name w:val="Plain Table 1"/>
    <w:basedOn w:val="774"/>
    <w:next w:val="858"/>
    <w:link w:val="769"/>
    <w:uiPriority w:val="59"/>
    <w:pPr>
      <w:spacing w:after="0" w:line="240" w:lineRule="auto"/>
    </w:pPr>
    <w:tblPr/>
  </w:style>
  <w:style w:type="table" w:styleId="859">
    <w:name w:val="Plain Table 2"/>
    <w:basedOn w:val="774"/>
    <w:next w:val="859"/>
    <w:link w:val="769"/>
    <w:uiPriority w:val="59"/>
    <w:pPr>
      <w:spacing w:after="0" w:line="240" w:lineRule="auto"/>
    </w:pPr>
    <w:tblPr/>
  </w:style>
  <w:style w:type="table" w:styleId="860">
    <w:name w:val="Plain Table 3"/>
    <w:basedOn w:val="774"/>
    <w:next w:val="860"/>
    <w:link w:val="769"/>
    <w:uiPriority w:val="99"/>
    <w:pPr>
      <w:spacing w:after="0" w:line="240" w:lineRule="auto"/>
    </w:pPr>
    <w:tblPr/>
  </w:style>
  <w:style w:type="table" w:styleId="861">
    <w:name w:val="Plain Table 4"/>
    <w:basedOn w:val="774"/>
    <w:next w:val="861"/>
    <w:link w:val="769"/>
    <w:uiPriority w:val="99"/>
    <w:pPr>
      <w:spacing w:after="0" w:line="240" w:lineRule="auto"/>
    </w:pPr>
    <w:tblPr/>
  </w:style>
  <w:style w:type="table" w:styleId="862">
    <w:name w:val="Plain Table 5"/>
    <w:basedOn w:val="774"/>
    <w:next w:val="862"/>
    <w:link w:val="769"/>
    <w:uiPriority w:val="99"/>
    <w:pPr>
      <w:spacing w:after="0" w:line="240" w:lineRule="auto"/>
    </w:pPr>
    <w:tblPr/>
  </w:style>
  <w:style w:type="table" w:styleId="863">
    <w:name w:val="Grid Table 1 Light"/>
    <w:basedOn w:val="774"/>
    <w:next w:val="863"/>
    <w:link w:val="769"/>
    <w:uiPriority w:val="99"/>
    <w:pPr>
      <w:spacing w:after="0" w:line="240" w:lineRule="auto"/>
    </w:pPr>
    <w:tblPr/>
  </w:style>
  <w:style w:type="table" w:styleId="864">
    <w:name w:val="Grid Table 1 Light - Accent 1"/>
    <w:basedOn w:val="774"/>
    <w:next w:val="864"/>
    <w:link w:val="769"/>
    <w:uiPriority w:val="99"/>
    <w:pPr>
      <w:spacing w:after="0" w:line="240" w:lineRule="auto"/>
    </w:pPr>
    <w:tblPr/>
  </w:style>
  <w:style w:type="table" w:styleId="865">
    <w:name w:val="Grid Table 1 Light - Accent 2"/>
    <w:basedOn w:val="774"/>
    <w:next w:val="865"/>
    <w:link w:val="769"/>
    <w:uiPriority w:val="99"/>
    <w:pPr>
      <w:spacing w:after="0" w:line="240" w:lineRule="auto"/>
    </w:pPr>
    <w:tblPr/>
  </w:style>
  <w:style w:type="table" w:styleId="866">
    <w:name w:val="Grid Table 1 Light - Accent 3"/>
    <w:basedOn w:val="774"/>
    <w:next w:val="866"/>
    <w:link w:val="769"/>
    <w:uiPriority w:val="99"/>
    <w:pPr>
      <w:spacing w:after="0" w:line="240" w:lineRule="auto"/>
    </w:pPr>
    <w:tblPr/>
  </w:style>
  <w:style w:type="table" w:styleId="867">
    <w:name w:val="Grid Table 1 Light - Accent 4"/>
    <w:basedOn w:val="774"/>
    <w:next w:val="867"/>
    <w:link w:val="769"/>
    <w:uiPriority w:val="99"/>
    <w:pPr>
      <w:spacing w:after="0" w:line="240" w:lineRule="auto"/>
    </w:pPr>
    <w:tblPr/>
  </w:style>
  <w:style w:type="table" w:styleId="868">
    <w:name w:val="Grid Table 1 Light - Accent 5"/>
    <w:basedOn w:val="774"/>
    <w:next w:val="868"/>
    <w:link w:val="769"/>
    <w:uiPriority w:val="99"/>
    <w:pPr>
      <w:spacing w:after="0" w:line="240" w:lineRule="auto"/>
    </w:pPr>
    <w:tblPr/>
  </w:style>
  <w:style w:type="table" w:styleId="869">
    <w:name w:val="Grid Table 1 Light - Accent 6"/>
    <w:basedOn w:val="774"/>
    <w:next w:val="869"/>
    <w:link w:val="769"/>
    <w:uiPriority w:val="99"/>
    <w:pPr>
      <w:spacing w:after="0" w:line="240" w:lineRule="auto"/>
    </w:pPr>
    <w:tblPr/>
  </w:style>
  <w:style w:type="table" w:styleId="870">
    <w:name w:val="Grid Table 2"/>
    <w:basedOn w:val="774"/>
    <w:next w:val="870"/>
    <w:link w:val="769"/>
    <w:uiPriority w:val="99"/>
    <w:pPr>
      <w:spacing w:after="0" w:line="240" w:lineRule="auto"/>
    </w:pPr>
    <w:tblPr/>
  </w:style>
  <w:style w:type="table" w:styleId="871">
    <w:name w:val="Grid Table 2 - Accent 1"/>
    <w:basedOn w:val="774"/>
    <w:next w:val="871"/>
    <w:link w:val="769"/>
    <w:uiPriority w:val="99"/>
    <w:pPr>
      <w:spacing w:after="0" w:line="240" w:lineRule="auto"/>
    </w:pPr>
    <w:tblPr/>
  </w:style>
  <w:style w:type="table" w:styleId="872">
    <w:name w:val="Grid Table 2 - Accent 2"/>
    <w:basedOn w:val="774"/>
    <w:next w:val="872"/>
    <w:link w:val="769"/>
    <w:uiPriority w:val="99"/>
    <w:pPr>
      <w:spacing w:after="0" w:line="240" w:lineRule="auto"/>
    </w:pPr>
    <w:tblPr/>
  </w:style>
  <w:style w:type="table" w:styleId="873">
    <w:name w:val="Grid Table 2 - Accent 3"/>
    <w:basedOn w:val="774"/>
    <w:next w:val="873"/>
    <w:link w:val="769"/>
    <w:uiPriority w:val="99"/>
    <w:pPr>
      <w:spacing w:after="0" w:line="240" w:lineRule="auto"/>
    </w:pPr>
    <w:tblPr/>
  </w:style>
  <w:style w:type="table" w:styleId="874">
    <w:name w:val="Grid Table 2 - Accent 4"/>
    <w:basedOn w:val="774"/>
    <w:next w:val="874"/>
    <w:link w:val="769"/>
    <w:uiPriority w:val="99"/>
    <w:pPr>
      <w:spacing w:after="0" w:line="240" w:lineRule="auto"/>
    </w:pPr>
    <w:tblPr/>
  </w:style>
  <w:style w:type="table" w:styleId="875">
    <w:name w:val="Grid Table 2 - Accent 5"/>
    <w:basedOn w:val="774"/>
    <w:next w:val="875"/>
    <w:link w:val="769"/>
    <w:uiPriority w:val="99"/>
    <w:pPr>
      <w:spacing w:after="0" w:line="240" w:lineRule="auto"/>
    </w:pPr>
    <w:tblPr/>
  </w:style>
  <w:style w:type="table" w:styleId="876">
    <w:name w:val="Grid Table 2 - Accent 6"/>
    <w:basedOn w:val="774"/>
    <w:next w:val="876"/>
    <w:link w:val="769"/>
    <w:uiPriority w:val="99"/>
    <w:pPr>
      <w:spacing w:after="0" w:line="240" w:lineRule="auto"/>
    </w:pPr>
    <w:tblPr/>
  </w:style>
  <w:style w:type="table" w:styleId="877">
    <w:name w:val="Grid Table 3"/>
    <w:basedOn w:val="774"/>
    <w:next w:val="877"/>
    <w:link w:val="769"/>
    <w:uiPriority w:val="99"/>
    <w:pPr>
      <w:spacing w:after="0" w:line="240" w:lineRule="auto"/>
    </w:pPr>
    <w:tblPr/>
  </w:style>
  <w:style w:type="table" w:styleId="878">
    <w:name w:val="Grid Table 3 - Accent 1"/>
    <w:basedOn w:val="774"/>
    <w:next w:val="878"/>
    <w:link w:val="769"/>
    <w:uiPriority w:val="99"/>
    <w:pPr>
      <w:spacing w:after="0" w:line="240" w:lineRule="auto"/>
    </w:pPr>
    <w:tblPr/>
  </w:style>
  <w:style w:type="table" w:styleId="879">
    <w:name w:val="Grid Table 3 - Accent 2"/>
    <w:basedOn w:val="774"/>
    <w:next w:val="879"/>
    <w:link w:val="769"/>
    <w:uiPriority w:val="99"/>
    <w:pPr>
      <w:spacing w:after="0" w:line="240" w:lineRule="auto"/>
    </w:pPr>
    <w:tblPr/>
  </w:style>
  <w:style w:type="table" w:styleId="880">
    <w:name w:val="Grid Table 3 - Accent 3"/>
    <w:basedOn w:val="774"/>
    <w:next w:val="880"/>
    <w:link w:val="769"/>
    <w:uiPriority w:val="99"/>
    <w:pPr>
      <w:spacing w:after="0" w:line="240" w:lineRule="auto"/>
    </w:pPr>
    <w:tblPr/>
  </w:style>
  <w:style w:type="table" w:styleId="881">
    <w:name w:val="Grid Table 3 - Accent 4"/>
    <w:basedOn w:val="774"/>
    <w:next w:val="881"/>
    <w:link w:val="769"/>
    <w:uiPriority w:val="99"/>
    <w:pPr>
      <w:spacing w:after="0" w:line="240" w:lineRule="auto"/>
    </w:pPr>
    <w:tblPr/>
  </w:style>
  <w:style w:type="table" w:styleId="882">
    <w:name w:val="Grid Table 3 - Accent 5"/>
    <w:basedOn w:val="774"/>
    <w:next w:val="882"/>
    <w:link w:val="769"/>
    <w:uiPriority w:val="99"/>
    <w:pPr>
      <w:spacing w:after="0" w:line="240" w:lineRule="auto"/>
    </w:pPr>
    <w:tblPr/>
  </w:style>
  <w:style w:type="table" w:styleId="883">
    <w:name w:val="Grid Table 3 - Accent 6"/>
    <w:basedOn w:val="774"/>
    <w:next w:val="883"/>
    <w:link w:val="769"/>
    <w:uiPriority w:val="99"/>
    <w:pPr>
      <w:spacing w:after="0" w:line="240" w:lineRule="auto"/>
    </w:pPr>
    <w:tblPr/>
  </w:style>
  <w:style w:type="table" w:styleId="884">
    <w:name w:val="Grid Table 4"/>
    <w:basedOn w:val="774"/>
    <w:next w:val="884"/>
    <w:link w:val="769"/>
    <w:uiPriority w:val="59"/>
    <w:pPr>
      <w:spacing w:after="0" w:line="240" w:lineRule="auto"/>
    </w:pPr>
    <w:tblPr/>
  </w:style>
  <w:style w:type="table" w:styleId="885">
    <w:name w:val="Grid Table 4 - Accent 1"/>
    <w:basedOn w:val="774"/>
    <w:next w:val="885"/>
    <w:link w:val="769"/>
    <w:uiPriority w:val="59"/>
    <w:pPr>
      <w:spacing w:after="0" w:line="240" w:lineRule="auto"/>
    </w:pPr>
    <w:tblPr/>
  </w:style>
  <w:style w:type="table" w:styleId="886">
    <w:name w:val="Grid Table 4 - Accent 2"/>
    <w:basedOn w:val="774"/>
    <w:next w:val="886"/>
    <w:link w:val="769"/>
    <w:uiPriority w:val="59"/>
    <w:pPr>
      <w:spacing w:after="0" w:line="240" w:lineRule="auto"/>
    </w:pPr>
    <w:tblPr/>
  </w:style>
  <w:style w:type="table" w:styleId="887">
    <w:name w:val="Grid Table 4 - Accent 3"/>
    <w:basedOn w:val="774"/>
    <w:next w:val="887"/>
    <w:link w:val="769"/>
    <w:uiPriority w:val="59"/>
    <w:pPr>
      <w:spacing w:after="0" w:line="240" w:lineRule="auto"/>
    </w:pPr>
    <w:tblPr/>
  </w:style>
  <w:style w:type="table" w:styleId="888">
    <w:name w:val="Grid Table 4 - Accent 4"/>
    <w:basedOn w:val="774"/>
    <w:next w:val="888"/>
    <w:link w:val="769"/>
    <w:uiPriority w:val="59"/>
    <w:pPr>
      <w:spacing w:after="0" w:line="240" w:lineRule="auto"/>
    </w:pPr>
    <w:tblPr/>
  </w:style>
  <w:style w:type="table" w:styleId="889">
    <w:name w:val="Grid Table 4 - Accent 5"/>
    <w:basedOn w:val="774"/>
    <w:next w:val="889"/>
    <w:link w:val="769"/>
    <w:uiPriority w:val="59"/>
    <w:pPr>
      <w:spacing w:after="0" w:line="240" w:lineRule="auto"/>
    </w:pPr>
    <w:tblPr/>
  </w:style>
  <w:style w:type="table" w:styleId="890">
    <w:name w:val="Grid Table 4 - Accent 6"/>
    <w:basedOn w:val="774"/>
    <w:next w:val="890"/>
    <w:link w:val="769"/>
    <w:uiPriority w:val="59"/>
    <w:pPr>
      <w:spacing w:after="0" w:line="240" w:lineRule="auto"/>
    </w:pPr>
    <w:tblPr/>
  </w:style>
  <w:style w:type="table" w:styleId="891">
    <w:name w:val="Grid Table 5 Dark"/>
    <w:basedOn w:val="774"/>
    <w:next w:val="891"/>
    <w:link w:val="769"/>
    <w:uiPriority w:val="99"/>
    <w:pPr>
      <w:spacing w:after="0" w:line="240" w:lineRule="auto"/>
    </w:pPr>
    <w:tblPr/>
  </w:style>
  <w:style w:type="table" w:styleId="892">
    <w:name w:val="Grid Table 5 Dark- Accent 1"/>
    <w:basedOn w:val="774"/>
    <w:next w:val="892"/>
    <w:link w:val="769"/>
    <w:uiPriority w:val="99"/>
    <w:pPr>
      <w:spacing w:after="0" w:line="240" w:lineRule="auto"/>
    </w:pPr>
    <w:tblPr/>
  </w:style>
  <w:style w:type="table" w:styleId="893">
    <w:name w:val="Grid Table 5 Dark - Accent 2"/>
    <w:basedOn w:val="774"/>
    <w:next w:val="893"/>
    <w:link w:val="769"/>
    <w:uiPriority w:val="99"/>
    <w:pPr>
      <w:spacing w:after="0" w:line="240" w:lineRule="auto"/>
    </w:pPr>
    <w:tblPr/>
  </w:style>
  <w:style w:type="table" w:styleId="894">
    <w:name w:val="Grid Table 5 Dark - Accent 3"/>
    <w:basedOn w:val="774"/>
    <w:next w:val="894"/>
    <w:link w:val="769"/>
    <w:uiPriority w:val="99"/>
    <w:pPr>
      <w:spacing w:after="0" w:line="240" w:lineRule="auto"/>
    </w:pPr>
    <w:tblPr/>
  </w:style>
  <w:style w:type="table" w:styleId="895">
    <w:name w:val="Grid Table 5 Dark- Accent 4"/>
    <w:basedOn w:val="774"/>
    <w:next w:val="895"/>
    <w:link w:val="769"/>
    <w:uiPriority w:val="99"/>
    <w:pPr>
      <w:spacing w:after="0" w:line="240" w:lineRule="auto"/>
    </w:pPr>
    <w:tblPr/>
  </w:style>
  <w:style w:type="table" w:styleId="896">
    <w:name w:val="Grid Table 5 Dark - Accent 5"/>
    <w:basedOn w:val="774"/>
    <w:next w:val="896"/>
    <w:link w:val="769"/>
    <w:uiPriority w:val="99"/>
    <w:pPr>
      <w:spacing w:after="0" w:line="240" w:lineRule="auto"/>
    </w:pPr>
    <w:tblPr/>
  </w:style>
  <w:style w:type="table" w:styleId="897">
    <w:name w:val="Grid Table 5 Dark - Accent 6"/>
    <w:basedOn w:val="774"/>
    <w:next w:val="897"/>
    <w:link w:val="769"/>
    <w:uiPriority w:val="99"/>
    <w:pPr>
      <w:spacing w:after="0" w:line="240" w:lineRule="auto"/>
    </w:pPr>
    <w:tblPr/>
  </w:style>
  <w:style w:type="table" w:styleId="898">
    <w:name w:val="Grid Table 6 Colorful"/>
    <w:basedOn w:val="774"/>
    <w:next w:val="898"/>
    <w:link w:val="769"/>
    <w:uiPriority w:val="99"/>
    <w:pPr>
      <w:spacing w:after="0" w:line="240" w:lineRule="auto"/>
    </w:pPr>
    <w:tblPr/>
  </w:style>
  <w:style w:type="table" w:styleId="899">
    <w:name w:val="Grid Table 6 Colorful - Accent 1"/>
    <w:basedOn w:val="774"/>
    <w:next w:val="899"/>
    <w:link w:val="769"/>
    <w:uiPriority w:val="99"/>
    <w:pPr>
      <w:spacing w:after="0" w:line="240" w:lineRule="auto"/>
    </w:pPr>
    <w:tblPr/>
  </w:style>
  <w:style w:type="table" w:styleId="900">
    <w:name w:val="Grid Table 6 Colorful - Accent 2"/>
    <w:basedOn w:val="774"/>
    <w:next w:val="900"/>
    <w:link w:val="769"/>
    <w:uiPriority w:val="99"/>
    <w:pPr>
      <w:spacing w:after="0" w:line="240" w:lineRule="auto"/>
    </w:pPr>
    <w:tblPr/>
  </w:style>
  <w:style w:type="table" w:styleId="901">
    <w:name w:val="Grid Table 6 Colorful - Accent 3"/>
    <w:basedOn w:val="774"/>
    <w:next w:val="901"/>
    <w:link w:val="769"/>
    <w:uiPriority w:val="99"/>
    <w:pPr>
      <w:spacing w:after="0" w:line="240" w:lineRule="auto"/>
    </w:pPr>
    <w:tblPr/>
  </w:style>
  <w:style w:type="table" w:styleId="902">
    <w:name w:val="Grid Table 6 Colorful - Accent 4"/>
    <w:basedOn w:val="774"/>
    <w:next w:val="902"/>
    <w:link w:val="769"/>
    <w:uiPriority w:val="99"/>
    <w:pPr>
      <w:spacing w:after="0" w:line="240" w:lineRule="auto"/>
    </w:pPr>
    <w:tblPr/>
  </w:style>
  <w:style w:type="table" w:styleId="903">
    <w:name w:val="Grid Table 6 Colorful - Accent 5"/>
    <w:basedOn w:val="774"/>
    <w:next w:val="903"/>
    <w:link w:val="769"/>
    <w:uiPriority w:val="99"/>
    <w:pPr>
      <w:spacing w:after="0" w:line="240" w:lineRule="auto"/>
    </w:pPr>
    <w:tblPr/>
  </w:style>
  <w:style w:type="table" w:styleId="904">
    <w:name w:val="Grid Table 6 Colorful - Accent 6"/>
    <w:basedOn w:val="774"/>
    <w:next w:val="904"/>
    <w:link w:val="769"/>
    <w:uiPriority w:val="99"/>
    <w:pPr>
      <w:spacing w:after="0" w:line="240" w:lineRule="auto"/>
    </w:pPr>
    <w:tblPr/>
  </w:style>
  <w:style w:type="table" w:styleId="905">
    <w:name w:val="Grid Table 7 Colorful"/>
    <w:basedOn w:val="774"/>
    <w:next w:val="905"/>
    <w:link w:val="769"/>
    <w:uiPriority w:val="99"/>
    <w:pPr>
      <w:spacing w:after="0" w:line="240" w:lineRule="auto"/>
    </w:pPr>
    <w:tblPr/>
  </w:style>
  <w:style w:type="table" w:styleId="906">
    <w:name w:val="Grid Table 7 Colorful - Accent 1"/>
    <w:basedOn w:val="774"/>
    <w:next w:val="906"/>
    <w:link w:val="769"/>
    <w:uiPriority w:val="99"/>
    <w:pPr>
      <w:spacing w:after="0" w:line="240" w:lineRule="auto"/>
    </w:pPr>
    <w:tblPr/>
  </w:style>
  <w:style w:type="table" w:styleId="907">
    <w:name w:val="Grid Table 7 Colorful - Accent 2"/>
    <w:basedOn w:val="774"/>
    <w:next w:val="907"/>
    <w:link w:val="769"/>
    <w:uiPriority w:val="99"/>
    <w:pPr>
      <w:spacing w:after="0" w:line="240" w:lineRule="auto"/>
    </w:pPr>
    <w:tblPr/>
  </w:style>
  <w:style w:type="table" w:styleId="908">
    <w:name w:val="Grid Table 7 Colorful - Accent 3"/>
    <w:basedOn w:val="774"/>
    <w:next w:val="908"/>
    <w:link w:val="769"/>
    <w:uiPriority w:val="99"/>
    <w:pPr>
      <w:spacing w:after="0" w:line="240" w:lineRule="auto"/>
    </w:pPr>
    <w:tblPr/>
  </w:style>
  <w:style w:type="table" w:styleId="909">
    <w:name w:val="Grid Table 7 Colorful - Accent 4"/>
    <w:basedOn w:val="774"/>
    <w:next w:val="909"/>
    <w:link w:val="769"/>
    <w:uiPriority w:val="99"/>
    <w:pPr>
      <w:spacing w:after="0" w:line="240" w:lineRule="auto"/>
    </w:pPr>
    <w:tblPr/>
  </w:style>
  <w:style w:type="table" w:styleId="910">
    <w:name w:val="Grid Table 7 Colorful - Accent 5"/>
    <w:basedOn w:val="774"/>
    <w:next w:val="910"/>
    <w:link w:val="769"/>
    <w:uiPriority w:val="99"/>
    <w:pPr>
      <w:spacing w:after="0" w:line="240" w:lineRule="auto"/>
    </w:pPr>
    <w:tblPr/>
  </w:style>
  <w:style w:type="table" w:styleId="911">
    <w:name w:val="Grid Table 7 Colorful - Accent 6"/>
    <w:basedOn w:val="774"/>
    <w:next w:val="911"/>
    <w:link w:val="769"/>
    <w:uiPriority w:val="99"/>
    <w:pPr>
      <w:spacing w:after="0" w:line="240" w:lineRule="auto"/>
    </w:pPr>
    <w:tblPr/>
  </w:style>
  <w:style w:type="table" w:styleId="912">
    <w:name w:val="List Table 1 Light"/>
    <w:basedOn w:val="774"/>
    <w:next w:val="912"/>
    <w:link w:val="769"/>
    <w:uiPriority w:val="99"/>
    <w:pPr>
      <w:spacing w:after="0" w:line="240" w:lineRule="auto"/>
    </w:pPr>
    <w:tblPr/>
  </w:style>
  <w:style w:type="table" w:styleId="913">
    <w:name w:val="List Table 1 Light - Accent 1"/>
    <w:basedOn w:val="774"/>
    <w:next w:val="913"/>
    <w:link w:val="769"/>
    <w:uiPriority w:val="99"/>
    <w:pPr>
      <w:spacing w:after="0" w:line="240" w:lineRule="auto"/>
    </w:pPr>
    <w:tblPr/>
  </w:style>
  <w:style w:type="table" w:styleId="914">
    <w:name w:val="List Table 1 Light - Accent 2"/>
    <w:basedOn w:val="774"/>
    <w:next w:val="914"/>
    <w:link w:val="769"/>
    <w:uiPriority w:val="99"/>
    <w:pPr>
      <w:spacing w:after="0" w:line="240" w:lineRule="auto"/>
    </w:pPr>
    <w:tblPr/>
  </w:style>
  <w:style w:type="table" w:styleId="915">
    <w:name w:val="List Table 1 Light - Accent 3"/>
    <w:basedOn w:val="774"/>
    <w:next w:val="915"/>
    <w:link w:val="769"/>
    <w:uiPriority w:val="99"/>
    <w:pPr>
      <w:spacing w:after="0" w:line="240" w:lineRule="auto"/>
    </w:pPr>
    <w:tblPr/>
  </w:style>
  <w:style w:type="table" w:styleId="916">
    <w:name w:val="List Table 1 Light - Accent 4"/>
    <w:basedOn w:val="774"/>
    <w:next w:val="916"/>
    <w:link w:val="769"/>
    <w:uiPriority w:val="99"/>
    <w:pPr>
      <w:spacing w:after="0" w:line="240" w:lineRule="auto"/>
    </w:pPr>
    <w:tblPr/>
  </w:style>
  <w:style w:type="table" w:styleId="917">
    <w:name w:val="List Table 1 Light - Accent 5"/>
    <w:basedOn w:val="774"/>
    <w:next w:val="917"/>
    <w:link w:val="769"/>
    <w:uiPriority w:val="99"/>
    <w:pPr>
      <w:spacing w:after="0" w:line="240" w:lineRule="auto"/>
    </w:pPr>
    <w:tblPr/>
  </w:style>
  <w:style w:type="table" w:styleId="918">
    <w:name w:val="List Table 1 Light - Accent 6"/>
    <w:basedOn w:val="774"/>
    <w:next w:val="918"/>
    <w:link w:val="769"/>
    <w:uiPriority w:val="99"/>
    <w:pPr>
      <w:spacing w:after="0" w:line="240" w:lineRule="auto"/>
    </w:pPr>
    <w:tblPr/>
  </w:style>
  <w:style w:type="table" w:styleId="919">
    <w:name w:val="List Table 2"/>
    <w:basedOn w:val="774"/>
    <w:next w:val="919"/>
    <w:link w:val="769"/>
    <w:uiPriority w:val="99"/>
    <w:pPr>
      <w:spacing w:after="0" w:line="240" w:lineRule="auto"/>
    </w:pPr>
    <w:tblPr/>
  </w:style>
  <w:style w:type="table" w:styleId="920">
    <w:name w:val="List Table 2 - Accent 1"/>
    <w:basedOn w:val="774"/>
    <w:next w:val="920"/>
    <w:link w:val="769"/>
    <w:uiPriority w:val="99"/>
    <w:pPr>
      <w:spacing w:after="0" w:line="240" w:lineRule="auto"/>
    </w:pPr>
    <w:tblPr/>
  </w:style>
  <w:style w:type="table" w:styleId="921">
    <w:name w:val="List Table 2 - Accent 2"/>
    <w:basedOn w:val="774"/>
    <w:next w:val="921"/>
    <w:link w:val="769"/>
    <w:uiPriority w:val="99"/>
    <w:pPr>
      <w:spacing w:after="0" w:line="240" w:lineRule="auto"/>
    </w:pPr>
    <w:tblPr/>
  </w:style>
  <w:style w:type="table" w:styleId="922">
    <w:name w:val="List Table 2 - Accent 3"/>
    <w:basedOn w:val="774"/>
    <w:next w:val="922"/>
    <w:link w:val="769"/>
    <w:uiPriority w:val="99"/>
    <w:pPr>
      <w:spacing w:after="0" w:line="240" w:lineRule="auto"/>
    </w:pPr>
    <w:tblPr/>
  </w:style>
  <w:style w:type="table" w:styleId="923">
    <w:name w:val="List Table 2 - Accent 4"/>
    <w:basedOn w:val="774"/>
    <w:next w:val="923"/>
    <w:link w:val="769"/>
    <w:uiPriority w:val="99"/>
    <w:pPr>
      <w:spacing w:after="0" w:line="240" w:lineRule="auto"/>
    </w:pPr>
    <w:tblPr/>
  </w:style>
  <w:style w:type="table" w:styleId="924">
    <w:name w:val="List Table 2 - Accent 5"/>
    <w:basedOn w:val="774"/>
    <w:next w:val="924"/>
    <w:link w:val="769"/>
    <w:uiPriority w:val="99"/>
    <w:pPr>
      <w:spacing w:after="0" w:line="240" w:lineRule="auto"/>
    </w:pPr>
    <w:tblPr/>
  </w:style>
  <w:style w:type="table" w:styleId="925">
    <w:name w:val="List Table 2 - Accent 6"/>
    <w:basedOn w:val="774"/>
    <w:next w:val="925"/>
    <w:link w:val="769"/>
    <w:uiPriority w:val="99"/>
    <w:pPr>
      <w:spacing w:after="0" w:line="240" w:lineRule="auto"/>
    </w:pPr>
    <w:tblPr/>
  </w:style>
  <w:style w:type="table" w:styleId="926">
    <w:name w:val="List Table 3"/>
    <w:basedOn w:val="774"/>
    <w:next w:val="926"/>
    <w:link w:val="769"/>
    <w:uiPriority w:val="99"/>
    <w:pPr>
      <w:spacing w:after="0" w:line="240" w:lineRule="auto"/>
    </w:pPr>
    <w:tblPr/>
  </w:style>
  <w:style w:type="table" w:styleId="927">
    <w:name w:val="List Table 3 - Accent 1"/>
    <w:basedOn w:val="774"/>
    <w:next w:val="927"/>
    <w:link w:val="769"/>
    <w:uiPriority w:val="99"/>
    <w:pPr>
      <w:spacing w:after="0" w:line="240" w:lineRule="auto"/>
    </w:pPr>
    <w:tblPr/>
  </w:style>
  <w:style w:type="table" w:styleId="928">
    <w:name w:val="List Table 3 - Accent 2"/>
    <w:basedOn w:val="774"/>
    <w:next w:val="928"/>
    <w:link w:val="769"/>
    <w:uiPriority w:val="99"/>
    <w:pPr>
      <w:spacing w:after="0" w:line="240" w:lineRule="auto"/>
    </w:pPr>
    <w:tblPr/>
  </w:style>
  <w:style w:type="table" w:styleId="929">
    <w:name w:val="List Table 3 - Accent 3"/>
    <w:basedOn w:val="774"/>
    <w:next w:val="929"/>
    <w:link w:val="769"/>
    <w:uiPriority w:val="99"/>
    <w:pPr>
      <w:spacing w:after="0" w:line="240" w:lineRule="auto"/>
    </w:pPr>
    <w:tblPr/>
  </w:style>
  <w:style w:type="table" w:styleId="930">
    <w:name w:val="List Table 3 - Accent 4"/>
    <w:basedOn w:val="774"/>
    <w:next w:val="930"/>
    <w:link w:val="769"/>
    <w:uiPriority w:val="99"/>
    <w:pPr>
      <w:spacing w:after="0" w:line="240" w:lineRule="auto"/>
    </w:pPr>
    <w:tblPr/>
  </w:style>
  <w:style w:type="table" w:styleId="931">
    <w:name w:val="List Table 3 - Accent 5"/>
    <w:basedOn w:val="774"/>
    <w:next w:val="931"/>
    <w:link w:val="769"/>
    <w:uiPriority w:val="99"/>
    <w:pPr>
      <w:spacing w:after="0" w:line="240" w:lineRule="auto"/>
    </w:pPr>
    <w:tblPr/>
  </w:style>
  <w:style w:type="table" w:styleId="932">
    <w:name w:val="List Table 3 - Accent 6"/>
    <w:basedOn w:val="774"/>
    <w:next w:val="932"/>
    <w:link w:val="769"/>
    <w:uiPriority w:val="99"/>
    <w:pPr>
      <w:spacing w:after="0" w:line="240" w:lineRule="auto"/>
    </w:pPr>
    <w:tblPr/>
  </w:style>
  <w:style w:type="table" w:styleId="933">
    <w:name w:val="List Table 4"/>
    <w:basedOn w:val="774"/>
    <w:next w:val="933"/>
    <w:link w:val="769"/>
    <w:uiPriority w:val="99"/>
    <w:pPr>
      <w:spacing w:after="0" w:line="240" w:lineRule="auto"/>
    </w:pPr>
    <w:tblPr/>
  </w:style>
  <w:style w:type="table" w:styleId="934">
    <w:name w:val="List Table 4 - Accent 1"/>
    <w:basedOn w:val="774"/>
    <w:next w:val="934"/>
    <w:link w:val="769"/>
    <w:uiPriority w:val="99"/>
    <w:pPr>
      <w:spacing w:after="0" w:line="240" w:lineRule="auto"/>
    </w:pPr>
    <w:tblPr/>
  </w:style>
  <w:style w:type="table" w:styleId="935">
    <w:name w:val="List Table 4 - Accent 2"/>
    <w:basedOn w:val="774"/>
    <w:next w:val="935"/>
    <w:link w:val="769"/>
    <w:uiPriority w:val="99"/>
    <w:pPr>
      <w:spacing w:after="0" w:line="240" w:lineRule="auto"/>
    </w:pPr>
    <w:tblPr/>
  </w:style>
  <w:style w:type="table" w:styleId="936">
    <w:name w:val="List Table 4 - Accent 3"/>
    <w:basedOn w:val="774"/>
    <w:next w:val="936"/>
    <w:link w:val="769"/>
    <w:uiPriority w:val="99"/>
    <w:pPr>
      <w:spacing w:after="0" w:line="240" w:lineRule="auto"/>
    </w:pPr>
    <w:tblPr/>
  </w:style>
  <w:style w:type="table" w:styleId="937">
    <w:name w:val="List Table 4 - Accent 4"/>
    <w:basedOn w:val="774"/>
    <w:next w:val="937"/>
    <w:link w:val="769"/>
    <w:uiPriority w:val="99"/>
    <w:pPr>
      <w:spacing w:after="0" w:line="240" w:lineRule="auto"/>
    </w:pPr>
    <w:tblPr/>
  </w:style>
  <w:style w:type="table" w:styleId="938">
    <w:name w:val="List Table 4 - Accent 5"/>
    <w:basedOn w:val="774"/>
    <w:next w:val="938"/>
    <w:link w:val="769"/>
    <w:uiPriority w:val="99"/>
    <w:pPr>
      <w:spacing w:after="0" w:line="240" w:lineRule="auto"/>
    </w:pPr>
    <w:tblPr/>
  </w:style>
  <w:style w:type="table" w:styleId="939">
    <w:name w:val="List Table 4 - Accent 6"/>
    <w:basedOn w:val="774"/>
    <w:next w:val="939"/>
    <w:link w:val="769"/>
    <w:uiPriority w:val="99"/>
    <w:pPr>
      <w:spacing w:after="0" w:line="240" w:lineRule="auto"/>
    </w:pPr>
    <w:tblPr/>
  </w:style>
  <w:style w:type="table" w:styleId="940">
    <w:name w:val="List Table 5 Dark"/>
    <w:basedOn w:val="774"/>
    <w:next w:val="940"/>
    <w:link w:val="769"/>
    <w:uiPriority w:val="99"/>
    <w:pPr>
      <w:spacing w:after="0" w:line="240" w:lineRule="auto"/>
    </w:pPr>
    <w:tblPr/>
  </w:style>
  <w:style w:type="table" w:styleId="941">
    <w:name w:val="List Table 5 Dark - Accent 1"/>
    <w:basedOn w:val="774"/>
    <w:next w:val="941"/>
    <w:link w:val="769"/>
    <w:uiPriority w:val="99"/>
    <w:pPr>
      <w:spacing w:after="0" w:line="240" w:lineRule="auto"/>
    </w:pPr>
    <w:tblPr/>
  </w:style>
  <w:style w:type="table" w:styleId="942">
    <w:name w:val="List Table 5 Dark - Accent 2"/>
    <w:basedOn w:val="774"/>
    <w:next w:val="942"/>
    <w:link w:val="769"/>
    <w:uiPriority w:val="99"/>
    <w:pPr>
      <w:spacing w:after="0" w:line="240" w:lineRule="auto"/>
    </w:pPr>
    <w:tblPr/>
  </w:style>
  <w:style w:type="table" w:styleId="943">
    <w:name w:val="List Table 5 Dark - Accent 3"/>
    <w:basedOn w:val="774"/>
    <w:next w:val="943"/>
    <w:link w:val="769"/>
    <w:uiPriority w:val="99"/>
    <w:pPr>
      <w:spacing w:after="0" w:line="240" w:lineRule="auto"/>
    </w:pPr>
    <w:tblPr/>
  </w:style>
  <w:style w:type="table" w:styleId="944">
    <w:name w:val="List Table 5 Dark - Accent 4"/>
    <w:basedOn w:val="774"/>
    <w:next w:val="944"/>
    <w:link w:val="769"/>
    <w:uiPriority w:val="99"/>
    <w:pPr>
      <w:spacing w:after="0" w:line="240" w:lineRule="auto"/>
    </w:pPr>
    <w:tblPr/>
  </w:style>
  <w:style w:type="table" w:styleId="945">
    <w:name w:val="List Table 5 Dark - Accent 5"/>
    <w:basedOn w:val="774"/>
    <w:next w:val="945"/>
    <w:link w:val="769"/>
    <w:uiPriority w:val="99"/>
    <w:pPr>
      <w:spacing w:after="0" w:line="240" w:lineRule="auto"/>
    </w:pPr>
    <w:tblPr/>
  </w:style>
  <w:style w:type="table" w:styleId="946">
    <w:name w:val="List Table 5 Dark - Accent 6"/>
    <w:basedOn w:val="774"/>
    <w:next w:val="946"/>
    <w:link w:val="769"/>
    <w:uiPriority w:val="99"/>
    <w:pPr>
      <w:spacing w:after="0" w:line="240" w:lineRule="auto"/>
    </w:pPr>
    <w:tblPr/>
  </w:style>
  <w:style w:type="table" w:styleId="947">
    <w:name w:val="List Table 6 Colorful"/>
    <w:basedOn w:val="774"/>
    <w:next w:val="947"/>
    <w:link w:val="769"/>
    <w:uiPriority w:val="99"/>
    <w:pPr>
      <w:spacing w:after="0" w:line="240" w:lineRule="auto"/>
    </w:pPr>
    <w:tblPr/>
  </w:style>
  <w:style w:type="table" w:styleId="948">
    <w:name w:val="List Table 6 Colorful - Accent 1"/>
    <w:basedOn w:val="774"/>
    <w:next w:val="948"/>
    <w:link w:val="769"/>
    <w:uiPriority w:val="99"/>
    <w:pPr>
      <w:spacing w:after="0" w:line="240" w:lineRule="auto"/>
    </w:pPr>
    <w:tblPr/>
  </w:style>
  <w:style w:type="table" w:styleId="949">
    <w:name w:val="List Table 6 Colorful - Accent 2"/>
    <w:basedOn w:val="774"/>
    <w:next w:val="949"/>
    <w:link w:val="769"/>
    <w:uiPriority w:val="99"/>
    <w:pPr>
      <w:spacing w:after="0" w:line="240" w:lineRule="auto"/>
    </w:pPr>
    <w:tblPr/>
  </w:style>
  <w:style w:type="table" w:styleId="950">
    <w:name w:val="List Table 6 Colorful - Accent 3"/>
    <w:basedOn w:val="774"/>
    <w:next w:val="950"/>
    <w:link w:val="769"/>
    <w:uiPriority w:val="99"/>
    <w:pPr>
      <w:spacing w:after="0" w:line="240" w:lineRule="auto"/>
    </w:pPr>
    <w:tblPr/>
  </w:style>
  <w:style w:type="table" w:styleId="951">
    <w:name w:val="List Table 6 Colorful - Accent 4"/>
    <w:basedOn w:val="774"/>
    <w:next w:val="951"/>
    <w:link w:val="769"/>
    <w:uiPriority w:val="99"/>
    <w:pPr>
      <w:spacing w:after="0" w:line="240" w:lineRule="auto"/>
    </w:pPr>
    <w:tblPr/>
  </w:style>
  <w:style w:type="table" w:styleId="952">
    <w:name w:val="List Table 6 Colorful - Accent 5"/>
    <w:basedOn w:val="774"/>
    <w:next w:val="952"/>
    <w:link w:val="769"/>
    <w:uiPriority w:val="99"/>
    <w:pPr>
      <w:spacing w:after="0" w:line="240" w:lineRule="auto"/>
    </w:pPr>
    <w:tblPr/>
  </w:style>
  <w:style w:type="table" w:styleId="953">
    <w:name w:val="List Table 6 Colorful - Accent 6"/>
    <w:basedOn w:val="774"/>
    <w:next w:val="953"/>
    <w:link w:val="769"/>
    <w:uiPriority w:val="99"/>
    <w:pPr>
      <w:spacing w:after="0" w:line="240" w:lineRule="auto"/>
    </w:pPr>
    <w:tblPr/>
  </w:style>
  <w:style w:type="table" w:styleId="954">
    <w:name w:val="List Table 7 Colorful"/>
    <w:basedOn w:val="774"/>
    <w:next w:val="954"/>
    <w:link w:val="769"/>
    <w:uiPriority w:val="99"/>
    <w:pPr>
      <w:spacing w:after="0" w:line="240" w:lineRule="auto"/>
    </w:pPr>
    <w:tblPr/>
  </w:style>
  <w:style w:type="table" w:styleId="955">
    <w:name w:val="List Table 7 Colorful - Accent 1"/>
    <w:basedOn w:val="774"/>
    <w:next w:val="955"/>
    <w:link w:val="769"/>
    <w:uiPriority w:val="99"/>
    <w:pPr>
      <w:spacing w:after="0" w:line="240" w:lineRule="auto"/>
    </w:pPr>
    <w:tblPr/>
  </w:style>
  <w:style w:type="table" w:styleId="956">
    <w:name w:val="List Table 7 Colorful - Accent 2"/>
    <w:basedOn w:val="774"/>
    <w:next w:val="956"/>
    <w:link w:val="769"/>
    <w:uiPriority w:val="99"/>
    <w:pPr>
      <w:spacing w:after="0" w:line="240" w:lineRule="auto"/>
    </w:pPr>
    <w:tblPr/>
  </w:style>
  <w:style w:type="table" w:styleId="957">
    <w:name w:val="List Table 7 Colorful - Accent 3"/>
    <w:basedOn w:val="774"/>
    <w:next w:val="957"/>
    <w:link w:val="769"/>
    <w:uiPriority w:val="99"/>
    <w:pPr>
      <w:spacing w:after="0" w:line="240" w:lineRule="auto"/>
    </w:pPr>
    <w:tblPr/>
  </w:style>
  <w:style w:type="table" w:styleId="958">
    <w:name w:val="List Table 7 Colorful - Accent 4"/>
    <w:basedOn w:val="774"/>
    <w:next w:val="958"/>
    <w:link w:val="769"/>
    <w:uiPriority w:val="99"/>
    <w:pPr>
      <w:spacing w:after="0" w:line="240" w:lineRule="auto"/>
    </w:pPr>
    <w:tblPr/>
  </w:style>
  <w:style w:type="table" w:styleId="959">
    <w:name w:val="List Table 7 Colorful - Accent 5"/>
    <w:basedOn w:val="774"/>
    <w:next w:val="959"/>
    <w:link w:val="769"/>
    <w:uiPriority w:val="99"/>
    <w:pPr>
      <w:spacing w:after="0" w:line="240" w:lineRule="auto"/>
    </w:pPr>
    <w:tblPr/>
  </w:style>
  <w:style w:type="table" w:styleId="960">
    <w:name w:val="List Table 7 Colorful - Accent 6"/>
    <w:basedOn w:val="774"/>
    <w:next w:val="960"/>
    <w:link w:val="769"/>
    <w:uiPriority w:val="99"/>
    <w:pPr>
      <w:spacing w:after="0" w:line="240" w:lineRule="auto"/>
    </w:pPr>
    <w:tblPr/>
  </w:style>
  <w:style w:type="table" w:styleId="961">
    <w:name w:val="Lined - Accent"/>
    <w:basedOn w:val="774"/>
    <w:next w:val="961"/>
    <w:link w:val="769"/>
    <w:uiPriority w:val="99"/>
    <w:pPr>
      <w:spacing w:after="0" w:line="240" w:lineRule="auto"/>
    </w:pPr>
    <w:rPr>
      <w:color w:val="404040"/>
    </w:rPr>
    <w:tblPr/>
  </w:style>
  <w:style w:type="table" w:styleId="962">
    <w:name w:val="Lined - Accent 1"/>
    <w:basedOn w:val="774"/>
    <w:next w:val="962"/>
    <w:link w:val="769"/>
    <w:uiPriority w:val="99"/>
    <w:pPr>
      <w:spacing w:after="0" w:line="240" w:lineRule="auto"/>
    </w:pPr>
    <w:rPr>
      <w:color w:val="404040"/>
    </w:rPr>
    <w:tblPr/>
  </w:style>
  <w:style w:type="table" w:styleId="963">
    <w:name w:val="Lined - Accent 2"/>
    <w:basedOn w:val="774"/>
    <w:next w:val="963"/>
    <w:link w:val="769"/>
    <w:uiPriority w:val="99"/>
    <w:pPr>
      <w:spacing w:after="0" w:line="240" w:lineRule="auto"/>
    </w:pPr>
    <w:rPr>
      <w:color w:val="404040"/>
    </w:rPr>
    <w:tblPr/>
  </w:style>
  <w:style w:type="table" w:styleId="964">
    <w:name w:val="Lined - Accent 3"/>
    <w:basedOn w:val="774"/>
    <w:next w:val="964"/>
    <w:link w:val="769"/>
    <w:uiPriority w:val="99"/>
    <w:pPr>
      <w:spacing w:after="0" w:line="240" w:lineRule="auto"/>
    </w:pPr>
    <w:rPr>
      <w:color w:val="404040"/>
    </w:rPr>
    <w:tblPr/>
  </w:style>
  <w:style w:type="table" w:styleId="965">
    <w:name w:val="Lined - Accent 4"/>
    <w:basedOn w:val="774"/>
    <w:next w:val="965"/>
    <w:link w:val="769"/>
    <w:uiPriority w:val="99"/>
    <w:pPr>
      <w:spacing w:after="0" w:line="240" w:lineRule="auto"/>
    </w:pPr>
    <w:rPr>
      <w:color w:val="404040"/>
    </w:rPr>
    <w:tblPr/>
  </w:style>
  <w:style w:type="table" w:styleId="966">
    <w:name w:val="Lined - Accent 5"/>
    <w:basedOn w:val="774"/>
    <w:next w:val="966"/>
    <w:link w:val="769"/>
    <w:uiPriority w:val="99"/>
    <w:pPr>
      <w:spacing w:after="0" w:line="240" w:lineRule="auto"/>
    </w:pPr>
    <w:rPr>
      <w:color w:val="404040"/>
    </w:rPr>
    <w:tblPr/>
  </w:style>
  <w:style w:type="table" w:styleId="967">
    <w:name w:val="Lined - Accent 6"/>
    <w:basedOn w:val="774"/>
    <w:next w:val="967"/>
    <w:link w:val="769"/>
    <w:uiPriority w:val="99"/>
    <w:pPr>
      <w:spacing w:after="0" w:line="240" w:lineRule="auto"/>
    </w:pPr>
    <w:rPr>
      <w:color w:val="404040"/>
    </w:rPr>
    <w:tblPr/>
  </w:style>
  <w:style w:type="table" w:styleId="968">
    <w:name w:val="Bordered &amp; Lined - Accent"/>
    <w:basedOn w:val="774"/>
    <w:next w:val="968"/>
    <w:link w:val="769"/>
    <w:uiPriority w:val="99"/>
    <w:pPr>
      <w:spacing w:after="0" w:line="240" w:lineRule="auto"/>
    </w:pPr>
    <w:rPr>
      <w:color w:val="404040"/>
    </w:rPr>
    <w:tblPr/>
  </w:style>
  <w:style w:type="table" w:styleId="969">
    <w:name w:val="Bordered &amp; Lined - Accent 1"/>
    <w:basedOn w:val="774"/>
    <w:next w:val="969"/>
    <w:link w:val="769"/>
    <w:uiPriority w:val="99"/>
    <w:pPr>
      <w:spacing w:after="0" w:line="240" w:lineRule="auto"/>
    </w:pPr>
    <w:rPr>
      <w:color w:val="404040"/>
    </w:rPr>
    <w:tblPr/>
  </w:style>
  <w:style w:type="table" w:styleId="970">
    <w:name w:val="Bordered &amp; Lined - Accent 2"/>
    <w:basedOn w:val="774"/>
    <w:next w:val="970"/>
    <w:link w:val="769"/>
    <w:uiPriority w:val="99"/>
    <w:pPr>
      <w:spacing w:after="0" w:line="240" w:lineRule="auto"/>
    </w:pPr>
    <w:rPr>
      <w:color w:val="404040"/>
    </w:rPr>
    <w:tblPr/>
  </w:style>
  <w:style w:type="table" w:styleId="971">
    <w:name w:val="Bordered &amp; Lined - Accent 3"/>
    <w:basedOn w:val="774"/>
    <w:next w:val="971"/>
    <w:link w:val="769"/>
    <w:uiPriority w:val="99"/>
    <w:pPr>
      <w:spacing w:after="0" w:line="240" w:lineRule="auto"/>
    </w:pPr>
    <w:rPr>
      <w:color w:val="404040"/>
    </w:rPr>
    <w:tblPr/>
  </w:style>
  <w:style w:type="table" w:styleId="972">
    <w:name w:val="Bordered &amp; Lined - Accent 4"/>
    <w:basedOn w:val="774"/>
    <w:next w:val="972"/>
    <w:link w:val="769"/>
    <w:uiPriority w:val="99"/>
    <w:pPr>
      <w:spacing w:after="0" w:line="240" w:lineRule="auto"/>
    </w:pPr>
    <w:rPr>
      <w:color w:val="404040"/>
    </w:rPr>
    <w:tblPr/>
  </w:style>
  <w:style w:type="table" w:styleId="973">
    <w:name w:val="Bordered &amp; Lined - Accent 5"/>
    <w:basedOn w:val="774"/>
    <w:next w:val="973"/>
    <w:link w:val="769"/>
    <w:uiPriority w:val="99"/>
    <w:pPr>
      <w:spacing w:after="0" w:line="240" w:lineRule="auto"/>
    </w:pPr>
    <w:rPr>
      <w:color w:val="404040"/>
    </w:rPr>
    <w:tblPr/>
  </w:style>
  <w:style w:type="table" w:styleId="974">
    <w:name w:val="Bordered &amp; Lined - Accent 6"/>
    <w:basedOn w:val="774"/>
    <w:next w:val="974"/>
    <w:link w:val="769"/>
    <w:uiPriority w:val="99"/>
    <w:pPr>
      <w:spacing w:after="0" w:line="240" w:lineRule="auto"/>
    </w:pPr>
    <w:rPr>
      <w:color w:val="404040"/>
    </w:rPr>
    <w:tblPr/>
  </w:style>
  <w:style w:type="table" w:styleId="975">
    <w:name w:val="Bordered"/>
    <w:basedOn w:val="774"/>
    <w:next w:val="975"/>
    <w:link w:val="769"/>
    <w:uiPriority w:val="99"/>
    <w:pPr>
      <w:spacing w:after="0" w:line="240" w:lineRule="auto"/>
    </w:pPr>
    <w:tblPr/>
  </w:style>
  <w:style w:type="table" w:styleId="976">
    <w:name w:val="Bordered - Accent 1"/>
    <w:basedOn w:val="774"/>
    <w:next w:val="976"/>
    <w:link w:val="769"/>
    <w:uiPriority w:val="99"/>
    <w:pPr>
      <w:spacing w:after="0" w:line="240" w:lineRule="auto"/>
    </w:pPr>
    <w:tblPr/>
  </w:style>
  <w:style w:type="table" w:styleId="977">
    <w:name w:val="Bordered - Accent 2"/>
    <w:basedOn w:val="774"/>
    <w:next w:val="977"/>
    <w:link w:val="769"/>
    <w:uiPriority w:val="99"/>
    <w:pPr>
      <w:spacing w:after="0" w:line="240" w:lineRule="auto"/>
    </w:pPr>
    <w:tblPr/>
  </w:style>
  <w:style w:type="table" w:styleId="978">
    <w:name w:val="Bordered - Accent 3"/>
    <w:basedOn w:val="774"/>
    <w:next w:val="978"/>
    <w:link w:val="769"/>
    <w:uiPriority w:val="99"/>
    <w:pPr>
      <w:spacing w:after="0" w:line="240" w:lineRule="auto"/>
    </w:pPr>
    <w:tblPr/>
  </w:style>
  <w:style w:type="table" w:styleId="979">
    <w:name w:val="Bordered - Accent 4"/>
    <w:basedOn w:val="774"/>
    <w:next w:val="979"/>
    <w:link w:val="769"/>
    <w:uiPriority w:val="99"/>
    <w:pPr>
      <w:spacing w:after="0" w:line="240" w:lineRule="auto"/>
    </w:pPr>
    <w:tblPr/>
  </w:style>
  <w:style w:type="table" w:styleId="980">
    <w:name w:val="Bordered - Accent 5"/>
    <w:basedOn w:val="774"/>
    <w:next w:val="980"/>
    <w:link w:val="769"/>
    <w:uiPriority w:val="99"/>
    <w:pPr>
      <w:spacing w:after="0" w:line="240" w:lineRule="auto"/>
    </w:pPr>
    <w:tblPr/>
  </w:style>
  <w:style w:type="table" w:styleId="981">
    <w:name w:val="Bordered - Accent 6"/>
    <w:basedOn w:val="774"/>
    <w:next w:val="981"/>
    <w:link w:val="769"/>
    <w:uiPriority w:val="99"/>
    <w:pPr>
      <w:spacing w:after="0" w:line="240" w:lineRule="auto"/>
    </w:pPr>
    <w:tblPr/>
  </w:style>
  <w:style w:type="paragraph" w:styleId="982">
    <w:name w:val="TOC Heading"/>
    <w:next w:val="982"/>
    <w:link w:val="769"/>
    <w:uiPriority w:val="39"/>
    <w:unhideWhenUsed/>
  </w:style>
  <w:style w:type="paragraph" w:styleId="983">
    <w:name w:val="Heading 1"/>
    <w:basedOn w:val="769"/>
    <w:next w:val="769"/>
    <w:link w:val="984"/>
    <w:qFormat/>
    <w:pPr>
      <w:jc w:val="center"/>
      <w:keepLines/>
      <w:keepNext/>
      <w:spacing w:before="240" w:after="120" w:line="300" w:lineRule="auto"/>
      <w:outlineLvl w:val="0"/>
    </w:pPr>
    <w:rPr>
      <w:rFonts w:ascii="宋体"/>
      <w:b/>
      <w:sz w:val="32"/>
      <w:szCs w:val="20"/>
    </w:rPr>
  </w:style>
  <w:style w:type="character" w:styleId="984">
    <w:name w:val="标题 1 字符"/>
    <w:next w:val="984"/>
    <w:link w:val="983"/>
    <w:qFormat/>
    <w:rPr>
      <w:rFonts w:ascii="宋体"/>
      <w:b/>
      <w:sz w:val="32"/>
    </w:rPr>
  </w:style>
  <w:style w:type="paragraph" w:styleId="985">
    <w:name w:val="Heading 2"/>
    <w:basedOn w:val="769"/>
    <w:next w:val="779"/>
    <w:link w:val="986"/>
    <w:qFormat/>
    <w:pPr>
      <w:jc w:val="center"/>
      <w:keepLines/>
      <w:keepNext/>
      <w:spacing w:before="120" w:line="300" w:lineRule="auto"/>
      <w:outlineLvl w:val="1"/>
    </w:pPr>
    <w:rPr>
      <w:rFonts w:ascii="Arial" w:hAnsi="Arial" w:eastAsia="黑体"/>
      <w:b/>
      <w:sz w:val="30"/>
      <w:szCs w:val="20"/>
    </w:rPr>
  </w:style>
  <w:style w:type="character" w:styleId="986">
    <w:name w:val="标题 2 字符"/>
    <w:next w:val="986"/>
    <w:link w:val="985"/>
    <w:qFormat/>
    <w:rPr>
      <w:rFonts w:ascii="Arial" w:hAnsi="Arial" w:eastAsia="黑体"/>
      <w:b/>
      <w:sz w:val="30"/>
      <w:lang w:val="en-US" w:eastAsia="zh-CN" w:bidi="ar-SA"/>
    </w:rPr>
  </w:style>
  <w:style w:type="paragraph" w:styleId="987">
    <w:name w:val="Heading 3"/>
    <w:basedOn w:val="769"/>
    <w:next w:val="779"/>
    <w:link w:val="988"/>
    <w:qFormat/>
    <w:pPr>
      <w:jc w:val="left"/>
      <w:keepLines/>
      <w:keepNext/>
      <w:spacing w:before="360" w:after="120"/>
      <w:outlineLvl w:val="2"/>
    </w:pPr>
    <w:rPr>
      <w:rFonts w:ascii="宋体"/>
      <w:b/>
      <w:sz w:val="24"/>
      <w:szCs w:val="20"/>
      <w:u w:val="single"/>
    </w:rPr>
  </w:style>
  <w:style w:type="character" w:styleId="988">
    <w:name w:val="标题 3 字符"/>
    <w:next w:val="988"/>
    <w:link w:val="987"/>
    <w:qFormat/>
    <w:rPr>
      <w:rFonts w:ascii="宋体" w:eastAsia="宋体"/>
      <w:b/>
      <w:sz w:val="24"/>
      <w:u w:val="single"/>
      <w:lang w:val="en-US" w:eastAsia="zh-CN" w:bidi="ar-SA"/>
    </w:rPr>
  </w:style>
  <w:style w:type="paragraph" w:styleId="989">
    <w:name w:val="Heading 4"/>
    <w:basedOn w:val="769"/>
    <w:next w:val="769"/>
    <w:link w:val="990"/>
    <w:qFormat/>
    <w:pPr>
      <w:keepLines/>
      <w:keepNext/>
      <w:spacing w:before="280" w:after="290" w:line="376" w:lineRule="atLeast"/>
      <w:outlineLvl w:val="3"/>
    </w:pPr>
    <w:rPr>
      <w:rFonts w:ascii="Arial" w:hAnsi="Arial" w:eastAsia="黑体"/>
      <w:b/>
      <w:sz w:val="28"/>
      <w:szCs w:val="20"/>
    </w:rPr>
  </w:style>
  <w:style w:type="character" w:styleId="990">
    <w:name w:val="标题 4 字符"/>
    <w:next w:val="990"/>
    <w:link w:val="989"/>
    <w:qFormat/>
    <w:rPr>
      <w:rFonts w:ascii="Arial" w:hAnsi="Arial" w:eastAsia="黑体"/>
      <w:b/>
      <w:sz w:val="28"/>
    </w:rPr>
  </w:style>
  <w:style w:type="paragraph" w:styleId="991">
    <w:name w:val="Heading 5"/>
    <w:basedOn w:val="769"/>
    <w:next w:val="769"/>
    <w:link w:val="992"/>
    <w:qFormat/>
    <w:pPr>
      <w:keepLines/>
      <w:keepNext/>
      <w:spacing w:before="280" w:after="290" w:line="376" w:lineRule="atLeast"/>
      <w:outlineLvl w:val="4"/>
    </w:pPr>
    <w:rPr>
      <w:b/>
      <w:sz w:val="28"/>
      <w:szCs w:val="20"/>
    </w:rPr>
  </w:style>
  <w:style w:type="character" w:styleId="992">
    <w:name w:val="标题 5 字符"/>
    <w:next w:val="992"/>
    <w:link w:val="991"/>
    <w:qFormat/>
    <w:rPr>
      <w:b/>
      <w:sz w:val="28"/>
    </w:rPr>
  </w:style>
  <w:style w:type="paragraph" w:styleId="993">
    <w:name w:val="Heading 6"/>
    <w:basedOn w:val="769"/>
    <w:next w:val="769"/>
    <w:link w:val="994"/>
    <w:qFormat/>
    <w:pPr>
      <w:keepLines/>
      <w:keepNext/>
      <w:spacing w:before="240" w:after="64" w:line="320" w:lineRule="atLeast"/>
      <w:outlineLvl w:val="5"/>
    </w:pPr>
    <w:rPr>
      <w:rFonts w:ascii="Arial" w:hAnsi="Arial" w:eastAsia="黑体"/>
      <w:b/>
      <w:sz w:val="24"/>
      <w:szCs w:val="20"/>
    </w:rPr>
  </w:style>
  <w:style w:type="character" w:styleId="994">
    <w:name w:val="标题 6 字符"/>
    <w:next w:val="994"/>
    <w:link w:val="993"/>
    <w:qFormat/>
    <w:rPr>
      <w:rFonts w:ascii="Arial" w:hAnsi="Arial" w:eastAsia="黑体"/>
      <w:b/>
      <w:sz w:val="24"/>
    </w:rPr>
  </w:style>
  <w:style w:type="paragraph" w:styleId="995">
    <w:name w:val="Heading 7"/>
    <w:basedOn w:val="769"/>
    <w:next w:val="769"/>
    <w:link w:val="996"/>
    <w:qFormat/>
    <w:pPr>
      <w:keepLines/>
      <w:keepNext/>
      <w:spacing w:before="240" w:after="64" w:line="320" w:lineRule="atLeast"/>
      <w:outlineLvl w:val="6"/>
    </w:pPr>
    <w:rPr>
      <w:b/>
      <w:sz w:val="24"/>
      <w:szCs w:val="20"/>
    </w:rPr>
  </w:style>
  <w:style w:type="character" w:styleId="996">
    <w:name w:val="标题 7 字符"/>
    <w:next w:val="996"/>
    <w:link w:val="995"/>
    <w:qFormat/>
    <w:rPr>
      <w:b/>
      <w:sz w:val="24"/>
    </w:rPr>
  </w:style>
  <w:style w:type="paragraph" w:styleId="997">
    <w:name w:val="Heading 8"/>
    <w:basedOn w:val="769"/>
    <w:next w:val="769"/>
    <w:link w:val="998"/>
    <w:qFormat/>
    <w:pPr>
      <w:keepLines/>
      <w:keepNext/>
      <w:spacing w:before="240" w:after="64" w:line="320" w:lineRule="atLeast"/>
      <w:outlineLvl w:val="7"/>
    </w:pPr>
    <w:rPr>
      <w:rFonts w:ascii="Arial" w:hAnsi="Arial" w:eastAsia="黑体"/>
      <w:sz w:val="24"/>
      <w:szCs w:val="20"/>
    </w:rPr>
  </w:style>
  <w:style w:type="character" w:styleId="998">
    <w:name w:val="标题 8 字符"/>
    <w:next w:val="998"/>
    <w:link w:val="997"/>
    <w:qFormat/>
    <w:rPr>
      <w:rFonts w:ascii="Arial" w:hAnsi="Arial" w:eastAsia="黑体"/>
      <w:sz w:val="24"/>
    </w:rPr>
  </w:style>
  <w:style w:type="paragraph" w:styleId="999">
    <w:name w:val="Heading 9"/>
    <w:basedOn w:val="769"/>
    <w:next w:val="769"/>
    <w:link w:val="1000"/>
    <w:qFormat/>
    <w:pPr>
      <w:keepLines/>
      <w:keepNext/>
      <w:spacing w:before="240" w:after="64" w:line="320" w:lineRule="atLeast"/>
      <w:outlineLvl w:val="8"/>
    </w:pPr>
    <w:rPr>
      <w:rFonts w:ascii="Arial" w:hAnsi="Arial" w:eastAsia="黑体"/>
      <w:szCs w:val="20"/>
    </w:rPr>
  </w:style>
  <w:style w:type="character" w:styleId="1000">
    <w:name w:val="标题 9 字符"/>
    <w:next w:val="1000"/>
    <w:link w:val="999"/>
    <w:qFormat/>
    <w:rPr>
      <w:rFonts w:ascii="Arial" w:hAnsi="Arial" w:eastAsia="黑体"/>
      <w:sz w:val="21"/>
    </w:rPr>
  </w:style>
  <w:style w:type="paragraph" w:styleId="1001">
    <w:name w:val="Caption1"/>
    <w:basedOn w:val="769"/>
    <w:next w:val="769"/>
    <w:link w:val="769"/>
    <w:qFormat/>
    <w:pPr>
      <w:spacing w:line="480" w:lineRule="auto"/>
    </w:pPr>
    <w:rPr>
      <w:rFonts w:ascii="华文中宋" w:hAnsi="华文中宋" w:eastAsia="华文中宋"/>
      <w:sz w:val="36"/>
      <w:szCs w:val="20"/>
    </w:rPr>
  </w:style>
  <w:style w:type="paragraph" w:styleId="1002">
    <w:name w:val="Footer1"/>
    <w:basedOn w:val="769"/>
    <w:next w:val="1002"/>
    <w:link w:val="1003"/>
    <w:uiPriority w:val="99"/>
    <w:qFormat/>
    <w:pPr>
      <w:jc w:val="left"/>
      <w:tabs>
        <w:tab w:val="center" w:pos="4153" w:leader="none"/>
        <w:tab w:val="right" w:pos="8306" w:leader="none"/>
      </w:tabs>
    </w:pPr>
    <w:rPr>
      <w:rFonts w:ascii="宋体"/>
      <w:sz w:val="18"/>
      <w:szCs w:val="20"/>
    </w:rPr>
  </w:style>
  <w:style w:type="character" w:styleId="1003">
    <w:name w:val="页脚 字符"/>
    <w:next w:val="1003"/>
    <w:link w:val="1002"/>
    <w:uiPriority w:val="99"/>
    <w:qFormat/>
    <w:rPr>
      <w:rFonts w:ascii="宋体" w:eastAsia="宋体"/>
      <w:sz w:val="18"/>
      <w:lang w:val="en-US" w:eastAsia="zh-CN" w:bidi="ar-SA"/>
    </w:rPr>
  </w:style>
  <w:style w:type="paragraph" w:styleId="1004">
    <w:name w:val="Header1"/>
    <w:basedOn w:val="769"/>
    <w:next w:val="1004"/>
    <w:link w:val="1005"/>
    <w:qFormat/>
    <w:pPr>
      <w:jc w:val="center"/>
      <w:tabs>
        <w:tab w:val="center" w:pos="4153" w:leader="none"/>
        <w:tab w:val="right" w:pos="8306" w:leader="none"/>
      </w:tabs>
      <w:pBdr>
        <w:bottom w:val="single" w:color="000000" w:sz="6" w:space="1"/>
      </w:pBdr>
    </w:pPr>
    <w:rPr>
      <w:sz w:val="18"/>
      <w:szCs w:val="18"/>
    </w:rPr>
  </w:style>
  <w:style w:type="character" w:styleId="1005">
    <w:name w:val="页眉 字符"/>
    <w:next w:val="1005"/>
    <w:link w:val="1004"/>
    <w:qFormat/>
    <w:rPr>
      <w:rFonts w:eastAsia="宋体"/>
      <w:sz w:val="18"/>
      <w:szCs w:val="18"/>
      <w:lang w:val="en-US" w:eastAsia="zh-CN" w:bidi="ar-SA"/>
    </w:rPr>
  </w:style>
  <w:style w:type="paragraph" w:styleId="1006">
    <w:name w:val="正文文本111"/>
    <w:basedOn w:val="769"/>
    <w:next w:val="1007"/>
    <w:link w:val="769"/>
    <w:qFormat/>
    <w:pPr>
      <w:spacing w:before="120" w:line="22" w:lineRule="atLeast"/>
      <w:tabs>
        <w:tab w:val="left" w:pos="567" w:leader="none"/>
      </w:tabs>
    </w:pPr>
    <w:rPr>
      <w:rFonts w:ascii="宋体" w:hAnsi="宋体"/>
      <w:sz w:val="24"/>
      <w:szCs w:val="20"/>
    </w:rPr>
  </w:style>
  <w:style w:type="paragraph" w:styleId="1007">
    <w:name w:val="目录 211"/>
    <w:basedOn w:val="769"/>
    <w:next w:val="769"/>
    <w:link w:val="769"/>
    <w:uiPriority w:val="39"/>
    <w:unhideWhenUsed/>
    <w:qFormat/>
    <w:pPr>
      <w:ind w:left="283"/>
      <w:spacing w:after="57"/>
    </w:pPr>
  </w:style>
  <w:style w:type="character" w:styleId="1008">
    <w:name w:val="批注文字 字符"/>
    <w:next w:val="1008"/>
    <w:link w:val="769"/>
    <w:uiPriority w:val="99"/>
    <w:qFormat/>
    <w:rPr>
      <w:rFonts w:ascii="Times New Roman" w:hAnsi="Times New Roman" w:eastAsia="宋体" w:cs="Times New Roman"/>
      <w:sz w:val="24"/>
      <w:lang w:val="en-US" w:eastAsia="zh-CN" w:bidi="ar-SA"/>
    </w:rPr>
  </w:style>
  <w:style w:type="character" w:styleId="1009">
    <w:name w:val="c21"/>
    <w:next w:val="1009"/>
    <w:link w:val="769"/>
    <w:qFormat/>
    <w:rPr>
      <w:rFonts w:ascii="ˎ̥" w:hAnsi="ˎ̥"/>
      <w:color w:val="000000"/>
      <w:sz w:val="20"/>
      <w:szCs w:val="20"/>
      <w:u w:val="none"/>
    </w:rPr>
  </w:style>
  <w:style w:type="character" w:styleId="1010">
    <w:name w:val="title4"/>
    <w:next w:val="1010"/>
    <w:link w:val="769"/>
    <w:qFormat/>
    <w:rPr>
      <w:b/>
      <w:bCs/>
      <w:color w:val="1d87b3"/>
      <w:sz w:val="15"/>
      <w:szCs w:val="15"/>
    </w:rPr>
  </w:style>
  <w:style w:type="character" w:styleId="1011">
    <w:name w:val="标题 2 Char Char"/>
    <w:next w:val="1011"/>
    <w:link w:val="769"/>
    <w:qFormat/>
    <w:rPr>
      <w:rFonts w:ascii="Arial" w:hAnsi="Arial" w:eastAsia="黑体"/>
      <w:b/>
      <w:bCs/>
      <w:sz w:val="32"/>
      <w:szCs w:val="32"/>
      <w:lang w:val="en-US" w:eastAsia="zh-CN" w:bidi="ar-SA"/>
    </w:rPr>
  </w:style>
  <w:style w:type="character" w:styleId="1012">
    <w:name w:val="black1"/>
    <w:next w:val="1012"/>
    <w:link w:val="769"/>
    <w:qFormat/>
    <w:rPr>
      <w:color w:val="000000"/>
    </w:rPr>
  </w:style>
  <w:style w:type="character" w:styleId="1013">
    <w:name w:val="street-address"/>
    <w:next w:val="1013"/>
    <w:link w:val="769"/>
    <w:qFormat/>
  </w:style>
  <w:style w:type="character" w:styleId="1014">
    <w:name w:val="locality"/>
    <w:next w:val="1014"/>
    <w:link w:val="769"/>
    <w:qFormat/>
  </w:style>
  <w:style w:type="character" w:styleId="1015">
    <w:name w:val="正文文本缩进 Char1"/>
    <w:next w:val="1015"/>
    <w:link w:val="1016"/>
    <w:qFormat/>
    <w:rPr>
      <w:rFonts w:ascii="宋体" w:hAnsi="宋体" w:eastAsia="宋体"/>
      <w:sz w:val="24"/>
      <w:szCs w:val="24"/>
      <w:lang w:bidi="ar-SA"/>
    </w:rPr>
  </w:style>
  <w:style w:type="paragraph" w:styleId="1016">
    <w:name w:val="正文文本缩进1"/>
    <w:basedOn w:val="769"/>
    <w:next w:val="1016"/>
    <w:link w:val="1015"/>
    <w:qFormat/>
    <w:pPr>
      <w:ind w:firstLine="480"/>
      <w:spacing w:line="480" w:lineRule="exact"/>
    </w:pPr>
    <w:rPr>
      <w:rFonts w:ascii="宋体" w:hAnsi="宋体"/>
      <w:sz w:val="24"/>
    </w:rPr>
  </w:style>
  <w:style w:type="character" w:styleId="1017">
    <w:name w:val="Char Char11"/>
    <w:next w:val="1017"/>
    <w:link w:val="769"/>
    <w:qFormat/>
    <w:rPr>
      <w:rFonts w:ascii="宋体" w:eastAsia="宋体"/>
      <w:b/>
      <w:sz w:val="24"/>
      <w:u w:val="single"/>
      <w:lang w:val="en-US" w:eastAsia="zh-CN" w:bidi="ar-SA"/>
    </w:rPr>
  </w:style>
  <w:style w:type="character" w:styleId="1018">
    <w:name w:val="txt"/>
    <w:next w:val="1018"/>
    <w:link w:val="769"/>
    <w:qFormat/>
  </w:style>
  <w:style w:type="character" w:styleId="1019">
    <w:name w:val="正文缩进 Char Char"/>
    <w:next w:val="1019"/>
    <w:link w:val="1020"/>
    <w:qFormat/>
    <w:rPr>
      <w:rFonts w:ascii="宋体" w:eastAsia="宋体"/>
      <w:color w:val="000000"/>
      <w:sz w:val="28"/>
      <w:lang w:bidi="ar-SA"/>
    </w:rPr>
  </w:style>
  <w:style w:type="paragraph" w:styleId="1020">
    <w:name w:val="正文缩进1"/>
    <w:basedOn w:val="769"/>
    <w:next w:val="1020"/>
    <w:link w:val="1019"/>
    <w:qFormat/>
    <w:pPr>
      <w:ind w:firstLine="567"/>
      <w:spacing w:line="480" w:lineRule="exact"/>
      <w:widowControl/>
    </w:pPr>
    <w:rPr>
      <w:rFonts w:ascii="宋体"/>
      <w:color w:val="000000"/>
      <w:sz w:val="28"/>
      <w:szCs w:val="20"/>
    </w:rPr>
  </w:style>
  <w:style w:type="character" w:styleId="1021">
    <w:name w:val="普通文字1 Char1"/>
    <w:next w:val="1021"/>
    <w:link w:val="769"/>
    <w:qFormat/>
    <w:rPr>
      <w:rFonts w:ascii="宋体" w:hAnsi="Courier New" w:eastAsia="宋体"/>
      <w:sz w:val="21"/>
      <w:lang w:val="en-US" w:eastAsia="zh-CN" w:bidi="ar-SA"/>
    </w:rPr>
  </w:style>
  <w:style w:type="character" w:styleId="1022">
    <w:name w:val="chanpin1"/>
    <w:next w:val="1022"/>
    <w:link w:val="769"/>
    <w:qFormat/>
    <w:rPr>
      <w:rFonts w:ascii="ˎ̥" w:hAnsi="ˎ̥"/>
      <w:color w:val="000000"/>
      <w:sz w:val="20"/>
      <w:szCs w:val="20"/>
      <w:u w:val="none"/>
    </w:rPr>
  </w:style>
  <w:style w:type="character" w:styleId="1023">
    <w:name w:val="列表段落 字符"/>
    <w:next w:val="1023"/>
    <w:link w:val="1024"/>
    <w:uiPriority w:val="34"/>
    <w:qFormat/>
    <w:rPr>
      <w:rFonts w:ascii="Calibri" w:hAnsi="Calibri" w:eastAsia="宋体"/>
      <w:sz w:val="21"/>
      <w:szCs w:val="22"/>
      <w:lang w:val="en-US" w:eastAsia="zh-CN" w:bidi="ar-SA"/>
    </w:rPr>
  </w:style>
  <w:style w:type="paragraph" w:styleId="1024">
    <w:name w:val="List Paragraph"/>
    <w:basedOn w:val="769"/>
    <w:next w:val="1024"/>
    <w:link w:val="1023"/>
    <w:uiPriority w:val="34"/>
    <w:qFormat/>
    <w:pPr>
      <w:ind w:firstLine="420"/>
    </w:pPr>
    <w:rPr>
      <w:rFonts w:ascii="Calibri" w:hAnsi="Calibri"/>
      <w:szCs w:val="22"/>
    </w:rPr>
  </w:style>
  <w:style w:type="character" w:styleId="1025">
    <w:name w:val="标题 3 Char Char"/>
    <w:next w:val="1025"/>
    <w:link w:val="769"/>
    <w:qFormat/>
    <w:rPr>
      <w:rFonts w:eastAsia="宋体"/>
      <w:b/>
      <w:bCs/>
      <w:sz w:val="32"/>
      <w:szCs w:val="32"/>
      <w:lang w:val="en-US" w:eastAsia="zh-CN" w:bidi="ar-SA"/>
    </w:rPr>
  </w:style>
  <w:style w:type="character" w:styleId="1026">
    <w:name w:val="段1 Char"/>
    <w:next w:val="1026"/>
    <w:link w:val="769"/>
    <w:qFormat/>
    <w:rPr>
      <w:rFonts w:ascii="宋体" w:eastAsia="宋体"/>
      <w:sz w:val="24"/>
      <w:lang w:val="en-US" w:eastAsia="zh-CN" w:bidi="ar-SA"/>
    </w:rPr>
  </w:style>
  <w:style w:type="character" w:styleId="1027">
    <w:name w:val="chanpin拷贝"/>
    <w:next w:val="1027"/>
    <w:link w:val="769"/>
    <w:qFormat/>
  </w:style>
  <w:style w:type="character" w:styleId="1028">
    <w:name w:val="纯文本 Char1"/>
    <w:next w:val="1028"/>
    <w:link w:val="769"/>
    <w:qFormat/>
    <w:rPr>
      <w:rFonts w:ascii="宋体" w:hAnsi="Courier New" w:eastAsia="宋体"/>
      <w:sz w:val="21"/>
      <w:lang w:val="en-US" w:eastAsia="zh-CN" w:bidi="ar-SA"/>
    </w:rPr>
  </w:style>
  <w:style w:type="character" w:styleId="1029">
    <w:name w:val="apple-style-span"/>
    <w:next w:val="1029"/>
    <w:link w:val="769"/>
    <w:qFormat/>
    <w:rPr>
      <w:rFonts w:cs="Times New Roman"/>
    </w:rPr>
  </w:style>
  <w:style w:type="paragraph" w:styleId="1030">
    <w:name w:val="二级条标题"/>
    <w:basedOn w:val="1031"/>
    <w:next w:val="769"/>
    <w:link w:val="769"/>
    <w:qFormat/>
    <w:pPr>
      <w:numPr>
        <w:ilvl w:val="0"/>
        <w:numId w:val="0"/>
      </w:numPr>
      <w:ind w:hanging="840"/>
      <w:tabs>
        <w:tab w:val="left" w:pos="360" w:leader="none"/>
        <w:tab w:val="left" w:pos="840" w:leader="none"/>
      </w:tabs>
      <w:outlineLvl w:val="2"/>
    </w:pPr>
    <w:rPr>
      <w:rFonts w:ascii="宋体" w:eastAsia="宋体"/>
      <w:b w:val="0"/>
    </w:rPr>
  </w:style>
  <w:style w:type="paragraph" w:styleId="1031">
    <w:name w:val="一级条标题"/>
    <w:basedOn w:val="1032"/>
    <w:next w:val="769"/>
    <w:link w:val="769"/>
    <w:qFormat/>
    <w:pPr>
      <w:numPr>
        <w:ilvl w:val="1"/>
      </w:numPr>
      <w:ind w:left="0" w:hanging="840"/>
      <w:tabs>
        <w:tab w:val="left" w:pos="360" w:leader="none"/>
        <w:tab w:val="left" w:pos="840" w:leader="none"/>
      </w:tabs>
      <w:outlineLvl w:val="1"/>
    </w:pPr>
  </w:style>
  <w:style w:type="paragraph" w:styleId="1032">
    <w:name w:val="章标题"/>
    <w:next w:val="769"/>
    <w:link w:val="769"/>
    <w:qFormat/>
    <w:pPr>
      <w:numPr>
        <w:ilvl w:val="0"/>
        <w:numId w:val="1"/>
      </w:numPr>
      <w:ind w:left="0" w:firstLine="0"/>
      <w:jc w:val="both"/>
      <w:spacing w:before="156" w:after="156" w:line="460" w:lineRule="exact"/>
      <w:outlineLvl w:val="0"/>
    </w:pPr>
    <w:rPr>
      <w:rFonts w:ascii="黑体" w:eastAsia="黑体"/>
      <w:b/>
      <w:sz w:val="28"/>
      <w:lang w:eastAsia="zh-CN"/>
    </w:rPr>
  </w:style>
  <w:style w:type="paragraph" w:styleId="1033">
    <w:name w:val="font7"/>
    <w:basedOn w:val="769"/>
    <w:next w:val="1033"/>
    <w:link w:val="769"/>
    <w:qFormat/>
    <w:pPr>
      <w:jc w:val="left"/>
      <w:spacing w:before="100" w:beforeAutospacing="1" w:after="100" w:afterAutospacing="1"/>
      <w:widowControl/>
    </w:pPr>
    <w:rPr>
      <w:rFonts w:eastAsia="Arial Unicode MS"/>
      <w:b/>
      <w:bCs/>
      <w:color w:val="000000"/>
      <w:sz w:val="20"/>
      <w:szCs w:val="20"/>
    </w:rPr>
  </w:style>
  <w:style w:type="paragraph" w:styleId="1034">
    <w:name w:val="字元 字元"/>
    <w:basedOn w:val="769"/>
    <w:next w:val="1034"/>
    <w:link w:val="769"/>
    <w:qFormat/>
    <w:rPr>
      <w:rFonts w:ascii="Tahoma" w:hAnsi="Tahoma"/>
      <w:sz w:val="24"/>
      <w:szCs w:val="20"/>
    </w:rPr>
  </w:style>
  <w:style w:type="paragraph" w:styleId="1035">
    <w:name w:val="Char3 Char Char Char"/>
    <w:basedOn w:val="769"/>
    <w:next w:val="1035"/>
    <w:link w:val="769"/>
    <w:qFormat/>
    <w:rPr>
      <w:rFonts w:ascii="Tahoma" w:hAnsi="Tahoma"/>
      <w:sz w:val="24"/>
      <w:szCs w:val="20"/>
    </w:rPr>
  </w:style>
  <w:style w:type="paragraph" w:styleId="1036">
    <w:name w:val="font6"/>
    <w:basedOn w:val="769"/>
    <w:next w:val="1036"/>
    <w:link w:val="769"/>
    <w:qFormat/>
    <w:pPr>
      <w:jc w:val="left"/>
      <w:spacing w:before="100" w:beforeAutospacing="1" w:after="100" w:afterAutospacing="1"/>
      <w:widowControl/>
    </w:pPr>
    <w:rPr>
      <w:rFonts w:ascii="宋体" w:hAnsi="宋体" w:cs="宋体"/>
      <w:sz w:val="20"/>
      <w:szCs w:val="20"/>
    </w:rPr>
  </w:style>
  <w:style w:type="paragraph" w:styleId="1037">
    <w:name w:val="项目编号2"/>
    <w:basedOn w:val="1038"/>
    <w:next w:val="1037"/>
    <w:link w:val="769"/>
    <w:qFormat/>
    <w:pPr>
      <w:numPr>
        <w:numId w:val="3"/>
      </w:numPr>
    </w:pPr>
  </w:style>
  <w:style w:type="paragraph" w:styleId="1038">
    <w:name w:val="项目编号1"/>
    <w:basedOn w:val="769"/>
    <w:next w:val="1038"/>
    <w:link w:val="769"/>
    <w:qFormat/>
    <w:pPr>
      <w:numPr>
        <w:ilvl w:val="0"/>
        <w:numId w:val="2"/>
      </w:numPr>
      <w:spacing w:before="100" w:beforeAutospacing="1" w:after="100" w:afterAutospacing="1" w:line="360" w:lineRule="auto"/>
    </w:pPr>
    <w:rPr>
      <w:sz w:val="24"/>
    </w:rPr>
  </w:style>
  <w:style w:type="paragraph" w:styleId="1039">
    <w:name w:val="图中文字"/>
    <w:basedOn w:val="769"/>
    <w:next w:val="1039"/>
    <w:link w:val="769"/>
    <w:qFormat/>
    <w:pPr>
      <w:jc w:val="center"/>
      <w:spacing w:line="0" w:lineRule="atLeast"/>
    </w:pPr>
    <w:rPr>
      <w:sz w:val="24"/>
      <w:szCs w:val="20"/>
    </w:rPr>
  </w:style>
  <w:style w:type="paragraph" w:styleId="1040">
    <w:name w:val="xl46"/>
    <w:basedOn w:val="769"/>
    <w:next w:val="1040"/>
    <w:link w:val="7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1">
    <w:name w:val="xl25"/>
    <w:basedOn w:val="769"/>
    <w:next w:val="1041"/>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Char2"/>
    <w:basedOn w:val="769"/>
    <w:next w:val="1042"/>
    <w:link w:val="769"/>
    <w:qFormat/>
    <w:rPr>
      <w:rFonts w:ascii="Tahoma" w:hAnsi="Tahoma"/>
      <w:sz w:val="24"/>
      <w:szCs w:val="20"/>
    </w:rPr>
  </w:style>
  <w:style w:type="paragraph" w:styleId="1043">
    <w:name w:val="xl35"/>
    <w:basedOn w:val="769"/>
    <w:next w:val="1043"/>
    <w:link w:val="7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4">
    <w:name w:val="xl40"/>
    <w:basedOn w:val="769"/>
    <w:next w:val="1044"/>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name w:val="xl52"/>
    <w:basedOn w:val="769"/>
    <w:next w:val="1045"/>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6">
    <w:name w:val="xl43"/>
    <w:basedOn w:val="769"/>
    <w:next w:val="1046"/>
    <w:link w:val="7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7">
    <w:name w:val="background1"/>
    <w:basedOn w:val="769"/>
    <w:next w:val="1047"/>
    <w:link w:val="769"/>
    <w:qFormat/>
    <w:pPr>
      <w:jc w:val="left"/>
      <w:spacing w:before="100" w:beforeAutospacing="1" w:after="100" w:afterAutospacing="1"/>
      <w:widowControl/>
    </w:pPr>
    <w:rPr>
      <w:rFonts w:ascii="宋体" w:hAnsi="宋体" w:cs="宋体"/>
      <w:sz w:val="24"/>
    </w:rPr>
  </w:style>
  <w:style w:type="paragraph" w:styleId="1048">
    <w:name w:val="Char Char Char Char Char Char Char"/>
    <w:basedOn w:val="769"/>
    <w:next w:val="1048"/>
    <w:link w:val="769"/>
    <w:qFormat/>
    <w:pPr>
      <w:ind w:firstLine="200"/>
      <w:spacing w:line="360" w:lineRule="auto"/>
    </w:pPr>
    <w:rPr>
      <w:rFonts w:eastAsia="仿宋_GB2312"/>
      <w:sz w:val="24"/>
    </w:rPr>
  </w:style>
  <w:style w:type="paragraph" w:styleId="1049">
    <w:name w:val="xl38"/>
    <w:basedOn w:val="769"/>
    <w:next w:val="1049"/>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0">
    <w:name w:val="xl36"/>
    <w:basedOn w:val="769"/>
    <w:next w:val="1050"/>
    <w:link w:val="7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1">
    <w:name w:val="正文 + 宋体"/>
    <w:basedOn w:val="769"/>
    <w:next w:val="1051"/>
    <w:link w:val="769"/>
    <w:qFormat/>
    <w:pPr>
      <w:ind w:left="360" w:hanging="360"/>
      <w:jc w:val="left"/>
      <w:widowControl/>
    </w:pPr>
    <w:rPr>
      <w:rFonts w:ascii="宋体" w:hAnsi="宋体" w:cs="宋体"/>
      <w:b/>
      <w:bCs/>
      <w:color w:val="000000"/>
      <w:sz w:val="18"/>
      <w:szCs w:val="18"/>
    </w:rPr>
  </w:style>
  <w:style w:type="paragraph" w:styleId="1052">
    <w:name w:val="正文列项_数字"/>
    <w:basedOn w:val="769"/>
    <w:next w:val="1052"/>
    <w:link w:val="769"/>
    <w:qFormat/>
    <w:pPr>
      <w:numPr>
        <w:ilvl w:val="7"/>
        <w:numId w:val="1"/>
      </w:numPr>
      <w:ind w:left="680" w:hanging="150"/>
      <w:spacing w:line="460" w:lineRule="exact"/>
      <w:tabs>
        <w:tab w:val="clear" w:pos="860" w:leader="none"/>
      </w:tabs>
      <w:outlineLvl w:val="7"/>
    </w:pPr>
    <w:rPr>
      <w:rFonts w:ascii="宋体"/>
      <w:sz w:val="28"/>
      <w:szCs w:val="20"/>
    </w:rPr>
  </w:style>
  <w:style w:type="paragraph" w:styleId="1053">
    <w:name w:val="xl39"/>
    <w:basedOn w:val="769"/>
    <w:next w:val="1053"/>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name w:val="xl37"/>
    <w:basedOn w:val="769"/>
    <w:next w:val="1054"/>
    <w:link w:val="7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name w:val="xl32"/>
    <w:basedOn w:val="769"/>
    <w:next w:val="1055"/>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font8"/>
    <w:basedOn w:val="769"/>
    <w:next w:val="1056"/>
    <w:link w:val="769"/>
    <w:qFormat/>
    <w:pPr>
      <w:jc w:val="left"/>
      <w:spacing w:before="100" w:beforeAutospacing="1" w:after="100" w:afterAutospacing="1"/>
      <w:widowControl/>
    </w:pPr>
    <w:rPr>
      <w:sz w:val="36"/>
      <w:szCs w:val="36"/>
    </w:rPr>
  </w:style>
  <w:style w:type="paragraph" w:styleId="1057">
    <w:name w:val="Char"/>
    <w:basedOn w:val="769"/>
    <w:next w:val="1057"/>
    <w:link w:val="769"/>
    <w:qFormat/>
    <w:pPr>
      <w:tabs>
        <w:tab w:val="left" w:pos="360" w:leader="none"/>
      </w:tabs>
    </w:pPr>
    <w:rPr>
      <w:sz w:val="24"/>
    </w:rPr>
  </w:style>
  <w:style w:type="paragraph" w:styleId="1058">
    <w:name w:val="Char Char Char Char Char Char Char Char Char Char Char Char Char Char Char Char"/>
    <w:basedOn w:val="769"/>
    <w:next w:val="1058"/>
    <w:link w:val="769"/>
    <w:qFormat/>
    <w:pPr>
      <w:jc w:val="center"/>
      <w:spacing w:after="160" w:line="240" w:lineRule="exact"/>
      <w:widowControl/>
    </w:pPr>
    <w:rPr>
      <w:rFonts w:ascii="宋体" w:hAnsi="宋体"/>
      <w:b/>
      <w:sz w:val="30"/>
      <w:szCs w:val="30"/>
      <w:lang w:eastAsia="en-US"/>
    </w:rPr>
  </w:style>
  <w:style w:type="paragraph" w:styleId="1059">
    <w:name w:val="xl45"/>
    <w:basedOn w:val="769"/>
    <w:next w:val="1059"/>
    <w:link w:val="7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0">
    <w:name w:val="Char Char1 Char Char Char Char Char Char"/>
    <w:basedOn w:val="769"/>
    <w:next w:val="1060"/>
    <w:link w:val="769"/>
    <w:qFormat/>
    <w:pPr>
      <w:jc w:val="left"/>
      <w:spacing w:after="160" w:line="240" w:lineRule="exact"/>
      <w:widowControl/>
    </w:pPr>
    <w:rPr>
      <w:rFonts w:ascii="Verdana" w:hAnsi="Verdana" w:eastAsia="仿宋_GB2312"/>
      <w:sz w:val="24"/>
      <w:szCs w:val="20"/>
      <w:lang w:eastAsia="en-US"/>
    </w:rPr>
  </w:style>
  <w:style w:type="paragraph" w:styleId="1061">
    <w:name w:val="Char Char1"/>
    <w:basedOn w:val="781"/>
    <w:next w:val="1061"/>
    <w:link w:val="769"/>
    <w:qFormat/>
    <w:rPr>
      <w:rFonts w:ascii="Tahoma" w:hAnsi="Tahoma"/>
      <w:sz w:val="24"/>
    </w:rPr>
  </w:style>
  <w:style w:type="paragraph" w:styleId="1062">
    <w:name w:val="xl26"/>
    <w:basedOn w:val="769"/>
    <w:next w:val="1062"/>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3">
    <w:name w:val="xl30"/>
    <w:basedOn w:val="769"/>
    <w:next w:val="1063"/>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name w:val="xl41"/>
    <w:basedOn w:val="769"/>
    <w:next w:val="1064"/>
    <w:link w:val="7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5">
    <w:name w:val="样式 宋体 五号 行距: 单倍行距"/>
    <w:basedOn w:val="769"/>
    <w:next w:val="1065"/>
    <w:link w:val="769"/>
    <w:qFormat/>
    <w:pPr>
      <w:jc w:val="left"/>
    </w:pPr>
    <w:rPr>
      <w:rFonts w:ascii="宋体" w:hAnsi="宋体"/>
      <w:szCs w:val="20"/>
    </w:rPr>
  </w:style>
  <w:style w:type="paragraph" w:styleId="1066">
    <w:name w:val="Char1 Char Char Char1"/>
    <w:basedOn w:val="769"/>
    <w:next w:val="1066"/>
    <w:link w:val="769"/>
    <w:qFormat/>
    <w:rPr>
      <w:rFonts w:ascii="Tahoma" w:hAnsi="Tahoma" w:cs="仿宋_GB2312"/>
      <w:sz w:val="24"/>
      <w:szCs w:val="28"/>
    </w:rPr>
  </w:style>
  <w:style w:type="paragraph" w:styleId="1067">
    <w:name w:val="四级条标题"/>
    <w:basedOn w:val="1068"/>
    <w:next w:val="769"/>
    <w:link w:val="769"/>
    <w:qFormat/>
    <w:pPr>
      <w:numPr>
        <w:ilvl w:val="4"/>
      </w:numPr>
      <w:ind w:left="0" w:hanging="840"/>
      <w:tabs>
        <w:tab w:val="left" w:pos="360" w:leader="none"/>
        <w:tab w:val="left" w:pos="840" w:leader="none"/>
      </w:tabs>
      <w:outlineLvl w:val="4"/>
    </w:pPr>
  </w:style>
  <w:style w:type="paragraph" w:styleId="1068">
    <w:name w:val="三级条标题"/>
    <w:basedOn w:val="1030"/>
    <w:next w:val="769"/>
    <w:link w:val="769"/>
    <w:qFormat/>
    <w:pPr>
      <w:numPr>
        <w:ilvl w:val="3"/>
        <w:numId w:val="1"/>
      </w:numPr>
      <w:ind w:left="0" w:hanging="840"/>
      <w:tabs>
        <w:tab w:val="left" w:pos="360" w:leader="none"/>
        <w:tab w:val="left" w:pos="840" w:leader="none"/>
      </w:tabs>
      <w:outlineLvl w:val="3"/>
    </w:pPr>
  </w:style>
  <w:style w:type="paragraph" w:styleId="1069">
    <w:name w:val="??"/>
    <w:next w:val="1069"/>
    <w:link w:val="769"/>
    <w:qFormat/>
    <w:pPr>
      <w:jc w:val="both"/>
      <w:widowControl w:val="off"/>
    </w:pPr>
    <w:rPr>
      <w:sz w:val="21"/>
    </w:rPr>
  </w:style>
  <w:style w:type="paragraph" w:styleId="1070">
    <w:name w:val="样式 标题 2 + 宋体 五号 行距: 单倍行距"/>
    <w:basedOn w:val="985"/>
    <w:next w:val="1070"/>
    <w:link w:val="76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1">
    <w:name w:val="List Paragraph1"/>
    <w:basedOn w:val="769"/>
    <w:next w:val="1071"/>
    <w:link w:val="769"/>
    <w:qFormat/>
    <w:pPr>
      <w:ind w:firstLine="420"/>
    </w:pPr>
    <w:rPr>
      <w:rFonts w:ascii="Calibri" w:hAnsi="Calibri"/>
      <w:szCs w:val="22"/>
    </w:rPr>
  </w:style>
  <w:style w:type="paragraph" w:styleId="1072">
    <w:name w:val="项目符号1"/>
    <w:basedOn w:val="1073"/>
    <w:next w:val="1072"/>
    <w:link w:val="769"/>
    <w:qFormat/>
    <w:pPr>
      <w:ind w:left="-25" w:firstLine="0"/>
    </w:pPr>
  </w:style>
  <w:style w:type="paragraph" w:styleId="1073">
    <w:name w:val="正文文本样式"/>
    <w:basedOn w:val="769"/>
    <w:next w:val="1073"/>
    <w:link w:val="769"/>
    <w:qFormat/>
    <w:pPr>
      <w:ind w:firstLine="482"/>
      <w:spacing w:line="360" w:lineRule="auto"/>
    </w:pPr>
    <w:rPr>
      <w:rFonts w:cs="宋体"/>
      <w:sz w:val="24"/>
      <w:szCs w:val="20"/>
    </w:rPr>
  </w:style>
  <w:style w:type="paragraph" w:styleId="1074">
    <w:name w:val="xl27"/>
    <w:basedOn w:val="769"/>
    <w:next w:val="1074"/>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font5"/>
    <w:basedOn w:val="769"/>
    <w:next w:val="1075"/>
    <w:link w:val="769"/>
    <w:qFormat/>
    <w:pPr>
      <w:jc w:val="left"/>
      <w:spacing w:before="100" w:beforeAutospacing="1" w:after="100" w:afterAutospacing="1"/>
      <w:widowControl/>
    </w:pPr>
    <w:rPr>
      <w:rFonts w:ascii="宋体" w:hAnsi="宋体" w:cs="宋体"/>
      <w:sz w:val="18"/>
      <w:szCs w:val="18"/>
    </w:rPr>
  </w:style>
  <w:style w:type="paragraph" w:styleId="1076">
    <w:name w:val="五级条标题"/>
    <w:basedOn w:val="1067"/>
    <w:next w:val="769"/>
    <w:link w:val="769"/>
    <w:qFormat/>
    <w:pPr>
      <w:numPr>
        <w:ilvl w:val="5"/>
      </w:numPr>
      <w:ind w:left="0" w:hanging="840"/>
      <w:tabs>
        <w:tab w:val="left" w:pos="360" w:leader="none"/>
        <w:tab w:val="left" w:pos="840" w:leader="none"/>
      </w:tabs>
      <w:outlineLvl w:val="5"/>
    </w:pPr>
  </w:style>
  <w:style w:type="paragraph" w:styleId="1077">
    <w:name w:val="xl49"/>
    <w:basedOn w:val="769"/>
    <w:next w:val="1077"/>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8">
    <w:name w:val="文档正文"/>
    <w:basedOn w:val="769"/>
    <w:next w:val="1078"/>
    <w:link w:val="769"/>
    <w:qFormat/>
    <w:pPr>
      <w:spacing w:before="120" w:after="120" w:line="180" w:lineRule="auto"/>
    </w:pPr>
    <w:rPr>
      <w:rFonts w:ascii="Arial" w:hAnsi="Arial"/>
      <w:szCs w:val="20"/>
    </w:rPr>
  </w:style>
  <w:style w:type="paragraph" w:styleId="1079">
    <w:name w:val="xl33"/>
    <w:basedOn w:val="769"/>
    <w:next w:val="1079"/>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0">
    <w:name w:val="xl42"/>
    <w:basedOn w:val="769"/>
    <w:next w:val="1080"/>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1">
    <w:name w:val="Char Char Char1 Char"/>
    <w:basedOn w:val="769"/>
    <w:next w:val="1081"/>
    <w:link w:val="769"/>
    <w:qFormat/>
    <w:rPr>
      <w:rFonts w:ascii="Tahoma" w:hAnsi="Tahoma"/>
      <w:sz w:val="24"/>
      <w:szCs w:val="20"/>
    </w:rPr>
  </w:style>
  <w:style w:type="paragraph" w:styleId="1082">
    <w:name w:val="xl44"/>
    <w:basedOn w:val="769"/>
    <w:next w:val="1082"/>
    <w:link w:val="7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3">
    <w:name w:val="1名"/>
    <w:basedOn w:val="769"/>
    <w:next w:val="1083"/>
    <w:link w:val="769"/>
    <w:qFormat/>
    <w:pPr>
      <w:numPr>
        <w:ilvl w:val="0"/>
        <w:numId w:val="5"/>
      </w:numPr>
      <w:spacing w:before="120"/>
      <w:tabs>
        <w:tab w:val="left" w:pos="360" w:leader="none"/>
      </w:tabs>
    </w:pPr>
    <w:rPr>
      <w:rFonts w:ascii="宋体"/>
      <w:sz w:val="28"/>
      <w:szCs w:val="20"/>
    </w:rPr>
  </w:style>
  <w:style w:type="paragraph" w:styleId="1084">
    <w:name w:val="font9"/>
    <w:basedOn w:val="769"/>
    <w:next w:val="1084"/>
    <w:link w:val="769"/>
    <w:qFormat/>
    <w:pPr>
      <w:jc w:val="left"/>
      <w:spacing w:before="100" w:beforeAutospacing="1" w:after="100" w:afterAutospacing="1"/>
      <w:widowControl/>
    </w:pPr>
    <w:rPr>
      <w:rFonts w:hint="eastAsia" w:ascii="宋体" w:hAnsi="宋体" w:cs="Arial Unicode MS"/>
      <w:color w:val="000000"/>
      <w:sz w:val="20"/>
      <w:szCs w:val="20"/>
    </w:rPr>
  </w:style>
  <w:style w:type="paragraph" w:styleId="1085">
    <w:name w:val="Char Char Char1 Char1"/>
    <w:basedOn w:val="769"/>
    <w:next w:val="1085"/>
    <w:link w:val="769"/>
    <w:qFormat/>
    <w:rPr>
      <w:rFonts w:ascii="Tahoma" w:hAnsi="Tahoma"/>
      <w:sz w:val="24"/>
      <w:szCs w:val="20"/>
    </w:rPr>
  </w:style>
  <w:style w:type="paragraph" w:styleId="1086">
    <w:name w:val="Char Char Char Char Char Char Char Char Char Char"/>
    <w:basedOn w:val="769"/>
    <w:next w:val="1086"/>
    <w:link w:val="769"/>
    <w:qFormat/>
  </w:style>
  <w:style w:type="paragraph" w:styleId="1087">
    <w:name w:val="Char Char1 Char Char Char Char Char Char Char Char"/>
    <w:basedOn w:val="769"/>
    <w:next w:val="1087"/>
    <w:link w:val="769"/>
    <w:qFormat/>
    <w:pPr>
      <w:jc w:val="left"/>
      <w:spacing w:after="160" w:line="240" w:lineRule="exact"/>
      <w:widowControl/>
    </w:pPr>
    <w:rPr>
      <w:rFonts w:ascii="Verdana" w:hAnsi="Verdana"/>
      <w:sz w:val="20"/>
      <w:szCs w:val="20"/>
      <w:lang w:eastAsia="en-US"/>
    </w:rPr>
  </w:style>
  <w:style w:type="paragraph" w:styleId="1088">
    <w:name w:val="Char1"/>
    <w:basedOn w:val="769"/>
    <w:next w:val="1088"/>
    <w:link w:val="769"/>
    <w:qFormat/>
    <w:pPr>
      <w:tabs>
        <w:tab w:val="left" w:pos="360" w:leader="none"/>
      </w:tabs>
    </w:pPr>
    <w:rPr>
      <w:sz w:val="24"/>
    </w:rPr>
  </w:style>
  <w:style w:type="paragraph" w:styleId="1089">
    <w:name w:val="正文列项_字母"/>
    <w:basedOn w:val="769"/>
    <w:next w:val="1089"/>
    <w:link w:val="769"/>
    <w:qFormat/>
    <w:pPr>
      <w:numPr>
        <w:ilvl w:val="6"/>
        <w:numId w:val="1"/>
      </w:numPr>
      <w:ind w:left="480" w:hanging="180"/>
      <w:spacing w:line="460" w:lineRule="exact"/>
      <w:tabs>
        <w:tab w:val="clear" w:pos="635" w:leader="none"/>
      </w:tabs>
      <w:outlineLvl w:val="6"/>
    </w:pPr>
    <w:rPr>
      <w:rFonts w:ascii="宋体"/>
      <w:sz w:val="28"/>
      <w:szCs w:val="20"/>
    </w:rPr>
  </w:style>
  <w:style w:type="paragraph" w:styleId="1090">
    <w:name w:val="xl28"/>
    <w:basedOn w:val="769"/>
    <w:next w:val="1090"/>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1">
    <w:name w:val="xl47"/>
    <w:basedOn w:val="769"/>
    <w:next w:val="1091"/>
    <w:link w:val="7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name w:val="默认段落字体 Para Char Char Char Char"/>
    <w:basedOn w:val="769"/>
    <w:next w:val="1092"/>
    <w:link w:val="769"/>
    <w:qFormat/>
    <w:rPr>
      <w:rFonts w:ascii="Arial" w:hAnsi="Arial" w:cs="Arial"/>
      <w:szCs w:val="21"/>
    </w:rPr>
  </w:style>
  <w:style w:type="paragraph" w:styleId="1093">
    <w:name w:val="xl48"/>
    <w:basedOn w:val="769"/>
    <w:next w:val="1093"/>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4">
    <w:name w:val="xl31"/>
    <w:basedOn w:val="769"/>
    <w:next w:val="1094"/>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5">
    <w:name w:val="xl53"/>
    <w:basedOn w:val="769"/>
    <w:next w:val="1095"/>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6">
    <w:name w:val="Char Char Char"/>
    <w:basedOn w:val="769"/>
    <w:next w:val="1096"/>
    <w:link w:val="769"/>
    <w:qFormat/>
    <w:rPr>
      <w:rFonts w:ascii="Tahoma" w:hAnsi="Tahoma"/>
      <w:sz w:val="24"/>
      <w:szCs w:val="20"/>
    </w:rPr>
  </w:style>
  <w:style w:type="paragraph" w:styleId="1097">
    <w:name w:val="xl50"/>
    <w:basedOn w:val="769"/>
    <w:next w:val="1097"/>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8">
    <w:name w:val="缺省文本"/>
    <w:basedOn w:val="769"/>
    <w:next w:val="1098"/>
    <w:link w:val="769"/>
    <w:qFormat/>
    <w:pPr>
      <w:jc w:val="left"/>
    </w:pPr>
    <w:rPr>
      <w:sz w:val="24"/>
    </w:rPr>
  </w:style>
  <w:style w:type="paragraph" w:styleId="1099">
    <w:name w:val="Char Char Char1"/>
    <w:basedOn w:val="769"/>
    <w:next w:val="1099"/>
    <w:link w:val="769"/>
    <w:qFormat/>
    <w:rPr>
      <w:rFonts w:ascii="Tahoma" w:hAnsi="Tahoma"/>
      <w:sz w:val="24"/>
      <w:szCs w:val="20"/>
    </w:rPr>
  </w:style>
  <w:style w:type="paragraph" w:styleId="1100">
    <w:name w:val="Char Char Char Char Char Char Char1"/>
    <w:basedOn w:val="769"/>
    <w:next w:val="1100"/>
    <w:link w:val="769"/>
    <w:qFormat/>
    <w:pPr>
      <w:ind w:firstLine="200"/>
      <w:spacing w:line="360" w:lineRule="auto"/>
    </w:pPr>
    <w:rPr>
      <w:rFonts w:eastAsia="仿宋_GB2312"/>
      <w:sz w:val="24"/>
    </w:rPr>
  </w:style>
  <w:style w:type="paragraph" w:styleId="1101">
    <w:name w:val="xl51"/>
    <w:basedOn w:val="769"/>
    <w:next w:val="1101"/>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样式2"/>
    <w:basedOn w:val="820"/>
    <w:next w:val="1102"/>
    <w:link w:val="769"/>
    <w:qFormat/>
    <w:pPr>
      <w:jc w:val="center"/>
      <w:spacing w:line="360" w:lineRule="auto"/>
    </w:pPr>
    <w:rPr>
      <w:sz w:val="24"/>
    </w:rPr>
  </w:style>
  <w:style w:type="paragraph" w:styleId="1103">
    <w:name w:val="xl24"/>
    <w:basedOn w:val="769"/>
    <w:next w:val="1103"/>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xl29"/>
    <w:basedOn w:val="769"/>
    <w:next w:val="1104"/>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5">
    <w:name w:val="正文 + 楷体_GB2312"/>
    <w:basedOn w:val="769"/>
    <w:next w:val="1105"/>
    <w:link w:val="769"/>
    <w:qFormat/>
    <w:pPr>
      <w:jc w:val="left"/>
      <w:widowControl/>
    </w:pPr>
    <w:rPr>
      <w:rFonts w:ascii="楷体_GB2312" w:eastAsia="楷体_GB2312" w:cs="Arial"/>
      <w:sz w:val="24"/>
    </w:rPr>
  </w:style>
  <w:style w:type="paragraph" w:styleId="1106">
    <w:name w:val="xl34"/>
    <w:basedOn w:val="769"/>
    <w:next w:val="1106"/>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7">
    <w:name w:val="1 Char Char Char Char"/>
    <w:basedOn w:val="769"/>
    <w:next w:val="1107"/>
    <w:link w:val="769"/>
    <w:qFormat/>
    <w:rPr>
      <w:rFonts w:ascii="Tahoma" w:hAnsi="Tahoma"/>
      <w:sz w:val="24"/>
      <w:szCs w:val="20"/>
    </w:rPr>
  </w:style>
  <w:style w:type="paragraph" w:styleId="1108">
    <w:name w:val="Default"/>
    <w:next w:val="1108"/>
    <w:link w:val="769"/>
    <w:qFormat/>
    <w:pPr>
      <w:widowControl w:val="off"/>
    </w:pPr>
    <w:rPr>
      <w:rFonts w:ascii="Symbol" w:hAnsi="Symbol" w:cs="Symbol"/>
      <w:color w:val="000000"/>
      <w:sz w:val="24"/>
      <w:szCs w:val="24"/>
      <w:lang w:eastAsia="zh-CN"/>
    </w:rPr>
  </w:style>
  <w:style w:type="paragraph" w:styleId="1109">
    <w:name w:val="列出段落1"/>
    <w:basedOn w:val="769"/>
    <w:next w:val="1109"/>
    <w:link w:val="769"/>
    <w:qFormat/>
    <w:pPr>
      <w:ind w:firstLine="420"/>
    </w:pPr>
    <w:rPr>
      <w:rFonts w:ascii="Calibri" w:hAnsi="Calibri"/>
      <w:szCs w:val="22"/>
    </w:rPr>
  </w:style>
  <w:style w:type="paragraph" w:styleId="1110">
    <w:name w:val="default"/>
    <w:basedOn w:val="769"/>
    <w:next w:val="1110"/>
    <w:link w:val="769"/>
    <w:qFormat/>
    <w:pPr>
      <w:jc w:val="left"/>
      <w:spacing w:before="100" w:beforeAutospacing="1" w:after="100" w:afterAutospacing="1"/>
      <w:widowControl/>
    </w:pPr>
    <w:rPr>
      <w:rFonts w:ascii="宋体" w:hAnsi="宋体" w:cs="宋体"/>
      <w:sz w:val="24"/>
    </w:rPr>
  </w:style>
  <w:style w:type="paragraph" w:styleId="1111">
    <w:name w:val="字元 字元1"/>
    <w:basedOn w:val="769"/>
    <w:next w:val="1111"/>
    <w:link w:val="769"/>
    <w:qFormat/>
    <w:rPr>
      <w:rFonts w:ascii="Tahoma" w:hAnsi="Tahoma"/>
      <w:sz w:val="24"/>
      <w:szCs w:val="20"/>
    </w:rPr>
  </w:style>
  <w:style w:type="paragraph" w:styleId="1112">
    <w:name w:val="_Style 160"/>
    <w:next w:val="1112"/>
    <w:link w:val="769"/>
    <w:qFormat/>
    <w:rPr>
      <w:sz w:val="21"/>
      <w:szCs w:val="24"/>
      <w:lang w:eastAsia="zh-CN"/>
    </w:rPr>
  </w:style>
  <w:style w:type="paragraph" w:styleId="1113">
    <w:name w:val="项目编号3"/>
    <w:basedOn w:val="1073"/>
    <w:next w:val="1113"/>
    <w:link w:val="769"/>
    <w:qFormat/>
    <w:pPr>
      <w:numPr>
        <w:ilvl w:val="0"/>
        <w:numId w:val="6"/>
      </w:numPr>
    </w:pPr>
  </w:style>
  <w:style w:type="paragraph" w:styleId="1114">
    <w:name w:val="Char21"/>
    <w:basedOn w:val="769"/>
    <w:next w:val="1114"/>
    <w:link w:val="769"/>
    <w:qFormat/>
    <w:rPr>
      <w:rFonts w:ascii="Tahoma" w:hAnsi="Tahoma"/>
      <w:sz w:val="24"/>
      <w:szCs w:val="20"/>
    </w:rPr>
  </w:style>
  <w:style w:type="paragraph" w:styleId="1115">
    <w:name w:val="表格文字"/>
    <w:basedOn w:val="787"/>
    <w:next w:val="1115"/>
    <w:link w:val="769"/>
    <w:qFormat/>
    <w:pPr>
      <w:ind w:firstLine="0"/>
      <w:spacing w:before="20" w:after="20" w:line="240" w:lineRule="auto"/>
    </w:pPr>
    <w:rPr>
      <w:rFonts w:ascii="Century Gothic" w:hAnsi="Century Gothic"/>
      <w:sz w:val="20"/>
      <w:szCs w:val="20"/>
    </w:rPr>
  </w:style>
  <w:style w:type="paragraph" w:styleId="1116">
    <w:name w:val="Char Char Char Char Char Char Char Char Char Char1"/>
    <w:basedOn w:val="769"/>
    <w:next w:val="1116"/>
    <w:link w:val="769"/>
    <w:qFormat/>
    <w:rPr>
      <w:rFonts w:ascii="宋体" w:hAnsi="宋体" w:cs="Courier New"/>
      <w:sz w:val="32"/>
      <w:szCs w:val="32"/>
    </w:rPr>
  </w:style>
  <w:style w:type="paragraph" w:styleId="1117">
    <w:name w:val="正文文本样式 加粗"/>
    <w:basedOn w:val="1073"/>
    <w:next w:val="1117"/>
    <w:link w:val="769"/>
    <w:qFormat/>
    <w:rPr>
      <w:b/>
    </w:rPr>
  </w:style>
  <w:style w:type="paragraph" w:styleId="1118">
    <w:name w:val="Char2 Char Char Char Char Char Char"/>
    <w:basedOn w:val="769"/>
    <w:next w:val="1118"/>
    <w:link w:val="769"/>
    <w:qFormat/>
    <w:pPr>
      <w:jc w:val="center"/>
      <w:spacing w:line="400" w:lineRule="exact"/>
      <w:widowControl/>
    </w:pPr>
  </w:style>
  <w:style w:type="paragraph" w:styleId="1119">
    <w:name w:val="Char Char4"/>
    <w:basedOn w:val="769"/>
    <w:next w:val="1119"/>
    <w:link w:val="769"/>
    <w:qFormat/>
    <w:pPr>
      <w:jc w:val="center"/>
      <w:spacing w:line="400" w:lineRule="exact"/>
      <w:widowControl/>
    </w:pPr>
  </w:style>
  <w:style w:type="paragraph" w:styleId="1120">
    <w:name w:val="Char3 Char Char Char1"/>
    <w:basedOn w:val="769"/>
    <w:next w:val="1120"/>
    <w:link w:val="769"/>
    <w:qFormat/>
    <w:rPr>
      <w:rFonts w:ascii="Tahoma" w:hAnsi="Tahoma"/>
      <w:sz w:val="24"/>
      <w:szCs w:val="20"/>
    </w:rPr>
  </w:style>
  <w:style w:type="paragraph" w:styleId="1121">
    <w:name w:val="No Spacing"/>
    <w:next w:val="1121"/>
    <w:link w:val="769"/>
    <w:qFormat/>
    <w:pPr>
      <w:jc w:val="both"/>
      <w:widowControl w:val="off"/>
    </w:pPr>
    <w:rPr>
      <w:sz w:val="21"/>
      <w:szCs w:val="24"/>
      <w:lang w:eastAsia="zh-CN"/>
    </w:rPr>
  </w:style>
  <w:style w:type="paragraph" w:styleId="1122">
    <w:name w:val="22222222222222"/>
    <w:basedOn w:val="769"/>
    <w:next w:val="1122"/>
    <w:link w:val="769"/>
    <w:qFormat/>
    <w:pPr>
      <w:ind w:firstLine="480"/>
      <w:jc w:val="left"/>
      <w:spacing w:line="360" w:lineRule="auto"/>
      <w:widowControl/>
    </w:pPr>
    <w:rPr>
      <w:color w:val="ff0000"/>
      <w:sz w:val="24"/>
      <w:szCs w:val="20"/>
    </w:rPr>
  </w:style>
  <w:style w:type="character" w:styleId="1123">
    <w:name w:val="中等深浅网格 1 - 强调文字颜色 2 Char"/>
    <w:next w:val="1123"/>
    <w:link w:val="1124"/>
    <w:qFormat/>
    <w:rPr>
      <w:sz w:val="21"/>
      <w:szCs w:val="24"/>
      <w:lang w:val="zh-CN" w:eastAsia="zh-CN" w:bidi="ar-SA"/>
    </w:rPr>
  </w:style>
  <w:style w:type="paragraph" w:styleId="1124">
    <w:name w:val="1"/>
    <w:next w:val="1124"/>
    <w:link w:val="1123"/>
    <w:qFormat/>
    <w:rPr>
      <w:sz w:val="21"/>
      <w:szCs w:val="24"/>
      <w:lang w:val="zh-CN" w:eastAsia="zh-CN"/>
    </w:rPr>
  </w:style>
  <w:style w:type="paragraph" w:styleId="1125">
    <w:name w:val="图文"/>
    <w:basedOn w:val="769"/>
    <w:next w:val="1125"/>
    <w:link w:val="769"/>
    <w:qFormat/>
    <w:pPr>
      <w:spacing w:after="50" w:line="360" w:lineRule="auto"/>
    </w:pPr>
    <w:rPr>
      <w:sz w:val="24"/>
    </w:rPr>
  </w:style>
  <w:style w:type="paragraph" w:styleId="1126">
    <w:name w:val="xl23"/>
    <w:basedOn w:val="769"/>
    <w:next w:val="1126"/>
    <w:link w:val="769"/>
    <w:qFormat/>
    <w:pPr>
      <w:spacing w:before="100" w:beforeAutospacing="1" w:after="100" w:afterAutospacing="1" w:line="360" w:lineRule="auto"/>
      <w:widowControl/>
    </w:pPr>
    <w:rPr>
      <w:sz w:val="24"/>
      <w:szCs w:val="20"/>
    </w:rPr>
  </w:style>
  <w:style w:type="paragraph" w:styleId="1127">
    <w:name w:val="正文表格"/>
    <w:basedOn w:val="769"/>
    <w:next w:val="1127"/>
    <w:link w:val="1128"/>
    <w:qFormat/>
    <w:pPr>
      <w:jc w:val="left"/>
    </w:pPr>
    <w:rPr>
      <w:rFonts w:ascii="宋体" w:hAnsi="宋体"/>
      <w:color w:val="000000"/>
      <w:szCs w:val="21"/>
    </w:rPr>
  </w:style>
  <w:style w:type="character" w:styleId="1128">
    <w:name w:val="正文表格 Char"/>
    <w:next w:val="1128"/>
    <w:link w:val="1127"/>
    <w:qFormat/>
    <w:rPr>
      <w:rFonts w:ascii="宋体" w:hAnsi="宋体"/>
      <w:color w:val="000000"/>
      <w:sz w:val="21"/>
      <w:szCs w:val="21"/>
    </w:rPr>
  </w:style>
  <w:style w:type="paragraph" w:styleId="1129">
    <w:name w:val="正文重点"/>
    <w:basedOn w:val="769"/>
    <w:next w:val="1129"/>
    <w:link w:val="1130"/>
    <w:qFormat/>
    <w:pPr>
      <w:ind w:firstLine="482"/>
      <w:jc w:val="left"/>
      <w:spacing w:line="360" w:lineRule="auto"/>
    </w:pPr>
    <w:rPr>
      <w:b/>
      <w:sz w:val="24"/>
      <w:szCs w:val="20"/>
    </w:rPr>
  </w:style>
  <w:style w:type="character" w:styleId="1130">
    <w:name w:val="正文重点 Char"/>
    <w:next w:val="1130"/>
    <w:link w:val="1129"/>
    <w:qFormat/>
    <w:rPr>
      <w:b/>
      <w:sz w:val="24"/>
    </w:rPr>
  </w:style>
  <w:style w:type="paragraph" w:styleId="1131">
    <w:name w:val="标题1-附件"/>
    <w:basedOn w:val="983"/>
    <w:next w:val="1131"/>
    <w:link w:val="769"/>
    <w:qFormat/>
    <w:pPr>
      <w:jc w:val="left"/>
    </w:pPr>
    <w:rPr>
      <w:sz w:val="24"/>
      <w:szCs w:val="24"/>
    </w:rPr>
  </w:style>
  <w:style w:type="paragraph" w:styleId="1132">
    <w:name w:val="正文小标题"/>
    <w:basedOn w:val="769"/>
    <w:next w:val="779"/>
    <w:link w:val="1133"/>
    <w:qFormat/>
    <w:pPr>
      <w:ind w:firstLine="482"/>
      <w:jc w:val="left"/>
      <w:spacing w:before="312" w:after="312"/>
    </w:pPr>
    <w:rPr>
      <w:rFonts w:ascii="宋体" w:hAnsi="宋体"/>
      <w:b/>
      <w:i/>
      <w:color w:val="ff0000"/>
      <w:sz w:val="24"/>
      <w:szCs w:val="20"/>
    </w:rPr>
  </w:style>
  <w:style w:type="character" w:styleId="1133">
    <w:name w:val="正文小标题 Char"/>
    <w:next w:val="1133"/>
    <w:link w:val="1132"/>
    <w:qFormat/>
    <w:rPr>
      <w:rFonts w:ascii="宋体" w:hAnsi="宋体"/>
      <w:b/>
      <w:i/>
      <w:color w:val="ff0000"/>
      <w:sz w:val="24"/>
    </w:rPr>
  </w:style>
  <w:style w:type="paragraph" w:styleId="1134">
    <w:name w:val="正文大标题"/>
    <w:basedOn w:val="1132"/>
    <w:next w:val="779"/>
    <w:link w:val="1135"/>
    <w:qFormat/>
    <w:pPr>
      <w:jc w:val="center"/>
    </w:pPr>
    <w:rPr>
      <w:i w:val="0"/>
      <w:color w:val="000000"/>
      <w:sz w:val="28"/>
      <w:szCs w:val="21"/>
    </w:rPr>
  </w:style>
  <w:style w:type="character" w:styleId="1135">
    <w:name w:val="正文大标题 Char"/>
    <w:next w:val="1135"/>
    <w:link w:val="1134"/>
    <w:qFormat/>
    <w:rPr>
      <w:rFonts w:ascii="宋体" w:hAnsi="宋体"/>
      <w:b/>
      <w:color w:val="000000"/>
      <w:sz w:val="28"/>
      <w:szCs w:val="21"/>
    </w:rPr>
  </w:style>
  <w:style w:type="paragraph" w:styleId="1136">
    <w:name w:val="注释"/>
    <w:basedOn w:val="769"/>
    <w:next w:val="1136"/>
    <w:link w:val="1137"/>
    <w:qFormat/>
    <w:pPr>
      <w:ind w:left="420" w:hanging="420"/>
      <w:jc w:val="left"/>
    </w:pPr>
    <w:rPr>
      <w:rFonts w:ascii="宋体" w:hAnsi="宋体"/>
      <w:szCs w:val="21"/>
    </w:rPr>
  </w:style>
  <w:style w:type="character" w:styleId="1137">
    <w:name w:val="注释 Char"/>
    <w:next w:val="1137"/>
    <w:link w:val="1136"/>
    <w:qFormat/>
    <w:rPr>
      <w:rFonts w:ascii="宋体" w:hAnsi="宋体"/>
      <w:sz w:val="21"/>
      <w:szCs w:val="21"/>
    </w:rPr>
  </w:style>
  <w:style w:type="paragraph" w:styleId="1138">
    <w:name w:val="正文须知-1级"/>
    <w:basedOn w:val="769"/>
    <w:next w:val="769"/>
    <w:link w:val="769"/>
    <w:qFormat/>
    <w:pPr>
      <w:numPr>
        <w:ilvl w:val="0"/>
        <w:numId w:val="7"/>
      </w:numPr>
      <w:spacing w:line="300" w:lineRule="auto"/>
    </w:pPr>
    <w:rPr>
      <w:rFonts w:ascii="宋体" w:hAnsi="Calibri"/>
      <w:sz w:val="24"/>
      <w:szCs w:val="21"/>
    </w:rPr>
  </w:style>
  <w:style w:type="paragraph" w:styleId="1139">
    <w:name w:val="正文须知-2级"/>
    <w:basedOn w:val="769"/>
    <w:next w:val="1139"/>
    <w:link w:val="769"/>
    <w:qFormat/>
    <w:pPr>
      <w:numPr>
        <w:ilvl w:val="1"/>
        <w:numId w:val="7"/>
      </w:numPr>
      <w:spacing w:line="300" w:lineRule="auto"/>
    </w:pPr>
    <w:rPr>
      <w:rFonts w:ascii="宋体" w:hAnsi="Calibri"/>
      <w:sz w:val="24"/>
      <w:szCs w:val="21"/>
    </w:rPr>
  </w:style>
  <w:style w:type="paragraph" w:styleId="1140">
    <w:name w:val="正文须知-3级"/>
    <w:basedOn w:val="769"/>
    <w:next w:val="1140"/>
    <w:link w:val="769"/>
    <w:qFormat/>
    <w:pPr>
      <w:numPr>
        <w:ilvl w:val="2"/>
        <w:numId w:val="7"/>
      </w:numPr>
      <w:ind w:hanging="355"/>
      <w:spacing w:line="300" w:lineRule="auto"/>
    </w:pPr>
    <w:rPr>
      <w:rFonts w:ascii="宋体" w:hAnsi="Calibri"/>
      <w:sz w:val="24"/>
      <w:szCs w:val="21"/>
    </w:rPr>
  </w:style>
  <w:style w:type="character" w:styleId="1141">
    <w:name w:val="纯文本 字符"/>
    <w:next w:val="1141"/>
    <w:link w:val="769"/>
    <w:uiPriority w:val="99"/>
    <w:qFormat/>
    <w:rPr>
      <w:rFonts w:ascii="宋体" w:hAnsi="Courier New" w:eastAsia="宋体" w:cs="Times New Roman"/>
      <w:sz w:val="21"/>
      <w:szCs w:val="21"/>
      <w:lang w:val="en-US" w:eastAsia="zh-CN" w:bidi="ar-SA"/>
    </w:rPr>
  </w:style>
  <w:style w:type="paragraph" w:styleId="1142">
    <w:name w:val="表格1"/>
    <w:basedOn w:val="769"/>
    <w:next w:val="1142"/>
    <w:link w:val="769"/>
    <w:qFormat/>
    <w:pPr>
      <w:ind w:firstLine="480"/>
      <w:jc w:val="center"/>
    </w:pPr>
    <w:rPr>
      <w:sz w:val="24"/>
      <w:szCs w:val="20"/>
    </w:rPr>
  </w:style>
  <w:style w:type="character" w:styleId="1143">
    <w:name w:val="纯文本 字符1"/>
    <w:next w:val="1143"/>
    <w:link w:val="769"/>
    <w:qFormat/>
    <w:rPr>
      <w:rFonts w:ascii="宋体" w:hAnsi="Courier New"/>
    </w:rPr>
  </w:style>
  <w:style w:type="character" w:styleId="1144">
    <w:name w:val="bjh-p"/>
    <w:next w:val="1144"/>
    <w:link w:val="769"/>
    <w:qFormat/>
  </w:style>
  <w:style w:type="paragraph" w:styleId="1145">
    <w:name w:val="无标题条"/>
    <w:next w:val="769"/>
    <w:link w:val="769"/>
    <w:qFormat/>
    <w:pPr>
      <w:jc w:val="both"/>
    </w:pPr>
    <w:rPr>
      <w:sz w:val="21"/>
      <w:lang w:eastAsia="zh-CN"/>
    </w:rPr>
  </w:style>
  <w:style w:type="character" w:styleId="1146">
    <w:name w:val="正文格式 Char"/>
    <w:next w:val="1146"/>
    <w:link w:val="1147"/>
    <w:qFormat/>
    <w:rPr>
      <w:rFonts w:ascii="宋体" w:hAnsi="宋体"/>
      <w:sz w:val="24"/>
      <w:szCs w:val="24"/>
      <w:lang w:val="en-GB"/>
    </w:rPr>
  </w:style>
  <w:style w:type="paragraph" w:styleId="1147">
    <w:name w:val="正文格式"/>
    <w:basedOn w:val="769"/>
    <w:next w:val="1147"/>
    <w:link w:val="1146"/>
    <w:qFormat/>
    <w:pPr>
      <w:ind w:firstLine="480"/>
      <w:spacing w:line="360" w:lineRule="auto"/>
    </w:pPr>
    <w:rPr>
      <w:rFonts w:ascii="宋体" w:hAnsi="宋体"/>
      <w:sz w:val="24"/>
      <w:lang w:val="en-GB"/>
    </w:rPr>
  </w:style>
  <w:style w:type="character" w:styleId="1148">
    <w:name w:val="标题 3 Char"/>
    <w:next w:val="1148"/>
    <w:link w:val="769"/>
    <w:qFormat/>
    <w:rPr>
      <w:rFonts w:ascii="宋体" w:eastAsia="宋体"/>
      <w:b/>
      <w:sz w:val="24"/>
      <w:u w:val="single"/>
      <w:lang w:val="en-US" w:eastAsia="zh-CN" w:bidi="ar-SA"/>
    </w:rPr>
  </w:style>
  <w:style w:type="character" w:styleId="1149">
    <w:name w:val="正文缩进 Char"/>
    <w:next w:val="1149"/>
    <w:link w:val="769"/>
    <w:qFormat/>
    <w:rPr>
      <w:rFonts w:ascii="宋体" w:eastAsia="宋体"/>
      <w:sz w:val="24"/>
      <w:szCs w:val="24"/>
      <w:lang w:val="en-US" w:eastAsia="zh-CN" w:bidi="ar-SA"/>
    </w:rPr>
  </w:style>
  <w:style w:type="character" w:styleId="1150">
    <w:name w:val="Char Char111"/>
    <w:next w:val="1150"/>
    <w:link w:val="769"/>
    <w:qFormat/>
    <w:rPr>
      <w:rFonts w:ascii="宋体" w:eastAsia="宋体"/>
      <w:b/>
      <w:sz w:val="24"/>
      <w:u w:val="single"/>
      <w:lang w:val="en-US" w:eastAsia="zh-CN" w:bidi="ar-SA"/>
    </w:rPr>
  </w:style>
  <w:style w:type="character" w:styleId="1151">
    <w:name w:val="正文文本缩进 Char"/>
    <w:next w:val="1151"/>
    <w:link w:val="769"/>
    <w:qFormat/>
    <w:rPr>
      <w:rFonts w:eastAsia="宋体"/>
      <w:sz w:val="24"/>
      <w:szCs w:val="24"/>
      <w:lang w:val="en-US" w:eastAsia="zh-CN" w:bidi="ar-SA"/>
    </w:rPr>
  </w:style>
  <w:style w:type="character" w:styleId="1152">
    <w:name w:val="列出段落 Char"/>
    <w:next w:val="1152"/>
    <w:link w:val="769"/>
    <w:qFormat/>
    <w:rPr>
      <w:rFonts w:ascii="Calibri" w:hAnsi="Calibri" w:eastAsia="宋体"/>
      <w:sz w:val="21"/>
      <w:szCs w:val="22"/>
      <w:lang w:val="en-US" w:eastAsia="zh-CN" w:bidi="ar-SA"/>
    </w:rPr>
  </w:style>
  <w:style w:type="character" w:styleId="1153">
    <w:name w:val="页眉 Char"/>
    <w:next w:val="1153"/>
    <w:link w:val="769"/>
    <w:qFormat/>
    <w:rPr>
      <w:rFonts w:eastAsia="宋体"/>
      <w:sz w:val="18"/>
      <w:szCs w:val="18"/>
      <w:lang w:val="en-US" w:eastAsia="zh-CN" w:bidi="ar-SA"/>
    </w:rPr>
  </w:style>
  <w:style w:type="character" w:styleId="1154">
    <w:name w:val="标题 2 Char"/>
    <w:next w:val="1154"/>
    <w:link w:val="769"/>
    <w:qFormat/>
    <w:rPr>
      <w:rFonts w:ascii="Arial" w:hAnsi="Arial" w:eastAsia="黑体"/>
      <w:b/>
      <w:sz w:val="30"/>
      <w:lang w:val="en-US" w:eastAsia="zh-CN" w:bidi="ar-SA"/>
    </w:rPr>
  </w:style>
  <w:style w:type="paragraph" w:styleId="1155">
    <w:name w:val="字元 字元2"/>
    <w:basedOn w:val="769"/>
    <w:next w:val="1155"/>
    <w:link w:val="769"/>
    <w:qFormat/>
    <w:rPr>
      <w:rFonts w:ascii="Tahoma" w:hAnsi="Tahoma"/>
      <w:sz w:val="24"/>
      <w:szCs w:val="20"/>
    </w:rPr>
  </w:style>
  <w:style w:type="paragraph" w:styleId="1156">
    <w:name w:val="Char3 Char Char Char2"/>
    <w:basedOn w:val="769"/>
    <w:next w:val="1156"/>
    <w:link w:val="769"/>
    <w:qFormat/>
    <w:rPr>
      <w:rFonts w:ascii="Tahoma" w:hAnsi="Tahoma"/>
      <w:sz w:val="24"/>
      <w:szCs w:val="20"/>
    </w:rPr>
  </w:style>
  <w:style w:type="paragraph" w:styleId="1157">
    <w:name w:val="正文文本缩进2"/>
    <w:basedOn w:val="769"/>
    <w:next w:val="1157"/>
    <w:link w:val="769"/>
    <w:qFormat/>
    <w:pPr>
      <w:ind w:firstLine="480"/>
      <w:spacing w:line="480" w:lineRule="exact"/>
    </w:pPr>
    <w:rPr>
      <w:rFonts w:ascii="宋体" w:hAnsi="宋体"/>
      <w:sz w:val="24"/>
      <w:lang w:val="zh-CN"/>
    </w:rPr>
  </w:style>
  <w:style w:type="paragraph" w:styleId="1158">
    <w:name w:val="Char3"/>
    <w:basedOn w:val="769"/>
    <w:next w:val="1158"/>
    <w:link w:val="769"/>
    <w:qFormat/>
    <w:pPr>
      <w:tabs>
        <w:tab w:val="left" w:pos="360" w:leader="none"/>
      </w:tabs>
    </w:pPr>
    <w:rPr>
      <w:sz w:val="24"/>
    </w:rPr>
  </w:style>
  <w:style w:type="paragraph" w:styleId="1159">
    <w:name w:val="Char Char Char Char Char Char Char Char Char Char Char Char Char Char Char Char1"/>
    <w:basedOn w:val="769"/>
    <w:next w:val="1159"/>
    <w:link w:val="769"/>
    <w:qFormat/>
    <w:pPr>
      <w:jc w:val="center"/>
      <w:spacing w:after="160" w:line="240" w:lineRule="exact"/>
      <w:widowControl/>
    </w:pPr>
    <w:rPr>
      <w:rFonts w:ascii="宋体" w:hAnsi="宋体"/>
      <w:b/>
      <w:sz w:val="30"/>
      <w:szCs w:val="30"/>
      <w:lang w:eastAsia="en-US"/>
    </w:rPr>
  </w:style>
  <w:style w:type="paragraph" w:styleId="1160">
    <w:name w:val="Char Char1 Char Char Char Char Char Char1"/>
    <w:basedOn w:val="769"/>
    <w:next w:val="1160"/>
    <w:link w:val="769"/>
    <w:qFormat/>
    <w:pPr>
      <w:jc w:val="left"/>
      <w:spacing w:after="160" w:line="240" w:lineRule="exact"/>
      <w:widowControl/>
    </w:pPr>
    <w:rPr>
      <w:rFonts w:ascii="Verdana" w:hAnsi="Verdana" w:eastAsia="仿宋_GB2312"/>
      <w:sz w:val="24"/>
      <w:szCs w:val="20"/>
      <w:lang w:eastAsia="en-US"/>
    </w:rPr>
  </w:style>
  <w:style w:type="paragraph" w:styleId="1161">
    <w:name w:val="列出段落2"/>
    <w:basedOn w:val="769"/>
    <w:next w:val="1161"/>
    <w:link w:val="769"/>
    <w:qFormat/>
    <w:pPr>
      <w:ind w:firstLine="420"/>
    </w:pPr>
    <w:rPr>
      <w:rFonts w:ascii="Calibri" w:hAnsi="Calibri"/>
      <w:szCs w:val="22"/>
    </w:rPr>
  </w:style>
  <w:style w:type="paragraph" w:styleId="1162">
    <w:name w:val="Char Char Char1 Char2"/>
    <w:basedOn w:val="769"/>
    <w:next w:val="1162"/>
    <w:link w:val="769"/>
    <w:qFormat/>
    <w:rPr>
      <w:rFonts w:ascii="Tahoma" w:hAnsi="Tahoma"/>
      <w:sz w:val="24"/>
      <w:szCs w:val="20"/>
    </w:rPr>
  </w:style>
  <w:style w:type="paragraph" w:styleId="1163">
    <w:name w:val="Char Char Char2"/>
    <w:basedOn w:val="769"/>
    <w:next w:val="1163"/>
    <w:link w:val="769"/>
    <w:qFormat/>
    <w:rPr>
      <w:rFonts w:ascii="Tahoma" w:hAnsi="Tahoma"/>
      <w:sz w:val="24"/>
      <w:szCs w:val="20"/>
    </w:rPr>
  </w:style>
  <w:style w:type="paragraph" w:styleId="1164">
    <w:name w:val="Char Char Char Char Char Char Char2"/>
    <w:basedOn w:val="769"/>
    <w:next w:val="1164"/>
    <w:link w:val="769"/>
    <w:qFormat/>
    <w:pPr>
      <w:ind w:firstLine="200"/>
      <w:spacing w:line="360" w:lineRule="auto"/>
    </w:pPr>
    <w:rPr>
      <w:rFonts w:eastAsia="仿宋_GB2312"/>
      <w:sz w:val="24"/>
    </w:rPr>
  </w:style>
  <w:style w:type="paragraph" w:styleId="1165">
    <w:name w:val="正文缩进2"/>
    <w:basedOn w:val="769"/>
    <w:next w:val="1165"/>
    <w:link w:val="769"/>
    <w:qFormat/>
    <w:pPr>
      <w:ind w:firstLine="567"/>
      <w:spacing w:line="480" w:lineRule="exact"/>
      <w:widowControl/>
    </w:pPr>
    <w:rPr>
      <w:rFonts w:ascii="宋体"/>
      <w:color w:val="000000"/>
      <w:sz w:val="28"/>
      <w:szCs w:val="20"/>
      <w:lang w:val="zh-CN"/>
    </w:rPr>
  </w:style>
  <w:style w:type="paragraph" w:styleId="1166">
    <w:name w:val="修订1"/>
    <w:next w:val="1166"/>
    <w:link w:val="769"/>
    <w:qFormat/>
    <w:rPr>
      <w:sz w:val="21"/>
      <w:szCs w:val="24"/>
      <w:lang w:eastAsia="zh-CN"/>
    </w:rPr>
  </w:style>
  <w:style w:type="paragraph" w:styleId="1167">
    <w:name w:val="Char22"/>
    <w:basedOn w:val="769"/>
    <w:next w:val="1167"/>
    <w:link w:val="769"/>
    <w:qFormat/>
    <w:rPr>
      <w:rFonts w:ascii="Tahoma" w:hAnsi="Tahoma"/>
      <w:sz w:val="24"/>
      <w:szCs w:val="20"/>
    </w:rPr>
  </w:style>
  <w:style w:type="paragraph" w:styleId="1168">
    <w:name w:val="Char Char Char Char Char Char Char Char Char Char2"/>
    <w:basedOn w:val="769"/>
    <w:next w:val="1168"/>
    <w:link w:val="769"/>
    <w:qFormat/>
    <w:rPr>
      <w:rFonts w:ascii="宋体" w:hAnsi="宋体" w:cs="Courier New"/>
      <w:sz w:val="32"/>
      <w:szCs w:val="32"/>
    </w:rPr>
  </w:style>
  <w:style w:type="paragraph" w:styleId="1169">
    <w:name w:val="Char2 Char Char Char Char Char Char1"/>
    <w:basedOn w:val="769"/>
    <w:next w:val="1169"/>
    <w:link w:val="769"/>
    <w:qFormat/>
    <w:pPr>
      <w:jc w:val="center"/>
      <w:spacing w:line="400" w:lineRule="exact"/>
      <w:widowControl/>
    </w:pPr>
  </w:style>
  <w:style w:type="character" w:styleId="1170">
    <w:name w:val="页脚 Char"/>
    <w:next w:val="1170"/>
    <w:link w:val="769"/>
    <w:qFormat/>
    <w:rPr>
      <w:rFonts w:ascii="宋体" w:eastAsia="宋体"/>
      <w:sz w:val="18"/>
      <w:lang w:val="en-US" w:eastAsia="zh-CN" w:bidi="ar-SA"/>
    </w:rPr>
  </w:style>
  <w:style w:type="paragraph" w:styleId="1171">
    <w:name w:val="Char Char41"/>
    <w:basedOn w:val="769"/>
    <w:next w:val="1171"/>
    <w:link w:val="769"/>
    <w:qFormat/>
    <w:pPr>
      <w:jc w:val="center"/>
      <w:spacing w:line="400" w:lineRule="exact"/>
      <w:widowControl/>
    </w:pPr>
  </w:style>
  <w:style w:type="character" w:styleId="1172">
    <w:name w:val="批注文字 Char"/>
    <w:next w:val="1172"/>
    <w:link w:val="769"/>
    <w:uiPriority w:val="99"/>
    <w:qFormat/>
    <w:rPr>
      <w:sz w:val="21"/>
      <w:szCs w:val="24"/>
    </w:rPr>
  </w:style>
  <w:style w:type="character" w:styleId="1173">
    <w:name w:val="标题 Char"/>
    <w:next w:val="1173"/>
    <w:link w:val="769"/>
    <w:qFormat/>
    <w:rPr>
      <w:b/>
      <w:sz w:val="32"/>
    </w:rPr>
  </w:style>
  <w:style w:type="paragraph" w:styleId="1174">
    <w:name w:val="图例"/>
    <w:basedOn w:val="769"/>
    <w:next w:val="1174"/>
    <w:link w:val="769"/>
    <w:qFormat/>
    <w:pPr>
      <w:jc w:val="center"/>
      <w:spacing w:before="120" w:after="120" w:line="360" w:lineRule="auto"/>
    </w:pPr>
    <w:rPr>
      <w:rFonts w:eastAsia="仿宋_GB2312"/>
      <w:b/>
      <w:sz w:val="24"/>
      <w:szCs w:val="20"/>
    </w:rPr>
  </w:style>
  <w:style w:type="table" w:styleId="1175">
    <w:name w:val="Table Normal_0"/>
    <w:next w:val="1175"/>
    <w:link w:val="769"/>
    <w:uiPriority w:val="2"/>
    <w:unhideWhenUsed/>
    <w:qFormat/>
    <w:pPr>
      <w:widowControl w:val="off"/>
    </w:pPr>
    <w:rPr>
      <w:rFonts w:ascii="Calibri" w:hAnsi="Calibri"/>
      <w:sz w:val="22"/>
      <w:szCs w:val="22"/>
      <w:lang w:eastAsia="en-US"/>
    </w:rPr>
    <w:tblPr/>
  </w:style>
  <w:style w:type="paragraph" w:styleId="1176">
    <w:name w:val="Table Paragraph"/>
    <w:basedOn w:val="769"/>
    <w:next w:val="1176"/>
    <w:link w:val="769"/>
    <w:uiPriority w:val="1"/>
    <w:qFormat/>
    <w:pPr>
      <w:jc w:val="left"/>
    </w:pPr>
    <w:rPr>
      <w:rFonts w:ascii="宋体" w:hAnsi="宋体" w:cs="宋体"/>
      <w:sz w:val="22"/>
      <w:szCs w:val="22"/>
      <w:lang w:eastAsia="en-US"/>
    </w:rPr>
  </w:style>
  <w:style w:type="paragraph" w:styleId="1177">
    <w:name w:val="成文日期"/>
    <w:basedOn w:val="769"/>
    <w:next w:val="1177"/>
    <w:link w:val="1178"/>
    <w:qFormat/>
    <w:pPr>
      <w:ind w:right="400" w:firstLine="200"/>
      <w:jc w:val="right"/>
      <w:spacing w:line="570" w:lineRule="exact"/>
    </w:pPr>
    <w:rPr>
      <w:rFonts w:ascii="仿宋_GB2312" w:eastAsia="仿宋_GB2312"/>
      <w:sz w:val="32"/>
      <w:szCs w:val="20"/>
    </w:rPr>
  </w:style>
  <w:style w:type="character" w:styleId="1178">
    <w:name w:val="成文日期 Char"/>
    <w:next w:val="1178"/>
    <w:link w:val="1177"/>
    <w:qFormat/>
    <w:rPr>
      <w:rFonts w:ascii="仿宋_GB2312" w:eastAsia="仿宋_GB2312"/>
      <w:sz w:val="32"/>
    </w:rPr>
  </w:style>
  <w:style w:type="paragraph" w:styleId="1179">
    <w:name w:val="_Style 249"/>
    <w:next w:val="1179"/>
    <w:link w:val="769"/>
    <w:uiPriority w:val="99"/>
    <w:unhideWhenUsed/>
    <w:qFormat/>
    <w:rPr>
      <w:sz w:val="21"/>
      <w:szCs w:val="24"/>
      <w:lang w:eastAsia="zh-CN"/>
    </w:rPr>
  </w:style>
  <w:style w:type="paragraph" w:styleId="1180">
    <w:name w:val="PlainText1"/>
    <w:basedOn w:val="769"/>
    <w:next w:val="1180"/>
    <w:link w:val="769"/>
    <w:uiPriority w:val="99"/>
    <w:qFormat/>
    <w:rPr>
      <w:rFonts w:ascii="宋体" w:hAnsi="Courier New"/>
    </w:rPr>
  </w:style>
  <w:style w:type="character" w:styleId="1181">
    <w:name w:val="font51"/>
    <w:next w:val="1181"/>
    <w:link w:val="769"/>
    <w:qFormat/>
    <w:rPr>
      <w:rFonts w:hint="eastAsia" w:ascii="微软雅黑" w:hAnsi="微软雅黑" w:eastAsia="微软雅黑" w:cs="微软雅黑"/>
      <w:color w:val="000000"/>
      <w:sz w:val="20"/>
      <w:szCs w:val="20"/>
      <w:u w:val="none"/>
    </w:rPr>
  </w:style>
  <w:style w:type="character" w:styleId="1182">
    <w:name w:val="font11"/>
    <w:basedOn w:val="773"/>
    <w:next w:val="1182"/>
    <w:link w:val="769"/>
    <w:qFormat/>
    <w:rPr>
      <w:rFonts w:hint="eastAsia" w:ascii="宋体" w:hAnsi="宋体" w:eastAsia="宋体" w:cs="宋体"/>
      <w:color w:val="000000"/>
      <w:sz w:val="20"/>
      <w:szCs w:val="20"/>
      <w:u w:val="none"/>
    </w:rPr>
  </w:style>
  <w:style w:type="paragraph" w:styleId="1183">
    <w:name w:val="正文1"/>
    <w:basedOn w:val="769"/>
    <w:next w:val="769"/>
    <w:link w:val="769"/>
    <w:qFormat/>
    <w:pPr>
      <w:ind w:left="420" w:firstLine="527"/>
      <w:spacing w:before="120" w:line="360" w:lineRule="auto"/>
    </w:pPr>
    <w:rPr>
      <w:rFonts w:ascii="宋体" w:hAnsi="宋体"/>
    </w:rPr>
  </w:style>
  <w:style w:type="paragraph" w:styleId="1184">
    <w:name w:val="列表段落1"/>
    <w:basedOn w:val="769"/>
    <w:next w:val="1184"/>
    <w:link w:val="769"/>
    <w:uiPriority w:val="34"/>
    <w:qFormat/>
    <w:pPr>
      <w:ind w:firstLine="420"/>
    </w:pPr>
  </w:style>
  <w:style w:type="character" w:styleId="1185">
    <w:name w:val="font151"/>
    <w:next w:val="1185"/>
    <w:link w:val="769"/>
    <w:qFormat/>
    <w:rPr>
      <w:rFonts w:ascii="微软雅黑" w:hAnsi="微软雅黑" w:eastAsia="微软雅黑" w:cs="微软雅黑"/>
      <w:color w:val="000000"/>
      <w:sz w:val="12"/>
      <w:szCs w:val="12"/>
      <w:u w:val="none"/>
    </w:rPr>
  </w:style>
  <w:style w:type="character" w:styleId="1186">
    <w:name w:val="font41"/>
    <w:next w:val="1186"/>
    <w:link w:val="769"/>
    <w:qFormat/>
    <w:rPr>
      <w:rFonts w:hint="eastAsia" w:ascii="微软雅黑" w:hAnsi="微软雅黑" w:eastAsia="微软雅黑" w:cs="微软雅黑"/>
      <w:color w:val="000000"/>
      <w:sz w:val="12"/>
      <w:szCs w:val="12"/>
      <w:u w:val="none"/>
    </w:rPr>
  </w:style>
  <w:style w:type="character" w:styleId="1187">
    <w:name w:val="font161"/>
    <w:next w:val="1187"/>
    <w:link w:val="769"/>
    <w:qFormat/>
    <w:rPr>
      <w:rFonts w:hint="eastAsia" w:ascii="微软雅黑" w:hAnsi="微软雅黑" w:eastAsia="微软雅黑" w:cs="微软雅黑"/>
      <w:color w:val="ff0000"/>
      <w:sz w:val="12"/>
      <w:szCs w:val="12"/>
      <w:u w:val="none"/>
    </w:rPr>
  </w:style>
  <w:style w:type="character" w:styleId="1188">
    <w:name w:val="font112"/>
    <w:next w:val="1188"/>
    <w:link w:val="769"/>
    <w:qFormat/>
    <w:rPr>
      <w:rFonts w:hint="eastAsia" w:ascii="微软雅黑" w:hAnsi="微软雅黑" w:eastAsia="微软雅黑" w:cs="微软雅黑"/>
      <w:color w:val="000000"/>
      <w:sz w:val="12"/>
      <w:szCs w:val="12"/>
      <w:u w:val="none"/>
    </w:rPr>
  </w:style>
  <w:style w:type="character" w:styleId="1189">
    <w:name w:val="font61"/>
    <w:next w:val="1189"/>
    <w:link w:val="769"/>
    <w:qFormat/>
    <w:rPr>
      <w:rFonts w:hint="eastAsia" w:ascii="微软雅黑" w:hAnsi="微软雅黑" w:eastAsia="微软雅黑" w:cs="微软雅黑"/>
      <w:color w:val="000000"/>
      <w:sz w:val="12"/>
      <w:szCs w:val="12"/>
      <w:u w:val="none"/>
    </w:rPr>
  </w:style>
  <w:style w:type="character" w:styleId="1190">
    <w:name w:val="font91"/>
    <w:basedOn w:val="773"/>
    <w:next w:val="1190"/>
    <w:link w:val="769"/>
    <w:qFormat/>
    <w:rPr>
      <w:rFonts w:hint="eastAsia" w:ascii="宋体" w:hAnsi="宋体" w:eastAsia="宋体" w:cs="宋体"/>
      <w:color w:val="000000"/>
      <w:sz w:val="12"/>
      <w:szCs w:val="12"/>
      <w:u w:val="none"/>
    </w:rPr>
  </w:style>
  <w:style w:type="character" w:styleId="1191">
    <w:name w:val="font171"/>
    <w:next w:val="1191"/>
    <w:link w:val="769"/>
    <w:qFormat/>
    <w:rPr>
      <w:rFonts w:ascii="Arial" w:hAnsi="Arial" w:cs="Arial"/>
      <w:color w:val="ff0000"/>
      <w:sz w:val="12"/>
      <w:szCs w:val="12"/>
      <w:u w:val="none"/>
    </w:rPr>
  </w:style>
  <w:style w:type="character" w:styleId="1192">
    <w:name w:val="font181"/>
    <w:next w:val="1192"/>
    <w:link w:val="769"/>
    <w:qFormat/>
    <w:rPr>
      <w:rFonts w:ascii="Arial" w:hAnsi="Arial" w:cs="Arial"/>
      <w:color w:val="000000"/>
      <w:sz w:val="12"/>
      <w:szCs w:val="12"/>
      <w:u w:val="none"/>
    </w:rPr>
  </w:style>
  <w:style w:type="paragraph" w:styleId="1193">
    <w:name w:val="索引 11"/>
    <w:basedOn w:val="769"/>
    <w:next w:val="769"/>
    <w:link w:val="769"/>
    <w:qFormat/>
    <w:pPr>
      <w:spacing w:line="360" w:lineRule="auto"/>
    </w:pPr>
    <w:rPr>
      <w:rFonts w:ascii="仿宋_GB2312" w:eastAsia="仿宋_GB2312"/>
      <w:sz w:val="24"/>
      <w:szCs w:val="20"/>
    </w:rPr>
  </w:style>
  <w:style w:type="paragraph" w:styleId="1194">
    <w:name w:val="纯文本1"/>
    <w:basedOn w:val="769"/>
    <w:next w:val="1194"/>
    <w:link w:val="769"/>
    <w:qFormat/>
    <w:rPr>
      <w:rFonts w:ascii="宋体" w:hAnsi="Courier New"/>
      <w:szCs w:val="22"/>
    </w:rPr>
  </w:style>
  <w:style w:type="paragraph" w:styleId="1195">
    <w:name w:val="正文文本1"/>
    <w:basedOn w:val="769"/>
    <w:next w:val="769"/>
    <w:link w:val="769"/>
    <w:qFormat/>
    <w:pPr>
      <w:spacing w:before="120" w:line="22" w:lineRule="atLeast"/>
      <w:tabs>
        <w:tab w:val="left" w:pos="567" w:leader="none"/>
      </w:tabs>
    </w:pPr>
    <w:rPr>
      <w:rFonts w:ascii="宋体" w:hAnsi="宋体"/>
      <w:sz w:val="24"/>
    </w:rPr>
  </w:style>
  <w:style w:type="paragraph" w:styleId="1196">
    <w:name w:val="正文首行缩进1"/>
    <w:basedOn w:val="769"/>
    <w:next w:val="1196"/>
    <w:link w:val="769"/>
    <w:qFormat/>
    <w:pPr>
      <w:ind w:firstLine="200"/>
      <w:spacing w:line="360" w:lineRule="auto"/>
    </w:pPr>
    <w:rPr>
      <w:rFonts w:hint="eastAsia" w:ascii="仿宋_GB2312" w:hAnsi="Arial" w:eastAsia="仿宋_GB2312"/>
      <w:sz w:val="30"/>
      <w:szCs w:val="30"/>
    </w:rPr>
  </w:style>
  <w:style w:type="paragraph" w:styleId="1197">
    <w:name w:val="批注文字1"/>
    <w:basedOn w:val="769"/>
    <w:next w:val="1197"/>
    <w:link w:val="769"/>
    <w:uiPriority w:val="99"/>
    <w:qFormat/>
    <w:pPr>
      <w:jc w:val="left"/>
    </w:pPr>
  </w:style>
  <w:style w:type="paragraph" w:styleId="1198">
    <w:name w:val="null3"/>
    <w:next w:val="1198"/>
    <w:link w:val="769"/>
    <w:qFormat/>
    <w:rPr>
      <w:rFonts w:ascii="Calibri" w:hAnsi="Calibri"/>
      <w:lang w:eastAsia="zh-CN"/>
    </w:rPr>
  </w:style>
  <w:style w:type="paragraph" w:styleId="1199">
    <w:name w:val="修订2"/>
    <w:next w:val="1199"/>
    <w:link w:val="769"/>
    <w:uiPriority w:val="99"/>
    <w:unhideWhenUsed/>
    <w:qFormat/>
    <w:rPr>
      <w:sz w:val="21"/>
      <w:szCs w:val="24"/>
      <w:lang w:eastAsia="zh-CN"/>
    </w:rPr>
  </w:style>
  <w:style w:type="character" w:styleId="1200">
    <w:name w:val="超链接11"/>
    <w:basedOn w:val="1201"/>
    <w:next w:val="1200"/>
    <w:link w:val="769"/>
    <w:uiPriority w:val="99"/>
    <w:unhideWhenUsed/>
    <w:qFormat/>
    <w:rPr>
      <w:rFonts w:ascii="Times New Roman" w:hAnsi="Times New Roman" w:eastAsia="宋体" w:cs="Times New Roman"/>
      <w:sz w:val="21"/>
      <w:szCs w:val="24"/>
      <w:lang w:val="en-US" w:eastAsia="zh-CN" w:bidi="ar-SA"/>
    </w:rPr>
  </w:style>
  <w:style w:type="character" w:styleId="1201">
    <w:name w:val="默认段落字体11"/>
    <w:next w:val="1201"/>
    <w:link w:val="769"/>
    <w:uiPriority w:val="1"/>
    <w:unhideWhenUsed/>
    <w:qFormat/>
  </w:style>
  <w:style w:type="paragraph" w:styleId="1202">
    <w:name w:val="修订3"/>
    <w:next w:val="1202"/>
    <w:link w:val="769"/>
    <w:uiPriority w:val="99"/>
    <w:unhideWhenUsed/>
    <w:qFormat/>
    <w:rPr>
      <w:sz w:val="21"/>
      <w:szCs w:val="24"/>
      <w:lang w:eastAsia="zh-CN"/>
    </w:rPr>
  </w:style>
  <w:style w:type="paragraph" w:styleId="1203">
    <w:name w:val="修订4"/>
    <w:next w:val="1203"/>
    <w:link w:val="769"/>
    <w:uiPriority w:val="99"/>
    <w:semiHidden/>
    <w:qFormat/>
    <w:rPr>
      <w:sz w:val="21"/>
      <w:szCs w:val="24"/>
      <w:lang w:eastAsia="zh-CN"/>
    </w:rPr>
  </w:style>
  <w:style w:type="paragraph" w:styleId="1204">
    <w:name w:val="Revision"/>
    <w:next w:val="1204"/>
    <w:link w:val="769"/>
    <w:uiPriority w:val="99"/>
    <w:unhideWhenUsed/>
    <w:qFormat/>
    <w:rPr>
      <w:sz w:val="21"/>
      <w:szCs w:val="24"/>
      <w:lang w:eastAsia="zh-CN"/>
    </w:rPr>
  </w:style>
  <w:style w:type="paragraph" w:styleId="1205">
    <w:name w:val="标题 31"/>
    <w:basedOn w:val="769"/>
    <w:next w:val="1206"/>
    <w:link w:val="769"/>
    <w:qFormat/>
    <w:pPr>
      <w:jc w:val="left"/>
      <w:keepLines/>
      <w:keepNext/>
      <w:spacing w:before="360" w:after="120"/>
      <w:outlineLvl w:val="2"/>
    </w:pPr>
    <w:rPr>
      <w:rFonts w:ascii="宋体"/>
      <w:b/>
      <w:sz w:val="24"/>
      <w:szCs w:val="20"/>
      <w:u w:val="single"/>
    </w:rPr>
  </w:style>
  <w:style w:type="paragraph" w:styleId="1206">
    <w:name w:val="正文缩进11"/>
    <w:basedOn w:val="769"/>
    <w:next w:val="769"/>
    <w:link w:val="769"/>
    <w:qFormat/>
    <w:pPr>
      <w:ind w:firstLine="420"/>
      <w:jc w:val="left"/>
    </w:pPr>
    <w:rPr>
      <w:rFonts w:ascii="宋体"/>
      <w:sz w:val="24"/>
    </w:rPr>
  </w:style>
  <w:style w:type="paragraph" w:styleId="1207">
    <w:name w:val="页脚1"/>
    <w:basedOn w:val="769"/>
    <w:next w:val="1207"/>
    <w:link w:val="769"/>
    <w:uiPriority w:val="99"/>
    <w:qFormat/>
    <w:pPr>
      <w:jc w:val="left"/>
      <w:tabs>
        <w:tab w:val="center" w:pos="4153" w:leader="none"/>
        <w:tab w:val="right" w:pos="8306" w:leader="none"/>
      </w:tabs>
    </w:pPr>
    <w:rPr>
      <w:rFonts w:ascii="宋体"/>
      <w:sz w:val="18"/>
      <w:szCs w:val="20"/>
    </w:rPr>
  </w:style>
  <w:style w:type="paragraph" w:styleId="1208">
    <w:name w:val="普通正文"/>
    <w:basedOn w:val="769"/>
    <w:next w:val="1208"/>
    <w:link w:val="769"/>
    <w:qFormat/>
    <w:pPr>
      <w:ind w:firstLine="480"/>
      <w:jc w:val="left"/>
      <w:spacing w:before="120" w:after="120" w:line="360" w:lineRule="auto"/>
    </w:pPr>
    <w:rPr>
      <w:rFonts w:ascii="Arial" w:hAnsi="Arial"/>
      <w:sz w:val="24"/>
    </w:rPr>
  </w:style>
  <w:style w:type="paragraph" w:styleId="1209">
    <w:name w:val="_Style 251"/>
    <w:basedOn w:val="769"/>
    <w:next w:val="1210"/>
    <w:link w:val="769"/>
    <w:uiPriority w:val="34"/>
    <w:qFormat/>
    <w:pPr>
      <w:ind w:firstLine="420"/>
    </w:pPr>
    <w:rPr>
      <w:rFonts w:ascii="Calibri" w:hAnsi="Calibri"/>
    </w:rPr>
  </w:style>
  <w:style w:type="paragraph" w:styleId="1210">
    <w:name w:val="列出段落"/>
    <w:basedOn w:val="769"/>
    <w:next w:val="1210"/>
    <w:link w:val="769"/>
    <w:uiPriority w:val="34"/>
    <w:qFormat/>
    <w:pPr>
      <w:ind w:firstLine="420"/>
    </w:pPr>
    <w:rPr>
      <w:rFonts w:ascii="Calibri" w:hAnsi="Calibri"/>
      <w:szCs w:val="22"/>
    </w:rPr>
  </w:style>
  <w:style w:type="paragraph" w:styleId="1211">
    <w:name w:val="标题 11"/>
    <w:basedOn w:val="769"/>
    <w:next w:val="769"/>
    <w:link w:val="769"/>
    <w:qFormat/>
    <w:pPr>
      <w:jc w:val="center"/>
      <w:keepLines/>
      <w:keepNext/>
      <w:spacing w:before="240" w:after="120" w:line="300" w:lineRule="auto"/>
      <w:outlineLvl w:val="0"/>
    </w:pPr>
    <w:rPr>
      <w:rFonts w:ascii="宋体"/>
      <w:b/>
      <w:sz w:val="32"/>
      <w:szCs w:val="20"/>
    </w:rPr>
  </w:style>
  <w:style w:type="paragraph" w:styleId="1212">
    <w:name w:val="普通(网站)1"/>
    <w:basedOn w:val="769"/>
    <w:next w:val="1212"/>
    <w:link w:val="769"/>
    <w:uiPriority w:val="99"/>
    <w:unhideWhenUsed/>
    <w:qFormat/>
    <w:pPr>
      <w:jc w:val="left"/>
      <w:spacing w:before="100" w:beforeAutospacing="1" w:after="100" w:afterAutospacing="1"/>
      <w:widowControl/>
    </w:pPr>
    <w:rPr>
      <w:rFonts w:ascii="宋体" w:hAnsi="宋体" w:cs="宋体"/>
      <w:sz w:val="24"/>
    </w:rPr>
  </w:style>
  <w:style w:type="paragraph" w:styleId="1213">
    <w:name w:val="pt-ad"/>
    <w:basedOn w:val="769"/>
    <w:next w:val="1213"/>
    <w:link w:val="769"/>
    <w:qFormat/>
    <w:pPr>
      <w:jc w:val="left"/>
      <w:spacing w:before="100" w:beforeAutospacing="1" w:after="100" w:afterAutospacing="1"/>
      <w:widowControl/>
    </w:pPr>
    <w:rPr>
      <w:rFonts w:ascii="宋体" w:hAnsi="宋体" w:eastAsia="宋体" w:cs="宋体"/>
      <w:sz w:val="24"/>
    </w:rPr>
  </w:style>
  <w:style w:type="character" w:styleId="1214">
    <w:name w:val="pt-a0-000020"/>
    <w:next w:val="1214"/>
    <w:link w:val="769"/>
    <w:qFormat/>
    <w:rPr>
      <w:sz w:val="21"/>
      <w:szCs w:val="24"/>
      <w:lang w:eastAsia="zh-CN"/>
    </w:rPr>
  </w:style>
  <w:style w:type="paragraph" w:styleId="1215">
    <w:name w:val="pt-a-000025"/>
    <w:basedOn w:val="769"/>
    <w:next w:val="1215"/>
    <w:link w:val="769"/>
    <w:qFormat/>
    <w:pPr>
      <w:jc w:val="left"/>
      <w:spacing w:before="100" w:beforeAutospacing="1" w:after="100" w:afterAutospacing="1"/>
      <w:widowControl/>
    </w:pPr>
    <w:rPr>
      <w:rFonts w:ascii="宋体" w:hAnsi="宋体" w:eastAsia="宋体" w:cs="宋体"/>
      <w:sz w:val="24"/>
    </w:rPr>
  </w:style>
  <w:style w:type="character" w:styleId="1216">
    <w:name w:val="pt-a0-000004"/>
    <w:next w:val="1216"/>
    <w:link w:val="769"/>
    <w:qFormat/>
  </w:style>
  <w:style w:type="character" w:styleId="1217">
    <w:name w:val="font21"/>
    <w:basedOn w:val="773"/>
    <w:next w:val="1217"/>
    <w:link w:val="769"/>
    <w:rPr>
      <w:rFonts w:hint="eastAsia" w:ascii="宋体" w:hAnsi="宋体" w:eastAsia="宋体" w:cs="宋体"/>
      <w:color w:val="000000"/>
      <w:sz w:val="22"/>
      <w:szCs w:val="22"/>
      <w:u w:val="none"/>
    </w:rPr>
  </w:style>
  <w:style w:type="paragraph" w:styleId="1218">
    <w:name w:val="_Style 39"/>
    <w:basedOn w:val="787"/>
    <w:next w:val="825"/>
    <w:link w:val="769"/>
    <w:qFormat/>
    <w:pPr>
      <w:ind w:firstLine="420"/>
      <w:spacing w:line="480" w:lineRule="exact"/>
    </w:pPr>
    <w:rPr>
      <w:sz w:val="24"/>
    </w:rPr>
  </w:style>
  <w:style w:type="paragraph" w:styleId="1219">
    <w:name w:val="纯文本11"/>
    <w:basedOn w:val="769"/>
    <w:next w:val="1219"/>
    <w:link w:val="769"/>
    <w:qFormat/>
    <w:rPr>
      <w:rFonts w:hint="eastAsia" w:ascii="宋体" w:hAnsi="Courier New"/>
      <w:szCs w:val="20"/>
    </w:rPr>
  </w:style>
  <w:style w:type="character" w:styleId="1220">
    <w:name w:val="font121"/>
    <w:basedOn w:val="773"/>
    <w:next w:val="1220"/>
    <w:link w:val="769"/>
    <w:rPr>
      <w:rFonts w:hint="eastAsia" w:ascii="宋体" w:hAnsi="宋体" w:eastAsia="宋体" w:cs="宋体"/>
      <w:color w:val="ff0000"/>
      <w:sz w:val="16"/>
      <w:szCs w:val="16"/>
      <w:u w:val="none"/>
    </w:rPr>
  </w:style>
  <w:style w:type="character" w:styleId="1221">
    <w:name w:val="font71"/>
    <w:basedOn w:val="773"/>
    <w:next w:val="1221"/>
    <w:link w:val="769"/>
    <w:rPr>
      <w:rFonts w:hint="eastAsia" w:ascii="宋体" w:hAnsi="宋体" w:eastAsia="宋体" w:cs="宋体"/>
      <w:color w:val="000000"/>
      <w:sz w:val="16"/>
      <w:szCs w:val="16"/>
      <w:u w:val="none"/>
    </w:rPr>
  </w:style>
  <w:style w:type="character" w:styleId="1222">
    <w:name w:val="font201"/>
    <w:basedOn w:val="773"/>
    <w:next w:val="1222"/>
    <w:link w:val="769"/>
    <w:rPr>
      <w:rFonts w:hint="eastAsia" w:ascii="宋体" w:hAnsi="宋体" w:eastAsia="宋体" w:cs="宋体"/>
      <w:color w:val="92d050"/>
      <w:sz w:val="16"/>
      <w:szCs w:val="16"/>
      <w:u w:val="none"/>
    </w:rPr>
  </w:style>
  <w:style w:type="character" w:styleId="1223">
    <w:name w:val="font212"/>
    <w:basedOn w:val="773"/>
    <w:next w:val="1223"/>
    <w:link w:val="769"/>
    <w:rPr>
      <w:rFonts w:hint="eastAsia" w:ascii="宋体" w:hAnsi="宋体" w:eastAsia="宋体" w:cs="宋体"/>
      <w:strike/>
      <w:color w:val="ff0000"/>
      <w:sz w:val="16"/>
      <w:szCs w:val="16"/>
    </w:rPr>
  </w:style>
  <w:style w:type="character" w:styleId="1224">
    <w:name w:val="font221"/>
    <w:basedOn w:val="773"/>
    <w:next w:val="1224"/>
    <w:link w:val="769"/>
    <w:rPr>
      <w:rFonts w:hint="eastAsia" w:ascii="宋体" w:hAnsi="宋体" w:eastAsia="宋体" w:cs="宋体"/>
      <w:strike/>
      <w:color w:val="00b050"/>
      <w:sz w:val="16"/>
      <w:szCs w:val="16"/>
    </w:rPr>
  </w:style>
  <w:style w:type="character" w:styleId="32939" w:default="1">
    <w:name w:val="Default Paragraph Font"/>
    <w:uiPriority w:val="1"/>
    <w:semiHidden/>
    <w:unhideWhenUsed/>
  </w:style>
  <w:style w:type="numbering" w:styleId="32940" w:default="1">
    <w:name w:val="No List"/>
    <w:uiPriority w:val="99"/>
    <w:semiHidden/>
    <w:unhideWhenUsed/>
  </w:style>
  <w:style w:type="table" w:styleId="32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徐婷婷</cp:lastModifiedBy>
  <cp:revision>7</cp:revision>
  <dcterms:created xsi:type="dcterms:W3CDTF">2025-12-02T08:40:00Z</dcterms:created>
  <dcterms:modified xsi:type="dcterms:W3CDTF">2026-11-02T04:17:04Z</dcterms:modified>
</cp:coreProperties>
</file>