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rPr>
          <w:rFonts w:ascii="宋体" w:hAnsi="宋体" w:cs="宋体"/>
          <w:b/>
          <w:bCs/>
          <w:color w:val="000000" w:themeColor="text1"/>
          <w:sz w:val="44"/>
          <w:szCs w:val="44"/>
          <w:highlight w:val="none"/>
        </w:rPr>
      </w:pPr>
      <w:r>
        <w:rPr>
          <w:rFonts w:ascii="宋体" w:hAnsi="宋体" w:cs="宋体"/>
          <w:b/>
          <w:bCs/>
          <w:color w:val="000000" w:themeColor="text1"/>
          <w:sz w:val="44"/>
          <w:szCs w:val="44"/>
          <w:highlight w:val="none"/>
        </w:rPr>
      </w:r>
      <w:r>
        <w:rPr>
          <w:color w:val="000000" w:themeColor="text1"/>
          <w:highlight w:val="none"/>
        </w:rPr>
      </w:r>
      <w:r/>
    </w:p>
    <w:p>
      <w:pPr>
        <w:pStyle w:val="953"/>
        <w:jc w:val="center"/>
        <w:rPr>
          <w:rFonts w:ascii="宋体" w:hAnsi="宋体" w:cs="宋体"/>
          <w:b/>
          <w:bCs/>
          <w:color w:val="000000" w:themeColor="text1"/>
          <w:sz w:val="44"/>
          <w:szCs w:val="44"/>
          <w:highlight w:val="none"/>
        </w:rPr>
      </w:pPr>
      <w:r>
        <w:rPr>
          <w:rFonts w:hint="eastAsia" w:ascii="宋体" w:hAnsi="宋体" w:cs="宋体"/>
          <w:b/>
          <w:bCs/>
          <w:color w:val="000000" w:themeColor="text1"/>
          <w:sz w:val="44"/>
          <w:szCs w:val="44"/>
          <w:highlight w:val="none"/>
        </w:rPr>
        <w:t xml:space="preserve">南京市儿童医院</w:t>
      </w:r>
      <w:r>
        <w:rPr>
          <w:color w:val="000000" w:themeColor="text1"/>
          <w:highlight w:val="none"/>
        </w:rPr>
      </w:r>
      <w:r/>
    </w:p>
    <w:p>
      <w:pPr>
        <w:pStyle w:val="953"/>
        <w:jc w:val="center"/>
        <w:rPr>
          <w:rFonts w:ascii="宋体" w:hAnsi="宋体" w:cs="宋体"/>
          <w:b/>
          <w:bCs/>
          <w:color w:val="000000" w:themeColor="text1"/>
          <w:sz w:val="36"/>
          <w:szCs w:val="36"/>
          <w:highlight w:val="none"/>
          <w:u w:val="single"/>
        </w:rPr>
      </w:pPr>
      <w:r>
        <w:rPr>
          <w:rFonts w:hint="eastAsia" w:ascii="宋体" w:hAnsi="宋体" w:cs="宋体"/>
          <w:b/>
          <w:bCs/>
          <w:color w:val="000000" w:themeColor="text1"/>
          <w:sz w:val="36"/>
          <w:szCs w:val="36"/>
          <w:highlight w:val="none"/>
          <w:u w:val="single"/>
        </w:rPr>
        <w:t xml:space="preserve">河西院区二期项目隔帘、窗帘等采购项目</w:t>
      </w:r>
      <w:r>
        <w:rPr>
          <w:color w:val="000000" w:themeColor="text1"/>
          <w:highlight w:val="none"/>
        </w:rPr>
      </w:r>
      <w:r/>
    </w:p>
    <w:p>
      <w:pPr>
        <w:pStyle w:val="953"/>
        <w:jc w:val="center"/>
        <w:rPr>
          <w:rFonts w:ascii="宋体" w:hAnsi="宋体" w:cs="宋体"/>
          <w:b/>
          <w:bCs/>
          <w:color w:val="000000" w:themeColor="text1"/>
          <w:sz w:val="44"/>
          <w:szCs w:val="44"/>
          <w:highlight w:val="none"/>
        </w:rPr>
      </w:pPr>
      <w:r>
        <w:rPr>
          <w:rFonts w:ascii="宋体" w:hAnsi="宋体" w:cs="宋体"/>
          <w:b/>
          <w:bCs/>
          <w:color w:val="000000" w:themeColor="text1"/>
          <w:sz w:val="44"/>
          <w:szCs w:val="44"/>
          <w:highlight w:val="none"/>
        </w:rPr>
      </w:r>
      <w:r>
        <w:rPr>
          <w:color w:val="000000" w:themeColor="text1"/>
          <w:highlight w:val="none"/>
        </w:rPr>
        <w:t xml:space="preserve"> </w:t>
      </w:r>
      <w:r/>
    </w:p>
    <w:p>
      <w:pPr>
        <w:pStyle w:val="953"/>
        <w:jc w:val="center"/>
        <w:rPr>
          <w:rFonts w:ascii="宋体" w:hAnsi="宋体" w:cs="宋体"/>
          <w:b/>
          <w:bCs/>
          <w:color w:val="000000" w:themeColor="text1"/>
          <w:sz w:val="36"/>
          <w:highlight w:val="none"/>
        </w:rPr>
      </w:pPr>
      <w:r>
        <w:rPr>
          <w:rFonts w:ascii="宋体" w:hAnsi="宋体" w:cs="宋体"/>
          <w:b/>
          <w:bCs/>
          <w:color w:val="000000" w:themeColor="text1"/>
          <w:sz w:val="36"/>
          <w:highlight w:val="none"/>
        </w:rPr>
      </w:r>
      <w:r>
        <w:rPr>
          <w:color w:val="000000" w:themeColor="text1"/>
          <w:highlight w:val="none"/>
        </w:rPr>
      </w:r>
      <w:r/>
    </w:p>
    <w:p>
      <w:pPr>
        <w:pStyle w:val="953"/>
        <w:jc w:val="center"/>
        <w:rPr>
          <w:rFonts w:ascii="宋体" w:hAnsi="宋体" w:cs="宋体"/>
          <w:b/>
          <w:bCs/>
          <w:color w:val="000000" w:themeColor="text1"/>
          <w:sz w:val="36"/>
          <w:highlight w:val="none"/>
        </w:rPr>
      </w:pPr>
      <w:r>
        <w:rPr>
          <w:rFonts w:ascii="宋体" w:hAnsi="宋体" w:cs="宋体"/>
          <w:b/>
          <w:bCs/>
          <w:color w:val="000000" w:themeColor="text1"/>
          <w:sz w:val="36"/>
          <w:highlight w:val="none"/>
        </w:rPr>
      </w:r>
      <w:r>
        <w:rPr>
          <w:color w:val="000000" w:themeColor="text1"/>
          <w:highlight w:val="none"/>
        </w:rPr>
      </w:r>
      <w:r/>
    </w:p>
    <w:p>
      <w:pPr>
        <w:pStyle w:val="953"/>
        <w:jc w:val="center"/>
        <w:rPr>
          <w:rFonts w:ascii="宋体" w:hAnsi="宋体" w:cs="宋体"/>
          <w:b/>
          <w:bCs/>
          <w:color w:val="000000" w:themeColor="text1"/>
          <w:sz w:val="96"/>
          <w:highlight w:val="none"/>
        </w:rPr>
      </w:pPr>
      <w:r>
        <w:rPr>
          <w:rFonts w:hint="eastAsia" w:ascii="宋体" w:hAnsi="宋体" w:cs="宋体"/>
          <w:b/>
          <w:bCs/>
          <w:color w:val="000000" w:themeColor="text1"/>
          <w:sz w:val="96"/>
          <w:szCs w:val="72"/>
          <w:highlight w:val="none"/>
        </w:rPr>
        <w:t xml:space="preserve">招标文件</w:t>
      </w:r>
      <w:r>
        <w:rPr>
          <w:color w:val="000000" w:themeColor="text1"/>
          <w:highlight w:val="none"/>
        </w:rPr>
      </w:r>
      <w:r/>
    </w:p>
    <w:p>
      <w:pPr>
        <w:pStyle w:val="953"/>
        <w:rPr>
          <w:rFonts w:ascii="宋体" w:hAnsi="宋体" w:cs="宋体"/>
          <w:b/>
          <w:bCs/>
          <w:color w:val="000000" w:themeColor="text1"/>
          <w:sz w:val="36"/>
          <w:highlight w:val="none"/>
        </w:rPr>
      </w:pPr>
      <w:r>
        <w:rPr>
          <w:rFonts w:ascii="宋体" w:hAnsi="宋体" w:cs="宋体"/>
          <w:b/>
          <w:bCs/>
          <w:color w:val="000000" w:themeColor="text1"/>
          <w:sz w:val="36"/>
          <w:highlight w:val="none"/>
        </w:rPr>
      </w:r>
      <w:r>
        <w:rPr>
          <w:color w:val="000000" w:themeColor="text1"/>
          <w:highlight w:val="none"/>
        </w:rPr>
      </w:r>
      <w:r/>
    </w:p>
    <w:p>
      <w:pPr>
        <w:pStyle w:val="953"/>
        <w:jc w:val="center"/>
        <w:rPr>
          <w:rFonts w:hint="eastAsia" w:ascii="宋体" w:hAnsi="宋体" w:cs="宋体"/>
          <w:b/>
          <w:bCs/>
          <w:color w:val="000000" w:themeColor="text1"/>
          <w:sz w:val="36"/>
          <w:highlight w:val="none"/>
        </w:rPr>
      </w:pPr>
      <w:r>
        <w:rPr>
          <w:rFonts w:hint="eastAsia" w:ascii="宋体" w:hAnsi="宋体" w:cs="宋体"/>
          <w:b/>
          <w:bCs/>
          <w:color w:val="000000" w:themeColor="text1"/>
          <w:sz w:val="36"/>
          <w:highlight w:val="none"/>
        </w:rPr>
        <w:t xml:space="preserve">项目编号：JSZC-320100-SOHO-G2026-0082</w:t>
      </w:r>
      <w:r>
        <w:rPr>
          <w:color w:val="000000" w:themeColor="text1"/>
          <w:highlight w:val="none"/>
        </w:rPr>
      </w:r>
      <w:r/>
    </w:p>
    <w:p>
      <w:pPr>
        <w:pStyle w:val="1032"/>
        <w:ind w:firstLine="210"/>
        <w:rPr>
          <w:color w:val="000000" w:themeColor="text1"/>
          <w:highlight w:val="none"/>
        </w:rPr>
      </w:pPr>
      <w:r>
        <w:rPr>
          <w:color w:val="000000" w:themeColor="text1"/>
          <w:highlight w:val="none"/>
        </w:rPr>
      </w:r>
      <w:r>
        <w:rPr>
          <w:color w:val="000000" w:themeColor="text1"/>
          <w:highlight w:val="none"/>
        </w:rPr>
      </w:r>
      <w:r/>
    </w:p>
    <w:p>
      <w:pPr>
        <w:pStyle w:val="1032"/>
        <w:ind w:firstLine="210"/>
        <w:rPr>
          <w:color w:val="000000" w:themeColor="text1"/>
          <w:highlight w:val="none"/>
        </w:rPr>
      </w:pPr>
      <w:r>
        <w:rPr>
          <w:color w:val="000000" w:themeColor="text1"/>
          <w:highlight w:val="none"/>
        </w:rPr>
      </w:r>
      <w:r>
        <w:rPr>
          <w:color w:val="000000" w:themeColor="text1"/>
          <w:highlight w:val="none"/>
        </w:rPr>
      </w:r>
      <w:r/>
    </w:p>
    <w:p>
      <w:pPr>
        <w:pStyle w:val="953"/>
        <w:jc w:val="center"/>
        <w:rPr>
          <w:rFonts w:ascii="宋体" w:hAnsi="宋体" w:cs="宋体"/>
          <w:b/>
          <w:bCs/>
          <w:color w:val="000000" w:themeColor="text1"/>
          <w:sz w:val="36"/>
          <w:highlight w:val="none"/>
        </w:rPr>
      </w:pPr>
      <w:r>
        <w:rPr>
          <w:rFonts w:eastAsia="Times New Roman"/>
          <w:color w:val="000000" w:themeColor="text1"/>
          <w:szCs w:val="21"/>
          <w:highlight w:val="none"/>
        </w:rPr>
        <mc:AlternateContent>
          <mc:Choice Requires="wpg">
            <w:drawing>
              <wp:inline xmlns:wp="http://schemas.openxmlformats.org/drawingml/2006/wordprocessingDrawing" distT="0" distB="0" distL="0" distR="0">
                <wp:extent cx="1563624" cy="154914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563624" cy="15491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3.1pt;height:122.0pt;mso-wrap-distance-left:0.0pt;mso-wrap-distance-top:0.0pt;mso-wrap-distance-right:0.0pt;mso-wrap-distance-bottom:0.0pt;" stroked="f">
                <v:path textboxrect="0,0,0,0"/>
                <v:imagedata r:id="rId16" o:title=""/>
              </v:shape>
            </w:pict>
          </mc:Fallback>
        </mc:AlternateContent>
      </w:r>
      <w:r>
        <w:rPr>
          <w:color w:val="000000" w:themeColor="text1"/>
          <w:highlight w:val="none"/>
        </w:rPr>
      </w:r>
      <w:r/>
    </w:p>
    <w:p>
      <w:pPr>
        <w:pStyle w:val="953"/>
        <w:jc w:val="center"/>
        <w:rPr>
          <w:rFonts w:ascii="宋体" w:hAnsi="宋体" w:cs="宋体"/>
          <w:b/>
          <w:bCs/>
          <w:color w:val="000000" w:themeColor="text1"/>
          <w:sz w:val="36"/>
          <w:highlight w:val="none"/>
        </w:rPr>
      </w:pPr>
      <w:r>
        <w:rPr>
          <w:rFonts w:ascii="宋体" w:hAnsi="宋体" w:cs="宋体"/>
          <w:b/>
          <w:bCs/>
          <w:color w:val="000000" w:themeColor="text1"/>
          <w:sz w:val="36"/>
          <w:highlight w:val="none"/>
        </w:rPr>
      </w:r>
      <w:r>
        <w:rPr>
          <w:color w:val="000000" w:themeColor="text1"/>
          <w:highlight w:val="none"/>
        </w:rPr>
      </w:r>
      <w:r/>
    </w:p>
    <w:p>
      <w:pPr>
        <w:pStyle w:val="953"/>
        <w:rPr>
          <w:rFonts w:ascii="宋体" w:hAnsi="宋体" w:cs="宋体"/>
          <w:b/>
          <w:bCs/>
          <w:color w:val="000000" w:themeColor="text1"/>
          <w:sz w:val="36"/>
          <w:highlight w:val="none"/>
        </w:rPr>
      </w:pPr>
      <w:r>
        <w:rPr>
          <w:rFonts w:ascii="宋体" w:hAnsi="宋体" w:cs="宋体"/>
          <w:b/>
          <w:bCs/>
          <w:color w:val="000000" w:themeColor="text1"/>
          <w:sz w:val="36"/>
          <w:highlight w:val="none"/>
        </w:rPr>
      </w:r>
      <w:r>
        <w:rPr>
          <w:color w:val="000000" w:themeColor="text1"/>
          <w:highlight w:val="none"/>
        </w:rPr>
      </w:r>
      <w:r/>
    </w:p>
    <w:p>
      <w:pPr>
        <w:pStyle w:val="953"/>
        <w:rPr>
          <w:rFonts w:ascii="宋体" w:hAnsi="宋体" w:cs="宋体"/>
          <w:b/>
          <w:bCs/>
          <w:color w:val="000000" w:themeColor="text1"/>
          <w:sz w:val="36"/>
          <w:highlight w:val="none"/>
        </w:rPr>
      </w:pPr>
      <w:r>
        <w:rPr>
          <w:rFonts w:ascii="宋体" w:hAnsi="宋体" w:cs="宋体"/>
          <w:b/>
          <w:bCs/>
          <w:color w:val="000000" w:themeColor="text1"/>
          <w:sz w:val="36"/>
          <w:highlight w:val="none"/>
        </w:rPr>
      </w:r>
      <w:r>
        <w:rPr>
          <w:color w:val="000000" w:themeColor="text1"/>
          <w:highlight w:val="none"/>
        </w:rPr>
      </w:r>
      <w:r/>
    </w:p>
    <w:p>
      <w:pPr>
        <w:pStyle w:val="953"/>
        <w:jc w:val="center"/>
        <w:rPr>
          <w:rFonts w:ascii="宋体" w:hAnsi="宋体" w:cs="宋体"/>
          <w:b/>
          <w:color w:val="000000" w:themeColor="text1"/>
          <w:sz w:val="36"/>
          <w:szCs w:val="30"/>
          <w:highlight w:val="none"/>
        </w:rPr>
      </w:pPr>
      <w:r>
        <w:rPr>
          <w:rFonts w:hint="eastAsia" w:ascii="宋体" w:hAnsi="宋体" w:cs="宋体"/>
          <w:b/>
          <w:color w:val="000000" w:themeColor="text1"/>
          <w:sz w:val="36"/>
          <w:szCs w:val="30"/>
          <w:highlight w:val="none"/>
        </w:rPr>
        <w:t xml:space="preserve">江苏苏豪创新科技集团有限公司</w:t>
      </w:r>
      <w:r>
        <w:rPr>
          <w:color w:val="000000" w:themeColor="text1"/>
          <w:highlight w:val="none"/>
        </w:rPr>
      </w:r>
      <w:r/>
    </w:p>
    <w:p>
      <w:pPr>
        <w:pStyle w:val="953"/>
        <w:jc w:val="center"/>
        <w:rPr>
          <w:rFonts w:ascii="宋体" w:hAnsi="宋体" w:cs="宋体"/>
          <w:b/>
          <w:bCs/>
          <w:color w:val="000000" w:themeColor="text1"/>
          <w:spacing w:val="40"/>
          <w:sz w:val="36"/>
          <w:szCs w:val="30"/>
          <w:highlight w:val="none"/>
        </w:rPr>
        <w:sectPr>
          <w:headerReference w:type="default" r:id="rId9"/>
          <w:headerReference w:type="first" r:id="rId10"/>
          <w:footerReference w:type="default" r:id="rId13"/>
          <w:footnotePr/>
          <w:endnotePr/>
          <w:type w:val="continuous"/>
          <w:pgSz w:w="11906" w:h="16838" w:orient="portrait"/>
          <w:pgMar w:top="1134" w:right="1417" w:bottom="850" w:left="1417" w:header="850" w:footer="992" w:gutter="0"/>
          <w:cols w:num="1" w:sep="0" w:space="720" w:equalWidth="1"/>
          <w:docGrid w:linePitch="360"/>
        </w:sectPr>
      </w:pPr>
      <w:r>
        <w:rPr>
          <w:rFonts w:hint="eastAsia" w:ascii="宋体" w:hAnsi="宋体" w:cs="宋体"/>
          <w:b/>
          <w:bCs/>
          <w:color w:val="000000" w:themeColor="text1"/>
          <w:spacing w:val="40"/>
          <w:sz w:val="36"/>
          <w:szCs w:val="30"/>
          <w:highlight w:val="none"/>
        </w:rPr>
        <w:t xml:space="preserve">二○二六年十月</w:t>
      </w:r>
      <w:r>
        <w:rPr>
          <w:rFonts w:ascii="宋体" w:hAnsi="宋体" w:cs="宋体"/>
          <w:b/>
          <w:bCs/>
          <w:color w:val="000000" w:themeColor="text1"/>
          <w:spacing w:val="40"/>
          <w:sz w:val="36"/>
          <w:szCs w:val="30"/>
          <w:highlight w:val="none"/>
        </w:rPr>
        <w:br w:type="page" w:clear="all"/>
      </w:r>
      <w:r>
        <w:rPr>
          <w:color w:val="000000" w:themeColor="text1"/>
          <w:highlight w:val="none"/>
        </w:rPr>
      </w:r>
      <w:r/>
    </w:p>
    <w:p>
      <w:pPr>
        <w:pStyle w:val="953"/>
        <w:jc w:val="center"/>
        <w:rPr>
          <w:rFonts w:ascii="宋体" w:hAnsi="宋体" w:cs="宋体"/>
          <w:color w:val="000000" w:themeColor="text1"/>
          <w:sz w:val="32"/>
          <w:szCs w:val="32"/>
          <w:highlight w:val="none"/>
        </w:rPr>
        <w:outlineLvl w:val="0"/>
      </w:pPr>
      <w:r>
        <w:rPr>
          <w:color w:val="000000" w:themeColor="text1"/>
          <w:highlight w:val="none"/>
        </w:rPr>
      </w:r>
      <w:bookmarkStart w:id="0" w:name="_Toc15549"/>
      <w:r>
        <w:rPr>
          <w:rFonts w:hint="eastAsia" w:ascii="宋体" w:hAnsi="宋体" w:cs="宋体"/>
          <w:b/>
          <w:color w:val="000000" w:themeColor="text1"/>
          <w:sz w:val="32"/>
          <w:szCs w:val="32"/>
          <w:highlight w:val="none"/>
        </w:rPr>
        <w:t xml:space="preserve">目  录</w:t>
      </w:r>
      <w:bookmarkEnd w:id="0"/>
      <w:r>
        <w:rPr>
          <w:color w:val="000000" w:themeColor="text1"/>
          <w:highlight w:val="none"/>
        </w:rPr>
      </w:r>
      <w:r/>
    </w:p>
    <w:p>
      <w:pPr>
        <w:pStyle w:val="953"/>
        <w:ind w:firstLine="422"/>
        <w:rPr>
          <w:rFonts w:ascii="宋体" w:hAnsi="宋体" w:cs="宋体"/>
          <w:b/>
          <w:color w:val="000000" w:themeColor="text1"/>
          <w:highlight w:val="none"/>
        </w:rPr>
      </w:pPr>
      <w:r>
        <w:rPr>
          <w:rFonts w:ascii="宋体" w:hAnsi="宋体" w:cs="宋体"/>
          <w:b/>
          <w:color w:val="000000" w:themeColor="text1"/>
          <w:highlight w:val="none"/>
        </w:rPr>
      </w:r>
      <w:r>
        <w:rPr>
          <w:color w:val="000000" w:themeColor="text1"/>
          <w:highlight w:val="none"/>
        </w:rPr>
      </w:r>
      <w:r/>
    </w:p>
    <w:p>
      <w:pPr>
        <w:pStyle w:val="953"/>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第一章  投标邀请</w:t>
      </w:r>
      <w:r>
        <w:rPr>
          <w:color w:val="000000" w:themeColor="text1"/>
          <w:highlight w:val="none"/>
        </w:rPr>
      </w:r>
      <w:r/>
    </w:p>
    <w:p>
      <w:pPr>
        <w:pStyle w:val="953"/>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第二章  投标人须知</w:t>
      </w:r>
      <w:r>
        <w:rPr>
          <w:color w:val="000000" w:themeColor="text1"/>
          <w:highlight w:val="none"/>
        </w:rPr>
      </w:r>
      <w:r/>
    </w:p>
    <w:p>
      <w:pPr>
        <w:pStyle w:val="953"/>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第三章  合同文本</w:t>
      </w:r>
      <w:r>
        <w:rPr>
          <w:color w:val="000000" w:themeColor="text1"/>
          <w:highlight w:val="none"/>
        </w:rPr>
      </w:r>
      <w:r/>
    </w:p>
    <w:p>
      <w:pPr>
        <w:pStyle w:val="953"/>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第四章  采购需求</w:t>
      </w:r>
      <w:r>
        <w:rPr>
          <w:color w:val="000000" w:themeColor="text1"/>
          <w:highlight w:val="none"/>
        </w:rPr>
      </w:r>
      <w:r/>
    </w:p>
    <w:p>
      <w:pPr>
        <w:pStyle w:val="953"/>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第五章  评标方法与评标标准</w:t>
      </w:r>
      <w:r>
        <w:rPr>
          <w:color w:val="000000" w:themeColor="text1"/>
          <w:highlight w:val="none"/>
        </w:rPr>
      </w:r>
      <w:r/>
    </w:p>
    <w:p>
      <w:pPr>
        <w:pStyle w:val="953"/>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第六章  投标文件格式</w:t>
      </w:r>
      <w:r>
        <w:rPr>
          <w:color w:val="000000" w:themeColor="text1"/>
          <w:highlight w:val="none"/>
        </w:rPr>
      </w:r>
      <w:r/>
    </w:p>
    <w:p>
      <w:pPr>
        <w:pStyle w:val="953"/>
        <w:ind w:firstLine="480"/>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pStyle w:val="953"/>
        <w:ind w:firstLine="480"/>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pStyle w:val="953"/>
        <w:ind w:firstLine="420"/>
        <w:rPr>
          <w:rFonts w:ascii="宋体" w:hAnsi="宋体" w:cs="宋体"/>
          <w:color w:val="000000" w:themeColor="text1"/>
          <w:highlight w:val="none"/>
        </w:rPr>
        <w:sectPr>
          <w:headerReference w:type="default" r:id="rId11"/>
          <w:footerReference w:type="default" r:id="rId14"/>
          <w:footnotePr/>
          <w:endnotePr/>
          <w:type w:val="nextPage"/>
          <w:pgSz w:w="11906" w:h="16838" w:orient="portrait"/>
          <w:pgMar w:top="1134" w:right="1417" w:bottom="850" w:left="1417" w:header="850" w:footer="992" w:gutter="0"/>
          <w:cols w:num="1" w:sep="0" w:space="720" w:equalWidth="1"/>
          <w:docGrid w:linePitch="360"/>
        </w:sectPr>
      </w:pPr>
      <w:r>
        <w:rPr>
          <w:rFonts w:ascii="宋体" w:hAnsi="宋体" w:cs="宋体"/>
          <w:color w:val="000000" w:themeColor="text1"/>
          <w:highlight w:val="none"/>
        </w:rPr>
      </w:r>
      <w:r>
        <w:rPr>
          <w:color w:val="000000" w:themeColor="text1"/>
          <w:highlight w:val="none"/>
        </w:rPr>
      </w:r>
      <w:r/>
    </w:p>
    <w:p>
      <w:pPr>
        <w:pStyle w:val="953"/>
        <w:jc w:val="center"/>
        <w:rPr>
          <w:rFonts w:ascii="宋体" w:hAnsi="宋体" w:cs="宋体"/>
          <w:b/>
          <w:color w:val="000000" w:themeColor="text1"/>
          <w:sz w:val="32"/>
          <w:szCs w:val="32"/>
          <w:highlight w:val="none"/>
        </w:rPr>
        <w:outlineLvl w:val="0"/>
      </w:pPr>
      <w:r>
        <w:rPr>
          <w:color w:val="000000" w:themeColor="text1"/>
          <w:highlight w:val="none"/>
        </w:rPr>
      </w:r>
      <w:bookmarkStart w:id="1" w:name="_Toc2975"/>
      <w:r>
        <w:rPr>
          <w:rFonts w:hint="eastAsia" w:ascii="宋体" w:hAnsi="宋体" w:cs="宋体"/>
          <w:b/>
          <w:color w:val="000000" w:themeColor="text1"/>
          <w:sz w:val="32"/>
          <w:szCs w:val="32"/>
          <w:highlight w:val="none"/>
        </w:rPr>
        <w:t xml:space="preserve">第一章  投标邀请</w:t>
      </w:r>
      <w:bookmarkEnd w:id="1"/>
      <w:r>
        <w:rPr>
          <w:color w:val="000000" w:themeColor="text1"/>
          <w:highlight w:val="none"/>
        </w:rPr>
      </w:r>
      <w:r/>
    </w:p>
    <w:p>
      <w:pPr>
        <w:pStyle w:val="953"/>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pStyle w:val="953"/>
        <w:ind w:firstLine="480"/>
        <w:rPr>
          <w:rFonts w:ascii="宋体" w:hAnsi="宋体" w:cs="宋体"/>
          <w:color w:val="000000" w:themeColor="text1"/>
          <w:sz w:val="24"/>
          <w:highlight w:val="none"/>
        </w:rPr>
        <w:pBdr>
          <w:top w:val="single" w:color="000000" w:sz="4" w:space="1"/>
          <w:left w:val="single" w:color="000000" w:sz="4" w:space="0"/>
          <w:bottom w:val="single" w:color="000000" w:sz="4" w:space="1"/>
          <w:right w:val="single" w:color="000000" w:sz="4" w:space="4"/>
        </w:pBdr>
      </w:pPr>
      <w:r>
        <w:rPr>
          <w:rFonts w:hint="eastAsia" w:ascii="宋体" w:hAnsi="宋体" w:cs="宋体"/>
          <w:color w:val="000000" w:themeColor="text1"/>
          <w:sz w:val="24"/>
          <w:highlight w:val="none"/>
        </w:rPr>
        <w:t xml:space="preserve">项目概况：</w:t>
      </w:r>
      <w:r>
        <w:rPr>
          <w:rFonts w:hint="eastAsia" w:ascii="宋体" w:hAnsi="宋体" w:cs="宋体"/>
          <w:b/>
          <w:bCs/>
          <w:color w:val="000000" w:themeColor="text1"/>
          <w:sz w:val="24"/>
          <w:highlight w:val="none"/>
          <w:u w:val="single"/>
        </w:rPr>
        <w:t xml:space="preserve">南京市儿童医院河西院区二期项目隔帘、窗帘等</w:t>
      </w:r>
      <w:r>
        <w:rPr>
          <w:rFonts w:hint="eastAsia" w:ascii="宋体" w:hAnsi="宋体" w:cs="宋体"/>
          <w:color w:val="000000" w:themeColor="text1"/>
          <w:sz w:val="24"/>
          <w:highlight w:val="none"/>
        </w:rPr>
        <w:t xml:space="preserve">招标项目的潜在投标人应在</w:t>
      </w:r>
      <w:r>
        <w:rPr>
          <w:rFonts w:hint="eastAsia" w:ascii="宋体" w:hAnsi="宋体" w:cs="宋体"/>
          <w:color w:val="000000" w:themeColor="text1"/>
          <w:sz w:val="24"/>
          <w:highlight w:val="none"/>
          <w:u w:val="single"/>
        </w:rPr>
        <w:t xml:space="preserve">“江苏政府采购网”自行免费下载</w:t>
      </w:r>
      <w:r>
        <w:rPr>
          <w:rFonts w:hint="eastAsia" w:ascii="宋体" w:hAnsi="宋体" w:cs="宋体"/>
          <w:color w:val="000000" w:themeColor="text1"/>
          <w:sz w:val="24"/>
          <w:highlight w:val="none"/>
        </w:rPr>
        <w:t xml:space="preserve">招标文件获取招标文件，并于</w:t>
      </w:r>
      <w:r>
        <w:rPr>
          <w:rFonts w:hint="eastAsia" w:ascii="宋体" w:hAnsi="宋体" w:cs="宋体"/>
          <w:b/>
          <w:bCs/>
          <w:color w:val="000000" w:themeColor="text1"/>
          <w:sz w:val="24"/>
          <w:highlight w:val="none"/>
          <w:u w:val="single"/>
        </w:rPr>
        <w:t xml:space="preserve">20</w:t>
      </w:r>
      <w:r>
        <w:rPr>
          <w:rFonts w:hint="eastAsia" w:ascii="宋体" w:hAnsi="宋体" w:cs="宋体"/>
          <w:b/>
          <w:bCs/>
          <w:color w:val="000000" w:themeColor="text1"/>
          <w:sz w:val="24"/>
          <w:highlight w:val="none"/>
          <w:u w:val="single"/>
        </w:rPr>
        <w:t xml:space="preserve">26年11月19日13点3</w:t>
      </w:r>
      <w:r>
        <w:rPr>
          <w:rFonts w:ascii="宋体" w:hAnsi="宋体" w:cs="宋体"/>
          <w:b/>
          <w:bCs/>
          <w:color w:val="000000" w:themeColor="text1"/>
          <w:sz w:val="24"/>
          <w:highlight w:val="none"/>
          <w:u w:val="single"/>
        </w:rPr>
        <w:t xml:space="preserve">0</w:t>
      </w:r>
      <w:r>
        <w:rPr>
          <w:rFonts w:hint="eastAsia" w:ascii="宋体" w:hAnsi="宋体" w:cs="宋体"/>
          <w:b/>
          <w:bCs/>
          <w:color w:val="000000" w:themeColor="text1"/>
          <w:sz w:val="24"/>
          <w:highlight w:val="none"/>
          <w:u w:val="single"/>
        </w:rPr>
        <w:t xml:space="preserve">分</w:t>
      </w:r>
      <w:r>
        <w:rPr>
          <w:rFonts w:hint="eastAsia" w:ascii="宋体" w:hAnsi="宋体" w:cs="宋体"/>
          <w:b/>
          <w:bCs/>
          <w:color w:val="000000" w:themeColor="text1"/>
          <w:sz w:val="24"/>
          <w:highlight w:val="none"/>
        </w:rPr>
        <w:t xml:space="preserve">（北京时间）</w:t>
      </w:r>
      <w:r>
        <w:rPr>
          <w:rFonts w:hint="eastAsia" w:ascii="宋体" w:hAnsi="宋体" w:cs="宋体"/>
          <w:bCs/>
          <w:color w:val="000000" w:themeColor="text1"/>
          <w:sz w:val="24"/>
          <w:highlight w:val="none"/>
        </w:rPr>
        <w:t xml:space="preserve">前递交投标文件</w:t>
      </w:r>
      <w:r>
        <w:rPr>
          <w:rFonts w:hint="eastAsia" w:ascii="宋体" w:hAnsi="宋体" w:cs="宋体"/>
          <w:color w:val="000000" w:themeColor="text1"/>
          <w:sz w:val="24"/>
          <w:highlight w:val="none"/>
        </w:rPr>
        <w:t xml:space="preserve">。</w:t>
      </w:r>
      <w:r>
        <w:rPr>
          <w:color w:val="000000" w:themeColor="text1"/>
          <w:highlight w:val="none"/>
        </w:rPr>
      </w:r>
      <w:r/>
    </w:p>
    <w:p>
      <w:pPr>
        <w:pStyle w:val="953"/>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pStyle w:val="953"/>
        <w:ind w:firstLine="482"/>
        <w:spacing w:line="360" w:lineRule="auto"/>
        <w:rPr>
          <w:rFonts w:ascii="宋体" w:hAnsi="宋体" w:cs="宋体"/>
          <w:b/>
          <w:color w:val="000000" w:themeColor="text1"/>
          <w:sz w:val="24"/>
          <w:highlight w:val="none"/>
        </w:rPr>
        <w:outlineLvl w:val="1"/>
      </w:pPr>
      <w:r>
        <w:rPr>
          <w:color w:val="000000" w:themeColor="text1"/>
          <w:highlight w:val="none"/>
        </w:rPr>
      </w:r>
      <w:bookmarkStart w:id="2" w:name="_Toc28359079"/>
      <w:r>
        <w:rPr>
          <w:color w:val="000000" w:themeColor="text1"/>
          <w:highlight w:val="none"/>
        </w:rPr>
      </w:r>
      <w:bookmarkStart w:id="3" w:name="_Toc35393621"/>
      <w:r>
        <w:rPr>
          <w:color w:val="000000" w:themeColor="text1"/>
          <w:highlight w:val="none"/>
        </w:rPr>
      </w:r>
      <w:bookmarkStart w:id="4" w:name="_Toc9002"/>
      <w:r>
        <w:rPr>
          <w:color w:val="000000" w:themeColor="text1"/>
          <w:highlight w:val="none"/>
        </w:rPr>
      </w:r>
      <w:bookmarkStart w:id="5" w:name="_Toc35393790"/>
      <w:r>
        <w:rPr>
          <w:color w:val="000000" w:themeColor="text1"/>
          <w:highlight w:val="none"/>
        </w:rPr>
      </w:r>
      <w:bookmarkStart w:id="6" w:name="_Toc28359002"/>
      <w:r>
        <w:rPr>
          <w:color w:val="000000" w:themeColor="text1"/>
          <w:highlight w:val="none"/>
        </w:rPr>
      </w:r>
      <w:bookmarkStart w:id="7" w:name="_Hlk24379207"/>
      <w:r>
        <w:rPr>
          <w:rFonts w:hint="eastAsia" w:ascii="宋体" w:hAnsi="宋体" w:cs="宋体"/>
          <w:b/>
          <w:color w:val="000000" w:themeColor="text1"/>
          <w:sz w:val="24"/>
          <w:highlight w:val="none"/>
        </w:rPr>
        <w:t xml:space="preserve">一、项目基本情况</w:t>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6"/>
      <w:r>
        <w:rPr>
          <w:color w:val="000000" w:themeColor="text1"/>
          <w:highlight w:val="none"/>
        </w:rPr>
      </w:r>
      <w:r/>
    </w:p>
    <w:p>
      <w:pPr>
        <w:pStyle w:val="953"/>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1、项目编号：JSZC-320100-SOHO-G2026-0082</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2、项目名称：河西院区二期项目隔帘、窗帘等采购项目</w:t>
      </w:r>
      <w:r>
        <w:rPr>
          <w:color w:val="000000" w:themeColor="text1"/>
          <w:highlight w:val="none"/>
        </w:rPr>
      </w:r>
      <w:r/>
    </w:p>
    <w:p>
      <w:pPr>
        <w:pStyle w:val="953"/>
        <w:ind w:firstLine="480"/>
        <w:spacing w:line="360" w:lineRule="auto"/>
        <w:rPr>
          <w:rFonts w:hint="eastAsia" w:ascii="宋体" w:hAnsi="宋体" w:cs="宋体"/>
          <w:color w:val="000000" w:themeColor="text1"/>
          <w:sz w:val="24"/>
          <w:highlight w:val="none"/>
        </w:rPr>
      </w:pPr>
      <w:r>
        <w:rPr>
          <w:color w:val="000000" w:themeColor="text1"/>
          <w:highlight w:val="none"/>
        </w:rPr>
      </w:r>
      <w:bookmarkEnd w:id="7"/>
      <w:r>
        <w:rPr>
          <w:rFonts w:hint="eastAsia" w:ascii="宋体" w:hAnsi="宋体" w:cs="宋体"/>
          <w:color w:val="000000" w:themeColor="text1"/>
          <w:sz w:val="24"/>
          <w:highlight w:val="none"/>
        </w:rPr>
        <w:t xml:space="preserve">3、预算金额：300万元人民币</w:t>
      </w:r>
      <w:r>
        <w:rPr>
          <w:color w:val="000000" w:themeColor="text1"/>
          <w:highlight w:val="none"/>
        </w:rPr>
      </w:r>
      <w:r/>
    </w:p>
    <w:p>
      <w:pPr>
        <w:pStyle w:val="953"/>
        <w:ind w:firstLine="480"/>
        <w:spacing w:line="360" w:lineRule="auto"/>
        <w:rPr>
          <w:rFonts w:hint="eastAsia"/>
          <w:color w:val="000000" w:themeColor="text1"/>
          <w:highlight w:val="none"/>
        </w:rPr>
      </w:pPr>
      <w:r>
        <w:rPr>
          <w:rFonts w:hint="eastAsia" w:ascii="宋体" w:hAnsi="宋体" w:cs="宋体"/>
          <w:color w:val="000000" w:themeColor="text1"/>
          <w:sz w:val="24"/>
          <w:highlight w:val="none"/>
        </w:rPr>
        <w:t xml:space="preserve">4、最高限价：300万元人民币</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5、采购需求简介：</w:t>
      </w:r>
      <w:r>
        <w:rPr>
          <w:color w:val="000000" w:themeColor="text1"/>
          <w:highlight w:val="none"/>
        </w:rPr>
      </w:r>
      <w:r/>
    </w:p>
    <w:tbl>
      <w:tblPr>
        <w:tblW w:w="562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4"/>
        <w:gridCol w:w="3180"/>
        <w:gridCol w:w="1196"/>
        <w:gridCol w:w="1158"/>
        <w:gridCol w:w="1823"/>
        <w:gridCol w:w="2482"/>
      </w:tblGrid>
      <w:tr>
        <w:trPr>
          <w:trHeight w:val="966"/>
        </w:trPr>
        <w:tc>
          <w:tcPr>
            <w:tcW w:w="293"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r/>
          </w:p>
        </w:tc>
        <w:tc>
          <w:tcPr>
            <w:tcW w:w="1520"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产品名称</w:t>
            </w:r>
            <w:r>
              <w:rPr>
                <w:color w:val="000000" w:themeColor="text1"/>
                <w:highlight w:val="none"/>
              </w:rPr>
            </w:r>
            <w:r/>
          </w:p>
        </w:tc>
        <w:tc>
          <w:tcPr>
            <w:tcW w:w="572"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color w:val="000000" w:themeColor="text1"/>
                <w:highlight w:val="none"/>
              </w:rPr>
            </w:r>
            <w:r/>
          </w:p>
        </w:tc>
        <w:tc>
          <w:tcPr>
            <w:tcW w:w="554"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单位</w:t>
            </w:r>
            <w:r>
              <w:rPr>
                <w:color w:val="000000" w:themeColor="text1"/>
                <w:highlight w:val="none"/>
              </w:rPr>
            </w:r>
            <w:r/>
          </w:p>
        </w:tc>
        <w:tc>
          <w:tcPr>
            <w:tcW w:w="871" w:type="pct"/>
            <w:vAlign w:val="center"/>
            <w:textDirection w:val="lrTb"/>
            <w:noWrap/>
          </w:tcPr>
          <w:p>
            <w:pPr>
              <w:pStyle w:val="953"/>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最高限价</w:t>
            </w:r>
            <w:r>
              <w:rPr>
                <w:color w:val="000000" w:themeColor="text1"/>
                <w:highlight w:val="none"/>
              </w:rPr>
            </w:r>
            <w:r/>
          </w:p>
          <w:p>
            <w:pPr>
              <w:pStyle w:val="953"/>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（单价）</w:t>
            </w:r>
            <w:r>
              <w:rPr>
                <w:color w:val="000000" w:themeColor="text1"/>
                <w:highlight w:val="none"/>
              </w:rPr>
            </w:r>
            <w:r/>
          </w:p>
          <w:p>
            <w:pPr>
              <w:pStyle w:val="953"/>
              <w:jc w:val="center"/>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（人民币/元）</w:t>
            </w:r>
            <w:r>
              <w:rPr>
                <w:color w:val="000000" w:themeColor="text1"/>
                <w:highlight w:val="none"/>
              </w:rPr>
            </w:r>
            <w:r/>
          </w:p>
        </w:tc>
        <w:tc>
          <w:tcPr>
            <w:tcW w:w="1186"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color w:val="000000" w:themeColor="text1"/>
                <w:highlight w:val="none"/>
              </w:rPr>
            </w:r>
            <w:r/>
          </w:p>
        </w:tc>
      </w:tr>
      <w:tr>
        <w:trPr>
          <w:trHeight w:val="488"/>
        </w:trPr>
        <w:tc>
          <w:tcPr>
            <w:shd w:val="clear" w:color="000000" w:fill="ffffff"/>
            <w:tcW w:w="293"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shd w:val="clear" w:color="000000" w:fill="ffffff"/>
            <w:tcW w:w="1520"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手动·阻燃</w:t>
            </w:r>
            <w:r>
              <w:rPr>
                <w:rFonts w:hint="eastAsia" w:ascii="宋体" w:hAnsi="宋体" w:cs="宋体"/>
                <w:color w:val="000000" w:themeColor="text1"/>
                <w:sz w:val="24"/>
                <w:szCs w:val="24"/>
                <w:highlight w:val="none"/>
              </w:rPr>
              <w:t xml:space="preserve">窗帘</w:t>
            </w:r>
            <w:r>
              <w:rPr>
                <w:color w:val="000000" w:themeColor="text1"/>
                <w:highlight w:val="none"/>
              </w:rPr>
            </w:r>
            <w:r/>
          </w:p>
          <w:p>
            <w:pPr>
              <w:pStyle w:val="953"/>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（核心产品）</w:t>
            </w:r>
            <w:r>
              <w:rPr>
                <w:color w:val="000000" w:themeColor="text1"/>
                <w:highlight w:val="none"/>
              </w:rPr>
            </w:r>
            <w:r/>
          </w:p>
        </w:tc>
        <w:tc>
          <w:tcPr>
            <w:tcW w:w="572" w:type="pct"/>
            <w:vAlign w:val="center"/>
            <w:textDirection w:val="lrTb"/>
            <w:noWrap/>
          </w:tcPr>
          <w:p>
            <w:pPr>
              <w:pStyle w:val="953"/>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49</w:t>
            </w:r>
            <w:r>
              <w:rPr>
                <w:rFonts w:hint="eastAsia" w:ascii="宋体" w:hAnsi="宋体" w:cs="宋体"/>
                <w:color w:val="000000" w:themeColor="text1"/>
                <w:sz w:val="24"/>
                <w:szCs w:val="24"/>
                <w:highlight w:val="none"/>
              </w:rPr>
              <w:t xml:space="preserve">30</w:t>
            </w:r>
            <w:r>
              <w:rPr>
                <w:color w:val="000000" w:themeColor="text1"/>
                <w:highlight w:val="none"/>
              </w:rPr>
            </w:r>
            <w:r/>
          </w:p>
        </w:tc>
        <w:tc>
          <w:tcPr>
            <w:tcW w:w="554"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平方米</w:t>
            </w:r>
            <w:r>
              <w:rPr>
                <w:color w:val="000000" w:themeColor="text1"/>
                <w:highlight w:val="none"/>
              </w:rPr>
            </w:r>
            <w:r/>
          </w:p>
        </w:tc>
        <w:tc>
          <w:tcPr>
            <w:shd w:val="clear" w:color="000000" w:fill="ffffff"/>
            <w:tcW w:w="871" w:type="pct"/>
            <w:vAlign w:val="center"/>
            <w:textDirection w:val="lrTb"/>
            <w:noWrap/>
          </w:tcPr>
          <w:p>
            <w:pPr>
              <w:pStyle w:val="953"/>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133</w:t>
            </w:r>
            <w:r>
              <w:rPr>
                <w:color w:val="000000" w:themeColor="text1"/>
                <w:highlight w:val="none"/>
              </w:rPr>
            </w:r>
            <w:r/>
          </w:p>
        </w:tc>
        <w:tc>
          <w:tcPr>
            <w:shd w:val="clear" w:color="000000" w:fill="ffffff"/>
            <w:tcW w:w="1186" w:type="pct"/>
            <w:vAlign w:val="center"/>
            <w:textDirection w:val="lrTb"/>
            <w:noWrap/>
          </w:tcPr>
          <w:p>
            <w:pPr>
              <w:pStyle w:val="953"/>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投影面积</w:t>
            </w:r>
            <w:r>
              <w:rPr>
                <w:color w:val="000000" w:themeColor="text1"/>
                <w:highlight w:val="none"/>
              </w:rPr>
            </w:r>
            <w:r/>
          </w:p>
        </w:tc>
      </w:tr>
      <w:tr>
        <w:trPr>
          <w:trHeight w:val="488"/>
        </w:trPr>
        <w:tc>
          <w:tcPr>
            <w:shd w:val="clear" w:color="000000" w:fill="ffffff"/>
            <w:tcW w:w="293"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r/>
          </w:p>
        </w:tc>
        <w:tc>
          <w:tcPr>
            <w:shd w:val="clear" w:color="000000" w:fill="ffffff"/>
            <w:tcW w:w="1520"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手动·阻燃</w:t>
            </w:r>
            <w:r>
              <w:rPr>
                <w:rFonts w:hint="eastAsia" w:ascii="宋体" w:hAnsi="宋体" w:cs="宋体"/>
                <w:color w:val="000000" w:themeColor="text1"/>
                <w:sz w:val="24"/>
                <w:szCs w:val="24"/>
                <w:highlight w:val="none"/>
              </w:rPr>
              <w:t xml:space="preserve">医用隔帘</w:t>
            </w:r>
            <w:r>
              <w:rPr>
                <w:color w:val="000000" w:themeColor="text1"/>
                <w:highlight w:val="none"/>
              </w:rPr>
            </w:r>
            <w:r/>
          </w:p>
        </w:tc>
        <w:tc>
          <w:tcPr>
            <w:tcW w:w="572" w:type="pct"/>
            <w:vAlign w:val="center"/>
            <w:textDirection w:val="lrTb"/>
            <w:noWrap/>
          </w:tcPr>
          <w:p>
            <w:pPr>
              <w:pStyle w:val="953"/>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94</w:t>
            </w:r>
            <w:r>
              <w:rPr>
                <w:rFonts w:hint="eastAsia" w:ascii="宋体" w:hAnsi="宋体" w:cs="宋体"/>
                <w:color w:val="000000" w:themeColor="text1"/>
                <w:sz w:val="24"/>
                <w:szCs w:val="24"/>
                <w:highlight w:val="none"/>
              </w:rPr>
              <w:t xml:space="preserve">45</w:t>
            </w:r>
            <w:r>
              <w:rPr>
                <w:color w:val="000000" w:themeColor="text1"/>
                <w:highlight w:val="none"/>
              </w:rPr>
            </w:r>
            <w:r/>
          </w:p>
        </w:tc>
        <w:tc>
          <w:tcPr>
            <w:tcW w:w="554"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平方米</w:t>
            </w:r>
            <w:r>
              <w:rPr>
                <w:color w:val="000000" w:themeColor="text1"/>
                <w:highlight w:val="none"/>
              </w:rPr>
            </w:r>
            <w:r/>
          </w:p>
        </w:tc>
        <w:tc>
          <w:tcPr>
            <w:shd w:val="clear" w:color="000000" w:fill="ffffff"/>
            <w:tcW w:w="871" w:type="pct"/>
            <w:vAlign w:val="center"/>
            <w:textDirection w:val="lrTb"/>
            <w:noWrap/>
          </w:tcPr>
          <w:p>
            <w:pPr>
              <w:pStyle w:val="953"/>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65</w:t>
            </w:r>
            <w:r>
              <w:rPr>
                <w:color w:val="000000" w:themeColor="text1"/>
                <w:highlight w:val="none"/>
              </w:rPr>
            </w:r>
            <w:r/>
          </w:p>
        </w:tc>
        <w:tc>
          <w:tcPr>
            <w:shd w:val="clear" w:color="000000" w:fill="ffffff"/>
            <w:tcW w:w="1186"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投影面积</w:t>
            </w:r>
            <w:r>
              <w:rPr>
                <w:color w:val="000000" w:themeColor="text1"/>
                <w:highlight w:val="none"/>
              </w:rPr>
            </w:r>
            <w:r/>
          </w:p>
        </w:tc>
      </w:tr>
      <w:tr>
        <w:trPr>
          <w:trHeight w:val="488"/>
        </w:trPr>
        <w:tc>
          <w:tcPr>
            <w:shd w:val="clear" w:color="000000" w:fill="ffffff"/>
            <w:tcW w:w="293"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r/>
          </w:p>
        </w:tc>
        <w:tc>
          <w:tcPr>
            <w:shd w:val="clear" w:color="000000" w:fill="ffffff"/>
            <w:tcW w:w="1520"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手动·</w:t>
            </w:r>
            <w:r>
              <w:rPr>
                <w:rFonts w:hint="eastAsia" w:ascii="宋体" w:hAnsi="宋体" w:cs="宋体"/>
                <w:color w:val="000000" w:themeColor="text1"/>
                <w:sz w:val="24"/>
                <w:szCs w:val="24"/>
                <w:highlight w:val="none"/>
              </w:rPr>
              <w:t xml:space="preserve">阻燃卷帘</w:t>
            </w:r>
            <w:r>
              <w:rPr>
                <w:color w:val="000000" w:themeColor="text1"/>
                <w:highlight w:val="none"/>
              </w:rPr>
            </w:r>
            <w:r/>
          </w:p>
        </w:tc>
        <w:tc>
          <w:tcPr>
            <w:tcW w:w="572" w:type="pct"/>
            <w:vAlign w:val="center"/>
            <w:textDirection w:val="lrTb"/>
            <w:noWrap/>
          </w:tcPr>
          <w:p>
            <w:pPr>
              <w:pStyle w:val="953"/>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5</w:t>
            </w:r>
            <w:r>
              <w:rPr>
                <w:rFonts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rPr>
              <w:t xml:space="preserve">80</w:t>
            </w:r>
            <w:r>
              <w:rPr>
                <w:color w:val="000000" w:themeColor="text1"/>
                <w:highlight w:val="none"/>
              </w:rPr>
            </w:r>
            <w:r/>
          </w:p>
        </w:tc>
        <w:tc>
          <w:tcPr>
            <w:tcW w:w="554"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平方米</w:t>
            </w:r>
            <w:r>
              <w:rPr>
                <w:color w:val="000000" w:themeColor="text1"/>
                <w:highlight w:val="none"/>
              </w:rPr>
            </w:r>
            <w:r/>
          </w:p>
        </w:tc>
        <w:tc>
          <w:tcPr>
            <w:shd w:val="clear" w:color="000000" w:fill="ffffff"/>
            <w:tcW w:w="871" w:type="pct"/>
            <w:vAlign w:val="center"/>
            <w:textDirection w:val="lrTb"/>
            <w:noWrap/>
          </w:tcPr>
          <w:p>
            <w:pPr>
              <w:pStyle w:val="953"/>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150</w:t>
            </w:r>
            <w:r>
              <w:rPr>
                <w:color w:val="000000" w:themeColor="text1"/>
                <w:highlight w:val="none"/>
              </w:rPr>
            </w:r>
            <w:r/>
          </w:p>
        </w:tc>
        <w:tc>
          <w:tcPr>
            <w:shd w:val="clear" w:color="000000" w:fill="ffffff"/>
            <w:tcW w:w="1186"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投影面积</w:t>
            </w:r>
            <w:r>
              <w:rPr>
                <w:color w:val="000000" w:themeColor="text1"/>
                <w:highlight w:val="none"/>
              </w:rPr>
            </w:r>
            <w:r/>
          </w:p>
        </w:tc>
      </w:tr>
      <w:tr>
        <w:trPr>
          <w:trHeight w:val="488"/>
        </w:trPr>
        <w:tc>
          <w:tcPr>
            <w:shd w:val="clear" w:color="000000" w:fill="ffffff"/>
            <w:tcW w:w="293"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r/>
          </w:p>
        </w:tc>
        <w:tc>
          <w:tcPr>
            <w:shd w:val="clear" w:color="000000" w:fill="ffffff"/>
            <w:tcW w:w="1520"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电动·阻燃</w:t>
            </w:r>
            <w:r>
              <w:rPr>
                <w:rFonts w:hint="eastAsia" w:ascii="宋体" w:hAnsi="宋体" w:cs="宋体"/>
                <w:color w:val="000000" w:themeColor="text1"/>
                <w:sz w:val="24"/>
                <w:szCs w:val="24"/>
                <w:highlight w:val="none"/>
              </w:rPr>
              <w:t xml:space="preserve">窗帘</w:t>
            </w:r>
            <w:r>
              <w:rPr>
                <w:color w:val="000000" w:themeColor="text1"/>
                <w:highlight w:val="none"/>
              </w:rPr>
            </w:r>
            <w:r/>
          </w:p>
        </w:tc>
        <w:tc>
          <w:tcPr>
            <w:tcW w:w="572" w:type="pct"/>
            <w:vAlign w:val="center"/>
            <w:textDirection w:val="lrTb"/>
            <w:noWrap/>
          </w:tcPr>
          <w:p>
            <w:pPr>
              <w:pStyle w:val="953"/>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rPr>
              <w:t xml:space="preserve">80</w:t>
            </w:r>
            <w:r>
              <w:rPr>
                <w:color w:val="000000" w:themeColor="text1"/>
                <w:highlight w:val="none"/>
              </w:rPr>
            </w:r>
            <w:r/>
          </w:p>
        </w:tc>
        <w:tc>
          <w:tcPr>
            <w:tcW w:w="554"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平方米</w:t>
            </w:r>
            <w:r>
              <w:rPr>
                <w:color w:val="000000" w:themeColor="text1"/>
                <w:highlight w:val="none"/>
              </w:rPr>
            </w:r>
            <w:r/>
          </w:p>
        </w:tc>
        <w:tc>
          <w:tcPr>
            <w:shd w:val="clear" w:color="000000" w:fill="ffffff"/>
            <w:tcW w:w="871" w:type="pct"/>
            <w:vAlign w:val="center"/>
            <w:textDirection w:val="lrTb"/>
            <w:noWrap/>
          </w:tcPr>
          <w:p>
            <w:pPr>
              <w:pStyle w:val="953"/>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540</w:t>
            </w:r>
            <w:r>
              <w:rPr>
                <w:color w:val="000000" w:themeColor="text1"/>
                <w:highlight w:val="none"/>
              </w:rPr>
            </w:r>
            <w:r/>
          </w:p>
        </w:tc>
        <w:tc>
          <w:tcPr>
            <w:shd w:val="clear" w:color="000000" w:fill="ffffff"/>
            <w:tcW w:w="1186"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投影面积</w:t>
            </w:r>
            <w:r>
              <w:rPr>
                <w:color w:val="000000" w:themeColor="text1"/>
                <w:highlight w:val="none"/>
              </w:rPr>
            </w:r>
            <w:r/>
          </w:p>
        </w:tc>
      </w:tr>
      <w:tr>
        <w:trPr>
          <w:trHeight w:val="488"/>
        </w:trPr>
        <w:tc>
          <w:tcPr>
            <w:shd w:val="clear" w:color="000000" w:fill="ffffff"/>
            <w:tcW w:w="293"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r/>
          </w:p>
        </w:tc>
        <w:tc>
          <w:tcPr>
            <w:shd w:val="clear" w:color="000000" w:fill="ffffff"/>
            <w:tcW w:w="1520" w:type="pct"/>
            <w:vAlign w:val="center"/>
            <w:textDirection w:val="lrTb"/>
            <w:noWrap/>
          </w:tcPr>
          <w:p>
            <w:pPr>
              <w:pStyle w:val="953"/>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电动·阻燃卷帘</w:t>
            </w:r>
            <w:r>
              <w:rPr>
                <w:color w:val="000000" w:themeColor="text1"/>
                <w:highlight w:val="none"/>
              </w:rPr>
            </w:r>
            <w:r/>
          </w:p>
        </w:tc>
        <w:tc>
          <w:tcPr>
            <w:tcW w:w="572" w:type="pct"/>
            <w:vAlign w:val="center"/>
            <w:textDirection w:val="lrTb"/>
            <w:noWrap/>
          </w:tcPr>
          <w:p>
            <w:pPr>
              <w:pStyle w:val="953"/>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200</w:t>
            </w:r>
            <w:r>
              <w:rPr>
                <w:color w:val="000000" w:themeColor="text1"/>
                <w:highlight w:val="none"/>
              </w:rPr>
            </w:r>
            <w:r/>
          </w:p>
        </w:tc>
        <w:tc>
          <w:tcPr>
            <w:tcW w:w="554"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平方米</w:t>
            </w:r>
            <w:r>
              <w:rPr>
                <w:color w:val="000000" w:themeColor="text1"/>
                <w:highlight w:val="none"/>
              </w:rPr>
            </w:r>
            <w:r/>
          </w:p>
        </w:tc>
        <w:tc>
          <w:tcPr>
            <w:shd w:val="clear" w:color="000000" w:fill="ffffff"/>
            <w:tcW w:w="871" w:type="pct"/>
            <w:vAlign w:val="center"/>
            <w:textDirection w:val="lrTb"/>
            <w:noWrap/>
          </w:tcPr>
          <w:p>
            <w:pPr>
              <w:pStyle w:val="953"/>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560</w:t>
            </w:r>
            <w:r>
              <w:rPr>
                <w:color w:val="000000" w:themeColor="text1"/>
                <w:highlight w:val="none"/>
              </w:rPr>
            </w:r>
            <w:r/>
          </w:p>
        </w:tc>
        <w:tc>
          <w:tcPr>
            <w:shd w:val="clear" w:color="000000" w:fill="ffffff"/>
            <w:tcW w:w="1186" w:type="pct"/>
            <w:vAlign w:val="center"/>
            <w:textDirection w:val="lrTb"/>
            <w:noWrap/>
          </w:tcPr>
          <w:p>
            <w:pPr>
              <w:pStyle w:val="953"/>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投影面积</w:t>
            </w:r>
            <w:r>
              <w:rPr>
                <w:color w:val="000000" w:themeColor="text1"/>
                <w:highlight w:val="none"/>
              </w:rPr>
            </w:r>
            <w:r/>
          </w:p>
        </w:tc>
      </w:tr>
      <w:tr>
        <w:trPr>
          <w:trHeight w:val="488"/>
        </w:trPr>
        <w:tc>
          <w:tcPr>
            <w:shd w:val="clear" w:color="000000" w:fill="ffffff"/>
            <w:tcW w:w="293"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r/>
          </w:p>
        </w:tc>
        <w:tc>
          <w:tcPr>
            <w:shd w:val="clear" w:color="000000" w:fill="ffffff"/>
            <w:tcW w:w="1520" w:type="pct"/>
            <w:vAlign w:val="center"/>
            <w:textDirection w:val="lrTb"/>
            <w:noWrap/>
          </w:tcPr>
          <w:p>
            <w:pPr>
              <w:pStyle w:val="953"/>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电动·阻燃幕布</w:t>
            </w:r>
            <w:r>
              <w:rPr>
                <w:color w:val="000000" w:themeColor="text1"/>
                <w:highlight w:val="none"/>
              </w:rPr>
            </w:r>
            <w:r/>
          </w:p>
        </w:tc>
        <w:tc>
          <w:tcPr>
            <w:tcW w:w="572" w:type="pct"/>
            <w:vAlign w:val="center"/>
            <w:textDirection w:val="lrTb"/>
            <w:noWrap/>
          </w:tcPr>
          <w:p>
            <w:pPr>
              <w:pStyle w:val="953"/>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8</w:t>
            </w:r>
            <w:r>
              <w:rPr>
                <w:rFonts w:hint="eastAsia" w:ascii="宋体" w:hAnsi="宋体" w:cs="宋体"/>
                <w:color w:val="000000" w:themeColor="text1"/>
                <w:sz w:val="24"/>
                <w:szCs w:val="24"/>
                <w:highlight w:val="none"/>
              </w:rPr>
              <w:t xml:space="preserve">5</w:t>
            </w:r>
            <w:r>
              <w:rPr>
                <w:color w:val="000000" w:themeColor="text1"/>
                <w:highlight w:val="none"/>
              </w:rPr>
            </w:r>
            <w:r/>
          </w:p>
        </w:tc>
        <w:tc>
          <w:tcPr>
            <w:tcW w:w="554"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平方米</w:t>
            </w:r>
            <w:r>
              <w:rPr>
                <w:color w:val="000000" w:themeColor="text1"/>
                <w:highlight w:val="none"/>
              </w:rPr>
            </w:r>
            <w:r/>
          </w:p>
        </w:tc>
        <w:tc>
          <w:tcPr>
            <w:shd w:val="clear" w:color="000000" w:fill="ffffff"/>
            <w:tcW w:w="871" w:type="pct"/>
            <w:vAlign w:val="center"/>
            <w:textDirection w:val="lrTb"/>
            <w:noWrap/>
          </w:tcPr>
          <w:p>
            <w:pPr>
              <w:pStyle w:val="953"/>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540</w:t>
            </w:r>
            <w:r>
              <w:rPr>
                <w:color w:val="000000" w:themeColor="text1"/>
                <w:highlight w:val="none"/>
              </w:rPr>
            </w:r>
            <w:r/>
          </w:p>
        </w:tc>
        <w:tc>
          <w:tcPr>
            <w:shd w:val="clear" w:color="000000" w:fill="ffffff"/>
            <w:tcW w:w="1186"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投影面积</w:t>
            </w:r>
            <w:r>
              <w:rPr>
                <w:color w:val="000000" w:themeColor="text1"/>
                <w:highlight w:val="none"/>
              </w:rPr>
            </w:r>
            <w:r/>
          </w:p>
        </w:tc>
      </w:tr>
      <w:tr>
        <w:trPr>
          <w:trHeight w:val="488"/>
        </w:trPr>
        <w:tc>
          <w:tcPr>
            <w:shd w:val="clear" w:color="000000" w:fill="ffffff"/>
            <w:tcW w:w="293"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color w:val="000000" w:themeColor="text1"/>
                <w:highlight w:val="none"/>
              </w:rPr>
            </w:r>
            <w:r/>
          </w:p>
        </w:tc>
        <w:tc>
          <w:tcPr>
            <w:shd w:val="clear" w:color="000000" w:fill="ffffff"/>
            <w:tcW w:w="1520" w:type="pct"/>
            <w:vAlign w:val="center"/>
            <w:textDirection w:val="lrTb"/>
            <w:noWrap/>
          </w:tcPr>
          <w:p>
            <w:pPr>
              <w:pStyle w:val="953"/>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辅料配件</w:t>
            </w:r>
            <w:r>
              <w:rPr>
                <w:color w:val="000000" w:themeColor="text1"/>
                <w:highlight w:val="none"/>
              </w:rPr>
            </w:r>
            <w:r/>
          </w:p>
        </w:tc>
        <w:tc>
          <w:tcPr>
            <w:tcW w:w="572" w:type="pct"/>
            <w:vAlign w:val="center"/>
            <w:textDirection w:val="lrTb"/>
            <w:noWrap/>
          </w:tcPr>
          <w:p>
            <w:pPr>
              <w:pStyle w:val="953"/>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highlight w:val="none"/>
              </w:rPr>
            </w:r>
            <w:r/>
          </w:p>
        </w:tc>
        <w:tc>
          <w:tcPr>
            <w:tcW w:w="554"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highlight w:val="none"/>
              </w:rPr>
            </w:r>
            <w:r/>
          </w:p>
        </w:tc>
        <w:tc>
          <w:tcPr>
            <w:shd w:val="clear" w:color="000000" w:fill="ffffff"/>
            <w:tcW w:w="871" w:type="pct"/>
            <w:vAlign w:val="center"/>
            <w:textDirection w:val="lrTb"/>
            <w:noWrap/>
          </w:tcPr>
          <w:p>
            <w:pPr>
              <w:pStyle w:val="953"/>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包含在总价内</w:t>
            </w:r>
            <w:r>
              <w:rPr>
                <w:color w:val="000000" w:themeColor="text1"/>
                <w:highlight w:val="none"/>
              </w:rPr>
            </w:r>
            <w:r/>
          </w:p>
        </w:tc>
        <w:tc>
          <w:tcPr>
            <w:shd w:val="clear" w:color="000000" w:fill="ffffff"/>
            <w:tcW w:w="1186"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（产品备件库）</w:t>
            </w:r>
            <w:r>
              <w:rPr>
                <w:color w:val="000000" w:themeColor="text1"/>
                <w:highlight w:val="none"/>
              </w:rPr>
            </w:r>
            <w:r/>
          </w:p>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包含在总价内</w:t>
            </w:r>
            <w:r>
              <w:rPr>
                <w:color w:val="000000" w:themeColor="text1"/>
                <w:highlight w:val="none"/>
              </w:rPr>
            </w:r>
            <w:r/>
          </w:p>
        </w:tc>
      </w:tr>
    </w:tbl>
    <w:p>
      <w:pPr>
        <w:pStyle w:val="953"/>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6</w:t>
      </w:r>
      <w:r>
        <w:rPr>
          <w:rFonts w:hint="eastAsia" w:ascii="宋体" w:hAnsi="宋体" w:cs="宋体"/>
          <w:color w:val="000000" w:themeColor="text1"/>
          <w:sz w:val="24"/>
          <w:highlight w:val="none"/>
        </w:rPr>
        <w:t xml:space="preserve">、</w:t>
      </w:r>
      <w:r>
        <w:rPr>
          <w:rFonts w:hint="eastAsia" w:ascii="宋体" w:hAnsi="宋体" w:cs="宋体"/>
          <w:bCs/>
          <w:color w:val="000000" w:themeColor="text1"/>
          <w:sz w:val="24"/>
          <w:highlight w:val="none"/>
        </w:rPr>
        <w:t xml:space="preserve">交货期：合同签订后接采购人通知45天内。</w:t>
      </w:r>
      <w:r>
        <w:rPr>
          <w:color w:val="000000" w:themeColor="text1"/>
          <w:highlight w:val="none"/>
        </w:rPr>
      </w:r>
      <w:r/>
    </w:p>
    <w:p>
      <w:pPr>
        <w:pStyle w:val="953"/>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7</w:t>
      </w:r>
      <w:r>
        <w:rPr>
          <w:rFonts w:hint="eastAsia" w:ascii="宋体" w:hAnsi="宋体" w:cs="宋体"/>
          <w:color w:val="000000" w:themeColor="text1"/>
          <w:sz w:val="24"/>
          <w:highlight w:val="none"/>
        </w:rPr>
        <w:t xml:space="preserve">、本项目不</w:t>
      </w:r>
      <w:r>
        <w:rPr>
          <w:rFonts w:hint="eastAsia" w:ascii="宋体" w:hAnsi="宋体" w:cs="宋体"/>
          <w:bCs/>
          <w:color w:val="000000" w:themeColor="text1"/>
          <w:sz w:val="24"/>
          <w:highlight w:val="none"/>
        </w:rPr>
        <w:t xml:space="preserve">接受进口产品投标。</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bCs/>
          <w:color w:val="000000" w:themeColor="text1"/>
          <w:sz w:val="24"/>
          <w:highlight w:val="none"/>
        </w:rPr>
        <w:t xml:space="preserve">8</w:t>
      </w:r>
      <w:r>
        <w:rPr>
          <w:rFonts w:hint="eastAsia" w:ascii="宋体" w:hAnsi="宋体" w:cs="宋体"/>
          <w:color w:val="000000" w:themeColor="text1"/>
          <w:sz w:val="24"/>
          <w:highlight w:val="none"/>
        </w:rPr>
        <w:t xml:space="preserve">、本项目</w:t>
      </w:r>
      <w:r>
        <w:rPr>
          <w:rFonts w:hint="eastAsia" w:ascii="宋体" w:hAnsi="宋体" w:cs="宋体"/>
          <w:b/>
          <w:bCs/>
          <w:color w:val="000000" w:themeColor="text1"/>
          <w:sz w:val="24"/>
          <w:highlight w:val="none"/>
          <w:u w:val="single"/>
        </w:rPr>
        <w:t xml:space="preserve">不接受</w:t>
      </w:r>
      <w:r>
        <w:rPr>
          <w:rFonts w:hint="eastAsia" w:ascii="宋体" w:hAnsi="宋体" w:cs="宋体"/>
          <w:color w:val="000000" w:themeColor="text1"/>
          <w:sz w:val="24"/>
          <w:highlight w:val="none"/>
        </w:rPr>
        <w:t xml:space="preserve">联合体投标</w:t>
      </w:r>
      <w:r>
        <w:rPr>
          <w:color w:val="000000" w:themeColor="text1"/>
          <w:highlight w:val="none"/>
        </w:rPr>
      </w:r>
      <w:r/>
    </w:p>
    <w:p>
      <w:pPr>
        <w:pStyle w:val="953"/>
        <w:spacing w:line="360" w:lineRule="auto"/>
        <w:rPr>
          <w:rFonts w:ascii="宋体" w:hAnsi="宋体" w:cs="宋体"/>
          <w:bCs/>
          <w:color w:val="000000" w:themeColor="text1"/>
          <w:sz w:val="24"/>
          <w:highlight w:val="none"/>
        </w:rPr>
      </w:pPr>
      <w:r>
        <w:rPr>
          <w:rFonts w:ascii="宋体" w:hAnsi="宋体" w:cs="宋体"/>
          <w:bCs/>
          <w:color w:val="000000" w:themeColor="text1"/>
          <w:sz w:val="24"/>
          <w:highlight w:val="none"/>
        </w:rPr>
      </w:r>
      <w:r>
        <w:rPr>
          <w:color w:val="000000" w:themeColor="text1"/>
          <w:highlight w:val="none"/>
        </w:rPr>
      </w:r>
      <w:r/>
    </w:p>
    <w:p>
      <w:pPr>
        <w:pStyle w:val="953"/>
        <w:ind w:firstLine="482"/>
        <w:rPr>
          <w:rFonts w:ascii="宋体" w:hAnsi="宋体" w:cs="宋体"/>
          <w:b/>
          <w:color w:val="000000" w:themeColor="text1"/>
          <w:sz w:val="24"/>
          <w:highlight w:val="none"/>
        </w:rPr>
        <w:outlineLvl w:val="1"/>
      </w:pPr>
      <w:r>
        <w:rPr>
          <w:color w:val="000000" w:themeColor="text1"/>
          <w:highlight w:val="none"/>
        </w:rPr>
      </w:r>
      <w:bookmarkStart w:id="8" w:name="_Toc2088"/>
      <w:r>
        <w:rPr>
          <w:color w:val="000000" w:themeColor="text1"/>
          <w:highlight w:val="none"/>
        </w:rPr>
      </w:r>
      <w:bookmarkStart w:id="9" w:name="_Toc28359003"/>
      <w:r>
        <w:rPr>
          <w:color w:val="000000" w:themeColor="text1"/>
          <w:highlight w:val="none"/>
        </w:rPr>
      </w:r>
      <w:bookmarkStart w:id="10" w:name="_Toc35393791"/>
      <w:r>
        <w:rPr>
          <w:color w:val="000000" w:themeColor="text1"/>
          <w:highlight w:val="none"/>
        </w:rPr>
      </w:r>
      <w:bookmarkStart w:id="11" w:name="_Toc28359080"/>
      <w:r>
        <w:rPr>
          <w:color w:val="000000" w:themeColor="text1"/>
          <w:highlight w:val="none"/>
        </w:rPr>
      </w:r>
      <w:bookmarkStart w:id="12" w:name="_Toc35393622"/>
      <w:r>
        <w:rPr>
          <w:rFonts w:hint="eastAsia" w:ascii="宋体" w:hAnsi="宋体" w:cs="宋体"/>
          <w:b/>
          <w:color w:val="000000" w:themeColor="text1"/>
          <w:sz w:val="24"/>
          <w:highlight w:val="none"/>
        </w:rPr>
        <w:t xml:space="preserve">二、申请人的资格要求</w:t>
      </w:r>
      <w:bookmarkEnd w:id="8"/>
      <w:r>
        <w:rPr>
          <w:color w:val="000000" w:themeColor="text1"/>
          <w:highlight w:val="none"/>
        </w:rPr>
      </w:r>
      <w:bookmarkEnd w:id="9"/>
      <w:r>
        <w:rPr>
          <w:color w:val="000000" w:themeColor="text1"/>
          <w:highlight w:val="none"/>
        </w:rPr>
      </w:r>
      <w:bookmarkEnd w:id="10"/>
      <w:r>
        <w:rPr>
          <w:color w:val="000000" w:themeColor="text1"/>
          <w:highlight w:val="none"/>
        </w:rPr>
      </w:r>
      <w:bookmarkEnd w:id="11"/>
      <w:r>
        <w:rPr>
          <w:color w:val="000000" w:themeColor="text1"/>
          <w:highlight w:val="none"/>
        </w:rPr>
      </w:r>
      <w:bookmarkEnd w:id="12"/>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（一）通用资格要求</w:t>
      </w:r>
      <w:r>
        <w:rPr>
          <w:color w:val="000000" w:themeColor="text1"/>
          <w:highlight w:val="none"/>
        </w:rPr>
      </w:r>
      <w:r/>
    </w:p>
    <w:p>
      <w:pPr>
        <w:pStyle w:val="953"/>
        <w:ind w:firstLine="480"/>
        <w:spacing w:line="360" w:lineRule="auto"/>
        <w:rPr>
          <w:color w:val="000000" w:themeColor="text1"/>
          <w:highlight w:val="none"/>
        </w:rPr>
      </w:pPr>
      <w:r>
        <w:rPr>
          <w:rFonts w:ascii="宋体" w:hAnsi="宋体" w:cs="宋体"/>
          <w:color w:val="000000" w:themeColor="text1"/>
          <w:sz w:val="24"/>
          <w:highlight w:val="none"/>
        </w:rPr>
        <w:t xml:space="preserve">1.满足《中华人民共和国政府采购法》第二十二条规定，并提供下列材料：</w:t>
      </w:r>
      <w:r>
        <w:rPr>
          <w:color w:val="000000" w:themeColor="text1"/>
          <w:highlight w:val="none"/>
        </w:rPr>
      </w:r>
      <w:r/>
    </w:p>
    <w:p>
      <w:pPr>
        <w:pStyle w:val="953"/>
        <w:ind w:firstLine="480"/>
        <w:spacing w:line="360" w:lineRule="auto"/>
        <w:rPr>
          <w:color w:val="000000" w:themeColor="text1"/>
          <w:highlight w:val="none"/>
        </w:rPr>
      </w:pPr>
      <w:r>
        <w:rPr>
          <w:rFonts w:ascii="宋体" w:hAnsi="宋体" w:cs="宋体"/>
          <w:color w:val="000000" w:themeColor="text1"/>
          <w:sz w:val="24"/>
          <w:highlight w:val="none"/>
        </w:rPr>
        <w:t xml:space="preserve">1</w:t>
      </w:r>
      <w:r>
        <w:rPr>
          <w:rFonts w:ascii="宋体" w:hAnsi="宋体" w:cs="宋体"/>
          <w:color w:val="000000" w:themeColor="text1"/>
          <w:sz w:val="24"/>
          <w:highlight w:val="none"/>
        </w:rPr>
        <w:t xml:space="preserve">.1 法人或者其他组织的营业执照等证</w:t>
      </w:r>
      <w:r>
        <w:rPr>
          <w:rFonts w:ascii="宋体" w:hAnsi="宋体" w:cs="宋体"/>
          <w:color w:val="000000" w:themeColor="text1"/>
          <w:sz w:val="24"/>
          <w:highlight w:val="none"/>
        </w:rPr>
        <w:t xml:space="preserve">明文件，自然人的身份证明；</w:t>
      </w:r>
      <w:r>
        <w:rPr>
          <w:color w:val="000000" w:themeColor="text1"/>
          <w:highlight w:val="none"/>
        </w:rPr>
      </w:r>
      <w:r/>
    </w:p>
    <w:p>
      <w:pPr>
        <w:pStyle w:val="953"/>
        <w:ind w:firstLine="480"/>
        <w:spacing w:line="360" w:lineRule="auto"/>
        <w:rPr>
          <w:color w:val="000000" w:themeColor="text1"/>
          <w:highlight w:val="none"/>
        </w:rPr>
      </w:pPr>
      <w:r>
        <w:rPr>
          <w:rFonts w:ascii="宋体" w:hAnsi="宋体" w:cs="宋体"/>
          <w:color w:val="000000" w:themeColor="text1"/>
          <w:sz w:val="24"/>
          <w:highlight w:val="none"/>
        </w:rPr>
        <w:t xml:space="preserve">1.2上一年度的财务状况报告；</w:t>
      </w:r>
      <w:r>
        <w:rPr>
          <w:color w:val="000000" w:themeColor="text1"/>
          <w:highlight w:val="none"/>
        </w:rPr>
      </w:r>
      <w:r/>
    </w:p>
    <w:p>
      <w:pPr>
        <w:pStyle w:val="953"/>
        <w:ind w:firstLine="480"/>
        <w:spacing w:line="360" w:lineRule="auto"/>
        <w:rPr>
          <w:color w:val="000000" w:themeColor="text1"/>
          <w:highlight w:val="none"/>
        </w:rPr>
      </w:pPr>
      <w:r>
        <w:rPr>
          <w:rFonts w:ascii="宋体" w:hAnsi="宋体" w:cs="宋体"/>
          <w:color w:val="000000" w:themeColor="text1"/>
          <w:sz w:val="24"/>
          <w:highlight w:val="none"/>
        </w:rPr>
        <w:t xml:space="preserve">1.3依法缴纳税收和社会保障资金的相关材料；</w:t>
      </w:r>
      <w:r>
        <w:rPr>
          <w:color w:val="000000" w:themeColor="text1"/>
          <w:highlight w:val="none"/>
        </w:rPr>
      </w:r>
      <w:r/>
    </w:p>
    <w:p>
      <w:pPr>
        <w:pStyle w:val="953"/>
        <w:ind w:firstLine="480"/>
        <w:spacing w:line="360" w:lineRule="auto"/>
        <w:rPr>
          <w:color w:val="000000" w:themeColor="text1"/>
          <w:highlight w:val="none"/>
        </w:rPr>
      </w:pPr>
      <w:r>
        <w:rPr>
          <w:rFonts w:ascii="宋体" w:hAnsi="宋体" w:cs="宋体"/>
          <w:color w:val="000000" w:themeColor="text1"/>
          <w:sz w:val="24"/>
          <w:highlight w:val="none"/>
        </w:rPr>
        <w:t xml:space="preserve">1.4具备履行合同所必需的设备和专业技术能力的书面声明；</w:t>
      </w:r>
      <w:r>
        <w:rPr>
          <w:color w:val="000000" w:themeColor="text1"/>
          <w:highlight w:val="none"/>
        </w:rPr>
      </w:r>
      <w:r/>
    </w:p>
    <w:p>
      <w:pPr>
        <w:pStyle w:val="953"/>
        <w:ind w:firstLine="480"/>
        <w:spacing w:line="360" w:lineRule="auto"/>
        <w:rPr>
          <w:color w:val="000000" w:themeColor="text1"/>
          <w:highlight w:val="none"/>
        </w:rPr>
      </w:pPr>
      <w:r>
        <w:rPr>
          <w:rFonts w:ascii="宋体" w:hAnsi="宋体" w:cs="宋体"/>
          <w:color w:val="000000" w:themeColor="text1"/>
          <w:sz w:val="24"/>
          <w:highlight w:val="none"/>
        </w:rPr>
        <w:t xml:space="preserve">1.5参加政府采购活动前3年内在经营活动中没有重大违法记录的书面声明</w:t>
      </w:r>
      <w:r>
        <w:rPr>
          <w:rFonts w:hint="eastAsia" w:ascii="宋体" w:hAnsi="宋体" w:cs="宋体"/>
          <w:color w:val="000000" w:themeColor="text1"/>
          <w:sz w:val="24"/>
          <w:highlight w:val="none"/>
        </w:rPr>
        <w:t xml:space="preserve">；</w:t>
      </w:r>
      <w:r>
        <w:rPr>
          <w:color w:val="000000" w:themeColor="text1"/>
          <w:highlight w:val="none"/>
        </w:rPr>
      </w:r>
      <w:r/>
    </w:p>
    <w:p>
      <w:pPr>
        <w:pStyle w:val="953"/>
        <w:ind w:firstLine="480"/>
        <w:spacing w:line="360" w:lineRule="auto"/>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1.6</w:t>
      </w:r>
      <w:r>
        <w:rPr>
          <w:rFonts w:hint="eastAsia" w:ascii="宋体" w:hAnsi="宋体" w:cs="宋体"/>
          <w:color w:val="000000" w:themeColor="text1"/>
          <w:sz w:val="24"/>
          <w:highlight w:val="none"/>
        </w:rPr>
        <w:t xml:space="preserve">法律、行政法规规定的其他条件。</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（二）落实政府采购政策需满足的资格要求：</w:t>
      </w:r>
      <w:r>
        <w:rPr>
          <w:color w:val="000000" w:themeColor="text1"/>
          <w:highlight w:val="none"/>
        </w:rPr>
      </w:r>
      <w:r/>
    </w:p>
    <w:p>
      <w:pPr>
        <w:pStyle w:val="953"/>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1.本项目专门面向中小企业采购。残疾人福利性单位、监狱和戒毒企业（简称监狱企业）视同小型、微型企业。（投标人按要求填写并提供《中小微企业声明函》或《残疾人福利性</w:t>
      </w:r>
      <w:r>
        <w:rPr>
          <w:rFonts w:hint="eastAsia" w:ascii="宋体" w:hAnsi="宋体" w:cs="宋体"/>
          <w:b/>
          <w:bCs/>
          <w:color w:val="000000" w:themeColor="text1"/>
          <w:sz w:val="24"/>
          <w:highlight w:val="none"/>
        </w:rPr>
        <w:t xml:space="preserve">单位声明函》，或提供由省级以上监狱管</w:t>
      </w:r>
      <w:r>
        <w:rPr>
          <w:rFonts w:hint="eastAsia" w:ascii="宋体" w:hAnsi="宋体" w:cs="宋体"/>
          <w:b/>
          <w:bCs/>
          <w:color w:val="000000" w:themeColor="text1"/>
          <w:sz w:val="24"/>
          <w:highlight w:val="none"/>
        </w:rPr>
        <w:t xml:space="preserve">理局、戒毒管理局(含新疆生产建设兵团)出具的属于监狱企业的证明文件）。</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（三）本项目的特定资格要求：</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1.投标人须提供投标人在开标日前6个月内任意一月为其授权代表缴纳社会保障金的相关证明材料（法定代表人直接参与的无需提供）；</w:t>
      </w:r>
      <w:r>
        <w:rPr>
          <w:color w:val="000000" w:themeColor="text1"/>
          <w:highlight w:val="none"/>
        </w:rPr>
      </w:r>
      <w:r/>
    </w:p>
    <w:p>
      <w:pPr>
        <w:pStyle w:val="953"/>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2.没有重大违法及商业贿赂不良记录声明（提供书面声明原件）；</w:t>
      </w:r>
      <w:r>
        <w:rPr>
          <w:color w:val="000000" w:themeColor="text1"/>
          <w:highlight w:val="none"/>
        </w:rPr>
      </w:r>
      <w:r/>
    </w:p>
    <w:p>
      <w:pPr>
        <w:pStyle w:val="953"/>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3.拒绝下述供应商参加本次采购活动的情形：</w:t>
      </w:r>
      <w:r>
        <w:rPr>
          <w:color w:val="000000" w:themeColor="text1"/>
          <w:highlight w:val="none"/>
        </w:rPr>
      </w:r>
      <w:r/>
    </w:p>
    <w:p>
      <w:pPr>
        <w:pStyle w:val="953"/>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3.1.供应商单位负责人为同一人或者存在直接控股、管理关系的不同供应商，不得参加同一合同项下的政府采购活动。</w:t>
      </w:r>
      <w:r>
        <w:rPr>
          <w:color w:val="000000" w:themeColor="text1"/>
          <w:highlight w:val="none"/>
        </w:rPr>
      </w:r>
      <w:r/>
    </w:p>
    <w:p>
      <w:pPr>
        <w:pStyle w:val="953"/>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3.2.凡为采购项目提供整体设计、</w:t>
      </w:r>
      <w:r>
        <w:rPr>
          <w:rFonts w:hint="eastAsia" w:ascii="宋体" w:hAnsi="宋体" w:cs="宋体"/>
          <w:color w:val="000000" w:themeColor="text1"/>
          <w:sz w:val="24"/>
          <w:highlight w:val="none"/>
        </w:rPr>
        <w:t xml:space="preserve">规范编制或者项目管理、监理、检测等服</w:t>
      </w:r>
      <w:r>
        <w:rPr>
          <w:rFonts w:hint="eastAsia" w:ascii="宋体" w:hAnsi="宋体" w:cs="宋体"/>
          <w:color w:val="000000" w:themeColor="text1"/>
          <w:sz w:val="24"/>
          <w:highlight w:val="none"/>
        </w:rPr>
        <w:t xml:space="preserve">务的供应商，不得再参加本项目的采购活动。</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3.3.拒绝列入失信被执行人名单、重大税收违法失信主体名单、严重失信主体名单的供应商参与政府采购活动。</w:t>
      </w:r>
      <w:r>
        <w:rPr>
          <w:color w:val="000000" w:themeColor="text1"/>
          <w:highlight w:val="none"/>
        </w:rPr>
      </w:r>
      <w:r/>
    </w:p>
    <w:p>
      <w:pPr>
        <w:pStyle w:val="953"/>
        <w:ind w:firstLine="482"/>
        <w:spacing w:line="360" w:lineRule="auto"/>
        <w:rPr>
          <w:rFonts w:ascii="宋体" w:hAnsi="宋体" w:cs="宋体"/>
          <w:b/>
          <w:color w:val="000000" w:themeColor="text1"/>
          <w:sz w:val="24"/>
          <w:highlight w:val="none"/>
        </w:rPr>
        <w:outlineLvl w:val="1"/>
      </w:pPr>
      <w:r>
        <w:rPr>
          <w:color w:val="000000" w:themeColor="text1"/>
          <w:highlight w:val="none"/>
        </w:rPr>
      </w:r>
      <w:bookmarkStart w:id="13" w:name="_Toc28359004"/>
      <w:r>
        <w:rPr>
          <w:color w:val="000000" w:themeColor="text1"/>
          <w:highlight w:val="none"/>
        </w:rPr>
      </w:r>
      <w:bookmarkStart w:id="14" w:name="_Toc28359081"/>
      <w:r>
        <w:rPr>
          <w:color w:val="000000" w:themeColor="text1"/>
          <w:highlight w:val="none"/>
        </w:rPr>
      </w:r>
      <w:bookmarkStart w:id="15" w:name="_Toc28095"/>
      <w:r>
        <w:rPr>
          <w:color w:val="000000" w:themeColor="text1"/>
          <w:highlight w:val="none"/>
        </w:rPr>
      </w:r>
      <w:bookmarkStart w:id="16" w:name="_Toc35393623"/>
      <w:r>
        <w:rPr>
          <w:color w:val="000000" w:themeColor="text1"/>
          <w:highlight w:val="none"/>
        </w:rPr>
      </w:r>
      <w:bookmarkStart w:id="17" w:name="_Toc35393792"/>
      <w:r>
        <w:rPr>
          <w:rFonts w:hint="eastAsia" w:ascii="宋体" w:hAnsi="宋体" w:cs="宋体"/>
          <w:b/>
          <w:color w:val="000000" w:themeColor="text1"/>
          <w:sz w:val="24"/>
          <w:highlight w:val="none"/>
        </w:rPr>
        <w:t xml:space="preserve">三、获取招标文件</w:t>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highlight w:val="none"/>
        </w:rPr>
      </w:r>
      <w:bookmarkEnd w:id="17"/>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1、时间：自招标文件公告发布之日起五个工作日。</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2、方式：在“江苏政府采购网”自行免费下载招标文件。</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pStyle w:val="953"/>
        <w:ind w:firstLine="482"/>
        <w:spacing w:line="360" w:lineRule="auto"/>
        <w:rPr>
          <w:rFonts w:ascii="宋体" w:hAnsi="宋体" w:cs="宋体"/>
          <w:b/>
          <w:color w:val="000000" w:themeColor="text1"/>
          <w:sz w:val="24"/>
          <w:highlight w:val="none"/>
        </w:rPr>
        <w:outlineLvl w:val="1"/>
      </w:pPr>
      <w:r>
        <w:rPr>
          <w:color w:val="000000" w:themeColor="text1"/>
          <w:highlight w:val="none"/>
        </w:rPr>
      </w:r>
      <w:bookmarkStart w:id="18" w:name="_Toc30964"/>
      <w:r>
        <w:rPr>
          <w:rFonts w:hint="eastAsia" w:ascii="宋体" w:hAnsi="宋体" w:cs="宋体"/>
          <w:b/>
          <w:color w:val="000000" w:themeColor="text1"/>
          <w:sz w:val="24"/>
          <w:highlight w:val="none"/>
        </w:rPr>
        <w:t xml:space="preserve">四、提交投标文件截止时间、开标时间和地点</w:t>
      </w:r>
      <w:bookmarkEnd w:id="18"/>
      <w:r>
        <w:rPr>
          <w:color w:val="000000" w:themeColor="text1"/>
          <w:highlight w:val="none"/>
        </w:rPr>
      </w:r>
      <w:r/>
    </w:p>
    <w:p>
      <w:pPr>
        <w:pStyle w:val="953"/>
        <w:ind w:firstLine="480"/>
        <w:spacing w:line="360" w:lineRule="auto"/>
        <w:rPr>
          <w:rFonts w:ascii="宋体" w:hAnsi="宋体" w:cs="宋体"/>
          <w:iCs/>
          <w:color w:val="000000" w:themeColor="text1"/>
          <w:sz w:val="24"/>
          <w:highlight w:val="none"/>
        </w:rPr>
      </w:pPr>
      <w:r>
        <w:rPr>
          <w:rFonts w:hint="eastAsia" w:ascii="宋体" w:hAnsi="宋体" w:cs="宋体"/>
          <w:iCs/>
          <w:color w:val="000000" w:themeColor="text1"/>
          <w:sz w:val="24"/>
          <w:highlight w:val="none"/>
        </w:rPr>
        <w:t xml:space="preserve">1.投标文件接收截止时间（北京时间）：</w:t>
      </w:r>
      <w:r>
        <w:rPr>
          <w:rFonts w:hint="eastAsia" w:ascii="宋体" w:hAnsi="宋体" w:cs="宋体"/>
          <w:iCs/>
          <w:color w:val="000000" w:themeColor="text1"/>
          <w:sz w:val="24"/>
          <w:highlight w:val="none"/>
          <w:u w:val="single"/>
        </w:rPr>
        <w:t xml:space="preserve">2026年11月19日13点3</w:t>
      </w:r>
      <w:r>
        <w:rPr>
          <w:rFonts w:ascii="宋体" w:hAnsi="宋体" w:cs="宋体"/>
          <w:iCs/>
          <w:color w:val="000000" w:themeColor="text1"/>
          <w:sz w:val="24"/>
          <w:highlight w:val="none"/>
          <w:u w:val="single"/>
        </w:rPr>
        <w:t xml:space="preserve">0</w:t>
      </w:r>
      <w:r>
        <w:rPr>
          <w:rFonts w:hint="eastAsia" w:ascii="宋体" w:hAnsi="宋体" w:cs="宋体"/>
          <w:iCs/>
          <w:color w:val="000000" w:themeColor="text1"/>
          <w:sz w:val="24"/>
          <w:highlight w:val="none"/>
          <w:u w:val="single"/>
        </w:rPr>
        <w:t xml:space="preserve">分</w:t>
      </w:r>
      <w:r>
        <w:rPr>
          <w:rFonts w:hint="eastAsia" w:ascii="宋体" w:hAnsi="宋体" w:cs="宋体"/>
          <w:iCs/>
          <w:color w:val="000000" w:themeColor="text1"/>
          <w:sz w:val="24"/>
          <w:highlight w:val="none"/>
        </w:rPr>
        <w:t xml:space="preserve">。</w:t>
      </w:r>
      <w:r>
        <w:rPr>
          <w:color w:val="000000" w:themeColor="text1"/>
          <w:highlight w:val="none"/>
        </w:rPr>
      </w:r>
      <w:r/>
    </w:p>
    <w:p>
      <w:pPr>
        <w:pStyle w:val="953"/>
        <w:ind w:firstLine="480"/>
        <w:spacing w:line="360" w:lineRule="auto"/>
        <w:rPr>
          <w:rFonts w:ascii="宋体" w:hAnsi="宋体" w:cs="宋体"/>
          <w:iCs/>
          <w:color w:val="000000" w:themeColor="text1"/>
          <w:sz w:val="24"/>
          <w:highlight w:val="none"/>
        </w:rPr>
      </w:pPr>
      <w:r>
        <w:rPr>
          <w:rFonts w:hint="eastAsia" w:ascii="宋体" w:hAnsi="宋体" w:cs="宋体"/>
          <w:iCs/>
          <w:color w:val="000000" w:themeColor="text1"/>
          <w:sz w:val="24"/>
          <w:highlight w:val="none"/>
        </w:rPr>
        <w:t xml:space="preserve">2.地点：“苏采云”政府采购交易系统网上开标大厅。</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pStyle w:val="953"/>
        <w:ind w:firstLine="482"/>
        <w:spacing w:line="360" w:lineRule="auto"/>
        <w:rPr>
          <w:rFonts w:ascii="宋体" w:hAnsi="宋体" w:cs="宋体"/>
          <w:b/>
          <w:color w:val="000000" w:themeColor="text1"/>
          <w:sz w:val="24"/>
          <w:highlight w:val="none"/>
        </w:rPr>
        <w:outlineLvl w:val="1"/>
      </w:pPr>
      <w:r>
        <w:rPr>
          <w:color w:val="000000" w:themeColor="text1"/>
          <w:highlight w:val="none"/>
        </w:rPr>
      </w:r>
      <w:bookmarkStart w:id="19" w:name="_Toc30300"/>
      <w:r>
        <w:rPr>
          <w:rFonts w:hint="eastAsia" w:ascii="宋体" w:hAnsi="宋体" w:cs="宋体"/>
          <w:b/>
          <w:color w:val="000000" w:themeColor="text1"/>
          <w:sz w:val="24"/>
          <w:highlight w:val="none"/>
        </w:rPr>
        <w:t xml:space="preserve">五、公告期限</w:t>
      </w:r>
      <w:bookmarkEnd w:id="19"/>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招标公告及招标文件公告</w:t>
      </w:r>
      <w:r>
        <w:rPr>
          <w:rFonts w:hint="eastAsia" w:ascii="宋体" w:hAnsi="宋体" w:cs="宋体"/>
          <w:color w:val="000000" w:themeColor="text1"/>
          <w:sz w:val="24"/>
          <w:highlight w:val="none"/>
        </w:rPr>
        <w:t xml:space="preserve">期限为自本公告发布之日起5个工作日。</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pStyle w:val="953"/>
        <w:ind w:firstLine="482"/>
        <w:spacing w:line="360" w:lineRule="auto"/>
        <w:rPr>
          <w:rFonts w:ascii="宋体" w:hAnsi="宋体" w:cs="宋体"/>
          <w:b/>
          <w:color w:val="000000" w:themeColor="text1"/>
          <w:sz w:val="24"/>
          <w:highlight w:val="none"/>
        </w:rPr>
        <w:outlineLvl w:val="1"/>
      </w:pPr>
      <w:r>
        <w:rPr>
          <w:color w:val="000000" w:themeColor="text1"/>
          <w:highlight w:val="none"/>
        </w:rPr>
      </w:r>
      <w:bookmarkStart w:id="20" w:name="_Toc26683"/>
      <w:r>
        <w:rPr>
          <w:rFonts w:hint="eastAsia" w:ascii="宋体" w:hAnsi="宋体" w:cs="宋体"/>
          <w:b/>
          <w:color w:val="000000" w:themeColor="text1"/>
          <w:sz w:val="24"/>
          <w:highlight w:val="none"/>
        </w:rPr>
        <w:t xml:space="preserve">六、其他补充事宜</w:t>
      </w:r>
      <w:bookmarkEnd w:id="20"/>
      <w:r>
        <w:rPr>
          <w:color w:val="000000" w:themeColor="text1"/>
          <w:highlight w:val="none"/>
        </w:rPr>
      </w:r>
      <w:r/>
    </w:p>
    <w:p>
      <w:pPr>
        <w:pStyle w:val="953"/>
        <w:ind w:firstLine="480"/>
        <w:spacing w:before="161"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rPr>
          <w:color w:val="000000" w:themeColor="text1"/>
          <w:highlight w:val="none"/>
        </w:rPr>
      </w:r>
      <w:r/>
    </w:p>
    <w:p>
      <w:pPr>
        <w:pStyle w:val="953"/>
        <w:ind w:firstLine="480"/>
        <w:spacing w:before="161"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2、供应商如确定参加投标，可自行下载采购文件及有关资料，按照《操作手册》进行注册，领取CA和办理电子签章，并按《操作手册》要求报名、制作、上传电子投标文件。</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pStyle w:val="953"/>
        <w:ind w:firstLine="482"/>
        <w:spacing w:line="360" w:lineRule="auto"/>
        <w:rPr>
          <w:rFonts w:ascii="宋体" w:hAnsi="宋体" w:cs="宋体"/>
          <w:b/>
          <w:color w:val="000000" w:themeColor="text1"/>
          <w:sz w:val="24"/>
          <w:highlight w:val="none"/>
        </w:rPr>
        <w:outlineLvl w:val="1"/>
      </w:pPr>
      <w:r>
        <w:rPr>
          <w:color w:val="000000" w:themeColor="text1"/>
          <w:highlight w:val="none"/>
        </w:rPr>
      </w:r>
      <w:bookmarkStart w:id="21" w:name="_Toc16072"/>
      <w:r>
        <w:rPr>
          <w:rFonts w:hint="eastAsia" w:ascii="宋体" w:hAnsi="宋体" w:cs="宋体"/>
          <w:b/>
          <w:color w:val="000000" w:themeColor="text1"/>
          <w:sz w:val="24"/>
          <w:highlight w:val="none"/>
        </w:rPr>
        <w:t xml:space="preserve">七、对本次招标提出询问，请按以下方式联系</w:t>
      </w:r>
      <w:bookmarkEnd w:id="21"/>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1、采购人信息</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名    称：南京市儿童医院</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联系地址：南京市鼓楼区广州路72号、建邺区江东南路8号</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 系 人：汪老师</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w:t>
      </w:r>
      <w:r>
        <w:rPr>
          <w:rFonts w:ascii="宋体" w:hAnsi="宋体" w:cs="宋体"/>
          <w:color w:val="000000" w:themeColor="text1"/>
          <w:sz w:val="24"/>
          <w:highlight w:val="none"/>
        </w:rPr>
        <w:t xml:space="preserve">025-528629</w:t>
      </w:r>
      <w:r>
        <w:rPr>
          <w:rFonts w:hint="eastAsia" w:ascii="宋体" w:hAnsi="宋体" w:cs="宋体"/>
          <w:color w:val="000000" w:themeColor="text1"/>
          <w:sz w:val="24"/>
          <w:highlight w:val="none"/>
        </w:rPr>
        <w:t xml:space="preserve">66</w:t>
      </w:r>
      <w:r>
        <w:rPr>
          <w:color w:val="000000" w:themeColor="text1"/>
          <w:highlight w:val="none"/>
        </w:rPr>
      </w:r>
      <w:r/>
    </w:p>
    <w:p>
      <w:pPr>
        <w:pStyle w:val="953"/>
        <w:ind w:firstLine="480"/>
        <w:spacing w:before="161" w:line="360" w:lineRule="auto"/>
        <w:rPr>
          <w:color w:val="000000" w:themeColor="text1"/>
          <w:highlight w:val="none"/>
        </w:rPr>
      </w:pPr>
      <w:r>
        <w:rPr>
          <w:rFonts w:ascii="宋体" w:hAnsi="宋体" w:cs="宋体"/>
          <w:color w:val="000000" w:themeColor="text1"/>
          <w:sz w:val="24"/>
          <w:highlight w:val="none"/>
        </w:rPr>
        <w:t xml:space="preserve">2、采购代理机构信息</w:t>
      </w:r>
      <w:r>
        <w:rPr>
          <w:color w:val="000000" w:themeColor="text1"/>
          <w:highlight w:val="none"/>
        </w:rPr>
      </w:r>
      <w:r/>
    </w:p>
    <w:p>
      <w:pPr>
        <w:pStyle w:val="953"/>
        <w:ind w:firstLine="480"/>
        <w:spacing w:line="360" w:lineRule="auto"/>
        <w:rPr>
          <w:color w:val="000000" w:themeColor="text1"/>
          <w:highlight w:val="none"/>
        </w:rPr>
      </w:pPr>
      <w:r>
        <w:rPr>
          <w:rFonts w:ascii="宋体" w:hAnsi="宋体" w:cs="宋体"/>
          <w:color w:val="000000" w:themeColor="text1"/>
          <w:sz w:val="24"/>
          <w:highlight w:val="none"/>
        </w:rPr>
        <w:t xml:space="preserve">采购代理机构：江苏苏豪创新科技集团有限公司</w:t>
      </w:r>
      <w:r>
        <w:rPr>
          <w:color w:val="000000" w:themeColor="text1"/>
          <w:highlight w:val="none"/>
        </w:rPr>
      </w:r>
      <w:r/>
    </w:p>
    <w:p>
      <w:pPr>
        <w:pStyle w:val="953"/>
        <w:ind w:firstLine="480"/>
        <w:spacing w:line="360" w:lineRule="auto"/>
        <w:rPr>
          <w:color w:val="000000" w:themeColor="text1"/>
          <w:highlight w:val="none"/>
        </w:rPr>
      </w:pPr>
      <w:r>
        <w:rPr>
          <w:rFonts w:ascii="宋体" w:hAnsi="宋体" w:cs="宋体"/>
          <w:color w:val="000000" w:themeColor="text1"/>
          <w:sz w:val="24"/>
          <w:highlight w:val="none"/>
        </w:rPr>
        <w:t xml:space="preserve">联系地址：</w:t>
      </w:r>
      <w:r>
        <w:rPr>
          <w:rFonts w:hint="eastAsia" w:ascii="宋体" w:hAnsi="宋体" w:cs="宋体"/>
          <w:color w:val="000000" w:themeColor="text1"/>
          <w:highlight w:val="none"/>
        </w:rPr>
        <w:t xml:space="preserve">南京市雨花台区软件大道21号苏豪国际广场（北园）C座110室</w:t>
      </w:r>
      <w:r>
        <w:rPr>
          <w:color w:val="000000" w:themeColor="text1"/>
          <w:highlight w:val="none"/>
        </w:rPr>
      </w:r>
      <w:r/>
    </w:p>
    <w:p>
      <w:pPr>
        <w:pStyle w:val="953"/>
        <w:ind w:firstLine="480"/>
        <w:spacing w:line="360" w:lineRule="auto"/>
        <w:rPr>
          <w:color w:val="000000" w:themeColor="text1"/>
          <w:highlight w:val="none"/>
        </w:rPr>
      </w:pPr>
      <w:r>
        <w:rPr>
          <w:rFonts w:ascii="宋体" w:hAnsi="宋体" w:cs="宋体"/>
          <w:color w:val="000000" w:themeColor="text1"/>
          <w:sz w:val="24"/>
          <w:highlight w:val="none"/>
        </w:rPr>
        <w:t xml:space="preserve">联 系 人：吴志叶、吴岢非</w:t>
      </w:r>
      <w:r>
        <w:rPr>
          <w:color w:val="000000" w:themeColor="text1"/>
          <w:highlight w:val="none"/>
        </w:rPr>
      </w:r>
      <w:r/>
    </w:p>
    <w:p>
      <w:pPr>
        <w:pStyle w:val="953"/>
        <w:ind w:firstLine="480"/>
        <w:spacing w:line="360" w:lineRule="auto"/>
        <w:rPr>
          <w:color w:val="000000" w:themeColor="text1"/>
          <w:highlight w:val="none"/>
        </w:rPr>
      </w:pPr>
      <w:r>
        <w:rPr>
          <w:rFonts w:ascii="宋体" w:hAnsi="宋体" w:cs="宋体"/>
          <w:color w:val="000000" w:themeColor="text1"/>
          <w:sz w:val="24"/>
          <w:highlight w:val="none"/>
        </w:rPr>
        <w:t xml:space="preserve">联系电话：025-52875983</w:t>
      </w: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t xml:space="preserve">025-528759</w:t>
      </w:r>
      <w:r>
        <w:rPr>
          <w:rFonts w:hint="eastAsia" w:ascii="宋体" w:hAnsi="宋体" w:cs="宋体"/>
          <w:color w:val="000000" w:themeColor="text1"/>
          <w:sz w:val="24"/>
          <w:highlight w:val="none"/>
        </w:rPr>
        <w:t xml:space="preserve">36</w:t>
      </w:r>
      <w:r>
        <w:rPr>
          <w:color w:val="000000" w:themeColor="text1"/>
          <w:highlight w:val="none"/>
        </w:rPr>
      </w:r>
      <w:r/>
    </w:p>
    <w:p>
      <w:pPr>
        <w:pStyle w:val="953"/>
        <w:ind w:firstLine="480"/>
        <w:spacing w:line="360" w:lineRule="auto"/>
        <w:rPr>
          <w:color w:val="000000" w:themeColor="text1"/>
          <w:highlight w:val="none"/>
        </w:rPr>
      </w:pPr>
      <w:r>
        <w:rPr>
          <w:rFonts w:ascii="宋体" w:hAnsi="宋体" w:cs="宋体"/>
          <w:color w:val="000000" w:themeColor="text1"/>
          <w:sz w:val="24"/>
          <w:highlight w:val="none"/>
        </w:rPr>
        <w:t xml:space="preserve">邮    箱：wkf@sumex.com.cn</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pStyle w:val="953"/>
        <w:ind w:firstLine="482"/>
        <w:spacing w:line="360" w:lineRule="auto"/>
        <w:rPr>
          <w:rFonts w:ascii="宋体" w:hAnsi="宋体" w:cs="宋体"/>
          <w:b/>
          <w:color w:val="000000" w:themeColor="text1"/>
          <w:sz w:val="24"/>
          <w:highlight w:val="none"/>
        </w:rPr>
        <w:outlineLvl w:val="1"/>
      </w:pPr>
      <w:r>
        <w:rPr>
          <w:color w:val="000000" w:themeColor="text1"/>
          <w:highlight w:val="none"/>
        </w:rPr>
      </w:r>
      <w:bookmarkStart w:id="22" w:name="_Toc14166"/>
      <w:r>
        <w:rPr>
          <w:rFonts w:hint="eastAsia" w:ascii="宋体" w:hAnsi="宋体" w:cs="宋体"/>
          <w:b/>
          <w:color w:val="000000" w:themeColor="text1"/>
          <w:sz w:val="24"/>
          <w:highlight w:val="none"/>
        </w:rPr>
        <w:t xml:space="preserve">八、其他</w:t>
      </w:r>
      <w:bookmarkEnd w:id="22"/>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 根据省财政厅《关于更换全省政府采购交易系统C A数字证书和电子签章的通知》（</w:t>
      </w:r>
      <w:r>
        <w:rPr>
          <w:rFonts w:hint="eastAsia" w:ascii="宋体" w:hAnsi="宋体" w:cs="宋体"/>
          <w:color w:val="000000" w:themeColor="text1"/>
          <w:sz w:val="24"/>
          <w:highlight w:val="none"/>
        </w:rPr>
        <w:t xml:space="preserve">苏财购〔2023〕101号），“苏采</w:t>
      </w:r>
      <w:r>
        <w:rPr>
          <w:rFonts w:hint="eastAsia" w:ascii="宋体" w:hAnsi="宋体" w:cs="宋体"/>
          <w:color w:val="000000" w:themeColor="text1"/>
          <w:sz w:val="24"/>
          <w:highlight w:val="none"/>
        </w:rPr>
        <w:t xml:space="preserve">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cs="宋体"/>
          <w:color w:val="000000" w:themeColor="text1"/>
          <w:szCs w:val="21"/>
          <w:highlight w:val="none"/>
        </w:rPr>
        <w:t xml:space="preserve">http://www.ccgp-jiangsu.gov.cn/jiangsu/zlxz/ee/ee3a4bc5a3454aa2b0d9312230633ce9.html。</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领取CA和办理电子签章(请至南京汉中门大街145号江苏</w:t>
      </w:r>
      <w:r>
        <w:rPr>
          <w:rFonts w:hint="eastAsia" w:ascii="宋体" w:hAnsi="宋体" w:cs="宋体"/>
          <w:color w:val="000000" w:themeColor="text1"/>
          <w:sz w:val="24"/>
          <w:highlight w:val="none"/>
        </w:rPr>
        <w:t xml:space="preserve">省政务服务中心二期三楼大厅CA办理窗</w:t>
      </w:r>
      <w:r>
        <w:rPr>
          <w:rFonts w:hint="eastAsia" w:ascii="宋体" w:hAnsi="宋体" w:cs="宋体"/>
          <w:color w:val="000000" w:themeColor="text1"/>
          <w:sz w:val="24"/>
          <w:highlight w:val="none"/>
        </w:rPr>
        <w:t xml:space="preserve">口办理，具体联系方式见《苏采云系统供应商操作手册》（以下简称《操作手册》））、进行注册并按《操作手册》要求制作、上传电子投标文件。</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 有关本次招标的事项若存在变动或修改，敬请及时关注江苏苏豪创新科技集团有限公司在“江苏政府采购网”发布的更正公告。</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 本次招标不收取投标保证金。</w:t>
      </w:r>
      <w:r>
        <w:rPr>
          <w:color w:val="000000" w:themeColor="text1"/>
          <w:highlight w:val="none"/>
        </w:rPr>
      </w:r>
      <w:r/>
    </w:p>
    <w:p>
      <w:pPr>
        <w:pStyle w:val="953"/>
        <w:rPr>
          <w:color w:val="000000" w:themeColor="text1"/>
          <w:sz w:val="24"/>
          <w:highlight w:val="none"/>
        </w:rPr>
      </w:pPr>
      <w:r>
        <w:rPr>
          <w:color w:val="000000" w:themeColor="text1"/>
          <w:sz w:val="24"/>
          <w:highlight w:val="none"/>
        </w:rPr>
      </w:r>
      <w:r>
        <w:rPr>
          <w:color w:val="000000" w:themeColor="text1"/>
          <w:highlight w:val="none"/>
        </w:rPr>
      </w:r>
      <w:r/>
    </w:p>
    <w:p>
      <w:pPr>
        <w:pStyle w:val="953"/>
        <w:ind w:firstLine="420"/>
        <w:rPr>
          <w:rFonts w:ascii="宋体" w:hAnsi="宋体" w:cs="宋体"/>
          <w:color w:val="000000" w:themeColor="text1"/>
          <w:szCs w:val="21"/>
          <w:highlight w:val="none"/>
        </w:rPr>
        <w:sectPr>
          <w:footnotePr/>
          <w:endnotePr/>
          <w:type w:val="nextPage"/>
          <w:pgSz w:w="11906" w:h="16838" w:orient="portrait"/>
          <w:pgMar w:top="1134" w:right="1417" w:bottom="850" w:left="1417" w:header="850" w:footer="992" w:gutter="0"/>
          <w:cols w:num="1" w:sep="0" w:space="720" w:equalWidth="1"/>
          <w:docGrid w:linePitch="360"/>
        </w:sectPr>
      </w:pPr>
      <w:r>
        <w:rPr>
          <w:rFonts w:ascii="宋体" w:hAnsi="宋体" w:cs="宋体"/>
          <w:color w:val="000000" w:themeColor="text1"/>
          <w:szCs w:val="21"/>
          <w:highlight w:val="none"/>
        </w:rPr>
      </w:r>
      <w:r>
        <w:rPr>
          <w:color w:val="000000" w:themeColor="text1"/>
          <w:highlight w:val="none"/>
        </w:rPr>
      </w:r>
      <w:r/>
    </w:p>
    <w:p>
      <w:pPr>
        <w:pStyle w:val="953"/>
        <w:jc w:val="center"/>
        <w:rPr>
          <w:rFonts w:ascii="宋体" w:hAnsi="宋体" w:cs="宋体"/>
          <w:b/>
          <w:color w:val="000000" w:themeColor="text1"/>
          <w:sz w:val="32"/>
          <w:szCs w:val="32"/>
          <w:highlight w:val="none"/>
        </w:rPr>
        <w:outlineLvl w:val="0"/>
      </w:pPr>
      <w:r>
        <w:rPr>
          <w:color w:val="000000" w:themeColor="text1"/>
          <w:highlight w:val="none"/>
        </w:rPr>
      </w:r>
      <w:bookmarkStart w:id="23" w:name="_Toc120614211"/>
      <w:r>
        <w:rPr>
          <w:color w:val="000000" w:themeColor="text1"/>
          <w:highlight w:val="none"/>
        </w:rPr>
      </w:r>
      <w:bookmarkStart w:id="24" w:name="_Toc5881"/>
      <w:r>
        <w:rPr>
          <w:rFonts w:hint="eastAsia" w:ascii="宋体" w:hAnsi="宋体" w:cs="宋体"/>
          <w:b/>
          <w:color w:val="000000" w:themeColor="text1"/>
          <w:sz w:val="32"/>
          <w:szCs w:val="32"/>
          <w:highlight w:val="none"/>
        </w:rPr>
        <w:t xml:space="preserve">第二章  </w:t>
      </w:r>
      <w:bookmarkEnd w:id="23"/>
      <w:r>
        <w:rPr>
          <w:color w:val="000000" w:themeColor="text1"/>
          <w:highlight w:val="none"/>
        </w:rPr>
      </w:r>
      <w:bookmarkStart w:id="25" w:name="_Toc513029202"/>
      <w:r>
        <w:rPr>
          <w:color w:val="000000" w:themeColor="text1"/>
          <w:highlight w:val="none"/>
        </w:rPr>
      </w:r>
      <w:bookmarkStart w:id="26" w:name="_Toc16938518"/>
      <w:r>
        <w:rPr>
          <w:color w:val="000000" w:themeColor="text1"/>
          <w:highlight w:val="none"/>
        </w:rPr>
      </w:r>
      <w:bookmarkStart w:id="27" w:name="_Toc20823274"/>
      <w:r>
        <w:rPr>
          <w:color w:val="000000" w:themeColor="text1"/>
          <w:highlight w:val="none"/>
        </w:rPr>
      </w:r>
      <w:bookmarkStart w:id="28" w:name="_Toc120614213"/>
      <w:r>
        <w:rPr>
          <w:rFonts w:hint="eastAsia" w:ascii="宋体" w:hAnsi="宋体" w:cs="宋体"/>
          <w:b/>
          <w:color w:val="000000" w:themeColor="text1"/>
          <w:sz w:val="32"/>
          <w:szCs w:val="32"/>
          <w:highlight w:val="none"/>
        </w:rPr>
        <w:t xml:space="preserve">投标人须知</w:t>
      </w:r>
      <w:bookmarkEnd w:id="24"/>
      <w:r>
        <w:rPr>
          <w:color w:val="000000" w:themeColor="text1"/>
          <w:highlight w:val="none"/>
        </w:rPr>
      </w:r>
      <w:bookmarkEnd w:id="25"/>
      <w:r>
        <w:rPr>
          <w:color w:val="000000" w:themeColor="text1"/>
          <w:highlight w:val="none"/>
        </w:rPr>
      </w:r>
      <w:bookmarkEnd w:id="26"/>
      <w:r>
        <w:rPr>
          <w:color w:val="000000" w:themeColor="text1"/>
          <w:highlight w:val="none"/>
        </w:rPr>
      </w:r>
      <w:bookmarkEnd w:id="27"/>
      <w:r>
        <w:rPr>
          <w:color w:val="000000" w:themeColor="text1"/>
          <w:highlight w:val="none"/>
        </w:rPr>
      </w:r>
      <w:bookmarkEnd w:id="28"/>
      <w:r>
        <w:rPr>
          <w:color w:val="000000" w:themeColor="text1"/>
          <w:highlight w:val="none"/>
        </w:rPr>
      </w:r>
      <w:r/>
    </w:p>
    <w:p>
      <w:pPr>
        <w:pStyle w:val="953"/>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pStyle w:val="953"/>
        <w:spacing w:line="360" w:lineRule="auto"/>
        <w:rPr>
          <w:rFonts w:ascii="宋体" w:hAnsi="宋体" w:cs="宋体"/>
          <w:b/>
          <w:bCs/>
          <w:color w:val="000000" w:themeColor="text1"/>
          <w:sz w:val="24"/>
          <w:highlight w:val="none"/>
        </w:rPr>
        <w:outlineLvl w:val="1"/>
      </w:pPr>
      <w:r>
        <w:rPr>
          <w:color w:val="000000" w:themeColor="text1"/>
          <w:highlight w:val="none"/>
        </w:rPr>
      </w:r>
      <w:bookmarkStart w:id="29" w:name="_Toc16938519"/>
      <w:r>
        <w:rPr>
          <w:color w:val="000000" w:themeColor="text1"/>
          <w:highlight w:val="none"/>
        </w:rPr>
      </w:r>
      <w:bookmarkStart w:id="30" w:name="_Toc20823275"/>
      <w:r>
        <w:rPr>
          <w:color w:val="000000" w:themeColor="text1"/>
          <w:highlight w:val="none"/>
        </w:rPr>
      </w:r>
      <w:bookmarkStart w:id="31" w:name="_Toc513029203"/>
      <w:r>
        <w:rPr>
          <w:color w:val="000000" w:themeColor="text1"/>
          <w:highlight w:val="none"/>
        </w:rPr>
      </w:r>
      <w:bookmarkStart w:id="32" w:name="_Toc120614214"/>
      <w:r>
        <w:rPr>
          <w:color w:val="000000" w:themeColor="text1"/>
          <w:highlight w:val="none"/>
        </w:rPr>
      </w:r>
      <w:bookmarkStart w:id="33" w:name="_Toc8795"/>
      <w:r>
        <w:rPr>
          <w:rFonts w:hint="eastAsia" w:ascii="宋体" w:hAnsi="宋体" w:cs="宋体"/>
          <w:b/>
          <w:bCs/>
          <w:color w:val="000000" w:themeColor="text1"/>
          <w:sz w:val="24"/>
          <w:highlight w:val="none"/>
        </w:rPr>
        <w:t xml:space="preserve">一、总则</w:t>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bookmarkEnd w:id="33"/>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34" w:name="_Hlt16619475"/>
      <w:r>
        <w:rPr>
          <w:color w:val="000000" w:themeColor="text1"/>
          <w:highlight w:val="none"/>
        </w:rPr>
      </w:r>
      <w:bookmarkEnd w:id="34"/>
      <w:r>
        <w:rPr>
          <w:color w:val="000000" w:themeColor="text1"/>
          <w:highlight w:val="none"/>
        </w:rPr>
      </w:r>
      <w:bookmarkStart w:id="35" w:name="_Toc458694821"/>
      <w:r>
        <w:rPr>
          <w:color w:val="000000" w:themeColor="text1"/>
          <w:highlight w:val="none"/>
        </w:rPr>
      </w:r>
      <w:bookmarkStart w:id="36" w:name="_Toc20823276"/>
      <w:r>
        <w:rPr>
          <w:color w:val="000000" w:themeColor="text1"/>
          <w:highlight w:val="none"/>
        </w:rPr>
      </w:r>
      <w:bookmarkStart w:id="37" w:name="_Toc513029204"/>
      <w:r>
        <w:rPr>
          <w:color w:val="000000" w:themeColor="text1"/>
          <w:highlight w:val="none"/>
        </w:rPr>
      </w:r>
      <w:bookmarkStart w:id="38" w:name="_Toc16938520"/>
      <w:r>
        <w:rPr>
          <w:rFonts w:hint="eastAsia" w:ascii="宋体" w:hAnsi="宋体" w:cs="宋体"/>
          <w:b/>
          <w:bCs/>
          <w:color w:val="000000" w:themeColor="text1"/>
          <w:sz w:val="24"/>
          <w:highlight w:val="none"/>
        </w:rPr>
        <w:t xml:space="preserve">1</w:t>
      </w:r>
      <w:bookmarkEnd w:id="35"/>
      <w:r>
        <w:rPr>
          <w:rFonts w:hint="eastAsia" w:ascii="宋体" w:hAnsi="宋体" w:cs="宋体"/>
          <w:b/>
          <w:bCs/>
          <w:color w:val="000000" w:themeColor="text1"/>
          <w:sz w:val="24"/>
          <w:highlight w:val="none"/>
        </w:rPr>
        <w:t xml:space="preserve">、招标方式</w:t>
      </w:r>
      <w:bookmarkEnd w:id="36"/>
      <w:r>
        <w:rPr>
          <w:color w:val="000000" w:themeColor="text1"/>
          <w:highlight w:val="none"/>
        </w:rPr>
      </w:r>
      <w:bookmarkEnd w:id="37"/>
      <w:r>
        <w:rPr>
          <w:color w:val="000000" w:themeColor="text1"/>
          <w:highlight w:val="none"/>
        </w:rPr>
      </w:r>
      <w:bookmarkEnd w:id="38"/>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 本次招标采取公开招标方式，本招标文件仅适用于招标公告中所述项目。</w:t>
      </w:r>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39" w:name="_Toc513029205"/>
      <w:r>
        <w:rPr>
          <w:color w:val="000000" w:themeColor="text1"/>
          <w:highlight w:val="none"/>
        </w:rPr>
      </w:r>
      <w:bookmarkStart w:id="40" w:name="_Toc16938521"/>
      <w:r>
        <w:rPr>
          <w:color w:val="000000" w:themeColor="text1"/>
          <w:highlight w:val="none"/>
        </w:rPr>
      </w:r>
      <w:bookmarkStart w:id="41" w:name="_Toc20823277"/>
      <w:r>
        <w:rPr>
          <w:rFonts w:hint="eastAsia" w:ascii="宋体" w:hAnsi="宋体" w:cs="宋体"/>
          <w:b/>
          <w:bCs/>
          <w:color w:val="000000" w:themeColor="text1"/>
          <w:sz w:val="24"/>
          <w:highlight w:val="none"/>
        </w:rPr>
        <w:t xml:space="preserve">2、合格的投标人</w:t>
      </w:r>
      <w:bookmarkEnd w:id="39"/>
      <w:r>
        <w:rPr>
          <w:color w:val="000000" w:themeColor="text1"/>
          <w:highlight w:val="none"/>
        </w:rPr>
      </w:r>
      <w:bookmarkEnd w:id="40"/>
      <w:r>
        <w:rPr>
          <w:color w:val="000000" w:themeColor="text1"/>
          <w:highlight w:val="none"/>
        </w:rPr>
      </w:r>
      <w:bookmarkEnd w:id="41"/>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 满足招标公告中供应商的资格要求的规定。</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2.2 满足本文件实质性要求和条</w:t>
      </w:r>
      <w:r>
        <w:rPr>
          <w:rFonts w:hint="eastAsia" w:ascii="宋体" w:hAnsi="宋体" w:cs="宋体"/>
          <w:color w:val="000000" w:themeColor="text1"/>
          <w:sz w:val="24"/>
          <w:highlight w:val="none"/>
        </w:rPr>
        <w:t xml:space="preserve">件的规定。</w:t>
      </w:r>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42" w:name="_Toc20823278"/>
      <w:r>
        <w:rPr>
          <w:color w:val="000000" w:themeColor="text1"/>
          <w:highlight w:val="none"/>
        </w:rPr>
      </w:r>
      <w:bookmarkStart w:id="43" w:name="_Toc16938522"/>
      <w:r>
        <w:rPr>
          <w:color w:val="000000" w:themeColor="text1"/>
          <w:highlight w:val="none"/>
        </w:rPr>
      </w:r>
      <w:bookmarkStart w:id="44" w:name="_Toc513029206"/>
      <w:r>
        <w:rPr>
          <w:rFonts w:hint="eastAsia" w:ascii="宋体" w:hAnsi="宋体" w:cs="宋体"/>
          <w:b/>
          <w:bCs/>
          <w:color w:val="000000" w:themeColor="text1"/>
          <w:sz w:val="24"/>
          <w:highlight w:val="none"/>
        </w:rPr>
        <w:t xml:space="preserve">3、适用法律</w:t>
      </w:r>
      <w:bookmarkEnd w:id="42"/>
      <w:r>
        <w:rPr>
          <w:color w:val="000000" w:themeColor="text1"/>
          <w:highlight w:val="none"/>
        </w:rPr>
      </w:r>
      <w:bookmarkEnd w:id="43"/>
      <w:r>
        <w:rPr>
          <w:color w:val="000000" w:themeColor="text1"/>
          <w:highlight w:val="none"/>
        </w:rPr>
      </w:r>
      <w:bookmarkEnd w:id="44"/>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3.1 本次招标及由此产生的合同受中华人民共和国有关的法律法规制约和保护。</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3.2 本招标项目执行《中华人民共和国政府采购法》、《中华人民共和国政府采购法实施条例》、《中华人民共和国财政部令第87号》、《财库（2017）141号》、《财库（2014）68号》、《财库（2020）46号》、《苏财购〔2020〕52号》、《财库（2004）185号》（节能环保）、《苏财购〔2022〕45号》</w:t>
      </w:r>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45" w:name="_Toc16938523"/>
      <w:r>
        <w:rPr>
          <w:color w:val="000000" w:themeColor="text1"/>
          <w:highlight w:val="none"/>
        </w:rPr>
      </w:r>
      <w:bookmarkStart w:id="46" w:name="_Toc462564067"/>
      <w:r>
        <w:rPr>
          <w:color w:val="000000" w:themeColor="text1"/>
          <w:highlight w:val="none"/>
        </w:rPr>
      </w:r>
      <w:bookmarkStart w:id="47" w:name="_Toc20823279"/>
      <w:r>
        <w:rPr>
          <w:color w:val="000000" w:themeColor="text1"/>
          <w:highlight w:val="none"/>
        </w:rPr>
      </w:r>
      <w:bookmarkStart w:id="48" w:name="_Toc513029207"/>
      <w:r>
        <w:rPr>
          <w:rFonts w:hint="eastAsia" w:ascii="宋体" w:hAnsi="宋体" w:cs="宋体"/>
          <w:b/>
          <w:bCs/>
          <w:color w:val="000000" w:themeColor="text1"/>
          <w:sz w:val="24"/>
          <w:highlight w:val="none"/>
        </w:rPr>
        <w:t xml:space="preserve">4、投标费用</w:t>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r/>
    </w:p>
    <w:p>
      <w:pPr>
        <w:pStyle w:val="953"/>
        <w:ind w:firstLine="480"/>
        <w:spacing w:line="360" w:lineRule="auto"/>
        <w:rPr>
          <w:color w:val="000000" w:themeColor="text1"/>
          <w:highlight w:val="none"/>
        </w:rPr>
      </w:pPr>
      <w:r>
        <w:rPr>
          <w:rFonts w:ascii="宋体" w:hAnsi="宋体" w:cs="宋体"/>
          <w:color w:val="000000" w:themeColor="text1"/>
          <w:sz w:val="24"/>
          <w:highlight w:val="none"/>
        </w:rPr>
        <w:t xml:space="preserve">4.1 投标人应自行承担所有与参加投标有关的费用</w:t>
      </w:r>
      <w:r>
        <w:rPr>
          <w:rFonts w:ascii="宋体" w:hAnsi="宋体" w:cs="宋体"/>
          <w:color w:val="000000" w:themeColor="text1"/>
          <w:sz w:val="24"/>
          <w:highlight w:val="none"/>
        </w:rPr>
        <w:t xml:space="preserve">，无论投标过程中的做法和结果如何，</w:t>
      </w:r>
      <w:r>
        <w:rPr>
          <w:rFonts w:ascii="宋体" w:hAnsi="宋体" w:cs="宋体"/>
          <w:b/>
          <w:color w:val="000000" w:themeColor="text1"/>
          <w:sz w:val="24"/>
          <w:highlight w:val="none"/>
        </w:rPr>
        <w:t xml:space="preserve">江苏苏豪创新科技集团有限公司（以下简称采购代理机构）</w:t>
      </w:r>
      <w:r>
        <w:rPr>
          <w:rFonts w:ascii="宋体" w:hAnsi="宋体" w:cs="宋体"/>
          <w:color w:val="000000" w:themeColor="text1"/>
          <w:sz w:val="24"/>
          <w:highlight w:val="none"/>
        </w:rPr>
        <w:t xml:space="preserve">在任何情况下均无义务和责任承担这些费用。</w:t>
      </w:r>
      <w:r>
        <w:rPr>
          <w:color w:val="000000" w:themeColor="text1"/>
          <w:highlight w:val="none"/>
        </w:rPr>
      </w:r>
      <w:r/>
    </w:p>
    <w:p>
      <w:pPr>
        <w:pStyle w:val="953"/>
        <w:ind w:firstLine="480"/>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4</w:t>
      </w:r>
      <w:r>
        <w:rPr>
          <w:rFonts w:ascii="宋体" w:hAnsi="宋体" w:cs="宋体"/>
          <w:b/>
          <w:bCs/>
          <w:color w:val="000000" w:themeColor="text1"/>
          <w:sz w:val="24"/>
          <w:highlight w:val="none"/>
        </w:rPr>
        <w:t xml:space="preserve">.2</w:t>
      </w:r>
      <w:r>
        <w:rPr>
          <w:rFonts w:hint="eastAsia" w:ascii="宋体" w:hAnsi="宋体" w:cs="宋体"/>
          <w:b/>
          <w:bCs/>
          <w:color w:val="000000" w:themeColor="text1"/>
          <w:sz w:val="24"/>
          <w:highlight w:val="none"/>
        </w:rPr>
        <w:t xml:space="preserve">本项目预算已包含本次招标服务费，故服务费由中标人支付。</w:t>
      </w:r>
      <w:r>
        <w:rPr>
          <w:color w:val="000000" w:themeColor="text1"/>
          <w:highlight w:val="none"/>
        </w:rPr>
      </w:r>
      <w:r/>
    </w:p>
    <w:p>
      <w:pPr>
        <w:pStyle w:val="953"/>
        <w:ind w:firstLine="480"/>
        <w:spacing w:line="360" w:lineRule="auto"/>
        <w:rPr>
          <w:color w:val="000000" w:themeColor="text1"/>
          <w:highlight w:val="none"/>
        </w:rPr>
      </w:pPr>
      <w:r>
        <w:rPr>
          <w:rFonts w:ascii="宋体" w:hAnsi="宋体" w:cs="宋体"/>
          <w:color w:val="000000" w:themeColor="text1"/>
          <w:sz w:val="24"/>
          <w:highlight w:val="none"/>
        </w:rPr>
        <w:t xml:space="preserve">4.3 本次招标</w:t>
      </w:r>
      <w:r>
        <w:rPr>
          <w:rFonts w:ascii="宋体" w:hAnsi="宋体" w:cs="宋体"/>
          <w:b/>
          <w:color w:val="000000" w:themeColor="text1"/>
          <w:sz w:val="24"/>
          <w:highlight w:val="none"/>
        </w:rPr>
        <w:t xml:space="preserve">采购代理机构</w:t>
      </w:r>
      <w:r>
        <w:rPr>
          <w:rFonts w:ascii="宋体" w:hAnsi="宋体" w:cs="宋体"/>
          <w:color w:val="000000" w:themeColor="text1"/>
          <w:sz w:val="24"/>
          <w:highlight w:val="none"/>
        </w:rPr>
        <w:t xml:space="preserve">不收取标书工本费。</w:t>
      </w:r>
      <w:r>
        <w:rPr>
          <w:color w:val="000000" w:themeColor="text1"/>
          <w:highlight w:val="none"/>
        </w:rPr>
      </w:r>
      <w:r/>
    </w:p>
    <w:p>
      <w:pPr>
        <w:pStyle w:val="953"/>
        <w:ind w:firstLine="480"/>
        <w:spacing w:line="360" w:lineRule="auto"/>
        <w:rPr>
          <w:color w:val="000000" w:themeColor="text1"/>
          <w:highlight w:val="none"/>
        </w:rPr>
      </w:pPr>
      <w:r>
        <w:rPr>
          <w:rFonts w:ascii="宋体" w:hAnsi="宋体" w:cs="宋体"/>
          <w:color w:val="000000" w:themeColor="text1"/>
          <w:sz w:val="24"/>
          <w:highlight w:val="none"/>
        </w:rPr>
        <w:t xml:space="preserve">4.4 招标服务费收费标准：</w:t>
      </w:r>
      <w:r>
        <w:rPr>
          <w:color w:val="000000" w:themeColor="text1"/>
          <w:highlight w:val="none"/>
        </w:rPr>
      </w:r>
      <w:r/>
    </w:p>
    <w:p>
      <w:pPr>
        <w:pStyle w:val="953"/>
        <w:ind w:firstLine="480"/>
        <w:spacing w:line="360" w:lineRule="auto"/>
        <w:rPr>
          <w:color w:val="000000" w:themeColor="text1"/>
          <w:highlight w:val="none"/>
        </w:rPr>
      </w:pPr>
      <w:r>
        <w:rPr>
          <w:rFonts w:ascii="宋体" w:hAnsi="宋体" w:cs="宋体"/>
          <w:color w:val="000000" w:themeColor="text1"/>
          <w:sz w:val="24"/>
          <w:highlight w:val="none"/>
        </w:rPr>
        <w:t xml:space="preserve">中标人向采购代理机构支付招标服务费，服务费标准按下表中标准的40%计取。</w:t>
      </w:r>
      <w:r>
        <w:rPr>
          <w:rFonts w:hint="eastAsia" w:ascii="宋体" w:hAnsi="宋体" w:cs="宋体"/>
          <w:color w:val="000000" w:themeColor="text1"/>
          <w:sz w:val="24"/>
          <w:highlight w:val="none"/>
        </w:rPr>
        <w:t xml:space="preserve">折后出现收费不足3000元的，按3000元收取。</w:t>
      </w:r>
      <w:r>
        <w:rPr>
          <w:color w:val="000000" w:themeColor="text1"/>
          <w:highlight w:val="none"/>
        </w:rPr>
      </w:r>
      <w:r/>
    </w:p>
    <w:tbl>
      <w:tblPr>
        <w:tblW w:w="8638" w:type="dxa"/>
        <w:tblInd w:w="404" w:type="dxa"/>
        <w:tblLayout w:type="autofit"/>
        <w:tblCellMar>
          <w:left w:w="108" w:type="dxa"/>
          <w:top w:w="0" w:type="dxa"/>
          <w:right w:w="108" w:type="dxa"/>
          <w:bottom w:w="0" w:type="dxa"/>
        </w:tblCellMar>
        <w:tblLook w:val="04A0" w:firstRow="1" w:lastRow="0" w:firstColumn="1" w:lastColumn="0" w:noHBand="0" w:noVBand="1"/>
      </w:tblPr>
      <w:tblGrid>
        <w:gridCol w:w="2746"/>
        <w:gridCol w:w="2120"/>
        <w:gridCol w:w="1846"/>
        <w:gridCol w:w="1926"/>
      </w:tblGrid>
      <w:tr>
        <w:trPr>
          <w:trHeight w:val="6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rPr>
              <w:t xml:space="preserve">服务类型 中标金额（万元）</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货物招标</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服务招标</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工程招标</w:t>
            </w:r>
            <w:r>
              <w:rPr>
                <w:color w:val="000000" w:themeColor="text1"/>
                <w:highlight w:val="none"/>
              </w:rPr>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100以下</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1.0%</w:t>
            </w:r>
            <w:r>
              <w:rPr>
                <w:color w:val="000000" w:themeColor="text1"/>
                <w:highlight w:val="none"/>
              </w:rPr>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100-500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w:t>
            </w:r>
            <w:r>
              <w:rPr>
                <w:rFonts w:ascii="宋体" w:hAnsi="宋体" w:cs="宋体"/>
                <w:color w:val="000000" w:themeColor="text1"/>
                <w:sz w:val="24"/>
                <w:highlight w:val="none"/>
                <w:lang w:eastAsia="en-US"/>
              </w:rPr>
              <w:t xml:space="preserve">.1%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0.7%</w:t>
            </w:r>
            <w:r>
              <w:rPr>
                <w:color w:val="000000" w:themeColor="text1"/>
                <w:highlight w:val="none"/>
              </w:rPr>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500-1000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0.45%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0.55%</w:t>
            </w:r>
            <w:r>
              <w:rPr>
                <w:color w:val="000000" w:themeColor="text1"/>
                <w:highlight w:val="none"/>
              </w:rPr>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1000-5000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0.25%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0.35%</w:t>
            </w:r>
            <w:r>
              <w:rPr>
                <w:color w:val="000000" w:themeColor="text1"/>
                <w:highlight w:val="none"/>
              </w:rPr>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5000-10000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0.25%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0.2%</w:t>
            </w:r>
            <w:r>
              <w:rPr>
                <w:color w:val="000000" w:themeColor="text1"/>
                <w:highlight w:val="none"/>
              </w:rPr>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10000-100000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0.05%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0.05%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0.05%</w:t>
            </w:r>
            <w:r>
              <w:rPr>
                <w:color w:val="000000" w:themeColor="text1"/>
                <w:highlight w:val="none"/>
              </w:rPr>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1000000以上</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0.01%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0.01%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53"/>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0.01%</w:t>
            </w:r>
            <w:r>
              <w:rPr>
                <w:color w:val="000000" w:themeColor="text1"/>
                <w:highlight w:val="none"/>
              </w:rPr>
            </w:r>
            <w:r/>
          </w:p>
        </w:tc>
      </w:tr>
      <w:tr>
        <w:trPr>
          <w:trHeight w:val="35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8" w:type="dxa"/>
            <w:vAlign w:val="top"/>
            <w:textDirection w:val="lrTb"/>
            <w:noWrap w:val="false"/>
          </w:tcPr>
          <w:p>
            <w:pPr>
              <w:pStyle w:val="953"/>
              <w:spacing w:line="360" w:lineRule="auto"/>
              <w:rPr>
                <w:rFonts w:eastAsia="Times New Roman"/>
                <w:color w:val="000000" w:themeColor="text1"/>
                <w:highlight w:val="none"/>
              </w:rPr>
            </w:pPr>
            <w:r>
              <w:rPr>
                <w:rFonts w:ascii="宋体" w:hAnsi="宋体" w:cs="宋体"/>
                <w:color w:val="000000" w:themeColor="text1"/>
                <w:sz w:val="24"/>
                <w:highlight w:val="none"/>
              </w:rPr>
              <w:t xml:space="preserve">说明：招标代理服务收费按差额定律累进法计算。</w:t>
            </w:r>
            <w:r>
              <w:rPr>
                <w:color w:val="000000" w:themeColor="text1"/>
                <w:highlight w:val="none"/>
              </w:rPr>
            </w:r>
            <w:r/>
          </w:p>
        </w:tc>
      </w:tr>
    </w:tbl>
    <w:p>
      <w:pPr>
        <w:pStyle w:val="953"/>
        <w:ind w:firstLine="480"/>
        <w:spacing w:line="360" w:lineRule="auto"/>
        <w:rPr>
          <w:color w:val="000000" w:themeColor="text1"/>
          <w:highlight w:val="none"/>
        </w:rPr>
      </w:pPr>
      <w:r>
        <w:rPr>
          <w:rFonts w:ascii="宋体" w:hAnsi="宋体" w:cs="宋体"/>
          <w:color w:val="000000" w:themeColor="text1"/>
          <w:sz w:val="24"/>
          <w:highlight w:val="none"/>
        </w:rPr>
        <w:t xml:space="preserve">4.5电汇账户信息如下：</w:t>
      </w:r>
      <w:r>
        <w:rPr>
          <w:color w:val="000000" w:themeColor="text1"/>
          <w:highlight w:val="none"/>
        </w:rPr>
      </w:r>
      <w:r/>
    </w:p>
    <w:p>
      <w:pPr>
        <w:pStyle w:val="953"/>
        <w:ind w:firstLine="480"/>
        <w:spacing w:line="360" w:lineRule="auto"/>
        <w:rPr>
          <w:color w:val="000000" w:themeColor="text1"/>
          <w:highlight w:val="none"/>
        </w:rPr>
      </w:pPr>
      <w:r>
        <w:rPr>
          <w:rFonts w:ascii="宋体" w:hAnsi="宋体" w:cs="宋体"/>
          <w:color w:val="000000" w:themeColor="text1"/>
          <w:sz w:val="24"/>
          <w:highlight w:val="none"/>
        </w:rPr>
        <w:t xml:space="preserve">开户名：江苏苏豪创新科技集团有限公司</w:t>
      </w:r>
      <w:r>
        <w:rPr>
          <w:color w:val="000000" w:themeColor="text1"/>
          <w:highlight w:val="none"/>
        </w:rPr>
      </w:r>
      <w:r/>
    </w:p>
    <w:p>
      <w:pPr>
        <w:pStyle w:val="953"/>
        <w:ind w:firstLine="480"/>
        <w:spacing w:line="360" w:lineRule="auto"/>
        <w:rPr>
          <w:color w:val="000000" w:themeColor="text1"/>
          <w:highlight w:val="none"/>
        </w:rPr>
      </w:pPr>
      <w:r>
        <w:rPr>
          <w:rFonts w:ascii="宋体" w:hAnsi="宋体" w:cs="宋体"/>
          <w:color w:val="000000" w:themeColor="text1"/>
          <w:sz w:val="24"/>
          <w:highlight w:val="none"/>
        </w:rPr>
        <w:t xml:space="preserve">开户行：工行南京市白下支行</w:t>
      </w:r>
      <w:r>
        <w:rPr>
          <w:color w:val="000000" w:themeColor="text1"/>
          <w:highlight w:val="none"/>
        </w:rPr>
      </w:r>
      <w:r/>
    </w:p>
    <w:p>
      <w:pPr>
        <w:pStyle w:val="953"/>
        <w:ind w:firstLine="480"/>
        <w:spacing w:line="360" w:lineRule="auto"/>
        <w:rPr>
          <w:color w:val="000000" w:themeColor="text1"/>
          <w:highlight w:val="none"/>
        </w:rPr>
      </w:pPr>
      <w:r>
        <w:rPr>
          <w:rFonts w:ascii="宋体" w:hAnsi="宋体" w:cs="宋体"/>
          <w:color w:val="000000" w:themeColor="text1"/>
          <w:sz w:val="24"/>
          <w:highlight w:val="none"/>
        </w:rPr>
        <w:t xml:space="preserve">账  号：4301013119100276117</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5</w:t>
      </w:r>
      <w:r>
        <w:rPr>
          <w:rFonts w:hint="eastAsia" w:ascii="宋体" w:hAnsi="宋体" w:cs="宋体"/>
          <w:b/>
          <w:bCs/>
          <w:color w:val="000000" w:themeColor="text1"/>
          <w:sz w:val="24"/>
          <w:highlight w:val="none"/>
        </w:rPr>
        <w:t xml:space="preserve">、招标文件的约束力</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5.1 投标人一旦参加本项目采购活动，即被认为接受了本招标文件的规定和约束。</w:t>
      </w:r>
      <w:r>
        <w:rPr>
          <w:color w:val="000000" w:themeColor="text1"/>
          <w:highlight w:val="none"/>
        </w:rPr>
      </w:r>
      <w:r/>
    </w:p>
    <w:p>
      <w:pPr>
        <w:pStyle w:val="953"/>
        <w:ind w:firstLine="482"/>
        <w:spacing w:line="360" w:lineRule="auto"/>
        <w:rPr>
          <w:rFonts w:ascii="宋体" w:hAnsi="宋体" w:cs="宋体"/>
          <w:b/>
          <w:bCs/>
          <w:color w:val="000000" w:themeColor="text1"/>
          <w:sz w:val="24"/>
          <w:highlight w:val="none"/>
        </w:rPr>
      </w:pPr>
      <w:r>
        <w:rPr>
          <w:color w:val="000000" w:themeColor="text1"/>
          <w:highlight w:val="none"/>
        </w:rPr>
      </w:r>
      <w:bookmarkStart w:id="49" w:name="_Toc513029209"/>
      <w:r>
        <w:rPr>
          <w:color w:val="000000" w:themeColor="text1"/>
          <w:highlight w:val="none"/>
        </w:rPr>
      </w:r>
      <w:bookmarkStart w:id="50" w:name="_Toc16938525"/>
      <w:r>
        <w:rPr>
          <w:color w:val="000000" w:themeColor="text1"/>
          <w:highlight w:val="none"/>
        </w:rPr>
      </w:r>
      <w:bookmarkStart w:id="51" w:name="_Toc120614215"/>
      <w:r>
        <w:rPr>
          <w:color w:val="000000" w:themeColor="text1"/>
          <w:highlight w:val="none"/>
        </w:rPr>
      </w:r>
      <w:bookmarkStart w:id="52" w:name="_Toc20823281"/>
      <w:r>
        <w:rPr>
          <w:color w:val="000000" w:themeColor="text1"/>
          <w:highlight w:val="none"/>
        </w:rPr>
      </w:r>
      <w:r/>
    </w:p>
    <w:p>
      <w:pPr>
        <w:pStyle w:val="953"/>
        <w:spacing w:line="360" w:lineRule="auto"/>
        <w:rPr>
          <w:rFonts w:ascii="宋体" w:hAnsi="宋体" w:cs="宋体"/>
          <w:b/>
          <w:bCs/>
          <w:color w:val="000000" w:themeColor="text1"/>
          <w:sz w:val="24"/>
          <w:highlight w:val="none"/>
        </w:rPr>
        <w:outlineLvl w:val="1"/>
      </w:pPr>
      <w:r>
        <w:rPr>
          <w:color w:val="000000" w:themeColor="text1"/>
          <w:highlight w:val="none"/>
        </w:rPr>
      </w:r>
      <w:bookmarkStart w:id="53" w:name="_Toc11968"/>
      <w:r>
        <w:rPr>
          <w:rFonts w:hint="eastAsia" w:ascii="宋体" w:hAnsi="宋体" w:cs="宋体"/>
          <w:b/>
          <w:bCs/>
          <w:color w:val="000000" w:themeColor="text1"/>
          <w:sz w:val="24"/>
          <w:highlight w:val="none"/>
        </w:rPr>
        <w:t xml:space="preserve">二、招标文件</w:t>
      </w:r>
      <w:bookmarkEnd w:id="49"/>
      <w:r>
        <w:rPr>
          <w:color w:val="000000" w:themeColor="text1"/>
          <w:highlight w:val="none"/>
        </w:rPr>
      </w:r>
      <w:bookmarkEnd w:id="50"/>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54" w:name="_Toc16938526"/>
      <w:r>
        <w:rPr>
          <w:color w:val="000000" w:themeColor="text1"/>
          <w:highlight w:val="none"/>
        </w:rPr>
      </w:r>
      <w:bookmarkStart w:id="55" w:name="_Toc513029210"/>
      <w:r>
        <w:rPr>
          <w:color w:val="000000" w:themeColor="text1"/>
          <w:highlight w:val="none"/>
        </w:rPr>
      </w:r>
      <w:bookmarkStart w:id="56" w:name="_Toc20823282"/>
      <w:r>
        <w:rPr>
          <w:rFonts w:hint="eastAsia" w:ascii="宋体" w:hAnsi="宋体" w:cs="宋体"/>
          <w:b/>
          <w:bCs/>
          <w:color w:val="000000" w:themeColor="text1"/>
          <w:sz w:val="24"/>
          <w:highlight w:val="none"/>
        </w:rPr>
        <w:t xml:space="preserve">6、招标文件构成</w:t>
      </w:r>
      <w:bookmarkEnd w:id="54"/>
      <w:r>
        <w:rPr>
          <w:color w:val="000000" w:themeColor="text1"/>
          <w:highlight w:val="none"/>
        </w:rPr>
      </w:r>
      <w:bookmarkEnd w:id="55"/>
      <w:r>
        <w:rPr>
          <w:color w:val="000000" w:themeColor="text1"/>
          <w:highlight w:val="none"/>
        </w:rPr>
      </w:r>
      <w:bookmarkEnd w:id="56"/>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6.1 招标文件由以下部分组成：</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（1）投标邀请</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（2）投标人须知</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（3）合同文本</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（4）采购需求</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（5）评标方法与评标标准</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（6）投标文件格式</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请仔细检查招标文件是否齐全，如有缺漏请立即与</w:t>
      </w:r>
      <w:r>
        <w:rPr>
          <w:rFonts w:hint="eastAsia" w:ascii="宋体" w:hAnsi="宋体" w:cs="宋体"/>
          <w:color w:val="000000" w:themeColor="text1"/>
          <w:sz w:val="24"/>
          <w:highlight w:val="none"/>
          <w:u w:val="single"/>
        </w:rPr>
        <w:t xml:space="preserve">采购代理机构</w:t>
      </w:r>
      <w:r>
        <w:rPr>
          <w:rFonts w:hint="eastAsia" w:ascii="宋体" w:hAnsi="宋体" w:cs="宋体"/>
          <w:color w:val="000000" w:themeColor="text1"/>
          <w:sz w:val="24"/>
          <w:highlight w:val="none"/>
        </w:rPr>
        <w:t xml:space="preserve">联系解决。</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w:t>
      </w:r>
      <w:r>
        <w:rPr>
          <w:rFonts w:hint="eastAsia" w:ascii="宋体" w:hAnsi="宋体" w:cs="宋体"/>
          <w:color w:val="000000" w:themeColor="text1"/>
          <w:sz w:val="24"/>
          <w:highlight w:val="none"/>
        </w:rPr>
        <w:t xml:space="preserve">质性响应，否则其风险由投标人自行承担</w:t>
      </w:r>
      <w:r>
        <w:rPr>
          <w:rFonts w:hint="eastAsia" w:ascii="宋体" w:hAnsi="宋体" w:cs="宋体"/>
          <w:color w:val="000000" w:themeColor="text1"/>
          <w:sz w:val="24"/>
          <w:highlight w:val="none"/>
        </w:rPr>
        <w:t xml:space="preserve">。</w:t>
      </w:r>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57" w:name="_Toc16938527"/>
      <w:r>
        <w:rPr>
          <w:color w:val="000000" w:themeColor="text1"/>
          <w:highlight w:val="none"/>
        </w:rPr>
      </w:r>
      <w:bookmarkStart w:id="58" w:name="_Toc513029211"/>
      <w:r>
        <w:rPr>
          <w:color w:val="000000" w:themeColor="text1"/>
          <w:highlight w:val="none"/>
        </w:rPr>
      </w:r>
      <w:bookmarkStart w:id="59" w:name="_Toc462564070"/>
      <w:r>
        <w:rPr>
          <w:color w:val="000000" w:themeColor="text1"/>
          <w:highlight w:val="none"/>
        </w:rPr>
      </w:r>
      <w:bookmarkStart w:id="60" w:name="_Toc20823283"/>
      <w:r>
        <w:rPr>
          <w:rFonts w:hint="eastAsia" w:ascii="宋体" w:hAnsi="宋体" w:cs="宋体"/>
          <w:b/>
          <w:bCs/>
          <w:color w:val="000000" w:themeColor="text1"/>
          <w:sz w:val="24"/>
          <w:highlight w:val="none"/>
        </w:rPr>
        <w:t xml:space="preserve">7、招标文件的澄清</w:t>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7.1 任何要求对招标文件进行澄清的投标人，应在投标截止期十日前按招标公告中的通讯地址，以书面形式通知</w:t>
      </w:r>
      <w:r>
        <w:rPr>
          <w:rFonts w:hint="eastAsia" w:ascii="宋体" w:hAnsi="宋体" w:cs="宋体"/>
          <w:color w:val="000000" w:themeColor="text1"/>
          <w:sz w:val="24"/>
          <w:highlight w:val="none"/>
          <w:u w:val="single"/>
        </w:rPr>
        <w:t xml:space="preserve">采购代理机构</w:t>
      </w:r>
      <w:r>
        <w:rPr>
          <w:rFonts w:hint="eastAsia" w:ascii="宋体" w:hAnsi="宋体" w:cs="宋体"/>
          <w:color w:val="000000" w:themeColor="text1"/>
          <w:sz w:val="24"/>
          <w:highlight w:val="none"/>
        </w:rPr>
        <w:t xml:space="preserve">。</w:t>
      </w:r>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61" w:name="_Toc513029212"/>
      <w:r>
        <w:rPr>
          <w:color w:val="000000" w:themeColor="text1"/>
          <w:highlight w:val="none"/>
        </w:rPr>
      </w:r>
      <w:bookmarkStart w:id="62" w:name="_Toc20823284"/>
      <w:r>
        <w:rPr>
          <w:color w:val="000000" w:themeColor="text1"/>
          <w:highlight w:val="none"/>
        </w:rPr>
      </w:r>
      <w:bookmarkStart w:id="63" w:name="_Toc16938528"/>
      <w:r>
        <w:rPr>
          <w:color w:val="000000" w:themeColor="text1"/>
          <w:highlight w:val="none"/>
        </w:rPr>
      </w:r>
      <w:bookmarkStart w:id="64" w:name="_Toc462564071"/>
      <w:r>
        <w:rPr>
          <w:rFonts w:hint="eastAsia" w:ascii="宋体" w:hAnsi="宋体" w:cs="宋体"/>
          <w:b/>
          <w:bCs/>
          <w:color w:val="000000" w:themeColor="text1"/>
          <w:sz w:val="24"/>
          <w:highlight w:val="none"/>
        </w:rPr>
        <w:t xml:space="preserve">8、招标文件的修改</w:t>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8.1 在投标截止时间前，</w:t>
      </w:r>
      <w:r>
        <w:rPr>
          <w:rFonts w:hint="eastAsia" w:ascii="宋体" w:hAnsi="宋体" w:cs="宋体"/>
          <w:color w:val="000000" w:themeColor="text1"/>
          <w:sz w:val="24"/>
          <w:highlight w:val="none"/>
          <w:u w:val="single"/>
        </w:rPr>
        <w:t xml:space="preserve">采购代理机构</w:t>
      </w:r>
      <w:r>
        <w:rPr>
          <w:rFonts w:hint="eastAsia" w:ascii="宋体" w:hAnsi="宋体" w:cs="宋体"/>
          <w:color w:val="000000" w:themeColor="text1"/>
          <w:sz w:val="24"/>
          <w:highlight w:val="none"/>
        </w:rPr>
        <w:t xml:space="preserve">可以对招标文件进行修改。</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8.2 </w:t>
      </w:r>
      <w:r>
        <w:rPr>
          <w:rFonts w:hint="eastAsia" w:ascii="宋体" w:hAnsi="宋体" w:cs="宋体"/>
          <w:color w:val="000000" w:themeColor="text1"/>
          <w:sz w:val="24"/>
          <w:highlight w:val="none"/>
          <w:u w:val="single"/>
        </w:rPr>
        <w:t xml:space="preserve">采购代理机构</w:t>
      </w:r>
      <w:r>
        <w:rPr>
          <w:rFonts w:hint="eastAsia" w:ascii="宋体" w:hAnsi="宋体" w:cs="宋体"/>
          <w:color w:val="000000" w:themeColor="text1"/>
          <w:sz w:val="24"/>
          <w:highlight w:val="none"/>
        </w:rPr>
        <w:t xml:space="preserve">有权按照法定的要求推迟投标截止日期和开标日期。</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8.3 招标文件的修改将在江苏政府采购网公布，补充文件将作为招标文件的组成部分，并对投标人具有约束力。</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ascii="宋体" w:hAnsi="宋体"/>
          <w:bCs/>
          <w:color w:val="000000" w:themeColor="text1"/>
          <w:sz w:val="24"/>
          <w:szCs w:val="21"/>
          <w:highlight w:val="none"/>
        </w:rPr>
      </w:r>
      <w:r>
        <w:rPr>
          <w:color w:val="000000" w:themeColor="text1"/>
          <w:highlight w:val="none"/>
        </w:rPr>
      </w:r>
      <w:r/>
    </w:p>
    <w:p>
      <w:pPr>
        <w:pStyle w:val="953"/>
        <w:spacing w:line="360" w:lineRule="auto"/>
        <w:rPr>
          <w:rFonts w:ascii="宋体" w:hAnsi="宋体" w:cs="宋体"/>
          <w:b/>
          <w:bCs/>
          <w:color w:val="000000" w:themeColor="text1"/>
          <w:sz w:val="24"/>
          <w:highlight w:val="none"/>
        </w:rPr>
        <w:outlineLvl w:val="1"/>
      </w:pPr>
      <w:r>
        <w:rPr>
          <w:color w:val="000000" w:themeColor="text1"/>
          <w:highlight w:val="none"/>
        </w:rPr>
      </w:r>
      <w:bookmarkStart w:id="65" w:name="_Toc462564072"/>
      <w:r>
        <w:rPr>
          <w:color w:val="000000" w:themeColor="text1"/>
          <w:highlight w:val="none"/>
        </w:rPr>
      </w:r>
      <w:bookmarkStart w:id="66" w:name="_Toc13732"/>
      <w:r>
        <w:rPr>
          <w:color w:val="000000" w:themeColor="text1"/>
          <w:highlight w:val="none"/>
        </w:rPr>
      </w:r>
      <w:bookmarkStart w:id="67" w:name="_Toc16938529"/>
      <w:r>
        <w:rPr>
          <w:color w:val="000000" w:themeColor="text1"/>
          <w:highlight w:val="none"/>
        </w:rPr>
      </w:r>
      <w:bookmarkStart w:id="68" w:name="_Toc513029213"/>
      <w:r>
        <w:rPr>
          <w:color w:val="000000" w:themeColor="text1"/>
          <w:highlight w:val="none"/>
        </w:rPr>
      </w:r>
      <w:bookmarkStart w:id="69" w:name="_Toc120614216"/>
      <w:r>
        <w:rPr>
          <w:color w:val="000000" w:themeColor="text1"/>
          <w:highlight w:val="none"/>
        </w:rPr>
      </w:r>
      <w:bookmarkStart w:id="70" w:name="_Toc20823285"/>
      <w:r>
        <w:rPr>
          <w:rFonts w:hint="eastAsia" w:ascii="宋体" w:hAnsi="宋体" w:cs="宋体"/>
          <w:b/>
          <w:bCs/>
          <w:color w:val="000000" w:themeColor="text1"/>
          <w:sz w:val="24"/>
          <w:highlight w:val="none"/>
        </w:rPr>
        <w:t xml:space="preserve">三、投标文件的编制</w:t>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color w:val="000000" w:themeColor="text1"/>
          <w:highlight w:val="none"/>
        </w:rPr>
      </w:r>
      <w:bookmarkEnd w:id="70"/>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71" w:name="_Toc16938530"/>
      <w:r>
        <w:rPr>
          <w:color w:val="000000" w:themeColor="text1"/>
          <w:highlight w:val="none"/>
        </w:rPr>
      </w:r>
      <w:bookmarkStart w:id="72" w:name="_Toc20823286"/>
      <w:r>
        <w:rPr>
          <w:color w:val="000000" w:themeColor="text1"/>
          <w:highlight w:val="none"/>
        </w:rPr>
      </w:r>
      <w:bookmarkStart w:id="73" w:name="_Toc462564073"/>
      <w:r>
        <w:rPr>
          <w:color w:val="000000" w:themeColor="text1"/>
          <w:highlight w:val="none"/>
        </w:rPr>
      </w:r>
      <w:bookmarkStart w:id="74" w:name="_Toc513029214"/>
      <w:r>
        <w:rPr>
          <w:rFonts w:hint="eastAsia" w:ascii="宋体" w:hAnsi="宋体" w:cs="宋体"/>
          <w:b/>
          <w:bCs/>
          <w:color w:val="000000" w:themeColor="text1"/>
          <w:sz w:val="24"/>
          <w:highlight w:val="none"/>
        </w:rPr>
        <w:t xml:space="preserve">9、投标文件的语言及度量衡单位</w:t>
      </w:r>
      <w:bookmarkEnd w:id="71"/>
      <w:r>
        <w:rPr>
          <w:color w:val="000000" w:themeColor="text1"/>
          <w:highlight w:val="none"/>
        </w:rPr>
      </w:r>
      <w:bookmarkEnd w:id="72"/>
      <w:r>
        <w:rPr>
          <w:color w:val="000000" w:themeColor="text1"/>
          <w:highlight w:val="none"/>
        </w:rPr>
      </w:r>
      <w:bookmarkEnd w:id="73"/>
      <w:r>
        <w:rPr>
          <w:color w:val="000000" w:themeColor="text1"/>
          <w:highlight w:val="none"/>
        </w:rPr>
      </w:r>
      <w:bookmarkEnd w:id="74"/>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9.1 投标人提交的投标</w:t>
      </w:r>
      <w:r>
        <w:rPr>
          <w:rFonts w:hint="eastAsia" w:ascii="宋体" w:hAnsi="宋体" w:cs="宋体"/>
          <w:color w:val="000000" w:themeColor="text1"/>
          <w:sz w:val="24"/>
          <w:highlight w:val="none"/>
        </w:rPr>
        <w:t xml:space="preserve">文件以及投标人与</w:t>
      </w:r>
      <w:r>
        <w:rPr>
          <w:rFonts w:hint="eastAsia" w:ascii="宋体" w:hAnsi="宋体" w:cs="宋体"/>
          <w:color w:val="000000" w:themeColor="text1"/>
          <w:sz w:val="24"/>
          <w:highlight w:val="none"/>
          <w:u w:val="single"/>
        </w:rPr>
        <w:t xml:space="preserve">采购</w:t>
      </w:r>
      <w:r>
        <w:rPr>
          <w:rFonts w:hint="eastAsia" w:ascii="宋体" w:hAnsi="宋体" w:cs="宋体"/>
          <w:color w:val="000000" w:themeColor="text1"/>
          <w:sz w:val="24"/>
          <w:highlight w:val="none"/>
          <w:u w:val="single"/>
        </w:rPr>
        <w:t xml:space="preserve">代理机构</w:t>
      </w:r>
      <w:r>
        <w:rPr>
          <w:rFonts w:hint="eastAsia" w:ascii="宋体" w:hAnsi="宋体" w:cs="宋体"/>
          <w:color w:val="000000" w:themeColor="text1"/>
          <w:sz w:val="24"/>
          <w:highlight w:val="none"/>
        </w:rPr>
        <w:t xml:space="preserve">就有关投标的所有来往通知、函件和文件均应使用</w:t>
      </w:r>
      <w:r>
        <w:rPr>
          <w:rFonts w:hint="eastAsia" w:ascii="宋体" w:hAnsi="宋体" w:cs="宋体"/>
          <w:b/>
          <w:bCs/>
          <w:color w:val="000000" w:themeColor="text1"/>
          <w:sz w:val="24"/>
          <w:highlight w:val="none"/>
        </w:rPr>
        <w:t xml:space="preserve">简体中文</w:t>
      </w:r>
      <w:r>
        <w:rPr>
          <w:rFonts w:hint="eastAsia" w:ascii="宋体" w:hAnsi="宋体" w:cs="宋体"/>
          <w:color w:val="000000" w:themeColor="text1"/>
          <w:sz w:val="24"/>
          <w:highlight w:val="none"/>
        </w:rPr>
        <w:t xml:space="preserve">。</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9.2 除技术性能另有规定外，投标文件所使用的度量衡单位，均须采用国家法定计量单位。</w:t>
      </w:r>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75" w:name="_Toc513029215"/>
      <w:r>
        <w:rPr>
          <w:color w:val="000000" w:themeColor="text1"/>
          <w:highlight w:val="none"/>
        </w:rPr>
      </w:r>
      <w:bookmarkStart w:id="76" w:name="_Toc20823287"/>
      <w:r>
        <w:rPr>
          <w:color w:val="000000" w:themeColor="text1"/>
          <w:highlight w:val="none"/>
        </w:rPr>
      </w:r>
      <w:bookmarkStart w:id="77" w:name="_Toc462564074"/>
      <w:r>
        <w:rPr>
          <w:color w:val="000000" w:themeColor="text1"/>
          <w:highlight w:val="none"/>
        </w:rPr>
      </w:r>
      <w:bookmarkStart w:id="78" w:name="_Toc16938531"/>
      <w:r>
        <w:rPr>
          <w:rFonts w:hint="eastAsia" w:ascii="宋体" w:hAnsi="宋体" w:cs="宋体"/>
          <w:b/>
          <w:bCs/>
          <w:color w:val="000000" w:themeColor="text1"/>
          <w:sz w:val="24"/>
          <w:highlight w:val="none"/>
        </w:rPr>
        <w:t xml:space="preserve">10、投标文件构成</w:t>
      </w:r>
      <w:bookmarkEnd w:id="75"/>
      <w:r>
        <w:rPr>
          <w:color w:val="000000" w:themeColor="text1"/>
          <w:highlight w:val="none"/>
        </w:rPr>
      </w:r>
      <w:bookmarkEnd w:id="76"/>
      <w:r>
        <w:rPr>
          <w:color w:val="000000" w:themeColor="text1"/>
          <w:highlight w:val="none"/>
        </w:rPr>
      </w:r>
      <w:bookmarkEnd w:id="77"/>
      <w:r>
        <w:rPr>
          <w:color w:val="000000" w:themeColor="text1"/>
          <w:highlight w:val="none"/>
        </w:rPr>
      </w:r>
      <w:bookmarkEnd w:id="78"/>
      <w:r>
        <w:rPr>
          <w:color w:val="000000" w:themeColor="text1"/>
          <w:highlight w:val="none"/>
        </w:rPr>
      </w:r>
      <w:r/>
    </w:p>
    <w:p>
      <w:pPr>
        <w:pStyle w:val="953"/>
        <w:ind w:firstLine="480"/>
        <w:spacing w:before="161" w:line="360" w:lineRule="auto"/>
        <w:rPr>
          <w:rFonts w:ascii="宋体" w:hAnsi="宋体" w:cs="宋体"/>
          <w:color w:val="000000" w:themeColor="text1"/>
          <w:sz w:val="24"/>
          <w:highlight w:val="none"/>
        </w:rPr>
      </w:pPr>
      <w:r>
        <w:rPr>
          <w:color w:val="000000" w:themeColor="text1"/>
          <w:highlight w:val="none"/>
        </w:rPr>
      </w:r>
      <w:bookmarkStart w:id="79" w:name="_Hlt26670360"/>
      <w:r>
        <w:rPr>
          <w:color w:val="000000" w:themeColor="text1"/>
          <w:highlight w:val="none"/>
        </w:rPr>
      </w:r>
      <w:bookmarkEnd w:id="79"/>
      <w:r>
        <w:rPr>
          <w:color w:val="000000" w:themeColor="text1"/>
          <w:highlight w:val="none"/>
        </w:rPr>
      </w:r>
      <w:bookmarkStart w:id="80" w:name="_Hlt26954838"/>
      <w:r>
        <w:rPr>
          <w:color w:val="000000" w:themeColor="text1"/>
          <w:highlight w:val="none"/>
        </w:rPr>
      </w:r>
      <w:bookmarkEnd w:id="80"/>
      <w:r>
        <w:rPr>
          <w:color w:val="000000" w:themeColor="text1"/>
          <w:highlight w:val="none"/>
        </w:rPr>
      </w:r>
      <w:bookmarkStart w:id="81" w:name="_Hlt26668975"/>
      <w:r>
        <w:rPr>
          <w:color w:val="000000" w:themeColor="text1"/>
          <w:highlight w:val="none"/>
        </w:rPr>
      </w:r>
      <w:bookmarkEnd w:id="81"/>
      <w:r>
        <w:rPr>
          <w:color w:val="000000" w:themeColor="text1"/>
          <w:highlight w:val="none"/>
        </w:rPr>
      </w:r>
      <w:bookmarkStart w:id="82" w:name="_Toc513029219"/>
      <w:r>
        <w:rPr>
          <w:color w:val="000000" w:themeColor="text1"/>
          <w:highlight w:val="none"/>
        </w:rPr>
      </w:r>
      <w:bookmarkStart w:id="83" w:name="_Toc49090509"/>
      <w:r>
        <w:rPr>
          <w:color w:val="000000" w:themeColor="text1"/>
          <w:highlight w:val="none"/>
        </w:rPr>
      </w:r>
      <w:bookmarkStart w:id="84" w:name="_Toc14577357"/>
      <w:r>
        <w:rPr>
          <w:color w:val="000000" w:themeColor="text1"/>
          <w:highlight w:val="none"/>
        </w:rPr>
      </w:r>
      <w:bookmarkStart w:id="85" w:name="_Toc14577354"/>
      <w:r>
        <w:rPr>
          <w:color w:val="000000" w:themeColor="text1"/>
          <w:highlight w:val="none"/>
        </w:rPr>
      </w:r>
      <w:bookmarkStart w:id="86" w:name="_Toc49090507"/>
      <w:r>
        <w:rPr>
          <w:color w:val="000000" w:themeColor="text1"/>
          <w:highlight w:val="none"/>
        </w:rPr>
      </w:r>
      <w:bookmarkStart w:id="87" w:name="_Toc513029216"/>
      <w:r>
        <w:rPr>
          <w:color w:val="000000" w:themeColor="text1"/>
          <w:highlight w:val="none"/>
        </w:rPr>
      </w:r>
      <w:bookmarkStart w:id="88" w:name="_Toc49090508"/>
      <w:r>
        <w:rPr>
          <w:color w:val="000000" w:themeColor="text1"/>
          <w:highlight w:val="none"/>
        </w:rPr>
      </w:r>
      <w:bookmarkStart w:id="89" w:name="_Toc14577355"/>
      <w:r>
        <w:rPr>
          <w:rFonts w:hint="eastAsia" w:ascii="宋体" w:hAnsi="宋体" w:cs="宋体"/>
          <w:color w:val="000000" w:themeColor="text1"/>
          <w:sz w:val="24"/>
          <w:highlight w:val="none"/>
        </w:rPr>
        <w:t xml:space="preserve">10.1 投标人编写的投标文件应包括资格证明文件、符合性证明文件、投标分项报价表、招标要求响应承诺书、其他证明文件、投标函、开标一览表等部分。</w:t>
      </w:r>
      <w:r>
        <w:rPr>
          <w:color w:val="000000" w:themeColor="text1"/>
          <w:highlight w:val="none"/>
        </w:rPr>
      </w:r>
      <w:r/>
    </w:p>
    <w:p>
      <w:pPr>
        <w:pStyle w:val="953"/>
        <w:ind w:firstLine="480"/>
        <w:spacing w:before="161"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10.2 如标书制作工具中格式和内容与“江苏政府采购网”发布的招标文件不一致，请以“江苏政府采购网”发布的招标文件为准。</w:t>
      </w:r>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11、证明投标人及投标标的符合招标文件规定的文件</w:t>
      </w:r>
      <w:bookmarkEnd w:id="82"/>
      <w:r>
        <w:rPr>
          <w:color w:val="000000" w:themeColor="text1"/>
          <w:highlight w:val="none"/>
        </w:rPr>
      </w:r>
      <w:bookmarkEnd w:id="83"/>
      <w:r>
        <w:rPr>
          <w:color w:val="000000" w:themeColor="text1"/>
          <w:highlight w:val="none"/>
        </w:rPr>
      </w:r>
      <w:bookmarkEnd w:id="84"/>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color w:val="000000" w:themeColor="text1"/>
          <w:highlight w:val="none"/>
        </w:rPr>
      </w:r>
      <w:bookmarkEnd w:id="85"/>
      <w:r>
        <w:rPr>
          <w:color w:val="000000" w:themeColor="text1"/>
          <w:highlight w:val="none"/>
        </w:rPr>
      </w:r>
      <w:bookmarkEnd w:id="86"/>
      <w:r>
        <w:rPr>
          <w:color w:val="000000" w:themeColor="text1"/>
          <w:highlight w:val="none"/>
        </w:rPr>
      </w:r>
      <w:bookmarkEnd w:id="87"/>
      <w:r>
        <w:rPr>
          <w:rFonts w:hint="eastAsia" w:ascii="宋体" w:hAnsi="宋体" w:cs="宋体"/>
          <w:color w:val="000000" w:themeColor="text1"/>
          <w:sz w:val="24"/>
          <w:highlight w:val="none"/>
        </w:rPr>
        <w:t xml:space="preserve">11.</w:t>
      </w:r>
      <w:r>
        <w:rPr>
          <w:rFonts w:hint="eastAsia" w:ascii="宋体" w:hAnsi="宋体" w:cs="宋体"/>
          <w:color w:val="000000" w:themeColor="text1"/>
          <w:sz w:val="24"/>
          <w:highlight w:val="none"/>
        </w:rPr>
        <w:t xml:space="preserve">1 投标人应按照招标文件要求提交证明</w:t>
      </w:r>
      <w:r>
        <w:rPr>
          <w:rFonts w:hint="eastAsia" w:ascii="宋体" w:hAnsi="宋体" w:cs="宋体"/>
          <w:color w:val="000000" w:themeColor="text1"/>
          <w:sz w:val="24"/>
          <w:highlight w:val="none"/>
        </w:rPr>
        <w:t xml:space="preserve">文件，证明其及投标标的符合招标文件规定。</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11.2招标文件对证明文件无明确形式要求的，证明文件可以以文字资料、图纸和数据等形式提交。</w:t>
      </w:r>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color w:val="000000" w:themeColor="text1"/>
          <w:highlight w:val="none"/>
        </w:rPr>
      </w:r>
      <w:bookmarkEnd w:id="88"/>
      <w:r>
        <w:rPr>
          <w:color w:val="000000" w:themeColor="text1"/>
          <w:highlight w:val="none"/>
        </w:rPr>
      </w:r>
      <w:bookmarkEnd w:id="89"/>
      <w:r>
        <w:rPr>
          <w:rFonts w:hint="eastAsia" w:ascii="宋体" w:hAnsi="宋体" w:cs="宋体"/>
          <w:b/>
          <w:bCs/>
          <w:color w:val="000000" w:themeColor="text1"/>
          <w:sz w:val="24"/>
          <w:highlight w:val="none"/>
        </w:rPr>
        <w:t xml:space="preserve">12、投标分项报价表</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12.1 投标人应按照招标文件规定格式填报投标分项报价表。</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12.2投标货币。投标文件中的单价和总价无特殊规定的采用人民币报价，以元为单位标注。招标文件中另有规定的按规定执行。</w:t>
      </w:r>
      <w:r>
        <w:rPr>
          <w:color w:val="000000" w:themeColor="text1"/>
          <w:highlight w:val="none"/>
        </w:rPr>
      </w:r>
      <w:r/>
    </w:p>
    <w:p>
      <w:pPr>
        <w:pStyle w:val="953"/>
        <w:ind w:firstLine="482"/>
        <w:spacing w:before="161" w:line="360" w:lineRule="auto"/>
        <w:rPr>
          <w:rFonts w:hint="eastAsia" w:ascii="宋体" w:hAnsi="宋体" w:cs="宋体"/>
          <w:b/>
          <w:bCs/>
          <w:color w:val="000000" w:themeColor="text1"/>
          <w:sz w:val="24"/>
          <w:highlight w:val="none"/>
        </w:rPr>
      </w:pPr>
      <w:r>
        <w:rPr>
          <w:color w:val="000000" w:themeColor="text1"/>
          <w:highlight w:val="none"/>
        </w:rPr>
      </w:r>
      <w:bookmarkStart w:id="90" w:name="_Hlt26954848"/>
      <w:r>
        <w:rPr>
          <w:color w:val="000000" w:themeColor="text1"/>
          <w:highlight w:val="none"/>
        </w:rPr>
      </w:r>
      <w:bookmarkEnd w:id="90"/>
      <w:r>
        <w:rPr>
          <w:color w:val="000000" w:themeColor="text1"/>
          <w:highlight w:val="none"/>
        </w:rPr>
      </w:r>
      <w:bookmarkStart w:id="91" w:name="_Hlt26670486"/>
      <w:r>
        <w:rPr>
          <w:color w:val="000000" w:themeColor="text1"/>
          <w:highlight w:val="none"/>
        </w:rPr>
      </w:r>
      <w:bookmarkEnd w:id="91"/>
      <w:r>
        <w:rPr>
          <w:color w:val="000000" w:themeColor="text1"/>
          <w:highlight w:val="none"/>
        </w:rPr>
      </w:r>
      <w:bookmarkStart w:id="92" w:name="_Hlt26954731"/>
      <w:r>
        <w:rPr>
          <w:color w:val="000000" w:themeColor="text1"/>
          <w:highlight w:val="none"/>
        </w:rPr>
      </w:r>
      <w:bookmarkEnd w:id="92"/>
      <w:r>
        <w:rPr>
          <w:color w:val="000000" w:themeColor="text1"/>
          <w:highlight w:val="none"/>
        </w:rPr>
      </w:r>
      <w:bookmarkStart w:id="93" w:name="_Hlt26954846"/>
      <w:r>
        <w:rPr>
          <w:color w:val="000000" w:themeColor="text1"/>
          <w:highlight w:val="none"/>
        </w:rPr>
      </w:r>
      <w:bookmarkEnd w:id="93"/>
      <w:r>
        <w:rPr>
          <w:color w:val="000000" w:themeColor="text1"/>
          <w:highlight w:val="none"/>
        </w:rPr>
      </w:r>
      <w:bookmarkStart w:id="94" w:name="_Hlt26670482"/>
      <w:r>
        <w:rPr>
          <w:color w:val="000000" w:themeColor="text1"/>
          <w:highlight w:val="none"/>
        </w:rPr>
      </w:r>
      <w:bookmarkEnd w:id="94"/>
      <w:r>
        <w:rPr>
          <w:rFonts w:hint="eastAsia" w:ascii="宋体" w:hAnsi="宋体" w:cs="宋体"/>
          <w:b/>
          <w:bCs/>
          <w:color w:val="000000" w:themeColor="text1"/>
          <w:sz w:val="24"/>
          <w:highlight w:val="none"/>
          <w:lang w:val="zh-CN"/>
        </w:rPr>
        <w:t xml:space="preserve">13、技术要求响应及偏离表、商务要求响应及偏离表</w:t>
      </w:r>
      <w:r>
        <w:rPr>
          <w:color w:val="000000" w:themeColor="text1"/>
          <w:highlight w:val="none"/>
        </w:rPr>
      </w:r>
      <w:r/>
    </w:p>
    <w:p>
      <w:pPr>
        <w:pStyle w:val="953"/>
        <w:ind w:firstLine="480"/>
        <w:spacing w:before="161"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13.1 投标人需对招标文件中的技术要求与商务要求逐项作出响应或偏离，并说明原因。</w:t>
      </w:r>
      <w:r>
        <w:rPr>
          <w:color w:val="000000" w:themeColor="text1"/>
          <w:highlight w:val="none"/>
        </w:rPr>
      </w:r>
      <w:r/>
    </w:p>
    <w:p>
      <w:pPr>
        <w:pStyle w:val="953"/>
        <w:ind w:firstLine="480"/>
        <w:spacing w:before="161"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13.2</w:t>
      </w:r>
      <w:r>
        <w:rPr>
          <w:rFonts w:hint="eastAsia" w:ascii="宋体" w:hAnsi="宋体" w:cs="宋体"/>
          <w:color w:val="000000" w:themeColor="text1"/>
          <w:sz w:val="24"/>
          <w:highlight w:val="none"/>
          <w:lang w:val="zh-CN"/>
        </w:rPr>
        <w:t xml:space="preserve"> 投标人可在投标文件中提供认为需要的</w:t>
      </w:r>
      <w:r>
        <w:rPr>
          <w:rFonts w:hint="eastAsia" w:ascii="宋体" w:hAnsi="宋体" w:cs="宋体"/>
          <w:color w:val="000000" w:themeColor="text1"/>
          <w:sz w:val="24"/>
          <w:highlight w:val="none"/>
          <w:lang w:val="zh-CN"/>
        </w:rPr>
        <w:t xml:space="preserve">其他技术文件或说明。</w:t>
      </w:r>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14、服务承诺、培训计划、人员安排及其他</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14.1 投标人需根据招标文件要求提供有关售后服务的管理制度，售后服务机构的分布情况，售后服务人员的数量、素质、技术水平及售后服务的反应能力等。</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14.2 投标人需根据招标文件要求提供培训计划。</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14.3 投标人需根据招标文件要求提供</w:t>
      </w:r>
      <w:r>
        <w:rPr>
          <w:rFonts w:hint="eastAsia" w:ascii="宋体" w:hAnsi="宋体" w:cs="宋体"/>
          <w:color w:val="000000" w:themeColor="text1"/>
          <w:sz w:val="24"/>
          <w:highlight w:val="none"/>
          <w:lang w:val="zh-CN"/>
        </w:rPr>
        <w:t xml:space="preserve">所投标的的主要组成部分、功能设计、实现思路及关键技术等。</w:t>
      </w:r>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95" w:name="_Toc49090510"/>
      <w:r>
        <w:rPr>
          <w:color w:val="000000" w:themeColor="text1"/>
          <w:highlight w:val="none"/>
        </w:rPr>
      </w:r>
      <w:bookmarkStart w:id="96" w:name="_Toc14577359"/>
      <w:r>
        <w:rPr>
          <w:rFonts w:hint="eastAsia" w:ascii="宋体" w:hAnsi="宋体" w:cs="宋体"/>
          <w:b/>
          <w:bCs/>
          <w:color w:val="000000" w:themeColor="text1"/>
          <w:sz w:val="24"/>
          <w:highlight w:val="none"/>
        </w:rPr>
        <w:t xml:space="preserve">15、投标函和开标一览表</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15.1 投标人应按照招标文件中提供的格式完整、正确填写投标函、开标一览表。</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15.2 对于采</w:t>
      </w:r>
      <w:r>
        <w:rPr>
          <w:rFonts w:hint="eastAsia" w:ascii="宋体" w:hAnsi="宋体" w:cs="宋体"/>
          <w:color w:val="000000" w:themeColor="text1"/>
          <w:sz w:val="24"/>
          <w:highlight w:val="none"/>
        </w:rPr>
        <w:t xml:space="preserve">用货币报价的项目，开标一览表中的投标</w:t>
      </w:r>
      <w:r>
        <w:rPr>
          <w:rFonts w:hint="eastAsia" w:ascii="宋体" w:hAnsi="宋体" w:cs="宋体"/>
          <w:color w:val="000000" w:themeColor="text1"/>
          <w:sz w:val="24"/>
          <w:highlight w:val="none"/>
        </w:rPr>
        <w:t xml:space="preserve">总报价应与投标分项报价表中的投标总报价一致，如不一致，不作为无效投标处理，但评标时按开标一览表中价格为准。</w:t>
      </w:r>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color w:val="000000" w:themeColor="text1"/>
          <w:highlight w:val="none"/>
        </w:rPr>
      </w:r>
      <w:bookmarkEnd w:id="95"/>
      <w:r>
        <w:rPr>
          <w:color w:val="000000" w:themeColor="text1"/>
          <w:highlight w:val="none"/>
        </w:rPr>
      </w:r>
      <w:bookmarkEnd w:id="96"/>
      <w:r>
        <w:rPr>
          <w:color w:val="000000" w:themeColor="text1"/>
          <w:highlight w:val="none"/>
        </w:rPr>
      </w:r>
      <w:bookmarkStart w:id="97" w:name="_Toc49090511"/>
      <w:r>
        <w:rPr>
          <w:color w:val="000000" w:themeColor="text1"/>
          <w:highlight w:val="none"/>
        </w:rPr>
      </w:r>
      <w:bookmarkStart w:id="98" w:name="_Toc14577360"/>
      <w:r>
        <w:rPr>
          <w:rFonts w:hint="eastAsia" w:ascii="宋体" w:hAnsi="宋体" w:cs="宋体"/>
          <w:b/>
          <w:bCs/>
          <w:color w:val="000000" w:themeColor="text1"/>
          <w:sz w:val="24"/>
          <w:highlight w:val="none"/>
        </w:rPr>
        <w:t xml:space="preserve">16、投标有效期</w:t>
      </w:r>
      <w:bookmarkEnd w:id="97"/>
      <w:r>
        <w:rPr>
          <w:color w:val="000000" w:themeColor="text1"/>
          <w:highlight w:val="none"/>
        </w:rPr>
      </w:r>
      <w:bookmarkEnd w:id="98"/>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16.1投标有效期为开标之日后</w:t>
      </w:r>
      <w:r>
        <w:rPr>
          <w:rFonts w:hint="eastAsia" w:ascii="仿宋_GB2312" w:hAnsi="仿宋_GB2312"/>
          <w:b/>
          <w:color w:val="000000" w:themeColor="text1"/>
          <w:sz w:val="24"/>
          <w:szCs w:val="21"/>
          <w:highlight w:val="none"/>
          <w:u w:val="single"/>
        </w:rPr>
        <w:t xml:space="preserve">九十（90）天</w:t>
      </w:r>
      <w:r>
        <w:rPr>
          <w:rFonts w:hint="eastAsia" w:ascii="宋体" w:hAnsi="宋体"/>
          <w:bCs/>
          <w:color w:val="000000" w:themeColor="text1"/>
          <w:sz w:val="24"/>
          <w:szCs w:val="21"/>
          <w:highlight w:val="none"/>
        </w:rPr>
        <w:t xml:space="preserve">。投标有效期比规定短的将被视为未实质性响应招标文件而予以拒绝。</w:t>
      </w:r>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17、投标有效期的延长</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17.1在特殊情况下，</w:t>
      </w:r>
      <w:r>
        <w:rPr>
          <w:rFonts w:hint="eastAsia" w:ascii="宋体" w:hAnsi="宋体"/>
          <w:bCs/>
          <w:color w:val="000000" w:themeColor="text1"/>
          <w:sz w:val="24"/>
          <w:szCs w:val="21"/>
          <w:highlight w:val="none"/>
          <w:u w:val="single"/>
        </w:rPr>
        <w:t xml:space="preserve">采购代理机构</w:t>
      </w:r>
      <w:r>
        <w:rPr>
          <w:rFonts w:hint="eastAsia" w:ascii="宋体" w:hAnsi="宋体"/>
          <w:bCs/>
          <w:color w:val="000000" w:themeColor="text1"/>
          <w:sz w:val="24"/>
          <w:szCs w:val="21"/>
          <w:highlight w:val="none"/>
        </w:rPr>
        <w:t xml:space="preserve">于原投标有效期满之前，可向投标人提出延长投标有效期的要求。这种要求与答复均应采用书面形式。投标人可以拒绝</w:t>
      </w:r>
      <w:r>
        <w:rPr>
          <w:rFonts w:hint="eastAsia" w:ascii="宋体" w:hAnsi="宋体"/>
          <w:bCs/>
          <w:color w:val="000000" w:themeColor="text1"/>
          <w:sz w:val="24"/>
          <w:szCs w:val="21"/>
          <w:highlight w:val="none"/>
          <w:u w:val="single"/>
        </w:rPr>
        <w:t xml:space="preserve">采购代理机构</w:t>
      </w:r>
      <w:r>
        <w:rPr>
          <w:rFonts w:hint="eastAsia" w:ascii="宋体" w:hAnsi="宋体"/>
          <w:bCs/>
          <w:color w:val="000000" w:themeColor="text1"/>
          <w:sz w:val="24"/>
          <w:szCs w:val="21"/>
          <w:highlight w:val="none"/>
        </w:rPr>
        <w:t xml:space="preserve">的这一要求而放弃投标，同意延长投标有效期的投标人既不能要求也不允许修</w:t>
      </w:r>
      <w:r>
        <w:rPr>
          <w:rFonts w:hint="eastAsia" w:ascii="宋体" w:hAnsi="宋体"/>
          <w:bCs/>
          <w:color w:val="000000" w:themeColor="text1"/>
          <w:sz w:val="24"/>
          <w:szCs w:val="21"/>
          <w:highlight w:val="none"/>
        </w:rPr>
        <w:t xml:space="preserve">改其投标文件。</w:t>
      </w:r>
      <w:r>
        <w:rPr>
          <w:rFonts w:hint="eastAsia" w:ascii="宋体" w:hAnsi="宋体"/>
          <w:color w:val="000000" w:themeColor="text1"/>
          <w:sz w:val="24"/>
          <w:highlight w:val="none"/>
        </w:rPr>
        <w:t xml:space="preserve">受投标有</w:t>
      </w:r>
      <w:r>
        <w:rPr>
          <w:rFonts w:hint="eastAsia" w:ascii="宋体" w:hAnsi="宋体"/>
          <w:color w:val="000000" w:themeColor="text1"/>
          <w:sz w:val="24"/>
          <w:highlight w:val="none"/>
        </w:rPr>
        <w:t xml:space="preserve">效期约束的所有权利与义务均延长至新的有效期</w:t>
      </w:r>
      <w:r>
        <w:rPr>
          <w:rFonts w:hint="eastAsia" w:ascii="宋体" w:hAnsi="宋体"/>
          <w:bCs/>
          <w:color w:val="000000" w:themeColor="text1"/>
          <w:sz w:val="24"/>
          <w:szCs w:val="21"/>
          <w:highlight w:val="none"/>
        </w:rPr>
        <w:t xml:space="preserve">。</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ascii="宋体" w:hAnsi="宋体"/>
          <w:bCs/>
          <w:color w:val="000000" w:themeColor="text1"/>
          <w:sz w:val="24"/>
          <w:szCs w:val="21"/>
          <w:highlight w:val="none"/>
        </w:rPr>
      </w:r>
      <w:r>
        <w:rPr>
          <w:color w:val="000000" w:themeColor="text1"/>
          <w:highlight w:val="none"/>
        </w:rPr>
      </w:r>
      <w:r/>
    </w:p>
    <w:p>
      <w:pPr>
        <w:pStyle w:val="953"/>
        <w:spacing w:line="360" w:lineRule="auto"/>
        <w:rPr>
          <w:rFonts w:ascii="宋体" w:hAnsi="宋体" w:cs="宋体"/>
          <w:b/>
          <w:bCs/>
          <w:color w:val="000000" w:themeColor="text1"/>
          <w:sz w:val="24"/>
          <w:highlight w:val="none"/>
        </w:rPr>
        <w:outlineLvl w:val="1"/>
      </w:pPr>
      <w:r>
        <w:rPr>
          <w:color w:val="000000" w:themeColor="text1"/>
          <w:highlight w:val="none"/>
        </w:rPr>
      </w:r>
      <w:bookmarkStart w:id="99" w:name="_Hlt26954739"/>
      <w:r>
        <w:rPr>
          <w:color w:val="000000" w:themeColor="text1"/>
          <w:highlight w:val="none"/>
        </w:rPr>
      </w:r>
      <w:bookmarkEnd w:id="99"/>
      <w:r>
        <w:rPr>
          <w:color w:val="000000" w:themeColor="text1"/>
          <w:highlight w:val="none"/>
        </w:rPr>
      </w:r>
      <w:bookmarkStart w:id="100" w:name="_Hlt26954852"/>
      <w:r>
        <w:rPr>
          <w:color w:val="000000" w:themeColor="text1"/>
          <w:highlight w:val="none"/>
        </w:rPr>
      </w:r>
      <w:bookmarkEnd w:id="100"/>
      <w:r>
        <w:rPr>
          <w:color w:val="000000" w:themeColor="text1"/>
          <w:highlight w:val="none"/>
        </w:rPr>
      </w:r>
      <w:bookmarkStart w:id="101" w:name="_Toc120614217"/>
      <w:r>
        <w:rPr>
          <w:color w:val="000000" w:themeColor="text1"/>
          <w:highlight w:val="none"/>
        </w:rPr>
      </w:r>
      <w:bookmarkStart w:id="102" w:name="_Toc20823296"/>
      <w:r>
        <w:rPr>
          <w:color w:val="000000" w:themeColor="text1"/>
          <w:highlight w:val="none"/>
        </w:rPr>
      </w:r>
      <w:bookmarkStart w:id="103" w:name="_Toc513029224"/>
      <w:r>
        <w:rPr>
          <w:color w:val="000000" w:themeColor="text1"/>
          <w:highlight w:val="none"/>
        </w:rPr>
      </w:r>
      <w:bookmarkStart w:id="104" w:name="_Toc16938540"/>
      <w:r>
        <w:rPr>
          <w:color w:val="000000" w:themeColor="text1"/>
          <w:highlight w:val="none"/>
        </w:rPr>
      </w:r>
      <w:bookmarkStart w:id="105" w:name="_Toc13747"/>
      <w:r>
        <w:rPr>
          <w:rFonts w:hint="eastAsia" w:ascii="宋体" w:hAnsi="宋体" w:cs="宋体"/>
          <w:b/>
          <w:bCs/>
          <w:color w:val="000000" w:themeColor="text1"/>
          <w:sz w:val="24"/>
          <w:highlight w:val="none"/>
        </w:rPr>
        <w:t xml:space="preserve">四、投标文件的递交</w:t>
      </w:r>
      <w:bookmarkEnd w:id="101"/>
      <w:r>
        <w:rPr>
          <w:color w:val="000000" w:themeColor="text1"/>
          <w:highlight w:val="none"/>
        </w:rPr>
      </w:r>
      <w:bookmarkEnd w:id="102"/>
      <w:r>
        <w:rPr>
          <w:color w:val="000000" w:themeColor="text1"/>
          <w:highlight w:val="none"/>
        </w:rPr>
      </w:r>
      <w:bookmarkEnd w:id="103"/>
      <w:r>
        <w:rPr>
          <w:color w:val="000000" w:themeColor="text1"/>
          <w:highlight w:val="none"/>
        </w:rPr>
      </w:r>
      <w:bookmarkEnd w:id="104"/>
      <w:r>
        <w:rPr>
          <w:color w:val="000000" w:themeColor="text1"/>
          <w:highlight w:val="none"/>
        </w:rPr>
      </w:r>
      <w:bookmarkEnd w:id="105"/>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106" w:name="_Toc513029225"/>
      <w:r>
        <w:rPr>
          <w:color w:val="000000" w:themeColor="text1"/>
          <w:highlight w:val="none"/>
        </w:rPr>
      </w:r>
      <w:bookmarkStart w:id="107" w:name="_Toc16938541"/>
      <w:r>
        <w:rPr>
          <w:color w:val="000000" w:themeColor="text1"/>
          <w:highlight w:val="none"/>
        </w:rPr>
      </w:r>
      <w:bookmarkStart w:id="108" w:name="_Toc462564084"/>
      <w:r>
        <w:rPr>
          <w:color w:val="000000" w:themeColor="text1"/>
          <w:highlight w:val="none"/>
        </w:rPr>
      </w:r>
      <w:bookmarkStart w:id="109" w:name="_Toc20823297"/>
      <w:r>
        <w:rPr>
          <w:rFonts w:hint="eastAsia" w:ascii="宋体" w:hAnsi="宋体" w:cs="宋体"/>
          <w:b/>
          <w:bCs/>
          <w:color w:val="000000" w:themeColor="text1"/>
          <w:sz w:val="24"/>
          <w:highlight w:val="none"/>
        </w:rPr>
        <w:t xml:space="preserve">18、电子投标文件</w:t>
      </w:r>
      <w:bookmarkEnd w:id="106"/>
      <w:r>
        <w:rPr>
          <w:color w:val="000000" w:themeColor="text1"/>
          <w:highlight w:val="none"/>
        </w:rPr>
      </w:r>
      <w:bookmarkEnd w:id="107"/>
      <w:r>
        <w:rPr>
          <w:color w:val="000000" w:themeColor="text1"/>
          <w:highlight w:val="none"/>
        </w:rPr>
      </w:r>
      <w:bookmarkEnd w:id="108"/>
      <w:r>
        <w:rPr>
          <w:color w:val="000000" w:themeColor="text1"/>
          <w:highlight w:val="none"/>
        </w:rPr>
      </w:r>
      <w:bookmarkEnd w:id="109"/>
      <w:r>
        <w:rPr>
          <w:rFonts w:hint="eastAsia" w:ascii="宋体" w:hAnsi="宋体" w:cs="宋体"/>
          <w:b/>
          <w:bCs/>
          <w:color w:val="000000" w:themeColor="text1"/>
          <w:sz w:val="24"/>
          <w:highlight w:val="none"/>
        </w:rPr>
        <w:t xml:space="preserve">的递交</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18.1投标人应当按照《操作手册》规定，在投标截止时间前制作并上传电子投标文件。</w:t>
      </w:r>
      <w:bookmarkStart w:id="110" w:name="_Toc513029226"/>
      <w:r>
        <w:rPr>
          <w:color w:val="000000" w:themeColor="text1"/>
          <w:highlight w:val="none"/>
        </w:rPr>
      </w:r>
      <w:bookmarkStart w:id="111" w:name="_Toc20823298"/>
      <w:r>
        <w:rPr>
          <w:color w:val="000000" w:themeColor="text1"/>
          <w:highlight w:val="none"/>
        </w:rPr>
      </w:r>
      <w:bookmarkStart w:id="112" w:name="_Toc16938542"/>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19、投标截止日期</w:t>
      </w:r>
      <w:bookmarkEnd w:id="110"/>
      <w:r>
        <w:rPr>
          <w:color w:val="000000" w:themeColor="text1"/>
          <w:highlight w:val="none"/>
        </w:rPr>
      </w:r>
      <w:bookmarkEnd w:id="111"/>
      <w:r>
        <w:rPr>
          <w:color w:val="000000" w:themeColor="text1"/>
          <w:highlight w:val="none"/>
        </w:rPr>
      </w:r>
      <w:bookmarkEnd w:id="112"/>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19.1 投标人上传电子投标文件的时间不得迟于招标公告中规定的投标截止时间。</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19.2 </w:t>
      </w:r>
      <w:r>
        <w:rPr>
          <w:rFonts w:hint="eastAsia" w:ascii="宋体" w:hAnsi="宋体"/>
          <w:bCs/>
          <w:color w:val="000000" w:themeColor="text1"/>
          <w:sz w:val="24"/>
          <w:szCs w:val="21"/>
          <w:highlight w:val="none"/>
          <w:u w:val="single"/>
        </w:rPr>
        <w:t xml:space="preserve">采购代理机构</w:t>
      </w:r>
      <w:r>
        <w:rPr>
          <w:rFonts w:hint="eastAsia" w:ascii="宋体" w:hAnsi="宋体"/>
          <w:bCs/>
          <w:color w:val="000000" w:themeColor="text1"/>
          <w:sz w:val="24"/>
          <w:szCs w:val="21"/>
          <w:highlight w:val="none"/>
        </w:rPr>
        <w:t xml:space="preserve">可以按照规定，通过修改招标文件酌情延长投</w:t>
      </w:r>
      <w:r>
        <w:rPr>
          <w:rFonts w:hint="eastAsia" w:ascii="宋体" w:hAnsi="宋体"/>
          <w:bCs/>
          <w:color w:val="000000" w:themeColor="text1"/>
          <w:sz w:val="24"/>
          <w:szCs w:val="21"/>
          <w:highlight w:val="none"/>
        </w:rPr>
        <w:t xml:space="preserve">标截止日期，在此情况下，投标人的所有</w:t>
      </w:r>
      <w:r>
        <w:rPr>
          <w:rFonts w:hint="eastAsia" w:ascii="宋体" w:hAnsi="宋体"/>
          <w:bCs/>
          <w:color w:val="000000" w:themeColor="text1"/>
          <w:sz w:val="24"/>
          <w:szCs w:val="21"/>
          <w:highlight w:val="none"/>
        </w:rPr>
        <w:t xml:space="preserve">权利和义务以及投标人受制的截止日期均应以延长后新的截止日期为准。</w:t>
      </w:r>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113" w:name="_Toc20823299"/>
      <w:r>
        <w:rPr>
          <w:color w:val="000000" w:themeColor="text1"/>
          <w:highlight w:val="none"/>
        </w:rPr>
      </w:r>
      <w:bookmarkStart w:id="114" w:name="_Toc16938543"/>
      <w:r>
        <w:rPr>
          <w:color w:val="000000" w:themeColor="text1"/>
          <w:highlight w:val="none"/>
        </w:rPr>
      </w:r>
      <w:bookmarkStart w:id="115" w:name="_Toc513029227"/>
      <w:r>
        <w:rPr>
          <w:rFonts w:hint="eastAsia" w:ascii="宋体" w:hAnsi="宋体" w:cs="宋体"/>
          <w:b/>
          <w:bCs/>
          <w:color w:val="000000" w:themeColor="text1"/>
          <w:sz w:val="24"/>
          <w:highlight w:val="none"/>
        </w:rPr>
        <w:t xml:space="preserve">20、投标文件</w:t>
      </w:r>
      <w:bookmarkEnd w:id="113"/>
      <w:r>
        <w:rPr>
          <w:color w:val="000000" w:themeColor="text1"/>
          <w:highlight w:val="none"/>
        </w:rPr>
      </w:r>
      <w:bookmarkEnd w:id="114"/>
      <w:r>
        <w:rPr>
          <w:color w:val="000000" w:themeColor="text1"/>
          <w:highlight w:val="none"/>
        </w:rPr>
      </w:r>
      <w:bookmarkEnd w:id="115"/>
      <w:r>
        <w:rPr>
          <w:rFonts w:hint="eastAsia" w:ascii="宋体" w:hAnsi="宋体" w:cs="宋体"/>
          <w:b/>
          <w:bCs/>
          <w:color w:val="000000" w:themeColor="text1"/>
          <w:sz w:val="24"/>
          <w:highlight w:val="none"/>
        </w:rPr>
        <w:t xml:space="preserve">的拒收</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20.1 采购代理机构拒绝接收在其规定的投标截止时间后上传的任何投标文件。</w:t>
      </w:r>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116" w:name="_Toc16938544"/>
      <w:r>
        <w:rPr>
          <w:color w:val="000000" w:themeColor="text1"/>
          <w:highlight w:val="none"/>
        </w:rPr>
      </w:r>
      <w:bookmarkStart w:id="117" w:name="_Toc513029228"/>
      <w:r>
        <w:rPr>
          <w:color w:val="000000" w:themeColor="text1"/>
          <w:highlight w:val="none"/>
        </w:rPr>
      </w:r>
      <w:bookmarkStart w:id="118" w:name="_Toc20823300"/>
      <w:r>
        <w:rPr>
          <w:rFonts w:hint="eastAsia" w:ascii="宋体" w:hAnsi="宋体" w:cs="宋体"/>
          <w:b/>
          <w:bCs/>
          <w:color w:val="000000" w:themeColor="text1"/>
          <w:sz w:val="24"/>
          <w:highlight w:val="none"/>
        </w:rPr>
        <w:t xml:space="preserve">21、投标文件的撤回和修改</w:t>
      </w:r>
      <w:bookmarkEnd w:id="116"/>
      <w:r>
        <w:rPr>
          <w:color w:val="000000" w:themeColor="text1"/>
          <w:highlight w:val="none"/>
        </w:rPr>
      </w:r>
      <w:bookmarkEnd w:id="117"/>
      <w:r>
        <w:rPr>
          <w:color w:val="000000" w:themeColor="text1"/>
          <w:highlight w:val="none"/>
        </w:rPr>
      </w:r>
      <w:bookmarkEnd w:id="118"/>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21.1 投标文件的撤回</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21.1.1 电子投标文件的撤回</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投标人可在投标截止时间前，撤回其电子投标文件，具体操作方法见《操作手册》。</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21.1.2 投标人撤回电子投标文件，则认为其不再参与本项目投标活动。</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21.2 投标文件的修改</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21.2.1投标人可在投标截止时间前，对其电子投标</w:t>
      </w:r>
      <w:r>
        <w:rPr>
          <w:rFonts w:hint="eastAsia" w:ascii="宋体" w:hAnsi="宋体"/>
          <w:bCs/>
          <w:color w:val="000000" w:themeColor="text1"/>
          <w:sz w:val="24"/>
          <w:szCs w:val="21"/>
          <w:highlight w:val="none"/>
        </w:rPr>
        <w:t xml:space="preserve">文件进行修改，具体操作方法见《操作手</w:t>
      </w:r>
      <w:r>
        <w:rPr>
          <w:rFonts w:hint="eastAsia" w:ascii="宋体" w:hAnsi="宋体"/>
          <w:bCs/>
          <w:color w:val="000000" w:themeColor="text1"/>
          <w:sz w:val="24"/>
          <w:szCs w:val="21"/>
          <w:highlight w:val="none"/>
        </w:rPr>
        <w:t xml:space="preserve">册》。</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21.2.2 在投标截止时间之后，投标人不得对其电子投标文件作任何修改。</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21.3 在投标截止时间至招标文件中规定的投标有效期满之间的这段时间内，投标人不得撤回其投标。</w:t>
      </w:r>
      <w:r>
        <w:rPr>
          <w:color w:val="000000" w:themeColor="text1"/>
          <w:highlight w:val="none"/>
        </w:rPr>
      </w:r>
      <w:r/>
    </w:p>
    <w:p>
      <w:pPr>
        <w:pStyle w:val="953"/>
        <w:spacing w:line="360" w:lineRule="auto"/>
        <w:rPr>
          <w:rFonts w:ascii="宋体" w:hAnsi="宋体" w:cs="宋体"/>
          <w:b/>
          <w:bCs/>
          <w:color w:val="000000" w:themeColor="text1"/>
          <w:sz w:val="24"/>
          <w:highlight w:val="none"/>
        </w:rPr>
      </w:pPr>
      <w:r>
        <w:rPr>
          <w:color w:val="000000" w:themeColor="text1"/>
          <w:highlight w:val="none"/>
        </w:rPr>
      </w:r>
      <w:bookmarkStart w:id="119" w:name="_Toc16938545"/>
      <w:r>
        <w:rPr>
          <w:color w:val="000000" w:themeColor="text1"/>
          <w:highlight w:val="none"/>
        </w:rPr>
      </w:r>
      <w:bookmarkStart w:id="120" w:name="_Toc120614218"/>
      <w:r>
        <w:rPr>
          <w:color w:val="000000" w:themeColor="text1"/>
          <w:highlight w:val="none"/>
        </w:rPr>
      </w:r>
      <w:bookmarkStart w:id="121" w:name="_Toc513029229"/>
      <w:r>
        <w:rPr>
          <w:color w:val="000000" w:themeColor="text1"/>
          <w:highlight w:val="none"/>
        </w:rPr>
      </w:r>
      <w:bookmarkStart w:id="122" w:name="_Toc20823301"/>
      <w:r>
        <w:rPr>
          <w:color w:val="000000" w:themeColor="text1"/>
          <w:highlight w:val="none"/>
        </w:rPr>
      </w:r>
      <w:r/>
    </w:p>
    <w:p>
      <w:pPr>
        <w:pStyle w:val="953"/>
        <w:spacing w:line="360" w:lineRule="auto"/>
        <w:rPr>
          <w:rFonts w:ascii="宋体" w:hAnsi="宋体" w:cs="宋体"/>
          <w:b/>
          <w:bCs/>
          <w:color w:val="000000" w:themeColor="text1"/>
          <w:sz w:val="24"/>
          <w:highlight w:val="none"/>
        </w:rPr>
        <w:outlineLvl w:val="1"/>
      </w:pPr>
      <w:r>
        <w:rPr>
          <w:color w:val="000000" w:themeColor="text1"/>
          <w:highlight w:val="none"/>
        </w:rPr>
      </w:r>
      <w:bookmarkStart w:id="123" w:name="_Toc27778"/>
      <w:r>
        <w:rPr>
          <w:rFonts w:hint="eastAsia" w:ascii="宋体" w:hAnsi="宋体" w:cs="宋体"/>
          <w:b/>
          <w:bCs/>
          <w:color w:val="000000" w:themeColor="text1"/>
          <w:sz w:val="24"/>
          <w:highlight w:val="none"/>
        </w:rPr>
        <w:t xml:space="preserve">五、开标与评标</w:t>
      </w:r>
      <w:bookmarkEnd w:id="119"/>
      <w:r>
        <w:rPr>
          <w:color w:val="000000" w:themeColor="text1"/>
          <w:highlight w:val="none"/>
        </w:rPr>
      </w:r>
      <w:bookmarkEnd w:id="120"/>
      <w:r>
        <w:rPr>
          <w:color w:val="000000" w:themeColor="text1"/>
          <w:highlight w:val="none"/>
        </w:rPr>
      </w:r>
      <w:bookmarkEnd w:id="121"/>
      <w:r>
        <w:rPr>
          <w:color w:val="000000" w:themeColor="text1"/>
          <w:highlight w:val="none"/>
        </w:rPr>
      </w:r>
      <w:bookmarkEnd w:id="122"/>
      <w:r>
        <w:rPr>
          <w:color w:val="000000" w:themeColor="text1"/>
          <w:highlight w:val="none"/>
        </w:rPr>
      </w:r>
      <w:bookmarkEnd w:id="123"/>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124" w:name="_Toc20823302"/>
      <w:r>
        <w:rPr>
          <w:color w:val="000000" w:themeColor="text1"/>
          <w:highlight w:val="none"/>
        </w:rPr>
      </w:r>
      <w:bookmarkStart w:id="125" w:name="_Toc16938546"/>
      <w:r>
        <w:rPr>
          <w:color w:val="000000" w:themeColor="text1"/>
          <w:highlight w:val="none"/>
        </w:rPr>
      </w:r>
      <w:bookmarkStart w:id="126" w:name="_Toc513029230"/>
      <w:r>
        <w:rPr>
          <w:rFonts w:hint="eastAsia" w:ascii="宋体" w:hAnsi="宋体" w:cs="宋体"/>
          <w:b/>
          <w:bCs/>
          <w:color w:val="000000" w:themeColor="text1"/>
          <w:sz w:val="24"/>
          <w:highlight w:val="none"/>
        </w:rPr>
        <w:t xml:space="preserve">22、开标</w:t>
      </w:r>
      <w:bookmarkEnd w:id="124"/>
      <w:r>
        <w:rPr>
          <w:color w:val="000000" w:themeColor="text1"/>
          <w:highlight w:val="none"/>
        </w:rPr>
      </w:r>
      <w:bookmarkEnd w:id="125"/>
      <w:r>
        <w:rPr>
          <w:color w:val="000000" w:themeColor="text1"/>
          <w:highlight w:val="none"/>
        </w:rPr>
      </w:r>
      <w:bookmarkEnd w:id="126"/>
      <w:r>
        <w:rPr>
          <w:color w:val="000000" w:themeColor="text1"/>
          <w:highlight w:val="none"/>
        </w:rPr>
      </w:r>
      <w:r/>
    </w:p>
    <w:p>
      <w:pPr>
        <w:pStyle w:val="953"/>
        <w:ind w:firstLine="480"/>
        <w:spacing w:line="360" w:lineRule="auto"/>
        <w:rPr>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.1</w:t>
      </w:r>
      <w:r>
        <w:rPr>
          <w:rFonts w:hint="eastAsia" w:ascii="宋体" w:hAnsi="宋体"/>
          <w:bCs/>
          <w:color w:val="000000" w:themeColor="text1"/>
          <w:sz w:val="24"/>
          <w:highlight w:val="none"/>
        </w:rPr>
        <w:t xml:space="preserve"> 采购代理机构将在招标公告中规定的时间和地点组织公开开标</w:t>
      </w:r>
      <w:r>
        <w:rPr>
          <w:rFonts w:hint="eastAsia" w:ascii="宋体" w:hAnsi="宋体"/>
          <w:color w:val="000000" w:themeColor="text1"/>
          <w:sz w:val="24"/>
          <w:highlight w:val="none"/>
        </w:rPr>
        <w:t xml:space="preserve">。投标人应当按照《操作手册》规定，</w:t>
      </w:r>
      <w:r>
        <w:rPr>
          <w:rFonts w:ascii="宋体" w:hAnsi="宋体"/>
          <w:color w:val="000000" w:themeColor="text1"/>
          <w:sz w:val="24"/>
          <w:highlight w:val="none"/>
        </w:rPr>
        <w:t xml:space="preserve">参加开标活动</w:t>
      </w:r>
      <w:r>
        <w:rPr>
          <w:rFonts w:hint="eastAsia" w:ascii="宋体" w:hAnsi="宋体"/>
          <w:color w:val="000000" w:themeColor="text1"/>
          <w:sz w:val="24"/>
          <w:highlight w:val="none"/>
        </w:rPr>
        <w:t xml:space="preserve">和在</w:t>
      </w:r>
      <w:r>
        <w:rPr>
          <w:rFonts w:hint="eastAsia" w:ascii="宋体" w:hAnsi="宋体"/>
          <w:color w:val="000000" w:themeColor="text1"/>
          <w:sz w:val="24"/>
          <w:highlight w:val="none"/>
        </w:rPr>
        <w:t xml:space="preserve">苏采云系统</w:t>
      </w:r>
      <w:r>
        <w:rPr>
          <w:rFonts w:hint="eastAsia" w:ascii="宋体" w:hAnsi="宋体"/>
          <w:color w:val="000000" w:themeColor="text1"/>
          <w:sz w:val="24"/>
          <w:highlight w:val="none"/>
        </w:rPr>
        <w:t xml:space="preserve">规定的时间内对投标文件进行解密。</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hint="eastAsia" w:ascii="宋体" w:hAnsi="宋体"/>
          <w:bCs/>
          <w:color w:val="000000" w:themeColor="text1"/>
          <w:sz w:val="24"/>
          <w:highlight w:val="none"/>
        </w:rPr>
        <w:t xml:space="preserve">2</w:t>
      </w:r>
      <w:r>
        <w:rPr>
          <w:rFonts w:ascii="宋体" w:hAnsi="宋体"/>
          <w:bCs/>
          <w:color w:val="000000" w:themeColor="text1"/>
          <w:sz w:val="24"/>
          <w:highlight w:val="none"/>
        </w:rPr>
        <w:t xml:space="preserve">2</w:t>
      </w:r>
      <w:r>
        <w:rPr>
          <w:rFonts w:hint="eastAsia" w:ascii="宋体" w:hAnsi="宋体"/>
          <w:bCs/>
          <w:color w:val="000000" w:themeColor="text1"/>
          <w:sz w:val="24"/>
          <w:highlight w:val="none"/>
        </w:rPr>
        <w:t xml:space="preserve">.2 </w:t>
      </w:r>
      <w:r>
        <w:rPr>
          <w:rFonts w:hint="eastAsia" w:ascii="宋体" w:hAnsi="宋体"/>
          <w:color w:val="000000" w:themeColor="text1"/>
          <w:sz w:val="24"/>
          <w:highlight w:val="none"/>
        </w:rPr>
        <w:t xml:space="preserve">开标仪式由采购代理机构组织。</w:t>
      </w:r>
      <w:r>
        <w:rPr>
          <w:rFonts w:hint="eastAsia" w:ascii="宋体" w:hAnsi="宋体"/>
          <w:color w:val="000000" w:themeColor="text1"/>
          <w:sz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w:t>
      </w:r>
      <w:r>
        <w:rPr>
          <w:rFonts w:hint="eastAsia" w:ascii="宋体" w:hAnsi="宋体"/>
          <w:color w:val="000000" w:themeColor="text1"/>
          <w:sz w:val="24"/>
          <w:highlight w:val="none"/>
        </w:rPr>
        <w:t xml:space="preserve">并宣布各投标人名称和投标价格。</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hint="eastAsia" w:ascii="宋体" w:hAnsi="宋体"/>
          <w:bCs/>
          <w:color w:val="000000" w:themeColor="text1"/>
          <w:sz w:val="24"/>
          <w:highlight w:val="none"/>
        </w:rPr>
        <w:t xml:space="preserve">2</w:t>
      </w:r>
      <w:r>
        <w:rPr>
          <w:rFonts w:ascii="宋体" w:hAnsi="宋体"/>
          <w:bCs/>
          <w:color w:val="000000" w:themeColor="text1"/>
          <w:sz w:val="24"/>
          <w:highlight w:val="none"/>
        </w:rPr>
        <w:t xml:space="preserve">2</w:t>
      </w:r>
      <w:r>
        <w:rPr>
          <w:rFonts w:hint="eastAsia" w:ascii="宋体" w:hAnsi="宋体"/>
          <w:bCs/>
          <w:color w:val="000000" w:themeColor="text1"/>
          <w:sz w:val="24"/>
          <w:highlight w:val="none"/>
        </w:rPr>
        <w:t xml:space="preserve">.3</w:t>
      </w:r>
      <w:r>
        <w:rPr>
          <w:rFonts w:hint="eastAsia" w:ascii="宋体" w:hAnsi="宋体"/>
          <w:bCs/>
          <w:color w:val="000000" w:themeColor="text1"/>
          <w:sz w:val="24"/>
          <w:highlight w:val="none"/>
        </w:rPr>
        <w:t xml:space="preserve"> 投标人在开标过程中涉及到的投标文件</w:t>
      </w:r>
      <w:r>
        <w:rPr>
          <w:rFonts w:hint="eastAsia" w:ascii="宋体" w:hAnsi="宋体"/>
          <w:bCs/>
          <w:color w:val="000000" w:themeColor="text1"/>
          <w:sz w:val="24"/>
          <w:highlight w:val="none"/>
        </w:rPr>
        <w:t xml:space="preserve">解密、开标结果确认等工作，应按照《操作手册》规定执行。</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.4 投标人如果对开标过程和开标记录有疑义，应当根据《操作手册》规定提出，如 </w:t>
      </w:r>
      <w:r>
        <w:rPr>
          <w:rFonts w:hint="eastAsia" w:ascii="宋体" w:hAnsi="宋体"/>
          <w:color w:val="000000" w:themeColor="text1"/>
          <w:sz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127" w:name="_Toc16938547"/>
      <w:r>
        <w:rPr>
          <w:color w:val="000000" w:themeColor="text1"/>
          <w:highlight w:val="none"/>
        </w:rPr>
      </w:r>
      <w:bookmarkStart w:id="128" w:name="_Toc513029231"/>
      <w:r>
        <w:rPr>
          <w:color w:val="000000" w:themeColor="text1"/>
          <w:highlight w:val="none"/>
        </w:rPr>
      </w:r>
      <w:bookmarkStart w:id="129" w:name="_Toc20823303"/>
      <w:r>
        <w:rPr>
          <w:rFonts w:hint="eastAsia" w:ascii="宋体" w:hAnsi="宋体" w:cs="宋体"/>
          <w:b/>
          <w:bCs/>
          <w:color w:val="000000" w:themeColor="text1"/>
          <w:sz w:val="24"/>
          <w:highlight w:val="none"/>
        </w:rPr>
        <w:t xml:space="preserve">23、评标委员会</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.1</w:t>
      </w:r>
      <w:r>
        <w:rPr>
          <w:rFonts w:hint="eastAsia" w:ascii="宋体" w:hAnsi="宋体"/>
          <w:b/>
          <w:color w:val="000000" w:themeColor="text1"/>
          <w:sz w:val="24"/>
          <w:highlight w:val="none"/>
        </w:rPr>
        <w:t xml:space="preserve"> </w:t>
      </w:r>
      <w:r>
        <w:rPr>
          <w:rFonts w:hint="eastAsia" w:ascii="宋体" w:hAnsi="宋体"/>
          <w:color w:val="000000" w:themeColor="text1"/>
          <w:sz w:val="24"/>
          <w:highlight w:val="none"/>
        </w:rPr>
        <w:t xml:space="preserve">开标后，采购代理机构将立即组织评标委员会（以下简称评委会）进行评标。</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.2 评委会由采购人代表和有关技术、经济等方面的专家组成，且人员构成符合政府采购有关规定。</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.3评委会独立工作，负责评审所有投标文件并确定中标候选人。</w:t>
      </w:r>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24．评标</w:t>
      </w:r>
      <w:r>
        <w:rPr>
          <w:rFonts w:hint="eastAsia" w:ascii="宋体" w:hAnsi="宋体" w:cs="宋体"/>
          <w:b/>
          <w:bCs/>
          <w:color w:val="000000" w:themeColor="text1"/>
          <w:sz w:val="24"/>
          <w:highlight w:val="none"/>
        </w:rPr>
        <w:t xml:space="preserve">过程的保密与公正</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color w:val="000000" w:themeColor="text1"/>
          <w:highlight w:val="none"/>
        </w:rPr>
      </w:r>
      <w:bookmarkEnd w:id="127"/>
      <w:r>
        <w:rPr>
          <w:color w:val="000000" w:themeColor="text1"/>
          <w:highlight w:val="none"/>
        </w:rPr>
      </w:r>
      <w:bookmarkEnd w:id="128"/>
      <w:r>
        <w:rPr>
          <w:color w:val="000000" w:themeColor="text1"/>
          <w:highlight w:val="none"/>
        </w:rPr>
      </w:r>
      <w:bookmarkEnd w:id="129"/>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4</w:t>
      </w:r>
      <w:r>
        <w:rPr>
          <w:rFonts w:hint="eastAsia" w:ascii="宋体" w:hAnsi="宋体"/>
          <w:color w:val="000000" w:themeColor="text1"/>
          <w:sz w:val="24"/>
          <w:szCs w:val="21"/>
          <w:highlight w:val="none"/>
        </w:rPr>
        <w:t xml:space="preserve">.1 </w:t>
      </w:r>
      <w:r>
        <w:rPr>
          <w:rFonts w:hint="eastAsia" w:ascii="宋体" w:hAnsi="宋体"/>
          <w:bCs/>
          <w:color w:val="000000" w:themeColor="text1"/>
          <w:sz w:val="24"/>
          <w:szCs w:val="21"/>
          <w:highlight w:val="none"/>
        </w:rPr>
        <w:t xml:space="preserve">凡是与审查、澄清、评价和比较投标的有关资料以及授标建议等，采购人、评委、采购代理机构均不得向投标人或与评标无关的其他人员透露。</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4</w:t>
      </w:r>
      <w:r>
        <w:rPr>
          <w:rFonts w:hint="eastAsia" w:ascii="宋体" w:hAnsi="宋体"/>
          <w:color w:val="000000" w:themeColor="text1"/>
          <w:sz w:val="24"/>
          <w:szCs w:val="21"/>
          <w:highlight w:val="none"/>
        </w:rPr>
        <w:t xml:space="preserve">.2 </w:t>
      </w:r>
      <w:r>
        <w:rPr>
          <w:rFonts w:hint="eastAsia" w:ascii="宋体" w:hAnsi="宋体"/>
          <w:color w:val="000000" w:themeColor="text1"/>
          <w:sz w:val="24"/>
          <w:highlight w:val="none"/>
        </w:rPr>
        <w:t xml:space="preserve">在评标过程中，投标人不得以任何行为影响评标过程，否则其投标文件将被作为无效投标文件。</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24</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 采购代理机构和评标委员会不向未中标的投标人解释未中标原因，也不公布评标过程中的相关细节。</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4</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4</w:t>
      </w:r>
      <w:r>
        <w:rPr>
          <w:rFonts w:hint="eastAsia" w:ascii="宋体" w:hAnsi="宋体"/>
          <w:color w:val="000000" w:themeColor="text1"/>
          <w:sz w:val="24"/>
          <w:highlight w:val="none"/>
        </w:rPr>
        <w:t xml:space="preserve"> 采用综合评分法的项目，未中标的投标人可于中标结果公告期限届满之日起通过</w:t>
      </w:r>
      <w:r>
        <w:rPr>
          <w:rFonts w:hint="eastAsia" w:ascii="宋体" w:hAnsi="宋体"/>
          <w:color w:val="000000" w:themeColor="text1"/>
          <w:sz w:val="24"/>
          <w:highlight w:val="none"/>
        </w:rPr>
        <w:t xml:space="preserve">苏采云系统</w:t>
      </w:r>
      <w:r>
        <w:rPr>
          <w:rFonts w:hint="eastAsia" w:ascii="宋体" w:hAnsi="宋体"/>
          <w:color w:val="000000" w:themeColor="text1"/>
          <w:sz w:val="24"/>
          <w:highlight w:val="none"/>
        </w:rPr>
        <w:t xml:space="preserve">查看自己的评审得分及排序情况。</w:t>
      </w:r>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130" w:name="_Toc513029232"/>
      <w:r>
        <w:rPr>
          <w:color w:val="000000" w:themeColor="text1"/>
          <w:highlight w:val="none"/>
        </w:rPr>
      </w:r>
      <w:bookmarkStart w:id="131" w:name="_Toc20823304"/>
      <w:r>
        <w:rPr>
          <w:color w:val="000000" w:themeColor="text1"/>
          <w:highlight w:val="none"/>
        </w:rPr>
      </w:r>
      <w:bookmarkStart w:id="132" w:name="_Toc16938548"/>
      <w:r>
        <w:rPr>
          <w:rFonts w:hint="eastAsia" w:ascii="宋体" w:hAnsi="宋体" w:cs="宋体"/>
          <w:b/>
          <w:bCs/>
          <w:color w:val="000000" w:themeColor="text1"/>
          <w:sz w:val="24"/>
          <w:highlight w:val="none"/>
        </w:rPr>
        <w:t xml:space="preserve">25．投标文件的澄清</w:t>
      </w:r>
      <w:bookmarkEnd w:id="130"/>
      <w:r>
        <w:rPr>
          <w:color w:val="000000" w:themeColor="text1"/>
          <w:highlight w:val="none"/>
        </w:rPr>
      </w:r>
      <w:bookmarkEnd w:id="131"/>
      <w:r>
        <w:rPr>
          <w:color w:val="000000" w:themeColor="text1"/>
          <w:highlight w:val="none"/>
        </w:rPr>
      </w:r>
      <w:bookmarkEnd w:id="132"/>
      <w:r>
        <w:rPr>
          <w:color w:val="000000" w:themeColor="text1"/>
          <w:highlight w:val="none"/>
        </w:rPr>
      </w:r>
      <w:r/>
    </w:p>
    <w:p>
      <w:pPr>
        <w:pStyle w:val="953"/>
        <w:ind w:firstLine="480"/>
        <w:spacing w:line="360" w:lineRule="auto"/>
        <w:rPr>
          <w:rFonts w:ascii="宋体" w:hAnsi="宋体"/>
          <w:color w:val="000000" w:themeColor="text1"/>
          <w:sz w:val="24"/>
          <w:highlight w:val="none"/>
        </w:rPr>
      </w:pPr>
      <w:r>
        <w:rPr>
          <w:color w:val="000000" w:themeColor="text1"/>
          <w:highlight w:val="none"/>
        </w:rPr>
      </w:r>
      <w:bookmarkStart w:id="133" w:name="_Toc20823305"/>
      <w:r>
        <w:rPr>
          <w:color w:val="000000" w:themeColor="text1"/>
          <w:highlight w:val="none"/>
        </w:rPr>
      </w:r>
      <w:bookmarkStart w:id="134" w:name="_Toc16938549"/>
      <w:r>
        <w:rPr>
          <w:color w:val="000000" w:themeColor="text1"/>
          <w:highlight w:val="none"/>
        </w:rPr>
      </w:r>
      <w:bookmarkStart w:id="135" w:name="_Toc513029233"/>
      <w:r>
        <w:rPr>
          <w:rFonts w:ascii="宋体" w:hAnsi="宋体"/>
          <w:color w:val="000000" w:themeColor="text1"/>
          <w:sz w:val="24"/>
          <w:highlight w:val="none"/>
        </w:rPr>
        <w:t xml:space="preserve">25</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评标期间</w:t>
      </w:r>
      <w:r>
        <w:rPr>
          <w:rFonts w:hint="eastAsia" w:ascii="宋体" w:hAnsi="宋体"/>
          <w:color w:val="000000" w:themeColor="text1"/>
          <w:sz w:val="24"/>
          <w:highlight w:val="none"/>
        </w:rPr>
        <w:t xml:space="preserve">，评委会对投标文件中含义不明确、同类</w:t>
      </w:r>
      <w:r>
        <w:rPr>
          <w:rFonts w:hint="eastAsia" w:ascii="宋体" w:hAnsi="宋体"/>
          <w:color w:val="000000" w:themeColor="text1"/>
          <w:sz w:val="24"/>
          <w:highlight w:val="none"/>
        </w:rPr>
        <w:t xml:space="preserve">问题表述不一致或者有明显文字和计算错误的内容</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，有权要求投标人作出必要的澄清、说明或者补正。</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投标人的澄清、说明或者补正不得超出投标文件的范围或者改变投标文件的实质性内容。</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评标</w:t>
      </w:r>
      <w:r>
        <w:rPr>
          <w:rFonts w:ascii="宋体" w:hAnsi="宋体"/>
          <w:color w:val="000000" w:themeColor="text1"/>
          <w:sz w:val="24"/>
          <w:highlight w:val="none"/>
        </w:rPr>
        <w:t xml:space="preserve">委员会并非对每个投标人都做澄清要求</w:t>
      </w:r>
      <w:r>
        <w:rPr>
          <w:rFonts w:hint="eastAsia" w:ascii="宋体" w:hAnsi="宋体"/>
          <w:color w:val="000000" w:themeColor="text1"/>
          <w:sz w:val="24"/>
          <w:highlight w:val="none"/>
        </w:rPr>
        <w:t xml:space="preserve">。</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.2需要供应商进行澄清、说明和补正的，评委会将通过</w:t>
      </w:r>
      <w:r>
        <w:rPr>
          <w:rFonts w:hint="eastAsia" w:ascii="宋体" w:hAnsi="宋体"/>
          <w:color w:val="000000" w:themeColor="text1"/>
          <w:sz w:val="24"/>
          <w:highlight w:val="none"/>
        </w:rPr>
        <w:t xml:space="preserve">苏采云系统</w:t>
      </w:r>
      <w:r>
        <w:rPr>
          <w:rFonts w:hint="eastAsia" w:ascii="宋体" w:hAnsi="宋体"/>
          <w:color w:val="000000" w:themeColor="text1"/>
          <w:sz w:val="24"/>
          <w:highlight w:val="none"/>
        </w:rPr>
        <w:t xml:space="preserve">向供应商发出“澄清要求函”，接到“澄清要求函”的投标人应当按照要求在</w:t>
      </w:r>
      <w:r>
        <w:rPr>
          <w:rFonts w:hint="eastAsia" w:ascii="宋体" w:hAnsi="宋体"/>
          <w:color w:val="000000" w:themeColor="text1"/>
          <w:sz w:val="24"/>
          <w:highlight w:val="none"/>
        </w:rPr>
        <w:t xml:space="preserve">苏采云系统</w:t>
      </w:r>
      <w:r>
        <w:rPr>
          <w:rFonts w:hint="eastAsia" w:ascii="宋体" w:hAnsi="宋体"/>
          <w:color w:val="000000" w:themeColor="text1"/>
          <w:sz w:val="24"/>
          <w:highlight w:val="none"/>
        </w:rPr>
        <w:t xml:space="preserve">中提交“澄清响应函”并加盖CA电子公章。澄清、说明和补正的内容作为投标文件的补充部分，具体操作方式见《操作手册》。</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 接到评委会澄清、说明和补正</w:t>
      </w:r>
      <w:r>
        <w:rPr>
          <w:rFonts w:hint="eastAsia" w:ascii="宋体" w:hAnsi="宋体"/>
          <w:color w:val="000000" w:themeColor="text1"/>
          <w:sz w:val="24"/>
          <w:highlight w:val="none"/>
        </w:rPr>
        <w:t xml:space="preserve">要求的投标人如未按规定做出澄清、说明和补正，其风险由投标人自行承担。</w:t>
      </w:r>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26、对投标文件的初审</w:t>
      </w:r>
      <w:bookmarkEnd w:id="133"/>
      <w:r>
        <w:rPr>
          <w:color w:val="000000" w:themeColor="text1"/>
          <w:highlight w:val="none"/>
        </w:rPr>
      </w:r>
      <w:bookmarkEnd w:id="134"/>
      <w:r>
        <w:rPr>
          <w:color w:val="000000" w:themeColor="text1"/>
          <w:highlight w:val="none"/>
        </w:rPr>
      </w:r>
      <w:bookmarkEnd w:id="135"/>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.1 </w:t>
      </w:r>
      <w:r>
        <w:rPr>
          <w:rFonts w:hint="eastAsia" w:ascii="宋体" w:hAnsi="宋体"/>
          <w:bCs/>
          <w:color w:val="000000" w:themeColor="text1"/>
          <w:sz w:val="24"/>
          <w:szCs w:val="21"/>
          <w:highlight w:val="none"/>
        </w:rPr>
        <w:t xml:space="preserve">投标文件初审分为资格审查和符合性审查。</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6</w:t>
      </w:r>
      <w:r>
        <w:rPr>
          <w:rFonts w:hint="eastAsia" w:ascii="宋体" w:hAnsi="宋体"/>
          <w:bCs/>
          <w:color w:val="000000" w:themeColor="text1"/>
          <w:sz w:val="24"/>
          <w:szCs w:val="21"/>
          <w:highlight w:val="none"/>
        </w:rPr>
        <w:t xml:space="preserve">.1.1 资格审查：依据法律法规和招标文件的规定，由采购人对投标文件中的资格证明文件进行审查。资格审查的结论，采购人以书面形式向评委会进行反馈。</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采购人在进行资格性审查的同时，将在“信用中国”网站（www.creditchina.gov.cn）查询投标人的信用记录，以确定投标人是否具备投标资格,查询结果留存并归档。</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接受联合体的</w:t>
      </w:r>
      <w:r>
        <w:rPr>
          <w:rFonts w:hint="eastAsia" w:ascii="宋体" w:hAnsi="宋体"/>
          <w:bCs/>
          <w:color w:val="000000" w:themeColor="text1"/>
          <w:sz w:val="24"/>
          <w:szCs w:val="21"/>
          <w:highlight w:val="none"/>
        </w:rPr>
        <w:t xml:space="preserve">项目，两个以上的自然人、法人或者其他</w:t>
      </w:r>
      <w:r>
        <w:rPr>
          <w:rFonts w:hint="eastAsia" w:ascii="宋体" w:hAnsi="宋体"/>
          <w:bCs/>
          <w:color w:val="000000" w:themeColor="text1"/>
          <w:sz w:val="24"/>
          <w:szCs w:val="21"/>
          <w:highlight w:val="none"/>
        </w:rPr>
        <w:t xml:space="preserve">组织组成一个联合体，以一个供应商的身份共同参加政府采购活动的,联合体成员中任何一方存在不良信用记录的，视同联合体存在不良应用记录。</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6</w:t>
      </w:r>
      <w:r>
        <w:rPr>
          <w:rFonts w:hint="eastAsia" w:ascii="宋体" w:hAnsi="宋体"/>
          <w:bCs/>
          <w:color w:val="000000" w:themeColor="text1"/>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6</w:t>
      </w:r>
      <w:r>
        <w:rPr>
          <w:rFonts w:hint="eastAsia" w:ascii="宋体" w:hAnsi="宋体"/>
          <w:bCs/>
          <w:color w:val="000000" w:themeColor="text1"/>
          <w:sz w:val="24"/>
          <w:szCs w:val="21"/>
          <w:highlight w:val="none"/>
        </w:rPr>
        <w:t xml:space="preserve">.1.3 未通过资格审查或符合性审查的投标人，采购代理机构将在</w:t>
      </w:r>
      <w:r>
        <w:rPr>
          <w:rFonts w:hint="eastAsia" w:ascii="宋体" w:hAnsi="宋体"/>
          <w:color w:val="000000" w:themeColor="text1"/>
          <w:sz w:val="24"/>
          <w:highlight w:val="none"/>
        </w:rPr>
        <w:t xml:space="preserve">苏采云系统</w:t>
      </w:r>
      <w:r>
        <w:rPr>
          <w:rFonts w:hint="eastAsia" w:ascii="宋体" w:hAnsi="宋体"/>
          <w:bCs/>
          <w:color w:val="000000" w:themeColor="text1"/>
          <w:sz w:val="24"/>
          <w:szCs w:val="21"/>
          <w:highlight w:val="none"/>
        </w:rPr>
        <w:t xml:space="preserve">中告知未通过资格审查或符合性审查的原因，评审结束后，采购代理机构将不再告知未通过资格审查或符合性审查的原因。</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.2</w:t>
      </w:r>
      <w:r>
        <w:rPr>
          <w:rFonts w:hint="eastAsia" w:ascii="宋体" w:hAnsi="宋体"/>
          <w:color w:val="000000" w:themeColor="text1"/>
          <w:sz w:val="24"/>
          <w:highlight w:val="none"/>
        </w:rPr>
        <w:t xml:space="preserve">在详细评标之前，评委会将</w:t>
      </w:r>
      <w:r>
        <w:rPr>
          <w:rFonts w:hint="eastAsia" w:ascii="宋体" w:hAnsi="宋体"/>
          <w:color w:val="000000" w:themeColor="text1"/>
          <w:sz w:val="24"/>
          <w:highlight w:val="none"/>
        </w:rPr>
        <w:t xml:space="preserve">首先审查每份投标文件是否实质性响应了招标文件的要求。实质性响应的投标应该是与招标文件要求的全部条款、条件和规格相符，没有重大偏离或保留的投标。</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themeColor="text1"/>
          <w:sz w:val="24"/>
          <w:szCs w:val="21"/>
          <w:highlight w:val="none"/>
        </w:rPr>
        <w:t xml:space="preserve">评委决定投标文件的响应性只根据投标文件本身的内容，而不寻求</w:t>
      </w:r>
      <w:r>
        <w:rPr>
          <w:rFonts w:hint="eastAsia" w:ascii="宋体" w:hAnsi="宋体"/>
          <w:bCs/>
          <w:color w:val="000000" w:themeColor="text1"/>
          <w:sz w:val="24"/>
          <w:szCs w:val="21"/>
          <w:highlight w:val="none"/>
        </w:rPr>
        <w:t xml:space="preserve">外部的证据。</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.3</w:t>
      </w:r>
      <w:r>
        <w:rPr>
          <w:rFonts w:hint="eastAsia" w:ascii="宋体" w:hAnsi="宋体"/>
          <w:bCs/>
          <w:color w:val="000000" w:themeColor="text1"/>
          <w:sz w:val="24"/>
          <w:szCs w:val="21"/>
          <w:highlight w:val="none"/>
        </w:rPr>
        <w:t xml:space="preserve">如果投标文件实质上没有响应招标文件的要求，评委会将予以拒绝，投标人不得通过修改或撤销不合要求的偏离或保留而使其投标成为实质性响应的投标。</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.4</w:t>
      </w:r>
      <w:r>
        <w:rPr>
          <w:rFonts w:hint="eastAsia" w:ascii="宋体" w:hAnsi="宋体"/>
          <w:bCs/>
          <w:color w:val="000000" w:themeColor="text1"/>
          <w:sz w:val="24"/>
          <w:szCs w:val="21"/>
          <w:highlight w:val="none"/>
        </w:rPr>
        <w:t xml:space="preserve">评委会将对确定为实质性响应的投标进行进一步审核，看其是否有计算上或累加上的算术错误，修正错误的原则如下：</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（1）投标文件中开标一览表内容与投标文件中相应内容不一致的，以开标一览表为准。</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（2）大写金额和小写金额不一致的，以大写金额为准。</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（3）单价金额小数点或者百分比有明显错位的，以开标一览表的总价为准，并修改单价。</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（4）总价金额与按单价汇</w:t>
      </w:r>
      <w:r>
        <w:rPr>
          <w:rFonts w:hint="eastAsia" w:ascii="宋体" w:hAnsi="宋体"/>
          <w:bCs/>
          <w:color w:val="000000" w:themeColor="text1"/>
          <w:sz w:val="24"/>
          <w:szCs w:val="21"/>
          <w:highlight w:val="none"/>
        </w:rPr>
        <w:t xml:space="preserve">总金额不一致的，以单价金额计算结果为</w:t>
      </w:r>
      <w:r>
        <w:rPr>
          <w:rFonts w:hint="eastAsia" w:ascii="宋体" w:hAnsi="宋体"/>
          <w:bCs/>
          <w:color w:val="000000" w:themeColor="text1"/>
          <w:sz w:val="24"/>
          <w:szCs w:val="21"/>
          <w:highlight w:val="none"/>
        </w:rPr>
        <w:t xml:space="preserve">准。</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同时出现两种以上错误的，按照前款规定的顺序修正。</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.5</w:t>
      </w:r>
      <w:r>
        <w:rPr>
          <w:rFonts w:hint="eastAsia" w:ascii="宋体" w:hAnsi="宋体"/>
          <w:bCs/>
          <w:color w:val="000000" w:themeColor="text1"/>
          <w:sz w:val="24"/>
          <w:szCs w:val="21"/>
          <w:highlight w:val="none"/>
        </w:rPr>
        <w:t xml:space="preserve">评委会将按上述修正错误的方法调整投标文件中的投标报价，并</w:t>
      </w:r>
      <w:r>
        <w:rPr>
          <w:rFonts w:ascii="宋体" w:hAnsi="宋体"/>
          <w:bCs/>
          <w:color w:val="000000" w:themeColor="text1"/>
          <w:sz w:val="24"/>
          <w:szCs w:val="21"/>
          <w:highlight w:val="none"/>
        </w:rPr>
        <w:t xml:space="preserve">通过</w:t>
      </w:r>
      <w:r>
        <w:rPr>
          <w:rFonts w:hint="eastAsia" w:ascii="宋体" w:hAnsi="宋体"/>
          <w:color w:val="000000" w:themeColor="text1"/>
          <w:sz w:val="24"/>
          <w:highlight w:val="none"/>
        </w:rPr>
        <w:t xml:space="preserve">苏采云系统</w:t>
      </w:r>
      <w:r>
        <w:rPr>
          <w:rFonts w:hint="eastAsia" w:ascii="宋体" w:hAnsi="宋体"/>
          <w:bCs/>
          <w:color w:val="000000" w:themeColor="text1"/>
          <w:sz w:val="24"/>
          <w:szCs w:val="21"/>
          <w:highlight w:val="none"/>
        </w:rPr>
        <w:t xml:space="preserve">告知</w:t>
      </w:r>
      <w:r>
        <w:rPr>
          <w:rFonts w:ascii="宋体" w:hAnsi="宋体"/>
          <w:bCs/>
          <w:color w:val="000000" w:themeColor="text1"/>
          <w:sz w:val="24"/>
          <w:szCs w:val="21"/>
          <w:highlight w:val="none"/>
        </w:rPr>
        <w:t xml:space="preserve">投标人，</w:t>
      </w:r>
      <w:r>
        <w:rPr>
          <w:rFonts w:hint="eastAsia" w:ascii="宋体" w:hAnsi="宋体"/>
          <w:bCs/>
          <w:color w:val="000000" w:themeColor="text1"/>
          <w:sz w:val="24"/>
          <w:szCs w:val="21"/>
          <w:highlight w:val="none"/>
        </w:rPr>
        <w:t xml:space="preserve">调整后的价格应对投标人具有约束力。如果投标人不接受修正后的价格，则其投标将被拒绝。</w:t>
      </w:r>
      <w:r>
        <w:rPr>
          <w:color w:val="000000" w:themeColor="text1"/>
          <w:highlight w:val="none"/>
        </w:rPr>
      </w:r>
      <w:r/>
    </w:p>
    <w:p>
      <w:pPr>
        <w:pStyle w:val="953"/>
        <w:ind w:firstLine="480"/>
        <w:spacing w:line="360" w:lineRule="auto"/>
        <w:rPr>
          <w:rFonts w:ascii="宋体" w:hAnsi="宋体"/>
          <w:color w:val="000000" w:themeColor="text1"/>
          <w:sz w:val="24"/>
          <w:szCs w:val="21"/>
          <w:highlight w:val="none"/>
        </w:rPr>
      </w:pPr>
      <w:r>
        <w:rPr>
          <w:color w:val="000000" w:themeColor="text1"/>
          <w:highlight w:val="none"/>
        </w:rPr>
      </w:r>
      <w:bookmarkStart w:id="136" w:name="_Toc16938550"/>
      <w:r>
        <w:rPr>
          <w:color w:val="000000" w:themeColor="text1"/>
          <w:highlight w:val="none"/>
        </w:rPr>
      </w:r>
      <w:bookmarkStart w:id="137" w:name="_Toc20823306"/>
      <w:r>
        <w:rPr>
          <w:color w:val="000000" w:themeColor="text1"/>
          <w:highlight w:val="none"/>
        </w:rPr>
      </w:r>
      <w:bookmarkStart w:id="138" w:name="_Toc513029234"/>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.6</w:t>
      </w:r>
      <w:r>
        <w:rPr>
          <w:rFonts w:ascii="宋体" w:hAnsi="宋体"/>
          <w:color w:val="000000" w:themeColor="text1"/>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highlight w:val="none"/>
        </w:rPr>
        <w:t xml:space="preserve">按照招标文件规定的方式（招标文件未规定的通过</w:t>
      </w:r>
      <w:r>
        <w:rPr>
          <w:rFonts w:ascii="宋体" w:hAnsi="宋体"/>
          <w:color w:val="000000" w:themeColor="text1"/>
          <w:sz w:val="24"/>
          <w:szCs w:val="21"/>
          <w:highlight w:val="none"/>
        </w:rPr>
        <w:t xml:space="preserve">随机抽取</w:t>
      </w:r>
      <w:r>
        <w:rPr>
          <w:rFonts w:hint="eastAsia" w:ascii="宋体" w:hAnsi="宋体"/>
          <w:color w:val="000000" w:themeColor="text1"/>
          <w:sz w:val="24"/>
          <w:szCs w:val="21"/>
          <w:highlight w:val="none"/>
        </w:rPr>
        <w:t xml:space="preserve">的</w:t>
      </w:r>
      <w:r>
        <w:rPr>
          <w:rFonts w:ascii="宋体" w:hAnsi="宋体"/>
          <w:color w:val="000000" w:themeColor="text1"/>
          <w:sz w:val="24"/>
          <w:szCs w:val="21"/>
          <w:highlight w:val="none"/>
        </w:rPr>
        <w:t xml:space="preserve">方式</w:t>
      </w:r>
      <w:r>
        <w:rPr>
          <w:rFonts w:hint="eastAsia" w:ascii="宋体" w:hAnsi="宋体"/>
          <w:color w:val="000000" w:themeColor="text1"/>
          <w:sz w:val="24"/>
          <w:szCs w:val="21"/>
          <w:highlight w:val="none"/>
        </w:rPr>
        <w:t xml:space="preserve">）</w:t>
      </w:r>
      <w:r>
        <w:rPr>
          <w:rFonts w:ascii="宋体" w:hAnsi="宋体"/>
          <w:color w:val="000000" w:themeColor="text1"/>
          <w:sz w:val="24"/>
          <w:szCs w:val="21"/>
          <w:highlight w:val="none"/>
        </w:rPr>
        <w:t xml:space="preserve">确定一个参加评标的投标</w:t>
      </w:r>
      <w:r>
        <w:rPr>
          <w:rFonts w:ascii="宋体" w:hAnsi="宋体"/>
          <w:color w:val="000000" w:themeColor="text1"/>
          <w:sz w:val="24"/>
          <w:szCs w:val="21"/>
          <w:highlight w:val="none"/>
        </w:rPr>
        <w:t xml:space="preserve">人，其他投标无效。</w:t>
      </w:r>
      <w:r>
        <w:rPr>
          <w:color w:val="000000" w:themeColor="text1"/>
          <w:highlight w:val="none"/>
        </w:rPr>
      </w:r>
      <w:r/>
    </w:p>
    <w:p>
      <w:pPr>
        <w:pStyle w:val="953"/>
        <w:ind w:firstLine="480"/>
        <w:spacing w:line="360" w:lineRule="auto"/>
        <w:rPr>
          <w:rFonts w:ascii="宋体" w:hAnsi="宋体"/>
          <w:color w:val="000000" w:themeColor="text1"/>
          <w:sz w:val="24"/>
          <w:szCs w:val="21"/>
          <w:highlight w:val="none"/>
        </w:rPr>
      </w:pPr>
      <w:r>
        <w:rPr>
          <w:rFonts w:ascii="宋体" w:hAnsi="宋体"/>
          <w:color w:val="000000" w:themeColor="text1"/>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1"/>
          <w:highlight w:val="none"/>
        </w:rPr>
        <w:t xml:space="preserve">根据招标文件规定的方式（招标文件未规定的采取随机抽取的方式）</w:t>
      </w:r>
      <w:r>
        <w:rPr>
          <w:rFonts w:ascii="宋体" w:hAnsi="宋体"/>
          <w:color w:val="000000" w:themeColor="text1"/>
          <w:sz w:val="24"/>
          <w:szCs w:val="21"/>
          <w:highlight w:val="none"/>
        </w:rPr>
        <w:t xml:space="preserve">确定</w:t>
      </w:r>
      <w:r>
        <w:rPr>
          <w:rFonts w:hint="eastAsia" w:ascii="宋体" w:hAnsi="宋体"/>
          <w:color w:val="000000" w:themeColor="text1"/>
          <w:sz w:val="24"/>
          <w:szCs w:val="21"/>
          <w:highlight w:val="none"/>
        </w:rPr>
        <w:t xml:space="preserve">一个中标候选人</w:t>
      </w:r>
      <w:r>
        <w:rPr>
          <w:rFonts w:ascii="宋体" w:hAnsi="宋体"/>
          <w:color w:val="000000" w:themeColor="text1"/>
          <w:sz w:val="24"/>
          <w:szCs w:val="21"/>
          <w:highlight w:val="none"/>
        </w:rPr>
        <w:t xml:space="preserve">，其他同品牌投标人不作为中标候选人。</w:t>
      </w:r>
      <w:r>
        <w:rPr>
          <w:color w:val="000000" w:themeColor="text1"/>
          <w:highlight w:val="none"/>
        </w:rPr>
      </w:r>
      <w:r/>
    </w:p>
    <w:p>
      <w:pPr>
        <w:pStyle w:val="953"/>
        <w:ind w:firstLine="480"/>
        <w:spacing w:line="360" w:lineRule="auto"/>
        <w:rPr>
          <w:rFonts w:ascii="宋体" w:hAnsi="宋体"/>
          <w:color w:val="000000" w:themeColor="text1"/>
          <w:sz w:val="24"/>
          <w:szCs w:val="21"/>
          <w:highlight w:val="none"/>
        </w:rPr>
      </w:pPr>
      <w:r>
        <w:rPr>
          <w:rFonts w:ascii="宋体" w:hAnsi="宋体"/>
          <w:color w:val="000000" w:themeColor="text1"/>
          <w:sz w:val="24"/>
          <w:szCs w:val="21"/>
          <w:highlight w:val="none"/>
        </w:rPr>
        <w:t xml:space="preserve">非单一产品采购项目，招标文件中</w:t>
      </w:r>
      <w:r>
        <w:rPr>
          <w:rFonts w:hint="eastAsia" w:ascii="宋体" w:hAnsi="宋体"/>
          <w:color w:val="000000" w:themeColor="text1"/>
          <w:sz w:val="24"/>
          <w:szCs w:val="21"/>
          <w:highlight w:val="none"/>
        </w:rPr>
        <w:t xml:space="preserve">将载明其中的核心产品</w:t>
      </w:r>
      <w:r>
        <w:rPr>
          <w:rFonts w:ascii="宋体" w:hAnsi="宋体"/>
          <w:color w:val="000000" w:themeColor="text1"/>
          <w:sz w:val="24"/>
          <w:szCs w:val="21"/>
          <w:highlight w:val="none"/>
        </w:rPr>
        <w:t xml:space="preserve">。多家投标人提供的核心产品品牌相同的，按前两款规定处理。</w:t>
      </w:r>
      <w:r>
        <w:rPr>
          <w:color w:val="000000" w:themeColor="text1"/>
          <w:highlight w:val="none"/>
        </w:rPr>
      </w:r>
      <w:r/>
    </w:p>
    <w:p>
      <w:pPr>
        <w:pStyle w:val="953"/>
        <w:ind w:firstLine="480"/>
        <w:spacing w:line="360" w:lineRule="auto"/>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.7投标人在开、评标全过程中应保持通讯畅通，及时登录</w:t>
      </w:r>
      <w:r>
        <w:rPr>
          <w:rFonts w:hint="eastAsia" w:ascii="宋体" w:hAnsi="宋体"/>
          <w:color w:val="000000" w:themeColor="text1"/>
          <w:sz w:val="24"/>
          <w:highlight w:val="none"/>
        </w:rPr>
        <w:t xml:space="preserve">苏采云系统</w:t>
      </w:r>
      <w:r>
        <w:rPr>
          <w:rFonts w:hint="eastAsia" w:ascii="宋体" w:hAnsi="宋体"/>
          <w:color w:val="000000" w:themeColor="text1"/>
          <w:sz w:val="24"/>
          <w:szCs w:val="21"/>
          <w:highlight w:val="none"/>
        </w:rPr>
        <w:t xml:space="preserve">查阅</w:t>
      </w:r>
      <w:r>
        <w:rPr>
          <w:rFonts w:ascii="宋体" w:hAnsi="宋体"/>
          <w:color w:val="000000" w:themeColor="text1"/>
          <w:sz w:val="24"/>
          <w:szCs w:val="21"/>
          <w:highlight w:val="none"/>
        </w:rPr>
        <w:t xml:space="preserve">、答复相关</w:t>
      </w:r>
      <w:r>
        <w:rPr>
          <w:rFonts w:hint="eastAsia" w:ascii="宋体" w:hAnsi="宋体"/>
          <w:color w:val="000000" w:themeColor="text1"/>
          <w:sz w:val="24"/>
          <w:szCs w:val="21"/>
          <w:highlight w:val="none"/>
        </w:rPr>
        <w:t xml:space="preserve">信息</w:t>
      </w:r>
      <w:r>
        <w:rPr>
          <w:rFonts w:ascii="宋体" w:hAnsi="宋体"/>
          <w:color w:val="000000" w:themeColor="text1"/>
          <w:sz w:val="24"/>
          <w:szCs w:val="21"/>
          <w:highlight w:val="none"/>
        </w:rPr>
        <w:t xml:space="preserve">，</w:t>
      </w:r>
      <w:r>
        <w:rPr>
          <w:rFonts w:hint="eastAsia" w:ascii="宋体" w:hAnsi="宋体"/>
          <w:color w:val="000000" w:themeColor="text1"/>
          <w:sz w:val="24"/>
          <w:szCs w:val="21"/>
          <w:highlight w:val="none"/>
        </w:rPr>
        <w:t xml:space="preserve">并安</w:t>
      </w:r>
      <w:r>
        <w:rPr>
          <w:rFonts w:hint="eastAsia" w:ascii="宋体" w:hAnsi="宋体"/>
          <w:color w:val="000000" w:themeColor="text1"/>
          <w:sz w:val="24"/>
          <w:szCs w:val="21"/>
          <w:highlight w:val="none"/>
        </w:rPr>
        <w:t xml:space="preserve">排专人与采购代理机构及评标委员会联系。</w:t>
      </w:r>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27、</w:t>
      </w:r>
      <w:bookmarkEnd w:id="136"/>
      <w:r>
        <w:rPr>
          <w:color w:val="000000" w:themeColor="text1"/>
          <w:highlight w:val="none"/>
        </w:rPr>
      </w:r>
      <w:bookmarkEnd w:id="137"/>
      <w:r>
        <w:rPr>
          <w:color w:val="000000" w:themeColor="text1"/>
          <w:highlight w:val="none"/>
        </w:rPr>
      </w:r>
      <w:bookmarkEnd w:id="138"/>
      <w:r>
        <w:rPr>
          <w:rFonts w:hint="eastAsia" w:ascii="宋体" w:hAnsi="宋体" w:cs="宋体"/>
          <w:b/>
          <w:bCs/>
          <w:color w:val="000000" w:themeColor="text1"/>
          <w:sz w:val="24"/>
          <w:highlight w:val="none"/>
        </w:rPr>
        <w:t xml:space="preserve">无效投标条款和废标条款</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color w:val="000000" w:themeColor="text1"/>
          <w:highlight w:val="none"/>
        </w:rPr>
      </w:r>
      <w:bookmarkStart w:id="139" w:name="_Toc16938551"/>
      <w:r>
        <w:rPr>
          <w:color w:val="000000" w:themeColor="text1"/>
          <w:highlight w:val="none"/>
        </w:rPr>
      </w:r>
      <w:bookmarkStart w:id="140" w:name="_Toc513029235"/>
      <w:r>
        <w:rPr>
          <w:color w:val="000000" w:themeColor="text1"/>
          <w:highlight w:val="none"/>
        </w:rPr>
      </w:r>
      <w:bookmarkStart w:id="141" w:name="_Toc20823307"/>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 无效投标条款</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.1.1 投标人在</w:t>
      </w:r>
      <w:r>
        <w:rPr>
          <w:rFonts w:hint="eastAsia" w:ascii="宋体" w:hAnsi="宋体"/>
          <w:color w:val="000000" w:themeColor="text1"/>
          <w:sz w:val="24"/>
          <w:highlight w:val="none"/>
        </w:rPr>
        <w:t xml:space="preserve">苏采云系统</w:t>
      </w:r>
      <w:r>
        <w:rPr>
          <w:rFonts w:hint="eastAsia" w:ascii="宋体" w:hAnsi="宋体"/>
          <w:bCs/>
          <w:color w:val="000000" w:themeColor="text1"/>
          <w:sz w:val="24"/>
          <w:szCs w:val="21"/>
          <w:highlight w:val="none"/>
        </w:rPr>
        <w:t xml:space="preserve">规定的时间内未成功解密电子投标文件的。</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2</w:t>
      </w:r>
      <w:r>
        <w:rPr>
          <w:rFonts w:hint="eastAsia" w:ascii="宋体" w:hAnsi="宋体"/>
          <w:bCs/>
          <w:color w:val="000000" w:themeColor="text1"/>
          <w:sz w:val="24"/>
          <w:szCs w:val="21"/>
          <w:highlight w:val="none"/>
        </w:rPr>
        <w:t xml:space="preserve"> 投标人未按照招标文件要求上传电子投标文件的。</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3</w:t>
      </w:r>
      <w:r>
        <w:rPr>
          <w:rFonts w:hint="eastAsia" w:ascii="宋体" w:hAnsi="宋体"/>
          <w:bCs/>
          <w:color w:val="000000" w:themeColor="text1"/>
          <w:sz w:val="24"/>
          <w:szCs w:val="21"/>
          <w:highlight w:val="none"/>
        </w:rPr>
        <w:t xml:space="preserve"> 同一投标人提交两个</w:t>
      </w:r>
      <w:r>
        <w:rPr>
          <w:rFonts w:ascii="宋体" w:hAnsi="宋体"/>
          <w:bCs/>
          <w:color w:val="000000" w:themeColor="text1"/>
          <w:sz w:val="24"/>
          <w:szCs w:val="21"/>
          <w:highlight w:val="none"/>
        </w:rPr>
        <w:t xml:space="preserve">（</w:t>
      </w:r>
      <w:r>
        <w:rPr>
          <w:rFonts w:hint="eastAsia" w:ascii="宋体" w:hAnsi="宋体"/>
          <w:bCs/>
          <w:color w:val="000000" w:themeColor="text1"/>
          <w:sz w:val="24"/>
          <w:szCs w:val="21"/>
          <w:highlight w:val="none"/>
        </w:rPr>
        <w:t xml:space="preserve">含</w:t>
      </w:r>
      <w:r>
        <w:rPr>
          <w:rFonts w:ascii="宋体" w:hAnsi="宋体"/>
          <w:bCs/>
          <w:color w:val="000000" w:themeColor="text1"/>
          <w:sz w:val="24"/>
          <w:szCs w:val="21"/>
          <w:highlight w:val="none"/>
        </w:rPr>
        <w:t xml:space="preserve">两个）</w:t>
      </w:r>
      <w:r>
        <w:rPr>
          <w:rFonts w:hint="eastAsia" w:ascii="宋体" w:hAnsi="宋体"/>
          <w:bCs/>
          <w:color w:val="000000" w:themeColor="text1"/>
          <w:sz w:val="24"/>
          <w:szCs w:val="21"/>
          <w:highlight w:val="none"/>
        </w:rPr>
        <w:t xml:space="preserve">以上不同的</w:t>
      </w:r>
      <w:r>
        <w:rPr>
          <w:rFonts w:ascii="宋体" w:hAnsi="宋体"/>
          <w:bCs/>
          <w:color w:val="000000" w:themeColor="text1"/>
          <w:sz w:val="24"/>
          <w:szCs w:val="21"/>
          <w:highlight w:val="none"/>
        </w:rPr>
        <w:t xml:space="preserve">投标报价的。</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4</w:t>
      </w:r>
      <w:r>
        <w:rPr>
          <w:rFonts w:hint="eastAsia" w:ascii="宋体" w:hAnsi="宋体"/>
          <w:bCs/>
          <w:color w:val="000000" w:themeColor="text1"/>
          <w:sz w:val="24"/>
          <w:szCs w:val="21"/>
          <w:highlight w:val="none"/>
        </w:rPr>
        <w:t xml:space="preserve"> 投标人不具备招标文件中规定资格要求的。</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5</w:t>
      </w:r>
      <w:r>
        <w:rPr>
          <w:rFonts w:hint="eastAsia" w:ascii="宋体" w:hAnsi="宋体"/>
          <w:bCs/>
          <w:color w:val="000000" w:themeColor="text1"/>
          <w:sz w:val="24"/>
          <w:szCs w:val="21"/>
          <w:highlight w:val="none"/>
        </w:rPr>
        <w:t xml:space="preserve"> 投标人的报价超过了采购预算或最高限价的。</w:t>
      </w:r>
      <w:r>
        <w:rPr>
          <w:color w:val="000000" w:themeColor="text1"/>
          <w:highlight w:val="none"/>
        </w:rPr>
      </w:r>
      <w:r/>
    </w:p>
    <w:p>
      <w:pPr>
        <w:pStyle w:val="953"/>
        <w:ind w:firstLine="480"/>
        <w:spacing w:line="360" w:lineRule="auto"/>
        <w:rPr>
          <w:rFonts w:ascii="宋体" w:hAnsi="宋体"/>
          <w:bCs/>
          <w:i/>
          <w:color w:val="000000" w:themeColor="text1"/>
          <w:sz w:val="24"/>
          <w:szCs w:val="21"/>
          <w:highlight w:val="none"/>
          <w:u w:val="singl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6</w:t>
      </w:r>
      <w:r>
        <w:rPr>
          <w:rFonts w:hint="eastAsia" w:ascii="宋体" w:hAnsi="宋体"/>
          <w:bCs/>
          <w:color w:val="000000" w:themeColor="text1"/>
          <w:sz w:val="24"/>
          <w:szCs w:val="21"/>
          <w:highlight w:val="none"/>
        </w:rPr>
        <w:t xml:space="preserve"> 未通过符合性审查的。</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不符合招标文件中规定的实质性要求和条件的。</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8</w:t>
      </w:r>
      <w:r>
        <w:rPr>
          <w:rFonts w:hint="eastAsia" w:ascii="宋体" w:hAnsi="宋体"/>
          <w:bCs/>
          <w:color w:val="000000" w:themeColor="text1"/>
          <w:sz w:val="24"/>
          <w:szCs w:val="21"/>
          <w:highlight w:val="none"/>
        </w:rPr>
        <w:t xml:space="preserve"> 在“信</w:t>
      </w:r>
      <w:r>
        <w:rPr>
          <w:rFonts w:hint="eastAsia" w:ascii="宋体" w:hAnsi="宋体"/>
          <w:bCs/>
          <w:color w:val="000000" w:themeColor="text1"/>
          <w:sz w:val="24"/>
          <w:szCs w:val="21"/>
          <w:highlight w:val="none"/>
        </w:rPr>
        <w:t xml:space="preserve">用中国”网站（www.creditchina.gov.cn）查询，被列入失信被执行人、重大税收违法失信主体、“中国政府采购网”网站查询政府采购严重失信行为记录名单及其他不符合《中华人民共和国政府采购法》第二十二条规定条件的信用记录。（投标文件中无需提供证明材料）。</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9</w:t>
      </w:r>
      <w:r>
        <w:rPr>
          <w:rFonts w:hint="eastAsia" w:ascii="宋体" w:hAnsi="宋体"/>
          <w:bCs/>
          <w:color w:val="000000" w:themeColor="text1"/>
          <w:sz w:val="24"/>
          <w:szCs w:val="21"/>
          <w:highlight w:val="none"/>
        </w:rPr>
        <w:t xml:space="preserve"> 投标文件含有采购人不能接受的附加条件的。</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27.1.10评审过程中出现下列情形之一的，评审委员会应当启动异常低价投标（响应）审查程序：</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（1）投标（响应）报价低于全部通过符合性审查供应商投标（响应）报价平均值6</w:t>
      </w:r>
      <w:r>
        <w:rPr>
          <w:rFonts w:hint="eastAsia" w:ascii="宋体" w:hAnsi="宋体"/>
          <w:bCs/>
          <w:color w:val="000000" w:themeColor="text1"/>
          <w:sz w:val="24"/>
          <w:szCs w:val="21"/>
          <w:highlight w:val="none"/>
        </w:rPr>
        <w:t xml:space="preserve">5%的，即投标（响应）报价＜全部通过</w:t>
      </w:r>
      <w:r>
        <w:rPr>
          <w:rFonts w:hint="eastAsia" w:ascii="宋体" w:hAnsi="宋体"/>
          <w:bCs/>
          <w:color w:val="000000" w:themeColor="text1"/>
          <w:sz w:val="24"/>
          <w:szCs w:val="21"/>
          <w:highlight w:val="none"/>
        </w:rPr>
        <w:t xml:space="preserve">符合性审查供应商投标（响应）报价平均值×65%；</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（2）投标（响应）报价低于通过符合性审查的次低报价供应商投标（响应）报价65%的，即投标（响应）报价＜通过符合性审查的次低报价供应商投标（响应）报价×65%；</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（3）投标（响应）报价低于采购项目最高限价65%%的，即投标（响应）报价＜采购项目最高限价×65%；</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（4）评审委员会基于专业判断，认为供应商报价过低，有可能影响产品质量或者不能诚信履约的其他情形。</w:t>
      </w:r>
      <w:r>
        <w:rPr>
          <w:color w:val="000000" w:themeColor="text1"/>
          <w:highlight w:val="none"/>
        </w:rPr>
      </w:r>
      <w:r/>
    </w:p>
    <w:p>
      <w:pPr>
        <w:pStyle w:val="953"/>
        <w:ind w:firstLine="480"/>
        <w:spacing w:line="360" w:lineRule="auto"/>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启动异常低价投标（响应）审查后，评审委员会应当通过苏采云系统要求相</w:t>
      </w:r>
      <w:r>
        <w:rPr>
          <w:rFonts w:hint="eastAsia" w:ascii="宋体" w:hAnsi="宋体"/>
          <w:bCs/>
          <w:color w:val="000000" w:themeColor="text1"/>
          <w:sz w:val="24"/>
          <w:szCs w:val="21"/>
          <w:highlight w:val="none"/>
        </w:rPr>
        <w:t xml:space="preserve">关供应商在评标现场合理的时间内（自澄</w:t>
      </w:r>
      <w:r>
        <w:rPr>
          <w:rFonts w:hint="eastAsia" w:ascii="宋体" w:hAnsi="宋体"/>
          <w:bCs/>
          <w:color w:val="000000" w:themeColor="text1"/>
          <w:sz w:val="24"/>
          <w:szCs w:val="21"/>
          <w:highlight w:val="none"/>
        </w:rPr>
        <w:t xml:space="preserve">清发布后30分钟，投标人应关注苏采云系统，及时在规定时间内作出回复。回复超出时间视为未提供有效书面说明、证明材料），在政府采购管理交易系统（苏采云）中提供具体成本测算等与报价合理性相关的书面说明及必要的证明材料，包括但不限于原材料成本、人工成本、服务业绩案例、制造费用等与报价合理性相关的书面说明及相关证明材料，对投标（响应）价格作出解释，其中，属于第3项情形，供应商已随投标（响应）文件一并提交相关书面说明及必要的证明材料的，在评审现场可不再重复提交。评审委员将会参考同类项</w:t>
      </w:r>
      <w:r>
        <w:rPr>
          <w:rFonts w:hint="eastAsia" w:ascii="宋体" w:hAnsi="宋体"/>
          <w:bCs/>
          <w:color w:val="000000" w:themeColor="text1"/>
          <w:sz w:val="24"/>
          <w:szCs w:val="21"/>
          <w:highlight w:val="none"/>
        </w:rPr>
        <w:t xml:space="preserve">目中标（成交）价格、类似产品市场价格</w:t>
      </w:r>
      <w:r>
        <w:rPr>
          <w:rFonts w:hint="eastAsia" w:ascii="宋体" w:hAnsi="宋体"/>
          <w:bCs/>
          <w:color w:val="000000" w:themeColor="text1"/>
          <w:sz w:val="24"/>
          <w:szCs w:val="21"/>
          <w:highlight w:val="none"/>
        </w:rPr>
        <w:t xml:space="preserve">水平、行业人工费用标准、国家有关部门指导行业协会发布的行业平均成本等情况对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27.1.1</w:t>
      </w:r>
      <w:r>
        <w:rPr>
          <w:rFonts w:ascii="宋体" w:hAnsi="宋体"/>
          <w:bCs/>
          <w:color w:val="000000" w:themeColor="text1"/>
          <w:sz w:val="24"/>
          <w:szCs w:val="21"/>
          <w:highlight w:val="none"/>
        </w:rPr>
        <w:t xml:space="preserve">1</w:t>
      </w:r>
      <w:r>
        <w:rPr>
          <w:rFonts w:hint="eastAsia" w:ascii="宋体" w:hAnsi="宋体"/>
          <w:bCs/>
          <w:color w:val="000000" w:themeColor="text1"/>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w:t>
      </w:r>
      <w:r>
        <w:rPr>
          <w:rFonts w:hint="eastAsia" w:ascii="宋体" w:hAnsi="宋体"/>
          <w:bCs/>
          <w:color w:val="000000" w:themeColor="text1"/>
          <w:sz w:val="24"/>
          <w:szCs w:val="21"/>
          <w:highlight w:val="none"/>
        </w:rPr>
        <w:t xml:space="preserve">品品目清单范围内，投标文件中必须提供</w:t>
      </w:r>
      <w:r>
        <w:rPr>
          <w:rFonts w:hint="eastAsia" w:ascii="宋体" w:hAnsi="宋体"/>
          <w:bCs/>
          <w:color w:val="000000" w:themeColor="text1"/>
          <w:sz w:val="24"/>
          <w:szCs w:val="21"/>
          <w:highlight w:val="none"/>
        </w:rPr>
        <w:t xml:space="preserve">国家确定的认证机构出具的、处于有效期之内的该节能产品认证证书图片）</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.1.1</w:t>
      </w:r>
      <w:r>
        <w:rPr>
          <w:rFonts w:ascii="宋体" w:hAnsi="宋体"/>
          <w:bCs/>
          <w:color w:val="000000" w:themeColor="text1"/>
          <w:sz w:val="24"/>
          <w:szCs w:val="21"/>
          <w:highlight w:val="none"/>
        </w:rPr>
        <w:t xml:space="preserve">2</w:t>
      </w:r>
      <w:r>
        <w:rPr>
          <w:rFonts w:hint="eastAsia" w:ascii="宋体" w:hAnsi="宋体"/>
          <w:bCs/>
          <w:color w:val="000000" w:themeColor="text1"/>
          <w:sz w:val="24"/>
          <w:szCs w:val="21"/>
          <w:highlight w:val="none"/>
        </w:rPr>
        <w:t xml:space="preserve"> 投标文件未按照招标文件要求加盖CA电子公章的。</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.1.1</w:t>
      </w:r>
      <w:r>
        <w:rPr>
          <w:rFonts w:ascii="宋体" w:hAnsi="宋体"/>
          <w:bCs/>
          <w:color w:val="000000" w:themeColor="text1"/>
          <w:sz w:val="24"/>
          <w:szCs w:val="21"/>
          <w:highlight w:val="none"/>
        </w:rPr>
        <w:t xml:space="preserve">3</w:t>
      </w:r>
      <w:r>
        <w:rPr>
          <w:rFonts w:hint="eastAsia" w:ascii="宋体" w:hAnsi="宋体"/>
          <w:bCs/>
          <w:color w:val="000000" w:themeColor="text1"/>
          <w:sz w:val="24"/>
          <w:szCs w:val="21"/>
          <w:highlight w:val="none"/>
        </w:rPr>
        <w:t xml:space="preserve"> 其他法律、法规及本招标文件规定的属无效投标的情形。</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.2 废标条款</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.2.1 符合专业条件的供应商或者对招标文件作实质响应的供应商不足三家的。</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.2.2出现影响采购公正的违法、违规行为的。</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.2.3 因重大变故，采购任务取消的。</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.2.4 评标委员会认定招标文件存在歧义、重大缺陷导致评审工作无法进行。</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.2.5 因</w:t>
      </w:r>
      <w:r>
        <w:rPr>
          <w:rFonts w:hint="eastAsia" w:ascii="宋体" w:hAnsi="宋体"/>
          <w:color w:val="000000" w:themeColor="text1"/>
          <w:sz w:val="24"/>
          <w:highlight w:val="none"/>
        </w:rPr>
        <w:t xml:space="preserve">苏采云系统</w:t>
      </w:r>
      <w:r>
        <w:rPr>
          <w:rFonts w:ascii="宋体" w:hAnsi="宋体"/>
          <w:bCs/>
          <w:color w:val="000000" w:themeColor="text1"/>
          <w:sz w:val="24"/>
          <w:szCs w:val="21"/>
          <w:highlight w:val="none"/>
        </w:rPr>
        <w:t xml:space="preserve">系统故障原因造成开标不成功</w:t>
      </w:r>
      <w:r>
        <w:rPr>
          <w:rFonts w:hint="eastAsia" w:ascii="宋体" w:hAnsi="宋体"/>
          <w:bCs/>
          <w:color w:val="000000" w:themeColor="text1"/>
          <w:sz w:val="24"/>
          <w:szCs w:val="21"/>
          <w:highlight w:val="none"/>
        </w:rPr>
        <w:t xml:space="preserve">的</w:t>
      </w:r>
      <w:r>
        <w:rPr>
          <w:rFonts w:ascii="宋体" w:hAnsi="宋体"/>
          <w:bCs/>
          <w:color w:val="000000" w:themeColor="text1"/>
          <w:sz w:val="24"/>
          <w:szCs w:val="21"/>
          <w:highlight w:val="none"/>
        </w:rPr>
        <w:t xml:space="preserve">。</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.3 投标截止时间结束后参加投标的供应商不足三家的处理：</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.3.1 如出现投标截止时间结束后参加投标的供应商或者在评标期间对招标文件做出实质响应的供应商不足三家情况，按政府采购相关规定执行。</w:t>
      </w:r>
      <w:r>
        <w:rPr>
          <w:color w:val="000000" w:themeColor="text1"/>
          <w:highlight w:val="none"/>
        </w:rPr>
      </w:r>
      <w:r/>
    </w:p>
    <w:p>
      <w:pPr>
        <w:pStyle w:val="953"/>
        <w:spacing w:line="360" w:lineRule="auto"/>
        <w:rPr>
          <w:rFonts w:ascii="宋体" w:hAnsi="宋体" w:cs="宋体"/>
          <w:b/>
          <w:bCs/>
          <w:color w:val="000000" w:themeColor="text1"/>
          <w:sz w:val="24"/>
          <w:highlight w:val="none"/>
        </w:rPr>
      </w:pPr>
      <w:r>
        <w:rPr>
          <w:color w:val="000000" w:themeColor="text1"/>
          <w:highlight w:val="none"/>
        </w:rPr>
      </w:r>
      <w:bookmarkStart w:id="142" w:name="_Toc120614219"/>
      <w:r>
        <w:rPr>
          <w:color w:val="000000" w:themeColor="text1"/>
          <w:highlight w:val="none"/>
        </w:rPr>
      </w:r>
      <w:r/>
    </w:p>
    <w:p>
      <w:pPr>
        <w:pStyle w:val="953"/>
        <w:spacing w:line="360" w:lineRule="auto"/>
        <w:rPr>
          <w:rFonts w:ascii="宋体" w:hAnsi="宋体" w:cs="宋体"/>
          <w:b/>
          <w:bCs/>
          <w:color w:val="000000" w:themeColor="text1"/>
          <w:sz w:val="24"/>
          <w:highlight w:val="none"/>
        </w:rPr>
        <w:outlineLvl w:val="1"/>
      </w:pPr>
      <w:r>
        <w:rPr>
          <w:color w:val="000000" w:themeColor="text1"/>
          <w:highlight w:val="none"/>
        </w:rPr>
      </w:r>
      <w:bookmarkStart w:id="143" w:name="_Toc910"/>
      <w:r>
        <w:rPr>
          <w:rFonts w:hint="eastAsia" w:ascii="宋体" w:hAnsi="宋体" w:cs="宋体"/>
          <w:b/>
          <w:bCs/>
          <w:color w:val="000000" w:themeColor="text1"/>
          <w:sz w:val="24"/>
          <w:highlight w:val="none"/>
        </w:rPr>
        <w:t xml:space="preserve">六、定标</w:t>
      </w:r>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144" w:name="_Toc513029238"/>
      <w:r>
        <w:rPr>
          <w:color w:val="000000" w:themeColor="text1"/>
          <w:highlight w:val="none"/>
        </w:rPr>
      </w:r>
      <w:bookmarkStart w:id="145" w:name="_Toc20823310"/>
      <w:r>
        <w:rPr>
          <w:color w:val="000000" w:themeColor="text1"/>
          <w:highlight w:val="none"/>
        </w:rPr>
      </w:r>
      <w:bookmarkStart w:id="146" w:name="_Toc16938554"/>
      <w:r>
        <w:rPr>
          <w:rFonts w:hint="eastAsia" w:ascii="宋体" w:hAnsi="宋体" w:cs="宋体"/>
          <w:b/>
          <w:bCs/>
          <w:color w:val="000000" w:themeColor="text1"/>
          <w:sz w:val="24"/>
          <w:highlight w:val="none"/>
        </w:rPr>
        <w:t xml:space="preserve">28、</w:t>
      </w:r>
      <w:bookmarkEnd w:id="144"/>
      <w:r>
        <w:rPr>
          <w:rFonts w:hint="eastAsia" w:ascii="宋体" w:hAnsi="宋体" w:cs="宋体"/>
          <w:b/>
          <w:bCs/>
          <w:color w:val="000000" w:themeColor="text1"/>
          <w:sz w:val="24"/>
          <w:highlight w:val="none"/>
        </w:rPr>
        <w:t xml:space="preserve">确定</w:t>
      </w:r>
      <w:bookmarkEnd w:id="145"/>
      <w:r>
        <w:rPr>
          <w:color w:val="000000" w:themeColor="text1"/>
          <w:highlight w:val="none"/>
        </w:rPr>
      </w:r>
      <w:bookmarkEnd w:id="146"/>
      <w:r>
        <w:rPr>
          <w:rFonts w:hint="eastAsia" w:ascii="宋体" w:hAnsi="宋体" w:cs="宋体"/>
          <w:b/>
          <w:bCs/>
          <w:color w:val="000000" w:themeColor="text1"/>
          <w:sz w:val="24"/>
          <w:highlight w:val="none"/>
        </w:rPr>
        <w:t xml:space="preserve">中标单位</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8</w:t>
      </w:r>
      <w:r>
        <w:rPr>
          <w:rFonts w:hint="eastAsia" w:ascii="宋体" w:hAnsi="宋体"/>
          <w:bCs/>
          <w:color w:val="000000" w:themeColor="text1"/>
          <w:sz w:val="24"/>
          <w:szCs w:val="21"/>
          <w:highlight w:val="none"/>
        </w:rPr>
        <w:t xml:space="preserve">.1中标候选人的选取原则和数量见招标文件第五章规定。 </w:t>
      </w:r>
      <w:r>
        <w:rPr>
          <w:color w:val="000000" w:themeColor="text1"/>
          <w:highlight w:val="none"/>
        </w:rPr>
      </w:r>
      <w:r/>
    </w:p>
    <w:p>
      <w:pPr>
        <w:pStyle w:val="953"/>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8</w:t>
      </w:r>
      <w:r>
        <w:rPr>
          <w:rFonts w:hint="eastAsia" w:ascii="宋体" w:hAnsi="宋体"/>
          <w:bCs/>
          <w:color w:val="000000" w:themeColor="text1"/>
          <w:sz w:val="24"/>
          <w:szCs w:val="21"/>
          <w:highlight w:val="none"/>
        </w:rPr>
        <w:t xml:space="preserve">.2 采购人应根据评委会推荐的中标候选人确定中标人。</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hint="eastAsia" w:ascii="宋体" w:hAnsi="宋体"/>
          <w:bCs/>
          <w:color w:val="000000" w:themeColor="text1"/>
          <w:sz w:val="24"/>
          <w:highlight w:val="none"/>
        </w:rPr>
        <w:t xml:space="preserve">2</w:t>
      </w:r>
      <w:r>
        <w:rPr>
          <w:rFonts w:ascii="宋体" w:hAnsi="宋体"/>
          <w:bCs/>
          <w:color w:val="000000" w:themeColor="text1"/>
          <w:sz w:val="24"/>
          <w:highlight w:val="none"/>
        </w:rPr>
        <w:t xml:space="preserve">8</w:t>
      </w:r>
      <w:r>
        <w:rPr>
          <w:rFonts w:hint="eastAsia" w:ascii="宋体" w:hAnsi="宋体"/>
          <w:bCs/>
          <w:color w:val="000000" w:themeColor="text1"/>
          <w:sz w:val="24"/>
          <w:highlight w:val="none"/>
        </w:rPr>
        <w:t xml:space="preserve">.3 </w:t>
      </w:r>
      <w:r>
        <w:rPr>
          <w:rFonts w:hint="eastAsia" w:ascii="宋体" w:hAnsi="宋体"/>
          <w:color w:val="000000" w:themeColor="text1"/>
          <w:sz w:val="24"/>
          <w:highlight w:val="none"/>
        </w:rPr>
        <w:t xml:space="preserve">采购代理机构将在“江苏政府采购网”发布中标公告，公告期限为1个工作日。</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.4 若有充分证据证明</w:t>
      </w:r>
      <w:r>
        <w:rPr>
          <w:rFonts w:hint="eastAsia" w:ascii="宋体" w:hAnsi="宋体"/>
          <w:color w:val="000000" w:themeColor="text1"/>
          <w:sz w:val="24"/>
          <w:highlight w:val="none"/>
        </w:rPr>
        <w:t xml:space="preserve">，中标人出现下列情况之一的，一经查实</w:t>
      </w:r>
      <w:r>
        <w:rPr>
          <w:rFonts w:hint="eastAsia" w:ascii="宋体" w:hAnsi="宋体"/>
          <w:color w:val="000000" w:themeColor="text1"/>
          <w:sz w:val="24"/>
          <w:highlight w:val="none"/>
        </w:rPr>
        <w:t xml:space="preserve">，将被取消中标资格：</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.4.1 提供虚假材料谋取中标的。</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.4.2 向采购人、采购代理机构行贿或者提供其他不正当利益的。</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.4.3 属于本文件规定的无效条件，但在评标过程中又未被评委会发现的。</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.4.4 与采购人或者其他供应商恶意串通的。</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.4.5 采取不正当手段诋毁、排挤其他供应商的。</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color w:val="000000" w:themeColor="text1"/>
          <w:highlight w:val="none"/>
        </w:rPr>
      </w:r>
      <w:bookmarkStart w:id="147" w:name="_Toc200451960"/>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.5</w:t>
      </w:r>
      <w:r>
        <w:rPr>
          <w:rFonts w:hint="eastAsia"/>
          <w:color w:val="000000" w:themeColor="text1"/>
          <w:szCs w:val="21"/>
          <w:highlight w:val="none"/>
        </w:rPr>
        <w:t xml:space="preserve"> </w:t>
      </w:r>
      <w:r>
        <w:rPr>
          <w:rFonts w:hAnsi="宋体" w:cs="宋体"/>
          <w:color w:val="000000" w:themeColor="text1"/>
          <w:sz w:val="24"/>
          <w:highlight w:val="none"/>
        </w:rPr>
        <w:t xml:space="preserve">有下列情形之一的，</w:t>
      </w:r>
      <w:r>
        <w:rPr>
          <w:rFonts w:hint="eastAsia" w:hAnsi="宋体" w:cs="宋体"/>
          <w:color w:val="000000" w:themeColor="text1"/>
          <w:sz w:val="24"/>
          <w:highlight w:val="none"/>
        </w:rPr>
        <w:t xml:space="preserve">视为投标人</w:t>
      </w:r>
      <w:r>
        <w:rPr>
          <w:rFonts w:hAnsi="宋体" w:cs="宋体"/>
          <w:color w:val="000000" w:themeColor="text1"/>
          <w:sz w:val="24"/>
          <w:highlight w:val="none"/>
        </w:rPr>
        <w:t xml:space="preserve">串通</w:t>
      </w:r>
      <w:r>
        <w:rPr>
          <w:rFonts w:hint="eastAsia" w:hAnsi="宋体" w:cs="宋体"/>
          <w:color w:val="000000" w:themeColor="text1"/>
          <w:sz w:val="24"/>
          <w:highlight w:val="none"/>
        </w:rPr>
        <w:t xml:space="preserve">投标，投标无效：</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.5.1 不同投标人的投标文件由同一单位或者个人编制；</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.5.2 不同投标人委托同一单位或者个人办</w:t>
      </w:r>
      <w:r>
        <w:rPr>
          <w:rFonts w:hint="eastAsia" w:ascii="宋体" w:hAnsi="宋体"/>
          <w:color w:val="000000" w:themeColor="text1"/>
          <w:sz w:val="24"/>
          <w:highlight w:val="none"/>
        </w:rPr>
        <w:t xml:space="preserve">理投标事宜；</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.5.3 不同投标人的投标文件载明的项目管理成员或者联系人员为同一人；</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.5.4 不同投标人的投标文件异常一致或者投标报价呈规律性差异；</w:t>
      </w:r>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29、质疑处理</w:t>
      </w:r>
      <w:bookmarkEnd w:id="147"/>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.1 提出质疑的供应商应当是参与所质疑项目采购活动的供应商。潜在供应商依法获取其可质疑的采购文件的，可以对采购文件提出质疑。</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.2 供应商认为采购文件、采购过程和采购结果使自己的权益受到损害的，可以在知道或应知其权益受到损害之日起七个工作日内，以书面形式根据下述29.4条款的规定向采购代理机构或采购人提出质疑。上述应知其权益受</w:t>
      </w:r>
      <w:r>
        <w:rPr>
          <w:rFonts w:hint="eastAsia" w:ascii="宋体" w:hAnsi="宋体"/>
          <w:color w:val="000000" w:themeColor="text1"/>
          <w:sz w:val="24"/>
          <w:highlight w:val="none"/>
        </w:rPr>
        <w:t xml:space="preserve">到损害之日，是指：</w:t>
      </w:r>
      <w:r>
        <w:rPr>
          <w:color w:val="000000" w:themeColor="text1"/>
          <w:highlight w:val="none"/>
        </w:rPr>
      </w:r>
      <w:r/>
    </w:p>
    <w:p>
      <w:pPr>
        <w:pStyle w:val="953"/>
        <w:ind w:firstLine="480"/>
        <w:spacing w:line="360" w:lineRule="auto"/>
        <w:rPr>
          <w:rFonts w:hAnsi="宋体" w:cs="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.2.1</w:t>
      </w:r>
      <w:r>
        <w:rPr>
          <w:rFonts w:hAnsi="宋体" w:cs="宋体"/>
          <w:color w:val="000000" w:themeColor="text1"/>
          <w:sz w:val="24"/>
          <w:highlight w:val="none"/>
        </w:rPr>
        <w:t xml:space="preserve">对可以质疑的采购文件提出质疑的，为收到采购文件之日或者采购文件公告期限届满之日；</w:t>
      </w:r>
      <w:r>
        <w:rPr>
          <w:rFonts w:hAnsi="宋体" w:cs="宋体"/>
          <w:color w:val="000000" w:themeColor="text1"/>
          <w:sz w:val="24"/>
          <w:highlight w:val="none"/>
        </w:rPr>
        <w:br w:type="textWrapping" w:clear="all"/>
      </w:r>
      <w:r>
        <w:rPr>
          <w:rFonts w:hAnsi="宋体" w:cs="宋体"/>
          <w:color w:val="000000" w:themeColor="text1"/>
          <w:sz w:val="24"/>
          <w:highlight w:val="none"/>
        </w:rPr>
        <w:t xml:space="preserve">　　</w:t>
      </w: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.2.2</w:t>
      </w:r>
      <w:r>
        <w:rPr>
          <w:rFonts w:hAnsi="宋体" w:cs="宋体"/>
          <w:color w:val="000000" w:themeColor="text1"/>
          <w:sz w:val="24"/>
          <w:highlight w:val="none"/>
        </w:rPr>
        <w:t xml:space="preserve">对采购过程提出质疑的，为各采购程序环节结束之日；</w:t>
      </w:r>
      <w:r>
        <w:rPr>
          <w:rFonts w:hAnsi="宋体" w:cs="宋体"/>
          <w:color w:val="000000" w:themeColor="text1"/>
          <w:sz w:val="24"/>
          <w:highlight w:val="none"/>
        </w:rPr>
        <w:br w:type="textWrapping" w:clear="all"/>
      </w:r>
      <w:r>
        <w:rPr>
          <w:rFonts w:hAnsi="宋体" w:cs="宋体"/>
          <w:color w:val="000000" w:themeColor="text1"/>
          <w:sz w:val="24"/>
          <w:highlight w:val="none"/>
        </w:rPr>
        <w:t xml:space="preserve">　　</w:t>
      </w: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.2.3</w:t>
      </w:r>
      <w:r>
        <w:rPr>
          <w:rFonts w:hAnsi="宋体" w:cs="宋体"/>
          <w:color w:val="000000" w:themeColor="text1"/>
          <w:sz w:val="24"/>
          <w:highlight w:val="none"/>
        </w:rPr>
        <w:t xml:space="preserve">对中标或者成交结果提出质疑的，为中标或者成交结果公告期限届满之日。</w:t>
      </w:r>
      <w:r>
        <w:rPr>
          <w:color w:val="000000" w:themeColor="text1"/>
          <w:highlight w:val="none"/>
        </w:rPr>
      </w:r>
      <w:r/>
    </w:p>
    <w:p>
      <w:pPr>
        <w:pStyle w:val="953"/>
        <w:ind w:firstLine="480"/>
        <w:spacing w:line="360" w:lineRule="auto"/>
        <w:rPr>
          <w:rFonts w:hAnsi="宋体" w:cs="宋体"/>
          <w:color w:val="000000" w:themeColor="text1"/>
          <w:sz w:val="24"/>
          <w:highlight w:val="none"/>
        </w:rPr>
      </w:pPr>
      <w:r>
        <w:rPr>
          <w:rFonts w:hint="eastAsia" w:hAnsi="宋体" w:cs="宋体"/>
          <w:color w:val="000000" w:themeColor="text1"/>
          <w:sz w:val="24"/>
          <w:highlight w:val="none"/>
        </w:rPr>
        <w:t xml:space="preserve">供应商应当在法定质疑期内一次性提出针对同一采购程序环节的质疑。供应商如在法定期限内对同一采购程序环节提出多次质疑的，采购代理机构、</w:t>
      </w:r>
      <w:r>
        <w:rPr>
          <w:rFonts w:hAnsi="宋体" w:cs="宋体"/>
          <w:color w:val="000000" w:themeColor="text1"/>
          <w:sz w:val="24"/>
          <w:highlight w:val="none"/>
        </w:rPr>
        <w:t xml:space="preserve">采购人</w:t>
      </w:r>
      <w:r>
        <w:rPr>
          <w:rFonts w:hint="eastAsia" w:hAnsi="宋体" w:cs="宋体"/>
          <w:color w:val="000000" w:themeColor="text1"/>
          <w:sz w:val="24"/>
          <w:highlight w:val="none"/>
        </w:rPr>
        <w:t xml:space="preserve">将只对供应商第一次质疑作出答复。</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.3 质疑函必须按照本招标文件中《质疑函范本》要求的格式和内容进行填写。供</w:t>
      </w:r>
      <w:r>
        <w:rPr>
          <w:rFonts w:hint="eastAsia" w:ascii="宋体" w:hAnsi="宋体"/>
          <w:color w:val="000000" w:themeColor="text1"/>
          <w:sz w:val="24"/>
          <w:highlight w:val="none"/>
        </w:rPr>
        <w:t xml:space="preserve">应商如组成联合体参加投标，则《质疑函</w:t>
      </w:r>
      <w:r>
        <w:rPr>
          <w:rFonts w:hint="eastAsia" w:ascii="宋体" w:hAnsi="宋体"/>
          <w:color w:val="000000" w:themeColor="text1"/>
          <w:sz w:val="24"/>
          <w:highlight w:val="none"/>
        </w:rPr>
        <w:t xml:space="preserve">范本》中要求签字、盖章、加盖公章之处，联合体各方均须按要求签字、盖章、加盖公章。</w:t>
      </w:r>
      <w:r>
        <w:rPr>
          <w:color w:val="000000" w:themeColor="text1"/>
          <w:highlight w:val="none"/>
        </w:rPr>
      </w:r>
      <w:r/>
    </w:p>
    <w:p>
      <w:pPr>
        <w:pStyle w:val="953"/>
        <w:ind w:firstLine="480"/>
        <w:spacing w:line="360" w:lineRule="auto"/>
        <w:rPr>
          <w:rFonts w:ascii="宋体" w:hAnsi="宋体"/>
          <w:b/>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.4 供应商</w:t>
      </w:r>
      <w:r>
        <w:rPr>
          <w:rFonts w:hint="eastAsia" w:ascii="宋体" w:hAnsi="宋体"/>
          <w:color w:val="000000" w:themeColor="text1"/>
          <w:sz w:val="24"/>
          <w:highlight w:val="none"/>
        </w:rPr>
        <w:t xml:space="preserve">（含潜在</w:t>
      </w:r>
      <w:r>
        <w:rPr>
          <w:rFonts w:ascii="宋体" w:hAnsi="宋体"/>
          <w:color w:val="000000" w:themeColor="text1"/>
          <w:sz w:val="24"/>
          <w:highlight w:val="none"/>
        </w:rPr>
        <w:t xml:space="preserve">供应商</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t xml:space="preserve">对与</w:t>
      </w:r>
      <w:r>
        <w:rPr>
          <w:rFonts w:ascii="宋体" w:hAnsi="宋体"/>
          <w:color w:val="000000" w:themeColor="text1"/>
          <w:sz w:val="24"/>
          <w:highlight w:val="none"/>
        </w:rPr>
        <w:t xml:space="preserve">本项目</w:t>
      </w:r>
      <w:r>
        <w:rPr>
          <w:rFonts w:hint="eastAsia" w:ascii="宋体" w:hAnsi="宋体"/>
          <w:color w:val="000000" w:themeColor="text1"/>
          <w:sz w:val="24"/>
          <w:highlight w:val="none"/>
        </w:rPr>
        <w:t xml:space="preserve">有关的</w:t>
      </w:r>
      <w:r>
        <w:rPr>
          <w:rFonts w:ascii="宋体" w:hAnsi="宋体"/>
          <w:color w:val="000000" w:themeColor="text1"/>
          <w:sz w:val="24"/>
          <w:highlight w:val="none"/>
        </w:rPr>
        <w:t xml:space="preserve">所有询问、质疑</w:t>
      </w:r>
      <w:r>
        <w:rPr>
          <w:rFonts w:hint="eastAsia" w:ascii="宋体" w:hAnsi="宋体"/>
          <w:color w:val="000000" w:themeColor="text1"/>
          <w:sz w:val="24"/>
          <w:highlight w:val="none"/>
        </w:rPr>
        <w:t xml:space="preserve">均</w:t>
      </w:r>
      <w:r>
        <w:rPr>
          <w:rFonts w:ascii="宋体" w:hAnsi="宋体"/>
          <w:color w:val="000000" w:themeColor="text1"/>
          <w:sz w:val="24"/>
          <w:highlight w:val="none"/>
        </w:rPr>
        <w:t xml:space="preserve">请向</w:t>
      </w:r>
      <w:r>
        <w:rPr>
          <w:rFonts w:ascii="宋体" w:hAnsi="宋体" w:cs="宋体"/>
          <w:color w:val="000000" w:themeColor="text1"/>
          <w:sz w:val="24"/>
          <w:highlight w:val="none"/>
        </w:rPr>
        <w:t xml:space="preserve">采购代理机构</w:t>
      </w:r>
      <w:r>
        <w:rPr>
          <w:rFonts w:ascii="宋体" w:hAnsi="宋体"/>
          <w:color w:val="000000" w:themeColor="text1"/>
          <w:sz w:val="24"/>
          <w:highlight w:val="none"/>
        </w:rPr>
        <w:t xml:space="preserve">提出，由</w:t>
      </w:r>
      <w:r>
        <w:rPr>
          <w:rFonts w:ascii="宋体" w:hAnsi="宋体" w:cs="宋体"/>
          <w:color w:val="000000" w:themeColor="text1"/>
          <w:sz w:val="24"/>
          <w:highlight w:val="none"/>
        </w:rPr>
        <w:t xml:space="preserve">采购代理机构</w:t>
      </w:r>
      <w:r>
        <w:rPr>
          <w:rFonts w:ascii="宋体" w:hAnsi="宋体"/>
          <w:color w:val="000000" w:themeColor="text1"/>
          <w:sz w:val="24"/>
          <w:highlight w:val="none"/>
        </w:rPr>
        <w:t xml:space="preserve">负责答复。</w:t>
      </w:r>
      <w:r>
        <w:rPr>
          <w:color w:val="000000" w:themeColor="text1"/>
          <w:highlight w:val="none"/>
        </w:rPr>
      </w:r>
      <w:r/>
    </w:p>
    <w:p>
      <w:pPr>
        <w:pStyle w:val="953"/>
        <w:ind w:firstLine="480"/>
        <w:spacing w:line="360" w:lineRule="auto"/>
        <w:rPr>
          <w:color w:val="000000" w:themeColor="text1"/>
          <w:highlight w:val="none"/>
        </w:rPr>
      </w:pPr>
      <w:r>
        <w:rPr>
          <w:rFonts w:ascii="宋体" w:hAnsi="宋体" w:cs="宋体"/>
          <w:color w:val="000000" w:themeColor="text1"/>
          <w:sz w:val="24"/>
          <w:highlight w:val="none"/>
        </w:rPr>
        <w:t xml:space="preserve">采购人及采购代理机构只接收以纸质原件形式送达的质疑,建议供应商尽量通过邮寄方式提交质疑</w:t>
      </w:r>
      <w:r>
        <w:rPr>
          <w:rFonts w:ascii="宋体" w:hAnsi="宋体" w:cs="宋体"/>
          <w:color w:val="000000" w:themeColor="text1"/>
          <w:sz w:val="24"/>
          <w:highlight w:val="none"/>
        </w:rPr>
        <w:t xml:space="preserve">（采购人和采购代理机构不接受未填写快递运单的快件）。</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ascii="宋体" w:hAnsi="宋体" w:cs="宋体"/>
          <w:color w:val="000000" w:themeColor="text1"/>
          <w:sz w:val="24"/>
          <w:highlight w:val="none"/>
        </w:rPr>
        <w:t xml:space="preserve">采购代理机构质疑接收人：</w:t>
      </w:r>
      <w:r>
        <w:rPr>
          <w:rFonts w:ascii="宋体" w:hAnsi="宋体" w:cs="宋体"/>
          <w:color w:val="000000" w:themeColor="text1"/>
          <w:sz w:val="24"/>
          <w:highlight w:val="none"/>
        </w:rPr>
        <w:t xml:space="preserve">吴岢非，</w:t>
      </w:r>
      <w:r>
        <w:rPr>
          <w:rFonts w:ascii="宋体" w:hAnsi="宋体" w:cs="宋体"/>
          <w:color w:val="000000" w:themeColor="text1"/>
          <w:sz w:val="24"/>
          <w:highlight w:val="none"/>
        </w:rPr>
        <w:t xml:space="preserve">联系地址：南京市雨花台区软件大道21号C座</w:t>
      </w:r>
      <w:r>
        <w:rPr>
          <w:rFonts w:hint="eastAsia" w:ascii="宋体" w:hAnsi="宋体" w:cs="宋体"/>
          <w:color w:val="000000" w:themeColor="text1"/>
          <w:sz w:val="24"/>
          <w:highlight w:val="none"/>
        </w:rPr>
        <w:t xml:space="preserve">617</w:t>
      </w:r>
      <w:r>
        <w:rPr>
          <w:rFonts w:ascii="宋体" w:hAnsi="宋体" w:cs="宋体"/>
          <w:color w:val="000000" w:themeColor="text1"/>
          <w:sz w:val="24"/>
          <w:highlight w:val="none"/>
        </w:rPr>
        <w:t xml:space="preserve">室，联系电话：</w:t>
      </w:r>
      <w:r>
        <w:rPr>
          <w:rFonts w:ascii="宋体" w:hAnsi="宋体" w:cs="宋体"/>
          <w:color w:val="000000" w:themeColor="text1"/>
          <w:sz w:val="24"/>
          <w:highlight w:val="none"/>
        </w:rPr>
        <w:t xml:space="preserve">025-52875983</w:t>
      </w:r>
      <w:r>
        <w:rPr>
          <w:rFonts w:ascii="宋体" w:hAnsi="宋体" w:cs="宋体"/>
          <w:color w:val="000000" w:themeColor="text1"/>
          <w:sz w:val="24"/>
          <w:highlight w:val="none"/>
        </w:rPr>
        <w:t xml:space="preserve">。</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采购人质疑接收人及联</w:t>
      </w:r>
      <w:r>
        <w:rPr>
          <w:rFonts w:hint="eastAsia" w:ascii="宋体" w:hAnsi="宋体"/>
          <w:color w:val="000000" w:themeColor="text1"/>
          <w:sz w:val="24"/>
          <w:highlight w:val="none"/>
        </w:rPr>
        <w:t xml:space="preserve">系方式见招标文件第一章。</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.5 以下情形的质疑不予受理</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.5.1 内容不符合《政府采购质疑和投诉办法》第十二条规定的质疑。</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.5.2 超出政府采购法定期限的质疑。</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.5.3 以传真、电子邮件等方式递交的非原件形式的质疑。</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.5.4 未参加投标活动的供应商或在投标活动中自身权益未受到损害的供应商所提出的质疑。</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.5.5供应商组成联合体参加投标，联合体中任何一方或多方未按要求签字、盖章、加盖公章的质疑。</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.6 供应商提出书面质疑必须有理、有据，不得捏造事实、提供虚假材料进行恶意质疑。</w:t>
      </w:r>
      <w:r>
        <w:rPr>
          <w:rFonts w:hint="eastAsia" w:ascii="宋体" w:hAnsi="宋体"/>
          <w:color w:val="000000" w:themeColor="text1"/>
          <w:sz w:val="24"/>
          <w:highlight w:val="none"/>
        </w:rPr>
        <w:t xml:space="preserve">否则，一经查实，采购代理机构有权依据</w:t>
      </w:r>
      <w:r>
        <w:rPr>
          <w:rFonts w:hint="eastAsia" w:ascii="宋体" w:hAnsi="宋体"/>
          <w:color w:val="000000" w:themeColor="text1"/>
          <w:sz w:val="24"/>
          <w:highlight w:val="none"/>
        </w:rPr>
        <w:t xml:space="preserve">政府采购的有关规定，报请政府采购监管部门对该供应商进行相应的行政处罚和记录该供应商的失信信息。</w:t>
      </w:r>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30、中标通知书</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30</w:t>
      </w:r>
      <w:r>
        <w:rPr>
          <w:rFonts w:hint="eastAsia" w:ascii="宋体" w:hAnsi="宋体"/>
          <w:color w:val="000000" w:themeColor="text1"/>
          <w:sz w:val="24"/>
          <w:highlight w:val="none"/>
        </w:rPr>
        <w:t xml:space="preserve">.l</w:t>
      </w:r>
      <w:r>
        <w:rPr>
          <w:rFonts w:hint="eastAsia" w:ascii="宋体" w:hAnsi="宋体"/>
          <w:b/>
          <w:color w:val="000000" w:themeColor="text1"/>
          <w:sz w:val="24"/>
          <w:highlight w:val="none"/>
        </w:rPr>
        <w:t xml:space="preserve"> </w:t>
      </w:r>
      <w:r>
        <w:rPr>
          <w:rFonts w:hint="eastAsia" w:ascii="宋体" w:hAnsi="宋体"/>
          <w:color w:val="000000" w:themeColor="text1"/>
          <w:sz w:val="24"/>
          <w:highlight w:val="none"/>
        </w:rPr>
        <w:t xml:space="preserve">中标结果确定后，采购代理机构将向中标人发出中标通知书。请中标人在中标结果公告届满之日起30日内,使用CA数字证书登录</w:t>
      </w:r>
      <w:r>
        <w:rPr>
          <w:rFonts w:hint="eastAsia" w:ascii="宋体" w:hAnsi="宋体"/>
          <w:color w:val="000000" w:themeColor="text1"/>
          <w:sz w:val="24"/>
          <w:highlight w:val="none"/>
        </w:rPr>
        <w:t xml:space="preserve">苏采云系统</w:t>
      </w:r>
      <w:r>
        <w:rPr>
          <w:rFonts w:hint="eastAsia" w:ascii="宋体" w:hAnsi="宋体"/>
          <w:color w:val="000000" w:themeColor="text1"/>
          <w:sz w:val="24"/>
          <w:highlight w:val="none"/>
        </w:rPr>
        <w:t xml:space="preserve">及时下载中标通知书。因系统存储空间有限，自中标结果公告届满之日起30日后，</w:t>
      </w:r>
      <w:r>
        <w:rPr>
          <w:rFonts w:hint="eastAsia" w:ascii="宋体" w:hAnsi="宋体"/>
          <w:color w:val="000000" w:themeColor="text1"/>
          <w:sz w:val="24"/>
          <w:highlight w:val="none"/>
        </w:rPr>
        <w:t xml:space="preserve">苏采云系统</w:t>
      </w:r>
      <w:r>
        <w:rPr>
          <w:rFonts w:hint="eastAsia" w:ascii="宋体" w:hAnsi="宋体"/>
          <w:color w:val="000000" w:themeColor="text1"/>
          <w:sz w:val="24"/>
          <w:highlight w:val="none"/>
        </w:rPr>
        <w:t xml:space="preserve">不再保证提供下载中标通知书服务,因未及时下载而造成的不利后果由中标人自行承担。</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ascii="宋体" w:hAnsi="宋体"/>
          <w:color w:val="000000" w:themeColor="text1"/>
          <w:sz w:val="24"/>
          <w:highlight w:val="none"/>
        </w:rPr>
        <w:t xml:space="preserve">0</w:t>
      </w:r>
      <w:r>
        <w:rPr>
          <w:rFonts w:hint="eastAsia" w:ascii="宋体" w:hAnsi="宋体"/>
          <w:color w:val="000000" w:themeColor="text1"/>
          <w:sz w:val="24"/>
          <w:highlight w:val="none"/>
        </w:rPr>
        <w:t xml:space="preserve">.2中标通知书将是合同的一个组成部分。对采购人和中标供应商</w:t>
      </w:r>
      <w:r>
        <w:rPr>
          <w:rFonts w:hint="eastAsia" w:ascii="宋体" w:hAnsi="宋体"/>
          <w:color w:val="000000" w:themeColor="text1"/>
          <w:sz w:val="24"/>
          <w:highlight w:val="none"/>
        </w:rPr>
        <w:t xml:space="preserve">均具有法律效力。中标通知书发出后，采</w:t>
      </w:r>
      <w:r>
        <w:rPr>
          <w:rFonts w:hint="eastAsia" w:ascii="宋体" w:hAnsi="宋体"/>
          <w:color w:val="000000" w:themeColor="text1"/>
          <w:sz w:val="24"/>
          <w:highlight w:val="none"/>
        </w:rPr>
        <w:t xml:space="preserve">购人改变中标结果的，或者中标供应商放弃中标项目的，应当依法承担法律责任。</w:t>
      </w:r>
      <w:r>
        <w:rPr>
          <w:color w:val="000000" w:themeColor="text1"/>
          <w:highlight w:val="none"/>
        </w:rPr>
      </w:r>
      <w:r/>
    </w:p>
    <w:p>
      <w:pPr>
        <w:pStyle w:val="953"/>
        <w:spacing w:line="360" w:lineRule="auto"/>
        <w:rPr>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highlight w:val="none"/>
        </w:rPr>
      </w:r>
      <w:r/>
    </w:p>
    <w:p>
      <w:pPr>
        <w:pStyle w:val="953"/>
        <w:spacing w:line="360" w:lineRule="auto"/>
        <w:rPr>
          <w:rFonts w:ascii="宋体" w:hAnsi="宋体" w:cs="宋体"/>
          <w:b/>
          <w:bCs/>
          <w:color w:val="000000" w:themeColor="text1"/>
          <w:sz w:val="24"/>
          <w:highlight w:val="none"/>
        </w:rPr>
        <w:outlineLvl w:val="1"/>
      </w:pPr>
      <w:r>
        <w:rPr>
          <w:color w:val="000000" w:themeColor="text1"/>
          <w:highlight w:val="none"/>
        </w:rPr>
      </w:r>
      <w:bookmarkStart w:id="148" w:name="_Toc10931"/>
      <w:r>
        <w:rPr>
          <w:color w:val="000000" w:themeColor="text1"/>
          <w:highlight w:val="none"/>
        </w:rPr>
      </w:r>
      <w:bookmarkStart w:id="149" w:name="_Toc16938552"/>
      <w:r>
        <w:rPr>
          <w:color w:val="000000" w:themeColor="text1"/>
          <w:highlight w:val="none"/>
        </w:rPr>
      </w:r>
      <w:bookmarkStart w:id="150" w:name="_Toc20823308"/>
      <w:r>
        <w:rPr>
          <w:color w:val="000000" w:themeColor="text1"/>
          <w:highlight w:val="none"/>
        </w:rPr>
      </w:r>
      <w:bookmarkStart w:id="151" w:name="_Toc513029236"/>
      <w:r>
        <w:rPr>
          <w:color w:val="000000" w:themeColor="text1"/>
          <w:highlight w:val="none"/>
        </w:rPr>
      </w:r>
      <w:bookmarkStart w:id="152" w:name="_Toc120614220"/>
      <w:r>
        <w:rPr>
          <w:rFonts w:hint="eastAsia" w:ascii="宋体" w:hAnsi="宋体" w:cs="宋体"/>
          <w:b/>
          <w:bCs/>
          <w:color w:val="000000" w:themeColor="text1"/>
          <w:sz w:val="24"/>
          <w:highlight w:val="none"/>
        </w:rPr>
        <w:t xml:space="preserve">七、授予合同</w:t>
      </w:r>
      <w:bookmarkEnd w:id="148"/>
      <w:r>
        <w:rPr>
          <w:color w:val="000000" w:themeColor="text1"/>
          <w:highlight w:val="none"/>
        </w:rPr>
      </w:r>
      <w:bookmarkEnd w:id="152"/>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color w:val="000000" w:themeColor="text1"/>
          <w:highlight w:val="none"/>
        </w:rPr>
      </w:r>
      <w:bookmarkStart w:id="153" w:name="_Toc16938553"/>
      <w:r>
        <w:rPr>
          <w:color w:val="000000" w:themeColor="text1"/>
          <w:highlight w:val="none"/>
        </w:rPr>
      </w:r>
      <w:bookmarkStart w:id="154" w:name="_Toc513029237"/>
      <w:r>
        <w:rPr>
          <w:color w:val="000000" w:themeColor="text1"/>
          <w:highlight w:val="none"/>
        </w:rPr>
      </w:r>
      <w:bookmarkStart w:id="155" w:name="_Toc20823309"/>
      <w:r>
        <w:rPr>
          <w:rFonts w:hint="eastAsia" w:ascii="宋体" w:hAnsi="宋体" w:cs="宋体"/>
          <w:b/>
          <w:bCs/>
          <w:color w:val="000000" w:themeColor="text1"/>
          <w:sz w:val="24"/>
          <w:highlight w:val="none"/>
        </w:rPr>
        <w:t xml:space="preserve">31. 签订合同</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hint="eastAsia" w:ascii="宋体" w:hAnsi="宋体"/>
          <w:bCs/>
          <w:color w:val="000000" w:themeColor="text1"/>
          <w:sz w:val="24"/>
          <w:highlight w:val="none"/>
        </w:rPr>
        <w:t xml:space="preserve">3</w:t>
      </w:r>
      <w:r>
        <w:rPr>
          <w:rFonts w:ascii="宋体" w:hAnsi="宋体"/>
          <w:bCs/>
          <w:color w:val="000000" w:themeColor="text1"/>
          <w:sz w:val="24"/>
          <w:highlight w:val="none"/>
        </w:rPr>
        <w:t xml:space="preserve">1</w:t>
      </w:r>
      <w:r>
        <w:rPr>
          <w:rFonts w:hint="eastAsia" w:ascii="宋体" w:hAnsi="宋体"/>
          <w:color w:val="000000" w:themeColor="text1"/>
          <w:sz w:val="24"/>
          <w:highlight w:val="none"/>
        </w:rPr>
        <w:t xml:space="preserve">.l中标人应当在中标通知书发出之日起三十日内，按照招标文件确定的事项与采购人签订政府采购合同。</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.2</w:t>
      </w:r>
      <w:r>
        <w:rPr>
          <w:rFonts w:hint="eastAsia" w:ascii="宋体" w:hAnsi="宋体"/>
          <w:b/>
          <w:color w:val="000000" w:themeColor="text1"/>
          <w:sz w:val="24"/>
          <w:highlight w:val="none"/>
        </w:rPr>
        <w:t xml:space="preserve"> </w:t>
      </w:r>
      <w:r>
        <w:rPr>
          <w:rFonts w:hint="eastAsia" w:ascii="宋体" w:hAnsi="宋体"/>
          <w:color w:val="000000" w:themeColor="text1"/>
          <w:sz w:val="24"/>
          <w:highlight w:val="none"/>
        </w:rPr>
        <w:t xml:space="preserve">招标文件、中标人的投标文件及招标过程中有关澄清、承诺文件均应作为合同附件。</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31.3 签订合同后，</w:t>
      </w:r>
      <w:r>
        <w:rPr>
          <w:rFonts w:hint="eastAsia" w:ascii="宋体" w:hAnsi="宋体"/>
          <w:b/>
          <w:bCs/>
          <w:i/>
          <w:color w:val="000000" w:themeColor="text1"/>
          <w:sz w:val="24"/>
          <w:highlight w:val="none"/>
          <w:u w:val="single"/>
        </w:rPr>
        <w:t xml:space="preserve">中标人不得将合同标的进行转包</w:t>
      </w:r>
      <w:r>
        <w:rPr>
          <w:rFonts w:hint="eastAsia" w:ascii="宋体" w:hAnsi="宋体"/>
          <w:color w:val="000000" w:themeColor="text1"/>
          <w:sz w:val="24"/>
          <w:highlight w:val="none"/>
        </w:rPr>
        <w:t xml:space="preserve">。未经采购人同意，中标人也不得采用分包的形式履行合同，否则采购人有权终止合同。转包或分包造成采购人损失的，中标人应承担相应赔偿责任。</w:t>
      </w:r>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32、货物（包含与货物相关的服务</w:t>
      </w:r>
      <w:r>
        <w:rPr>
          <w:rFonts w:hint="eastAsia" w:ascii="宋体" w:hAnsi="宋体" w:cs="宋体"/>
          <w:b/>
          <w:bCs/>
          <w:color w:val="000000" w:themeColor="text1"/>
          <w:sz w:val="24"/>
          <w:highlight w:val="none"/>
        </w:rPr>
        <w:t xml:space="preserve">）的追加</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color w:val="000000" w:themeColor="text1"/>
          <w:highlight w:val="none"/>
        </w:rPr>
      </w:r>
      <w:r/>
    </w:p>
    <w:p>
      <w:pPr>
        <w:pStyle w:val="953"/>
        <w:ind w:firstLine="482"/>
        <w:spacing w:before="161" w:line="360" w:lineRule="auto"/>
        <w:rPr>
          <w:rFonts w:ascii="宋体" w:hAnsi="宋体" w:cs="宋体"/>
          <w:b/>
          <w:bCs/>
          <w:color w:val="000000" w:themeColor="text1"/>
          <w:sz w:val="24"/>
          <w:highlight w:val="none"/>
        </w:rPr>
      </w:pPr>
      <w:r>
        <w:rPr>
          <w:color w:val="000000" w:themeColor="text1"/>
          <w:highlight w:val="none"/>
        </w:rPr>
      </w:r>
      <w:bookmarkEnd w:id="153"/>
      <w:r>
        <w:rPr>
          <w:color w:val="000000" w:themeColor="text1"/>
          <w:highlight w:val="none"/>
        </w:rPr>
      </w:r>
      <w:bookmarkEnd w:id="154"/>
      <w:r>
        <w:rPr>
          <w:color w:val="000000" w:themeColor="text1"/>
          <w:highlight w:val="none"/>
        </w:rPr>
      </w:r>
      <w:bookmarkEnd w:id="155"/>
      <w:r>
        <w:rPr>
          <w:rFonts w:hint="eastAsia" w:ascii="宋体" w:hAnsi="宋体" w:cs="宋体"/>
          <w:b/>
          <w:bCs/>
          <w:color w:val="000000" w:themeColor="text1"/>
          <w:sz w:val="24"/>
          <w:highlight w:val="none"/>
        </w:rPr>
        <w:t xml:space="preserve">33、政府采购履约资金扶持政策</w:t>
      </w:r>
      <w:r>
        <w:rPr>
          <w:color w:val="000000" w:themeColor="text1"/>
          <w:highlight w:val="none"/>
        </w:rPr>
      </w:r>
      <w:r/>
    </w:p>
    <w:p>
      <w:pPr>
        <w:pStyle w:val="95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中标供应商可凭政府采购合同办理融资贷款，详情请见江苏政府采购网“政采贷”专栏。</w:t>
      </w:r>
      <w:r>
        <w:rPr>
          <w:color w:val="000000" w:themeColor="text1"/>
          <w:highlight w:val="none"/>
        </w:rPr>
      </w:r>
      <w:r/>
    </w:p>
    <w:p>
      <w:pPr>
        <w:pStyle w:val="953"/>
        <w:ind w:firstLine="42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pStyle w:val="953"/>
        <w:jc w:val="center"/>
        <w:widowControl/>
        <w:rPr>
          <w:color w:val="000000" w:themeColor="text1"/>
          <w:highlight w:val="none"/>
        </w:rPr>
        <w:outlineLvl w:val="0"/>
      </w:pPr>
      <w:r>
        <w:rPr>
          <w:rFonts w:hint="eastAsia" w:ascii="宋体" w:hAnsi="宋体" w:cs="宋体"/>
          <w:color w:val="000000" w:themeColor="text1"/>
          <w:szCs w:val="21"/>
          <w:highlight w:val="none"/>
        </w:rPr>
        <w:br w:type="page" w:clear="all"/>
      </w:r>
      <w:bookmarkStart w:id="156" w:name="_Toc21594"/>
      <w:r>
        <w:rPr>
          <w:rFonts w:hint="eastAsia" w:ascii="宋体" w:hAnsi="宋体" w:cs="宋体"/>
          <w:b/>
          <w:color w:val="000000" w:themeColor="text1"/>
          <w:sz w:val="32"/>
          <w:szCs w:val="32"/>
          <w:highlight w:val="none"/>
        </w:rPr>
        <w:t xml:space="preserve">第三章  合同文本</w:t>
      </w:r>
      <w:bookmarkEnd w:id="156"/>
      <w:r>
        <w:rPr>
          <w:color w:val="000000" w:themeColor="text1"/>
          <w:highlight w:val="none"/>
        </w:rPr>
      </w:r>
      <w:r/>
    </w:p>
    <w:p>
      <w:pPr>
        <w:pStyle w:val="953"/>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（注：本合同仅为框架性条款，中标后需按招标文件及投标文件情况进行细化，招标文件、投标文件及本条款均作为合同的重要组成部分）</w:t>
      </w:r>
      <w:r>
        <w:rPr>
          <w:color w:val="000000" w:themeColor="text1"/>
          <w:highlight w:val="none"/>
        </w:rPr>
      </w:r>
      <w:r/>
    </w:p>
    <w:p>
      <w:pPr>
        <w:pStyle w:val="953"/>
        <w:jc w:val="center"/>
        <w:spacing w:line="264" w:lineRule="auto"/>
        <w:rPr>
          <w:rFonts w:hint="eastAsia" w:ascii="宋体" w:hAnsi="宋体" w:cs="方正小标宋简体"/>
          <w:bCs/>
          <w:color w:val="000000" w:themeColor="text1"/>
          <w:sz w:val="32"/>
          <w:szCs w:val="32"/>
          <w:highlight w:val="none"/>
        </w:rPr>
      </w:pPr>
      <w:r>
        <w:rPr>
          <w:rFonts w:hint="eastAsia" w:ascii="宋体" w:hAnsi="宋体" w:cs="方正小标宋简体"/>
          <w:bCs/>
          <w:color w:val="000000" w:themeColor="text1"/>
          <w:sz w:val="32"/>
          <w:szCs w:val="32"/>
          <w:highlight w:val="none"/>
        </w:rPr>
        <w:t xml:space="preserve">合  同</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合同编号：</w:t>
      </w:r>
      <w:r>
        <w:rPr>
          <w:color w:val="000000" w:themeColor="text1"/>
          <w:highlight w:val="none"/>
        </w:rPr>
      </w:r>
      <w:r/>
    </w:p>
    <w:p>
      <w:pPr>
        <w:pStyle w:val="953"/>
        <w:ind w:firstLine="480"/>
        <w:spacing w:line="360" w:lineRule="auto"/>
        <w:widowControl/>
        <w:rPr>
          <w:rFonts w:hint="eastAsia" w:ascii="宋体" w:hAnsi="宋体" w:cs="宋体"/>
          <w:color w:val="000000" w:themeColor="text1"/>
          <w:sz w:val="24"/>
          <w:szCs w:val="24"/>
          <w:highlight w:val="none"/>
        </w:rPr>
      </w:pPr>
      <w:r>
        <w:rPr>
          <w:rFonts w:ascii="宋体" w:hAnsi="宋体" w:cs="Courier New"/>
          <w:color w:val="000000" w:themeColor="text1"/>
          <w:sz w:val="24"/>
          <w:szCs w:val="24"/>
          <w:highlight w:val="none"/>
        </w:rPr>
        <w:t xml:space="preserve">项目名称：</w:t>
      </w:r>
      <w:r>
        <w:rPr>
          <w:color w:val="000000" w:themeColor="text1"/>
          <w:highlight w:val="none"/>
        </w:rPr>
      </w:r>
      <w:r/>
    </w:p>
    <w:p>
      <w:pPr>
        <w:pStyle w:val="953"/>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项目编号</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rPr>
          <w:color w:val="000000" w:themeColor="text1"/>
          <w:highlight w:val="none"/>
        </w:rPr>
      </w:r>
      <w:r/>
    </w:p>
    <w:p>
      <w:pPr>
        <w:pStyle w:val="953"/>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甲方：（买方）</w:t>
      </w:r>
      <w:r>
        <w:rPr>
          <w:color w:val="000000" w:themeColor="text1"/>
          <w:highlight w:val="none"/>
        </w:rPr>
      </w:r>
      <w:r/>
    </w:p>
    <w:p>
      <w:pPr>
        <w:pStyle w:val="953"/>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乙方：（卖方）</w:t>
      </w:r>
      <w:r>
        <w:rPr>
          <w:color w:val="000000" w:themeColor="text1"/>
          <w:highlight w:val="none"/>
        </w:rPr>
      </w:r>
      <w:r/>
    </w:p>
    <w:p>
      <w:pPr>
        <w:pStyle w:val="953"/>
        <w:ind w:firstLine="480"/>
        <w:spacing w:line="360" w:lineRule="auto"/>
        <w:rPr>
          <w:rFonts w:hint="eastAsia" w:ascii="宋体" w:hAnsi="宋体" w:cs="Courier New"/>
          <w:b/>
          <w:color w:val="000000" w:themeColor="text1"/>
          <w:sz w:val="24"/>
          <w:szCs w:val="24"/>
          <w:highlight w:val="none"/>
        </w:rPr>
      </w:pPr>
      <w:r>
        <w:rPr>
          <w:rFonts w:ascii="宋体" w:hAnsi="宋体" w:cs="Courier New"/>
          <w:color w:val="000000" w:themeColor="text1"/>
          <w:sz w:val="24"/>
          <w:szCs w:val="24"/>
          <w:highlight w:val="none"/>
        </w:rPr>
        <w:t xml:space="preserve">甲、乙双方根据</w:t>
      </w:r>
      <w:r>
        <w:rPr>
          <w:rFonts w:hint="eastAsia" w:ascii="宋体" w:hAnsi="宋体" w:cs="宋体"/>
          <w:color w:val="000000" w:themeColor="text1"/>
          <w:sz w:val="24"/>
          <w:szCs w:val="24"/>
          <w:highlight w:val="none"/>
          <w:u w:val="single"/>
        </w:rPr>
        <w:t xml:space="preserve">X</w:t>
      </w:r>
      <w:r>
        <w:rPr>
          <w:rFonts w:ascii="宋体" w:hAnsi="宋体" w:cs="宋体"/>
          <w:color w:val="000000" w:themeColor="text1"/>
          <w:sz w:val="24"/>
          <w:szCs w:val="24"/>
          <w:highlight w:val="none"/>
          <w:u w:val="single"/>
        </w:rPr>
        <w:t xml:space="preserve">XXXXXXXXXXXXXXXXXXX</w:t>
      </w:r>
      <w:r>
        <w:rPr>
          <w:rFonts w:hint="eastAsia" w:ascii="宋体" w:hAnsi="宋体" w:cs="Courier New"/>
          <w:color w:val="000000" w:themeColor="text1"/>
          <w:sz w:val="24"/>
          <w:szCs w:val="24"/>
          <w:highlight w:val="none"/>
        </w:rPr>
        <w:t xml:space="preserve">组织的</w:t>
      </w:r>
      <w:r>
        <w:rPr>
          <w:rFonts w:hint="eastAsia" w:ascii="宋体" w:hAnsi="宋体" w:cs="宋体"/>
          <w:color w:val="000000" w:themeColor="text1"/>
          <w:sz w:val="24"/>
          <w:szCs w:val="24"/>
          <w:highlight w:val="none"/>
          <w:u w:val="single"/>
        </w:rPr>
        <w:t xml:space="preserve">南京市儿童医院X</w:t>
      </w:r>
      <w:r>
        <w:rPr>
          <w:rFonts w:ascii="宋体" w:hAnsi="宋体" w:cs="宋体"/>
          <w:color w:val="000000" w:themeColor="text1"/>
          <w:sz w:val="24"/>
          <w:szCs w:val="24"/>
          <w:highlight w:val="none"/>
          <w:u w:val="single"/>
        </w:rPr>
        <w:t xml:space="preserve">XXXXXXXXXXXXXXXXXXX</w:t>
      </w:r>
      <w:r>
        <w:rPr>
          <w:rFonts w:hint="eastAsia" w:ascii="宋体" w:hAnsi="宋体" w:cs="宋体"/>
          <w:color w:val="000000" w:themeColor="text1"/>
          <w:sz w:val="24"/>
          <w:szCs w:val="24"/>
          <w:highlight w:val="none"/>
          <w:u w:val="single"/>
        </w:rPr>
        <w:t xml:space="preserve">采购</w:t>
      </w:r>
      <w:r>
        <w:rPr>
          <w:rFonts w:ascii="宋体" w:hAnsi="宋体" w:cs="Courier New"/>
          <w:color w:val="000000" w:themeColor="text1"/>
          <w:sz w:val="24"/>
          <w:szCs w:val="24"/>
          <w:highlight w:val="none"/>
        </w:rPr>
        <w:t xml:space="preserve">项目公开招标结果，签署本合同。</w:t>
      </w:r>
      <w:r>
        <w:rPr>
          <w:color w:val="000000" w:themeColor="text1"/>
          <w:highlight w:val="none"/>
        </w:rPr>
      </w:r>
      <w:r/>
    </w:p>
    <w:p>
      <w:pPr>
        <w:pStyle w:val="953"/>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一、合同内容</w:t>
      </w:r>
      <w:r>
        <w:rPr>
          <w:color w:val="000000" w:themeColor="text1"/>
          <w:highlight w:val="none"/>
        </w:rPr>
      </w:r>
      <w:r/>
    </w:p>
    <w:p>
      <w:pPr>
        <w:pStyle w:val="953"/>
        <w:ind w:firstLine="480"/>
        <w:spacing w:line="360" w:lineRule="auto"/>
        <w:widowControl/>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 标的名称：</w:t>
      </w:r>
      <w:r>
        <w:rPr>
          <w:rFonts w:hint="eastAsia" w:ascii="宋体" w:hAnsi="宋体" w:cs="宋体"/>
          <w:color w:val="000000" w:themeColor="text1"/>
          <w:sz w:val="24"/>
          <w:szCs w:val="24"/>
          <w:highlight w:val="none"/>
        </w:rPr>
        <w:t xml:space="preserve">南京市儿童医院</w:t>
      </w:r>
      <w:r>
        <w:rPr>
          <w:rFonts w:hint="eastAsia" w:ascii="宋体" w:hAnsi="宋体" w:cs="宋体"/>
          <w:color w:val="000000" w:themeColor="text1"/>
          <w:sz w:val="24"/>
          <w:szCs w:val="24"/>
          <w:highlight w:val="none"/>
          <w:u w:val="single"/>
        </w:rPr>
        <w:t xml:space="preserve">X</w:t>
      </w:r>
      <w:r>
        <w:rPr>
          <w:rFonts w:ascii="宋体" w:hAnsi="宋体" w:cs="宋体"/>
          <w:color w:val="000000" w:themeColor="text1"/>
          <w:sz w:val="24"/>
          <w:szCs w:val="24"/>
          <w:highlight w:val="none"/>
          <w:u w:val="single"/>
        </w:rPr>
        <w:t xml:space="preserve">XXXXXXXXXXXXXXXXXXX</w:t>
      </w:r>
      <w:r>
        <w:rPr>
          <w:rFonts w:hint="eastAsia" w:ascii="宋体" w:hAnsi="宋体" w:cs="宋体"/>
          <w:color w:val="000000" w:themeColor="text1"/>
          <w:sz w:val="24"/>
          <w:szCs w:val="24"/>
          <w:highlight w:val="none"/>
        </w:rPr>
        <w:t xml:space="preserve">采购项目</w:t>
      </w:r>
      <w:r>
        <w:rPr>
          <w:color w:val="000000" w:themeColor="text1"/>
          <w:highlight w:val="none"/>
        </w:rPr>
      </w:r>
      <w:r/>
    </w:p>
    <w:p>
      <w:pPr>
        <w:pStyle w:val="953"/>
        <w:ind w:firstLine="480"/>
        <w:spacing w:line="360" w:lineRule="auto"/>
        <w:rPr>
          <w:rFonts w:hint="eastAsia" w:ascii="宋体" w:hAnsi="宋体" w:cs="宋体"/>
          <w:color w:val="000000" w:themeColor="text1"/>
          <w:sz w:val="24"/>
          <w:szCs w:val="24"/>
          <w:highlight w:val="none"/>
        </w:rPr>
      </w:pPr>
      <w:r>
        <w:rPr>
          <w:rFonts w:hint="eastAsia" w:ascii="宋体" w:hAnsi="宋体" w:cs="Courier New"/>
          <w:color w:val="000000" w:themeColor="text1"/>
          <w:sz w:val="24"/>
          <w:szCs w:val="24"/>
          <w:highlight w:val="none"/>
        </w:rPr>
        <w:t xml:space="preserve">1.2 标的质量</w:t>
      </w:r>
      <w:r>
        <w:rPr>
          <w:rFonts w:hint="eastAsia" w:ascii="宋体" w:hAnsi="宋体" w:cs="Courier New"/>
          <w:color w:val="000000" w:themeColor="text1"/>
          <w:sz w:val="24"/>
          <w:szCs w:val="24"/>
          <w:highlight w:val="none"/>
        </w:rPr>
        <w:t xml:space="preserve">：乙方</w:t>
      </w:r>
      <w:r>
        <w:rPr>
          <w:rFonts w:hint="eastAsia" w:ascii="宋体" w:hAnsi="宋体" w:cs="宋体"/>
          <w:color w:val="000000" w:themeColor="text1"/>
          <w:sz w:val="24"/>
          <w:szCs w:val="24"/>
          <w:highlight w:val="none"/>
        </w:rPr>
        <w:t xml:space="preserve">所供产品必须是全新的原装正品，符合国家规定的质量标准，不得私自添加或更改，保证所有产品原材料及部件均是全新的纯正部件，不得以废、旧材料制作，产品必须</w:t>
      </w:r>
      <w:bookmarkStart w:id="157" w:name="OLE_LINK1"/>
      <w:r>
        <w:rPr>
          <w:rFonts w:hint="eastAsia" w:ascii="宋体" w:hAnsi="宋体" w:cs="宋体"/>
          <w:color w:val="000000" w:themeColor="text1"/>
          <w:sz w:val="24"/>
          <w:szCs w:val="24"/>
          <w:highlight w:val="none"/>
        </w:rPr>
        <w:t xml:space="preserve">符合家具行业设计及甲方的品质</w:t>
      </w:r>
      <w:r>
        <w:rPr>
          <w:rFonts w:hint="eastAsia" w:ascii="宋体" w:hAnsi="宋体" w:cs="宋体"/>
          <w:color w:val="000000" w:themeColor="text1"/>
          <w:sz w:val="24"/>
          <w:szCs w:val="24"/>
          <w:highlight w:val="none"/>
        </w:rPr>
        <w:t xml:space="preserve">、环保要求。</w:t>
      </w:r>
      <w:bookmarkEnd w:id="157"/>
      <w:r>
        <w:rPr>
          <w:rFonts w:hint="eastAsia" w:ascii="宋体" w:hAnsi="宋体" w:cs="宋体"/>
          <w:color w:val="000000" w:themeColor="text1"/>
          <w:sz w:val="24"/>
          <w:szCs w:val="24"/>
          <w:highlight w:val="none"/>
        </w:rPr>
        <w:t xml:space="preserve">交货时所有家具应完好，物</w:t>
      </w:r>
      <w:r>
        <w:rPr>
          <w:rFonts w:hint="eastAsia" w:ascii="宋体" w:hAnsi="宋体" w:cs="宋体"/>
          <w:color w:val="000000" w:themeColor="text1"/>
          <w:sz w:val="24"/>
          <w:szCs w:val="24"/>
          <w:highlight w:val="none"/>
        </w:rPr>
        <w:t xml:space="preserve">品配件齐全，否则视为不合格产品。</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 标的数量（规模）：</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 履行时间（期限）：</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.5 履行地点：甲方指定地点。</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 履行方式：乙方负责送货、安装及售后服务。</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.7 包装方式：乙方提供的全部货物均应按标准保护措施进行包装，由于包装不符合标准所引起的货物损失均由乙方承担。包装内须附带产品合格证、检测报告、说明书、配件清单等相关内容。</w:t>
      </w:r>
      <w:r>
        <w:rPr>
          <w:color w:val="000000" w:themeColor="text1"/>
          <w:highlight w:val="none"/>
        </w:rPr>
      </w:r>
      <w:r/>
    </w:p>
    <w:p>
      <w:pPr>
        <w:pStyle w:val="1108"/>
        <w:ind w:left="0" w:firstLine="480"/>
        <w:spacing w:line="360" w:lineRule="auto"/>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1.8 超出金额：按照实际金额支付。</w:t>
      </w:r>
      <w:r>
        <w:rPr>
          <w:color w:val="000000" w:themeColor="text1"/>
          <w:highlight w:val="none"/>
        </w:rPr>
      </w:r>
      <w:r/>
    </w:p>
    <w:p>
      <w:pPr>
        <w:pStyle w:val="953"/>
        <w:ind w:firstLine="480"/>
        <w:spacing w:line="360" w:lineRule="auto"/>
        <w:rPr>
          <w:color w:val="000000" w:themeColor="text1"/>
          <w:highlight w:val="none"/>
        </w:rPr>
      </w:pPr>
      <w:r>
        <w:rPr>
          <w:rFonts w:hint="eastAsia" w:ascii="宋体" w:hAnsi="宋体" w:cs="Courier New"/>
          <w:color w:val="000000" w:themeColor="text1"/>
          <w:sz w:val="24"/>
          <w:szCs w:val="24"/>
          <w:highlight w:val="none"/>
        </w:rPr>
        <w:t xml:space="preserve">1.9本合同货物数量、金额原则上不得超出合同约定范围。确需增加供货的，必须履行政府采购变</w:t>
      </w:r>
      <w:r>
        <w:rPr>
          <w:rFonts w:hint="eastAsia" w:ascii="宋体" w:hAnsi="宋体" w:cs="Courier New"/>
          <w:color w:val="000000" w:themeColor="text1"/>
          <w:sz w:val="24"/>
          <w:szCs w:val="24"/>
          <w:highlight w:val="none"/>
        </w:rPr>
        <w:t xml:space="preserve">更审批程序，双方签署书面补充协议，未</w:t>
      </w:r>
      <w:r>
        <w:rPr>
          <w:rFonts w:hint="eastAsia" w:ascii="宋体" w:hAnsi="宋体" w:cs="Courier New"/>
          <w:color w:val="000000" w:themeColor="text1"/>
          <w:sz w:val="24"/>
          <w:szCs w:val="24"/>
          <w:highlight w:val="none"/>
        </w:rPr>
        <w:t xml:space="preserve">经书面补充协议，乙方擅自供货增项，甲方不予结算付款。</w:t>
      </w:r>
      <w:r>
        <w:rPr>
          <w:color w:val="000000" w:themeColor="text1"/>
          <w:highlight w:val="none"/>
        </w:rPr>
      </w:r>
      <w:r/>
    </w:p>
    <w:p>
      <w:pPr>
        <w:pStyle w:val="953"/>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二、合同金额</w:t>
      </w:r>
      <w:r>
        <w:rPr>
          <w:color w:val="000000" w:themeColor="text1"/>
          <w:highlight w:val="none"/>
        </w:rPr>
      </w:r>
      <w:r/>
    </w:p>
    <w:p>
      <w:pPr>
        <w:pStyle w:val="996"/>
        <w:ind w:firstLine="480"/>
        <w:spacing w:line="360" w:lineRule="auto"/>
        <w:rPr>
          <w:rFonts w:hint="eastAsia" w:hAnsi="宋体"/>
          <w:color w:val="000000" w:themeColor="text1"/>
          <w:sz w:val="24"/>
          <w:szCs w:val="24"/>
          <w:highlight w:val="none"/>
        </w:rPr>
      </w:pPr>
      <w:r>
        <w:rPr>
          <w:rFonts w:hAnsi="宋体"/>
          <w:color w:val="000000" w:themeColor="text1"/>
          <w:sz w:val="24"/>
          <w:szCs w:val="24"/>
          <w:highlight w:val="none"/>
        </w:rPr>
        <w:t xml:space="preserve">2.1 </w:t>
      </w:r>
      <w:r>
        <w:rPr>
          <w:rFonts w:hint="eastAsia" w:hAnsi="宋体"/>
          <w:color w:val="000000" w:themeColor="text1"/>
          <w:sz w:val="24"/>
          <w:szCs w:val="24"/>
          <w:highlight w:val="none"/>
        </w:rPr>
        <w:t xml:space="preserve">本合同金额为（大写）：人民币X</w:t>
      </w:r>
      <w:r>
        <w:rPr>
          <w:rFonts w:hAnsi="宋体"/>
          <w:color w:val="000000" w:themeColor="text1"/>
          <w:sz w:val="24"/>
          <w:szCs w:val="24"/>
          <w:highlight w:val="none"/>
        </w:rPr>
        <w:t xml:space="preserve">XXXX</w:t>
      </w:r>
      <w:r>
        <w:rPr>
          <w:rFonts w:hint="eastAsia" w:hAnsi="宋体"/>
          <w:color w:val="000000" w:themeColor="text1"/>
          <w:sz w:val="24"/>
          <w:szCs w:val="24"/>
          <w:highlight w:val="none"/>
          <w:u w:val="single"/>
        </w:rPr>
        <w:t xml:space="preserve">元整</w:t>
      </w:r>
      <w:r>
        <w:rPr>
          <w:rFonts w:hint="eastAsia" w:hAnsi="宋体"/>
          <w:color w:val="000000" w:themeColor="text1"/>
          <w:sz w:val="24"/>
          <w:szCs w:val="24"/>
          <w:highlight w:val="none"/>
        </w:rPr>
        <w:t xml:space="preserve">（</w:t>
      </w:r>
      <w:r>
        <w:rPr>
          <w:rFonts w:hAnsi="宋体"/>
          <w:color w:val="000000" w:themeColor="text1"/>
          <w:sz w:val="24"/>
          <w:szCs w:val="24"/>
          <w:highlight w:val="none"/>
          <w:u w:val="single"/>
        </w:rPr>
        <w:t xml:space="preserve">              </w:t>
      </w:r>
      <w:r>
        <w:rPr>
          <w:rFonts w:hint="eastAsia" w:hAnsi="宋体"/>
          <w:color w:val="000000" w:themeColor="text1"/>
          <w:sz w:val="24"/>
          <w:szCs w:val="24"/>
          <w:highlight w:val="none"/>
        </w:rPr>
        <w:t xml:space="preserve">元）。</w:t>
      </w:r>
      <w:r>
        <w:rPr>
          <w:color w:val="000000" w:themeColor="text1"/>
          <w:highlight w:val="none"/>
        </w:rPr>
      </w:r>
      <w:r/>
    </w:p>
    <w:p>
      <w:pPr>
        <w:pStyle w:val="996"/>
        <w:ind w:firstLine="480"/>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2.2 本合同金额为包干总价，无任何其他额外需支付的费用。单价详见附件产品价格清单，单价在合同履行期间不作调整，最终结算总价 = 实际验收合格供货数量 × 附件成交单价，不得突破财政审定预算。附件《产品价格清单》为本合同不可分割组成部分，与本合同具有同等法律效力。</w:t>
      </w:r>
      <w:r>
        <w:rPr>
          <w:color w:val="000000" w:themeColor="text1"/>
          <w:highlight w:val="none"/>
        </w:rPr>
      </w:r>
      <w:r/>
    </w:p>
    <w:p>
      <w:pPr>
        <w:pStyle w:val="953"/>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三、技术资料</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w:t>
      </w:r>
      <w:r>
        <w:rPr>
          <w:rFonts w:hint="eastAsia" w:ascii="宋体" w:hAnsi="宋体" w:cs="Courier New"/>
          <w:color w:val="000000" w:themeColor="text1"/>
          <w:sz w:val="24"/>
          <w:szCs w:val="24"/>
          <w:highlight w:val="none"/>
        </w:rPr>
        <w:t xml:space="preserve">.1乙方应按招标文件规定的时间向甲方提</w:t>
      </w:r>
      <w:r>
        <w:rPr>
          <w:rFonts w:hint="eastAsia" w:ascii="宋体" w:hAnsi="宋体" w:cs="Courier New"/>
          <w:color w:val="000000" w:themeColor="text1"/>
          <w:sz w:val="24"/>
          <w:szCs w:val="24"/>
          <w:highlight w:val="none"/>
        </w:rPr>
        <w:t xml:space="preserve">供货物(包含与货物相关的服务)的有关</w:t>
      </w:r>
      <w:r>
        <w:rPr>
          <w:rFonts w:hint="eastAsia" w:ascii="宋体" w:hAnsi="宋体" w:cs="Courier New"/>
          <w:color w:val="000000" w:themeColor="text1"/>
          <w:sz w:val="24"/>
          <w:szCs w:val="24"/>
          <w:highlight w:val="none"/>
        </w:rPr>
        <w:t xml:space="preserve">技术资料。</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w:t>
      </w:r>
      <w:r>
        <w:rPr>
          <w:rFonts w:hint="eastAsia" w:ascii="宋体" w:hAnsi="宋体" w:cs="Courier New"/>
          <w:color w:val="000000" w:themeColor="text1"/>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自本合同生效之日起至保密内容按照相关法律法规规定，以合法方式和途径将其全部披露或本合同终止后5年为止，以两者孰长为准。</w:t>
      </w:r>
      <w:r>
        <w:rPr>
          <w:color w:val="000000" w:themeColor="text1"/>
          <w:highlight w:val="none"/>
        </w:rPr>
      </w:r>
      <w:r/>
    </w:p>
    <w:p>
      <w:pPr>
        <w:pStyle w:val="953"/>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四、知识产权</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4.1乙方应保证甲方在使用、接受本合同货物（包含与货物相关的服务）或其任何一部分时不受第三方提出侵犯其专利权、著作</w:t>
      </w:r>
      <w:r>
        <w:rPr>
          <w:rFonts w:hint="eastAsia" w:ascii="宋体" w:hAnsi="宋体" w:cs="Courier New"/>
          <w:color w:val="000000" w:themeColor="text1"/>
          <w:sz w:val="24"/>
          <w:szCs w:val="24"/>
          <w:highlight w:val="none"/>
        </w:rPr>
        <w:t xml:space="preserve">权、商标权、工业设计权、商业秘密等知</w:t>
      </w:r>
      <w:r>
        <w:rPr>
          <w:rFonts w:hint="eastAsia" w:ascii="宋体" w:hAnsi="宋体" w:cs="Courier New"/>
          <w:color w:val="000000" w:themeColor="text1"/>
          <w:sz w:val="24"/>
          <w:szCs w:val="24"/>
          <w:highlight w:val="none"/>
        </w:rPr>
        <w:t xml:space="preserve">识产权的起诉。一旦出现侵权，由乙方负全部责任。乙方因侵权导致甲方涉诉，除承担全部责任外，还应当赔偿甲方包括但不限于诉讼费、律师费、商誉损失等费用。</w:t>
      </w:r>
      <w:r>
        <w:rPr>
          <w:color w:val="000000" w:themeColor="text1"/>
          <w:highlight w:val="none"/>
        </w:rPr>
      </w:r>
      <w:r/>
    </w:p>
    <w:p>
      <w:pPr>
        <w:pStyle w:val="953"/>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五、产权担保</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5.1 乙方保证所交付的货物（包含与货物相关的服务）的所有权完全属于乙方且无任何抵押、查封等产权瑕疵。</w:t>
      </w:r>
      <w:r>
        <w:rPr>
          <w:color w:val="000000" w:themeColor="text1"/>
          <w:highlight w:val="none"/>
        </w:rPr>
      </w:r>
      <w:r/>
    </w:p>
    <w:p>
      <w:pPr>
        <w:pStyle w:val="953"/>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六、履约保证金</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6.1 签订合同时，乙方按照合同金额 </w:t>
      </w:r>
      <w:r>
        <w:rPr>
          <w:rFonts w:hint="eastAsia" w:ascii="宋体" w:hAnsi="宋体" w:cs="Courier New"/>
          <w:color w:val="000000" w:themeColor="text1"/>
          <w:sz w:val="24"/>
          <w:szCs w:val="24"/>
          <w:highlight w:val="none"/>
          <w:u w:val="single"/>
        </w:rPr>
        <w:t xml:space="preserve">10</w:t>
      </w:r>
      <w:r>
        <w:rPr>
          <w:rFonts w:hint="eastAsia" w:ascii="宋体" w:hAnsi="宋体" w:cs="Courier New"/>
          <w:color w:val="000000" w:themeColor="text1"/>
          <w:sz w:val="24"/>
          <w:szCs w:val="24"/>
          <w:highlight w:val="none"/>
        </w:rPr>
        <w:t xml:space="preserve"> %缴纳履约保证金。合同履行结束后，甲方按以下约定退还：</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6.1.1 退还时间及条件：甲方验收合格且合同履行期结束后5个工作日内。</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6.1.2 退还方式</w:t>
      </w:r>
      <w:r>
        <w:rPr>
          <w:rFonts w:hint="eastAsia" w:ascii="宋体" w:hAnsi="宋体" w:cs="Courier New"/>
          <w:color w:val="000000" w:themeColor="text1"/>
          <w:sz w:val="24"/>
          <w:szCs w:val="24"/>
          <w:highlight w:val="none"/>
        </w:rPr>
        <w:t xml:space="preserve">：扣除违约费用后一次性无息退还。</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6.1.3 不予退还的情形：合同约定交付期内未履约完成、验收不合格、整改不到位等情形。</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w:t>
      </w:r>
      <w:r>
        <w:rPr>
          <w:rFonts w:hint="eastAsia" w:ascii="宋体" w:hAnsi="宋体" w:cs="Courier New"/>
          <w:color w:val="000000" w:themeColor="text1"/>
          <w:sz w:val="24"/>
          <w:szCs w:val="24"/>
          <w:highlight w:val="none"/>
        </w:rPr>
        <w:t xml:space="preserve">承担赔偿责任。如乙方采用履约保函（保</w:t>
      </w:r>
      <w:r>
        <w:rPr>
          <w:rFonts w:hint="eastAsia" w:ascii="宋体" w:hAnsi="宋体" w:cs="Courier New"/>
          <w:color w:val="000000" w:themeColor="text1"/>
          <w:sz w:val="24"/>
          <w:szCs w:val="24"/>
          <w:highlight w:val="none"/>
        </w:rPr>
        <w:t xml:space="preserve">险）代替缴纳履约保证金，保函有效期自合同生效日起5年。</w:t>
      </w:r>
      <w:r>
        <w:rPr>
          <w:color w:val="000000" w:themeColor="text1"/>
          <w:highlight w:val="none"/>
        </w:rPr>
      </w:r>
      <w:r/>
    </w:p>
    <w:p>
      <w:pPr>
        <w:pStyle w:val="953"/>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七、合同转包或分包</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7.1乙方不得将合同标的转包给他人履行。</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7.2除招标文件接受分包并经甲方同意，乙方可按分包意向协议分包情况外，乙方不得将合同标的分包给他人履行。经甲方同意分包的，乙方应当向甲方提交分包单位资质、项目人员清单，乙方就分包单位全部履约行为向甲方承担全部连带责任。</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7.3乙方如有转包或未经甲方同意的分包行为，甲方有权终止合同，乙方应当向甲方支付合同总价款20%的违约金，并赔偿甲方全部损失。</w:t>
      </w:r>
      <w:r>
        <w:rPr>
          <w:color w:val="000000" w:themeColor="text1"/>
          <w:highlight w:val="none"/>
        </w:rPr>
      </w:r>
      <w:r/>
    </w:p>
    <w:p>
      <w:pPr>
        <w:pStyle w:val="953"/>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八、合同款</w:t>
      </w:r>
      <w:r>
        <w:rPr>
          <w:rFonts w:hint="eastAsia" w:ascii="方正黑体_GBK" w:hAnsi="方正黑体_GBK" w:eastAsia="方正黑体_GBK" w:cs="方正黑体_GBK"/>
          <w:bCs/>
          <w:color w:val="000000" w:themeColor="text1"/>
          <w:sz w:val="24"/>
          <w:szCs w:val="24"/>
          <w:highlight w:val="none"/>
        </w:rPr>
        <w:t xml:space="preserve">项支付</w:t>
      </w:r>
      <w:r>
        <w:rPr>
          <w:color w:val="000000" w:themeColor="text1"/>
          <w:highlight w:val="none"/>
        </w:rPr>
      </w:r>
      <w:r/>
    </w:p>
    <w:p>
      <w:pPr>
        <w:pStyle w:val="996"/>
        <w:ind w:firstLine="480"/>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8.1合同款项的支付</w:t>
      </w:r>
      <w:r>
        <w:rPr>
          <w:rFonts w:hint="eastAsia" w:hAnsi="宋体"/>
          <w:color w:val="000000" w:themeColor="text1"/>
          <w:sz w:val="24"/>
          <w:szCs w:val="24"/>
          <w:highlight w:val="none"/>
        </w:rPr>
        <w:t xml:space="preserve">方式及时间</w:t>
      </w:r>
      <w:r>
        <w:rPr>
          <w:color w:val="000000" w:themeColor="text1"/>
          <w:highlight w:val="none"/>
        </w:rPr>
      </w:r>
      <w:r/>
    </w:p>
    <w:p>
      <w:pPr>
        <w:pStyle w:val="996"/>
        <w:ind w:firstLine="480"/>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8.1.1 合同签订后，甲方支付合同总价款的30%作为预付款。</w:t>
      </w:r>
      <w:r>
        <w:rPr>
          <w:color w:val="000000" w:themeColor="text1"/>
          <w:highlight w:val="none"/>
        </w:rPr>
      </w:r>
      <w:r/>
    </w:p>
    <w:p>
      <w:pPr>
        <w:pStyle w:val="996"/>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8.1.2 供货结束并经甲方验收合格后，甲方支付至合同总价款的80%。</w:t>
      </w:r>
      <w:r>
        <w:rPr>
          <w:color w:val="000000" w:themeColor="text1"/>
          <w:highlight w:val="none"/>
        </w:rPr>
      </w:r>
      <w:r/>
    </w:p>
    <w:p>
      <w:pPr>
        <w:pStyle w:val="996"/>
        <w:ind w:firstLine="480"/>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8.1.3如采购数量与实际使用数量不一致时，乙方应根据实际使用量供货，合同的最终结算金额经审计审定后按实际使用量乘以成交单价进行计算，项目经审计决算后支付至决算金额的97%，剩余价款质保期满后无息支付。</w:t>
      </w:r>
      <w:r>
        <w:rPr>
          <w:color w:val="000000" w:themeColor="text1"/>
          <w:highlight w:val="none"/>
        </w:rPr>
      </w:r>
      <w:r/>
    </w:p>
    <w:p>
      <w:pPr>
        <w:pStyle w:val="996"/>
        <w:ind w:firstLine="480"/>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8.1.3 满足合同约定支付条件的，甲方收到乙方发票后10个工作日内，将资金支付到合同约定的乙方账户。 </w:t>
      </w:r>
      <w:r>
        <w:rPr>
          <w:color w:val="000000" w:themeColor="text1"/>
          <w:highlight w:val="none"/>
        </w:rPr>
      </w:r>
      <w:r/>
    </w:p>
    <w:p>
      <w:pPr>
        <w:pStyle w:val="996"/>
        <w:ind w:firstLine="480"/>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8.2 根据工业和信息化部</w:t>
      </w:r>
      <w:r>
        <w:rPr>
          <w:rFonts w:hint="eastAsia" w:hAnsi="宋体"/>
          <w:color w:val="000000" w:themeColor="text1"/>
          <w:sz w:val="24"/>
          <w:szCs w:val="24"/>
          <w:highlight w:val="none"/>
        </w:rPr>
        <w:t xml:space="preserve">关于印发《保障中小企业款项支付投诉处</w:t>
      </w:r>
      <w:r>
        <w:rPr>
          <w:rFonts w:hint="eastAsia" w:hAnsi="宋体"/>
          <w:color w:val="000000" w:themeColor="text1"/>
          <w:sz w:val="24"/>
          <w:szCs w:val="24"/>
          <w:highlight w:val="none"/>
        </w:rPr>
        <w:t xml:space="preserve">理暂行办法》的通知（工信部企业〔2021〕224 号），甲方未按合同约定支付款项的，乙方可以向有关部门投诉。</w:t>
      </w:r>
      <w:r>
        <w:rPr>
          <w:color w:val="000000" w:themeColor="text1"/>
          <w:highlight w:val="none"/>
        </w:rPr>
      </w:r>
      <w:r/>
    </w:p>
    <w:p>
      <w:pPr>
        <w:pStyle w:val="953"/>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九、税费</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9.1本合同执行中的相关税费均由乙方负担。</w:t>
      </w:r>
      <w:r>
        <w:rPr>
          <w:color w:val="000000" w:themeColor="text1"/>
          <w:highlight w:val="none"/>
        </w:rPr>
      </w:r>
      <w:r/>
    </w:p>
    <w:p>
      <w:pPr>
        <w:pStyle w:val="953"/>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十、质量保修范围和保修期及售后服务</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10.1乙方应按招标文件规定的货物性能、技术要求、质量标准向甲方提供未经使用的全新产品。</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10.2乙方提供的货物在质保期内因货物本身的质量问题发生故障，乙方应负责免费更换。对达不到技术要求者，根据实际情况，经双方协商可按以下方式处理：</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10.2.1 更换：由乙方承担所发生的全</w:t>
      </w:r>
      <w:r>
        <w:rPr>
          <w:rFonts w:hint="eastAsia" w:ascii="宋体" w:hAnsi="宋体" w:cs="Courier New"/>
          <w:color w:val="000000" w:themeColor="text1"/>
          <w:sz w:val="24"/>
          <w:szCs w:val="24"/>
          <w:highlight w:val="none"/>
        </w:rPr>
        <w:t xml:space="preserve">部费用。</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10.2.2 贬值处理：由甲乙双方合议定价。</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10.2.3 退货处理：乙方应退还甲方支付的合同款，同时应承担该货物的直接费用（运输、保险、检验、货款利息及银行手续费等）。</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10.3如在使用过程中发生质量问题，乙方应在接到甲方通知后4小时内到达甲方现场。如乙方未按期到达的，承担1000元/次的违约金，累计超过三次的，甲方有权解除合同，并要求乙方承担合同总价20%的违约金。</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10.4质保期内，乙方应对货物出现的质量及安全问题负责处理解决并承担一切费用。</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10.5质保期为自交货验收合格之日起</w:t>
      </w:r>
      <w:r>
        <w:rPr>
          <w:rFonts w:hint="eastAsia" w:ascii="宋体" w:hAnsi="宋体" w:cs="Courier New"/>
          <w:color w:val="000000" w:themeColor="text1"/>
          <w:sz w:val="24"/>
          <w:szCs w:val="24"/>
          <w:highlight w:val="none"/>
          <w:u w:val="single"/>
        </w:rPr>
        <w:t xml:space="preserve"> 5 </w:t>
      </w:r>
      <w:r>
        <w:rPr>
          <w:rFonts w:hint="eastAsia" w:ascii="宋体" w:hAnsi="宋体" w:cs="Courier New"/>
          <w:color w:val="000000" w:themeColor="text1"/>
          <w:sz w:val="24"/>
          <w:szCs w:val="24"/>
          <w:highlight w:val="none"/>
        </w:rPr>
        <w:t xml:space="preserve">年，因</w:t>
      </w:r>
      <w:r>
        <w:rPr>
          <w:rFonts w:hint="eastAsia" w:ascii="宋体" w:hAnsi="宋体" w:cs="Courier New"/>
          <w:color w:val="000000" w:themeColor="text1"/>
          <w:sz w:val="24"/>
          <w:szCs w:val="24"/>
          <w:highlight w:val="none"/>
        </w:rPr>
        <w:t xml:space="preserve">人为因素出现的故障不在质保范围内。超</w:t>
      </w:r>
      <w:r>
        <w:rPr>
          <w:rFonts w:hint="eastAsia" w:ascii="宋体" w:hAnsi="宋体" w:cs="Courier New"/>
          <w:color w:val="000000" w:themeColor="text1"/>
          <w:sz w:val="24"/>
          <w:szCs w:val="24"/>
          <w:highlight w:val="none"/>
        </w:rPr>
        <w:t xml:space="preserve">过质保期的乙方负责终生维修，维修时只收取部件成本费。</w:t>
      </w:r>
      <w:r>
        <w:rPr>
          <w:color w:val="000000" w:themeColor="text1"/>
          <w:highlight w:val="none"/>
        </w:rPr>
      </w:r>
      <w:r/>
    </w:p>
    <w:p>
      <w:pPr>
        <w:pStyle w:val="953"/>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十一、项目验收</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11.1甲方依法组织履约验收工作。</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11.3对于实际使用人和甲方分离的项目，甲方邀请实际使用人参与验收。</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11.4如有必要，甲方可邀请参加本项目投标的其他供应商或第三方专业机构及专家参与验收</w:t>
      </w:r>
      <w:r>
        <w:rPr>
          <w:rFonts w:hint="eastAsia" w:ascii="宋体" w:hAnsi="宋体" w:cs="Courier New"/>
          <w:color w:val="000000" w:themeColor="text1"/>
          <w:sz w:val="24"/>
          <w:szCs w:val="24"/>
          <w:highlight w:val="none"/>
        </w:rPr>
        <w:t xml:space="preserve">，相关意见将作为验收结论的参考。</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11.5甲方成立验收小组，按照采购合同约定对乙方履约情况进行验收。</w:t>
      </w:r>
      <w:r>
        <w:rPr>
          <w:rFonts w:hint="eastAsia" w:ascii="宋体" w:hAnsi="宋体" w:cs="Courier New"/>
          <w:color w:val="000000" w:themeColor="text1"/>
          <w:sz w:val="24"/>
          <w:szCs w:val="24"/>
          <w:highlight w:val="none"/>
        </w:rPr>
        <w:t xml:space="preserve">验</w:t>
      </w:r>
      <w:r>
        <w:rPr>
          <w:rFonts w:hint="eastAsia" w:ascii="宋体" w:hAnsi="宋体" w:cs="Courier New"/>
          <w:color w:val="000000" w:themeColor="text1"/>
          <w:sz w:val="24"/>
          <w:szCs w:val="24"/>
          <w:highlight w:val="none"/>
        </w:rPr>
        <w:t xml:space="preserve">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000000" w:themeColor="text1"/>
          <w:sz w:val="24"/>
          <w:szCs w:val="24"/>
          <w:highlight w:val="none"/>
        </w:rPr>
        <w:t xml:space="preserve">中华人民共和国民法典》。乙方在履约过</w:t>
      </w:r>
      <w:r>
        <w:rPr>
          <w:rFonts w:hint="eastAsia" w:ascii="宋体" w:hAnsi="宋体" w:cs="Courier New"/>
          <w:color w:val="000000" w:themeColor="text1"/>
          <w:sz w:val="24"/>
          <w:szCs w:val="24"/>
          <w:highlight w:val="none"/>
        </w:rPr>
        <w:t xml:space="preserve">程中有政府采购法律法规规定的违法违规情形的，甲方将及时报告本级财政部门。</w:t>
      </w:r>
      <w:r>
        <w:rPr>
          <w:color w:val="000000" w:themeColor="text1"/>
          <w:highlight w:val="none"/>
        </w:rPr>
      </w:r>
      <w:r/>
    </w:p>
    <w:p>
      <w:pPr>
        <w:pStyle w:val="953"/>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十二、货物的包装、发运及运输</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12.</w:t>
      </w:r>
      <w:r>
        <w:rPr>
          <w:rFonts w:hint="eastAsia" w:ascii="宋体" w:hAnsi="宋体" w:cs="Courier New"/>
          <w:color w:val="000000" w:themeColor="text1"/>
          <w:sz w:val="24"/>
          <w:szCs w:val="24"/>
          <w:highlight w:val="none"/>
        </w:rPr>
        <w:t xml:space="preserve">1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12.2使用说明书、质量检验证明书、随配附件和工具以及清单一并附于货物内。</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12.3乙方在货物发运手续办理完毕后24小时内或货到甲方48小时前通知甲方，以</w:t>
      </w:r>
      <w:r>
        <w:rPr>
          <w:rFonts w:hint="eastAsia" w:ascii="宋体" w:hAnsi="宋体" w:cs="Courier New"/>
          <w:color w:val="000000" w:themeColor="text1"/>
          <w:sz w:val="24"/>
          <w:szCs w:val="24"/>
          <w:highlight w:val="none"/>
        </w:rPr>
        <w:t xml:space="preserve">准备接货。</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12.4货物在交付甲方前发生的风险均由乙方负责。</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12.5货物在规定的交付期限内由乙方送达甲方指定的地点视为交付，乙方同时需通知甲方货物已送达。</w:t>
      </w:r>
      <w:r>
        <w:rPr>
          <w:color w:val="000000" w:themeColor="text1"/>
          <w:highlight w:val="none"/>
        </w:rPr>
      </w:r>
      <w:r/>
    </w:p>
    <w:p>
      <w:pPr>
        <w:pStyle w:val="953"/>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十三、违约责任</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13.1甲方无正当理由拒收货物</w:t>
      </w:r>
      <w:r>
        <w:rPr>
          <w:rFonts w:hint="eastAsia" w:ascii="宋体" w:hAnsi="宋体" w:cs="Courier New"/>
          <w:color w:val="000000" w:themeColor="text1"/>
          <w:sz w:val="24"/>
          <w:szCs w:val="24"/>
          <w:highlight w:val="none"/>
        </w:rPr>
        <w:t xml:space="preserve">的，应向乙方偿付拒收货物总价款</w:t>
      </w:r>
      <w:r>
        <w:rPr>
          <w:rFonts w:hint="eastAsia" w:ascii="宋体" w:hAnsi="宋体" w:cs="Courier New"/>
          <w:color w:val="000000" w:themeColor="text1"/>
          <w:sz w:val="24"/>
          <w:szCs w:val="24"/>
          <w:highlight w:val="none"/>
          <w:u w:val="single"/>
        </w:rPr>
        <w:t xml:space="preserve">5%</w:t>
      </w:r>
      <w:r>
        <w:rPr>
          <w:rFonts w:hint="eastAsia" w:ascii="宋体" w:hAnsi="宋体" w:cs="Courier New"/>
          <w:color w:val="000000" w:themeColor="text1"/>
          <w:sz w:val="24"/>
          <w:szCs w:val="24"/>
          <w:highlight w:val="none"/>
        </w:rPr>
        <w:t xml:space="preserve">的违约金。</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13.2甲方无故逾期验收和办理货款支付手续的，应按逾期付款总额每日</w:t>
      </w:r>
      <w:r>
        <w:rPr>
          <w:rFonts w:hint="eastAsia" w:ascii="宋体" w:hAnsi="宋体" w:cs="Courier New"/>
          <w:color w:val="000000" w:themeColor="text1"/>
          <w:sz w:val="24"/>
          <w:szCs w:val="24"/>
          <w:highlight w:val="none"/>
          <w:u w:val="single"/>
        </w:rPr>
        <w:t xml:space="preserve">0.5‰</w:t>
      </w:r>
      <w:r>
        <w:rPr>
          <w:rFonts w:hint="eastAsia" w:ascii="宋体" w:hAnsi="宋体" w:cs="Courier New"/>
          <w:color w:val="000000" w:themeColor="text1"/>
          <w:sz w:val="24"/>
          <w:szCs w:val="24"/>
          <w:highlight w:val="none"/>
        </w:rPr>
        <w:t xml:space="preserve">向乙方支付违约金。</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13.3乙方逾期交付货物的，应按逾期交货总额每日</w:t>
      </w:r>
      <w:r>
        <w:rPr>
          <w:rFonts w:hint="eastAsia" w:ascii="宋体" w:hAnsi="宋体" w:cs="Courier New"/>
          <w:color w:val="000000" w:themeColor="text1"/>
          <w:sz w:val="24"/>
          <w:szCs w:val="24"/>
          <w:highlight w:val="none"/>
          <w:u w:val="single"/>
        </w:rPr>
        <w:t xml:space="preserve">0.5‰</w:t>
      </w:r>
      <w:r>
        <w:rPr>
          <w:rFonts w:hint="eastAsia" w:ascii="宋体" w:hAnsi="宋体" w:cs="Courier New"/>
          <w:color w:val="000000" w:themeColor="text1"/>
          <w:sz w:val="24"/>
          <w:szCs w:val="24"/>
          <w:highlight w:val="none"/>
        </w:rPr>
        <w:t xml:space="preserve">向甲方支付违约金，由甲方从待付货款中扣除。逾期超过约定日期10个工作日不能交货的，甲方有权解除本合同。乙方因逾期</w:t>
      </w:r>
      <w:r>
        <w:rPr>
          <w:rFonts w:hint="eastAsia" w:ascii="宋体" w:hAnsi="宋体" w:cs="Courier New"/>
          <w:color w:val="000000" w:themeColor="text1"/>
          <w:sz w:val="24"/>
          <w:szCs w:val="24"/>
          <w:highlight w:val="none"/>
        </w:rPr>
        <w:t xml:space="preserve">交货或因其他违约行为导致甲方解除合同</w:t>
      </w:r>
      <w:r>
        <w:rPr>
          <w:rFonts w:hint="eastAsia" w:ascii="宋体" w:hAnsi="宋体" w:cs="Courier New"/>
          <w:color w:val="000000" w:themeColor="text1"/>
          <w:sz w:val="24"/>
          <w:szCs w:val="24"/>
          <w:highlight w:val="none"/>
        </w:rPr>
        <w:t xml:space="preserve">的，应向甲方支付合同总价</w:t>
      </w:r>
      <w:r>
        <w:rPr>
          <w:rFonts w:hint="eastAsia" w:ascii="宋体" w:hAnsi="宋体" w:cs="Courier New"/>
          <w:color w:val="000000" w:themeColor="text1"/>
          <w:sz w:val="24"/>
          <w:szCs w:val="24"/>
          <w:highlight w:val="none"/>
          <w:u w:val="single"/>
        </w:rPr>
        <w:t xml:space="preserve">20%</w:t>
      </w:r>
      <w:r>
        <w:rPr>
          <w:rFonts w:hint="eastAsia" w:ascii="宋体" w:hAnsi="宋体" w:cs="Courier New"/>
          <w:color w:val="000000" w:themeColor="text1"/>
          <w:sz w:val="24"/>
          <w:szCs w:val="24"/>
          <w:highlight w:val="none"/>
        </w:rPr>
        <w:t xml:space="preserve">的违约金</w:t>
      </w:r>
      <w:r>
        <w:rPr>
          <w:rFonts w:hint="eastAsia" w:ascii="宋体" w:hAnsi="宋体" w:cs="Courier New"/>
          <w:color w:val="000000" w:themeColor="text1"/>
          <w:sz w:val="24"/>
          <w:szCs w:val="24"/>
          <w:highlight w:val="none"/>
        </w:rPr>
        <w:t xml:space="preserve">。 </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13.4 乙方所交付的货物合格证等材料、品种、型号、规格、技术参数、质量不符合合同规定及招标文件规定标准的，甲方有权拒收该货物，乙方愿意更换货物但逾期交货的，按乙方逾期交货处理。乙方拒绝更换货物的，甲方有权单方面解除合同，除赔偿甲方因此遭受的损失外，还应另行承担合同总价20%的违约金。</w:t>
      </w:r>
      <w:r>
        <w:rPr>
          <w:color w:val="000000" w:themeColor="text1"/>
          <w:highlight w:val="none"/>
        </w:rPr>
      </w:r>
      <w:r/>
    </w:p>
    <w:p>
      <w:pPr>
        <w:pStyle w:val="953"/>
        <w:ind w:firstLine="480"/>
        <w:spacing w:line="360" w:lineRule="auto"/>
        <w:rPr>
          <w:color w:val="000000" w:themeColor="text1"/>
          <w:sz w:val="24"/>
          <w:szCs w:val="24"/>
          <w:highlight w:val="none"/>
        </w:rPr>
      </w:pPr>
      <w:r>
        <w:rPr>
          <w:rFonts w:hint="eastAsia" w:ascii="宋体" w:hAnsi="宋体" w:cs="Courier New"/>
          <w:color w:val="000000" w:themeColor="text1"/>
          <w:sz w:val="24"/>
          <w:szCs w:val="24"/>
          <w:highlight w:val="none"/>
        </w:rPr>
        <w:t xml:space="preserve">13.5 甲乙双方任何一方违反本合同约定的，除应承担上述违约责任外，违约方还应当赔偿因此给守约方造成的损失（包括但不限于诉讼费、保全费、保全担保</w:t>
      </w:r>
      <w:r>
        <w:rPr>
          <w:rFonts w:hint="eastAsia" w:ascii="宋体" w:hAnsi="宋体" w:cs="Courier New"/>
          <w:color w:val="000000" w:themeColor="text1"/>
          <w:sz w:val="24"/>
          <w:szCs w:val="24"/>
          <w:highlight w:val="none"/>
        </w:rPr>
        <w:t xml:space="preserve">费、律师费、公证费、鉴定费、差旅费等</w:t>
      </w:r>
      <w:r>
        <w:rPr>
          <w:rFonts w:hint="eastAsia" w:ascii="宋体" w:hAnsi="宋体" w:cs="Courier New"/>
          <w:color w:val="000000" w:themeColor="text1"/>
          <w:sz w:val="24"/>
          <w:szCs w:val="24"/>
          <w:highlight w:val="none"/>
        </w:rPr>
        <w:t xml:space="preserve">）。</w:t>
      </w:r>
      <w:r>
        <w:rPr>
          <w:color w:val="000000" w:themeColor="text1"/>
          <w:highlight w:val="none"/>
        </w:rPr>
      </w:r>
      <w:r/>
    </w:p>
    <w:p>
      <w:pPr>
        <w:pStyle w:val="953"/>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十四、不可抗力事件处理</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14.1 在合同有效期内，任何一方因不可抗力事件导致不能履行合同，则合同履行期可延长，其延长期与不可抗力影响期相同。</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14.2 不可抗力事件发生后，应立即通知对方并寄送有关权威机构出具的证明。</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14.3 不可抗力事件延续120天以上，双方应通过友好协商确定是否继续履行合同。</w:t>
      </w:r>
      <w:r>
        <w:rPr>
          <w:color w:val="000000" w:themeColor="text1"/>
          <w:highlight w:val="none"/>
        </w:rPr>
      </w:r>
      <w:r/>
    </w:p>
    <w:p>
      <w:pPr>
        <w:pStyle w:val="953"/>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十五、解决争议的方法</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15.1甲乙双方因合同签订、履行而发生的一切争议，应通过友好协商解决。协商不成的由甲方住所地人民法院管辖。</w:t>
      </w:r>
      <w:r>
        <w:rPr>
          <w:color w:val="000000" w:themeColor="text1"/>
          <w:highlight w:val="none"/>
        </w:rPr>
      </w:r>
      <w:r/>
    </w:p>
    <w:p>
      <w:pPr>
        <w:pStyle w:val="953"/>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十六、合同生效及其它</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16.1 本合同经</w:t>
      </w:r>
      <w:r>
        <w:rPr>
          <w:rFonts w:hint="eastAsia" w:ascii="宋体" w:hAnsi="宋体" w:cs="Courier New"/>
          <w:color w:val="000000" w:themeColor="text1"/>
          <w:sz w:val="24"/>
          <w:szCs w:val="24"/>
          <w:highlight w:val="none"/>
        </w:rPr>
        <w:t xml:space="preserve">双方加盖单位公章</w:t>
      </w:r>
      <w:r>
        <w:rPr>
          <w:rFonts w:ascii="宋体" w:hAnsi="宋体" w:cs="Courier New"/>
          <w:color w:val="000000" w:themeColor="text1"/>
          <w:sz w:val="24"/>
          <w:szCs w:val="24"/>
          <w:highlight w:val="none"/>
        </w:rPr>
        <w:t xml:space="preserve">或合</w:t>
      </w:r>
      <w:r>
        <w:rPr>
          <w:rFonts w:ascii="宋体" w:hAnsi="宋体" w:cs="Courier New"/>
          <w:color w:val="000000" w:themeColor="text1"/>
          <w:sz w:val="24"/>
          <w:szCs w:val="24"/>
          <w:highlight w:val="none"/>
        </w:rPr>
        <w:t xml:space="preserve">同专用章</w:t>
      </w:r>
      <w:r>
        <w:rPr>
          <w:rFonts w:hint="eastAsia" w:ascii="宋体" w:hAnsi="宋体" w:cs="Courier New"/>
          <w:color w:val="000000" w:themeColor="text1"/>
          <w:sz w:val="24"/>
          <w:szCs w:val="24"/>
          <w:highlight w:val="none"/>
        </w:rPr>
        <w:t xml:space="preserve">后生效。</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16.2本合同未尽事宜，遵照《中华人民共和国民法典》《中华人民共和国政府采购法》有关条文执行。</w:t>
      </w:r>
      <w:r>
        <w:rPr>
          <w:color w:val="000000" w:themeColor="text1"/>
          <w:highlight w:val="none"/>
        </w:rPr>
      </w:r>
      <w:r/>
    </w:p>
    <w:p>
      <w:pPr>
        <w:pStyle w:val="953"/>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16.3 本合同正本一式</w:t>
      </w:r>
      <w:r>
        <w:rPr>
          <w:rFonts w:hint="eastAsia" w:ascii="宋体" w:hAnsi="宋体" w:cs="Courier New"/>
          <w:color w:val="000000" w:themeColor="text1"/>
          <w:sz w:val="24"/>
          <w:szCs w:val="24"/>
          <w:highlight w:val="none"/>
          <w:u w:val="single"/>
        </w:rPr>
        <w:t xml:space="preserve"> </w:t>
      </w:r>
      <w:r>
        <w:rPr>
          <w:rFonts w:hint="eastAsia" w:ascii="宋体" w:hAnsi="宋体" w:cs="Courier New"/>
          <w:color w:val="000000" w:themeColor="text1"/>
          <w:sz w:val="24"/>
          <w:szCs w:val="24"/>
          <w:highlight w:val="none"/>
        </w:rPr>
        <w:t xml:space="preserve">份，甲方执</w:t>
      </w:r>
      <w:r>
        <w:rPr>
          <w:rFonts w:hint="eastAsia" w:ascii="宋体" w:hAnsi="宋体" w:cs="Courier New"/>
          <w:color w:val="000000" w:themeColor="text1"/>
          <w:sz w:val="24"/>
          <w:szCs w:val="24"/>
          <w:highlight w:val="none"/>
          <w:u w:val="single"/>
        </w:rPr>
        <w:t xml:space="preserve"> </w:t>
      </w:r>
      <w:r>
        <w:rPr>
          <w:rFonts w:hint="eastAsia" w:ascii="宋体" w:hAnsi="宋体" w:cs="Courier New"/>
          <w:color w:val="000000" w:themeColor="text1"/>
          <w:sz w:val="24"/>
          <w:szCs w:val="24"/>
          <w:highlight w:val="none"/>
        </w:rPr>
        <w:t xml:space="preserve">份，乙方执</w:t>
      </w:r>
      <w:r>
        <w:rPr>
          <w:rFonts w:hint="eastAsia" w:ascii="宋体" w:hAnsi="宋体" w:cs="Courier New"/>
          <w:color w:val="000000" w:themeColor="text1"/>
          <w:sz w:val="24"/>
          <w:szCs w:val="24"/>
          <w:highlight w:val="none"/>
          <w:u w:val="single"/>
        </w:rPr>
        <w:t xml:space="preserve"> </w:t>
      </w:r>
      <w:r>
        <w:rPr>
          <w:rFonts w:hint="eastAsia" w:ascii="宋体" w:hAnsi="宋体" w:cs="Courier New"/>
          <w:color w:val="000000" w:themeColor="text1"/>
          <w:sz w:val="24"/>
          <w:szCs w:val="24"/>
          <w:highlight w:val="none"/>
        </w:rPr>
        <w:t xml:space="preserve">份，具有同等法律效力。</w:t>
      </w:r>
      <w:r>
        <w:rPr>
          <w:color w:val="000000" w:themeColor="text1"/>
          <w:highlight w:val="none"/>
        </w:rPr>
      </w:r>
      <w:r/>
    </w:p>
    <w:p>
      <w:pPr>
        <w:pStyle w:val="996"/>
        <w:ind w:firstLine="480"/>
        <w:spacing w:line="360" w:lineRule="auto"/>
        <w:rPr>
          <w:rFonts w:hint="eastAsia" w:hAnsi="宋体"/>
          <w:color w:val="000000" w:themeColor="text1"/>
          <w:sz w:val="24"/>
          <w:szCs w:val="24"/>
          <w:highlight w:val="none"/>
        </w:rPr>
      </w:pPr>
      <w:r>
        <w:rPr>
          <w:color w:val="000000" w:themeColor="text1"/>
          <w:highlight w:val="none"/>
        </w:rPr>
      </w:r>
      <w:bookmarkStart w:id="158" w:name="_Hlt16619369"/>
      <w:r>
        <w:rPr>
          <w:color w:val="000000" w:themeColor="text1"/>
          <w:highlight w:val="none"/>
        </w:rPr>
      </w:r>
      <w:bookmarkEnd w:id="158"/>
      <w:r>
        <w:rPr>
          <w:color w:val="000000" w:themeColor="text1"/>
          <w:highlight w:val="none"/>
        </w:rPr>
      </w:r>
      <w:r/>
    </w:p>
    <w:p>
      <w:pPr>
        <w:pStyle w:val="996"/>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r>
      <w:r>
        <w:rPr>
          <w:color w:val="000000" w:themeColor="text1"/>
          <w:highlight w:val="none"/>
        </w:rPr>
      </w:r>
      <w:r/>
    </w:p>
    <w:p>
      <w:pPr>
        <w:pStyle w:val="996"/>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r>
      <w:r>
        <w:rPr>
          <w:color w:val="000000" w:themeColor="text1"/>
          <w:highlight w:val="none"/>
        </w:rPr>
      </w:r>
      <w:r/>
    </w:p>
    <w:p>
      <w:pPr>
        <w:pStyle w:val="996"/>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r>
      <w:r>
        <w:rPr>
          <w:color w:val="000000" w:themeColor="text1"/>
          <w:highlight w:val="none"/>
        </w:rPr>
      </w:r>
      <w:r/>
    </w:p>
    <w:p>
      <w:pPr>
        <w:pStyle w:val="996"/>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r>
      <w:r>
        <w:rPr>
          <w:color w:val="000000" w:themeColor="text1"/>
          <w:highlight w:val="none"/>
        </w:rPr>
      </w:r>
      <w:r/>
    </w:p>
    <w:p>
      <w:pPr>
        <w:pStyle w:val="996"/>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r>
      <w:r>
        <w:rPr>
          <w:color w:val="000000" w:themeColor="text1"/>
          <w:highlight w:val="none"/>
        </w:rPr>
      </w:r>
      <w:r/>
    </w:p>
    <w:p>
      <w:pPr>
        <w:pStyle w:val="996"/>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r>
      <w:r>
        <w:rPr>
          <w:color w:val="000000" w:themeColor="text1"/>
          <w:highlight w:val="none"/>
        </w:rPr>
      </w:r>
      <w:r/>
    </w:p>
    <w:p>
      <w:pPr>
        <w:pStyle w:val="996"/>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甲方：(章)南京市儿童医院            乙方：(章)</w:t>
      </w:r>
      <w:r>
        <w:rPr>
          <w:rFonts w:hAnsi="宋体"/>
          <w:color w:val="000000" w:themeColor="text1"/>
          <w:sz w:val="24"/>
          <w:szCs w:val="24"/>
          <w:highlight w:val="none"/>
        </w:rPr>
        <w:t xml:space="preserve"> </w:t>
      </w:r>
      <w:r>
        <w:rPr>
          <w:color w:val="000000" w:themeColor="text1"/>
          <w:highlight w:val="none"/>
        </w:rPr>
      </w:r>
      <w:r/>
    </w:p>
    <w:p>
      <w:pPr>
        <w:pStyle w:val="996"/>
        <w:spacing w:before="100" w:beforeAutospacing="1"/>
        <w:rPr>
          <w:rFonts w:hint="eastAsia" w:hAnsi="宋体"/>
          <w:color w:val="000000" w:themeColor="text1"/>
          <w:sz w:val="24"/>
          <w:szCs w:val="24"/>
          <w:highlight w:val="none"/>
        </w:rPr>
      </w:pPr>
      <w:r>
        <w:rPr>
          <w:rFonts w:hint="eastAsia" w:hAnsi="宋体"/>
          <w:color w:val="000000" w:themeColor="text1"/>
          <w:sz w:val="24"/>
          <w:szCs w:val="24"/>
          <w:highlight w:val="none"/>
        </w:rPr>
        <w:t xml:space="preserve">法定代表人或授权代表人：            法定代表人或授权代表人：</w:t>
      </w:r>
      <w:r>
        <w:rPr>
          <w:color w:val="000000" w:themeColor="text1"/>
          <w:highlight w:val="none"/>
        </w:rPr>
      </w:r>
      <w:r/>
    </w:p>
    <w:p>
      <w:pPr>
        <w:pStyle w:val="996"/>
        <w:spacing w:after="100" w:afterAutospacing="1"/>
        <w:rPr>
          <w:rFonts w:hint="eastAsia" w:hAnsi="宋体"/>
          <w:color w:val="000000" w:themeColor="text1"/>
          <w:sz w:val="24"/>
          <w:szCs w:val="24"/>
          <w:highlight w:val="none"/>
        </w:rPr>
      </w:pPr>
      <w:r>
        <w:rPr>
          <w:rFonts w:hAnsi="宋体"/>
          <w:color w:val="000000" w:themeColor="text1"/>
          <w:sz w:val="24"/>
          <w:szCs w:val="24"/>
          <w:highlight w:val="none"/>
        </w:rPr>
        <w:t xml:space="preserve">（签章）</w:t>
      </w:r>
      <w:r>
        <w:rPr>
          <w:rFonts w:hint="eastAsia" w:hAnsi="宋体"/>
          <w:color w:val="000000" w:themeColor="text1"/>
          <w:sz w:val="24"/>
          <w:szCs w:val="24"/>
          <w:highlight w:val="none"/>
        </w:rPr>
        <w:t xml:space="preserve">                            （签章）</w:t>
      </w:r>
      <w:r>
        <w:rPr>
          <w:color w:val="000000" w:themeColor="text1"/>
          <w:highlight w:val="none"/>
        </w:rPr>
      </w:r>
      <w:r/>
    </w:p>
    <w:p>
      <w:pPr>
        <w:pStyle w:val="996"/>
        <w:spacing w:before="100" w:beforeAutospacing="1" w:after="100" w:afterAutospacing="1"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日期：                              日期： </w:t>
      </w:r>
      <w:r>
        <w:rPr>
          <w:color w:val="000000" w:themeColor="text1"/>
          <w:highlight w:val="none"/>
        </w:rPr>
      </w:r>
      <w:r/>
    </w:p>
    <w:p>
      <w:pPr>
        <w:pStyle w:val="996"/>
        <w:spacing w:line="48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地址：南京市鼓楼区广州路72号   </w:t>
      </w:r>
      <w:r>
        <w:rPr>
          <w:rFonts w:hint="eastAsia" w:hAnsi="宋体"/>
          <w:color w:val="000000" w:themeColor="text1"/>
          <w:sz w:val="24"/>
          <w:szCs w:val="24"/>
          <w:highlight w:val="none"/>
        </w:rPr>
        <w:t xml:space="preserve">    地址：</w:t>
      </w:r>
      <w:r>
        <w:rPr>
          <w:color w:val="000000" w:themeColor="text1"/>
          <w:highlight w:val="none"/>
        </w:rPr>
      </w:r>
      <w:r/>
    </w:p>
    <w:p>
      <w:pPr>
        <w:pStyle w:val="996"/>
        <w:spacing w:line="48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开户银行：农行南京市广州路支行      开户银行：</w:t>
      </w:r>
      <w:r>
        <w:rPr>
          <w:rFonts w:hAnsi="宋体"/>
          <w:color w:val="000000" w:themeColor="text1"/>
          <w:sz w:val="24"/>
          <w:szCs w:val="24"/>
          <w:highlight w:val="none"/>
        </w:rPr>
        <w:t xml:space="preserve"> </w:t>
      </w:r>
      <w:r>
        <w:rPr>
          <w:color w:val="000000" w:themeColor="text1"/>
          <w:highlight w:val="none"/>
        </w:rPr>
      </w:r>
      <w:r/>
    </w:p>
    <w:p>
      <w:pPr>
        <w:pStyle w:val="996"/>
        <w:spacing w:line="48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账号：10100301040000177              账号：</w:t>
      </w:r>
      <w:r>
        <w:rPr>
          <w:color w:val="000000" w:themeColor="text1"/>
          <w:highlight w:val="none"/>
        </w:rPr>
      </w:r>
      <w:r/>
    </w:p>
    <w:p>
      <w:pPr>
        <w:pStyle w:val="996"/>
        <w:jc w:val="left"/>
        <w:spacing w:before="120" w:after="120" w:line="264" w:lineRule="auto"/>
        <w:rPr>
          <w:rFonts w:hint="eastAsia" w:hAnsi="宋体"/>
          <w:color w:val="000000" w:themeColor="text1"/>
          <w:sz w:val="24"/>
          <w:szCs w:val="24"/>
          <w:highlight w:val="none"/>
        </w:rPr>
      </w:pPr>
      <w:r>
        <w:rPr>
          <w:rFonts w:hint="eastAsia" w:hAnsi="宋体"/>
          <w:color w:val="000000" w:themeColor="text1"/>
          <w:sz w:val="24"/>
          <w:szCs w:val="24"/>
          <w:highlight w:val="none"/>
        </w:rPr>
      </w:r>
      <w:r>
        <w:rPr>
          <w:color w:val="000000" w:themeColor="text1"/>
          <w:highlight w:val="none"/>
        </w:rPr>
      </w:r>
      <w:r/>
    </w:p>
    <w:p>
      <w:pPr>
        <w:pStyle w:val="996"/>
        <w:jc w:val="left"/>
        <w:spacing w:before="120" w:after="120" w:line="264" w:lineRule="auto"/>
        <w:rPr>
          <w:rFonts w:hint="eastAsia" w:hAnsi="宋体"/>
          <w:color w:val="000000" w:themeColor="text1"/>
          <w:sz w:val="24"/>
          <w:szCs w:val="24"/>
          <w:highlight w:val="none"/>
        </w:rPr>
      </w:pPr>
      <w:r>
        <w:rPr>
          <w:rFonts w:hint="eastAsia" w:hAnsi="宋体"/>
          <w:color w:val="000000" w:themeColor="text1"/>
          <w:sz w:val="24"/>
          <w:szCs w:val="24"/>
          <w:highlight w:val="none"/>
        </w:rPr>
      </w:r>
      <w:r>
        <w:rPr>
          <w:color w:val="000000" w:themeColor="text1"/>
          <w:highlight w:val="none"/>
        </w:rPr>
      </w:r>
      <w:r/>
    </w:p>
    <w:p>
      <w:pPr>
        <w:pStyle w:val="996"/>
        <w:spacing w:before="120" w:after="120" w:line="264" w:lineRule="auto"/>
        <w:rPr>
          <w:rFonts w:hint="eastAsia" w:hAnsi="宋体"/>
          <w:color w:val="000000" w:themeColor="text1"/>
          <w:sz w:val="24"/>
          <w:szCs w:val="24"/>
          <w:highlight w:val="none"/>
        </w:rPr>
      </w:pPr>
      <w:r>
        <w:rPr>
          <w:rFonts w:hAnsi="宋体"/>
          <w:color w:val="000000" w:themeColor="text1"/>
          <w:sz w:val="24"/>
          <w:szCs w:val="24"/>
          <w:highlight w:val="none"/>
        </w:rPr>
        <w:t xml:space="preserve">附件：</w:t>
      </w:r>
      <w:r>
        <w:rPr>
          <w:color w:val="000000" w:themeColor="text1"/>
          <w:highlight w:val="none"/>
        </w:rPr>
      </w:r>
      <w:r/>
    </w:p>
    <w:p>
      <w:pPr>
        <w:pStyle w:val="996"/>
        <w:jc w:val="center"/>
        <w:spacing w:before="120" w:after="120"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产品价格清单</w:t>
      </w:r>
      <w:r>
        <w:rPr>
          <w:color w:val="000000" w:themeColor="text1"/>
          <w:highlight w:val="none"/>
        </w:rPr>
      </w:r>
      <w:r/>
    </w:p>
    <w:p>
      <w:pPr>
        <w:pStyle w:val="953"/>
        <w:rPr>
          <w:rFonts w:hint="eastAsia" w:hAnsi="宋体"/>
          <w:color w:val="000000" w:themeColor="text1"/>
          <w:sz w:val="24"/>
          <w:szCs w:val="24"/>
          <w:highlight w:val="none"/>
        </w:rPr>
      </w:pPr>
      <w:r>
        <w:rPr>
          <w:rFonts w:hint="eastAsia" w:hAnsi="宋体"/>
          <w:color w:val="000000" w:themeColor="text1"/>
          <w:sz w:val="24"/>
          <w:szCs w:val="24"/>
          <w:highlight w:val="none"/>
        </w:rPr>
        <w:br w:type="page" w:clear="all"/>
      </w:r>
      <w:r>
        <w:rPr>
          <w:color w:val="000000" w:themeColor="text1"/>
          <w:highlight w:val="none"/>
        </w:rPr>
      </w:r>
      <w:r/>
    </w:p>
    <w:p>
      <w:pPr>
        <w:pStyle w:val="953"/>
        <w:jc w:val="center"/>
        <w:spacing w:line="600" w:lineRule="exact"/>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t xml:space="preserve">医疗卫生机构廉洁购销合同</w:t>
      </w:r>
      <w:r>
        <w:rPr>
          <w:color w:val="000000" w:themeColor="text1"/>
          <w:highlight w:val="none"/>
        </w:rPr>
      </w:r>
      <w:r/>
    </w:p>
    <w:p>
      <w:pPr>
        <w:pStyle w:val="953"/>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pStyle w:val="953"/>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甲方（医疗卫生机构）： 南京市儿童医院</w:t>
      </w:r>
      <w:r>
        <w:rPr>
          <w:color w:val="000000" w:themeColor="text1"/>
          <w:highlight w:val="none"/>
        </w:rPr>
      </w:r>
      <w:r/>
    </w:p>
    <w:p>
      <w:pPr>
        <w:pStyle w:val="953"/>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乙方（企业及其代理人）：</w:t>
      </w:r>
      <w:r>
        <w:rPr>
          <w:rFonts w:ascii="宋体" w:hAnsi="宋体" w:cs="宋体"/>
          <w:color w:val="000000" w:themeColor="text1"/>
          <w:szCs w:val="21"/>
          <w:highlight w:val="none"/>
        </w:rPr>
        <w:t xml:space="preserve"> </w:t>
      </w:r>
      <w:r>
        <w:rPr>
          <w:color w:val="000000" w:themeColor="text1"/>
          <w:highlight w:val="none"/>
        </w:rPr>
      </w:r>
      <w:r/>
    </w:p>
    <w:p>
      <w:pPr>
        <w:pStyle w:val="953"/>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为进一步加强医疗卫生行风建设，规范医疗卫生机构购销行为，有效防范商业贿赂行为，营造公平交易、诚实守信的购销环境，经甲、乙双方协商，同意签订本合同，并共同遵守：</w:t>
      </w:r>
      <w:r>
        <w:rPr>
          <w:color w:val="000000" w:themeColor="text1"/>
          <w:highlight w:val="none"/>
        </w:rPr>
      </w:r>
      <w:r/>
    </w:p>
    <w:p>
      <w:pPr>
        <w:pStyle w:val="953"/>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一、甲乙双方按照《中华人民共和国民法典》及</w:t>
      </w:r>
      <w:r>
        <w:rPr>
          <w:rFonts w:hint="eastAsia" w:ascii="宋体" w:hAnsi="宋体" w:cs="宋体"/>
          <w:color w:val="000000" w:themeColor="text1"/>
          <w:szCs w:val="21"/>
          <w:highlight w:val="none"/>
        </w:rPr>
        <w:t xml:space="preserve">购销合同约定发生购销行为。</w:t>
      </w:r>
      <w:r>
        <w:rPr>
          <w:color w:val="000000" w:themeColor="text1"/>
          <w:highlight w:val="none"/>
        </w:rPr>
      </w:r>
      <w:r/>
    </w:p>
    <w:p>
      <w:pPr>
        <w:pStyle w:val="953"/>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二、甲方应当严格执行购销合同项目的验收、入库制度，对产品及发票进行查验，不得违反有关规定合同外采购、违价采购、从非规定渠道采购。</w:t>
      </w:r>
      <w:r>
        <w:rPr>
          <w:color w:val="000000" w:themeColor="text1"/>
          <w:highlight w:val="none"/>
        </w:rPr>
      </w:r>
      <w:r/>
    </w:p>
    <w:p>
      <w:pPr>
        <w:pStyle w:val="953"/>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r>
        <w:rPr>
          <w:color w:val="000000" w:themeColor="text1"/>
          <w:highlight w:val="none"/>
        </w:rPr>
      </w:r>
      <w:r/>
    </w:p>
    <w:p>
      <w:pPr>
        <w:pStyle w:val="953"/>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四、乙方不得以回扣、宴请等方</w:t>
      </w:r>
      <w:r>
        <w:rPr>
          <w:rFonts w:hint="eastAsia" w:ascii="宋体" w:hAnsi="宋体" w:cs="宋体"/>
          <w:color w:val="000000" w:themeColor="text1"/>
          <w:szCs w:val="21"/>
          <w:highlight w:val="none"/>
        </w:rPr>
        <w:t xml:space="preserve">式影响甲方及甲方工作人员采购货物、服</w:t>
      </w:r>
      <w:r>
        <w:rPr>
          <w:rFonts w:hint="eastAsia" w:ascii="宋体" w:hAnsi="宋体" w:cs="宋体"/>
          <w:color w:val="000000" w:themeColor="text1"/>
          <w:szCs w:val="21"/>
          <w:highlight w:val="none"/>
        </w:rPr>
        <w:t xml:space="preserve">务的选择权，不得在学术和公务活动中提供旅游、超标准支付食宿费用。</w:t>
      </w:r>
      <w:r>
        <w:rPr>
          <w:color w:val="000000" w:themeColor="text1"/>
          <w:highlight w:val="none"/>
        </w:rPr>
      </w:r>
      <w:r/>
    </w:p>
    <w:p>
      <w:pPr>
        <w:pStyle w:val="953"/>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五、乙方指定</w:t>
      </w:r>
      <w:r>
        <w:rPr>
          <w:rFonts w:hint="eastAsia" w:ascii="宋体" w:hAnsi="宋体" w:cs="宋体"/>
          <w:color w:val="000000" w:themeColor="text1"/>
          <w:szCs w:val="21"/>
          <w:highlight w:val="none"/>
          <w:u w:val="single"/>
        </w:rPr>
        <w:t xml:space="preserve">(身份证号：         手机号：             )</w:t>
      </w:r>
      <w:r>
        <w:rPr>
          <w:rFonts w:hint="eastAsia" w:ascii="宋体" w:hAnsi="宋体" w:cs="宋体"/>
          <w:color w:val="000000" w:themeColor="text1"/>
          <w:szCs w:val="21"/>
          <w:highlight w:val="none"/>
        </w:rPr>
        <w:t xml:space="preserve">作为设备改造代表洽谈业务。销售代表发生变更的，应一个月内书面通知甲方。销售代表必须在工作时间到甲方指定地点联系商谈，不得借故到甲方相关领导、部门负责人及相关工作人员家中访谈并提供任何好处费。</w:t>
      </w:r>
      <w:r>
        <w:rPr>
          <w:color w:val="000000" w:themeColor="text1"/>
          <w:highlight w:val="none"/>
        </w:rPr>
      </w:r>
      <w:r/>
    </w:p>
    <w:p>
      <w:pPr>
        <w:pStyle w:val="953"/>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六、乙方如违反本合同，一经发现，甲方有权终止购销合同，并参照《国家卫生计生委关于建立医药购销领域商业贿赂不良记录的规定》（国卫法制发〔201</w:t>
      </w:r>
      <w:r>
        <w:rPr>
          <w:rFonts w:hint="eastAsia" w:ascii="宋体" w:hAnsi="宋体" w:cs="宋体"/>
          <w:color w:val="000000" w:themeColor="text1"/>
          <w:szCs w:val="21"/>
          <w:highlight w:val="none"/>
        </w:rPr>
        <w:t xml:space="preserve">3〕50号）相关规定予以惩戒。</w:t>
      </w:r>
      <w:r>
        <w:rPr>
          <w:color w:val="000000" w:themeColor="text1"/>
          <w:highlight w:val="none"/>
        </w:rPr>
      </w:r>
      <w:r/>
    </w:p>
    <w:p>
      <w:pPr>
        <w:pStyle w:val="953"/>
        <w:ind w:firstLine="420"/>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七、本合同作为采购项目：</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购销合同的重要组成部分。</w:t>
      </w:r>
      <w:r>
        <w:rPr>
          <w:color w:val="000000" w:themeColor="text1"/>
          <w:highlight w:val="none"/>
        </w:rPr>
      </w:r>
      <w:r/>
    </w:p>
    <w:p>
      <w:pPr>
        <w:pStyle w:val="953"/>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八、本合同自签订之日起生效；本合同一式三份，甲方两份（甲方纪律监督部门执一份）、乙方一份，具有同等法律效力。</w:t>
      </w:r>
      <w:r>
        <w:rPr>
          <w:color w:val="000000" w:themeColor="text1"/>
          <w:highlight w:val="none"/>
        </w:rPr>
      </w:r>
      <w:r/>
    </w:p>
    <w:p>
      <w:pPr>
        <w:pStyle w:val="953"/>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pStyle w:val="953"/>
        <w:ind w:firstLine="420"/>
        <w:spacing w:line="48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甲方（盖章）：                              乙方（盖章）：</w:t>
      </w:r>
      <w:r>
        <w:rPr>
          <w:color w:val="000000" w:themeColor="text1"/>
          <w:highlight w:val="none"/>
        </w:rPr>
      </w:r>
      <w:r/>
    </w:p>
    <w:p>
      <w:pPr>
        <w:pStyle w:val="953"/>
        <w:ind w:firstLine="420"/>
        <w:spacing w:line="48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法定代表人（负责人）：                       法定代表人（负责人）：</w:t>
      </w:r>
      <w:r>
        <w:rPr>
          <w:color w:val="000000" w:themeColor="text1"/>
          <w:highlight w:val="none"/>
        </w:rPr>
      </w:r>
      <w:r/>
    </w:p>
    <w:p>
      <w:pPr>
        <w:pStyle w:val="953"/>
        <w:ind w:firstLine="420"/>
        <w:spacing w:line="48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经办人签名：                         </w:t>
      </w:r>
      <w:r>
        <w:rPr>
          <w:rFonts w:hint="eastAsia" w:ascii="宋体" w:hAnsi="宋体" w:cs="宋体"/>
          <w:color w:val="000000" w:themeColor="text1"/>
          <w:szCs w:val="21"/>
          <w:highlight w:val="none"/>
        </w:rPr>
        <w:t xml:space="preserve">        经办人签名：</w:t>
      </w:r>
      <w:r>
        <w:rPr>
          <w:color w:val="000000" w:themeColor="text1"/>
          <w:highlight w:val="none"/>
        </w:rPr>
      </w:r>
      <w:r/>
    </w:p>
    <w:p>
      <w:pPr>
        <w:pStyle w:val="953"/>
        <w:ind w:firstLine="1050"/>
        <w:spacing w:line="480" w:lineRule="auto"/>
        <w:rPr>
          <w:rFonts w:hint="eastAsia" w:ascii="宋体" w:hAnsi="宋体" w:cs="宋体"/>
          <w:b/>
          <w:color w:val="000000" w:themeColor="text1"/>
          <w:sz w:val="32"/>
          <w:szCs w:val="32"/>
          <w:highlight w:val="none"/>
        </w:rPr>
        <w:sectPr>
          <w:headerReference w:type="default" r:id="rId12"/>
          <w:footerReference w:type="default" r:id="rId15"/>
          <w:footnotePr/>
          <w:endnotePr/>
          <w:type w:val="nextPage"/>
          <w:pgSz w:w="11906" w:h="16838" w:orient="portrait"/>
          <w:pgMar w:top="1134" w:right="1417" w:bottom="850" w:left="1417" w:header="850" w:footer="992" w:gutter="0"/>
          <w:cols w:num="1" w:sep="0" w:space="720" w:equalWidth="1"/>
          <w:docGrid w:linePitch="360"/>
        </w:sectPr>
      </w:pPr>
      <w:r>
        <w:rPr>
          <w:rFonts w:hint="eastAsia" w:ascii="宋体" w:hAnsi="宋体" w:cs="宋体"/>
          <w:color w:val="000000" w:themeColor="text1"/>
          <w:szCs w:val="21"/>
          <w:highlight w:val="none"/>
        </w:rPr>
        <w:t xml:space="preserve">年     月     日                              年     月     日</w:t>
      </w:r>
      <w:bookmarkEnd w:id="139"/>
      <w:r>
        <w:rPr>
          <w:color w:val="000000" w:themeColor="text1"/>
          <w:highlight w:val="none"/>
        </w:rPr>
      </w:r>
      <w:bookmarkEnd w:id="140"/>
      <w:r>
        <w:rPr>
          <w:color w:val="000000" w:themeColor="text1"/>
          <w:highlight w:val="none"/>
        </w:rPr>
      </w:r>
      <w:bookmarkEnd w:id="141"/>
      <w:r>
        <w:rPr>
          <w:color w:val="000000" w:themeColor="text1"/>
          <w:highlight w:val="none"/>
        </w:rPr>
      </w:r>
      <w:bookmarkEnd w:id="142"/>
      <w:r>
        <w:rPr>
          <w:color w:val="000000" w:themeColor="text1"/>
          <w:highlight w:val="none"/>
        </w:rPr>
      </w:r>
      <w:bookmarkEnd w:id="143"/>
      <w:r>
        <w:rPr>
          <w:color w:val="000000" w:themeColor="text1"/>
          <w:highlight w:val="none"/>
        </w:rPr>
      </w:r>
      <w:bookmarkStart w:id="159" w:name="_Toc16162"/>
      <w:r>
        <w:rPr>
          <w:color w:val="000000" w:themeColor="text1"/>
          <w:highlight w:val="none"/>
        </w:rPr>
      </w:r>
      <w:r/>
    </w:p>
    <w:p>
      <w:pPr>
        <w:pStyle w:val="953"/>
        <w:jc w:val="center"/>
        <w:widowControl/>
        <w:rPr>
          <w:rFonts w:ascii="宋体" w:hAnsi="宋体" w:cs="宋体"/>
          <w:b/>
          <w:color w:val="000000" w:themeColor="text1"/>
          <w:sz w:val="32"/>
          <w:szCs w:val="32"/>
          <w:highlight w:val="none"/>
        </w:rPr>
        <w:outlineLvl w:val="0"/>
      </w:pPr>
      <w:r>
        <w:rPr>
          <w:rFonts w:hint="eastAsia" w:ascii="宋体" w:hAnsi="宋体" w:cs="宋体"/>
          <w:b/>
          <w:color w:val="000000" w:themeColor="text1"/>
          <w:sz w:val="32"/>
          <w:szCs w:val="32"/>
          <w:highlight w:val="none"/>
        </w:rPr>
        <w:t xml:space="preserve">第四章  采购需求</w:t>
      </w:r>
      <w:bookmarkEnd w:id="159"/>
      <w:r>
        <w:rPr>
          <w:color w:val="000000" w:themeColor="text1"/>
          <w:highlight w:val="none"/>
        </w:rPr>
      </w:r>
      <w:r/>
    </w:p>
    <w:p>
      <w:pPr>
        <w:pStyle w:val="95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pStyle w:val="953"/>
        <w:rPr>
          <w:rFonts w:ascii="宋体" w:hAnsi="宋体"/>
          <w:color w:val="000000" w:themeColor="text1"/>
          <w:sz w:val="24"/>
          <w:highlight w:val="none"/>
        </w:rPr>
      </w:pPr>
      <w:r>
        <w:rPr>
          <w:rFonts w:hint="eastAsia" w:ascii="宋体" w:hAnsi="宋体"/>
          <w:color w:val="000000" w:themeColor="text1"/>
          <w:sz w:val="24"/>
          <w:highlight w:val="none"/>
        </w:rPr>
        <w:t xml:space="preserve">项目属性：货物类项目。</w:t>
      </w:r>
      <w:r>
        <w:rPr>
          <w:color w:val="000000" w:themeColor="text1"/>
          <w:highlight w:val="none"/>
        </w:rPr>
      </w:r>
      <w:r/>
    </w:p>
    <w:p>
      <w:pPr>
        <w:pStyle w:val="953"/>
        <w:jc w:val="center"/>
        <w:rPr>
          <w:rFonts w:ascii="宋体" w:hAnsi="宋体"/>
          <w:b/>
          <w:bCs/>
          <w:color w:val="000000" w:themeColor="text1"/>
          <w:sz w:val="28"/>
          <w:szCs w:val="28"/>
          <w:highlight w:val="none"/>
        </w:rPr>
      </w:pPr>
      <w:r>
        <w:rPr>
          <w:rFonts w:ascii="宋体" w:hAnsi="宋体"/>
          <w:b/>
          <w:bCs/>
          <w:color w:val="000000" w:themeColor="text1"/>
          <w:sz w:val="28"/>
          <w:szCs w:val="28"/>
          <w:highlight w:val="none"/>
        </w:rPr>
      </w:r>
      <w:r>
        <w:rPr>
          <w:color w:val="000000" w:themeColor="text1"/>
          <w:highlight w:val="none"/>
        </w:rPr>
      </w:r>
      <w:r/>
    </w:p>
    <w:p>
      <w:pPr>
        <w:pStyle w:val="1109"/>
        <w:numPr>
          <w:ilvl w:val="0"/>
          <w:numId w:val="6"/>
        </w:numPr>
        <w:ind w:hanging="562"/>
        <w:rPr>
          <w:rFonts w:cs="宋体"/>
          <w:color w:val="000000" w:themeColor="text1"/>
          <w:sz w:val="24"/>
          <w:szCs w:val="24"/>
          <w:highlight w:val="none"/>
        </w:rPr>
        <w:outlineLvl w:val="1"/>
      </w:pPr>
      <w:r>
        <w:rPr>
          <w:color w:val="000000" w:themeColor="text1"/>
          <w:highlight w:val="none"/>
        </w:rPr>
      </w:r>
      <w:bookmarkStart w:id="160" w:name="_Toc17987"/>
      <w:r>
        <w:rPr>
          <w:rFonts w:hint="eastAsia" w:cs="宋体"/>
          <w:color w:val="000000" w:themeColor="text1"/>
          <w:sz w:val="24"/>
          <w:szCs w:val="24"/>
          <w:highlight w:val="none"/>
        </w:rPr>
        <w:t xml:space="preserve">项目</w:t>
      </w:r>
      <w:bookmarkEnd w:id="160"/>
      <w:r>
        <w:rPr>
          <w:rFonts w:hint="eastAsia" w:cs="宋体"/>
          <w:color w:val="000000" w:themeColor="text1"/>
          <w:sz w:val="24"/>
          <w:szCs w:val="24"/>
          <w:highlight w:val="none"/>
        </w:rPr>
        <w:t xml:space="preserve">清单一览表</w:t>
      </w:r>
      <w:r>
        <w:rPr>
          <w:color w:val="000000" w:themeColor="text1"/>
          <w:highlight w:val="none"/>
        </w:rPr>
      </w:r>
      <w:r/>
    </w:p>
    <w:p>
      <w:pPr>
        <w:pStyle w:val="1110"/>
        <w:ind w:firstLine="480"/>
        <w:spacing w:line="360" w:lineRule="auto"/>
        <w:tabs>
          <w:tab w:val="left" w:pos="851" w:leader="none"/>
        </w:tabs>
        <w:rPr>
          <w:rFonts w:cs="宋体"/>
          <w:color w:val="000000" w:themeColor="text1"/>
          <w:sz w:val="24"/>
          <w:szCs w:val="24"/>
          <w:highlight w:val="none"/>
        </w:rPr>
      </w:pPr>
      <w:r>
        <w:rPr>
          <w:rFonts w:cs="宋体"/>
          <w:color w:val="000000" w:themeColor="text1"/>
          <w:sz w:val="24"/>
          <w:szCs w:val="24"/>
          <w:highlight w:val="none"/>
        </w:rPr>
      </w:r>
      <w:r>
        <w:rPr>
          <w:color w:val="000000" w:themeColor="text1"/>
          <w:highlight w:val="none"/>
        </w:rPr>
      </w:r>
      <w:r/>
    </w:p>
    <w:tbl>
      <w:tblPr>
        <w:tblW w:w="508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3079"/>
        <w:gridCol w:w="1457"/>
        <w:gridCol w:w="1469"/>
        <w:gridCol w:w="2414"/>
        <w:gridCol w:w="6073"/>
      </w:tblGrid>
      <w:tr>
        <w:trPr>
          <w:trHeight w:val="966"/>
        </w:trPr>
        <w:tc>
          <w:tcPr>
            <w:tcW w:w="275"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r/>
          </w:p>
        </w:tc>
        <w:tc>
          <w:tcPr>
            <w:tcW w:w="1003"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产品名称</w:t>
            </w:r>
            <w:r>
              <w:rPr>
                <w:color w:val="000000" w:themeColor="text1"/>
                <w:highlight w:val="none"/>
              </w:rPr>
            </w:r>
            <w:r/>
          </w:p>
        </w:tc>
        <w:tc>
          <w:tcPr>
            <w:tcW w:w="475"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color w:val="000000" w:themeColor="text1"/>
                <w:highlight w:val="none"/>
              </w:rPr>
            </w:r>
            <w:r/>
          </w:p>
        </w:tc>
        <w:tc>
          <w:tcPr>
            <w:tcW w:w="479"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单位</w:t>
            </w:r>
            <w:r>
              <w:rPr>
                <w:color w:val="000000" w:themeColor="text1"/>
                <w:highlight w:val="none"/>
              </w:rPr>
            </w:r>
            <w:r/>
          </w:p>
        </w:tc>
        <w:tc>
          <w:tcPr>
            <w:tcW w:w="786" w:type="pct"/>
            <w:vAlign w:val="center"/>
            <w:textDirection w:val="lrTb"/>
            <w:noWrap/>
          </w:tcPr>
          <w:p>
            <w:pPr>
              <w:pStyle w:val="953"/>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最高限价</w:t>
            </w:r>
            <w:r>
              <w:rPr>
                <w:color w:val="000000" w:themeColor="text1"/>
                <w:highlight w:val="none"/>
              </w:rPr>
            </w:r>
            <w:r/>
          </w:p>
          <w:p>
            <w:pPr>
              <w:pStyle w:val="953"/>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（单价）</w:t>
            </w:r>
            <w:r>
              <w:rPr>
                <w:color w:val="000000" w:themeColor="text1"/>
                <w:highlight w:val="none"/>
              </w:rPr>
            </w:r>
            <w:r/>
          </w:p>
          <w:p>
            <w:pPr>
              <w:pStyle w:val="953"/>
              <w:jc w:val="center"/>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（人民币/元）</w:t>
            </w:r>
            <w:r>
              <w:rPr>
                <w:color w:val="000000" w:themeColor="text1"/>
                <w:highlight w:val="none"/>
              </w:rPr>
            </w:r>
            <w:r/>
          </w:p>
        </w:tc>
        <w:tc>
          <w:tcPr>
            <w:tcW w:w="1978"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color w:val="000000" w:themeColor="text1"/>
                <w:highlight w:val="none"/>
              </w:rPr>
            </w:r>
            <w:r/>
          </w:p>
        </w:tc>
      </w:tr>
      <w:tr>
        <w:trPr>
          <w:trHeight w:val="488"/>
        </w:trPr>
        <w:tc>
          <w:tcPr>
            <w:shd w:val="clear" w:color="000000" w:fill="ffffff"/>
            <w:tcW w:w="275"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shd w:val="clear" w:color="000000" w:fill="ffffff"/>
            <w:tcW w:w="1003"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手动·阻燃</w:t>
            </w:r>
            <w:r>
              <w:rPr>
                <w:rFonts w:hint="eastAsia" w:ascii="宋体" w:hAnsi="宋体" w:cs="宋体"/>
                <w:color w:val="000000" w:themeColor="text1"/>
                <w:sz w:val="24"/>
                <w:szCs w:val="24"/>
                <w:highlight w:val="none"/>
              </w:rPr>
              <w:t xml:space="preserve">窗帘</w:t>
            </w:r>
            <w:r>
              <w:rPr>
                <w:color w:val="000000" w:themeColor="text1"/>
                <w:highlight w:val="none"/>
              </w:rPr>
            </w:r>
            <w:r/>
          </w:p>
        </w:tc>
        <w:tc>
          <w:tcPr>
            <w:tcW w:w="475"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49</w:t>
            </w:r>
            <w:r>
              <w:rPr>
                <w:rFonts w:hint="eastAsia" w:ascii="宋体" w:hAnsi="宋体" w:cs="宋体"/>
                <w:color w:val="000000" w:themeColor="text1"/>
                <w:sz w:val="24"/>
                <w:szCs w:val="24"/>
                <w:highlight w:val="none"/>
              </w:rPr>
              <w:t xml:space="preserve">30</w:t>
            </w:r>
            <w:r>
              <w:rPr>
                <w:color w:val="000000" w:themeColor="text1"/>
                <w:highlight w:val="none"/>
              </w:rPr>
            </w:r>
            <w:r/>
          </w:p>
        </w:tc>
        <w:tc>
          <w:tcPr>
            <w:tcW w:w="479"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平方米</w:t>
            </w:r>
            <w:r>
              <w:rPr>
                <w:color w:val="000000" w:themeColor="text1"/>
                <w:highlight w:val="none"/>
              </w:rPr>
            </w:r>
            <w:r/>
          </w:p>
        </w:tc>
        <w:tc>
          <w:tcPr>
            <w:shd w:val="clear" w:color="000000" w:fill="ffffff"/>
            <w:tcW w:w="786"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133</w:t>
            </w:r>
            <w:r>
              <w:rPr>
                <w:color w:val="000000" w:themeColor="text1"/>
                <w:highlight w:val="none"/>
              </w:rPr>
            </w:r>
            <w:r/>
          </w:p>
        </w:tc>
        <w:tc>
          <w:tcPr>
            <w:shd w:val="clear" w:color="000000" w:fill="ffffff"/>
            <w:tcW w:w="1978" w:type="pct"/>
            <w:vAlign w:val="center"/>
            <w:textDirection w:val="lrTb"/>
            <w:noWrap/>
          </w:tcPr>
          <w:p>
            <w:pPr>
              <w:pStyle w:val="953"/>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开合帘。投影面积，至少2倍褶皱，含手动静音轨道。</w:t>
            </w:r>
            <w:r>
              <w:rPr>
                <w:color w:val="000000" w:themeColor="text1"/>
                <w:highlight w:val="none"/>
              </w:rPr>
            </w:r>
            <w:r/>
          </w:p>
        </w:tc>
      </w:tr>
      <w:tr>
        <w:trPr>
          <w:trHeight w:val="488"/>
        </w:trPr>
        <w:tc>
          <w:tcPr>
            <w:shd w:val="clear" w:color="000000" w:fill="ffffff"/>
            <w:tcW w:w="275"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r/>
          </w:p>
        </w:tc>
        <w:tc>
          <w:tcPr>
            <w:shd w:val="clear" w:color="000000" w:fill="ffffff"/>
            <w:tcW w:w="1003"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手动·阻燃</w:t>
            </w:r>
            <w:r>
              <w:rPr>
                <w:rFonts w:hint="eastAsia" w:ascii="宋体" w:hAnsi="宋体" w:cs="宋体"/>
                <w:color w:val="000000" w:themeColor="text1"/>
                <w:sz w:val="24"/>
                <w:szCs w:val="24"/>
                <w:highlight w:val="none"/>
              </w:rPr>
              <w:t xml:space="preserve">医用隔帘</w:t>
            </w:r>
            <w:r>
              <w:rPr>
                <w:color w:val="000000" w:themeColor="text1"/>
                <w:highlight w:val="none"/>
              </w:rPr>
            </w:r>
            <w:r/>
          </w:p>
        </w:tc>
        <w:tc>
          <w:tcPr>
            <w:tcW w:w="475"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94</w:t>
            </w:r>
            <w:r>
              <w:rPr>
                <w:rFonts w:hint="eastAsia" w:ascii="宋体" w:hAnsi="宋体" w:cs="宋体"/>
                <w:color w:val="000000" w:themeColor="text1"/>
                <w:sz w:val="24"/>
                <w:szCs w:val="24"/>
                <w:highlight w:val="none"/>
              </w:rPr>
              <w:t xml:space="preserve">45</w:t>
            </w:r>
            <w:r>
              <w:rPr>
                <w:color w:val="000000" w:themeColor="text1"/>
                <w:highlight w:val="none"/>
              </w:rPr>
            </w:r>
            <w:r/>
          </w:p>
        </w:tc>
        <w:tc>
          <w:tcPr>
            <w:tcW w:w="479"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平方米</w:t>
            </w:r>
            <w:r>
              <w:rPr>
                <w:color w:val="000000" w:themeColor="text1"/>
                <w:highlight w:val="none"/>
              </w:rPr>
            </w:r>
            <w:r/>
          </w:p>
        </w:tc>
        <w:tc>
          <w:tcPr>
            <w:shd w:val="clear" w:color="000000" w:fill="ffffff"/>
            <w:tcW w:w="786"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65</w:t>
            </w:r>
            <w:r>
              <w:rPr>
                <w:color w:val="000000" w:themeColor="text1"/>
                <w:highlight w:val="none"/>
              </w:rPr>
            </w:r>
            <w:r/>
          </w:p>
        </w:tc>
        <w:tc>
          <w:tcPr>
            <w:shd w:val="clear" w:color="000000" w:fill="ffffff"/>
            <w:tcW w:w="1978"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医疗帘轨道已由硬装提供，至少2倍褶皱。</w:t>
            </w:r>
            <w:r>
              <w:rPr>
                <w:color w:val="000000" w:themeColor="text1"/>
                <w:highlight w:val="none"/>
              </w:rPr>
            </w:r>
            <w:r/>
          </w:p>
        </w:tc>
      </w:tr>
      <w:tr>
        <w:trPr>
          <w:trHeight w:val="488"/>
        </w:trPr>
        <w:tc>
          <w:tcPr>
            <w:shd w:val="clear" w:color="000000" w:fill="ffffff"/>
            <w:tcW w:w="275"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r/>
          </w:p>
        </w:tc>
        <w:tc>
          <w:tcPr>
            <w:shd w:val="clear" w:color="000000" w:fill="ffffff"/>
            <w:tcW w:w="1003"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手动·阻燃卷帘</w:t>
            </w:r>
            <w:r>
              <w:rPr>
                <w:color w:val="000000" w:themeColor="text1"/>
                <w:highlight w:val="none"/>
              </w:rPr>
            </w:r>
            <w:r/>
          </w:p>
        </w:tc>
        <w:tc>
          <w:tcPr>
            <w:tcW w:w="475"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53</w:t>
            </w:r>
            <w:r>
              <w:rPr>
                <w:rFonts w:hint="eastAsia" w:ascii="宋体" w:hAnsi="宋体" w:cs="宋体"/>
                <w:color w:val="000000" w:themeColor="text1"/>
                <w:sz w:val="24"/>
                <w:szCs w:val="24"/>
                <w:highlight w:val="none"/>
              </w:rPr>
              <w:t xml:space="preserve">80</w:t>
            </w:r>
            <w:r>
              <w:rPr>
                <w:color w:val="000000" w:themeColor="text1"/>
                <w:highlight w:val="none"/>
              </w:rPr>
            </w:r>
            <w:r/>
          </w:p>
        </w:tc>
        <w:tc>
          <w:tcPr>
            <w:tcW w:w="479"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平方米</w:t>
            </w:r>
            <w:r>
              <w:rPr>
                <w:color w:val="000000" w:themeColor="text1"/>
                <w:highlight w:val="none"/>
              </w:rPr>
            </w:r>
            <w:r/>
          </w:p>
        </w:tc>
        <w:tc>
          <w:tcPr>
            <w:shd w:val="clear" w:color="000000" w:fill="ffffff"/>
            <w:tcW w:w="786"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150</w:t>
            </w:r>
            <w:r>
              <w:rPr>
                <w:color w:val="000000" w:themeColor="text1"/>
                <w:highlight w:val="none"/>
              </w:rPr>
            </w:r>
            <w:r/>
          </w:p>
        </w:tc>
        <w:tc>
          <w:tcPr>
            <w:shd w:val="clear" w:color="000000" w:fill="ffffff"/>
            <w:tcW w:w="1978"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1%或3%开孔率，卷帘部分开</w:t>
            </w:r>
            <w:r>
              <w:rPr>
                <w:rFonts w:hint="eastAsia" w:ascii="宋体" w:hAnsi="宋体" w:cs="宋体"/>
                <w:color w:val="000000" w:themeColor="text1"/>
                <w:sz w:val="24"/>
                <w:szCs w:val="24"/>
                <w:highlight w:val="none"/>
              </w:rPr>
              <w:t xml:space="preserve">孔率最终由采购人依据空间功能需求而定。</w:t>
            </w:r>
            <w:r>
              <w:rPr>
                <w:color w:val="000000" w:themeColor="text1"/>
                <w:highlight w:val="none"/>
              </w:rPr>
            </w:r>
            <w:r/>
          </w:p>
        </w:tc>
      </w:tr>
      <w:tr>
        <w:trPr>
          <w:trHeight w:val="488"/>
        </w:trPr>
        <w:tc>
          <w:tcPr>
            <w:shd w:val="clear" w:color="000000" w:fill="ffffff"/>
            <w:tcW w:w="275"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r/>
          </w:p>
        </w:tc>
        <w:tc>
          <w:tcPr>
            <w:shd w:val="clear" w:color="000000" w:fill="ffffff"/>
            <w:tcW w:w="1003"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电动·阻燃</w:t>
            </w:r>
            <w:r>
              <w:rPr>
                <w:rFonts w:hint="eastAsia" w:ascii="宋体" w:hAnsi="宋体" w:cs="宋体"/>
                <w:color w:val="000000" w:themeColor="text1"/>
                <w:sz w:val="24"/>
                <w:szCs w:val="24"/>
                <w:highlight w:val="none"/>
              </w:rPr>
              <w:t xml:space="preserve">窗帘</w:t>
            </w:r>
            <w:r>
              <w:rPr>
                <w:color w:val="000000" w:themeColor="text1"/>
                <w:highlight w:val="none"/>
              </w:rPr>
            </w:r>
            <w:r/>
          </w:p>
        </w:tc>
        <w:tc>
          <w:tcPr>
            <w:tcW w:w="475"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rPr>
              <w:t xml:space="preserve">80</w:t>
            </w:r>
            <w:r>
              <w:rPr>
                <w:color w:val="000000" w:themeColor="text1"/>
                <w:highlight w:val="none"/>
              </w:rPr>
            </w:r>
            <w:r/>
          </w:p>
        </w:tc>
        <w:tc>
          <w:tcPr>
            <w:tcW w:w="479"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平方米</w:t>
            </w:r>
            <w:r>
              <w:rPr>
                <w:color w:val="000000" w:themeColor="text1"/>
                <w:highlight w:val="none"/>
              </w:rPr>
            </w:r>
            <w:r/>
          </w:p>
        </w:tc>
        <w:tc>
          <w:tcPr>
            <w:shd w:val="clear" w:color="000000" w:fill="ffffff"/>
            <w:tcW w:w="786"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540</w:t>
            </w:r>
            <w:r>
              <w:rPr>
                <w:color w:val="000000" w:themeColor="text1"/>
                <w:highlight w:val="none"/>
              </w:rPr>
            </w:r>
            <w:r/>
          </w:p>
        </w:tc>
        <w:tc>
          <w:tcPr>
            <w:shd w:val="clear" w:color="000000" w:fill="ffffff"/>
            <w:tcW w:w="1978"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开合帘。投影面积，至少2倍褶皱，含电机，电动轨道，主材、辅材配套遥控器。</w:t>
            </w:r>
            <w:r>
              <w:rPr>
                <w:color w:val="000000" w:themeColor="text1"/>
                <w:highlight w:val="none"/>
              </w:rPr>
            </w:r>
            <w:r/>
          </w:p>
        </w:tc>
      </w:tr>
      <w:tr>
        <w:trPr>
          <w:trHeight w:val="488"/>
        </w:trPr>
        <w:tc>
          <w:tcPr>
            <w:shd w:val="clear" w:color="000000" w:fill="ffffff"/>
            <w:tcW w:w="275"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r/>
          </w:p>
        </w:tc>
        <w:tc>
          <w:tcPr>
            <w:shd w:val="clear" w:color="000000" w:fill="ffffff"/>
            <w:tcW w:w="1003"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电动·阻燃卷帘</w:t>
            </w:r>
            <w:r>
              <w:rPr>
                <w:color w:val="000000" w:themeColor="text1"/>
                <w:highlight w:val="none"/>
              </w:rPr>
            </w:r>
            <w:r/>
          </w:p>
        </w:tc>
        <w:tc>
          <w:tcPr>
            <w:tcW w:w="475"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200</w:t>
            </w:r>
            <w:r>
              <w:rPr>
                <w:color w:val="000000" w:themeColor="text1"/>
                <w:highlight w:val="none"/>
              </w:rPr>
            </w:r>
            <w:r/>
          </w:p>
        </w:tc>
        <w:tc>
          <w:tcPr>
            <w:tcW w:w="479"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平方米</w:t>
            </w:r>
            <w:r>
              <w:rPr>
                <w:color w:val="000000" w:themeColor="text1"/>
                <w:highlight w:val="none"/>
              </w:rPr>
            </w:r>
            <w:r/>
          </w:p>
        </w:tc>
        <w:tc>
          <w:tcPr>
            <w:shd w:val="clear" w:color="000000" w:fill="ffffff"/>
            <w:tcW w:w="786"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560</w:t>
            </w:r>
            <w:r>
              <w:rPr>
                <w:color w:val="000000" w:themeColor="text1"/>
                <w:highlight w:val="none"/>
              </w:rPr>
            </w:r>
            <w:r/>
          </w:p>
        </w:tc>
        <w:tc>
          <w:tcPr>
            <w:shd w:val="clear" w:color="000000" w:fill="ffffff"/>
            <w:tcW w:w="1978" w:type="pct"/>
            <w:vAlign w:val="center"/>
            <w:textDirection w:val="lrTb"/>
            <w:noWrap/>
          </w:tcPr>
          <w:p>
            <w:pPr>
              <w:pStyle w:val="953"/>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1%或3%开孔率，含电机，及配套遥控器。卷帘部分开孔率最终由采购人依据空间功能需求而定。</w:t>
            </w:r>
            <w:r>
              <w:rPr>
                <w:color w:val="000000" w:themeColor="text1"/>
                <w:highlight w:val="none"/>
              </w:rPr>
            </w:r>
            <w:r/>
          </w:p>
        </w:tc>
      </w:tr>
      <w:tr>
        <w:trPr>
          <w:trHeight w:val="488"/>
        </w:trPr>
        <w:tc>
          <w:tcPr>
            <w:shd w:val="clear" w:color="000000" w:fill="ffffff"/>
            <w:tcW w:w="275"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r/>
          </w:p>
        </w:tc>
        <w:tc>
          <w:tcPr>
            <w:shd w:val="clear" w:color="000000" w:fill="ffffff"/>
            <w:tcW w:w="1003"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电动·阻燃幕布</w:t>
            </w:r>
            <w:r>
              <w:rPr>
                <w:color w:val="000000" w:themeColor="text1"/>
                <w:highlight w:val="none"/>
              </w:rPr>
            </w:r>
            <w:r/>
          </w:p>
        </w:tc>
        <w:tc>
          <w:tcPr>
            <w:tcW w:w="475"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8</w:t>
            </w:r>
            <w:r>
              <w:rPr>
                <w:rFonts w:hint="eastAsia" w:ascii="宋体" w:hAnsi="宋体" w:cs="宋体"/>
                <w:color w:val="000000" w:themeColor="text1"/>
                <w:sz w:val="24"/>
                <w:szCs w:val="24"/>
                <w:highlight w:val="none"/>
              </w:rPr>
              <w:t xml:space="preserve">5</w:t>
            </w:r>
            <w:r>
              <w:rPr>
                <w:color w:val="000000" w:themeColor="text1"/>
                <w:highlight w:val="none"/>
              </w:rPr>
            </w:r>
            <w:r/>
          </w:p>
        </w:tc>
        <w:tc>
          <w:tcPr>
            <w:tcW w:w="479"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平方米</w:t>
            </w:r>
            <w:r>
              <w:rPr>
                <w:color w:val="000000" w:themeColor="text1"/>
                <w:highlight w:val="none"/>
              </w:rPr>
            </w:r>
            <w:r/>
          </w:p>
        </w:tc>
        <w:tc>
          <w:tcPr>
            <w:shd w:val="clear" w:color="000000" w:fill="ffffff"/>
            <w:tcW w:w="786"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540</w:t>
            </w:r>
            <w:r>
              <w:rPr>
                <w:color w:val="000000" w:themeColor="text1"/>
                <w:highlight w:val="none"/>
              </w:rPr>
            </w:r>
            <w:r/>
          </w:p>
        </w:tc>
        <w:tc>
          <w:tcPr>
            <w:shd w:val="clear" w:color="000000" w:fill="ffffff"/>
            <w:tcW w:w="1978"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舞台幕布、单层绒布，投影面积，至少2倍褶皱，含电机，轨道，主材、辅材配套遥控器</w:t>
            </w:r>
            <w:r>
              <w:rPr>
                <w:color w:val="000000" w:themeColor="text1"/>
                <w:highlight w:val="none"/>
              </w:rPr>
            </w:r>
            <w:r/>
          </w:p>
        </w:tc>
      </w:tr>
      <w:tr>
        <w:trPr>
          <w:trHeight w:val="488"/>
        </w:trPr>
        <w:tc>
          <w:tcPr>
            <w:shd w:val="clear" w:color="000000" w:fill="ffffff"/>
            <w:tcW w:w="275"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color w:val="000000" w:themeColor="text1"/>
                <w:highlight w:val="none"/>
              </w:rPr>
            </w:r>
            <w:r/>
          </w:p>
        </w:tc>
        <w:tc>
          <w:tcPr>
            <w:shd w:val="clear" w:color="000000" w:fill="ffffff"/>
            <w:tcW w:w="1003"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辅料配件</w:t>
            </w:r>
            <w:r>
              <w:rPr>
                <w:color w:val="000000" w:themeColor="text1"/>
                <w:highlight w:val="none"/>
              </w:rPr>
            </w:r>
            <w:r/>
          </w:p>
        </w:tc>
        <w:tc>
          <w:tcPr>
            <w:tcW w:w="475"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highlight w:val="none"/>
              </w:rPr>
            </w:r>
            <w:r/>
          </w:p>
        </w:tc>
        <w:tc>
          <w:tcPr>
            <w:tcW w:w="479"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highlight w:val="none"/>
              </w:rPr>
            </w:r>
            <w:r/>
          </w:p>
        </w:tc>
        <w:tc>
          <w:tcPr>
            <w:shd w:val="clear" w:color="000000" w:fill="ffffff"/>
            <w:tcW w:w="786"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包含在总价内</w:t>
            </w:r>
            <w:r>
              <w:rPr>
                <w:color w:val="000000" w:themeColor="text1"/>
                <w:highlight w:val="none"/>
              </w:rPr>
            </w:r>
            <w:r/>
          </w:p>
        </w:tc>
        <w:tc>
          <w:tcPr>
            <w:shd w:val="clear" w:color="000000" w:fill="ffffff"/>
            <w:tcW w:w="1978"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bl>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953"/>
        <w:jc w:val="left"/>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注：1.尺寸高度需依据现场需求而定，具体数量以现场测量为准，花型</w:t>
      </w:r>
      <w:r>
        <w:rPr>
          <w:rFonts w:hint="eastAsia" w:ascii="宋体" w:hAnsi="宋体" w:cs="宋体"/>
          <w:b/>
          <w:bCs/>
          <w:color w:val="000000" w:themeColor="text1"/>
          <w:sz w:val="24"/>
          <w:szCs w:val="24"/>
          <w:highlight w:val="none"/>
        </w:rPr>
        <w:t xml:space="preserve">、颜色中标后由采购人确认选择。 </w:t>
      </w:r>
      <w:r>
        <w:rPr>
          <w:color w:val="000000" w:themeColor="text1"/>
          <w:highlight w:val="none"/>
        </w:rPr>
      </w:r>
      <w:r/>
    </w:p>
    <w:p>
      <w:pPr>
        <w:pStyle w:val="953"/>
        <w:numPr>
          <w:ilvl w:val="0"/>
          <w:numId w:val="7"/>
        </w:numPr>
        <w:ind w:firstLine="482"/>
        <w:jc w:val="left"/>
        <w:tabs>
          <w:tab w:val="left" w:pos="312" w:leader="none"/>
        </w:tabs>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具体安装位置中标后需到现场踏勘，测量，按实结算。</w:t>
      </w:r>
      <w:r>
        <w:rPr>
          <w:color w:val="000000" w:themeColor="text1"/>
          <w:highlight w:val="none"/>
        </w:rPr>
      </w:r>
      <w:r/>
    </w:p>
    <w:p>
      <w:pPr>
        <w:pStyle w:val="953"/>
        <w:numPr>
          <w:ilvl w:val="0"/>
          <w:numId w:val="7"/>
        </w:numPr>
        <w:ind w:firstLine="482"/>
        <w:jc w:val="left"/>
        <w:tabs>
          <w:tab w:val="left" w:pos="312" w:leader="none"/>
        </w:tabs>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序号1为核心产品</w:t>
      </w:r>
      <w:r>
        <w:rPr>
          <w:color w:val="000000" w:themeColor="text1"/>
          <w:highlight w:val="none"/>
        </w:rPr>
      </w:r>
      <w:r/>
    </w:p>
    <w:p>
      <w:pPr>
        <w:pStyle w:val="953"/>
        <w:numPr>
          <w:ilvl w:val="0"/>
          <w:numId w:val="7"/>
        </w:numPr>
        <w:ind w:firstLine="482"/>
        <w:jc w:val="left"/>
        <w:tabs>
          <w:tab w:val="left" w:pos="312" w:leader="none"/>
        </w:tabs>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投标单价不得超过单价限价。</w:t>
      </w:r>
      <w:r>
        <w:rPr>
          <w:color w:val="000000" w:themeColor="text1"/>
          <w:highlight w:val="none"/>
        </w:rPr>
      </w:r>
      <w:r/>
    </w:p>
    <w:p>
      <w:pPr>
        <w:pStyle w:val="1111"/>
        <w:rPr>
          <w:rFonts w:hint="eastAsia"/>
          <w:color w:val="000000" w:themeColor="text1"/>
          <w:highlight w:val="none"/>
        </w:rPr>
      </w:pPr>
      <w:r>
        <w:rPr>
          <w:rFonts w:hint="eastAsia"/>
          <w:color w:val="000000" w:themeColor="text1"/>
          <w:highlight w:val="none"/>
          <w:lang w:val="en-US"/>
        </w:rPr>
      </w:r>
      <w:r>
        <w:rPr>
          <w:color w:val="000000" w:themeColor="text1"/>
          <w:highlight w:val="none"/>
        </w:rPr>
      </w:r>
      <w:r/>
    </w:p>
    <w:p>
      <w:pPr>
        <w:pStyle w:val="1109"/>
        <w:numPr>
          <w:ilvl w:val="0"/>
          <w:numId w:val="6"/>
        </w:numPr>
        <w:ind w:hanging="562"/>
        <w:rPr>
          <w:rFonts w:cs="宋体"/>
          <w:color w:val="000000" w:themeColor="text1"/>
          <w:sz w:val="24"/>
          <w:szCs w:val="24"/>
          <w:highlight w:val="none"/>
        </w:rPr>
        <w:outlineLvl w:val="1"/>
      </w:pPr>
      <w:r>
        <w:rPr>
          <w:rFonts w:hint="eastAsia" w:cs="宋体"/>
          <w:color w:val="000000" w:themeColor="text1"/>
          <w:sz w:val="24"/>
          <w:szCs w:val="24"/>
          <w:highlight w:val="none"/>
        </w:rPr>
        <w:t xml:space="preserve">技术要求</w:t>
      </w:r>
      <w:r>
        <w:rPr>
          <w:color w:val="000000" w:themeColor="text1"/>
          <w:highlight w:val="none"/>
        </w:rPr>
      </w:r>
      <w:r/>
    </w:p>
    <w:tbl>
      <w:tblPr>
        <w:tblW w:w="147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334"/>
        <w:gridCol w:w="12557"/>
      </w:tblGrid>
      <w:tr>
        <w:trPr>
          <w:trHeight w:val="500"/>
        </w:trPr>
        <w:tc>
          <w:tcPr>
            <w:tcW w:w="851" w:type="dxa"/>
            <w:vAlign w:val="top"/>
            <w:textDirection w:val="lrTb"/>
            <w:noWrap w:val="false"/>
          </w:tcPr>
          <w:p>
            <w:pPr>
              <w:pStyle w:val="95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r/>
          </w:p>
        </w:tc>
        <w:tc>
          <w:tcPr>
            <w:tcW w:w="1334" w:type="dxa"/>
            <w:vAlign w:val="top"/>
            <w:textDirection w:val="lrTb"/>
            <w:noWrap w:val="false"/>
          </w:tcPr>
          <w:p>
            <w:pPr>
              <w:pStyle w:val="95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产品名称</w:t>
            </w:r>
            <w:r>
              <w:rPr>
                <w:color w:val="000000" w:themeColor="text1"/>
                <w:highlight w:val="none"/>
              </w:rPr>
            </w:r>
            <w:r/>
          </w:p>
        </w:tc>
        <w:tc>
          <w:tcPr>
            <w:tcW w:w="12557" w:type="dxa"/>
            <w:vAlign w:val="top"/>
            <w:textDirection w:val="lrTb"/>
            <w:noWrap w:val="false"/>
          </w:tcPr>
          <w:p>
            <w:pPr>
              <w:pStyle w:val="953"/>
              <w:ind w:firstLine="281"/>
              <w:jc w:val="center"/>
              <w:spacing w:after="160" w:line="278"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参数要求</w:t>
            </w:r>
            <w:r>
              <w:rPr>
                <w:color w:val="000000" w:themeColor="text1"/>
                <w:highlight w:val="none"/>
              </w:rPr>
            </w:r>
            <w:r/>
          </w:p>
        </w:tc>
      </w:tr>
      <w:tr>
        <w:trPr>
          <w:trHeight w:val="90"/>
        </w:trPr>
        <w:tc>
          <w:tcPr>
            <w:tcW w:w="851" w:type="dxa"/>
            <w:vAlign w:val="top"/>
            <w:textDirection w:val="lrTb"/>
            <w:noWrap w:val="false"/>
          </w:tcPr>
          <w:p>
            <w:pPr>
              <w:pStyle w:val="95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95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95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95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95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953"/>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95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953"/>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shd w:val="clear" w:color="000000" w:fill="ffffff"/>
            <w:tcW w:w="1334" w:type="dxa"/>
            <w:vAlign w:val="center"/>
            <w:textDirection w:val="lrTb"/>
            <w:noWrap w:val="false"/>
          </w:tcPr>
          <w:p>
            <w:pPr>
              <w:pStyle w:val="95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手动·阻燃</w:t>
            </w:r>
            <w:r>
              <w:rPr>
                <w:rFonts w:hint="eastAsia" w:ascii="宋体" w:hAnsi="宋体" w:cs="宋体"/>
                <w:color w:val="000000" w:themeColor="text1"/>
                <w:sz w:val="24"/>
                <w:szCs w:val="24"/>
                <w:highlight w:val="none"/>
              </w:rPr>
              <w:t xml:space="preserve">窗帘</w:t>
            </w:r>
            <w:r>
              <w:rPr>
                <w:color w:val="000000" w:themeColor="text1"/>
                <w:highlight w:val="none"/>
              </w:rPr>
            </w:r>
            <w:r/>
          </w:p>
        </w:tc>
        <w:tc>
          <w:tcPr>
            <w:tcW w:w="12557" w:type="dxa"/>
            <w:vAlign w:val="top"/>
            <w:textDirection w:val="lrTb"/>
            <w:noWrap w:val="false"/>
          </w:tcPr>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（技术指标1）基础要求：100%聚酯纤维；遮光率≥90%；克重≥300g/㎡；甲醛：未检出；PH值：4.0-9.0；耐水、耐干摩擦色牢度≥4级；异味：无；织物密度：经向≥650根/10cm，纬向≥350根/10cm</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可分解致</w:t>
            </w:r>
            <w:r>
              <w:rPr>
                <w:rFonts w:hint="eastAsia" w:ascii="宋体" w:hAnsi="宋体" w:cs="宋体"/>
                <w:color w:val="000000" w:themeColor="text1"/>
                <w:sz w:val="24"/>
                <w:szCs w:val="24"/>
                <w:highlight w:val="none"/>
              </w:rPr>
              <w:t xml:space="preserve">癌芳香胺</w:t>
            </w:r>
            <w:r>
              <w:rPr>
                <w:rFonts w:hint="eastAsia" w:ascii="宋体" w:hAnsi="宋体" w:cs="宋体"/>
                <w:color w:val="000000" w:themeColor="text1"/>
                <w:sz w:val="24"/>
                <w:szCs w:val="24"/>
                <w:highlight w:val="none"/>
              </w:rPr>
              <w:t xml:space="preserve">染料：禁用</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技术指标2）基本性能：耐光色牢度≥5级，检测方法GB/T84</w:t>
            </w:r>
            <w:r>
              <w:rPr>
                <w:rFonts w:hint="eastAsia" w:ascii="宋体" w:hAnsi="宋体" w:cs="宋体"/>
                <w:color w:val="000000" w:themeColor="text1"/>
                <w:sz w:val="24"/>
                <w:szCs w:val="24"/>
                <w:highlight w:val="none"/>
              </w:rPr>
              <w:t xml:space="preserve">27；断裂强力：经向≥1000N，纬向≥</w:t>
            </w:r>
            <w:r>
              <w:rPr>
                <w:rFonts w:ascii="宋体" w:hAnsi="宋体" w:cs="宋体"/>
                <w:color w:val="000000" w:themeColor="text1"/>
                <w:sz w:val="24"/>
                <w:szCs w:val="24"/>
                <w:highlight w:val="none"/>
              </w:rPr>
              <w:t xml:space="preserve">1500</w:t>
            </w:r>
            <w:r>
              <w:rPr>
                <w:rFonts w:hint="eastAsia" w:ascii="宋体" w:hAnsi="宋体" w:cs="宋体"/>
                <w:color w:val="000000" w:themeColor="text1"/>
                <w:sz w:val="24"/>
                <w:szCs w:val="24"/>
                <w:highlight w:val="none"/>
              </w:rPr>
              <w:t xml:space="preserve">N</w:t>
            </w:r>
            <w:r>
              <w:rPr>
                <w:rFonts w:hint="eastAsia" w:ascii="宋体" w:hAnsi="宋体" w:cs="宋体"/>
                <w:color w:val="000000" w:themeColor="text1"/>
                <w:sz w:val="24"/>
                <w:szCs w:val="24"/>
                <w:highlight w:val="none"/>
              </w:rPr>
              <w:t xml:space="preserve">，检测方法GB/T3923.1；</w:t>
            </w:r>
            <w:r>
              <w:rPr>
                <w:rFonts w:hint="eastAsia" w:ascii="宋体" w:hAnsi="宋体" w:cs="宋体"/>
                <w:color w:val="000000" w:themeColor="text1"/>
                <w:sz w:val="24"/>
                <w:szCs w:val="24"/>
                <w:highlight w:val="none"/>
              </w:rPr>
              <w:t xml:space="preserve"> </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（■技术指标3）功能性要求1：水洗≥20次后，阻燃性能检测符合氧指数≥32%，损毁长度≤</w:t>
            </w: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50</w:t>
            </w:r>
            <w:r>
              <w:rPr>
                <w:rFonts w:hint="eastAsia" w:ascii="宋体" w:hAnsi="宋体" w:cs="宋体"/>
                <w:color w:val="000000" w:themeColor="text1"/>
                <w:sz w:val="24"/>
                <w:szCs w:val="24"/>
                <w:highlight w:val="none"/>
              </w:rPr>
              <w:t xml:space="preserve">mm，续燃时间≤</w:t>
            </w:r>
            <w:r>
              <w:rPr>
                <w:rFonts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S，阴燃时间≤</w:t>
            </w:r>
            <w:r>
              <w:rPr>
                <w:rFonts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S，燃烧滴落物未引起脱脂棉燃烧或阴燃（或无燃烧滴落物），烟密度等级（SDR）≤</w:t>
            </w:r>
            <w:r>
              <w:rPr>
                <w:rFonts w:ascii="宋体" w:hAnsi="宋体" w:cs="宋体"/>
                <w:color w:val="000000" w:themeColor="text1"/>
                <w:sz w:val="24"/>
                <w:szCs w:val="24"/>
                <w:highlight w:val="none"/>
              </w:rPr>
              <w:t xml:space="preserve">15</w:t>
            </w:r>
            <w:r>
              <w:rPr>
                <w:rFonts w:hint="eastAsia" w:ascii="宋体" w:hAnsi="宋体" w:cs="宋体"/>
                <w:color w:val="000000" w:themeColor="text1"/>
                <w:sz w:val="24"/>
                <w:szCs w:val="24"/>
                <w:highlight w:val="none"/>
              </w:rPr>
              <w:t xml:space="preserve">，检测方法GB/T</w:t>
            </w:r>
            <w:r>
              <w:rPr>
                <w:rFonts w:hint="eastAsia" w:ascii="宋体" w:hAnsi="宋体" w:cs="宋体"/>
                <w:color w:val="000000" w:themeColor="text1"/>
                <w:sz w:val="24"/>
                <w:szCs w:val="24"/>
                <w:highlight w:val="none"/>
              </w:rPr>
              <w:t xml:space="preserve">5454、G</w:t>
            </w:r>
            <w:r>
              <w:rPr>
                <w:rFonts w:hint="eastAsia" w:ascii="宋体" w:hAnsi="宋体" w:cs="宋体"/>
                <w:color w:val="000000" w:themeColor="text1"/>
                <w:sz w:val="24"/>
                <w:szCs w:val="24"/>
                <w:highlight w:val="none"/>
              </w:rPr>
              <w:t xml:space="preserve">B/T545</w:t>
            </w:r>
            <w:r>
              <w:rPr>
                <w:rFonts w:hint="eastAsia" w:ascii="宋体" w:hAnsi="宋体" w:cs="宋体"/>
                <w:color w:val="000000" w:themeColor="text1"/>
                <w:sz w:val="24"/>
                <w:szCs w:val="24"/>
                <w:highlight w:val="none"/>
              </w:rPr>
              <w:t xml:space="preserve">5、GB/T 8627；</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技术指标4）功能性要求2：抗老化强力保持率≥</w:t>
            </w:r>
            <w:r>
              <w:rPr>
                <w:rFonts w:hint="eastAsia" w:ascii="宋体" w:hAnsi="宋体" w:cs="宋体"/>
                <w:color w:val="000000" w:themeColor="text1"/>
                <w:sz w:val="24"/>
                <w:szCs w:val="24"/>
                <w:highlight w:val="none"/>
              </w:rPr>
              <w:t xml:space="preserve">9</w:t>
            </w:r>
            <w:r>
              <w:rPr>
                <w:rFonts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%，检测方法GB/T31899；耐氯化水、耐次氯酸盐漂白色牢度≥4级，检测方法GB/T8433、GB/T7069；</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b/>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技术指标5）绿色产品：所投产品满足GB/T35611认证标准具备《中国</w:t>
            </w:r>
            <w:r>
              <w:rPr>
                <w:rFonts w:hint="eastAsia" w:ascii="宋体" w:hAnsi="宋体" w:cs="宋体"/>
                <w:color w:val="000000" w:themeColor="text1"/>
                <w:sz w:val="24"/>
                <w:szCs w:val="24"/>
                <w:highlight w:val="none"/>
              </w:rPr>
              <w:t xml:space="preserve">绿色产品认证证书》且认证范围</w:t>
            </w:r>
            <w:r>
              <w:rPr>
                <w:rFonts w:hint="eastAsia" w:ascii="宋体" w:hAnsi="宋体" w:cs="宋体"/>
                <w:color w:val="000000" w:themeColor="text1"/>
                <w:sz w:val="24"/>
                <w:szCs w:val="24"/>
                <w:highlight w:val="none"/>
              </w:rPr>
              <w:t xml:space="preserve">包含</w:t>
            </w:r>
            <w:r>
              <w:rPr>
                <w:rFonts w:hint="eastAsia" w:ascii="宋体" w:hAnsi="宋体" w:cs="宋体"/>
                <w:color w:val="000000" w:themeColor="text1"/>
                <w:sz w:val="24"/>
                <w:szCs w:val="24"/>
                <w:highlight w:val="none"/>
              </w:rPr>
              <w:t xml:space="preserve">阻燃</w:t>
            </w:r>
            <w:r>
              <w:rPr>
                <w:rFonts w:hint="eastAsia" w:ascii="宋体" w:hAnsi="宋体" w:cs="宋体"/>
                <w:color w:val="000000" w:themeColor="text1"/>
                <w:sz w:val="24"/>
                <w:szCs w:val="24"/>
                <w:highlight w:val="none"/>
              </w:rPr>
              <w:t xml:space="preserve">窗帘</w:t>
            </w: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(提供《中国绿色产品认证证书》证书复印件及全国认证认可信息公共服务平台 cx.cnca.cn 的查询截图予以证明，</w:t>
            </w:r>
            <w:r>
              <w:rPr>
                <w:rFonts w:hint="eastAsia" w:ascii="宋体" w:hAnsi="宋体" w:cs="宋体"/>
                <w:color w:val="000000" w:themeColor="text1"/>
                <w:sz w:val="24"/>
                <w:szCs w:val="24"/>
                <w:highlight w:val="none"/>
              </w:rPr>
              <w:t xml:space="preserve">或投标产品属于财政部、生态环境部公布的“环境标志</w:t>
            </w:r>
            <w:r>
              <w:rPr>
                <w:rFonts w:hint="eastAsia" w:ascii="宋体" w:hAnsi="宋体" w:cs="宋体"/>
                <w:color w:val="000000" w:themeColor="text1"/>
                <w:sz w:val="24"/>
                <w:szCs w:val="24"/>
                <w:highlight w:val="none"/>
              </w:rPr>
              <w:t xml:space="preserve">产品品目清单”范围</w:t>
            </w:r>
            <w:r>
              <w:rPr>
                <w:rFonts w:hint="eastAsia" w:ascii="宋体" w:hAnsi="宋体" w:cs="宋体"/>
                <w:color w:val="000000" w:themeColor="text1"/>
                <w:sz w:val="24"/>
                <w:szCs w:val="24"/>
                <w:highlight w:val="none"/>
              </w:rPr>
              <w:t xml:space="preserve">内的，投</w:t>
            </w:r>
            <w:r>
              <w:rPr>
                <w:rFonts w:hint="eastAsia" w:ascii="宋体" w:hAnsi="宋体" w:cs="宋体"/>
                <w:color w:val="000000" w:themeColor="text1"/>
                <w:sz w:val="24"/>
                <w:szCs w:val="24"/>
                <w:highlight w:val="none"/>
              </w:rPr>
              <w:t xml:space="preserve">标人提供国</w:t>
            </w:r>
            <w:r>
              <w:rPr>
                <w:rFonts w:hint="eastAsia" w:ascii="宋体" w:hAnsi="宋体" w:cs="宋体"/>
                <w:color w:val="000000" w:themeColor="text1"/>
                <w:sz w:val="24"/>
                <w:szCs w:val="24"/>
                <w:highlight w:val="none"/>
              </w:rPr>
              <w:t xml:space="preserve">家确定的认证机构出具的、处于有效期内的该投标产品环境标志产品认证证书复印件（投标人需提供环境标志产品证书并标识出产品型号）)；</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（技术指标6）轨道：材质铝合金6063-T5</w:t>
            </w:r>
            <w:r>
              <w:rPr>
                <w:rFonts w:hint="eastAsia" w:ascii="宋体" w:hAnsi="宋体" w:cs="宋体"/>
                <w:color w:val="000000" w:themeColor="text1"/>
                <w:sz w:val="24"/>
                <w:szCs w:val="24"/>
                <w:highlight w:val="none"/>
              </w:rPr>
              <w:t xml:space="preserve">，可做弯轨，表面涂层均匀，无鼓泡、皱纹、针孔、流痕、暗斑、裂纹、发黏、凹陷、划伤等可视缺陷；规定非比例延伸强≥180N/mm2，抗拉强度≥190N/mm2，断后伸长率≥8%，壁厚≥1.2mm；</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（技术指标7）制作工艺：面料阻燃方式为永久性阻燃，非经阻燃剂浸泡/涂层阻燃方式；韩式定褶，褶皱倍数2倍，需要做</w:t>
            </w:r>
            <w:r>
              <w:rPr>
                <w:rFonts w:hint="eastAsia" w:ascii="宋体" w:hAnsi="宋体" w:cs="宋体"/>
                <w:color w:val="000000" w:themeColor="text1"/>
                <w:sz w:val="24"/>
                <w:szCs w:val="24"/>
                <w:highlight w:val="none"/>
              </w:rPr>
              <w:t xml:space="preserve">高温定型处理；两边</w:t>
            </w:r>
            <w:r>
              <w:rPr>
                <w:rFonts w:hint="eastAsia" w:ascii="宋体" w:hAnsi="宋体" w:cs="宋体"/>
                <w:color w:val="000000" w:themeColor="text1"/>
                <w:sz w:val="24"/>
                <w:szCs w:val="24"/>
                <w:highlight w:val="none"/>
              </w:rPr>
              <w:t xml:space="preserve">3-4cm折边；底</w:t>
            </w:r>
            <w:r>
              <w:rPr>
                <w:rFonts w:hint="eastAsia" w:ascii="宋体" w:hAnsi="宋体" w:cs="宋体"/>
                <w:color w:val="000000" w:themeColor="text1"/>
                <w:sz w:val="24"/>
                <w:szCs w:val="24"/>
                <w:highlight w:val="none"/>
              </w:rPr>
              <w:t xml:space="preserve">边反折8-10cm，添加铅坠；绑带缝制在窗帘上；线迹均匀平直，侧边不扭斜；缝纫线与布料颜色相同或相近；拼接处不扭斜，拼缝锁三线；不能弄脏和损坏布料：布料采用先进数码纺织工艺制织而成，确保面料厚度、密度及垂度。颜色、造型细节根据采购人要求，提供阻燃</w:t>
            </w:r>
            <w:r>
              <w:rPr>
                <w:rFonts w:hint="eastAsia" w:ascii="宋体" w:hAnsi="宋体" w:cs="宋体"/>
                <w:color w:val="000000" w:themeColor="text1"/>
                <w:sz w:val="24"/>
                <w:szCs w:val="24"/>
                <w:highlight w:val="none"/>
              </w:rPr>
              <w:t xml:space="preserve">窗帘</w:t>
            </w:r>
            <w:r>
              <w:rPr>
                <w:rFonts w:hint="eastAsia" w:ascii="宋体" w:hAnsi="宋体" w:cs="宋体"/>
                <w:color w:val="000000" w:themeColor="text1"/>
                <w:sz w:val="24"/>
                <w:szCs w:val="24"/>
                <w:highlight w:val="none"/>
              </w:rPr>
              <w:t xml:space="preserve">多种款式可选方案。制作好的窗帘布拼缝平直，无扭曲，无漏针，成品无污迹。</w:t>
            </w:r>
            <w:r>
              <w:rPr>
                <w:color w:val="000000" w:themeColor="text1"/>
                <w:highlight w:val="none"/>
              </w:rPr>
            </w:r>
            <w:r/>
          </w:p>
          <w:p>
            <w:pPr>
              <w:pStyle w:val="953"/>
              <w:rPr>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rFonts w:hint="eastAsia" w:ascii="宋体" w:hAnsi="宋体" w:cs="宋体"/>
                <w:b/>
                <w:bCs/>
                <w:color w:val="000000" w:themeColor="text1"/>
                <w:sz w:val="24"/>
                <w:szCs w:val="24"/>
                <w:highlight w:val="none"/>
              </w:rPr>
              <w:t xml:space="preserve">技术指标2-4</w:t>
            </w:r>
            <w:r>
              <w:rPr>
                <w:rFonts w:hint="eastAsia" w:ascii="宋体" w:hAnsi="宋体" w:cs="宋体"/>
                <w:color w:val="000000" w:themeColor="text1"/>
                <w:sz w:val="24"/>
                <w:szCs w:val="24"/>
                <w:highlight w:val="none"/>
              </w:rPr>
              <w:t xml:space="preserve">提供</w:t>
            </w:r>
            <w:r>
              <w:rPr>
                <w:rFonts w:hint="eastAsia" w:ascii="宋体" w:hAnsi="宋体" w:cs="宋体"/>
                <w:color w:val="000000" w:themeColor="text1"/>
                <w:sz w:val="24"/>
                <w:szCs w:val="24"/>
                <w:highlight w:val="none"/>
              </w:rPr>
              <w:t xml:space="preserve">CMA标识检测报告（报告名称允许和招标产品名称有出入，只要是同类产品且参数符合均认可）</w:t>
            </w:r>
            <w:r>
              <w:rPr>
                <w:rFonts w:hint="eastAsia" w:ascii="宋体" w:hAnsi="宋体" w:cs="宋体"/>
                <w:color w:val="000000" w:themeColor="text1"/>
                <w:sz w:val="24"/>
                <w:szCs w:val="24"/>
                <w:highlight w:val="none"/>
              </w:rPr>
              <w:t xml:space="preserve">。中标后原件备查。</w:t>
            </w:r>
            <w:r>
              <w:rPr>
                <w:color w:val="000000" w:themeColor="text1"/>
                <w:highlight w:val="none"/>
              </w:rPr>
            </w:r>
            <w:r/>
          </w:p>
        </w:tc>
      </w:tr>
      <w:tr>
        <w:trPr>
          <w:trHeight w:val="355"/>
        </w:trPr>
        <w:tc>
          <w:tcPr>
            <w:tcW w:w="851" w:type="dxa"/>
            <w:vAlign w:val="top"/>
            <w:textDirection w:val="lrTb"/>
            <w:noWrap w:val="false"/>
          </w:tcPr>
          <w:p>
            <w:pPr>
              <w:pStyle w:val="953"/>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p>
            <w:pPr>
              <w:pStyle w:val="953"/>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r/>
          </w:p>
        </w:tc>
        <w:tc>
          <w:tcPr>
            <w:shd w:val="clear" w:color="000000" w:fill="ffffff"/>
            <w:tcW w:w="1334" w:type="dxa"/>
            <w:vAlign w:val="center"/>
            <w:textDirection w:val="lrTb"/>
            <w:noWrap w:val="false"/>
          </w:tcPr>
          <w:p>
            <w:pPr>
              <w:pStyle w:val="95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手动·阻燃</w:t>
            </w:r>
            <w:r>
              <w:rPr>
                <w:rFonts w:hint="eastAsia" w:ascii="宋体" w:hAnsi="宋体" w:cs="宋体"/>
                <w:color w:val="000000" w:themeColor="text1"/>
                <w:sz w:val="24"/>
                <w:szCs w:val="24"/>
                <w:highlight w:val="none"/>
              </w:rPr>
              <w:t xml:space="preserve">医用隔帘</w:t>
            </w:r>
            <w:r>
              <w:rPr>
                <w:color w:val="000000" w:themeColor="text1"/>
                <w:highlight w:val="none"/>
              </w:rPr>
            </w:r>
            <w:r/>
          </w:p>
        </w:tc>
        <w:tc>
          <w:tcPr>
            <w:tcW w:w="12557" w:type="dxa"/>
            <w:vAlign w:val="top"/>
            <w:textDirection w:val="lrTb"/>
            <w:noWrap w:val="false"/>
          </w:tcPr>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（技术指标1）基础要求：100%聚酯纤维；遮光率≥90%；克重≥225g/㎡；甲醛：未检出；PH值：4.0-9.0；耐水、耐干摩擦色牢度≥4级；异味：无；</w:t>
            </w:r>
            <w:r>
              <w:rPr>
                <w:rFonts w:hint="eastAsia" w:ascii="宋体" w:hAnsi="宋体" w:cs="宋体"/>
                <w:color w:val="000000" w:themeColor="text1"/>
                <w:sz w:val="24"/>
                <w:szCs w:val="24"/>
                <w:highlight w:val="none"/>
              </w:rPr>
              <w:t xml:space="preserve">可分解致癌芳香胺染料：禁用</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技术指标2）基本性能：顶破强力≥14</w:t>
            </w:r>
            <w:r>
              <w:rPr>
                <w:rFonts w:ascii="宋体" w:hAnsi="宋体" w:cs="宋体"/>
                <w:color w:val="000000" w:themeColor="text1"/>
                <w:sz w:val="24"/>
                <w:szCs w:val="24"/>
                <w:highlight w:val="none"/>
              </w:rPr>
              <w:t xml:space="preserve">0</w:t>
            </w:r>
            <w:r>
              <w:rPr>
                <w:rFonts w:hint="eastAsia" w:ascii="宋体" w:hAnsi="宋体" w:cs="宋体"/>
                <w:color w:val="000000" w:themeColor="text1"/>
                <w:sz w:val="24"/>
                <w:szCs w:val="24"/>
                <w:highlight w:val="none"/>
              </w:rPr>
              <w:t xml:space="preserve">0N,检测方法GB/T19976；耐光色牢度≥5级，检测方法GB/T8427；</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技术指标3）功能性要求</w:t>
            </w:r>
            <w:r>
              <w:rPr>
                <w:rFonts w:hint="eastAsia" w:ascii="宋体" w:hAnsi="宋体" w:cs="宋体"/>
                <w:color w:val="000000" w:themeColor="text1"/>
                <w:sz w:val="24"/>
                <w:szCs w:val="24"/>
                <w:highlight w:val="none"/>
              </w:rPr>
              <w:t xml:space="preserve">1：水洗≥20次后，阻燃性能检测符合氧指数≥32%，损毁长度≤</w:t>
            </w: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0mm</w:t>
            </w:r>
            <w:r>
              <w:rPr>
                <w:rFonts w:hint="eastAsia" w:ascii="宋体" w:hAnsi="宋体" w:cs="宋体"/>
                <w:color w:val="000000" w:themeColor="text1"/>
                <w:sz w:val="24"/>
                <w:szCs w:val="24"/>
                <w:highlight w:val="none"/>
              </w:rPr>
              <w:t xml:space="preserve">，续燃时间≤</w:t>
            </w:r>
            <w:r>
              <w:rPr>
                <w:rFonts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S</w:t>
            </w:r>
            <w:r>
              <w:rPr>
                <w:rFonts w:hint="eastAsia" w:ascii="宋体" w:hAnsi="宋体" w:cs="宋体"/>
                <w:color w:val="000000" w:themeColor="text1"/>
                <w:sz w:val="24"/>
                <w:szCs w:val="24"/>
                <w:highlight w:val="none"/>
              </w:rPr>
              <w:t xml:space="preserve">，阴燃时间≤</w:t>
            </w:r>
            <w:r>
              <w:rPr>
                <w:rFonts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S</w:t>
            </w:r>
            <w:r>
              <w:rPr>
                <w:rFonts w:hint="eastAsia" w:ascii="宋体" w:hAnsi="宋体" w:cs="宋体"/>
                <w:color w:val="000000" w:themeColor="text1"/>
                <w:sz w:val="24"/>
                <w:szCs w:val="24"/>
                <w:highlight w:val="none"/>
              </w:rPr>
              <w:t xml:space="preserve">，燃烧滴落物未引起脱脂棉燃烧或阴燃（或无燃烧滴落物），烟密度等级（SDR）≤</w:t>
            </w: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，检测方法GB/T5454、GB/T5455、GB/T 8627；</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技术指标4）功能性要求2：耐氯化水、耐次氯酸盐漂白色牢度≥4级，检测方法GB/T8433、GB/T7069；</w:t>
            </w:r>
            <w:r>
              <w:rPr>
                <w:rFonts w:hint="eastAsia" w:ascii="宋体" w:hAnsi="宋体" w:cs="宋体"/>
                <w:color w:val="000000" w:themeColor="text1"/>
                <w:sz w:val="24"/>
                <w:szCs w:val="24"/>
                <w:highlight w:val="none"/>
              </w:rPr>
              <w:t xml:space="preserve">水洗</w:t>
            </w:r>
            <w:r>
              <w:rPr>
                <w:rFonts w:hint="eastAsia" w:ascii="宋体" w:hAnsi="宋体" w:cs="宋体"/>
                <w:color w:val="000000" w:themeColor="text1"/>
                <w:sz w:val="24"/>
                <w:szCs w:val="24"/>
                <w:highlight w:val="none"/>
              </w:rPr>
              <w:t xml:space="preserve">≥30次后对金黄色葡萄球菌，大肠杆菌及白色念珠菌的抑菌率≥95%，检测方法GB/T 20944.3；</w:t>
            </w:r>
            <w:r>
              <w:rPr>
                <w:rFonts w:hint="eastAsia" w:ascii="宋体" w:hAnsi="宋体" w:cs="宋体"/>
                <w:color w:val="000000" w:themeColor="text1"/>
                <w:sz w:val="24"/>
                <w:szCs w:val="24"/>
                <w:highlight w:val="none"/>
              </w:rPr>
              <w:t xml:space="preserve"> </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b/>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技术指标5）绿色产品：所</w:t>
            </w:r>
            <w:r>
              <w:rPr>
                <w:rFonts w:hint="eastAsia" w:ascii="宋体" w:hAnsi="宋体" w:cs="宋体"/>
                <w:color w:val="000000" w:themeColor="text1"/>
                <w:sz w:val="24"/>
                <w:szCs w:val="24"/>
                <w:highlight w:val="none"/>
              </w:rPr>
              <w:t xml:space="preserve">投产品满足GB</w:t>
            </w:r>
            <w:r>
              <w:rPr>
                <w:rFonts w:hint="eastAsia" w:ascii="宋体" w:hAnsi="宋体" w:cs="宋体"/>
                <w:color w:val="000000" w:themeColor="text1"/>
                <w:sz w:val="24"/>
                <w:szCs w:val="24"/>
                <w:highlight w:val="none"/>
              </w:rPr>
              <w:t xml:space="preserve">/T35611认证标准具备《中国绿色产品认证证书》且认证范围</w:t>
            </w:r>
            <w:r>
              <w:rPr>
                <w:rFonts w:hint="eastAsia" w:ascii="宋体" w:hAnsi="宋体" w:cs="宋体"/>
                <w:color w:val="000000" w:themeColor="text1"/>
                <w:sz w:val="24"/>
                <w:szCs w:val="24"/>
                <w:highlight w:val="none"/>
              </w:rPr>
              <w:t xml:space="preserve">包含阻燃</w:t>
            </w:r>
            <w:r>
              <w:rPr>
                <w:rFonts w:hint="eastAsia" w:ascii="宋体" w:hAnsi="宋体" w:cs="宋体"/>
                <w:color w:val="000000" w:themeColor="text1"/>
                <w:sz w:val="24"/>
                <w:szCs w:val="24"/>
                <w:highlight w:val="none"/>
              </w:rPr>
              <w:t xml:space="preserve">医用隔帘</w:t>
            </w:r>
            <w:r>
              <w:rPr>
                <w:rFonts w:hint="eastAsia" w:ascii="宋体" w:hAnsi="宋体" w:cs="宋体"/>
                <w:color w:val="000000" w:themeColor="text1"/>
                <w:sz w:val="24"/>
                <w:szCs w:val="24"/>
                <w:highlight w:val="none"/>
              </w:rPr>
              <w:t xml:space="preserve">（面料）(提供《中国绿色产品认证证书》证书复印件及全国认证认可信息公共服务平台 cx.cnca.cn 的查询截图予以证明，</w:t>
            </w:r>
            <w:r>
              <w:rPr>
                <w:rFonts w:hint="eastAsia" w:ascii="宋体" w:hAnsi="宋体" w:cs="宋体"/>
                <w:color w:val="000000" w:themeColor="text1"/>
                <w:sz w:val="24"/>
                <w:szCs w:val="24"/>
                <w:highlight w:val="none"/>
              </w:rPr>
              <w:t xml:space="preserve">或投标产品属于财政部、生态环境部公布的“环境标志产品品目清单”范围内的，投标人提供国家确定的认证机构出具的、处于有效期内的该投标产品环境标志产品认证证书复印件（投标人需提供环境标志产品证书并标识出产品型号）)；</w:t>
            </w:r>
            <w:r>
              <w:rPr>
                <w:rFonts w:hint="eastAsia" w:ascii="宋体" w:hAnsi="宋体" w:cs="宋体"/>
                <w:color w:val="000000" w:themeColor="text1"/>
                <w:sz w:val="24"/>
                <w:szCs w:val="24"/>
                <w:highlight w:val="none"/>
              </w:rPr>
              <w:t xml:space="preserve">)；</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（技术指标6）制作工艺：面料阻燃方式为永久性阻燃，非经阻燃剂浸泡/涂层阻燃方式</w:t>
            </w:r>
            <w:r>
              <w:rPr>
                <w:rFonts w:hint="eastAsia" w:ascii="宋体" w:hAnsi="宋体" w:cs="宋体"/>
                <w:color w:val="000000" w:themeColor="text1"/>
                <w:sz w:val="24"/>
                <w:szCs w:val="24"/>
                <w:highlight w:val="none"/>
              </w:rPr>
              <w:t xml:space="preserve">；韩式定褶</w:t>
            </w:r>
            <w:r>
              <w:rPr>
                <w:rFonts w:hint="eastAsia" w:ascii="宋体" w:hAnsi="宋体" w:cs="宋体"/>
                <w:color w:val="000000" w:themeColor="text1"/>
                <w:sz w:val="24"/>
                <w:szCs w:val="24"/>
                <w:highlight w:val="none"/>
              </w:rPr>
              <w:t xml:space="preserve">，褶皱倍数2倍，需要做高温定型处理；网眼高度50cm～80cm面料洗后网状不会断裂脱落等特点。两边3-4cm折边；底边反折8-10cm；绑带缝制在隔帘上；线迹均匀平直，侧边不扭斜；缝纫线与布料颜色相同或相近；拼接处不扭斜，拼缝锁三线；不能弄脏和损坏布料：布料采用先进数码纺织工艺制织而成，确保面料厚度、密度及垂度。颜色、造型细节根据采购人要求，提供阻燃</w:t>
            </w:r>
            <w:r>
              <w:rPr>
                <w:rFonts w:hint="eastAsia" w:ascii="宋体" w:hAnsi="宋体" w:cs="宋体"/>
                <w:color w:val="000000" w:themeColor="text1"/>
                <w:sz w:val="24"/>
                <w:szCs w:val="24"/>
                <w:highlight w:val="none"/>
              </w:rPr>
              <w:t xml:space="preserve">医用隔帘</w:t>
            </w:r>
            <w:r>
              <w:rPr>
                <w:rFonts w:hint="eastAsia" w:ascii="宋体" w:hAnsi="宋体" w:cs="宋体"/>
                <w:color w:val="000000" w:themeColor="text1"/>
                <w:sz w:val="24"/>
                <w:szCs w:val="24"/>
                <w:highlight w:val="none"/>
              </w:rPr>
              <w:t xml:space="preserve">多种款式可选方案。制作好的隔帘布拼缝平直，无扭曲，无漏针，成品无污迹。</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rFonts w:hint="eastAsia" w:ascii="宋体" w:hAnsi="宋体" w:cs="宋体"/>
                <w:b/>
                <w:bCs/>
                <w:color w:val="000000" w:themeColor="text1"/>
                <w:sz w:val="24"/>
                <w:szCs w:val="24"/>
                <w:highlight w:val="none"/>
              </w:rPr>
              <w:t xml:space="preserve">技术指标2-4</w:t>
            </w:r>
            <w:r>
              <w:rPr>
                <w:rFonts w:hint="eastAsia" w:ascii="宋体" w:hAnsi="宋体" w:cs="宋体"/>
                <w:color w:val="000000" w:themeColor="text1"/>
                <w:sz w:val="24"/>
                <w:szCs w:val="24"/>
                <w:highlight w:val="none"/>
              </w:rPr>
              <w:t xml:space="preserve">提供CMA标识检测报告（报告名称允许和招标产</w:t>
            </w:r>
            <w:r>
              <w:rPr>
                <w:rFonts w:hint="eastAsia" w:ascii="宋体" w:hAnsi="宋体" w:cs="宋体"/>
                <w:color w:val="000000" w:themeColor="text1"/>
                <w:sz w:val="24"/>
                <w:szCs w:val="24"/>
                <w:highlight w:val="none"/>
              </w:rPr>
              <w:t xml:space="preserve">品</w:t>
            </w:r>
            <w:r>
              <w:rPr>
                <w:rFonts w:hint="eastAsia" w:ascii="宋体" w:hAnsi="宋体" w:cs="宋体"/>
                <w:color w:val="000000" w:themeColor="text1"/>
                <w:sz w:val="24"/>
                <w:szCs w:val="24"/>
                <w:highlight w:val="none"/>
              </w:rPr>
              <w:t xml:space="preserve">名称有出入，只要是同类产品且参数符合均认可）</w:t>
            </w:r>
            <w:r>
              <w:rPr>
                <w:rFonts w:hint="eastAsia" w:ascii="宋体" w:hAnsi="宋体" w:cs="宋体"/>
                <w:color w:val="000000" w:themeColor="text1"/>
                <w:sz w:val="24"/>
                <w:szCs w:val="24"/>
                <w:highlight w:val="none"/>
              </w:rPr>
              <w:t xml:space="preserve">。中标后原件备查。</w:t>
            </w:r>
            <w:r>
              <w:rPr>
                <w:color w:val="000000" w:themeColor="text1"/>
                <w:highlight w:val="none"/>
              </w:rPr>
            </w:r>
            <w:r/>
          </w:p>
        </w:tc>
      </w:tr>
      <w:tr>
        <w:trPr>
          <w:trHeight w:val="500"/>
        </w:trPr>
        <w:tc>
          <w:tcPr>
            <w:tcW w:w="851" w:type="dxa"/>
            <w:vAlign w:val="top"/>
            <w:textDirection w:val="lrTb"/>
            <w:noWrap w:val="false"/>
          </w:tcPr>
          <w:p>
            <w:pPr>
              <w:pStyle w:val="95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95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95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95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95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95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953"/>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r/>
          </w:p>
        </w:tc>
        <w:tc>
          <w:tcPr>
            <w:shd w:val="clear" w:color="000000" w:fill="ffffff"/>
            <w:tcW w:w="1334" w:type="dxa"/>
            <w:vAlign w:val="center"/>
            <w:textDirection w:val="lrTb"/>
            <w:noWrap w:val="false"/>
          </w:tcPr>
          <w:p>
            <w:pPr>
              <w:pStyle w:val="95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95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95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95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95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95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手动·阻燃卷帘</w:t>
            </w:r>
            <w:r>
              <w:rPr>
                <w:color w:val="000000" w:themeColor="text1"/>
                <w:highlight w:val="none"/>
              </w:rPr>
            </w:r>
            <w:r/>
          </w:p>
        </w:tc>
        <w:tc>
          <w:tcPr>
            <w:tcW w:w="12557" w:type="dxa"/>
            <w:vAlign w:val="top"/>
            <w:textDirection w:val="lrTb"/>
            <w:noWrap w:val="false"/>
          </w:tcPr>
          <w:p>
            <w:pPr>
              <w:pStyle w:val="95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（技术指标1）基布部分要求：</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2</w:t>
            </w:r>
            <w:r>
              <w:rPr>
                <w:rFonts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%聚酯纤维</w:t>
            </w:r>
            <w:r>
              <w:rPr>
                <w:rFonts w:hint="eastAsia" w:ascii="宋体" w:hAnsi="宋体" w:cs="宋体"/>
                <w:color w:val="000000" w:themeColor="text1"/>
                <w:sz w:val="24"/>
                <w:szCs w:val="24"/>
                <w:highlight w:val="none"/>
              </w:rPr>
              <w:t xml:space="preserve">；甲醛：未检出；PH值：4.0-9.0；耐水、耐干摩擦色牢度≥4级；异味：无：</w:t>
            </w:r>
            <w:r>
              <w:rPr>
                <w:rFonts w:hint="eastAsia" w:ascii="宋体" w:hAnsi="宋体" w:cs="宋体"/>
                <w:color w:val="000000" w:themeColor="text1"/>
                <w:sz w:val="24"/>
                <w:szCs w:val="24"/>
                <w:highlight w:val="none"/>
              </w:rPr>
              <w:t xml:space="preserve">可分解致癌芳香胺染料：禁用</w:t>
            </w:r>
            <w:r>
              <w:rPr>
                <w:color w:val="000000" w:themeColor="text1"/>
                <w:highlight w:val="none"/>
              </w:rPr>
            </w:r>
            <w:r/>
          </w:p>
          <w:p>
            <w:pPr>
              <w:pStyle w:val="95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技术指标2）基本性能：耐光色牢度≥7级，检测方法GB/T8427；</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技术指标3）</w:t>
            </w:r>
            <w:r>
              <w:rPr>
                <w:rFonts w:hint="eastAsia" w:ascii="宋体" w:hAnsi="宋体" w:cs="宋体"/>
                <w:color w:val="000000" w:themeColor="text1"/>
                <w:sz w:val="24"/>
                <w:szCs w:val="24"/>
                <w:highlight w:val="none"/>
              </w:rPr>
              <w:t xml:space="preserve">功能性要求：</w:t>
            </w:r>
            <w:r>
              <w:rPr>
                <w:rFonts w:hint="eastAsia" w:ascii="宋体" w:hAnsi="宋体" w:cs="宋体"/>
                <w:color w:val="000000" w:themeColor="text1"/>
                <w:sz w:val="24"/>
                <w:szCs w:val="24"/>
                <w:highlight w:val="none"/>
              </w:rPr>
              <w:t xml:space="preserve">水洗≥20次后，阻燃性能检测符合氧指数≥32%，损毁长度≤</w:t>
            </w:r>
            <w:r>
              <w:rPr>
                <w:rFonts w:ascii="宋体" w:hAnsi="宋体" w:cs="宋体"/>
                <w:color w:val="000000" w:themeColor="text1"/>
                <w:sz w:val="24"/>
                <w:szCs w:val="24"/>
                <w:highlight w:val="none"/>
              </w:rPr>
              <w:t xml:space="preserve">15</w:t>
            </w:r>
            <w:r>
              <w:rPr>
                <w:rFonts w:hint="eastAsia" w:ascii="宋体" w:hAnsi="宋体" w:cs="宋体"/>
                <w:color w:val="000000" w:themeColor="text1"/>
                <w:sz w:val="24"/>
                <w:szCs w:val="24"/>
                <w:highlight w:val="none"/>
              </w:rPr>
              <w:t xml:space="preserve">0mm</w:t>
            </w:r>
            <w:r>
              <w:rPr>
                <w:rFonts w:hint="eastAsia" w:ascii="宋体" w:hAnsi="宋体" w:cs="宋体"/>
                <w:color w:val="000000" w:themeColor="text1"/>
                <w:sz w:val="24"/>
                <w:szCs w:val="24"/>
                <w:highlight w:val="none"/>
              </w:rPr>
              <w:t xml:space="preserve">，续燃时间≤5S，阴燃时间≤5S，燃烧滴落物未引起脱脂棉燃烧或阴燃（或</w:t>
            </w:r>
            <w:r>
              <w:rPr>
                <w:rFonts w:hint="eastAsia" w:ascii="宋体" w:hAnsi="宋体" w:cs="宋体"/>
                <w:color w:val="000000" w:themeColor="text1"/>
                <w:sz w:val="24"/>
                <w:szCs w:val="24"/>
                <w:highlight w:val="none"/>
              </w:rPr>
              <w:t xml:space="preserve">无燃烧滴落物），烟密度等级（SDR）≤</w:t>
            </w: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，检测方法GB/T5454、GB/T5455、GB/T 8627；</w:t>
            </w:r>
            <w:r>
              <w:rPr>
                <w:color w:val="000000" w:themeColor="text1"/>
                <w:highlight w:val="none"/>
              </w:rPr>
            </w:r>
            <w:r/>
          </w:p>
          <w:p>
            <w:pPr>
              <w:pStyle w:val="95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b/>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技术指标4）绿色产品：所投产品满足GB/T35611认证标准具备《中国绿色产品认证证书》且认证范围至少包含阻燃卷帘</w:t>
            </w:r>
            <w:r>
              <w:rPr>
                <w:rFonts w:hint="eastAsia" w:ascii="宋体" w:hAnsi="宋体" w:cs="宋体"/>
                <w:color w:val="000000" w:themeColor="text1"/>
                <w:sz w:val="24"/>
                <w:szCs w:val="24"/>
                <w:highlight w:val="none"/>
              </w:rPr>
              <w:t xml:space="preserve">（面料）(提供《中国绿色产品认证证书》证书复印件及全国认证认可信息公共服务平台 cx.cnca.cn 的查询截图予以证明，</w:t>
            </w:r>
            <w:r>
              <w:rPr>
                <w:rFonts w:hint="eastAsia" w:ascii="宋体" w:hAnsi="宋体" w:cs="宋体"/>
                <w:color w:val="000000" w:themeColor="text1"/>
                <w:sz w:val="24"/>
                <w:szCs w:val="24"/>
                <w:highlight w:val="none"/>
              </w:rPr>
              <w:t xml:space="preserve">或投标产品</w:t>
            </w:r>
            <w:r>
              <w:rPr>
                <w:rFonts w:hint="eastAsia" w:ascii="宋体" w:hAnsi="宋体" w:cs="宋体"/>
                <w:color w:val="000000" w:themeColor="text1"/>
                <w:sz w:val="24"/>
                <w:szCs w:val="24"/>
                <w:highlight w:val="none"/>
              </w:rPr>
              <w:t xml:space="preserve">属于财政部、生态环境部公布的“环境标志产品品目清单”范围内的，投标人提供国家确定的认证机构出具的、处于有效期内的该投标产品环境标志产品认证</w:t>
            </w:r>
            <w:r>
              <w:rPr>
                <w:rFonts w:hint="eastAsia" w:ascii="宋体" w:hAnsi="宋体" w:cs="宋体"/>
                <w:color w:val="000000" w:themeColor="text1"/>
                <w:sz w:val="24"/>
                <w:szCs w:val="24"/>
                <w:highlight w:val="none"/>
              </w:rPr>
              <w:t xml:space="preserve">证书复印件（投标人需提供环境标志产品证书并标识出产品型号）)；</w:t>
            </w:r>
            <w:r>
              <w:rPr>
                <w:rFonts w:hint="eastAsia" w:ascii="宋体" w:hAnsi="宋体" w:cs="宋体"/>
                <w:color w:val="000000" w:themeColor="text1"/>
                <w:sz w:val="24"/>
                <w:szCs w:val="24"/>
                <w:highlight w:val="none"/>
              </w:rPr>
              <w:t xml:space="preserve">)；</w:t>
            </w:r>
            <w:r>
              <w:rPr>
                <w:color w:val="000000" w:themeColor="text1"/>
                <w:highlight w:val="none"/>
              </w:rPr>
            </w:r>
            <w:r/>
          </w:p>
          <w:p>
            <w:pPr>
              <w:pStyle w:val="95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（技术指标5）上卷管：卷管加厚铝合金材质，外管径≥38mm，壁厚≥1.0mm，含加强筋配置；</w:t>
            </w:r>
            <w:r>
              <w:rPr>
                <w:color w:val="000000" w:themeColor="text1"/>
                <w:highlight w:val="none"/>
              </w:rPr>
            </w:r>
            <w:r/>
          </w:p>
          <w:p>
            <w:pPr>
              <w:pStyle w:val="95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（技术指标6）下梁（底杆）：加厚铝合金材质，规格≥30*10mm，壁厚≥1.0mm，底部带有防撞静音条；</w:t>
            </w:r>
            <w:r>
              <w:rPr>
                <w:color w:val="000000" w:themeColor="text1"/>
                <w:highlight w:val="none"/>
              </w:rPr>
            </w:r>
            <w:r/>
          </w:p>
          <w:p>
            <w:pPr>
              <w:pStyle w:val="95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（技术指标7）制头：材质采用POM，PC等优质工程塑料，内置减速装置，省力≥50％；制头内含金属轴承、金属</w:t>
            </w:r>
            <w:r>
              <w:rPr>
                <w:rFonts w:hint="eastAsia" w:ascii="宋体" w:hAnsi="宋体" w:cs="宋体"/>
                <w:color w:val="000000" w:themeColor="text1"/>
                <w:sz w:val="24"/>
                <w:szCs w:val="24"/>
                <w:highlight w:val="none"/>
              </w:rPr>
              <w:t xml:space="preserve">链接轴等使机构运动更省力平稳；内置限位器安装后无极调整上下限位；可万向自锁，使用寿命2万次以上。拉珠与制头摩擦处采用特殊的结构，使结构工作</w:t>
            </w:r>
            <w:r>
              <w:rPr>
                <w:rFonts w:hint="eastAsia" w:ascii="宋体" w:hAnsi="宋体" w:cs="宋体"/>
                <w:color w:val="000000" w:themeColor="text1"/>
                <w:sz w:val="24"/>
                <w:szCs w:val="24"/>
                <w:highlight w:val="none"/>
              </w:rPr>
              <w:t xml:space="preserve">时噪音小；拉珠：拉珠采用POM优质工程塑料，表面光滑，无毛刺，配色和谐，耐磨、耐老化，性能优异；拉绳采用高强聚酯纤维。</w:t>
            </w:r>
            <w:r>
              <w:rPr>
                <w:color w:val="000000" w:themeColor="text1"/>
                <w:highlight w:val="none"/>
              </w:rPr>
            </w:r>
            <w:r/>
          </w:p>
          <w:p>
            <w:pPr>
              <w:pStyle w:val="95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（技术指标8）制作工艺：卷管、底杆、制头使用高强度型材，经久耐用。具体面料款式中标后采购方确认后再生产，面料裁切整齐，底部带有防撞静音条，保证帘布平整挺括。</w:t>
            </w:r>
            <w:r>
              <w:rPr>
                <w:color w:val="000000" w:themeColor="text1"/>
                <w:highlight w:val="none"/>
              </w:rPr>
            </w:r>
            <w:r/>
          </w:p>
          <w:p>
            <w:pPr>
              <w:pStyle w:val="95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rFonts w:hint="eastAsia" w:ascii="宋体" w:hAnsi="宋体" w:cs="宋体"/>
                <w:b/>
                <w:bCs/>
                <w:color w:val="000000" w:themeColor="text1"/>
                <w:sz w:val="24"/>
                <w:szCs w:val="24"/>
                <w:highlight w:val="none"/>
              </w:rPr>
              <w:t xml:space="preserve">技术指标2-3</w:t>
            </w:r>
            <w:r>
              <w:rPr>
                <w:rFonts w:hint="eastAsia" w:ascii="宋体" w:hAnsi="宋体" w:cs="宋体"/>
                <w:color w:val="000000" w:themeColor="text1"/>
                <w:sz w:val="24"/>
                <w:szCs w:val="24"/>
                <w:highlight w:val="none"/>
              </w:rPr>
              <w:t xml:space="preserve">提供CMA标识检测报告（报告名称允许和招标产品名称有出入，只要是同类产品且</w:t>
            </w:r>
            <w:r>
              <w:rPr>
                <w:rFonts w:hint="eastAsia" w:ascii="宋体" w:hAnsi="宋体" w:cs="宋体"/>
                <w:color w:val="000000" w:themeColor="text1"/>
                <w:sz w:val="24"/>
                <w:szCs w:val="24"/>
                <w:highlight w:val="none"/>
              </w:rPr>
              <w:t xml:space="preserve">参数符合均认可）</w:t>
            </w:r>
            <w:r>
              <w:rPr>
                <w:rFonts w:hint="eastAsia" w:ascii="宋体" w:hAnsi="宋体" w:cs="宋体"/>
                <w:color w:val="000000" w:themeColor="text1"/>
                <w:sz w:val="24"/>
                <w:szCs w:val="24"/>
                <w:highlight w:val="none"/>
              </w:rPr>
              <w:t xml:space="preserve">。中标后原件备查。</w:t>
            </w:r>
            <w:r>
              <w:rPr>
                <w:color w:val="000000" w:themeColor="text1"/>
                <w:highlight w:val="none"/>
              </w:rPr>
            </w:r>
            <w:r/>
          </w:p>
        </w:tc>
      </w:tr>
      <w:tr>
        <w:trPr>
          <w:trHeight w:val="1984"/>
        </w:trPr>
        <w:tc>
          <w:tcPr>
            <w:tcW w:w="851" w:type="dxa"/>
            <w:vAlign w:val="top"/>
            <w:textDirection w:val="lrTb"/>
            <w:noWrap w:val="false"/>
          </w:tcPr>
          <w:p>
            <w:pPr>
              <w:pStyle w:val="953"/>
              <w:ind w:firstLine="24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r/>
          </w:p>
        </w:tc>
        <w:tc>
          <w:tcPr>
            <w:shd w:val="clear" w:color="000000" w:fill="ffffff"/>
            <w:tcW w:w="1334" w:type="dxa"/>
            <w:vAlign w:val="center"/>
            <w:textDirection w:val="lrTb"/>
            <w:noWrap w:val="false"/>
          </w:tcPr>
          <w:p>
            <w:pPr>
              <w:pStyle w:val="95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电动·阻燃</w:t>
            </w:r>
            <w:r>
              <w:rPr>
                <w:rFonts w:hint="eastAsia" w:ascii="宋体" w:hAnsi="宋体" w:cs="宋体"/>
                <w:color w:val="000000" w:themeColor="text1"/>
                <w:sz w:val="24"/>
                <w:szCs w:val="24"/>
                <w:highlight w:val="none"/>
              </w:rPr>
              <w:t xml:space="preserve">窗帘</w:t>
            </w:r>
            <w:r>
              <w:rPr>
                <w:color w:val="000000" w:themeColor="text1"/>
                <w:highlight w:val="none"/>
              </w:rPr>
            </w:r>
            <w:r/>
          </w:p>
        </w:tc>
        <w:tc>
          <w:tcPr>
            <w:tcW w:w="12557" w:type="dxa"/>
            <w:vAlign w:val="top"/>
            <w:textDirection w:val="lrTb"/>
            <w:noWrap w:val="false"/>
          </w:tcPr>
          <w:p>
            <w:pPr>
              <w:pStyle w:val="95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（技术指标5）电动系统（电机）：额定电压（V）220，</w:t>
            </w:r>
            <w:r>
              <w:rPr>
                <w:rFonts w:hint="eastAsia" w:ascii="宋体" w:hAnsi="宋体" w:cs="宋体"/>
                <w:color w:val="000000" w:themeColor="text1"/>
                <w:sz w:val="24"/>
                <w:szCs w:val="24"/>
                <w:highlight w:val="none"/>
              </w:rPr>
              <w:t xml:space="preserve">额定扭矩（Nm）≥0.8；运行速度≥14cm/s；防护等级≥IP20；电动系统（轨道）：材质：铝合金；壁厚≥2.0mm；轨道应为一体化设计，表面电泳处理，着色与电机机身协调统一，无色差，质感一致；挤压型材；</w:t>
            </w:r>
            <w:r>
              <w:rPr>
                <w:color w:val="000000" w:themeColor="text1"/>
                <w:highlight w:val="none"/>
              </w:rPr>
            </w:r>
            <w:r/>
          </w:p>
          <w:p>
            <w:pPr>
              <w:pStyle w:val="953"/>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w:t>
            </w:r>
            <w:r>
              <w:rPr>
                <w:rFonts w:hint="eastAsia" w:ascii="宋体" w:hAnsi="宋体" w:cs="宋体"/>
                <w:color w:val="000000" w:themeColor="text1"/>
                <w:sz w:val="24"/>
                <w:szCs w:val="24"/>
                <w:highlight w:val="none"/>
              </w:rPr>
              <w:t xml:space="preserve">注：（技术指标1）-（技术指标4）以及（技术指标6）同序号1</w:t>
            </w:r>
            <w:r>
              <w:rPr>
                <w:rFonts w:hint="eastAsia" w:ascii="宋体" w:hAnsi="宋体" w:cs="宋体"/>
                <w:color w:val="000000" w:themeColor="text1"/>
                <w:sz w:val="24"/>
                <w:szCs w:val="24"/>
                <w:highlight w:val="none"/>
              </w:rPr>
              <w:t xml:space="preserve">手动·阻燃</w:t>
            </w:r>
            <w:r>
              <w:rPr>
                <w:rFonts w:hint="eastAsia" w:ascii="宋体" w:hAnsi="宋体" w:cs="宋体"/>
                <w:color w:val="000000" w:themeColor="text1"/>
                <w:sz w:val="24"/>
                <w:szCs w:val="24"/>
                <w:highlight w:val="none"/>
              </w:rPr>
              <w:t xml:space="preserve">窗帘</w:t>
            </w:r>
            <w:r>
              <w:rPr>
                <w:rFonts w:hint="eastAsia" w:ascii="宋体" w:hAnsi="宋体" w:cs="宋体"/>
                <w:color w:val="000000" w:themeColor="text1"/>
                <w:sz w:val="24"/>
                <w:szCs w:val="24"/>
                <w:highlight w:val="none"/>
              </w:rPr>
              <w:t xml:space="preserve">，不重复计分</w:t>
            </w:r>
            <w:r>
              <w:rPr>
                <w:color w:val="000000" w:themeColor="text1"/>
                <w:highlight w:val="none"/>
              </w:rPr>
            </w:r>
            <w:r/>
          </w:p>
          <w:p>
            <w:pPr>
              <w:pStyle w:val="967"/>
              <w:rPr>
                <w:rFonts w:hint="eastAsia"/>
                <w:color w:val="000000" w:themeColor="text1"/>
                <w:highlight w:val="none"/>
              </w:rPr>
            </w:pPr>
            <w:r>
              <w:rPr>
                <w:rFonts w:hint="eastAsia"/>
                <w:color w:val="000000" w:themeColor="text1"/>
                <w:highlight w:val="none"/>
              </w:rPr>
            </w:r>
            <w:r>
              <w:rPr>
                <w:color w:val="000000" w:themeColor="text1"/>
                <w:highlight w:val="none"/>
              </w:rPr>
            </w:r>
            <w:r/>
          </w:p>
        </w:tc>
      </w:tr>
      <w:tr>
        <w:trPr>
          <w:trHeight w:val="500"/>
        </w:trPr>
        <w:tc>
          <w:tcPr>
            <w:tcW w:w="851" w:type="dxa"/>
            <w:vAlign w:val="top"/>
            <w:textDirection w:val="lrTb"/>
            <w:noWrap w:val="false"/>
          </w:tcPr>
          <w:p>
            <w:pPr>
              <w:pStyle w:val="95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953"/>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r/>
          </w:p>
        </w:tc>
        <w:tc>
          <w:tcPr>
            <w:shd w:val="clear" w:color="000000" w:fill="ffffff"/>
            <w:tcW w:w="1334" w:type="dxa"/>
            <w:vAlign w:val="center"/>
            <w:textDirection w:val="lrTb"/>
            <w:noWrap w:val="false"/>
          </w:tcPr>
          <w:p>
            <w:pPr>
              <w:pStyle w:val="95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953"/>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电动·阻燃卷帘</w:t>
            </w:r>
            <w:r>
              <w:rPr>
                <w:color w:val="000000" w:themeColor="text1"/>
                <w:highlight w:val="none"/>
              </w:rPr>
            </w:r>
            <w:r/>
          </w:p>
        </w:tc>
        <w:tc>
          <w:tcPr>
            <w:tcW w:w="12557" w:type="dxa"/>
            <w:vAlign w:val="top"/>
            <w:textDirection w:val="lrTb"/>
            <w:noWrap w:val="false"/>
          </w:tcPr>
          <w:p>
            <w:pPr>
              <w:pStyle w:val="95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（技术指标4）电动系统（电机）：额定电压（V）220，额定电流（A）≤0.55；额定扭矩（Nm）≥6；额定转速（rpm）≥20；额定功率（W）≥120；连续工作时间</w:t>
            </w:r>
            <w:r>
              <w:rPr>
                <w:rFonts w:hint="eastAsia" w:ascii="宋体" w:hAnsi="宋体" w:cs="宋体"/>
                <w:color w:val="000000" w:themeColor="text1"/>
                <w:sz w:val="24"/>
                <w:szCs w:val="24"/>
                <w:highlight w:val="none"/>
              </w:rPr>
              <w:t xml:space="preserve">（min）≥4；电机管径35mm</w:t>
            </w:r>
            <w:r>
              <w:rPr>
                <w:rFonts w:ascii="宋体" w:hAnsi="宋体" w:cs="宋体"/>
                <w:color w:val="000000" w:themeColor="text1"/>
                <w:sz w:val="24"/>
                <w:szCs w:val="24"/>
                <w:highlight w:val="none"/>
              </w:rPr>
              <w:t xml:space="preserve">或按配套接口适配</w:t>
            </w:r>
            <w:r>
              <w:rPr>
                <w:rFonts w:hint="eastAsia" w:ascii="宋体" w:hAnsi="宋体" w:cs="宋体"/>
                <w:color w:val="000000" w:themeColor="text1"/>
                <w:sz w:val="24"/>
                <w:szCs w:val="24"/>
                <w:highlight w:val="none"/>
              </w:rPr>
              <w:t xml:space="preserve">；防护等级≥IP44；噪音分贝≤38dB；</w:t>
            </w:r>
            <w:r>
              <w:rPr>
                <w:color w:val="000000" w:themeColor="text1"/>
                <w:highlight w:val="none"/>
              </w:rPr>
            </w:r>
            <w:r/>
          </w:p>
          <w:p>
            <w:pPr>
              <w:pStyle w:val="95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（技术指标5）上卷管：卷管加厚</w:t>
            </w:r>
            <w:r>
              <w:rPr>
                <w:rFonts w:hint="eastAsia" w:ascii="宋体" w:hAnsi="宋体"/>
                <w:color w:val="000000" w:themeColor="text1"/>
                <w:sz w:val="24"/>
                <w:szCs w:val="24"/>
                <w:highlight w:val="none"/>
              </w:rPr>
              <w:t xml:space="preserve">6063-T5</w:t>
            </w:r>
            <w:r>
              <w:rPr>
                <w:rFonts w:hint="eastAsia" w:ascii="宋体" w:hAnsi="宋体" w:cs="宋体"/>
                <w:color w:val="000000" w:themeColor="text1"/>
                <w:sz w:val="24"/>
                <w:szCs w:val="24"/>
                <w:highlight w:val="none"/>
              </w:rPr>
              <w:t xml:space="preserve">铝合金材质，外管</w:t>
            </w:r>
            <w:r>
              <w:rPr>
                <w:rFonts w:hint="eastAsia" w:ascii="宋体" w:hAnsi="宋体" w:cs="宋体"/>
                <w:color w:val="000000" w:themeColor="text1"/>
                <w:sz w:val="24"/>
                <w:szCs w:val="24"/>
                <w:highlight w:val="none"/>
              </w:rPr>
              <w:t xml:space="preserve">径≥</w:t>
            </w:r>
            <w:r>
              <w:rPr>
                <w:rFonts w:hint="eastAsia" w:ascii="宋体" w:hAnsi="宋体"/>
                <w:color w:val="000000" w:themeColor="text1"/>
                <w:sz w:val="24"/>
                <w:szCs w:val="24"/>
                <w:highlight w:val="none"/>
              </w:rPr>
              <w:t xml:space="preserve">50mm</w:t>
            </w:r>
            <w:r>
              <w:rPr>
                <w:rFonts w:hint="eastAsia" w:ascii="宋体" w:hAnsi="宋体" w:cs="宋体"/>
                <w:color w:val="000000" w:themeColor="text1"/>
                <w:sz w:val="24"/>
                <w:szCs w:val="24"/>
                <w:highlight w:val="none"/>
              </w:rPr>
              <w:t xml:space="preserve">，壁厚≥1.2mm，铝管3米长度时的自然挠度≤1.2mm，保证在2.5m范围内不产生弯曲变形，铝管机械性能达到GB6063-T5铝合金牌号标准。铝合金卷管表面阳极氧化，管材外表面带1个凹槽口用于卡面料使用；下梁（底杆）：加厚</w:t>
            </w:r>
            <w:r>
              <w:rPr>
                <w:rFonts w:hint="eastAsia" w:ascii="宋体" w:hAnsi="宋体"/>
                <w:color w:val="000000" w:themeColor="text1"/>
                <w:sz w:val="24"/>
                <w:szCs w:val="24"/>
                <w:highlight w:val="none"/>
              </w:rPr>
              <w:t xml:space="preserve">6063-T5</w:t>
            </w:r>
            <w:r>
              <w:rPr>
                <w:rFonts w:hint="eastAsia" w:ascii="宋体" w:hAnsi="宋体" w:cs="宋体"/>
                <w:color w:val="000000" w:themeColor="text1"/>
                <w:sz w:val="24"/>
                <w:szCs w:val="24"/>
                <w:highlight w:val="none"/>
              </w:rPr>
              <w:t xml:space="preserve">铝合金材质，规格42*17mm±5%，壁厚≥2.0mm，米重≥0.63kg/m；表面处理：静电粉末喷涂，下梁仿</w:t>
            </w:r>
            <w:r>
              <w:rPr>
                <w:rFonts w:hint="eastAsia" w:ascii="宋体" w:hAnsi="宋体" w:cs="宋体"/>
                <w:color w:val="000000" w:themeColor="text1"/>
                <w:sz w:val="24"/>
                <w:szCs w:val="24"/>
                <w:highlight w:val="none"/>
              </w:rPr>
              <w:t xml:space="preserve">梭形设计，重心靠下，确保下梁垂直向下，不会出现翘边情况；采用加厚铝材，减少下梁的弯曲变形，确保面料升降的平整，减少面料窝边带来的左右跑偏情况；</w:t>
            </w:r>
            <w:r>
              <w:rPr>
                <w:color w:val="000000" w:themeColor="text1"/>
                <w:highlight w:val="none"/>
              </w:rPr>
            </w:r>
            <w:r/>
          </w:p>
          <w:p>
            <w:pPr>
              <w:pStyle w:val="95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w:t>
            </w:r>
            <w:r>
              <w:rPr>
                <w:rFonts w:hint="eastAsia" w:ascii="宋体" w:hAnsi="宋体" w:cs="宋体"/>
                <w:color w:val="000000" w:themeColor="text1"/>
                <w:sz w:val="24"/>
                <w:szCs w:val="24"/>
                <w:highlight w:val="none"/>
              </w:rPr>
              <w:t xml:space="preserve">标6）安装头码：外观尺寸:103*77*38mm±5%；支架安装拆卸简单，后期如需调整或更换电机及其他配件时，只需将松掉几个螺丝，即可整幅窗帘从顶部支架上卸下。支架类型：分左右配置，随窗帘配置；安装码采用带件注塑，包胶处理，配合静音尾塞使用，静音尾塞为尼龙玻纤材质。</w:t>
            </w:r>
            <w:r>
              <w:rPr>
                <w:color w:val="000000" w:themeColor="text1"/>
                <w:highlight w:val="none"/>
              </w:rPr>
            </w:r>
            <w:r/>
          </w:p>
          <w:p>
            <w:pPr>
              <w:pStyle w:val="95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（技术指标7）制作工艺：使用高强度型材，经久耐用。面料裁切整齐，底部带有防撞静音条，保证帘布</w:t>
            </w:r>
            <w:r>
              <w:rPr>
                <w:rFonts w:hint="eastAsia" w:ascii="宋体" w:hAnsi="宋体" w:cs="宋体"/>
                <w:color w:val="000000" w:themeColor="text1"/>
                <w:sz w:val="24"/>
                <w:szCs w:val="24"/>
                <w:highlight w:val="none"/>
              </w:rPr>
              <w:t xml:space="preserve">平整挺括。投标人结合现场情况和制作工艺，自行综合评定电动成品窗帘报价。</w:t>
            </w:r>
            <w:r>
              <w:rPr>
                <w:color w:val="000000" w:themeColor="text1"/>
                <w:highlight w:val="none"/>
              </w:rPr>
            </w:r>
            <w:r/>
          </w:p>
          <w:p>
            <w:pPr>
              <w:pStyle w:val="953"/>
              <w:rPr>
                <w:rFonts w:hint="eastAsia"/>
                <w:color w:val="000000" w:themeColor="text1"/>
                <w:highlight w:val="none"/>
              </w:rPr>
            </w:pPr>
            <w:r>
              <w:rPr>
                <w:rFonts w:hint="eastAsia" w:ascii="宋体" w:hAnsi="宋体" w:cs="宋体"/>
                <w:color w:val="000000" w:themeColor="text1"/>
                <w:sz w:val="24"/>
                <w:szCs w:val="24"/>
                <w:highlight w:val="none"/>
              </w:rPr>
              <w:t xml:space="preserve">备注：（技术指标1）-（技术指标3）同序号3手动·阻燃</w:t>
            </w:r>
            <w:r>
              <w:rPr>
                <w:rFonts w:hint="eastAsia" w:ascii="宋体" w:hAnsi="宋体" w:cs="宋体"/>
                <w:color w:val="000000" w:themeColor="text1"/>
                <w:sz w:val="24"/>
                <w:szCs w:val="24"/>
                <w:highlight w:val="none"/>
              </w:rPr>
              <w:t xml:space="preserve">卷帘，不重复计分</w:t>
            </w:r>
            <w:r>
              <w:rPr>
                <w:color w:val="000000" w:themeColor="text1"/>
                <w:highlight w:val="none"/>
              </w:rPr>
            </w:r>
            <w:r/>
          </w:p>
        </w:tc>
      </w:tr>
      <w:tr>
        <w:trPr>
          <w:trHeight w:val="500"/>
        </w:trPr>
        <w:tc>
          <w:tcPr>
            <w:tcW w:w="851" w:type="dxa"/>
            <w:vAlign w:val="top"/>
            <w:textDirection w:val="lrTb"/>
            <w:noWrap w:val="false"/>
          </w:tcPr>
          <w:p>
            <w:pPr>
              <w:pStyle w:val="95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95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r/>
          </w:p>
          <w:p>
            <w:pPr>
              <w:pStyle w:val="953"/>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shd w:val="clear" w:color="000000" w:fill="ffffff"/>
            <w:tcW w:w="1334" w:type="dxa"/>
            <w:vAlign w:val="center"/>
            <w:textDirection w:val="lrTb"/>
            <w:noWrap w:val="false"/>
          </w:tcPr>
          <w:p>
            <w:pPr>
              <w:pStyle w:val="953"/>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电动·阻燃幕布</w:t>
            </w:r>
            <w:r>
              <w:rPr>
                <w:color w:val="000000" w:themeColor="text1"/>
                <w:highlight w:val="none"/>
              </w:rPr>
            </w:r>
            <w:r/>
          </w:p>
        </w:tc>
        <w:tc>
          <w:tcPr>
            <w:tcW w:w="12557" w:type="dxa"/>
            <w:vAlign w:val="top"/>
            <w:textDirection w:val="lrTb"/>
            <w:noWrap w:val="false"/>
          </w:tcPr>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（技术指标1）基础要求：100%聚酯纤维；遮光率≥90%；克重≥280g/㎡；甲醛：未检出；PH值：4.0-9.0；耐水、耐干摩擦色牢度≥4级；异味：无；</w:t>
            </w:r>
            <w:r>
              <w:rPr>
                <w:rFonts w:hint="eastAsia" w:ascii="宋体" w:hAnsi="宋体" w:cs="宋体"/>
                <w:color w:val="000000" w:themeColor="text1"/>
                <w:sz w:val="24"/>
                <w:szCs w:val="24"/>
                <w:highlight w:val="none"/>
              </w:rPr>
              <w:t xml:space="preserve">可分解致癌芳香胺染料：禁用</w:t>
            </w:r>
            <w:r>
              <w:rPr>
                <w:rFonts w:hint="eastAsia" w:ascii="宋体" w:hAnsi="宋体" w:cs="宋体"/>
                <w:color w:val="000000" w:themeColor="text1"/>
                <w:sz w:val="24"/>
                <w:szCs w:val="24"/>
                <w:highlight w:val="none"/>
              </w:rPr>
              <w:t xml:space="preserve">。</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技术指标2）基本性能：耐光色牢度≥5级，检测方法GB/T8427；断裂强力（直向/横向）≥</w:t>
            </w:r>
            <w:r>
              <w:rPr>
                <w:rFonts w:ascii="宋体" w:hAnsi="宋体" w:cs="宋体"/>
                <w:color w:val="000000" w:themeColor="text1"/>
                <w:sz w:val="24"/>
                <w:szCs w:val="24"/>
                <w:highlight w:val="none"/>
              </w:rPr>
              <w:t xml:space="preserve">25</w:t>
            </w:r>
            <w:r>
              <w:rPr>
                <w:rFonts w:hint="eastAsia" w:ascii="宋体" w:hAnsi="宋体" w:cs="宋体"/>
                <w:color w:val="000000" w:themeColor="text1"/>
                <w:sz w:val="24"/>
                <w:szCs w:val="24"/>
                <w:highlight w:val="none"/>
              </w:rPr>
              <w:t xml:space="preserve">0N</w:t>
            </w:r>
            <w:r>
              <w:rPr>
                <w:rFonts w:hint="eastAsia" w:ascii="宋体" w:hAnsi="宋体" w:cs="宋体"/>
                <w:color w:val="000000" w:themeColor="text1"/>
                <w:sz w:val="24"/>
                <w:szCs w:val="24"/>
                <w:highlight w:val="none"/>
              </w:rPr>
              <w:t xml:space="preserve">，检测方法GB/T3923.1；</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技术指标3）功能性要求1：水洗≥20次后，阻燃检测符合氧指数≥32%，损毁长度≤</w:t>
            </w: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0mm</w:t>
            </w:r>
            <w:r>
              <w:rPr>
                <w:rFonts w:hint="eastAsia" w:ascii="宋体" w:hAnsi="宋体" w:cs="宋体"/>
                <w:color w:val="000000" w:themeColor="text1"/>
                <w:sz w:val="24"/>
                <w:szCs w:val="24"/>
                <w:highlight w:val="none"/>
              </w:rPr>
              <w:t xml:space="preserve">，续</w:t>
            </w:r>
            <w:r>
              <w:rPr>
                <w:rFonts w:hint="eastAsia" w:ascii="宋体" w:hAnsi="宋体" w:cs="宋体"/>
                <w:color w:val="000000" w:themeColor="text1"/>
                <w:sz w:val="24"/>
                <w:szCs w:val="24"/>
                <w:highlight w:val="none"/>
              </w:rPr>
              <w:t xml:space="preserve">燃时间≤5S，阴燃时间≤5S，燃烧滴落物未引起脱脂棉燃烧或阴燃（或无燃烧滴落物），烟密度等级（SDR）≤</w:t>
            </w: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，检测方法GB/T5454、GB/T5455、GB/T 8627；</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b/>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技术指标4）绿色产品：所投产品满足GB/T35611认证标准具备《中国绿色产品认证证书》且认证范围至少包含阻燃幕布（面料）(提供《中国绿色产品认证证书》证书复印件及全国认证认可信息公共服务平台 cx.cnca.cn 的查询截图予以证</w:t>
            </w:r>
            <w:r>
              <w:rPr>
                <w:rFonts w:hint="eastAsia" w:ascii="宋体" w:hAnsi="宋体" w:cs="宋体"/>
                <w:color w:val="000000" w:themeColor="text1"/>
                <w:sz w:val="24"/>
                <w:szCs w:val="24"/>
                <w:highlight w:val="none"/>
              </w:rPr>
              <w:t xml:space="preserve">明，</w:t>
            </w:r>
            <w:r>
              <w:rPr>
                <w:rFonts w:hint="eastAsia" w:ascii="宋体" w:hAnsi="宋体" w:cs="宋体"/>
                <w:color w:val="000000" w:themeColor="text1"/>
                <w:sz w:val="24"/>
                <w:szCs w:val="24"/>
                <w:highlight w:val="none"/>
              </w:rPr>
              <w:t xml:space="preserve">或投标产品属于财政部、生态环境部公布的“环境标志产品品目清单”范围内的，投标人提供国家确定的认证</w:t>
            </w:r>
            <w:r>
              <w:rPr>
                <w:rFonts w:hint="eastAsia" w:ascii="宋体" w:hAnsi="宋体" w:cs="宋体"/>
                <w:color w:val="000000" w:themeColor="text1"/>
                <w:sz w:val="24"/>
                <w:szCs w:val="24"/>
                <w:highlight w:val="none"/>
              </w:rPr>
              <w:t xml:space="preserve">机构出具的、处于有效期内的该投标产品环境标志产品认证证书复印件（投标人需提供环境标志产品证书并标识出产品型号）)；</w:t>
            </w:r>
            <w:r>
              <w:rPr>
                <w:rFonts w:hint="eastAsia" w:ascii="宋体" w:hAnsi="宋体" w:cs="宋体"/>
                <w:color w:val="000000" w:themeColor="text1"/>
                <w:sz w:val="24"/>
                <w:szCs w:val="24"/>
                <w:highlight w:val="none"/>
              </w:rPr>
              <w:t xml:space="preserve">)；</w:t>
            </w:r>
            <w:r>
              <w:rPr>
                <w:color w:val="000000" w:themeColor="text1"/>
                <w:highlight w:val="none"/>
              </w:rPr>
            </w:r>
            <w:r/>
          </w:p>
          <w:p>
            <w:pPr>
              <w:pStyle w:val="95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（技术指标5）电动系统（电机）：额定电压（V）220，额定扭矩（Nm）≥8；运行速度（m/s）≥0.7（双向）；额定功率（W）≥300；防护等级≥IP41；电机承重≥300KG；</w:t>
            </w:r>
            <w:r>
              <w:rPr>
                <w:color w:val="000000" w:themeColor="text1"/>
                <w:highlight w:val="none"/>
              </w:rPr>
            </w:r>
            <w:r/>
          </w:p>
          <w:p>
            <w:pPr>
              <w:pStyle w:val="95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电动系统（轨道）：材质：铝合金；规格≥55*36mm；壁厚≥2.0mm；轨道应为一体化设计，表面电泳处理，着色与</w:t>
            </w:r>
            <w:r>
              <w:rPr>
                <w:rFonts w:hint="eastAsia" w:ascii="宋体" w:hAnsi="宋体" w:cs="宋体"/>
                <w:color w:val="000000" w:themeColor="text1"/>
                <w:sz w:val="24"/>
                <w:szCs w:val="24"/>
                <w:highlight w:val="none"/>
              </w:rPr>
              <w:t xml:space="preserve">电机机身协调统一，无色差，质感一致；挤压型材；</w:t>
            </w:r>
            <w:r>
              <w:rPr>
                <w:color w:val="000000" w:themeColor="text1"/>
                <w:highlight w:val="none"/>
              </w:rPr>
            </w:r>
            <w:r/>
          </w:p>
          <w:p>
            <w:pPr>
              <w:pStyle w:val="953"/>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（技术指标6）制作工艺：面料阻燃方式为永久性阻燃，非</w:t>
            </w:r>
            <w:r>
              <w:rPr>
                <w:rFonts w:hint="eastAsia" w:ascii="宋体" w:hAnsi="宋体" w:cs="宋体"/>
                <w:color w:val="000000" w:themeColor="text1"/>
                <w:sz w:val="24"/>
                <w:szCs w:val="24"/>
                <w:highlight w:val="none"/>
              </w:rPr>
              <w:t xml:space="preserve">经阻燃剂浸泡/涂层阻燃方式；韩式定褶，需要做高温定型处理；两边3-4cm折边；底边反折8-10cm，添加铅坠；绑带缝制在窗帘上；线迹均匀平直，侧边不扭斜；缝纫线与布料颜色相同或相近；拼接处不扭斜，拼缝锁三线；不能弄脏和损坏布料：布料采用先进数码纺织工艺制织而成，确保面料厚度、密度及垂度。颜色、造型细节根据采购人要求，提供阻燃幕布多种款式可选方案。制作好的窗帘布拼缝平直，无扭曲，无漏针，成品无污迹。根据采购方需</w:t>
            </w:r>
            <w:r>
              <w:rPr>
                <w:rFonts w:hint="eastAsia" w:ascii="宋体" w:hAnsi="宋体" w:cs="宋体"/>
                <w:color w:val="000000" w:themeColor="text1"/>
                <w:sz w:val="24"/>
                <w:szCs w:val="24"/>
                <w:highlight w:val="none"/>
              </w:rPr>
              <w:t xml:space="preserve">求可提供幔头款式定制服务，投标人结合现场情况和制作工艺，自行综合评定电动成品窗帘报价。</w:t>
            </w:r>
            <w:r>
              <w:rPr>
                <w:color w:val="000000" w:themeColor="text1"/>
                <w:highlight w:val="none"/>
              </w:rPr>
            </w:r>
            <w:r/>
          </w:p>
          <w:p>
            <w:pPr>
              <w:pStyle w:val="95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rFonts w:hint="eastAsia" w:ascii="宋体" w:hAnsi="宋体" w:cs="宋体"/>
                <w:b/>
                <w:bCs/>
                <w:color w:val="000000" w:themeColor="text1"/>
                <w:sz w:val="24"/>
                <w:szCs w:val="24"/>
                <w:highlight w:val="none"/>
              </w:rPr>
              <w:t xml:space="preserve">技术指标2-3</w:t>
            </w:r>
            <w:r>
              <w:rPr>
                <w:rFonts w:hint="eastAsia" w:ascii="宋体" w:hAnsi="宋体" w:cs="宋体"/>
                <w:color w:val="000000" w:themeColor="text1"/>
                <w:sz w:val="24"/>
                <w:szCs w:val="24"/>
                <w:highlight w:val="none"/>
              </w:rPr>
              <w:t xml:space="preserve">提供CMA标识检测报告（报告名称允许和招标产品名称有出入，只要是同类产品且参数符合均认可）</w:t>
            </w:r>
            <w:r>
              <w:rPr>
                <w:rFonts w:hint="eastAsia" w:ascii="宋体" w:hAnsi="宋体" w:cs="宋体"/>
                <w:color w:val="000000" w:themeColor="text1"/>
                <w:sz w:val="24"/>
                <w:szCs w:val="24"/>
                <w:highlight w:val="none"/>
              </w:rPr>
              <w:t xml:space="preserve">。中标后原件备查。</w:t>
            </w:r>
            <w:r>
              <w:rPr>
                <w:color w:val="000000" w:themeColor="text1"/>
                <w:highlight w:val="none"/>
              </w:rPr>
            </w:r>
            <w:r/>
          </w:p>
        </w:tc>
      </w:tr>
      <w:tr>
        <w:trPr>
          <w:trHeight w:val="3844"/>
        </w:trPr>
        <w:tc>
          <w:tcPr>
            <w:tcW w:w="851" w:type="dxa"/>
            <w:vAlign w:val="top"/>
            <w:textDirection w:val="lrTb"/>
            <w:noWrap w:val="false"/>
          </w:tcPr>
          <w:p>
            <w:pPr>
              <w:pStyle w:val="95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95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953"/>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953"/>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color w:val="000000" w:themeColor="text1"/>
                <w:highlight w:val="none"/>
              </w:rPr>
            </w:r>
            <w:r/>
          </w:p>
        </w:tc>
        <w:tc>
          <w:tcPr>
            <w:shd w:val="clear" w:color="000000" w:fill="ffffff"/>
            <w:tcW w:w="1334" w:type="dxa"/>
            <w:vAlign w:val="center"/>
            <w:textDirection w:val="lrTb"/>
            <w:noWrap w:val="false"/>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辅料配件</w:t>
            </w:r>
            <w:r>
              <w:rPr>
                <w:color w:val="000000" w:themeColor="text1"/>
                <w:highlight w:val="none"/>
              </w:rPr>
            </w:r>
            <w:r/>
          </w:p>
        </w:tc>
        <w:tc>
          <w:tcPr>
            <w:tcW w:w="12557" w:type="dxa"/>
            <w:vAlign w:val="top"/>
            <w:textDirection w:val="lrTb"/>
            <w:noWrap w:val="false"/>
          </w:tcPr>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（■技术指标1）阻燃布带：断裂强力：长度方向≥</w:t>
            </w: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00N</w:t>
            </w:r>
            <w:r>
              <w:rPr>
                <w:rFonts w:hint="eastAsia" w:ascii="宋体" w:hAnsi="宋体" w:cs="宋体"/>
                <w:color w:val="000000" w:themeColor="text1"/>
                <w:sz w:val="24"/>
                <w:szCs w:val="24"/>
                <w:highlight w:val="none"/>
              </w:rPr>
              <w:t xml:space="preserve">，检测方法 GB/T3923.1；抗老化强力保持率≥75%，检测方法GB/T31899或GB/T3923.1；</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（技术指标2）阻燃绑带：100%聚酯纤维；</w:t>
            </w:r>
            <w:r>
              <w:rPr>
                <w:rFonts w:hint="eastAsia" w:ascii="宋体" w:hAnsi="宋体" w:cs="宋体"/>
                <w:color w:val="000000" w:themeColor="text1"/>
                <w:sz w:val="24"/>
                <w:szCs w:val="24"/>
                <w:highlight w:val="none"/>
              </w:rPr>
              <w:t xml:space="preserve">甲醛：未检出；PH值：4.0-9.0；耐水、耐干</w:t>
            </w:r>
            <w:r>
              <w:rPr>
                <w:rFonts w:hint="eastAsia" w:ascii="宋体" w:hAnsi="宋体" w:cs="宋体"/>
                <w:color w:val="000000" w:themeColor="text1"/>
                <w:sz w:val="24"/>
                <w:szCs w:val="24"/>
                <w:highlight w:val="none"/>
              </w:rPr>
              <w:t xml:space="preserve">摩擦色牢度≥4级；异味：无；</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（技术指标3）挂钩：采用单勾或调节勾，高强度金属材质或POM材质，承重≥10kg白色，表面光滑，韧度高，不易变形，结实耐用。</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b/>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技术指标4）绿色产品：所投产品满足GB/T35611认证标准具备《中国绿色产品认证证书》且认证范围至少包含阻燃布带（面料）和阻燃绑带（面料）(提供《中国绿色产品认证证书》证书复印件及全国认证认可信息公共服务平台 cx.cnca.cn 的查询截图予以证明，</w:t>
            </w:r>
            <w:r>
              <w:rPr>
                <w:rFonts w:hint="eastAsia" w:ascii="宋体" w:hAnsi="宋体" w:cs="宋体"/>
                <w:color w:val="000000" w:themeColor="text1"/>
                <w:sz w:val="24"/>
                <w:szCs w:val="24"/>
                <w:highlight w:val="none"/>
              </w:rPr>
              <w:t xml:space="preserve">或投标产品属于财政部、生态环境部公布的“环境标志产</w:t>
            </w:r>
            <w:r>
              <w:rPr>
                <w:rFonts w:hint="eastAsia" w:ascii="宋体" w:hAnsi="宋体" w:cs="宋体"/>
                <w:color w:val="000000" w:themeColor="text1"/>
                <w:sz w:val="24"/>
                <w:szCs w:val="24"/>
                <w:highlight w:val="none"/>
              </w:rPr>
              <w:t xml:space="preserve">品品目清单”范围内的，投标人提供国家确定的认证机</w:t>
            </w:r>
            <w:r>
              <w:rPr>
                <w:rFonts w:hint="eastAsia" w:ascii="宋体" w:hAnsi="宋体" w:cs="宋体"/>
                <w:color w:val="000000" w:themeColor="text1"/>
                <w:sz w:val="24"/>
                <w:szCs w:val="24"/>
                <w:highlight w:val="none"/>
              </w:rPr>
              <w:t xml:space="preserve">构出具的、处于有效期内的该投标产品环境标志产品认证证书复印件（投标人需提供环境标志产品证书并标识出产品型号）)；</w:t>
            </w:r>
            <w:r>
              <w:rPr>
                <w:rFonts w:hint="eastAsia" w:ascii="宋体" w:hAnsi="宋体" w:cs="宋体"/>
                <w:color w:val="000000" w:themeColor="text1"/>
                <w:sz w:val="24"/>
                <w:szCs w:val="24"/>
                <w:highlight w:val="none"/>
              </w:rPr>
              <w:t xml:space="preserve">)；</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rFonts w:hint="eastAsia" w:ascii="宋体" w:hAnsi="宋体" w:cs="宋体"/>
                <w:color w:val="000000" w:themeColor="text1"/>
                <w:sz w:val="24"/>
                <w:szCs w:val="24"/>
                <w:highlight w:val="none"/>
              </w:rPr>
              <w:t xml:space="preserve">技术</w:t>
            </w:r>
            <w:r>
              <w:rPr>
                <w:rFonts w:hint="eastAsia" w:ascii="宋体" w:hAnsi="宋体" w:cs="宋体"/>
                <w:b/>
                <w:bCs/>
                <w:color w:val="000000" w:themeColor="text1"/>
                <w:sz w:val="24"/>
                <w:szCs w:val="24"/>
                <w:highlight w:val="none"/>
              </w:rPr>
              <w:t xml:space="preserve">指标1</w:t>
            </w:r>
            <w:r>
              <w:rPr>
                <w:rFonts w:hint="eastAsia" w:ascii="宋体" w:hAnsi="宋体" w:cs="宋体"/>
                <w:color w:val="000000" w:themeColor="text1"/>
                <w:sz w:val="24"/>
                <w:szCs w:val="24"/>
                <w:highlight w:val="none"/>
              </w:rPr>
              <w:t xml:space="preserve">提供CMA标识检测报告（报告名称允许和招标产品名称有出入，只要是同类产品且参数符合均认可）</w:t>
            </w:r>
            <w:r>
              <w:rPr>
                <w:rFonts w:hint="eastAsia" w:ascii="宋体" w:hAnsi="宋体" w:cs="宋体"/>
                <w:color w:val="000000" w:themeColor="text1"/>
                <w:sz w:val="24"/>
                <w:szCs w:val="24"/>
                <w:highlight w:val="none"/>
              </w:rPr>
              <w:t xml:space="preserve">。中标后原件备查。</w:t>
            </w:r>
            <w:r>
              <w:rPr>
                <w:color w:val="000000" w:themeColor="text1"/>
                <w:highlight w:val="none"/>
              </w:rPr>
            </w:r>
            <w:r/>
          </w:p>
        </w:tc>
      </w:tr>
      <w:tr>
        <w:trPr>
          <w:trHeight w:val="1833"/>
        </w:trPr>
        <w:tc>
          <w:tcPr>
            <w:gridSpan w:val="3"/>
            <w:tcW w:w="14742" w:type="dxa"/>
            <w:vAlign w:val="top"/>
            <w:textDirection w:val="lrTb"/>
            <w:noWrap w:val="false"/>
          </w:tcPr>
          <w:p>
            <w:pPr>
              <w:pStyle w:val="953"/>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注意事项：</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以上技术参数所用国家/行业检测方法不做限制，新出台检测标准或现行/过往同类国家标准，只要检测结果符合或优于招标要求都予以认可。证明材料的出具时间不做限制，若是2026.6.1日之后出具的检测报告需满足国家市场监督管理局一单一库政策要求。</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2.检测报告</w:t>
            </w:r>
            <w:r>
              <w:rPr>
                <w:rFonts w:hint="eastAsia" w:ascii="宋体" w:hAnsi="宋体" w:cs="宋体"/>
                <w:color w:val="000000" w:themeColor="text1"/>
                <w:sz w:val="24"/>
                <w:szCs w:val="24"/>
                <w:highlight w:val="none"/>
              </w:rPr>
              <w:t xml:space="preserve">名称允许和</w:t>
            </w:r>
            <w:r>
              <w:rPr>
                <w:rFonts w:hint="eastAsia" w:ascii="宋体" w:hAnsi="宋体" w:cs="宋体"/>
                <w:color w:val="000000" w:themeColor="text1"/>
                <w:sz w:val="24"/>
                <w:szCs w:val="24"/>
                <w:highlight w:val="none"/>
              </w:rPr>
              <w:t xml:space="preserve">投</w:t>
            </w:r>
            <w:r>
              <w:rPr>
                <w:rFonts w:hint="eastAsia" w:ascii="宋体" w:hAnsi="宋体" w:cs="宋体"/>
                <w:color w:val="000000" w:themeColor="text1"/>
                <w:sz w:val="24"/>
                <w:szCs w:val="24"/>
                <w:highlight w:val="none"/>
              </w:rPr>
              <w:t xml:space="preserve">标产品名称</w:t>
            </w:r>
            <w:r>
              <w:rPr>
                <w:rFonts w:hint="eastAsia" w:ascii="宋体" w:hAnsi="宋体" w:cs="宋体"/>
                <w:color w:val="000000" w:themeColor="text1"/>
                <w:sz w:val="24"/>
                <w:szCs w:val="24"/>
                <w:highlight w:val="none"/>
              </w:rPr>
              <w:t xml:space="preserve">不一致</w:t>
            </w:r>
            <w:r>
              <w:rPr>
                <w:rFonts w:hint="eastAsia" w:ascii="宋体" w:hAnsi="宋体" w:cs="宋体"/>
                <w:color w:val="000000" w:themeColor="text1"/>
                <w:sz w:val="24"/>
                <w:szCs w:val="24"/>
                <w:highlight w:val="none"/>
              </w:rPr>
              <w:t xml:space="preserve">，只要是同类产品且参数符合均认可，</w:t>
            </w:r>
            <w:r>
              <w:rPr>
                <w:rFonts w:hint="eastAsia" w:ascii="宋体" w:hAnsi="宋体" w:cs="宋体"/>
                <w:color w:val="000000" w:themeColor="text1"/>
                <w:sz w:val="24"/>
                <w:szCs w:val="24"/>
                <w:highlight w:val="none"/>
              </w:rPr>
              <w:t xml:space="preserve">中标后原件备查。</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rPr>
              <w:t xml:space="preserve">如提供的绿色产品认证范围名称与招标文件要求不一致，投标文件中附供应商盖公章</w:t>
            </w:r>
            <w:r>
              <w:rPr>
                <w:rFonts w:hint="eastAsia" w:ascii="宋体" w:hAnsi="宋体" w:cs="宋体"/>
                <w:color w:val="000000" w:themeColor="text1"/>
                <w:sz w:val="24"/>
                <w:szCs w:val="24"/>
                <w:highlight w:val="none"/>
              </w:rPr>
              <w:t xml:space="preserve">的承诺函并注明对应产品型号规格（证明认证范围产品与本项目产品为</w:t>
            </w:r>
            <w:r>
              <w:rPr>
                <w:rFonts w:hint="eastAsia" w:ascii="宋体" w:hAnsi="宋体" w:cs="宋体"/>
                <w:color w:val="000000" w:themeColor="text1"/>
                <w:sz w:val="24"/>
                <w:szCs w:val="24"/>
                <w:highlight w:val="none"/>
              </w:rPr>
              <w:t xml:space="preserve">相同</w:t>
            </w:r>
            <w:r>
              <w:rPr>
                <w:rFonts w:hint="eastAsia" w:ascii="宋体" w:hAnsi="宋体" w:cs="宋体"/>
                <w:color w:val="000000" w:themeColor="text1"/>
                <w:sz w:val="24"/>
                <w:szCs w:val="24"/>
                <w:highlight w:val="none"/>
              </w:rPr>
              <w:t xml:space="preserve">产品且技术参数符合招标要求</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只要检测结果符合或优于招标要求都予以认可</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如投标人在投标活动中提供任何虚假材料,其投标无效，并报监管部门查处；中标人在签订合同前，采购方有权根据情况要求提供投标文件中的检测报告、发票及相关证明文件原件供采购人核验，如中标后发现弄虚作假情况的报监管部门查处。</w:t>
            </w:r>
            <w:r>
              <w:rPr>
                <w:color w:val="000000" w:themeColor="text1"/>
                <w:highlight w:val="none"/>
              </w:rPr>
            </w:r>
            <w:r/>
          </w:p>
        </w:tc>
      </w:tr>
    </w:tbl>
    <w:p>
      <w:pPr>
        <w:pStyle w:val="1109"/>
        <w:ind w:left="0"/>
        <w:rPr>
          <w:rFonts w:cs="宋体"/>
          <w:color w:val="000000" w:themeColor="text1"/>
          <w:sz w:val="24"/>
          <w:szCs w:val="24"/>
          <w:highlight w:val="none"/>
        </w:rPr>
        <w:sectPr>
          <w:footnotePr/>
          <w:endnotePr/>
          <w:type w:val="nextPage"/>
          <w:pgSz w:w="16838" w:h="11906" w:orient="landscape"/>
          <w:pgMar w:top="1417" w:right="1134" w:bottom="1417" w:left="850" w:header="850" w:footer="992" w:gutter="0"/>
          <w:cols w:num="1" w:sep="0" w:space="720" w:equalWidth="1"/>
          <w:docGrid w:linePitch="360"/>
        </w:sectPr>
        <w:outlineLvl w:val="1"/>
      </w:pPr>
      <w:r>
        <w:rPr>
          <w:rFonts w:cs="宋体"/>
          <w:color w:val="000000" w:themeColor="text1"/>
          <w:sz w:val="24"/>
          <w:szCs w:val="24"/>
          <w:highlight w:val="none"/>
        </w:rPr>
      </w:r>
      <w:r>
        <w:rPr>
          <w:color w:val="000000" w:themeColor="text1"/>
          <w:highlight w:val="none"/>
        </w:rPr>
      </w:r>
      <w:r/>
    </w:p>
    <w:p>
      <w:pPr>
        <w:pStyle w:val="953"/>
        <w:rPr>
          <w:color w:val="000000" w:themeColor="text1"/>
          <w:highlight w:val="none"/>
        </w:rPr>
      </w:pPr>
      <w:r>
        <w:rPr>
          <w:color w:val="000000" w:themeColor="text1"/>
          <w:highlight w:val="none"/>
        </w:rPr>
      </w:r>
      <w:r>
        <w:rPr>
          <w:color w:val="000000" w:themeColor="text1"/>
          <w:highlight w:val="none"/>
        </w:rPr>
      </w:r>
      <w:r/>
    </w:p>
    <w:p>
      <w:pPr>
        <w:pStyle w:val="1109"/>
        <w:numPr>
          <w:ilvl w:val="0"/>
          <w:numId w:val="6"/>
        </w:numPr>
        <w:ind w:hanging="562"/>
        <w:spacing w:line="360" w:lineRule="auto"/>
        <w:rPr>
          <w:rFonts w:cs="宋体"/>
          <w:color w:val="000000" w:themeColor="text1"/>
          <w:sz w:val="24"/>
          <w:szCs w:val="24"/>
          <w:highlight w:val="none"/>
        </w:rPr>
        <w:outlineLvl w:val="1"/>
      </w:pPr>
      <w:r>
        <w:rPr>
          <w:color w:val="000000" w:themeColor="text1"/>
          <w:highlight w:val="none"/>
        </w:rPr>
      </w:r>
      <w:bookmarkStart w:id="161" w:name="_Toc14750"/>
      <w:r>
        <w:rPr>
          <w:rFonts w:hint="eastAsia" w:cs="宋体"/>
          <w:color w:val="000000" w:themeColor="text1"/>
          <w:sz w:val="24"/>
          <w:szCs w:val="24"/>
          <w:highlight w:val="none"/>
        </w:rPr>
        <w:t xml:space="preserve">样品要求</w:t>
      </w:r>
      <w:r>
        <w:rPr>
          <w:color w:val="000000" w:themeColor="text1"/>
          <w:highlight w:val="none"/>
        </w:rPr>
      </w:r>
      <w:r/>
    </w:p>
    <w:p>
      <w:pPr>
        <w:pStyle w:val="953"/>
        <w:jc w:val="left"/>
        <w:spacing w:line="360" w:lineRule="auto"/>
        <w:widowControl/>
        <w:rPr>
          <w:rFonts w:hint="eastAsia" w:ascii="宋体" w:hAnsi="宋体" w:cs="宋体"/>
          <w:bCs/>
          <w:color w:val="000000" w:themeColor="text1"/>
          <w:sz w:val="24"/>
          <w:szCs w:val="24"/>
          <w:highlight w:val="none"/>
        </w:rPr>
      </w:pPr>
      <w:r>
        <w:rPr>
          <w:color w:val="000000" w:themeColor="text1"/>
          <w:highlight w:val="none"/>
        </w:rPr>
      </w:r>
      <w:bookmarkStart w:id="162" w:name="_Hlk223539153"/>
      <w:r>
        <w:rPr>
          <w:rFonts w:hint="eastAsia" w:ascii="宋体" w:hAnsi="宋体" w:cs="宋体"/>
          <w:bCs/>
          <w:color w:val="000000" w:themeColor="text1"/>
          <w:sz w:val="24"/>
          <w:szCs w:val="24"/>
          <w:highlight w:val="none"/>
        </w:rPr>
        <w:t xml:space="preserve">1.投标人</w:t>
      </w:r>
      <w:r>
        <w:rPr>
          <w:rFonts w:hint="eastAsia" w:ascii="宋体" w:hAnsi="宋体" w:cs="宋体"/>
          <w:bCs/>
          <w:color w:val="000000" w:themeColor="text1"/>
          <w:sz w:val="24"/>
          <w:szCs w:val="24"/>
          <w:highlight w:val="none"/>
        </w:rPr>
        <w:t xml:space="preserve">提供以下样品各一件（允许±15cm误差）：</w:t>
      </w:r>
      <w:r>
        <w:rPr>
          <w:color w:val="000000" w:themeColor="text1"/>
          <w:highlight w:val="none"/>
        </w:rPr>
      </w:r>
      <w:r/>
    </w:p>
    <w:p>
      <w:pPr>
        <w:pStyle w:val="95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highlight w:val="none"/>
        </w:rPr>
      </w:r>
      <w:r/>
    </w:p>
    <w:tbl>
      <w:tblPr>
        <w:tblpPr w:horzAnchor="page" w:tblpXSpec="center" w:vertAnchor="text" w:tblpY="36" w:leftFromText="180" w:topFromText="0" w:rightFromText="180" w:bottomFromText="0"/>
        <w:tblW w:w="1007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803"/>
        <w:gridCol w:w="1763"/>
        <w:gridCol w:w="1170"/>
        <w:gridCol w:w="2344"/>
        <w:gridCol w:w="2298"/>
      </w:tblGrid>
      <w:tr>
        <w:trPr>
          <w:trHeight w:val="302"/>
        </w:trPr>
        <w:tc>
          <w:tcPr>
            <w:tcW w:w="699" w:type="dxa"/>
            <w:vAlign w:val="top"/>
            <w:textDirection w:val="lrTb"/>
            <w:noWrap w:val="false"/>
          </w:tcPr>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t xml:space="preserve">序号</w:t>
            </w:r>
            <w:r>
              <w:rPr>
                <w:color w:val="000000" w:themeColor="text1"/>
                <w:highlight w:val="none"/>
              </w:rPr>
            </w:r>
            <w:r/>
          </w:p>
        </w:tc>
        <w:tc>
          <w:tcPr>
            <w:tcW w:w="1803" w:type="dxa"/>
            <w:vAlign w:val="top"/>
            <w:textDirection w:val="lrTb"/>
            <w:noWrap w:val="false"/>
          </w:tcPr>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t xml:space="preserve">样品名称</w:t>
            </w:r>
            <w:r>
              <w:rPr>
                <w:color w:val="000000" w:themeColor="text1"/>
                <w:highlight w:val="none"/>
              </w:rPr>
            </w:r>
            <w:r/>
          </w:p>
        </w:tc>
        <w:tc>
          <w:tcPr>
            <w:tcW w:w="1763" w:type="dxa"/>
            <w:vAlign w:val="top"/>
            <w:textDirection w:val="lrTb"/>
            <w:noWrap w:val="false"/>
          </w:tcPr>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t xml:space="preserve">规格要求</w:t>
            </w:r>
            <w:r>
              <w:rPr>
                <w:color w:val="000000" w:themeColor="text1"/>
                <w:highlight w:val="none"/>
              </w:rPr>
            </w:r>
            <w:r/>
          </w:p>
        </w:tc>
        <w:tc>
          <w:tcPr>
            <w:tcW w:w="1170" w:type="dxa"/>
            <w:vAlign w:val="top"/>
            <w:textDirection w:val="lrTb"/>
            <w:noWrap w:val="false"/>
          </w:tcPr>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t xml:space="preserve">数量</w:t>
            </w:r>
            <w:r>
              <w:rPr>
                <w:color w:val="000000" w:themeColor="text1"/>
                <w:highlight w:val="none"/>
              </w:rPr>
            </w:r>
            <w:r/>
          </w:p>
        </w:tc>
        <w:tc>
          <w:tcPr>
            <w:tcW w:w="2344" w:type="dxa"/>
            <w:vAlign w:val="top"/>
            <w:textDirection w:val="lrTb"/>
            <w:noWrap w:val="false"/>
          </w:tcPr>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t xml:space="preserve">设计参考</w:t>
            </w:r>
            <w:r>
              <w:rPr>
                <w:color w:val="000000" w:themeColor="text1"/>
                <w:highlight w:val="none"/>
              </w:rPr>
            </w:r>
            <w:r/>
          </w:p>
        </w:tc>
        <w:tc>
          <w:tcPr>
            <w:tcW w:w="2298" w:type="dxa"/>
            <w:vAlign w:val="top"/>
            <w:textDirection w:val="lrTb"/>
            <w:noWrap w:val="false"/>
          </w:tcPr>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t xml:space="preserve">备注</w:t>
            </w:r>
            <w:r>
              <w:rPr>
                <w:color w:val="000000" w:themeColor="text1"/>
                <w:highlight w:val="none"/>
              </w:rPr>
            </w:r>
            <w:r/>
          </w:p>
        </w:tc>
      </w:tr>
      <w:tr>
        <w:trPr>
          <w:trHeight w:val="1701"/>
        </w:trPr>
        <w:tc>
          <w:tcPr>
            <w:tcW w:w="699" w:type="dxa"/>
            <w:vAlign w:val="top"/>
            <w:textDirection w:val="lrTb"/>
            <w:noWrap w:val="false"/>
          </w:tcPr>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r>
            <w:r>
              <w:rPr>
                <w:color w:val="000000" w:themeColor="text1"/>
                <w:highlight w:val="none"/>
              </w:rPr>
            </w:r>
            <w:r/>
          </w:p>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t xml:space="preserve">1</w:t>
            </w:r>
            <w:r>
              <w:rPr>
                <w:color w:val="000000" w:themeColor="text1"/>
                <w:highlight w:val="none"/>
              </w:rPr>
            </w:r>
            <w:r/>
          </w:p>
        </w:tc>
        <w:tc>
          <w:tcPr>
            <w:tcW w:w="1803" w:type="dxa"/>
            <w:vAlign w:val="top"/>
            <w:textDirection w:val="lrTb"/>
            <w:noWrap w:val="false"/>
          </w:tcPr>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r>
            <w:r>
              <w:rPr>
                <w:color w:val="000000" w:themeColor="text1"/>
                <w:highlight w:val="none"/>
              </w:rPr>
            </w:r>
            <w:r/>
          </w:p>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t xml:space="preserve">手动·</w:t>
            </w:r>
            <w:r>
              <w:rPr>
                <w:color w:val="000000" w:themeColor="text1"/>
                <w:highlight w:val="none"/>
              </w:rPr>
            </w:r>
            <w:r/>
          </w:p>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t xml:space="preserve">阻燃</w:t>
            </w:r>
            <w:r>
              <w:rPr>
                <w:rFonts w:hint="eastAsia" w:ascii="宋体" w:hAnsi="宋体" w:cs="宋体"/>
                <w:color w:val="000000" w:themeColor="text1"/>
                <w:sz w:val="24"/>
                <w:szCs w:val="24"/>
                <w:highlight w:val="none"/>
                <w:lang w:bidi="ar"/>
              </w:rPr>
              <w:t xml:space="preserve">窗帘</w:t>
            </w:r>
            <w:r>
              <w:rPr>
                <w:color w:val="000000" w:themeColor="text1"/>
                <w:highlight w:val="none"/>
              </w:rPr>
            </w:r>
            <w:r/>
          </w:p>
        </w:tc>
        <w:tc>
          <w:tcPr>
            <w:tcW w:w="1763" w:type="dxa"/>
            <w:vAlign w:val="top"/>
            <w:textDirection w:val="lrTb"/>
            <w:noWrap w:val="false"/>
          </w:tcPr>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r>
            <w:r>
              <w:rPr>
                <w:color w:val="000000" w:themeColor="text1"/>
                <w:highlight w:val="none"/>
              </w:rPr>
            </w:r>
            <w:r/>
          </w:p>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t xml:space="preserve">成品大样</w:t>
            </w:r>
            <w:r>
              <w:rPr>
                <w:color w:val="000000" w:themeColor="text1"/>
                <w:highlight w:val="none"/>
              </w:rPr>
            </w:r>
            <w:r/>
          </w:p>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t xml:space="preserve">≥1M*1M</w:t>
            </w:r>
            <w:r>
              <w:rPr>
                <w:color w:val="000000" w:themeColor="text1"/>
                <w:highlight w:val="none"/>
              </w:rPr>
            </w:r>
            <w:r/>
          </w:p>
        </w:tc>
        <w:tc>
          <w:tcPr>
            <w:tcW w:w="1170" w:type="dxa"/>
            <w:vAlign w:val="top"/>
            <w:textDirection w:val="lrTb"/>
            <w:noWrap w:val="false"/>
          </w:tcPr>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r>
            <w:r>
              <w:rPr>
                <w:color w:val="000000" w:themeColor="text1"/>
                <w:highlight w:val="none"/>
              </w:rPr>
            </w:r>
            <w:r/>
          </w:p>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t xml:space="preserve">1</w:t>
            </w:r>
            <w:r>
              <w:rPr>
                <w:color w:val="000000" w:themeColor="text1"/>
                <w:highlight w:val="none"/>
              </w:rPr>
            </w:r>
            <w:r/>
          </w:p>
        </w:tc>
        <w:tc>
          <w:tcPr>
            <w:tcW w:w="2344" w:type="dxa"/>
            <w:vAlign w:val="top"/>
            <w:textDirection w:val="lrTb"/>
            <w:noWrap w:val="false"/>
          </w:tcPr>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mc:AlternateContent>
                <mc:Choice Requires="wpg">
                  <w:drawing>
                    <wp:inline xmlns:wp="http://schemas.openxmlformats.org/drawingml/2006/wordprocessingDrawing" distT="0" distB="0" distL="0" distR="0">
                      <wp:extent cx="1013967" cy="908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013967" cy="908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8pt;height:71.5pt;mso-wrap-distance-left:0.0pt;mso-wrap-distance-top:0.0pt;mso-wrap-distance-right:0.0pt;mso-wrap-distance-bottom:0.0pt;" stroked="f">
                      <v:path textboxrect="0,0,0,0"/>
                      <v:imagedata r:id="rId17" o:title=""/>
                    </v:shape>
                  </w:pict>
                </mc:Fallback>
              </mc:AlternateContent>
            </w:r>
            <w:r>
              <w:rPr>
                <w:color w:val="000000" w:themeColor="text1"/>
                <w:highlight w:val="none"/>
              </w:rPr>
            </w:r>
            <w:r/>
          </w:p>
        </w:tc>
        <w:tc>
          <w:tcPr>
            <w:tcW w:w="2298" w:type="dxa"/>
            <w:vAlign w:val="top"/>
            <w:textDirection w:val="lrTb"/>
            <w:noWrap w:val="false"/>
          </w:tcPr>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r>
            <w:r>
              <w:rPr>
                <w:color w:val="000000" w:themeColor="text1"/>
                <w:highlight w:val="none"/>
              </w:rPr>
            </w:r>
            <w:r/>
          </w:p>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t xml:space="preserve">成品大样应含布带/</w:t>
            </w:r>
            <w:r>
              <w:rPr>
                <w:rFonts w:hint="eastAsia" w:ascii="宋体" w:hAnsi="宋体" w:cs="宋体"/>
                <w:color w:val="000000" w:themeColor="text1"/>
                <w:sz w:val="24"/>
                <w:szCs w:val="24"/>
                <w:highlight w:val="none"/>
                <w:lang w:bidi="ar"/>
              </w:rPr>
              <w:t xml:space="preserve">挂钩等辅料及轨道等配件</w:t>
            </w:r>
            <w:r>
              <w:rPr>
                <w:color w:val="000000" w:themeColor="text1"/>
                <w:highlight w:val="none"/>
              </w:rPr>
            </w:r>
            <w:r/>
          </w:p>
        </w:tc>
      </w:tr>
      <w:tr>
        <w:trPr>
          <w:trHeight w:val="1701"/>
        </w:trPr>
        <w:tc>
          <w:tcPr>
            <w:tcW w:w="699" w:type="dxa"/>
            <w:vAlign w:val="top"/>
            <w:textDirection w:val="lrTb"/>
            <w:noWrap w:val="false"/>
          </w:tcPr>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t xml:space="preserve">2</w:t>
            </w:r>
            <w:r>
              <w:rPr>
                <w:color w:val="000000" w:themeColor="text1"/>
                <w:highlight w:val="none"/>
              </w:rPr>
            </w:r>
            <w:r/>
          </w:p>
        </w:tc>
        <w:tc>
          <w:tcPr>
            <w:tcW w:w="1803" w:type="dxa"/>
            <w:vAlign w:val="top"/>
            <w:textDirection w:val="lrTb"/>
            <w:noWrap w:val="false"/>
          </w:tcPr>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t xml:space="preserve">手动·阻燃卷帘</w:t>
            </w:r>
            <w:r>
              <w:rPr>
                <w:color w:val="000000" w:themeColor="text1"/>
                <w:highlight w:val="none"/>
              </w:rPr>
            </w:r>
            <w:r/>
          </w:p>
        </w:tc>
        <w:tc>
          <w:tcPr>
            <w:tcW w:w="1763" w:type="dxa"/>
            <w:vAlign w:val="top"/>
            <w:textDirection w:val="lrTb"/>
            <w:noWrap w:val="false"/>
          </w:tcPr>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t xml:space="preserve">成品大样</w:t>
            </w:r>
            <w:r>
              <w:rPr>
                <w:color w:val="000000" w:themeColor="text1"/>
                <w:highlight w:val="none"/>
              </w:rPr>
            </w:r>
            <w:r/>
          </w:p>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t xml:space="preserve">≥0.85M*0.85M</w:t>
            </w:r>
            <w:r>
              <w:rPr>
                <w:color w:val="000000" w:themeColor="text1"/>
                <w:highlight w:val="none"/>
              </w:rPr>
            </w:r>
            <w:r/>
          </w:p>
        </w:tc>
        <w:tc>
          <w:tcPr>
            <w:tcW w:w="1170" w:type="dxa"/>
            <w:vAlign w:val="top"/>
            <w:textDirection w:val="lrTb"/>
            <w:noWrap w:val="false"/>
          </w:tcPr>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t xml:space="preserve">1</w:t>
            </w:r>
            <w:r>
              <w:rPr>
                <w:color w:val="000000" w:themeColor="text1"/>
                <w:highlight w:val="none"/>
              </w:rPr>
            </w:r>
            <w:r/>
          </w:p>
        </w:tc>
        <w:tc>
          <w:tcPr>
            <w:tcW w:w="2344" w:type="dxa"/>
            <w:vAlign w:val="top"/>
            <w:textDirection w:val="lrTb"/>
            <w:noWrap w:val="false"/>
          </w:tcPr>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mc:AlternateContent>
                <mc:Choice Requires="wpg">
                  <w:drawing>
                    <wp:inline xmlns:wp="http://schemas.openxmlformats.org/drawingml/2006/wordprocessingDrawing" distT="0" distB="0" distL="0" distR="0">
                      <wp:extent cx="1075091" cy="94301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075091" cy="9430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4.7pt;height:74.3pt;mso-wrap-distance-left:0.0pt;mso-wrap-distance-top:0.0pt;mso-wrap-distance-right:0.0pt;mso-wrap-distance-bottom:0.0pt;" stroked="f">
                      <v:path textboxrect="0,0,0,0"/>
                      <v:imagedata r:id="rId18" o:title=""/>
                    </v:shape>
                  </w:pict>
                </mc:Fallback>
              </mc:AlternateContent>
            </w:r>
            <w:r>
              <w:rPr>
                <w:color w:val="000000" w:themeColor="text1"/>
                <w:highlight w:val="none"/>
              </w:rPr>
            </w:r>
            <w:r/>
          </w:p>
        </w:tc>
        <w:tc>
          <w:tcPr>
            <w:tcW w:w="2298" w:type="dxa"/>
            <w:vAlign w:val="top"/>
            <w:textDirection w:val="lrTb"/>
            <w:noWrap w:val="false"/>
          </w:tcPr>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t xml:space="preserve">成品大样应含面料、卷管、底杆、制头、安装支座、拉珠等配件</w:t>
            </w:r>
            <w:r>
              <w:rPr>
                <w:color w:val="000000" w:themeColor="text1"/>
                <w:highlight w:val="none"/>
              </w:rPr>
            </w:r>
            <w:r/>
          </w:p>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r>
            <w:r>
              <w:rPr>
                <w:color w:val="000000" w:themeColor="text1"/>
                <w:highlight w:val="none"/>
              </w:rPr>
            </w:r>
            <w:r/>
          </w:p>
        </w:tc>
      </w:tr>
      <w:tr>
        <w:trPr>
          <w:trHeight w:val="1701"/>
        </w:trPr>
        <w:tc>
          <w:tcPr>
            <w:tcW w:w="699" w:type="dxa"/>
            <w:vAlign w:val="top"/>
            <w:textDirection w:val="lrTb"/>
            <w:noWrap w:val="false"/>
          </w:tcPr>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r>
            <w:r>
              <w:rPr>
                <w:color w:val="000000" w:themeColor="text1"/>
                <w:highlight w:val="none"/>
              </w:rPr>
            </w:r>
            <w:r/>
          </w:p>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t xml:space="preserve">3</w:t>
            </w:r>
            <w:r>
              <w:rPr>
                <w:color w:val="000000" w:themeColor="text1"/>
                <w:highlight w:val="none"/>
              </w:rPr>
            </w:r>
            <w:r/>
          </w:p>
        </w:tc>
        <w:tc>
          <w:tcPr>
            <w:tcW w:w="1803" w:type="dxa"/>
            <w:vAlign w:val="top"/>
            <w:textDirection w:val="lrTb"/>
            <w:noWrap w:val="false"/>
          </w:tcPr>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rPr>
            </w:r>
            <w:r>
              <w:rPr>
                <w:color w:val="000000" w:themeColor="text1"/>
                <w:highlight w:val="none"/>
              </w:rPr>
            </w:r>
            <w:r/>
          </w:p>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rPr>
              <w:t xml:space="preserve">阻燃</w:t>
            </w:r>
            <w:r>
              <w:rPr>
                <w:rFonts w:hint="eastAsia" w:ascii="宋体" w:hAnsi="宋体" w:cs="宋体"/>
                <w:color w:val="000000" w:themeColor="text1"/>
                <w:sz w:val="24"/>
                <w:szCs w:val="24"/>
                <w:highlight w:val="none"/>
              </w:rPr>
              <w:t xml:space="preserve">医用隔帘</w:t>
            </w:r>
            <w:r>
              <w:rPr>
                <w:color w:val="000000" w:themeColor="text1"/>
                <w:highlight w:val="none"/>
              </w:rPr>
            </w:r>
            <w:r/>
          </w:p>
        </w:tc>
        <w:tc>
          <w:tcPr>
            <w:tcW w:w="1763" w:type="dxa"/>
            <w:vAlign w:val="top"/>
            <w:textDirection w:val="lrTb"/>
            <w:noWrap w:val="false"/>
          </w:tcPr>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r>
            <w:r>
              <w:rPr>
                <w:color w:val="000000" w:themeColor="text1"/>
                <w:highlight w:val="none"/>
              </w:rPr>
            </w:r>
            <w:r/>
          </w:p>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t xml:space="preserve">面料小样20*20cm</w:t>
            </w:r>
            <w:r>
              <w:rPr>
                <w:color w:val="000000" w:themeColor="text1"/>
                <w:highlight w:val="none"/>
              </w:rPr>
            </w:r>
            <w:r/>
          </w:p>
        </w:tc>
        <w:tc>
          <w:tcPr>
            <w:tcW w:w="1170" w:type="dxa"/>
            <w:vAlign w:val="top"/>
            <w:textDirection w:val="lrTb"/>
            <w:noWrap w:val="false"/>
          </w:tcPr>
          <w:p>
            <w:pPr>
              <w:pStyle w:val="953"/>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r>
            <w:r>
              <w:rPr>
                <w:color w:val="000000" w:themeColor="text1"/>
                <w:highlight w:val="none"/>
              </w:rPr>
            </w:r>
            <w:r/>
          </w:p>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t xml:space="preserve">1</w:t>
            </w:r>
            <w:r>
              <w:rPr>
                <w:color w:val="000000" w:themeColor="text1"/>
                <w:highlight w:val="none"/>
              </w:rPr>
            </w:r>
            <w:r/>
          </w:p>
        </w:tc>
        <w:tc>
          <w:tcPr>
            <w:tcW w:w="2344" w:type="dxa"/>
            <w:vAlign w:val="top"/>
            <w:textDirection w:val="lrTb"/>
            <w:noWrap w:val="false"/>
          </w:tcPr>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rPr>
              <mc:AlternateContent>
                <mc:Choice Requires="wpg">
                  <w:drawing>
                    <wp:inline xmlns:wp="http://schemas.openxmlformats.org/drawingml/2006/wordprocessingDrawing" distT="0" distB="0" distL="0" distR="0">
                      <wp:extent cx="1070011" cy="941586"/>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070011" cy="9415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4.3pt;height:74.1pt;mso-wrap-distance-left:0.0pt;mso-wrap-distance-top:0.0pt;mso-wrap-distance-right:0.0pt;mso-wrap-distance-bottom:0.0pt;" stroked="f">
                      <v:path textboxrect="0,0,0,0"/>
                      <v:imagedata r:id="rId19" o:title=""/>
                    </v:shape>
                  </w:pict>
                </mc:Fallback>
              </mc:AlternateContent>
            </w:r>
            <w:r>
              <w:rPr>
                <w:color w:val="000000" w:themeColor="text1"/>
                <w:highlight w:val="none"/>
              </w:rPr>
            </w:r>
            <w:r/>
          </w:p>
        </w:tc>
        <w:tc>
          <w:tcPr>
            <w:tcW w:w="2298" w:type="dxa"/>
            <w:vAlign w:val="top"/>
            <w:textDirection w:val="lrTb"/>
            <w:noWrap w:val="false"/>
          </w:tcPr>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r>
            <w:r>
              <w:rPr>
                <w:color w:val="000000" w:themeColor="text1"/>
                <w:highlight w:val="none"/>
              </w:rPr>
            </w:r>
            <w:r/>
          </w:p>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t xml:space="preserve">提供基布部分</w:t>
            </w:r>
            <w:r>
              <w:rPr>
                <w:color w:val="000000" w:themeColor="text1"/>
                <w:highlight w:val="none"/>
              </w:rPr>
            </w:r>
            <w:r/>
          </w:p>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t xml:space="preserve">（无需提供网孔）</w:t>
            </w:r>
            <w:r>
              <w:rPr>
                <w:color w:val="000000" w:themeColor="text1"/>
                <w:highlight w:val="none"/>
              </w:rPr>
            </w:r>
            <w:r/>
          </w:p>
        </w:tc>
      </w:tr>
      <w:tr>
        <w:trPr>
          <w:trHeight w:val="1701"/>
        </w:trPr>
        <w:tc>
          <w:tcPr>
            <w:tcW w:w="699" w:type="dxa"/>
            <w:vAlign w:val="top"/>
            <w:textDirection w:val="lrTb"/>
            <w:noWrap w:val="false"/>
          </w:tcPr>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r>
            <w:r>
              <w:rPr>
                <w:color w:val="000000" w:themeColor="text1"/>
                <w:highlight w:val="none"/>
              </w:rPr>
            </w:r>
            <w:r/>
          </w:p>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t xml:space="preserve">4</w:t>
            </w:r>
            <w:r>
              <w:rPr>
                <w:color w:val="000000" w:themeColor="text1"/>
                <w:highlight w:val="none"/>
              </w:rPr>
            </w:r>
            <w:r/>
          </w:p>
        </w:tc>
        <w:tc>
          <w:tcPr>
            <w:tcW w:w="1803" w:type="dxa"/>
            <w:vAlign w:val="top"/>
            <w:textDirection w:val="lrTb"/>
            <w:noWrap w:val="false"/>
          </w:tcPr>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rPr>
            </w:r>
            <w:r>
              <w:rPr>
                <w:color w:val="000000" w:themeColor="text1"/>
                <w:highlight w:val="none"/>
              </w:rPr>
            </w:r>
            <w:r/>
          </w:p>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rPr>
              <w:t xml:space="preserve">阻燃幕布</w:t>
            </w:r>
            <w:r>
              <w:rPr>
                <w:color w:val="000000" w:themeColor="text1"/>
                <w:highlight w:val="none"/>
              </w:rPr>
            </w:r>
            <w:r/>
          </w:p>
        </w:tc>
        <w:tc>
          <w:tcPr>
            <w:tcW w:w="1763" w:type="dxa"/>
            <w:vAlign w:val="top"/>
            <w:textDirection w:val="lrTb"/>
            <w:noWrap w:val="false"/>
          </w:tcPr>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r>
            <w:r>
              <w:rPr>
                <w:color w:val="000000" w:themeColor="text1"/>
                <w:highlight w:val="none"/>
              </w:rPr>
            </w:r>
            <w:r/>
          </w:p>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t xml:space="preserve">面料小样20*20cm</w:t>
            </w:r>
            <w:r>
              <w:rPr>
                <w:color w:val="000000" w:themeColor="text1"/>
                <w:highlight w:val="none"/>
              </w:rPr>
            </w:r>
            <w:r/>
          </w:p>
        </w:tc>
        <w:tc>
          <w:tcPr>
            <w:tcW w:w="1170" w:type="dxa"/>
            <w:vAlign w:val="top"/>
            <w:textDirection w:val="lrTb"/>
            <w:noWrap w:val="false"/>
          </w:tcPr>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r>
            <w:r>
              <w:rPr>
                <w:color w:val="000000" w:themeColor="text1"/>
                <w:highlight w:val="none"/>
              </w:rPr>
            </w:r>
            <w:r/>
          </w:p>
          <w:p>
            <w:pPr>
              <w:pStyle w:val="953"/>
              <w:jc w:val="center"/>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t xml:space="preserve">1</w:t>
            </w:r>
            <w:r>
              <w:rPr>
                <w:color w:val="000000" w:themeColor="text1"/>
                <w:highlight w:val="none"/>
              </w:rPr>
            </w:r>
            <w:r/>
          </w:p>
        </w:tc>
        <w:tc>
          <w:tcPr>
            <w:tcW w:w="2344" w:type="dxa"/>
            <w:vAlign w:val="top"/>
            <w:textDirection w:val="lrTb"/>
            <w:noWrap w:val="false"/>
          </w:tcPr>
          <w:p>
            <w:pPr>
              <w:pStyle w:val="953"/>
              <w:jc w:val="center"/>
              <w:spacing w:line="480" w:lineRule="auto"/>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rPr>
              <mc:AlternateContent>
                <mc:Choice Requires="wpg">
                  <w:drawing>
                    <wp:inline xmlns:wp="http://schemas.openxmlformats.org/drawingml/2006/wordprocessingDrawing" distT="0" distB="0" distL="0" distR="0">
                      <wp:extent cx="1066533" cy="951337"/>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066533" cy="9513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4.0pt;height:74.9pt;mso-wrap-distance-left:0.0pt;mso-wrap-distance-top:0.0pt;mso-wrap-distance-right:0.0pt;mso-wrap-distance-bottom:0.0pt;" stroked="f">
                      <v:path textboxrect="0,0,0,0"/>
                      <v:imagedata r:id="rId20" o:title=""/>
                    </v:shape>
                  </w:pict>
                </mc:Fallback>
              </mc:AlternateContent>
            </w:r>
            <w:r>
              <w:rPr>
                <w:color w:val="000000" w:themeColor="text1"/>
                <w:highlight w:val="none"/>
              </w:rPr>
            </w:r>
            <w:r/>
          </w:p>
        </w:tc>
        <w:tc>
          <w:tcPr>
            <w:tcW w:w="2298" w:type="dxa"/>
            <w:vAlign w:val="top"/>
            <w:textDirection w:val="lrTb"/>
            <w:noWrap w:val="false"/>
          </w:tcPr>
          <w:p>
            <w:pPr>
              <w:pStyle w:val="953"/>
              <w:jc w:val="center"/>
              <w:spacing w:line="480" w:lineRule="auto"/>
              <w:widowControl/>
              <w:rPr>
                <w:rFonts w:hint="eastAsia" w:ascii="宋体" w:hAnsi="宋体" w:cs="宋体"/>
                <w:color w:val="000000" w:themeColor="text1"/>
                <w:sz w:val="24"/>
                <w:szCs w:val="24"/>
                <w:highlight w:val="none"/>
              </w:rPr>
              <w:framePr w:hSpace="180" w:wrap="around" w:vAnchor="text" w:hAnchor="page" w:xAlign="center" w:y="36"/>
            </w:pPr>
            <w:r>
              <w:rPr>
                <w:rFonts w:hint="eastAsia" w:ascii="宋体" w:hAnsi="宋体" w:cs="宋体"/>
                <w:color w:val="000000" w:themeColor="text1"/>
                <w:sz w:val="24"/>
                <w:szCs w:val="24"/>
                <w:highlight w:val="none"/>
                <w:lang w:bidi="ar"/>
              </w:rPr>
            </w:r>
            <w:r>
              <w:rPr>
                <w:color w:val="000000" w:themeColor="text1"/>
                <w:highlight w:val="none"/>
              </w:rPr>
            </w:r>
            <w:r/>
          </w:p>
        </w:tc>
      </w:tr>
    </w:tbl>
    <w:p>
      <w:pPr>
        <w:pStyle w:val="953"/>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2.样品递交要求</w:t>
      </w:r>
      <w:r>
        <w:rPr>
          <w:color w:val="000000" w:themeColor="text1"/>
          <w:highlight w:val="none"/>
        </w:rPr>
      </w:r>
      <w:r/>
    </w:p>
    <w:p>
      <w:pPr>
        <w:pStyle w:val="1026"/>
        <w:jc w:val="both"/>
        <w:spacing w:beforeAutospacing="0" w:afterAutospacing="0" w:line="36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（1）投标供应商请于11月19日（上午8:00-11:00），将实物样品送至南京市雨花台区软件大道21号苏豪国际广场（北园）C座1楼大厅样品接收处，并登记送达信息。不接收在样品递交截止</w:t>
      </w:r>
      <w:r>
        <w:rPr>
          <w:rFonts w:hint="eastAsia" w:ascii="宋体" w:hAnsi="宋体" w:cs="宋体"/>
          <w:bCs/>
          <w:color w:val="000000" w:themeColor="text1"/>
          <w:highlight w:val="none"/>
        </w:rPr>
        <w:t xml:space="preserve">时间后递交的样品，未在规定截止时间前送达样品并登记或样品不全的，</w:t>
      </w:r>
      <w:r>
        <w:rPr>
          <w:rFonts w:hint="eastAsia" w:ascii="宋体" w:hAnsi="宋体" w:cs="宋体"/>
          <w:bCs/>
          <w:color w:val="000000" w:themeColor="text1"/>
          <w:highlight w:val="none"/>
        </w:rPr>
        <w:t xml:space="preserve">对应</w:t>
      </w:r>
      <w:r>
        <w:rPr>
          <w:rFonts w:hint="eastAsia" w:ascii="宋体" w:hAnsi="宋体" w:cs="宋体"/>
          <w:bCs/>
          <w:color w:val="000000" w:themeColor="text1"/>
          <w:highlight w:val="none"/>
        </w:rPr>
        <w:t xml:space="preserve">样品评审分为零。</w:t>
      </w:r>
      <w:r>
        <w:rPr>
          <w:color w:val="000000" w:themeColor="text1"/>
          <w:highlight w:val="none"/>
        </w:rPr>
      </w:r>
      <w:r/>
    </w:p>
    <w:p>
      <w:pPr>
        <w:pStyle w:val="953"/>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投标人递交样品时应服从现场工作人员要求，按要求递交样品并签到，不得翻看他人样品及进行拍照，投标人如出现违法违规行为的，视为未提交样品并按照相应法律追究责任。所提供样品上和投标供应商名称有关的信息，应提前覆盖或处理。各供应商应同时提交加盖</w:t>
      </w:r>
      <w:r>
        <w:rPr>
          <w:rFonts w:hint="eastAsia" w:ascii="宋体" w:hAnsi="宋体" w:cs="宋体"/>
          <w:bCs/>
          <w:color w:val="000000" w:themeColor="text1"/>
          <w:sz w:val="24"/>
          <w:szCs w:val="24"/>
          <w:highlight w:val="none"/>
        </w:rPr>
        <w:t xml:space="preserve">投标人公章的纸张密封在小信封中并将小信封粘贴在样品上，供应商递交的样品上及小信封外不得显示投标人名称及其他明显能识别投标人的标识，未按要求提交小信封、样品显示投标人名称及有其他明显能识别投</w:t>
      </w:r>
      <w:r>
        <w:rPr>
          <w:rFonts w:hint="eastAsia" w:ascii="宋体" w:hAnsi="宋体" w:cs="宋体"/>
          <w:bCs/>
          <w:color w:val="000000" w:themeColor="text1"/>
          <w:sz w:val="24"/>
          <w:szCs w:val="24"/>
          <w:highlight w:val="none"/>
        </w:rPr>
        <w:t xml:space="preserve">标人的标识的，一律视为未提交样品。</w:t>
      </w:r>
      <w:r>
        <w:rPr>
          <w:color w:val="000000" w:themeColor="text1"/>
          <w:highlight w:val="none"/>
        </w:rPr>
      </w:r>
      <w:r/>
    </w:p>
    <w:p>
      <w:pPr>
        <w:pStyle w:val="953"/>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3）样品的退还。评标结束后，未中标样品由投标人自行搬运离开（费用自理），供应商应最迟于1个工作日内取回样品，否则按废品处理。中标人的样品由中标人负责运送到采购人指定地点并封存。样品的所有费用由供应商承担，中标供应商的样品由采购人保管、封存，作为履约验收的参考。</w:t>
      </w:r>
      <w:r>
        <w:rPr>
          <w:color w:val="000000" w:themeColor="text1"/>
          <w:highlight w:val="none"/>
        </w:rPr>
      </w:r>
      <w:r/>
    </w:p>
    <w:p>
      <w:pPr>
        <w:pStyle w:val="1109"/>
        <w:numPr>
          <w:ilvl w:val="0"/>
          <w:numId w:val="6"/>
        </w:numPr>
        <w:ind w:hanging="562"/>
        <w:spacing w:line="360" w:lineRule="auto"/>
        <w:rPr>
          <w:rFonts w:hint="eastAsia" w:cs="宋体"/>
          <w:color w:val="000000" w:themeColor="text1"/>
          <w:sz w:val="24"/>
          <w:szCs w:val="24"/>
          <w:highlight w:val="none"/>
        </w:rPr>
        <w:outlineLvl w:val="1"/>
      </w:pPr>
      <w:r>
        <w:rPr>
          <w:rFonts w:hint="eastAsia"/>
          <w:bCs/>
          <w:color w:val="000000" w:themeColor="text1"/>
          <w:szCs w:val="24"/>
          <w:highlight w:val="none"/>
        </w:rPr>
        <w:t xml:space="preserve">★</w:t>
      </w:r>
      <w:bookmarkEnd w:id="162"/>
      <w:r>
        <w:rPr>
          <w:rFonts w:hint="eastAsia" w:cs="宋体"/>
          <w:color w:val="000000" w:themeColor="text1"/>
          <w:sz w:val="24"/>
          <w:szCs w:val="24"/>
          <w:highlight w:val="none"/>
        </w:rPr>
        <w:t xml:space="preserve">商务要求</w:t>
      </w:r>
      <w:r>
        <w:rPr>
          <w:color w:val="000000" w:themeColor="text1"/>
          <w:highlight w:val="none"/>
        </w:rPr>
      </w:r>
      <w:r/>
    </w:p>
    <w:p>
      <w:pPr>
        <w:pStyle w:val="953"/>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1.质保期：</w:t>
      </w:r>
      <w:r>
        <w:rPr>
          <w:rFonts w:hint="eastAsia" w:ascii="宋体" w:hAnsi="宋体" w:cs="宋体"/>
          <w:color w:val="000000" w:themeColor="text1"/>
          <w:sz w:val="24"/>
          <w:szCs w:val="24"/>
          <w:highlight w:val="none"/>
        </w:rPr>
        <w:t xml:space="preserve">5年（自验收报告签字确认之日起进入质保期）。质保期内，每年维护保养1次，维护保养及更换损坏件的费用包含在投标总价中。</w:t>
      </w:r>
      <w:r>
        <w:rPr>
          <w:color w:val="000000" w:themeColor="text1"/>
          <w:highlight w:val="none"/>
        </w:rPr>
      </w:r>
      <w:r/>
    </w:p>
    <w:p>
      <w:pPr>
        <w:pStyle w:val="953"/>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2.维修响应及故障解决时间</w:t>
      </w:r>
      <w:r>
        <w:rPr>
          <w:color w:val="000000" w:themeColor="text1"/>
          <w:highlight w:val="none"/>
        </w:rPr>
      </w:r>
      <w:r/>
    </w:p>
    <w:p>
      <w:pPr>
        <w:pStyle w:val="953"/>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w:t>
      </w:r>
      <w:r>
        <w:rPr>
          <w:rFonts w:hint="eastAsia" w:ascii="宋体" w:hAnsi="宋体" w:cs="宋体"/>
          <w:color w:val="000000" w:themeColor="text1"/>
          <w:sz w:val="24"/>
          <w:szCs w:val="24"/>
          <w:highlight w:val="none"/>
        </w:rPr>
        <w:t xml:space="preserve">质保期内，一旦产品发生质量问题，供应</w:t>
      </w:r>
      <w:r>
        <w:rPr>
          <w:rFonts w:hint="eastAsia" w:ascii="宋体" w:hAnsi="宋体" w:cs="宋体"/>
          <w:color w:val="000000" w:themeColor="text1"/>
          <w:sz w:val="24"/>
          <w:szCs w:val="24"/>
          <w:highlight w:val="none"/>
        </w:rPr>
        <w:t xml:space="preserve">商接到报修请求，在2小时内响应，4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w:t>
      </w:r>
      <w:r>
        <w:rPr>
          <w:color w:val="000000" w:themeColor="text1"/>
          <w:highlight w:val="none"/>
        </w:rPr>
      </w:r>
      <w:r/>
    </w:p>
    <w:p>
      <w:pPr>
        <w:pStyle w:val="953"/>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质保期外，供应商提供终生服务，在货物的设计使用寿命周期内，供应商能保证采购人更换到原厂备件材料，确保产品的正常使用。 </w:t>
      </w:r>
      <w:r>
        <w:rPr>
          <w:color w:val="000000" w:themeColor="text1"/>
          <w:highlight w:val="none"/>
        </w:rPr>
      </w:r>
      <w:r/>
    </w:p>
    <w:p>
      <w:pPr>
        <w:pStyle w:val="953"/>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2.3质保期内维修（人为因素除外）费用包含在投标总价中，质保期外提</w:t>
      </w:r>
      <w:r>
        <w:rPr>
          <w:rFonts w:hint="eastAsia" w:ascii="宋体" w:hAnsi="宋体" w:cs="宋体"/>
          <w:color w:val="000000" w:themeColor="text1"/>
          <w:sz w:val="24"/>
          <w:szCs w:val="24"/>
          <w:highlight w:val="none"/>
        </w:rPr>
        <w:t xml:space="preserve">供不高于市场价格的终身维护。中标后提供质保期外配件价格明细表。</w:t>
      </w:r>
      <w:r>
        <w:rPr>
          <w:color w:val="000000" w:themeColor="text1"/>
          <w:highlight w:val="none"/>
        </w:rPr>
      </w:r>
      <w:r/>
    </w:p>
    <w:p>
      <w:pPr>
        <w:pStyle w:val="953"/>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bCs/>
          <w:color w:val="000000" w:themeColor="text1"/>
          <w:sz w:val="24"/>
          <w:highlight w:val="none"/>
        </w:rPr>
        <w:t xml:space="preserve">交货期：合同签订后接采购人通知45天内。</w:t>
      </w:r>
      <w:r>
        <w:rPr>
          <w:color w:val="000000" w:themeColor="text1"/>
          <w:highlight w:val="none"/>
        </w:rPr>
      </w:r>
      <w:r/>
    </w:p>
    <w:p>
      <w:pPr>
        <w:pStyle w:val="953"/>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3.1交货（具体）地点：采购人指定。（本项目不组织集中踏勘，投标人可自行踏勘现场）</w:t>
      </w:r>
      <w:r>
        <w:rPr>
          <w:color w:val="000000" w:themeColor="text1"/>
          <w:highlight w:val="none"/>
        </w:rPr>
      </w:r>
      <w:r/>
    </w:p>
    <w:p>
      <w:pPr>
        <w:pStyle w:val="953"/>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3.2货物的随机技术资料应齐全，提供但不限于如下技术文件和资料：</w:t>
      </w:r>
      <w:r>
        <w:rPr>
          <w:color w:val="000000" w:themeColor="text1"/>
          <w:highlight w:val="none"/>
        </w:rPr>
      </w:r>
      <w:r/>
    </w:p>
    <w:p>
      <w:pPr>
        <w:pStyle w:val="953"/>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（1）产品到货清单；</w:t>
      </w:r>
      <w:r>
        <w:rPr>
          <w:color w:val="000000" w:themeColor="text1"/>
          <w:highlight w:val="none"/>
        </w:rPr>
      </w:r>
      <w:r/>
    </w:p>
    <w:p>
      <w:pPr>
        <w:pStyle w:val="953"/>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（2）产品保修证明，需标明保修联系方式。</w:t>
      </w:r>
      <w:r>
        <w:rPr>
          <w:color w:val="000000" w:themeColor="text1"/>
          <w:highlight w:val="none"/>
        </w:rPr>
      </w:r>
      <w:r/>
    </w:p>
    <w:p>
      <w:pPr>
        <w:pStyle w:val="953"/>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4.验收</w:t>
      </w:r>
      <w:r>
        <w:rPr>
          <w:color w:val="000000" w:themeColor="text1"/>
          <w:highlight w:val="none"/>
        </w:rPr>
      </w:r>
      <w:r/>
    </w:p>
    <w:p>
      <w:pPr>
        <w:pStyle w:val="953"/>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4.1验收内容包括但不限于：产品型号、数量及外观、货物组件及配置等。</w:t>
      </w:r>
      <w:r>
        <w:rPr>
          <w:color w:val="000000" w:themeColor="text1"/>
          <w:highlight w:val="none"/>
        </w:rPr>
      </w:r>
      <w:r/>
    </w:p>
    <w:p>
      <w:pPr>
        <w:pStyle w:val="953"/>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4.2中标人货物经过双方检验认可后，签署验收报告，产品保修期自验收合格之日起算，由中标人提供产品保修文件。</w:t>
      </w:r>
      <w:r>
        <w:rPr>
          <w:color w:val="000000" w:themeColor="text1"/>
          <w:highlight w:val="none"/>
        </w:rPr>
      </w:r>
      <w:r/>
    </w:p>
    <w:p>
      <w:pPr>
        <w:pStyle w:val="953"/>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4.3采购人有权在验收前到现场抽样送检，送检费用由中标方承担，另有约定除外，如有招标文件产品不一致，采购人有权追究责任并上报监管部门处理。</w:t>
      </w:r>
      <w:r>
        <w:rPr>
          <w:color w:val="000000" w:themeColor="text1"/>
          <w:highlight w:val="none"/>
        </w:rPr>
      </w:r>
      <w:r/>
    </w:p>
    <w:p>
      <w:pPr>
        <w:pStyle w:val="953"/>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5.产品质量要求标准</w:t>
        <w:tab/>
      </w:r>
      <w:r>
        <w:rPr>
          <w:color w:val="000000" w:themeColor="text1"/>
          <w:highlight w:val="none"/>
        </w:rPr>
      </w:r>
      <w:r/>
    </w:p>
    <w:p>
      <w:pPr>
        <w:pStyle w:val="953"/>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5.1采购人在中国使用该货物或货物的任何一部分时，免受第三方提出的侵犯其专利权、商标权或工业设计权等知识产权的起诉或司法干预。如果发生上述起诉或干预，则其法律责</w:t>
      </w:r>
      <w:r>
        <w:rPr>
          <w:rFonts w:hint="eastAsia" w:ascii="宋体" w:hAnsi="宋体" w:cs="宋体"/>
          <w:color w:val="000000" w:themeColor="text1"/>
          <w:sz w:val="24"/>
          <w:szCs w:val="24"/>
          <w:highlight w:val="none"/>
        </w:rPr>
        <w:t xml:space="preserve">任均由中标人负责。</w:t>
      </w:r>
      <w:r>
        <w:rPr>
          <w:color w:val="000000" w:themeColor="text1"/>
          <w:highlight w:val="none"/>
        </w:rPr>
      </w:r>
      <w:r/>
    </w:p>
    <w:p>
      <w:pPr>
        <w:pStyle w:val="996"/>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6.付款方式：</w:t>
      </w:r>
      <w:r>
        <w:rPr>
          <w:rFonts w:hint="eastAsia" w:hAnsi="宋体"/>
          <w:color w:val="000000" w:themeColor="text1"/>
          <w:sz w:val="24"/>
          <w:szCs w:val="24"/>
          <w:highlight w:val="none"/>
        </w:rPr>
        <w:t xml:space="preserve">合同签订后，支付合同总价款的30%作为预付款，供货结束并经验收合格后，支付至合同总价款的80%，如采购数量与实际使用数量不一致时，乙方应根据实际使用量供货</w:t>
      </w:r>
      <w:r>
        <w:rPr>
          <w:rFonts w:hint="eastAsia" w:hAnsi="宋体"/>
          <w:color w:val="000000" w:themeColor="text1"/>
          <w:sz w:val="24"/>
          <w:szCs w:val="24"/>
          <w:highlight w:val="none"/>
        </w:rPr>
        <w:t xml:space="preserve">，合同的最终结算金额经审计审定后按实际使用量乘以成交单价进行计算，项目经审计决算后支付至决算金额的97%，剩余价款质保期满后无息支付。满足合同约定支付条件的，采购人收到乙方发票后10个工作日内，将资金支付到合同约定的账户。 </w:t>
      </w:r>
      <w:r>
        <w:rPr>
          <w:color w:val="000000" w:themeColor="text1"/>
          <w:highlight w:val="none"/>
        </w:rPr>
      </w:r>
      <w:r/>
    </w:p>
    <w:p>
      <w:pPr>
        <w:pStyle w:val="953"/>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7.履约保证金：合同签订后5个工作日支付10%履约保证金，详见第三章合同文本要求。</w:t>
      </w:r>
      <w:r>
        <w:rPr>
          <w:color w:val="000000" w:themeColor="text1"/>
          <w:highlight w:val="none"/>
        </w:rPr>
      </w:r>
      <w:r/>
    </w:p>
    <w:p>
      <w:pPr>
        <w:pStyle w:val="953"/>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8.报价要求：</w:t>
      </w:r>
      <w:r>
        <w:rPr>
          <w:rFonts w:hint="eastAsia" w:ascii="宋体" w:hAnsi="宋体" w:cs="宋体"/>
          <w:color w:val="000000" w:themeColor="text1"/>
          <w:sz w:val="24"/>
          <w:szCs w:val="24"/>
          <w:highlight w:val="none"/>
        </w:rPr>
        <w:t xml:space="preserve">投标人应按货物需求的要求逐项报价。投标人提供的所有报价除另有约定外已包含购买货物费用及售后服务所发生的所有费用，包括但不限于代理费、税费、货物运至安装指定地点的如运输费、保险费、叉车费和装</w:t>
      </w:r>
      <w:r>
        <w:rPr>
          <w:rFonts w:hint="eastAsia" w:ascii="宋体" w:hAnsi="宋体" w:cs="宋体"/>
          <w:color w:val="000000" w:themeColor="text1"/>
          <w:sz w:val="24"/>
          <w:szCs w:val="24"/>
          <w:highlight w:val="none"/>
        </w:rPr>
        <w:t xml:space="preserve">卸费；配套资料费、安装调试费、服务培训费以及免费保修期内的售后服务费用等。</w:t>
      </w:r>
      <w:r>
        <w:rPr>
          <w:color w:val="000000" w:themeColor="text1"/>
          <w:highlight w:val="none"/>
        </w:rPr>
      </w:r>
      <w:r/>
    </w:p>
    <w:p>
      <w:pPr>
        <w:pStyle w:val="953"/>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9.中标人在签订合同前，采购方有权根据情况要求提供投标文件中的检测报告及相关证明文件原件供采购人核验。</w:t>
      </w:r>
      <w:r>
        <w:rPr>
          <w:color w:val="000000" w:themeColor="text1"/>
          <w:highlight w:val="none"/>
        </w:rPr>
      </w:r>
      <w:r/>
    </w:p>
    <w:p>
      <w:pPr>
        <w:pStyle w:val="1109"/>
        <w:numPr>
          <w:ilvl w:val="0"/>
          <w:numId w:val="6"/>
        </w:numPr>
        <w:ind w:hanging="562"/>
        <w:rPr>
          <w:rFonts w:cs="宋体"/>
          <w:color w:val="000000" w:themeColor="text1"/>
          <w:sz w:val="24"/>
          <w:szCs w:val="24"/>
          <w:highlight w:val="none"/>
        </w:rPr>
        <w:outlineLvl w:val="1"/>
      </w:pPr>
      <w:r>
        <w:rPr>
          <w:rFonts w:hint="eastAsia" w:cs="宋体"/>
          <w:color w:val="000000" w:themeColor="text1"/>
          <w:sz w:val="24"/>
          <w:szCs w:val="24"/>
          <w:highlight w:val="none"/>
        </w:rPr>
        <w:t xml:space="preserve">其它说明</w:t>
      </w:r>
      <w:bookmarkEnd w:id="161"/>
      <w:r>
        <w:rPr>
          <w:color w:val="000000" w:themeColor="text1"/>
          <w:highlight w:val="none"/>
        </w:rPr>
      </w:r>
      <w:r/>
    </w:p>
    <w:p>
      <w:pPr>
        <w:pStyle w:val="953"/>
        <w:spacing w:before="120" w:after="160"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“★商务要求”需在《商务要求响应/偏离表》中逐条响应，</w:t>
      </w:r>
      <w:r>
        <w:rPr>
          <w:rFonts w:hint="eastAsia" w:ascii="宋体" w:hAnsi="宋体" w:cs="宋体"/>
          <w:color w:val="000000" w:themeColor="text1"/>
          <w:sz w:val="24"/>
          <w:szCs w:val="24"/>
          <w:highlight w:val="none"/>
        </w:rPr>
        <w:t xml:space="preserve">商务</w:t>
      </w:r>
      <w:r>
        <w:rPr>
          <w:rFonts w:ascii="宋体" w:hAnsi="宋体" w:cs="宋体"/>
          <w:color w:val="000000" w:themeColor="text1"/>
          <w:sz w:val="24"/>
          <w:szCs w:val="24"/>
          <w:highlight w:val="none"/>
        </w:rPr>
        <w:t xml:space="preserve">条款均为实质性条款，不允许负偏离，否则将作无效投标处理。</w:t>
      </w:r>
      <w:r>
        <w:rPr>
          <w:color w:val="000000" w:themeColor="text1"/>
          <w:highlight w:val="none"/>
        </w:rPr>
      </w:r>
      <w:r/>
    </w:p>
    <w:p>
      <w:pPr>
        <w:pStyle w:val="953"/>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2.采购标的对</w:t>
      </w:r>
      <w:r>
        <w:rPr>
          <w:rFonts w:hint="eastAsia" w:ascii="宋体" w:hAnsi="宋体" w:cs="宋体"/>
          <w:color w:val="000000" w:themeColor="text1"/>
          <w:sz w:val="24"/>
          <w:szCs w:val="24"/>
          <w:highlight w:val="none"/>
        </w:rPr>
        <w:t xml:space="preserve">应的中小企业划分标准所属行业一览表</w:t>
      </w:r>
      <w:r>
        <w:rPr>
          <w:color w:val="000000" w:themeColor="text1"/>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8"/>
        <w:gridCol w:w="3458"/>
        <w:gridCol w:w="4223"/>
      </w:tblGrid>
      <w:tr>
        <w:trPr>
          <w:cantSplit/>
          <w:trHeight w:val="567"/>
        </w:trPr>
        <w:tc>
          <w:tcPr>
            <w:tcW w:w="1218" w:type="dxa"/>
            <w:vAlign w:val="center"/>
            <w:textDirection w:val="lrTb"/>
            <w:noWrap w:val="false"/>
          </w:tcPr>
          <w:p>
            <w:pPr>
              <w:pStyle w:val="953"/>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color w:val="000000" w:themeColor="text1"/>
                <w:highlight w:val="none"/>
              </w:rPr>
            </w:r>
            <w:r/>
          </w:p>
        </w:tc>
        <w:tc>
          <w:tcPr>
            <w:tcW w:w="3458" w:type="dxa"/>
            <w:vAlign w:val="center"/>
            <w:textDirection w:val="lrTb"/>
            <w:noWrap w:val="false"/>
          </w:tcPr>
          <w:p>
            <w:pPr>
              <w:pStyle w:val="953"/>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采购标的</w:t>
            </w:r>
            <w:r>
              <w:rPr>
                <w:color w:val="000000" w:themeColor="text1"/>
                <w:highlight w:val="none"/>
              </w:rPr>
            </w:r>
            <w:r/>
          </w:p>
        </w:tc>
        <w:tc>
          <w:tcPr>
            <w:tcW w:w="4223" w:type="dxa"/>
            <w:vAlign w:val="center"/>
            <w:textDirection w:val="lrTb"/>
            <w:noWrap w:val="false"/>
          </w:tcPr>
          <w:p>
            <w:pPr>
              <w:pStyle w:val="953"/>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对应中小企业划分标准所属行业</w:t>
            </w:r>
            <w:r>
              <w:rPr>
                <w:color w:val="000000" w:themeColor="text1"/>
                <w:highlight w:val="none"/>
              </w:rPr>
            </w:r>
            <w:r/>
          </w:p>
        </w:tc>
      </w:tr>
      <w:tr>
        <w:trPr>
          <w:cantSplit/>
          <w:trHeight w:val="567"/>
        </w:trPr>
        <w:tc>
          <w:tcPr>
            <w:tcW w:w="1218" w:type="dxa"/>
            <w:vAlign w:val="center"/>
            <w:textDirection w:val="lrTb"/>
            <w:noWrap w:val="false"/>
          </w:tcPr>
          <w:p>
            <w:pPr>
              <w:pStyle w:val="953"/>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highlight w:val="none"/>
              </w:rPr>
            </w:r>
            <w:r/>
          </w:p>
        </w:tc>
        <w:tc>
          <w:tcPr>
            <w:tcW w:w="3458" w:type="dxa"/>
            <w:vAlign w:val="center"/>
            <w:textDirection w:val="lrTb"/>
            <w:noWrap w:val="false"/>
          </w:tcPr>
          <w:p>
            <w:pPr>
              <w:pStyle w:val="953"/>
              <w:jc w:val="center"/>
              <w:widowControl/>
              <w:rPr>
                <w:rFonts w:hint="eastAsia" w:ascii="宋体" w:hAnsi="宋体" w:cs="宋体"/>
                <w:color w:val="000000" w:themeColor="text1"/>
                <w:sz w:val="24"/>
                <w:highlight w:val="none"/>
              </w:rPr>
            </w:pPr>
            <w:r>
              <w:rPr>
                <w:rFonts w:hint="eastAsia" w:cs="宋体"/>
                <w:color w:val="000000" w:themeColor="text1"/>
                <w:sz w:val="24"/>
                <w:highlight w:val="none"/>
              </w:rPr>
              <w:t xml:space="preserve">河西院区二期项目隔帘、窗帘等</w:t>
            </w:r>
            <w:r>
              <w:rPr>
                <w:color w:val="000000" w:themeColor="text1"/>
                <w:highlight w:val="none"/>
              </w:rPr>
            </w:r>
            <w:r/>
          </w:p>
        </w:tc>
        <w:tc>
          <w:tcPr>
            <w:tcW w:w="4223" w:type="dxa"/>
            <w:vAlign w:val="center"/>
            <w:textDirection w:val="lrTb"/>
            <w:noWrap w:val="false"/>
          </w:tcPr>
          <w:p>
            <w:pPr>
              <w:pStyle w:val="953"/>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工业</w:t>
            </w:r>
            <w:r>
              <w:rPr>
                <w:color w:val="000000" w:themeColor="text1"/>
                <w:highlight w:val="none"/>
              </w:rPr>
            </w:r>
            <w:r/>
          </w:p>
        </w:tc>
      </w:tr>
    </w:tbl>
    <w:p>
      <w:pPr>
        <w:pStyle w:val="953"/>
        <w:jc w:val="left"/>
        <w:rPr>
          <w:rFonts w:ascii="宋体" w:hAnsi="宋体" w:cs="宋体"/>
          <w:color w:val="000000" w:themeColor="text1"/>
          <w:sz w:val="28"/>
          <w:szCs w:val="28"/>
          <w:highlight w:val="none"/>
        </w:rPr>
      </w:pPr>
      <w:r>
        <w:rPr>
          <w:rFonts w:hint="eastAsia" w:ascii="宋体" w:hAnsi="宋体" w:cs="宋体"/>
          <w:color w:val="000000" w:themeColor="text1"/>
          <w:szCs w:val="21"/>
          <w:highlight w:val="none"/>
        </w:rPr>
        <w:br w:type="page" w:clear="all"/>
      </w:r>
      <w:r>
        <w:rPr>
          <w:color w:val="000000" w:themeColor="text1"/>
          <w:highlight w:val="none"/>
        </w:rPr>
      </w:r>
      <w:r/>
    </w:p>
    <w:p>
      <w:pPr>
        <w:pStyle w:val="953"/>
        <w:jc w:val="center"/>
        <w:widowControl/>
        <w:rPr>
          <w:rFonts w:ascii="宋体" w:hAnsi="宋体" w:cs="宋体"/>
          <w:b/>
          <w:color w:val="000000" w:themeColor="text1"/>
          <w:sz w:val="32"/>
          <w:szCs w:val="32"/>
          <w:highlight w:val="none"/>
        </w:rPr>
        <w:outlineLvl w:val="0"/>
      </w:pPr>
      <w:r>
        <w:rPr>
          <w:color w:val="000000" w:themeColor="text1"/>
          <w:highlight w:val="none"/>
        </w:rPr>
      </w:r>
      <w:bookmarkStart w:id="163" w:name="_Toc26041"/>
      <w:r>
        <w:rPr>
          <w:rFonts w:hint="eastAsia" w:ascii="宋体" w:hAnsi="宋体" w:cs="宋体"/>
          <w:b/>
          <w:color w:val="000000" w:themeColor="text1"/>
          <w:sz w:val="32"/>
          <w:szCs w:val="32"/>
          <w:highlight w:val="none"/>
        </w:rPr>
        <w:t xml:space="preserve">第五章  评标方法与评标标准</w:t>
      </w:r>
      <w:bookmarkEnd w:id="163"/>
      <w:r>
        <w:rPr>
          <w:color w:val="000000" w:themeColor="text1"/>
          <w:highlight w:val="none"/>
        </w:rPr>
      </w:r>
      <w:r/>
    </w:p>
    <w:p>
      <w:pPr>
        <w:pStyle w:val="953"/>
        <w:ind w:firstLine="480"/>
        <w:jc w:val="left"/>
        <w:spacing w:before="161" w:after="160"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采用综合评分法的，评标结果按</w:t>
      </w:r>
      <w:r>
        <w:rPr>
          <w:rFonts w:hint="eastAsia" w:ascii="宋体" w:hAnsi="宋体" w:cs="宋体"/>
          <w:color w:val="000000" w:themeColor="text1"/>
          <w:sz w:val="24"/>
          <w:highlight w:val="none"/>
        </w:rPr>
        <w:t xml:space="preserve">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w:t>
      </w:r>
      <w:bookmarkStart w:id="164" w:name="OLE_LINK20"/>
      <w:r>
        <w:rPr>
          <w:rFonts w:hint="eastAsia" w:ascii="宋体" w:hAnsi="宋体" w:cs="宋体"/>
          <w:color w:val="000000" w:themeColor="text1"/>
          <w:sz w:val="24"/>
          <w:highlight w:val="none"/>
        </w:rPr>
        <w:t xml:space="preserve">取1名中标候选人</w:t>
      </w:r>
      <w:bookmarkEnd w:id="164"/>
      <w:r>
        <w:rPr>
          <w:rFonts w:hint="eastAsia" w:ascii="宋体" w:hAnsi="宋体" w:cs="宋体"/>
          <w:color w:val="000000" w:themeColor="text1"/>
          <w:sz w:val="24"/>
          <w:highlight w:val="none"/>
        </w:rPr>
        <w:t xml:space="preserve">。</w:t>
      </w:r>
      <w:r>
        <w:rPr>
          <w:color w:val="000000" w:themeColor="text1"/>
          <w:highlight w:val="none"/>
        </w:rPr>
      </w:r>
      <w:r/>
    </w:p>
    <w:p>
      <w:pPr>
        <w:pStyle w:val="953"/>
        <w:ind w:firstLine="480"/>
        <w:jc w:val="left"/>
        <w:spacing w:before="161" w:after="160" w:line="360" w:lineRule="auto"/>
        <w:rPr>
          <w:rFonts w:ascii="宋体" w:hAnsi="宋体" w:cs="宋体"/>
          <w:b/>
          <w:bCs/>
          <w:color w:val="000000" w:themeColor="text1"/>
          <w:sz w:val="24"/>
          <w:highlight w:val="none"/>
        </w:rPr>
      </w:pPr>
      <w:r>
        <w:rPr>
          <w:color w:val="000000" w:themeColor="text1"/>
          <w:highlight w:val="none"/>
        </w:rPr>
      </w:r>
      <w:bookmarkStart w:id="165" w:name="_Toc28210"/>
      <w:r>
        <w:rPr>
          <w:rFonts w:hint="eastAsia" w:ascii="宋体" w:hAnsi="宋体" w:cs="宋体"/>
          <w:b/>
          <w:bCs/>
          <w:color w:val="000000" w:themeColor="text1"/>
          <w:sz w:val="24"/>
          <w:highlight w:val="none"/>
        </w:rPr>
        <w:t xml:space="preserve">政府采购政策功能落实</w:t>
      </w:r>
      <w:bookmarkEnd w:id="165"/>
      <w:r>
        <w:rPr>
          <w:color w:val="000000" w:themeColor="text1"/>
          <w:highlight w:val="none"/>
        </w:rPr>
      </w:r>
      <w:r/>
    </w:p>
    <w:p>
      <w:pPr>
        <w:pStyle w:val="953"/>
        <w:ind w:firstLine="480"/>
        <w:jc w:val="left"/>
        <w:spacing w:before="161" w:after="160"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w:t>
        <w:tab/>
        <w:t xml:space="preserve">本项目专门面向中小企业采购。</w:t>
      </w:r>
      <w:r>
        <w:rPr>
          <w:color w:val="000000" w:themeColor="text1"/>
          <w:highlight w:val="none"/>
        </w:rPr>
      </w:r>
      <w:r/>
    </w:p>
    <w:p>
      <w:pPr>
        <w:pStyle w:val="953"/>
        <w:ind w:firstLine="480"/>
        <w:jc w:val="left"/>
        <w:spacing w:before="161" w:after="16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 残疾人福利性单位、监狱和戒毒企业</w:t>
      </w:r>
      <w:r>
        <w:rPr>
          <w:rFonts w:hint="eastAsia" w:ascii="宋体" w:hAnsi="宋体" w:cs="宋体"/>
          <w:color w:val="000000" w:themeColor="text1"/>
          <w:sz w:val="24"/>
          <w:highlight w:val="none"/>
        </w:rPr>
        <w:t xml:space="preserve">（简称监狱企业）视同小型、微型企业。（投标人按要求填写并提供《中小微企业声明函》或《残疾人福利性单位声明函》，或提供由省级以上监狱管理局、戒毒管理局(含新疆生产建设兵团)出具的属于监狱企业</w:t>
      </w:r>
      <w:r>
        <w:rPr>
          <w:rFonts w:hint="eastAsia" w:ascii="宋体" w:hAnsi="宋体" w:cs="宋体"/>
          <w:color w:val="000000" w:themeColor="text1"/>
          <w:sz w:val="24"/>
          <w:highlight w:val="none"/>
        </w:rPr>
        <w:t xml:space="preserve">的证明文件）。</w:t>
      </w:r>
      <w:r>
        <w:rPr>
          <w:color w:val="000000" w:themeColor="text1"/>
          <w:highlight w:val="none"/>
        </w:rPr>
      </w:r>
      <w:r/>
    </w:p>
    <w:p>
      <w:pPr>
        <w:pStyle w:val="953"/>
        <w:ind w:firstLine="480"/>
        <w:jc w:val="left"/>
        <w:spacing w:before="161" w:after="16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 企业标准请参照《关于印发中小企业划型标准规定的通知》（工信部联企业[2011]300号）文件规定自行填写。</w:t>
      </w:r>
      <w:r>
        <w:rPr>
          <w:color w:val="000000" w:themeColor="text1"/>
          <w:highlight w:val="none"/>
        </w:rPr>
      </w:r>
      <w:r/>
    </w:p>
    <w:p>
      <w:pPr>
        <w:pStyle w:val="953"/>
        <w:ind w:firstLine="480"/>
        <w:jc w:val="left"/>
        <w:spacing w:before="161" w:after="16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 残疾人福利单位标准请参照《关于促进残疾人就业政府采购政策的通知》（财库〔2017〕141号）。</w:t>
      </w:r>
      <w:r>
        <w:rPr>
          <w:color w:val="000000" w:themeColor="text1"/>
          <w:highlight w:val="none"/>
        </w:rPr>
      </w:r>
      <w:r/>
    </w:p>
    <w:p>
      <w:pPr>
        <w:pStyle w:val="953"/>
        <w:ind w:firstLine="480"/>
        <w:jc w:val="left"/>
        <w:spacing w:before="161" w:after="16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 监狱企业标准请参照《关于政府采购支持监狱企业发展有关问题的通知》（财库[2014</w:t>
      </w:r>
      <w:r>
        <w:rPr>
          <w:rFonts w:hint="eastAsia" w:ascii="宋体" w:hAnsi="宋体" w:cs="宋体"/>
          <w:color w:val="000000" w:themeColor="text1"/>
          <w:sz w:val="24"/>
          <w:highlight w:val="none"/>
        </w:rPr>
        <w:t xml:space="preserve">]68号）。</w:t>
      </w:r>
      <w:r>
        <w:rPr>
          <w:color w:val="000000" w:themeColor="text1"/>
          <w:highlight w:val="none"/>
        </w:rPr>
      </w:r>
      <w:r/>
    </w:p>
    <w:p>
      <w:pPr>
        <w:pStyle w:val="953"/>
        <w:ind w:firstLine="480"/>
        <w:jc w:val="left"/>
        <w:spacing w:before="161" w:after="16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 残疾人福利单位、监狱企业属于小型、微型企业的，不重复享受政策。</w:t>
      </w:r>
      <w:r>
        <w:rPr>
          <w:color w:val="000000" w:themeColor="text1"/>
          <w:highlight w:val="none"/>
        </w:rPr>
      </w:r>
      <w:r/>
    </w:p>
    <w:p>
      <w:pPr>
        <w:pStyle w:val="953"/>
        <w:ind w:firstLine="480"/>
        <w:jc w:val="left"/>
        <w:spacing w:before="161" w:after="16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1.6 如本项目同意联合体投标或同意分包履行合同的,联合体各方均必须为小型、微型企业（残疾人福利单位、</w:t>
      </w:r>
      <w:r>
        <w:rPr>
          <w:rFonts w:hint="eastAsia" w:ascii="宋体" w:hAnsi="宋体" w:cs="宋体"/>
          <w:color w:val="000000" w:themeColor="text1"/>
          <w:sz w:val="24"/>
          <w:highlight w:val="none"/>
        </w:rPr>
        <w:t xml:space="preserve">监狱企业）。</w:t>
      </w:r>
      <w:r>
        <w:rPr>
          <w:color w:val="000000" w:themeColor="text1"/>
          <w:highlight w:val="none"/>
        </w:rPr>
      </w:r>
      <w:r/>
    </w:p>
    <w:p>
      <w:pPr>
        <w:pStyle w:val="953"/>
        <w:ind w:firstLine="480"/>
        <w:jc w:val="left"/>
        <w:spacing w:before="161" w:after="160"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2、采购本国产品的支持政策</w:t>
      </w:r>
      <w:r>
        <w:rPr>
          <w:color w:val="000000" w:themeColor="text1"/>
          <w:highlight w:val="none"/>
        </w:rPr>
      </w:r>
      <w:r/>
    </w:p>
    <w:p>
      <w:pPr>
        <w:pStyle w:val="953"/>
        <w:ind w:firstLine="480"/>
        <w:jc w:val="left"/>
        <w:spacing w:before="161" w:after="160" w:line="360" w:lineRule="auto"/>
        <w:rPr>
          <w:rFonts w:eastAsia="Times New Roman"/>
          <w:color w:val="000000" w:themeColor="text1"/>
          <w:sz w:val="24"/>
          <w:highlight w:val="none"/>
        </w:rPr>
      </w:pPr>
      <w:r>
        <w:rPr>
          <w:rFonts w:ascii="宋体" w:hAnsi="宋体" w:cs="宋体"/>
          <w:color w:val="000000" w:themeColor="text1"/>
          <w:sz w:val="24"/>
          <w:highlight w:val="none"/>
        </w:rPr>
        <w:t xml:space="preserve">2.1 本项目政府采购活动中既有本国产品又有非本国产品参与竞争的，依法对本国产品给予价格评审优惠，对本国产品的报价给予</w:t>
      </w:r>
      <w:r>
        <w:rPr>
          <w:rFonts w:ascii="宋体" w:hAnsi="宋体" w:cs="宋体"/>
          <w:color w:val="000000" w:themeColor="text1"/>
          <w:sz w:val="24"/>
          <w:highlight w:val="none"/>
        </w:rPr>
        <w:t xml:space="preserve">20%</w:t>
      </w:r>
      <w:r>
        <w:rPr>
          <w:rFonts w:ascii="宋体" w:hAnsi="宋体" w:cs="宋体"/>
          <w:color w:val="000000" w:themeColor="text1"/>
          <w:sz w:val="24"/>
          <w:highlight w:val="none"/>
        </w:rPr>
        <w:t xml:space="preserve">的价格扣除，用扣除后的价格参与评审。</w:t>
      </w:r>
      <w:r>
        <w:rPr>
          <w:color w:val="000000" w:themeColor="text1"/>
          <w:highlight w:val="none"/>
        </w:rPr>
      </w:r>
      <w:r/>
    </w:p>
    <w:p>
      <w:pPr>
        <w:pStyle w:val="953"/>
        <w:ind w:firstLine="480"/>
        <w:jc w:val="left"/>
        <w:spacing w:before="161" w:after="160" w:line="360" w:lineRule="auto"/>
        <w:rPr>
          <w:rFonts w:eastAsia="Times New Roman"/>
          <w:color w:val="000000" w:themeColor="text1"/>
          <w:sz w:val="24"/>
          <w:highlight w:val="none"/>
        </w:rPr>
      </w:pPr>
      <w:r>
        <w:rPr>
          <w:rFonts w:ascii="宋体" w:hAnsi="宋体" w:cs="宋体"/>
          <w:color w:val="000000" w:themeColor="text1"/>
          <w:sz w:val="24"/>
          <w:highlight w:val="none"/>
        </w:rPr>
        <w:t xml:space="preserve">2.2 当采购项目或者采购包中含有多种产品，供应商为该采购项目或者采购包提供的符合本国产品标准的产品成本之和占该供应商提</w:t>
      </w:r>
      <w:r>
        <w:rPr>
          <w:rFonts w:ascii="宋体" w:hAnsi="宋体" w:cs="宋体"/>
          <w:color w:val="000000" w:themeColor="text1"/>
          <w:sz w:val="24"/>
          <w:highlight w:val="none"/>
        </w:rPr>
        <w:t xml:space="preserve">供的全部产品成本之和的比例达到</w:t>
      </w:r>
      <w:r>
        <w:rPr>
          <w:rFonts w:ascii="宋体" w:hAnsi="宋体" w:cs="宋体"/>
          <w:color w:val="000000" w:themeColor="text1"/>
          <w:sz w:val="24"/>
          <w:highlight w:val="none"/>
        </w:rPr>
        <w:t xml:space="preserve">80%</w:t>
      </w:r>
      <w:r>
        <w:rPr>
          <w:rFonts w:ascii="宋体" w:hAnsi="宋体" w:cs="宋体"/>
          <w:color w:val="000000" w:themeColor="text1"/>
          <w:sz w:val="24"/>
          <w:highlight w:val="none"/>
        </w:rPr>
        <w:t xml:space="preserve">以上时（供应商需在“第六章 投标文件格式”的“附件2 投标分项报价表”中填写比例数值），依法对该供应商提供的全部产品给予价格评审优惠，即对该供应商提供的</w:t>
      </w:r>
      <w:r>
        <w:rPr>
          <w:rFonts w:ascii="宋体" w:hAnsi="宋体" w:cs="宋体"/>
          <w:color w:val="000000" w:themeColor="text1"/>
          <w:sz w:val="24"/>
          <w:highlight w:val="none"/>
        </w:rPr>
        <w:t xml:space="preserve">全部产品的总报价给予20%的价格扣除，用扣除后的价格参与评审。供应商未填写比例数值，或比例数值未达到80%的，将不享受本国产品价格评审优惠。</w:t>
      </w:r>
      <w:r>
        <w:rPr>
          <w:color w:val="000000" w:themeColor="text1"/>
          <w:highlight w:val="none"/>
        </w:rPr>
      </w:r>
      <w:r/>
    </w:p>
    <w:p>
      <w:pPr>
        <w:pStyle w:val="953"/>
        <w:ind w:firstLine="480"/>
        <w:jc w:val="left"/>
        <w:spacing w:before="161" w:after="160" w:line="360" w:lineRule="auto"/>
        <w:rPr>
          <w:rFonts w:eastAsia="Times New Roman"/>
          <w:color w:val="000000" w:themeColor="text1"/>
          <w:sz w:val="24"/>
          <w:highlight w:val="none"/>
        </w:rPr>
      </w:pPr>
      <w:r>
        <w:rPr>
          <w:rFonts w:ascii="宋体" w:hAnsi="宋体" w:cs="宋体"/>
          <w:color w:val="000000" w:themeColor="text1"/>
          <w:sz w:val="24"/>
          <w:highlight w:val="none"/>
        </w:rPr>
        <w:t xml:space="preserve">2.3 供应商需按照招标文件的要求提供《关于符合本国产品标准的声明函》（以下简称《声明函》），</w:t>
      </w:r>
      <w:r>
        <w:rPr>
          <w:rFonts w:ascii="宋体" w:hAnsi="宋体" w:cs="宋体"/>
          <w:color w:val="000000" w:themeColor="text1"/>
          <w:sz w:val="24"/>
          <w:highlight w:val="none"/>
        </w:rPr>
        <w:t xml:space="preserve">如不提供将不享受本国产品价格评审优惠</w:t>
      </w:r>
      <w:r>
        <w:rPr>
          <w:rFonts w:ascii="宋体" w:hAnsi="宋体" w:cs="宋体"/>
          <w:color w:val="000000" w:themeColor="text1"/>
          <w:sz w:val="24"/>
          <w:highlight w:val="none"/>
        </w:rPr>
        <w:t xml:space="preserve">。</w:t>
      </w:r>
      <w:r>
        <w:rPr>
          <w:color w:val="000000" w:themeColor="text1"/>
          <w:highlight w:val="none"/>
        </w:rPr>
      </w:r>
      <w:r/>
    </w:p>
    <w:p>
      <w:pPr>
        <w:pStyle w:val="953"/>
        <w:ind w:firstLine="480"/>
        <w:jc w:val="left"/>
        <w:spacing w:before="161" w:after="160" w:line="360" w:lineRule="auto"/>
        <w:rPr>
          <w:rFonts w:eastAsia="Times New Roman"/>
          <w:color w:val="000000" w:themeColor="text1"/>
          <w:sz w:val="24"/>
          <w:highlight w:val="none"/>
        </w:rPr>
      </w:pPr>
      <w:r>
        <w:rPr>
          <w:rFonts w:ascii="宋体" w:hAnsi="宋体" w:cs="宋体"/>
          <w:color w:val="000000" w:themeColor="text1"/>
          <w:sz w:val="24"/>
          <w:highlight w:val="none"/>
        </w:rPr>
        <w:t xml:space="preserve">2.4 供应商需在《声明函》中</w:t>
      </w:r>
      <w:r>
        <w:rPr>
          <w:rFonts w:ascii="宋体" w:hAnsi="宋体" w:cs="宋体"/>
          <w:color w:val="000000" w:themeColor="text1"/>
          <w:sz w:val="24"/>
          <w:highlight w:val="none"/>
        </w:rPr>
        <w:t xml:space="preserve">逐一、准确</w:t>
      </w:r>
      <w:r>
        <w:rPr>
          <w:rFonts w:ascii="宋体" w:hAnsi="宋体" w:cs="宋体"/>
          <w:color w:val="000000" w:themeColor="text1"/>
          <w:sz w:val="24"/>
          <w:highlight w:val="none"/>
        </w:rPr>
        <w:t xml:space="preserve">填写产品</w:t>
      </w:r>
      <w:r>
        <w:rPr>
          <w:rFonts w:ascii="宋体" w:hAnsi="宋体" w:cs="宋体"/>
          <w:color w:val="000000" w:themeColor="text1"/>
          <w:sz w:val="24"/>
          <w:highlight w:val="none"/>
        </w:rPr>
        <w:t xml:space="preserve">名称、厂名、生产厂址三项信息（《声明函》中用斜线划除的地方无需填写），</w:t>
      </w:r>
      <w:r>
        <w:rPr>
          <w:rFonts w:ascii="宋体" w:hAnsi="宋体" w:cs="宋体"/>
          <w:color w:val="000000" w:themeColor="text1"/>
          <w:sz w:val="24"/>
          <w:highlight w:val="none"/>
        </w:rPr>
        <w:t xml:space="preserve">三项信息中任意一项未填写的视为该项产品不符合本国产品标准，不享受本国产品价格评审优惠</w:t>
      </w:r>
      <w:r>
        <w:rPr>
          <w:rFonts w:ascii="宋体" w:hAnsi="宋体" w:cs="宋体"/>
          <w:color w:val="000000" w:themeColor="text1"/>
          <w:sz w:val="24"/>
          <w:highlight w:val="none"/>
        </w:rPr>
        <w:t xml:space="preserve">。</w:t>
      </w:r>
      <w:r>
        <w:rPr>
          <w:color w:val="000000" w:themeColor="text1"/>
          <w:highlight w:val="none"/>
        </w:rPr>
      </w:r>
      <w:r/>
    </w:p>
    <w:p>
      <w:pPr>
        <w:pStyle w:val="953"/>
        <w:ind w:firstLine="480"/>
        <w:jc w:val="left"/>
        <w:spacing w:before="161" w:after="160" w:line="360" w:lineRule="auto"/>
        <w:rPr>
          <w:rFonts w:eastAsia="Times New Roman"/>
          <w:color w:val="000000" w:themeColor="text1"/>
          <w:sz w:val="24"/>
          <w:highlight w:val="none"/>
        </w:rPr>
      </w:pPr>
      <w:r>
        <w:rPr>
          <w:rFonts w:ascii="宋体" w:hAnsi="宋体" w:cs="宋体"/>
          <w:color w:val="000000" w:themeColor="text1"/>
          <w:sz w:val="24"/>
          <w:highlight w:val="none"/>
        </w:rPr>
        <w:t xml:space="preserve">2.5 评标过程中，如发现供应</w:t>
      </w:r>
      <w:r>
        <w:rPr>
          <w:rFonts w:ascii="宋体" w:hAnsi="宋体" w:cs="宋体"/>
          <w:color w:val="000000" w:themeColor="text1"/>
          <w:sz w:val="24"/>
          <w:highlight w:val="none"/>
        </w:rPr>
        <w:t xml:space="preserve">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w:t>
      </w:r>
      <w:r>
        <w:rPr>
          <w:rFonts w:ascii="宋体" w:hAnsi="宋体" w:cs="宋体"/>
          <w:color w:val="000000" w:themeColor="text1"/>
          <w:sz w:val="24"/>
          <w:highlight w:val="none"/>
        </w:rPr>
        <w:t xml:space="preserve">关产品视为不符合本国产品标准。</w:t>
      </w:r>
      <w:r>
        <w:rPr>
          <w:color w:val="000000" w:themeColor="text1"/>
          <w:highlight w:val="none"/>
        </w:rPr>
      </w:r>
      <w:r/>
    </w:p>
    <w:p>
      <w:pPr>
        <w:pStyle w:val="953"/>
        <w:ind w:firstLine="480"/>
        <w:jc w:val="left"/>
        <w:spacing w:before="161" w:after="160" w:line="360" w:lineRule="auto"/>
        <w:rPr>
          <w:rFonts w:eastAsia="Times New Roman"/>
          <w:color w:val="000000" w:themeColor="text1"/>
          <w:sz w:val="24"/>
          <w:highlight w:val="none"/>
        </w:rPr>
      </w:pPr>
      <w:r>
        <w:rPr>
          <w:rFonts w:ascii="宋体" w:hAnsi="宋体" w:cs="宋体"/>
          <w:color w:val="000000" w:themeColor="text1"/>
          <w:sz w:val="24"/>
          <w:highlight w:val="none"/>
        </w:rPr>
        <w:t xml:space="preserve">2.6适用本国产品标准的货物具体是指《政府采购品目分类目录》中的货物类产品，但不包括其中的房屋和构筑物，文物和陈列品，图书和档案，特种动植物，农林牧渔业产品</w:t>
      </w:r>
      <w:r>
        <w:rPr>
          <w:rFonts w:ascii="宋体" w:hAnsi="宋体" w:cs="宋体"/>
          <w:color w:val="000000" w:themeColor="text1"/>
          <w:sz w:val="24"/>
          <w:highlight w:val="none"/>
        </w:rPr>
        <w:t xml:space="preserve">，矿与矿物，电力、城市燃气、蒸汽和热水、水，食品、饮料和烟草原料，无形资产。</w:t>
      </w:r>
      <w:r>
        <w:rPr>
          <w:color w:val="000000" w:themeColor="text1"/>
          <w:highlight w:val="none"/>
        </w:rPr>
      </w:r>
      <w:r/>
    </w:p>
    <w:p>
      <w:pPr>
        <w:pStyle w:val="953"/>
        <w:ind w:firstLine="480"/>
        <w:jc w:val="left"/>
        <w:spacing w:before="161" w:after="160" w:line="360" w:lineRule="auto"/>
        <w:rPr>
          <w:rFonts w:eastAsia="Times New Roman"/>
          <w:color w:val="000000" w:themeColor="text1"/>
          <w:sz w:val="24"/>
          <w:highlight w:val="none"/>
        </w:rPr>
      </w:pPr>
      <w:r>
        <w:rPr>
          <w:rFonts w:ascii="宋体" w:hAnsi="宋体" w:cs="宋体"/>
          <w:color w:val="000000" w:themeColor="text1"/>
          <w:sz w:val="24"/>
          <w:highlight w:val="none"/>
        </w:rPr>
        <w:t xml:space="preserve">2.7本国产品应当在中国境内生产，即在中华人民共和国关境内实现从原材料、组件到产品的属性改变。从具体情形看，在国内保税区、综合保税区等海关特殊监管区域生产的产品，属于在中国境内生产的产品；</w:t>
      </w:r>
      <w:r>
        <w:rPr>
          <w:rFonts w:ascii="宋体" w:hAnsi="宋体" w:cs="宋体"/>
          <w:color w:val="000000" w:themeColor="text1"/>
          <w:sz w:val="24"/>
          <w:highlight w:val="none"/>
        </w:rPr>
        <w:t xml:space="preserve">对医疗器械产品，取得药品监督管理部门授予的准字号医疗器械注</w:t>
      </w:r>
      <w:r>
        <w:rPr>
          <w:rFonts w:ascii="宋体" w:hAnsi="宋体" w:cs="宋体"/>
          <w:color w:val="000000" w:themeColor="text1"/>
          <w:sz w:val="24"/>
          <w:highlight w:val="none"/>
        </w:rPr>
        <w:t xml:space="preserve">册证的，属于在中国境内生产的产品；</w:t>
      </w:r>
      <w:r>
        <w:rPr>
          <w:rFonts w:ascii="宋体" w:hAnsi="宋体" w:cs="宋体"/>
          <w:color w:val="000000" w:themeColor="text1"/>
          <w:sz w:val="24"/>
          <w:highlight w:val="none"/>
        </w:rPr>
        <w:t xml:space="preserve">其他产品，根据实际情况判断是否在中国境内生产。</w:t>
      </w:r>
      <w:r>
        <w:rPr>
          <w:color w:val="000000" w:themeColor="text1"/>
          <w:highlight w:val="none"/>
        </w:rPr>
      </w:r>
      <w:r/>
    </w:p>
    <w:p>
      <w:pPr>
        <w:pStyle w:val="953"/>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pStyle w:val="953"/>
        <w:ind w:firstLine="482"/>
        <w:jc w:val="left"/>
        <w:rPr>
          <w:rFonts w:ascii="宋体" w:hAnsi="宋体"/>
          <w:b/>
          <w:color w:val="000000" w:themeColor="text1"/>
          <w:sz w:val="24"/>
          <w:highlight w:val="none"/>
        </w:rPr>
        <w:outlineLvl w:val="1"/>
      </w:pPr>
      <w:r>
        <w:rPr>
          <w:color w:val="000000" w:themeColor="text1"/>
          <w:highlight w:val="none"/>
        </w:rPr>
      </w:r>
      <w:bookmarkStart w:id="166" w:name="_Toc30809"/>
      <w:r>
        <w:rPr>
          <w:rFonts w:hint="eastAsia" w:ascii="宋体" w:hAnsi="宋体"/>
          <w:b/>
          <w:color w:val="000000" w:themeColor="text1"/>
          <w:sz w:val="24"/>
          <w:highlight w:val="none"/>
        </w:rPr>
        <w:t xml:space="preserve">符合性审查内容</w:t>
      </w:r>
      <w:bookmarkEnd w:id="166"/>
      <w:r>
        <w:rPr>
          <w:color w:val="000000" w:themeColor="text1"/>
          <w:highlight w:val="none"/>
        </w:rPr>
      </w:r>
      <w:r/>
    </w:p>
    <w:p>
      <w:pPr>
        <w:pStyle w:val="1076"/>
        <w:numPr>
          <w:ilvl w:val="0"/>
          <w:numId w:val="8"/>
        </w:numPr>
        <w:rPr>
          <w:rFonts w:ascii="宋体" w:hAnsi="宋体"/>
          <w:b/>
          <w:bCs/>
          <w:color w:val="000000" w:themeColor="text1"/>
          <w:sz w:val="24"/>
          <w:szCs w:val="24"/>
          <w:highlight w:val="none"/>
        </w:rPr>
      </w:pPr>
      <w:r>
        <w:rPr>
          <w:rFonts w:hint="eastAsia" w:ascii="宋体" w:hAnsi="宋体"/>
          <w:b/>
          <w:bCs/>
          <w:color w:val="000000" w:themeColor="text1"/>
          <w:sz w:val="24"/>
          <w:highlight w:val="none"/>
        </w:rPr>
        <w:t xml:space="preserve">报价要求：</w:t>
      </w:r>
      <w:r>
        <w:rPr>
          <w:rFonts w:hint="eastAsia" w:ascii="宋体" w:hAnsi="宋体"/>
          <w:b/>
          <w:bCs/>
          <w:color w:val="000000" w:themeColor="text1"/>
          <w:sz w:val="24"/>
          <w:szCs w:val="24"/>
          <w:highlight w:val="none"/>
        </w:rPr>
        <w:t xml:space="preserve">不得超过最高限价</w:t>
      </w:r>
      <w:r>
        <w:rPr>
          <w:color w:val="000000" w:themeColor="text1"/>
          <w:highlight w:val="none"/>
        </w:rPr>
      </w:r>
      <w:r/>
    </w:p>
    <w:p>
      <w:pPr>
        <w:pStyle w:val="953"/>
        <w:jc w:val="lef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953"/>
        <w:numPr>
          <w:ilvl w:val="0"/>
          <w:numId w:val="8"/>
        </w:numPr>
        <w:ind w:firstLine="482"/>
        <w:jc w:val="left"/>
        <w:rPr>
          <w:rFonts w:ascii="宋体" w:hAnsi="宋体"/>
          <w:b/>
          <w:bCs/>
          <w:color w:val="000000" w:themeColor="text1"/>
          <w:sz w:val="24"/>
          <w:highlight w:val="none"/>
        </w:rPr>
      </w:pPr>
      <w:r>
        <w:rPr>
          <w:rFonts w:hint="eastAsia" w:ascii="宋体" w:hAnsi="宋体"/>
          <w:b/>
          <w:bCs/>
          <w:color w:val="000000" w:themeColor="text1"/>
          <w:sz w:val="24"/>
          <w:highlight w:val="none"/>
        </w:rPr>
        <w:t xml:space="preserve">商务要求：</w:t>
      </w:r>
      <w:r>
        <w:rPr>
          <w:color w:val="000000" w:themeColor="text1"/>
          <w:highlight w:val="none"/>
        </w:rPr>
      </w:r>
      <w:r/>
    </w:p>
    <w:p>
      <w:pPr>
        <w:pStyle w:val="953"/>
        <w:ind w:firstLine="480"/>
        <w:jc w:val="left"/>
        <w:spacing w:before="161"/>
        <w:rPr>
          <w:rFonts w:ascii="宋体" w:hAnsi="宋体"/>
          <w:color w:val="000000" w:themeColor="text1"/>
          <w:sz w:val="24"/>
          <w:highlight w:val="none"/>
        </w:rPr>
      </w:pPr>
      <w:r>
        <w:rPr>
          <w:rFonts w:hint="eastAsia" w:ascii="宋体" w:hAnsi="宋体"/>
          <w:color w:val="000000" w:themeColor="text1"/>
          <w:sz w:val="24"/>
          <w:highlight w:val="none"/>
        </w:rPr>
        <w:t xml:space="preserve">2.1</w:t>
      </w:r>
      <w:r>
        <w:rPr>
          <w:rFonts w:hint="eastAsia"/>
          <w:iCs/>
          <w:color w:val="000000" w:themeColor="text1"/>
          <w:sz w:val="24"/>
          <w:highlight w:val="none"/>
          <w:lang w:bidi="ar"/>
        </w:rPr>
        <w:t xml:space="preserve">投标文件没有重大负偏离，所谓重大负偏离是</w:t>
      </w:r>
      <w:r>
        <w:rPr>
          <w:rFonts w:hint="eastAsia"/>
          <w:iCs/>
          <w:color w:val="000000" w:themeColor="text1"/>
          <w:sz w:val="24"/>
          <w:highlight w:val="none"/>
          <w:lang w:bidi="ar"/>
        </w:rPr>
        <w:t xml:space="preserve">指投标人所投标的</w:t>
      </w:r>
      <w:r>
        <w:rPr>
          <w:rFonts w:hint="eastAsia"/>
          <w:iCs/>
          <w:color w:val="000000" w:themeColor="text1"/>
          <w:sz w:val="24"/>
          <w:highlight w:val="none"/>
          <w:u w:val="single"/>
          <w:lang w:bidi="ar"/>
        </w:rPr>
        <w:t xml:space="preserve">范围、质量、数量、付款方式、质保期和交货期限</w:t>
      </w:r>
      <w:r>
        <w:rPr>
          <w:rFonts w:hint="eastAsia"/>
          <w:iCs/>
          <w:color w:val="000000" w:themeColor="text1"/>
          <w:sz w:val="24"/>
          <w:highlight w:val="none"/>
          <w:lang w:bidi="ar"/>
        </w:rPr>
        <w:t xml:space="preserve">等明显不能满足招标文件的要求。重大负偏离的认定须经评标委员会同意，</w:t>
      </w:r>
      <w:r>
        <w:rPr>
          <w:rFonts w:hint="eastAsia" w:ascii="宋体" w:hAnsi="宋体"/>
          <w:color w:val="000000" w:themeColor="text1"/>
          <w:sz w:val="24"/>
          <w:highlight w:val="none"/>
        </w:rPr>
        <w:t xml:space="preserve">商务要求不接受任何一项的负偏离或者不满足，允许正偏离；</w:t>
      </w:r>
      <w:r>
        <w:rPr>
          <w:color w:val="000000" w:themeColor="text1"/>
          <w:highlight w:val="none"/>
        </w:rPr>
      </w:r>
      <w:r/>
    </w:p>
    <w:p>
      <w:pPr>
        <w:pStyle w:val="953"/>
        <w:ind w:firstLine="480"/>
        <w:jc w:val="left"/>
        <w:spacing w:before="161"/>
        <w:rPr>
          <w:rFonts w:ascii="宋体" w:hAnsi="宋体"/>
          <w:color w:val="000000" w:themeColor="text1"/>
          <w:sz w:val="24"/>
          <w:highlight w:val="none"/>
        </w:rPr>
      </w:pPr>
      <w:r>
        <w:rPr>
          <w:rFonts w:hint="eastAsia" w:ascii="宋体" w:hAnsi="宋体"/>
          <w:color w:val="000000" w:themeColor="text1"/>
          <w:sz w:val="24"/>
          <w:highlight w:val="none"/>
        </w:rPr>
        <w:t xml:space="preserve">2.2《第六章投标文件构成》中“投标文件构成”没有实质性缺漏；</w:t>
      </w:r>
      <w:r>
        <w:rPr>
          <w:color w:val="000000" w:themeColor="text1"/>
          <w:highlight w:val="none"/>
        </w:rPr>
      </w:r>
      <w:r/>
    </w:p>
    <w:p>
      <w:pPr>
        <w:pStyle w:val="953"/>
        <w:ind w:firstLine="480"/>
        <w:jc w:val="left"/>
        <w:spacing w:before="161"/>
        <w:rPr>
          <w:rFonts w:ascii="宋体" w:hAnsi="宋体"/>
          <w:color w:val="000000" w:themeColor="text1"/>
          <w:sz w:val="24"/>
          <w:highlight w:val="none"/>
        </w:rPr>
      </w:pPr>
      <w:r>
        <w:rPr>
          <w:rFonts w:hint="eastAsia" w:ascii="宋体" w:hAnsi="宋体"/>
          <w:color w:val="000000" w:themeColor="text1"/>
          <w:sz w:val="24"/>
          <w:highlight w:val="none"/>
        </w:rPr>
        <w:t xml:space="preserve">2.3本项目不接受备选投标方案</w:t>
      </w:r>
      <w:r>
        <w:rPr>
          <w:color w:val="000000" w:themeColor="text1"/>
          <w:highlight w:val="none"/>
        </w:rPr>
      </w:r>
      <w:r/>
    </w:p>
    <w:p>
      <w:pPr>
        <w:pStyle w:val="953"/>
        <w:ind w:firstLine="480"/>
        <w:jc w:val="left"/>
        <w:spacing w:before="161"/>
        <w:rPr>
          <w:rFonts w:ascii="宋体" w:hAnsi="宋体"/>
          <w:color w:val="000000" w:themeColor="text1"/>
          <w:sz w:val="24"/>
          <w:highlight w:val="none"/>
        </w:rPr>
      </w:pPr>
      <w:r>
        <w:rPr>
          <w:rFonts w:hint="eastAsia" w:ascii="宋体" w:hAnsi="宋体"/>
          <w:color w:val="000000" w:themeColor="text1"/>
          <w:sz w:val="24"/>
          <w:highlight w:val="none"/>
        </w:rPr>
        <w:t xml:space="preserve">2.4投标文件没有采购人不能接受的附加条件</w:t>
      </w:r>
      <w:r>
        <w:rPr>
          <w:color w:val="000000" w:themeColor="text1"/>
          <w:highlight w:val="none"/>
        </w:rPr>
      </w:r>
      <w:r/>
    </w:p>
    <w:p>
      <w:pPr>
        <w:pStyle w:val="953"/>
        <w:ind w:firstLine="480"/>
        <w:jc w:val="left"/>
        <w:spacing w:before="161"/>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hint="eastAsia" w:ascii="宋体" w:hAnsi="宋体"/>
          <w:color w:val="000000" w:themeColor="text1"/>
          <w:sz w:val="24"/>
          <w:highlight w:val="none"/>
        </w:rPr>
        <w:t xml:space="preserve">.5投标文件没有法律、法规和招标文件规定的其他无效情形</w:t>
      </w:r>
      <w:r>
        <w:rPr>
          <w:color w:val="000000" w:themeColor="text1"/>
          <w:highlight w:val="none"/>
        </w:rPr>
      </w:r>
      <w:r/>
    </w:p>
    <w:p>
      <w:pPr>
        <w:pStyle w:val="953"/>
        <w:ind w:firstLine="480"/>
        <w:jc w:val="left"/>
        <w:spacing w:before="161"/>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953"/>
        <w:numPr>
          <w:ilvl w:val="0"/>
          <w:numId w:val="8"/>
        </w:numPr>
        <w:ind w:firstLine="482"/>
        <w:jc w:val="left"/>
        <w:rPr>
          <w:rFonts w:ascii="宋体" w:hAnsi="宋体"/>
          <w:b/>
          <w:bCs/>
          <w:color w:val="000000" w:themeColor="text1"/>
          <w:sz w:val="24"/>
          <w:highlight w:val="none"/>
        </w:rPr>
      </w:pPr>
      <w:r>
        <w:rPr>
          <w:rFonts w:hint="eastAsia" w:ascii="宋体" w:hAnsi="宋体"/>
          <w:b/>
          <w:bCs/>
          <w:color w:val="000000" w:themeColor="text1"/>
          <w:sz w:val="24"/>
          <w:highlight w:val="none"/>
        </w:rPr>
        <w:t xml:space="preserve">技术要求：</w:t>
      </w:r>
      <w:r>
        <w:rPr>
          <w:color w:val="000000" w:themeColor="text1"/>
          <w:highlight w:val="none"/>
        </w:rPr>
      </w:r>
      <w:r/>
    </w:p>
    <w:p>
      <w:pPr>
        <w:pStyle w:val="953"/>
        <w:ind w:firstLine="480"/>
        <w:jc w:val="left"/>
        <w:spacing w:before="161"/>
        <w:rPr>
          <w:rFonts w:ascii="宋体" w:hAnsi="宋体"/>
          <w:color w:val="000000" w:themeColor="text1"/>
          <w:sz w:val="24"/>
          <w:highlight w:val="none"/>
        </w:rPr>
      </w:pPr>
      <w:r>
        <w:rPr>
          <w:rFonts w:hint="eastAsia" w:ascii="宋体" w:hAnsi="宋体"/>
          <w:color w:val="000000" w:themeColor="text1"/>
          <w:sz w:val="24"/>
          <w:highlight w:val="none"/>
        </w:rPr>
        <w:t xml:space="preserve">3.1技术要求中</w:t>
      </w:r>
      <w:r>
        <w:rPr>
          <w:rFonts w:hint="eastAsia" w:ascii="宋体" w:hAnsi="宋体" w:cs="宋体"/>
          <w:color w:val="000000" w:themeColor="text1"/>
          <w:sz w:val="24"/>
          <w:highlight w:val="none"/>
        </w:rPr>
        <w:t xml:space="preserve">★条款</w:t>
      </w:r>
      <w:r>
        <w:rPr>
          <w:rFonts w:hint="eastAsia" w:ascii="宋体" w:hAnsi="宋体"/>
          <w:color w:val="000000" w:themeColor="text1"/>
          <w:sz w:val="24"/>
          <w:highlight w:val="none"/>
        </w:rPr>
        <w:t xml:space="preserve">不接受任何一项的负偏离或者不满足</w:t>
      </w:r>
      <w:r>
        <w:rPr>
          <w:color w:val="000000" w:themeColor="text1"/>
          <w:highlight w:val="none"/>
        </w:rPr>
      </w:r>
      <w:r/>
    </w:p>
    <w:p>
      <w:pPr>
        <w:pStyle w:val="953"/>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pStyle w:val="953"/>
        <w:rPr>
          <w:rFonts w:ascii="宋体" w:hAnsi="宋体"/>
          <w:b/>
          <w:color w:val="000000" w:themeColor="text1"/>
          <w:sz w:val="24"/>
          <w:highlight w:val="none"/>
        </w:rPr>
      </w:pPr>
      <w:r>
        <w:rPr>
          <w:color w:val="000000" w:themeColor="text1"/>
          <w:highlight w:val="none"/>
        </w:rPr>
      </w:r>
      <w:bookmarkStart w:id="167" w:name="_Toc20828"/>
      <w:r>
        <w:rPr>
          <w:rFonts w:hint="eastAsia" w:ascii="宋体" w:hAnsi="宋体"/>
          <w:b/>
          <w:color w:val="000000" w:themeColor="text1"/>
          <w:sz w:val="24"/>
          <w:highlight w:val="none"/>
        </w:rPr>
        <w:br w:type="page" w:clear="all"/>
      </w:r>
      <w:r>
        <w:rPr>
          <w:color w:val="000000" w:themeColor="text1"/>
          <w:highlight w:val="none"/>
        </w:rPr>
      </w:r>
      <w:r/>
    </w:p>
    <w:p>
      <w:pPr>
        <w:pStyle w:val="953"/>
        <w:ind w:firstLine="482"/>
        <w:jc w:val="center"/>
        <w:rPr>
          <w:rFonts w:hint="eastAsia" w:ascii="宋体" w:hAnsi="宋体" w:cs="宋体"/>
          <w:b/>
          <w:color w:val="000000" w:themeColor="text1"/>
          <w:sz w:val="24"/>
          <w:szCs w:val="24"/>
          <w:highlight w:val="none"/>
        </w:rPr>
        <w:outlineLvl w:val="1"/>
      </w:pPr>
      <w:r>
        <w:rPr>
          <w:rFonts w:hint="eastAsia" w:ascii="宋体" w:hAnsi="宋体" w:cs="宋体"/>
          <w:b/>
          <w:color w:val="000000" w:themeColor="text1"/>
          <w:sz w:val="24"/>
          <w:szCs w:val="24"/>
          <w:highlight w:val="none"/>
        </w:rPr>
        <w:t xml:space="preserve">评标方法与评标标准</w:t>
      </w:r>
      <w:bookmarkEnd w:id="167"/>
      <w:r>
        <w:rPr>
          <w:color w:val="000000" w:themeColor="text1"/>
          <w:highlight w:val="none"/>
        </w:rPr>
      </w:r>
      <w:r/>
    </w:p>
    <w:tbl>
      <w:tblPr>
        <w:tblW w:w="4658" w:type="pct"/>
        <w:jc w:val="center"/>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379"/>
        <w:gridCol w:w="1246"/>
        <w:gridCol w:w="6028"/>
      </w:tblGrid>
      <w:tr>
        <w:trPr>
          <w:trHeight w:val="471"/>
        </w:trPr>
        <w:tc>
          <w:tcPr>
            <w:tcBorders>
              <w:top w:val="single" w:color="000000" w:sz="4" w:space="0"/>
              <w:left w:val="single" w:color="000000" w:sz="4" w:space="0"/>
              <w:bottom w:val="single" w:color="000000" w:sz="6" w:space="0"/>
              <w:right w:val="single" w:color="000000" w:sz="4" w:space="0"/>
            </w:tcBorders>
            <w:tcW w:w="797" w:type="pct"/>
            <w:vAlign w:val="center"/>
            <w:textDirection w:val="lrTb"/>
            <w:noWrap w:val="false"/>
          </w:tcPr>
          <w:p>
            <w:pPr>
              <w:pStyle w:val="953"/>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评标标准</w:t>
            </w:r>
            <w:r>
              <w:rPr>
                <w:color w:val="000000" w:themeColor="text1"/>
                <w:highlight w:val="none"/>
              </w:rPr>
            </w:r>
            <w:r/>
          </w:p>
        </w:tc>
        <w:tc>
          <w:tcPr>
            <w:tcBorders>
              <w:top w:val="single" w:color="000000" w:sz="4" w:space="0"/>
              <w:left w:val="single" w:color="000000" w:sz="4" w:space="0"/>
              <w:bottom w:val="single" w:color="000000" w:sz="6" w:space="0"/>
              <w:right w:val="single" w:color="000000" w:sz="6" w:space="0"/>
            </w:tcBorders>
            <w:tcW w:w="720" w:type="pct"/>
            <w:vAlign w:val="center"/>
            <w:textDirection w:val="lrTb"/>
            <w:noWrap w:val="false"/>
          </w:tcPr>
          <w:p>
            <w:pPr>
              <w:pStyle w:val="953"/>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分值</w:t>
            </w:r>
            <w:r>
              <w:rPr>
                <w:color w:val="000000" w:themeColor="text1"/>
                <w:highlight w:val="none"/>
              </w:rPr>
            </w:r>
            <w:r/>
          </w:p>
        </w:tc>
        <w:tc>
          <w:tcPr>
            <w:tcBorders>
              <w:top w:val="single" w:color="000000" w:sz="4" w:space="0"/>
              <w:left w:val="single" w:color="000000" w:sz="6" w:space="0"/>
              <w:bottom w:val="single" w:color="000000" w:sz="6" w:space="0"/>
              <w:right w:val="single" w:color="000000" w:sz="4" w:space="0"/>
            </w:tcBorders>
            <w:tcW w:w="3483" w:type="pct"/>
            <w:vAlign w:val="center"/>
            <w:textDirection w:val="lrTb"/>
            <w:noWrap w:val="false"/>
          </w:tcPr>
          <w:p>
            <w:pPr>
              <w:pStyle w:val="953"/>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评分细则</w:t>
            </w:r>
            <w:r>
              <w:rPr>
                <w:color w:val="000000" w:themeColor="text1"/>
                <w:highlight w:val="none"/>
              </w:rPr>
            </w:r>
            <w:r/>
          </w:p>
        </w:tc>
      </w:tr>
      <w:tr>
        <w:trPr>
          <w:trHeight w:val="1694"/>
        </w:trPr>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pStyle w:val="953"/>
              <w:jc w:val="cente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价格</w:t>
            </w:r>
            <w:r>
              <w:rPr>
                <w:color w:val="000000" w:themeColor="text1"/>
                <w:highlight w:val="none"/>
              </w:rPr>
            </w:r>
            <w:r/>
          </w:p>
        </w:tc>
        <w:tc>
          <w:tcPr>
            <w:tcBorders>
              <w:top w:val="single" w:color="000000" w:sz="4" w:space="0"/>
              <w:left w:val="single" w:color="000000" w:sz="4" w:space="0"/>
              <w:bottom w:val="single" w:color="000000" w:sz="4" w:space="0"/>
              <w:right w:val="single" w:color="000000" w:sz="6" w:space="0"/>
            </w:tcBorders>
            <w:tcW w:w="720" w:type="pct"/>
            <w:vAlign w:val="center"/>
            <w:textDirection w:val="lrTb"/>
            <w:noWrap w:val="false"/>
          </w:tcPr>
          <w:p>
            <w:pPr>
              <w:pStyle w:val="953"/>
              <w:jc w:val="cente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rFonts w:hint="eastAsia" w:ascii="宋体" w:hAnsi="宋体" w:cs="宋体"/>
                <w:bCs/>
                <w:color w:val="000000" w:themeColor="text1"/>
                <w:sz w:val="24"/>
                <w:szCs w:val="24"/>
                <w:highlight w:val="none"/>
              </w:rPr>
              <w:t xml:space="preserve">0分</w:t>
            </w:r>
            <w:r>
              <w:rPr>
                <w:color w:val="000000" w:themeColor="text1"/>
                <w:highlight w:val="none"/>
              </w:rPr>
            </w:r>
            <w:r/>
          </w:p>
        </w:tc>
        <w:tc>
          <w:tcPr>
            <w:tcBorders>
              <w:top w:val="single" w:color="000000" w:sz="4" w:space="0"/>
              <w:left w:val="single" w:color="000000" w:sz="6" w:space="0"/>
              <w:bottom w:val="single" w:color="000000" w:sz="4" w:space="0"/>
              <w:right w:val="single" w:color="000000" w:sz="4" w:space="0"/>
            </w:tcBorders>
            <w:tcW w:w="3483" w:type="pct"/>
            <w:vAlign w:val="center"/>
            <w:textDirection w:val="lrTb"/>
            <w:noWrap w:val="false"/>
          </w:tcPr>
          <w:p>
            <w:pPr>
              <w:pStyle w:val="953"/>
              <w:jc w:val="left"/>
              <w:rPr>
                <w:rFonts w:hint="eastAsia" w:ascii="宋体" w:hAnsi="宋体" w:cs="宋体"/>
                <w:bCs/>
                <w:color w:val="000000" w:themeColor="text1"/>
                <w:sz w:val="24"/>
                <w:szCs w:val="24"/>
                <w:highlight w:val="none"/>
              </w:rPr>
            </w:pPr>
            <w:r>
              <w:rPr>
                <w:color w:val="000000" w:themeColor="text1"/>
                <w:highlight w:val="none"/>
              </w:rPr>
            </w:r>
            <w:bookmarkStart w:id="168" w:name="OLE_LINK64"/>
            <w:r>
              <w:rPr>
                <w:rFonts w:hint="eastAsia" w:ascii="宋体" w:hAnsi="宋体" w:cs="宋体"/>
                <w:bCs/>
                <w:color w:val="000000" w:themeColor="text1"/>
                <w:sz w:val="24"/>
                <w:szCs w:val="24"/>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bookmarkEnd w:id="168"/>
            <w:r>
              <w:rPr>
                <w:color w:val="000000" w:themeColor="text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pStyle w:val="953"/>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技术响应</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953"/>
              <w:ind w:firstLine="240"/>
              <w:jc w:val="left"/>
              <w:rPr>
                <w:rFonts w:hint="eastAsia" w:ascii="宋体" w:hAnsi="宋体" w:cs="宋体"/>
                <w:bCs/>
                <w:color w:val="000000" w:themeColor="text1"/>
                <w:sz w:val="24"/>
                <w:szCs w:val="24"/>
                <w:highlight w:val="none"/>
              </w:rPr>
            </w:pPr>
            <w:r>
              <w:rPr>
                <w:rFonts w:ascii="宋体" w:hAnsi="宋体" w:cs="宋体"/>
                <w:bCs/>
                <w:color w:val="000000" w:themeColor="text1"/>
                <w:sz w:val="24"/>
                <w:szCs w:val="24"/>
                <w:highlight w:val="none"/>
              </w:rPr>
              <w:t xml:space="preserve">32.5</w:t>
            </w:r>
            <w:r>
              <w:rPr>
                <w:rFonts w:hint="eastAsia" w:ascii="宋体" w:hAnsi="宋体" w:cs="宋体"/>
                <w:bCs/>
                <w:color w:val="000000" w:themeColor="text1"/>
                <w:sz w:val="24"/>
                <w:szCs w:val="24"/>
                <w:highlight w:val="none"/>
              </w:rPr>
              <w:t xml:space="preserve">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483" w:type="pct"/>
            <w:vAlign w:val="center"/>
            <w:textDirection w:val="lrTb"/>
            <w:noWrap w:val="false"/>
          </w:tcPr>
          <w:p>
            <w:pPr>
              <w:pStyle w:val="953"/>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投标产品参数满足招标文件要求的，得满分。</w:t>
            </w:r>
            <w:r>
              <w:rPr>
                <w:color w:val="000000" w:themeColor="text1"/>
                <w:highlight w:val="none"/>
              </w:rPr>
            </w:r>
            <w:r/>
          </w:p>
          <w:p>
            <w:pPr>
              <w:pStyle w:val="953"/>
              <w:jc w:val="lef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其中：标注■每有一项负偏</w:t>
            </w:r>
            <w:r>
              <w:rPr>
                <w:rFonts w:hint="eastAsia" w:ascii="宋体" w:hAnsi="宋体" w:cs="宋体"/>
                <w:bCs/>
                <w:color w:val="000000" w:themeColor="text1"/>
                <w:sz w:val="24"/>
                <w:szCs w:val="24"/>
                <w:highlight w:val="none"/>
              </w:rPr>
              <w:t xml:space="preserve">离扣2分；标注▲的每有一项负偏离扣1分；其余为一般要求，每负偏离一项扣0.</w:t>
            </w:r>
            <w:r>
              <w:rPr>
                <w:rFonts w:ascii="宋体" w:hAnsi="宋体" w:cs="宋体"/>
                <w:bCs/>
                <w:color w:val="000000" w:themeColor="text1"/>
                <w:sz w:val="24"/>
                <w:szCs w:val="24"/>
                <w:highlight w:val="none"/>
              </w:rPr>
              <w:t xml:space="preserve">5</w:t>
            </w:r>
            <w:r>
              <w:rPr>
                <w:rFonts w:hint="eastAsia" w:ascii="宋体" w:hAnsi="宋体" w:cs="宋体"/>
                <w:bCs/>
                <w:color w:val="000000" w:themeColor="text1"/>
                <w:sz w:val="24"/>
                <w:szCs w:val="24"/>
                <w:highlight w:val="none"/>
              </w:rPr>
              <w:t xml:space="preserve">分，扣完为止。缺漏项视为负偏离，正偏离不加分。</w:t>
            </w:r>
            <w:r>
              <w:rPr>
                <w:color w:val="000000" w:themeColor="text1"/>
                <w:highlight w:val="none"/>
              </w:rPr>
            </w:r>
            <w:r/>
          </w:p>
          <w:p>
            <w:pPr>
              <w:pStyle w:val="953"/>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注：</w:t>
            </w:r>
            <w:r>
              <w:rPr>
                <w:color w:val="000000" w:themeColor="text1"/>
                <w:highlight w:val="none"/>
              </w:rPr>
            </w:r>
            <w:r/>
          </w:p>
          <w:p>
            <w:pPr>
              <w:pStyle w:val="953"/>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1.投标文件中需提供相关技术指标的技术证明材料（</w:t>
            </w:r>
            <w:r>
              <w:rPr>
                <w:rFonts w:hint="eastAsia" w:ascii="宋体" w:hAnsi="宋体" w:cs="宋体"/>
                <w:bCs/>
                <w:color w:val="000000" w:themeColor="text1"/>
                <w:sz w:val="24"/>
                <w:szCs w:val="24"/>
                <w:highlight w:val="none"/>
              </w:rPr>
              <w:t xml:space="preserve">如要求），证明材料类型以第四章文件要求为准，未按要求提供的，视为负偏离。</w:t>
            </w:r>
            <w:r>
              <w:rPr>
                <w:color w:val="000000" w:themeColor="text1"/>
                <w:highlight w:val="none"/>
              </w:rPr>
            </w:r>
            <w:r/>
          </w:p>
          <w:p>
            <w:pPr>
              <w:pStyle w:val="953"/>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2.如果投标人提供虚假材料，一经查实，视为放弃中标资格，并上报财政主管部门。</w:t>
            </w:r>
            <w:r>
              <w:rPr>
                <w:color w:val="000000" w:themeColor="text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pStyle w:val="953"/>
              <w:jc w:val="cente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同类业绩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953"/>
              <w:jc w:val="center"/>
              <w:rPr>
                <w:rFonts w:hint="eastAsia" w:ascii="宋体" w:hAnsi="宋体" w:cs="宋体"/>
                <w:bCs/>
                <w:color w:val="000000" w:themeColor="text1"/>
                <w:sz w:val="24"/>
                <w:szCs w:val="24"/>
                <w:highlight w:val="none"/>
              </w:rPr>
            </w:pPr>
            <w:r>
              <w:rPr>
                <w:rFonts w:ascii="宋体" w:hAnsi="宋体" w:cs="宋体"/>
                <w:bCs/>
                <w:color w:val="000000" w:themeColor="text1"/>
                <w:sz w:val="24"/>
                <w:szCs w:val="24"/>
                <w:highlight w:val="none"/>
              </w:rPr>
              <w:t xml:space="preserve">7.5</w:t>
            </w:r>
            <w:r>
              <w:rPr>
                <w:rFonts w:hint="eastAsia" w:ascii="宋体" w:hAnsi="宋体" w:cs="宋体"/>
                <w:bCs/>
                <w:color w:val="000000" w:themeColor="text1"/>
                <w:sz w:val="24"/>
                <w:szCs w:val="24"/>
                <w:highlight w:val="none"/>
              </w:rPr>
              <w:t xml:space="preserve">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483" w:type="pct"/>
            <w:vAlign w:val="center"/>
            <w:textDirection w:val="lrTb"/>
            <w:noWrap w:val="false"/>
          </w:tcPr>
          <w:p>
            <w:pPr>
              <w:pStyle w:val="953"/>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提供所投产品（合同签订时间2023年10月1日至今）类似本项目（每份业绩至少包含窗帘类）的销售成功案例，</w:t>
            </w:r>
            <w:r>
              <w:rPr>
                <w:rFonts w:hint="eastAsia" w:ascii="宋体" w:hAnsi="宋体" w:cs="宋体"/>
                <w:bCs/>
                <w:color w:val="000000" w:themeColor="text1"/>
                <w:sz w:val="24"/>
                <w:szCs w:val="24"/>
                <w:highlight w:val="none"/>
              </w:rPr>
              <w:t xml:space="preserve">每提供一份业绩证明材料的得</w:t>
            </w:r>
            <w:r>
              <w:rPr>
                <w:rFonts w:ascii="宋体" w:hAnsi="宋体" w:cs="宋体"/>
                <w:bCs/>
                <w:color w:val="000000" w:themeColor="text1"/>
                <w:sz w:val="24"/>
                <w:szCs w:val="24"/>
                <w:highlight w:val="none"/>
              </w:rPr>
              <w:t xml:space="preserve">2.5</w:t>
            </w:r>
            <w:r>
              <w:rPr>
                <w:rFonts w:hint="eastAsia" w:ascii="宋体" w:hAnsi="宋体" w:cs="宋体"/>
                <w:bCs/>
                <w:color w:val="000000" w:themeColor="text1"/>
                <w:sz w:val="24"/>
                <w:szCs w:val="24"/>
                <w:highlight w:val="none"/>
              </w:rPr>
              <w:t xml:space="preserve">分，最多得</w:t>
            </w:r>
            <w:r>
              <w:rPr>
                <w:rFonts w:ascii="宋体" w:hAnsi="宋体" w:cs="宋体"/>
                <w:bCs/>
                <w:color w:val="000000" w:themeColor="text1"/>
                <w:sz w:val="24"/>
                <w:szCs w:val="24"/>
                <w:highlight w:val="none"/>
              </w:rPr>
              <w:t xml:space="preserve">7.5</w:t>
            </w:r>
            <w:r>
              <w:rPr>
                <w:rFonts w:hint="eastAsia" w:ascii="宋体" w:hAnsi="宋体" w:cs="宋体"/>
                <w:bCs/>
                <w:color w:val="000000" w:themeColor="text1"/>
                <w:sz w:val="24"/>
                <w:szCs w:val="24"/>
                <w:highlight w:val="none"/>
              </w:rPr>
              <w:t xml:space="preserve">分。</w:t>
            </w:r>
            <w:r>
              <w:rPr>
                <w:color w:val="000000" w:themeColor="text1"/>
                <w:highlight w:val="none"/>
              </w:rPr>
            </w:r>
            <w:r/>
          </w:p>
          <w:p>
            <w:pPr>
              <w:pStyle w:val="953"/>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注</w:t>
            </w:r>
            <w:r>
              <w:rPr>
                <w:rFonts w:hint="eastAsia" w:ascii="宋体" w:hAnsi="宋体" w:cs="宋体"/>
                <w:bCs/>
                <w:color w:val="000000" w:themeColor="text1"/>
                <w:sz w:val="24"/>
                <w:szCs w:val="24"/>
                <w:highlight w:val="none"/>
              </w:rPr>
              <w:t xml:space="preserve">：本项需提供以下三项证明材料，缺一不得分：</w:t>
            </w:r>
            <w:r>
              <w:rPr>
                <w:color w:val="000000" w:themeColor="text1"/>
                <w:highlight w:val="none"/>
              </w:rPr>
            </w:r>
            <w:r/>
          </w:p>
          <w:p>
            <w:pPr>
              <w:pStyle w:val="953"/>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（1）合同复印件（时间以合同签订时间为准，同一采购单位的多份合同业绩，不重复计分）；</w:t>
            </w:r>
            <w:r>
              <w:rPr>
                <w:color w:val="000000" w:themeColor="text1"/>
                <w:highlight w:val="none"/>
              </w:rPr>
            </w:r>
            <w:r/>
          </w:p>
          <w:p>
            <w:pPr>
              <w:pStyle w:val="953"/>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（2）合同期内的任意供货发票复印件（至少包含窗帘类）；</w:t>
            </w:r>
            <w:r>
              <w:rPr>
                <w:color w:val="000000" w:themeColor="text1"/>
                <w:highlight w:val="none"/>
              </w:rPr>
            </w:r>
            <w:r/>
          </w:p>
          <w:p>
            <w:pPr>
              <w:pStyle w:val="953"/>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rFonts w:hint="eastAsia" w:ascii="宋体" w:hAnsi="宋体" w:cs="宋体"/>
                <w:bCs/>
                <w:color w:val="000000" w:themeColor="text1"/>
                <w:sz w:val="24"/>
                <w:szCs w:val="24"/>
                <w:highlight w:val="none"/>
              </w:rPr>
              <w:t xml:space="preserve">）上述合同对应业绩的验收材料；</w:t>
            </w:r>
            <w:r>
              <w:rPr>
                <w:color w:val="000000" w:themeColor="text1"/>
                <w:highlight w:val="none"/>
              </w:rPr>
            </w:r>
            <w:r/>
          </w:p>
          <w:p>
            <w:pPr>
              <w:pStyle w:val="953"/>
              <w:jc w:val="lef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（4）以上（1）-（3）证明材料签订单位允许是投标人或所投产品制造商。</w:t>
            </w:r>
            <w:r>
              <w:rPr>
                <w:color w:val="000000" w:themeColor="text1"/>
                <w:highlight w:val="none"/>
              </w:rPr>
            </w:r>
            <w:r/>
          </w:p>
        </w:tc>
      </w:tr>
      <w:tr>
        <w:trPr>
          <w:trHeight w:val="2871"/>
        </w:trPr>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pStyle w:val="953"/>
              <w:jc w:val="center"/>
              <w:rPr>
                <w:rFonts w:hint="eastAsia" w:ascii="宋体" w:hAnsi="宋体" w:cs="宋体"/>
                <w:bCs/>
                <w:color w:val="000000" w:themeColor="text1"/>
                <w:sz w:val="24"/>
                <w:szCs w:val="24"/>
                <w:highlight w:val="none"/>
              </w:rPr>
            </w:pPr>
            <w:r>
              <w:rPr>
                <w:color w:val="000000" w:themeColor="text1"/>
                <w:highlight w:val="none"/>
              </w:rPr>
            </w:r>
            <w:bookmarkStart w:id="169" w:name="_Hlk227154168"/>
            <w:r>
              <w:rPr>
                <w:rFonts w:hint="eastAsia" w:ascii="宋体" w:hAnsi="宋体" w:cs="宋体"/>
                <w:bCs/>
                <w:color w:val="000000" w:themeColor="text1"/>
                <w:sz w:val="24"/>
                <w:szCs w:val="24"/>
                <w:highlight w:val="none"/>
              </w:rPr>
              <w:t xml:space="preserve">项目实施方案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953"/>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483" w:type="pct"/>
            <w:vAlign w:val="center"/>
            <w:textDirection w:val="lrTb"/>
            <w:noWrap w:val="false"/>
          </w:tcPr>
          <w:p>
            <w:pPr>
              <w:pStyle w:val="953"/>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投标人根据本项目实际情况，制定本项目实施方案。</w:t>
            </w:r>
            <w:r>
              <w:rPr>
                <w:color w:val="000000" w:themeColor="text1"/>
                <w:highlight w:val="none"/>
              </w:rPr>
            </w:r>
            <w:r/>
          </w:p>
          <w:p>
            <w:pPr>
              <w:pStyle w:val="953"/>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项目实施方案至少包含：①对本项目整体交货工期保障的方案；②进度安排及保证措施；③货物运输及配送方案；④货物安装方案。</w:t>
            </w:r>
            <w:r>
              <w:rPr>
                <w:color w:val="000000" w:themeColor="text1"/>
                <w:highlight w:val="none"/>
              </w:rPr>
            </w:r>
            <w:r/>
          </w:p>
          <w:p>
            <w:pPr>
              <w:pStyle w:val="953"/>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以上每项内容须根据下述量化评审</w:t>
            </w:r>
            <w:r>
              <w:rPr>
                <w:rFonts w:hint="eastAsia" w:ascii="宋体" w:hAnsi="宋体" w:cs="宋体"/>
                <w:bCs/>
                <w:color w:val="000000" w:themeColor="text1"/>
                <w:sz w:val="24"/>
                <w:szCs w:val="24"/>
                <w:highlight w:val="none"/>
              </w:rPr>
              <w:t xml:space="preserve">因素指标要求进行打分。</w:t>
            </w:r>
            <w:r>
              <w:rPr>
                <w:color w:val="000000" w:themeColor="text1"/>
                <w:highlight w:val="none"/>
              </w:rPr>
            </w:r>
            <w:r/>
          </w:p>
          <w:p>
            <w:pPr>
              <w:pStyle w:val="953"/>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方案内容细致完善、科学合理、执行力强，且专门针对本项目，契合采购需求视为符</w:t>
            </w:r>
            <w:r>
              <w:rPr>
                <w:rFonts w:hint="eastAsia" w:ascii="宋体" w:hAnsi="宋体" w:cs="宋体"/>
                <w:bCs/>
                <w:color w:val="000000" w:themeColor="text1"/>
                <w:sz w:val="24"/>
                <w:szCs w:val="24"/>
                <w:highlight w:val="none"/>
              </w:rPr>
              <w:t xml:space="preserve">合；</w:t>
            </w:r>
            <w:r>
              <w:rPr>
                <w:color w:val="000000" w:themeColor="text1"/>
                <w:highlight w:val="none"/>
              </w:rPr>
            </w:r>
            <w:r/>
          </w:p>
          <w:p>
            <w:pPr>
              <w:pStyle w:val="953"/>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方案内容属于通用类，部分契合采购需求视为部分符合；</w:t>
            </w:r>
            <w:r>
              <w:rPr>
                <w:color w:val="000000" w:themeColor="text1"/>
                <w:highlight w:val="none"/>
              </w:rPr>
            </w:r>
            <w:r/>
          </w:p>
          <w:p>
            <w:pPr>
              <w:pStyle w:val="953"/>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方案内容非专门针对本项目，脱离采购需求视为不符合。</w:t>
            </w:r>
            <w:r>
              <w:rPr>
                <w:color w:val="000000" w:themeColor="text1"/>
                <w:highlight w:val="none"/>
              </w:rPr>
            </w:r>
            <w:r/>
          </w:p>
          <w:p>
            <w:pPr>
              <w:pStyle w:val="953"/>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上述每项内容符合得1.5分；部分符合得0.75分；不符合或不提供不得分。</w:t>
            </w:r>
            <w:r>
              <w:rPr>
                <w:color w:val="000000" w:themeColor="text1"/>
                <w:highlight w:val="none"/>
              </w:rPr>
            </w:r>
            <w:r/>
          </w:p>
        </w:tc>
      </w:tr>
      <w:tr>
        <w:trPr>
          <w:trHeight w:val="2163"/>
        </w:trPr>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pStyle w:val="953"/>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售后服务方案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953"/>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483" w:type="pct"/>
            <w:vAlign w:val="center"/>
            <w:textDirection w:val="lrTb"/>
            <w:noWrap w:val="false"/>
          </w:tcPr>
          <w:p>
            <w:pPr>
              <w:pStyle w:val="953"/>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投标人根据本项目特点，制定本项目售后服务方案。</w:t>
            </w:r>
            <w:r>
              <w:rPr>
                <w:color w:val="000000" w:themeColor="text1"/>
                <w:highlight w:val="none"/>
              </w:rPr>
            </w:r>
            <w:r/>
          </w:p>
          <w:p>
            <w:pPr>
              <w:pStyle w:val="953"/>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售后服务方案至少包含：①整体售后服务方案、服务质量保证标准；②为本项目配备专职服务人员、智能仓库管理应用系统；③售后服务工具配备、备件方案、售后服务响应时间；④</w:t>
            </w:r>
            <w:r>
              <w:rPr>
                <w:rFonts w:hint="eastAsia" w:ascii="宋体" w:hAnsi="宋体" w:cs="宋体"/>
                <w:bCs/>
                <w:color w:val="000000" w:themeColor="text1"/>
                <w:sz w:val="24"/>
                <w:szCs w:val="24"/>
                <w:highlight w:val="none"/>
              </w:rPr>
              <w:t xml:space="preserve">其他服务承诺、配合措施、增值服务。</w:t>
            </w:r>
            <w:r>
              <w:rPr>
                <w:color w:val="000000" w:themeColor="text1"/>
                <w:highlight w:val="none"/>
              </w:rPr>
            </w:r>
            <w:r/>
          </w:p>
          <w:p>
            <w:pPr>
              <w:pStyle w:val="953"/>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以上每项内容须根据下述量化评审因素指标要求进行打分。</w:t>
            </w:r>
            <w:r>
              <w:rPr>
                <w:color w:val="000000" w:themeColor="text1"/>
                <w:highlight w:val="none"/>
              </w:rPr>
            </w:r>
            <w:r/>
          </w:p>
          <w:p>
            <w:pPr>
              <w:pStyle w:val="953"/>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方案内容</w:t>
            </w:r>
            <w:r>
              <w:rPr>
                <w:rFonts w:hint="eastAsia" w:ascii="宋体" w:hAnsi="宋体" w:cs="宋体"/>
                <w:bCs/>
                <w:color w:val="000000" w:themeColor="text1"/>
                <w:sz w:val="24"/>
                <w:szCs w:val="24"/>
                <w:highlight w:val="none"/>
              </w:rPr>
              <w:t xml:space="preserve">细致完善、科学合理、执行力强，且专门针对本项目，契合采购需求视为符合；</w:t>
            </w:r>
            <w:r>
              <w:rPr>
                <w:color w:val="000000" w:themeColor="text1"/>
                <w:highlight w:val="none"/>
              </w:rPr>
            </w:r>
            <w:r/>
          </w:p>
          <w:p>
            <w:pPr>
              <w:pStyle w:val="953"/>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方案内容属于通用类，部分契合采购需求视为部分符合；</w:t>
            </w:r>
            <w:r>
              <w:rPr>
                <w:color w:val="000000" w:themeColor="text1"/>
                <w:highlight w:val="none"/>
              </w:rPr>
            </w:r>
            <w:r/>
          </w:p>
          <w:p>
            <w:pPr>
              <w:pStyle w:val="953"/>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方案内容非专门针对本项目，脱离采购需求视为不符合。</w:t>
            </w:r>
            <w:r>
              <w:rPr>
                <w:color w:val="000000" w:themeColor="text1"/>
                <w:highlight w:val="none"/>
              </w:rPr>
            </w:r>
            <w:r/>
          </w:p>
          <w:p>
            <w:pPr>
              <w:pStyle w:val="953"/>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上述每项内容符合得1.5分；部分符合得0.75分；不符合或不提供不得分。</w:t>
            </w:r>
            <w:r>
              <w:rPr>
                <w:color w:val="000000" w:themeColor="text1"/>
                <w:highlight w:val="none"/>
              </w:rPr>
            </w:r>
            <w:r/>
          </w:p>
        </w:tc>
      </w:tr>
      <w:tr>
        <w:trPr>
          <w:trHeight w:val="1009"/>
        </w:trPr>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pStyle w:val="953"/>
              <w:jc w:val="left"/>
              <w:rPr>
                <w:rFonts w:hint="eastAsia" w:ascii="宋体" w:hAnsi="宋体" w:cs="宋体"/>
                <w:bCs/>
                <w:color w:val="000000" w:themeColor="text1"/>
                <w:sz w:val="24"/>
                <w:szCs w:val="24"/>
                <w:highlight w:val="none"/>
              </w:rPr>
            </w:pPr>
            <w:r>
              <w:rPr>
                <w:color w:val="000000" w:themeColor="text1"/>
                <w:highlight w:val="none"/>
              </w:rPr>
            </w:r>
            <w:bookmarkEnd w:id="169"/>
            <w:r>
              <w:rPr>
                <w:rFonts w:hint="eastAsia" w:ascii="宋体" w:hAnsi="宋体" w:cs="宋体"/>
                <w:bCs/>
                <w:color w:val="000000" w:themeColor="text1"/>
                <w:sz w:val="24"/>
                <w:szCs w:val="24"/>
                <w:highlight w:val="none"/>
              </w:rPr>
              <w:t xml:space="preserve">质量控制方案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953"/>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483" w:type="pct"/>
            <w:vAlign w:val="center"/>
            <w:textDirection w:val="lrTb"/>
            <w:noWrap w:val="false"/>
          </w:tcPr>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投标人根据本项目特点，制定本项目质量控制方案。</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质量控制方案至少包含：①窗帘隔帘生产工序；②窗帘隔帘生产流程；③窗帘隔帘质量控制。</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以上每项内</w:t>
            </w:r>
            <w:r>
              <w:rPr>
                <w:rFonts w:hint="eastAsia" w:ascii="宋体" w:hAnsi="宋体" w:cs="宋体"/>
                <w:color w:val="000000" w:themeColor="text1"/>
                <w:sz w:val="24"/>
                <w:szCs w:val="24"/>
                <w:highlight w:val="none"/>
              </w:rPr>
              <w:t xml:space="preserve">容须根据下述量化评审因素指标要求进行打分。</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方案内容细致完善、科学合理、执行力强，且专门针对本项目</w:t>
            </w:r>
            <w:r>
              <w:rPr>
                <w:rFonts w:hint="eastAsia" w:ascii="宋体" w:hAnsi="宋体" w:cs="宋体"/>
                <w:color w:val="000000" w:themeColor="text1"/>
                <w:sz w:val="24"/>
                <w:szCs w:val="24"/>
                <w:highlight w:val="none"/>
              </w:rPr>
              <w:t xml:space="preserve">，契合采购需求视为符合；</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方案内容属于通用类，部分契合采购需求视为部分符合；</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方案内容非专门针对本项目，脱离采购需求视为不符合。</w:t>
            </w:r>
            <w:r>
              <w:rPr>
                <w:color w:val="000000" w:themeColor="text1"/>
                <w:highlight w:val="none"/>
              </w:rPr>
            </w:r>
            <w:r/>
          </w:p>
          <w:p>
            <w:pPr>
              <w:pStyle w:val="953"/>
              <w:jc w:val="left"/>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上述每项内容符合得1分；部分符合得0.5分；不符合或不提供不得分。</w:t>
            </w:r>
            <w:r>
              <w:rPr>
                <w:color w:val="000000" w:themeColor="text1"/>
                <w:highlight w:val="none"/>
              </w:rPr>
            </w:r>
            <w:r/>
          </w:p>
        </w:tc>
      </w:tr>
      <w:tr>
        <w:trPr>
          <w:trHeight w:val="1294"/>
        </w:trPr>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pStyle w:val="953"/>
              <w:jc w:val="cente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样品评价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953"/>
              <w:jc w:val="cente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rFonts w:ascii="宋体" w:hAnsi="宋体" w:cs="宋体"/>
                <w:bCs/>
                <w:color w:val="000000" w:themeColor="text1"/>
                <w:sz w:val="24"/>
                <w:szCs w:val="24"/>
                <w:highlight w:val="none"/>
              </w:rPr>
              <w:t xml:space="preserve">5</w:t>
            </w:r>
            <w:r>
              <w:rPr>
                <w:rFonts w:hint="eastAsia" w:ascii="宋体" w:hAnsi="宋体" w:cs="宋体"/>
                <w:bCs/>
                <w:color w:val="000000" w:themeColor="text1"/>
                <w:sz w:val="24"/>
                <w:szCs w:val="24"/>
                <w:highlight w:val="none"/>
              </w:rPr>
              <w:t xml:space="preserve">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483" w:type="pct"/>
            <w:vAlign w:val="center"/>
            <w:textDirection w:val="lrTb"/>
            <w:noWrap w:val="false"/>
          </w:tcPr>
          <w:p>
            <w:pPr>
              <w:pStyle w:val="953"/>
              <w:jc w:val="left"/>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评委根据投标人提供的样品打分：</w:t>
            </w:r>
            <w:r>
              <w:rPr>
                <w:color w:val="000000" w:themeColor="text1"/>
                <w:highlight w:val="none"/>
              </w:rPr>
            </w:r>
            <w:r/>
          </w:p>
          <w:p>
            <w:pPr>
              <w:pStyle w:val="953"/>
              <w:jc w:val="left"/>
              <w:rPr>
                <w:rFonts w:hint="eastAsia" w:ascii="宋体" w:hAnsi="宋体" w:cs="宋体"/>
                <w:b/>
                <w:bCs/>
                <w:color w:val="000000" w:themeColor="text1"/>
                <w:sz w:val="24"/>
                <w:szCs w:val="24"/>
                <w:highlight w:val="none"/>
              </w:rPr>
            </w:pPr>
            <w:r>
              <w:rPr>
                <w:color w:val="000000" w:themeColor="text1"/>
                <w:highlight w:val="none"/>
              </w:rPr>
            </w:r>
            <w:bookmarkStart w:id="170" w:name="OLE_LINK69"/>
            <w:r>
              <w:rPr>
                <w:rFonts w:hint="eastAsia" w:ascii="宋体" w:hAnsi="宋体" w:cs="宋体"/>
                <w:b/>
                <w:bCs/>
                <w:color w:val="000000" w:themeColor="text1"/>
                <w:sz w:val="24"/>
                <w:szCs w:val="24"/>
                <w:highlight w:val="none"/>
              </w:rPr>
              <w:t xml:space="preserve">1.</w:t>
            </w:r>
            <w:bookmarkStart w:id="171" w:name="OLE_LINK75"/>
            <w:r>
              <w:rPr>
                <w:rFonts w:hint="eastAsia" w:ascii="宋体" w:hAnsi="宋体" w:cs="宋体"/>
                <w:b/>
                <w:bCs/>
                <w:color w:val="000000" w:themeColor="text1"/>
                <w:sz w:val="24"/>
                <w:szCs w:val="24"/>
                <w:highlight w:val="none"/>
              </w:rPr>
              <w:t xml:space="preserve">手动·阻燃</w:t>
            </w:r>
            <w:r>
              <w:rPr>
                <w:rFonts w:hint="eastAsia" w:ascii="宋体" w:hAnsi="宋体" w:cs="宋体"/>
                <w:b/>
                <w:bCs/>
                <w:color w:val="000000" w:themeColor="text1"/>
                <w:sz w:val="24"/>
                <w:szCs w:val="24"/>
                <w:highlight w:val="none"/>
              </w:rPr>
              <w:t xml:space="preserve">窗帘</w:t>
            </w:r>
            <w:r>
              <w:rPr>
                <w:rFonts w:hint="eastAsia" w:ascii="宋体" w:hAnsi="宋体" w:cs="宋体"/>
                <w:b/>
                <w:bCs/>
                <w:color w:val="000000" w:themeColor="text1"/>
                <w:sz w:val="24"/>
                <w:szCs w:val="24"/>
                <w:highlight w:val="none"/>
              </w:rPr>
              <w:t xml:space="preserve">（成品大样）1件</w:t>
            </w:r>
            <w:bookmarkEnd w:id="171"/>
            <w:r>
              <w:rPr>
                <w:rFonts w:hint="eastAsia" w:ascii="宋体" w:hAnsi="宋体" w:cs="宋体"/>
                <w:b/>
                <w:bCs/>
                <w:color w:val="000000" w:themeColor="text1"/>
                <w:sz w:val="24"/>
                <w:szCs w:val="24"/>
                <w:highlight w:val="none"/>
              </w:rPr>
              <w:t xml:space="preserve">（</w:t>
            </w:r>
            <w:r>
              <w:rPr>
                <w:rFonts w:ascii="宋体" w:hAnsi="宋体" w:cs="宋体"/>
                <w:b/>
                <w:bCs/>
                <w:color w:val="000000" w:themeColor="text1"/>
                <w:sz w:val="24"/>
                <w:szCs w:val="24"/>
                <w:highlight w:val="none"/>
              </w:rPr>
              <w:t xml:space="preserve">5</w:t>
            </w:r>
            <w:r>
              <w:rPr>
                <w:rFonts w:hint="eastAsia" w:ascii="宋体" w:hAnsi="宋体" w:cs="宋体"/>
                <w:b/>
                <w:bCs/>
                <w:color w:val="000000" w:themeColor="text1"/>
                <w:sz w:val="24"/>
                <w:szCs w:val="24"/>
                <w:highlight w:val="none"/>
              </w:rPr>
              <w:t xml:space="preserve">分）</w:t>
            </w:r>
            <w:bookmarkStart w:id="172" w:name="OLE_LINK81"/>
            <w:r>
              <w:rPr>
                <w:color w:val="000000" w:themeColor="text1"/>
                <w:highlight w:val="none"/>
              </w:rPr>
            </w:r>
            <w:r/>
          </w:p>
          <w:p>
            <w:pPr>
              <w:pStyle w:val="953"/>
              <w:jc w:val="left"/>
              <w:rPr>
                <w:rFonts w:hint="eastAsia" w:ascii="宋体" w:hAnsi="宋体" w:cs="宋体"/>
                <w:color w:val="000000" w:themeColor="text1"/>
                <w:sz w:val="24"/>
                <w:szCs w:val="24"/>
                <w:highlight w:val="none"/>
              </w:rPr>
            </w:pPr>
            <w:r>
              <w:rPr>
                <w:color w:val="000000" w:themeColor="text1"/>
                <w:highlight w:val="none"/>
              </w:rPr>
            </w:r>
            <w:bookmarkEnd w:id="170"/>
            <w:r>
              <w:rPr>
                <w:color w:val="000000" w:themeColor="text1"/>
                <w:highlight w:val="none"/>
              </w:rPr>
            </w:r>
            <w:bookmarkEnd w:id="172"/>
            <w:r>
              <w:rPr>
                <w:color w:val="000000" w:themeColor="text1"/>
                <w:highlight w:val="none"/>
              </w:rPr>
            </w:r>
            <w:bookmarkStart w:id="173" w:name="OLE_LINK76"/>
            <w:r>
              <w:rPr>
                <w:color w:val="000000" w:themeColor="text1"/>
                <w:highlight w:val="none"/>
              </w:rPr>
            </w:r>
            <w:bookmarkStart w:id="174" w:name="OLE_LINK70"/>
            <w:r>
              <w:rPr>
                <w:color w:val="000000" w:themeColor="text1"/>
                <w:highlight w:val="none"/>
              </w:rPr>
            </w:r>
            <w:bookmarkStart w:id="175" w:name="OLE_LINK77"/>
            <w:r>
              <w:rPr>
                <w:rFonts w:hint="eastAsia" w:ascii="宋体" w:hAnsi="宋体" w:cs="宋体"/>
                <w:color w:val="000000" w:themeColor="text1"/>
                <w:sz w:val="24"/>
                <w:szCs w:val="24"/>
                <w:highlight w:val="none"/>
              </w:rPr>
              <w:t xml:space="preserve">（应含布带/挂钩等辅料及轨道等配件）</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成品视觉效果精美、编织平整均匀，轨道型材厚实、无明显毛刺刮痕，走珠运行顺畅，</w:t>
            </w:r>
            <w:r>
              <w:rPr>
                <w:rFonts w:hint="eastAsia" w:ascii="宋体" w:hAnsi="宋体" w:cs="宋体"/>
                <w:color w:val="000000" w:themeColor="text1"/>
                <w:sz w:val="24"/>
                <w:szCs w:val="24"/>
                <w:highlight w:val="none"/>
              </w:rPr>
              <w:t xml:space="preserve">无明显噪音；面料纹理清晰、无瑕疵、无异味，面料款式、颜色匹配度高的得</w:t>
            </w:r>
            <w:r>
              <w:rPr>
                <w:rFonts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分；</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成品视觉效果较精美、编</w:t>
            </w:r>
            <w:r>
              <w:rPr>
                <w:rFonts w:hint="eastAsia" w:ascii="宋体" w:hAnsi="宋体" w:cs="宋体"/>
                <w:color w:val="000000" w:themeColor="text1"/>
                <w:sz w:val="24"/>
                <w:szCs w:val="24"/>
                <w:highlight w:val="none"/>
              </w:rPr>
              <w:t xml:space="preserve">织平整较均匀，轨道型材较厚实、无明显毛刺刮痕，走珠运行顺畅，噪音较小；面料纹理较清晰、面料款式、颜色匹配度较高，无明显异味的得3分；</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成品视觉效果、编织平整度一般，轨道型材用材一般、有明显毛刺刮痕，走珠运行卡顿、有明显噪音；样品纹理尚可，有轻微瑕疵、异味较轻、面料款式、颜色匹配度一般的得1分；</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样品存在明显瑕疵（破损、色差、污渍），有刺鼻异味，或未提供样品的，不得分。</w:t>
            </w:r>
            <w:r>
              <w:rPr>
                <w:color w:val="000000" w:themeColor="text1"/>
                <w:highlight w:val="none"/>
              </w:rPr>
            </w:r>
            <w:r/>
          </w:p>
          <w:p>
            <w:pPr>
              <w:pStyle w:val="953"/>
              <w:jc w:val="left"/>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2.手动·阻燃卷帘（成品大样）1件（5分）</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（应含面料、卷管、底杆、制头、安装支座、拉珠等配件）</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成品视觉效果精美、编织平整均匀，卷管、底杆</w:t>
            </w:r>
            <w:r>
              <w:rPr>
                <w:rFonts w:hint="eastAsia" w:ascii="宋体" w:hAnsi="宋体" w:cs="宋体"/>
                <w:color w:val="000000" w:themeColor="text1"/>
                <w:sz w:val="24"/>
                <w:szCs w:val="24"/>
                <w:highlight w:val="none"/>
              </w:rPr>
              <w:t xml:space="preserve">、制头、安装支座、拉珠做工精细，材质厚实，制头拉珠运行省力顺畅；面料纹理清晰、无瑕疵、无异味，面料款式、颜色匹配度高的得5分；</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成品视觉效果较精美、编织平整较均匀，卷管、底杆、制头、安装支座、拉珠做工较精细，材质较厚实，制头拉珠运行较顺畅；面料纹理较清晰、面料款式、颜色匹配度较高，无明显异味的得3分；</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成品视觉效果、编织平整度一般，卷管、底杆、制头、安装支座、拉珠做工一般，材质一般；样品纹理尚可，有轻微瑕疵、异</w:t>
            </w:r>
            <w:r>
              <w:rPr>
                <w:rFonts w:hint="eastAsia" w:ascii="宋体" w:hAnsi="宋体" w:cs="宋体"/>
                <w:color w:val="000000" w:themeColor="text1"/>
                <w:sz w:val="24"/>
                <w:szCs w:val="24"/>
                <w:highlight w:val="none"/>
              </w:rPr>
              <w:t xml:space="preserve">味较轻、面料款式、颜色匹配度一般的得1分；</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样品存在明显瑕疵（破损、色差、污渍），有刺鼻异味，或未</w:t>
            </w:r>
            <w:r>
              <w:rPr>
                <w:rFonts w:hint="eastAsia" w:ascii="宋体" w:hAnsi="宋体" w:cs="宋体"/>
                <w:color w:val="000000" w:themeColor="text1"/>
                <w:sz w:val="24"/>
                <w:szCs w:val="24"/>
                <w:highlight w:val="none"/>
              </w:rPr>
              <w:t xml:space="preserve">提供样品的，不得分。</w:t>
            </w:r>
            <w:r>
              <w:rPr>
                <w:color w:val="000000" w:themeColor="text1"/>
                <w:highlight w:val="none"/>
              </w:rPr>
            </w:r>
            <w:r/>
          </w:p>
          <w:p>
            <w:pPr>
              <w:pStyle w:val="953"/>
              <w:jc w:val="left"/>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3.阻燃</w:t>
            </w:r>
            <w:r>
              <w:rPr>
                <w:rFonts w:hint="eastAsia" w:ascii="宋体" w:hAnsi="宋体" w:cs="宋体"/>
                <w:b/>
                <w:bCs/>
                <w:color w:val="000000" w:themeColor="text1"/>
                <w:sz w:val="24"/>
                <w:szCs w:val="24"/>
                <w:highlight w:val="none"/>
              </w:rPr>
              <w:t xml:space="preserve">医用隔帘</w:t>
            </w:r>
            <w:r>
              <w:rPr>
                <w:rFonts w:hint="eastAsia" w:ascii="宋体" w:hAnsi="宋体" w:cs="宋体"/>
                <w:b/>
                <w:bCs/>
                <w:color w:val="000000" w:themeColor="text1"/>
                <w:sz w:val="24"/>
                <w:szCs w:val="24"/>
                <w:highlight w:val="none"/>
              </w:rPr>
              <w:t xml:space="preserve">（面料小样）1件（2.5分）</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面料视觉效果精美、编织平整均匀，纹理清晰、无瑕疵、无异味，面料款式、颜色匹配度高的得2.5分；</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样品纹理较清晰、面料款式、颜色匹配度较高，无明显异味的得1分；</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样品纹理尚可，有轻微瑕疵、异味较轻、面料款式、颜色匹配度一般的得0.5分；</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样品存在明显瑕疵（破损、色差、污渍），有刺鼻异味，或未提供样品的，不得分。</w:t>
            </w:r>
            <w:r>
              <w:rPr>
                <w:color w:val="000000" w:themeColor="text1"/>
                <w:highlight w:val="none"/>
              </w:rPr>
            </w:r>
            <w:r/>
          </w:p>
          <w:p>
            <w:pPr>
              <w:pStyle w:val="953"/>
              <w:jc w:val="left"/>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阻燃幕布（面料小样）1件（2</w:t>
            </w:r>
            <w:r>
              <w:rPr>
                <w:rFonts w:hint="eastAsia" w:ascii="宋体" w:hAnsi="宋体" w:cs="宋体"/>
                <w:b/>
                <w:bCs/>
                <w:color w:val="000000" w:themeColor="text1"/>
                <w:sz w:val="24"/>
                <w:szCs w:val="24"/>
                <w:highlight w:val="none"/>
              </w:rPr>
              <w:t xml:space="preserve">.5分）</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rFonts w:hint="eastAsia" w:ascii="宋体" w:hAnsi="宋体" w:cs="宋体"/>
                <w:color w:val="000000" w:themeColor="text1"/>
                <w:sz w:val="24"/>
                <w:szCs w:val="24"/>
                <w:highlight w:val="none"/>
              </w:rPr>
              <w:t xml:space="preserve">面料视觉效果精美、编织平整均匀，纹理清晰、无瑕疵、无异味，面料款式、颜色匹配度高的得2.</w:t>
            </w:r>
            <w:r>
              <w:rPr>
                <w:rFonts w:hint="eastAsia" w:ascii="宋体" w:hAnsi="宋体" w:cs="宋体"/>
                <w:color w:val="000000" w:themeColor="text1"/>
                <w:sz w:val="24"/>
                <w:szCs w:val="24"/>
                <w:highlight w:val="none"/>
              </w:rPr>
              <w:t xml:space="preserve">5分；</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样品纹理较清晰、面料款式、颜色匹配度较高，无明显异味的得1分；</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样品纹理尚可，有轻微瑕疵、异味较轻、面料款式、颜色匹配度一般的得0.5分；</w:t>
            </w:r>
            <w:r>
              <w:rPr>
                <w:color w:val="000000" w:themeColor="text1"/>
                <w:highlight w:val="none"/>
              </w:rPr>
            </w:r>
            <w:r/>
          </w:p>
          <w:p>
            <w:pPr>
              <w:pStyle w:val="953"/>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样品存在明显瑕疵（破损、色差、污渍），有刺鼻异味，或未提供样品的，不得分。</w:t>
            </w:r>
            <w:r>
              <w:rPr>
                <w:color w:val="000000" w:themeColor="text1"/>
                <w:highlight w:val="none"/>
              </w:rPr>
            </w:r>
            <w:r/>
          </w:p>
        </w:tc>
      </w:tr>
    </w:tbl>
    <w:p>
      <w:pPr>
        <w:pStyle w:val="953"/>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953"/>
        <w:rPr>
          <w:rFonts w:hint="eastAsia" w:ascii="宋体" w:hAnsi="宋体" w:cs="宋体"/>
          <w:b/>
          <w:color w:val="000000" w:themeColor="text1"/>
          <w:sz w:val="32"/>
          <w:szCs w:val="32"/>
          <w:highlight w:val="none"/>
        </w:rPr>
      </w:pPr>
      <w:r>
        <w:rPr>
          <w:color w:val="000000" w:themeColor="text1"/>
          <w:highlight w:val="none"/>
        </w:rPr>
      </w:r>
      <w:bookmarkStart w:id="176" w:name="_Toc31068"/>
      <w:r>
        <w:rPr>
          <w:rFonts w:hint="eastAsia" w:ascii="宋体" w:hAnsi="宋体" w:cs="宋体"/>
          <w:b/>
          <w:color w:val="000000" w:themeColor="text1"/>
          <w:sz w:val="32"/>
          <w:szCs w:val="32"/>
          <w:highlight w:val="none"/>
        </w:rPr>
        <w:br w:type="page" w:clear="all"/>
      </w:r>
      <w:r>
        <w:rPr>
          <w:color w:val="000000" w:themeColor="text1"/>
          <w:highlight w:val="none"/>
        </w:rPr>
      </w:r>
      <w:r/>
    </w:p>
    <w:p>
      <w:pPr>
        <w:pStyle w:val="953"/>
        <w:jc w:val="center"/>
        <w:widowControl/>
        <w:rPr>
          <w:rFonts w:ascii="宋体" w:hAnsi="宋体" w:cs="宋体"/>
          <w:b/>
          <w:color w:val="000000" w:themeColor="text1"/>
          <w:sz w:val="32"/>
          <w:szCs w:val="32"/>
          <w:highlight w:val="none"/>
        </w:rPr>
        <w:outlineLvl w:val="0"/>
      </w:pPr>
      <w:r>
        <w:rPr>
          <w:rFonts w:hint="eastAsia" w:ascii="宋体" w:hAnsi="宋体" w:cs="宋体"/>
          <w:b/>
          <w:color w:val="000000" w:themeColor="text1"/>
          <w:sz w:val="32"/>
          <w:szCs w:val="32"/>
          <w:highlight w:val="none"/>
        </w:rPr>
        <w:t xml:space="preserve">第六章  投标文件格式</w:t>
      </w:r>
      <w:bookmarkEnd w:id="176"/>
      <w:r>
        <w:rPr>
          <w:color w:val="000000" w:themeColor="text1"/>
          <w:highlight w:val="none"/>
        </w:rPr>
      </w:r>
      <w:r/>
    </w:p>
    <w:p>
      <w:pPr>
        <w:pStyle w:val="95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pStyle w:val="953"/>
        <w:jc w:val="center"/>
        <w:rPr>
          <w:rFonts w:ascii="宋体" w:hAnsi="宋体" w:cs="宋体"/>
          <w:b/>
          <w:color w:val="000000" w:themeColor="text1"/>
          <w:sz w:val="72"/>
          <w:szCs w:val="21"/>
          <w:highlight w:val="none"/>
        </w:rPr>
      </w:pPr>
      <w:r>
        <w:rPr>
          <w:rFonts w:ascii="宋体" w:hAnsi="宋体" w:cs="宋体"/>
          <w:b/>
          <w:color w:val="000000" w:themeColor="text1"/>
          <w:sz w:val="72"/>
          <w:szCs w:val="21"/>
          <w:highlight w:val="none"/>
        </w:rPr>
      </w:r>
      <w:r>
        <w:rPr>
          <w:color w:val="000000" w:themeColor="text1"/>
          <w:highlight w:val="none"/>
        </w:rPr>
      </w:r>
      <w:r/>
    </w:p>
    <w:p>
      <w:pPr>
        <w:pStyle w:val="953"/>
        <w:jc w:val="center"/>
        <w:rPr>
          <w:rFonts w:ascii="宋体" w:hAnsi="宋体" w:cs="宋体"/>
          <w:b/>
          <w:color w:val="000000" w:themeColor="text1"/>
          <w:sz w:val="72"/>
          <w:szCs w:val="21"/>
          <w:highlight w:val="none"/>
        </w:rPr>
        <w:outlineLvl w:val="1"/>
      </w:pPr>
      <w:r>
        <w:rPr>
          <w:color w:val="000000" w:themeColor="text1"/>
          <w:highlight w:val="none"/>
        </w:rPr>
      </w:r>
      <w:bookmarkStart w:id="177" w:name="_Toc23536"/>
      <w:r>
        <w:rPr>
          <w:rFonts w:hint="eastAsia" w:ascii="宋体" w:hAnsi="宋体" w:cs="宋体"/>
          <w:b/>
          <w:color w:val="000000" w:themeColor="text1"/>
          <w:sz w:val="96"/>
          <w:szCs w:val="84"/>
          <w:highlight w:val="none"/>
        </w:rPr>
        <w:t xml:space="preserve">投  标  文  件</w:t>
      </w:r>
      <w:bookmarkEnd w:id="177"/>
      <w:r>
        <w:rPr>
          <w:color w:val="000000" w:themeColor="text1"/>
          <w:highlight w:val="none"/>
        </w:rPr>
      </w:r>
      <w:r/>
    </w:p>
    <w:p>
      <w:pPr>
        <w:pStyle w:val="953"/>
        <w:jc w:val="center"/>
        <w:rPr>
          <w:rFonts w:ascii="宋体" w:hAnsi="宋体" w:cs="宋体"/>
          <w:b/>
          <w:color w:val="000000" w:themeColor="text1"/>
          <w:sz w:val="72"/>
          <w:szCs w:val="21"/>
          <w:highlight w:val="none"/>
        </w:rPr>
      </w:pPr>
      <w:r>
        <w:rPr>
          <w:rFonts w:ascii="宋体" w:hAnsi="宋体" w:cs="宋体"/>
          <w:b/>
          <w:color w:val="000000" w:themeColor="text1"/>
          <w:sz w:val="72"/>
          <w:szCs w:val="21"/>
          <w:highlight w:val="none"/>
        </w:rPr>
      </w:r>
      <w:r>
        <w:rPr>
          <w:color w:val="000000" w:themeColor="text1"/>
          <w:highlight w:val="none"/>
        </w:rPr>
      </w:r>
      <w:r/>
    </w:p>
    <w:p>
      <w:pPr>
        <w:pStyle w:val="953"/>
        <w:jc w:val="center"/>
        <w:rPr>
          <w:rFonts w:ascii="宋体" w:hAnsi="宋体" w:cs="宋体"/>
          <w:b/>
          <w:color w:val="000000" w:themeColor="text1"/>
          <w:sz w:val="72"/>
          <w:szCs w:val="21"/>
          <w:highlight w:val="none"/>
        </w:rPr>
      </w:pPr>
      <w:r>
        <w:rPr>
          <w:rFonts w:ascii="宋体" w:hAnsi="宋体" w:cs="宋体"/>
          <w:b/>
          <w:color w:val="000000" w:themeColor="text1"/>
          <w:sz w:val="72"/>
          <w:szCs w:val="21"/>
          <w:highlight w:val="none"/>
        </w:rPr>
      </w:r>
      <w:r>
        <w:rPr>
          <w:color w:val="000000" w:themeColor="text1"/>
          <w:highlight w:val="none"/>
        </w:rPr>
      </w:r>
      <w:r/>
    </w:p>
    <w:tbl>
      <w:tblPr>
        <w:tblW w:w="0" w:type="auto"/>
        <w:tblInd w:w="-79" w:type="dxa"/>
        <w:tblLayout w:type="autofit"/>
        <w:tblCellMar>
          <w:left w:w="108" w:type="dxa"/>
          <w:top w:w="0" w:type="dxa"/>
          <w:right w:w="108" w:type="dxa"/>
          <w:bottom w:w="0" w:type="dxa"/>
        </w:tblCellMar>
        <w:tblLook w:val="04A0" w:firstRow="1" w:lastRow="0" w:firstColumn="1" w:lastColumn="0" w:noHBand="0" w:noVBand="1"/>
      </w:tblPr>
      <w:tblGrid>
        <w:gridCol w:w="3036"/>
        <w:gridCol w:w="5988"/>
      </w:tblGrid>
      <w:tr>
        <w:trPr>
          <w:trHeight w:val="23"/>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953"/>
              <w:jc w:val="right"/>
              <w:rPr>
                <w:rFonts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项目名称：</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953"/>
              <w:rPr>
                <w:rFonts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南京市儿童医院河西院区二期项目隔帘、窗帘等采购项目</w:t>
            </w:r>
            <w:r>
              <w:rPr>
                <w:color w:val="000000" w:themeColor="text1"/>
                <w:highlight w:val="none"/>
              </w:rPr>
            </w:r>
            <w:r/>
          </w:p>
        </w:tc>
      </w:tr>
      <w:tr>
        <w:trPr>
          <w:trHeight w:val="23"/>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953"/>
              <w:jc w:val="right"/>
              <w:rPr>
                <w:rFonts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项目编号：</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953"/>
              <w:rPr>
                <w:rFonts w:hint="eastAsia"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JSZC-320100-SOHO-G2026-00</w:t>
            </w:r>
            <w:r>
              <w:rPr>
                <w:rFonts w:hint="eastAsia" w:ascii="宋体" w:hAnsi="宋体" w:cs="宋体"/>
                <w:b/>
                <w:color w:val="000000" w:themeColor="text1"/>
                <w:sz w:val="32"/>
                <w:szCs w:val="32"/>
                <w:highlight w:val="none"/>
              </w:rPr>
              <w:t xml:space="preserve">82</w:t>
            </w:r>
            <w:r>
              <w:rPr>
                <w:color w:val="000000" w:themeColor="text1"/>
                <w:highlight w:val="none"/>
              </w:rPr>
            </w:r>
            <w:r/>
          </w:p>
        </w:tc>
      </w:tr>
      <w:tr>
        <w:trPr>
          <w:trHeight w:val="23"/>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953"/>
              <w:jc w:val="right"/>
              <w:rPr>
                <w:rFonts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设备名称：</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953"/>
              <w:rPr>
                <w:rFonts w:hint="eastAsia"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河西院区二期项目隔帘、窗帘等</w:t>
            </w:r>
            <w:r>
              <w:rPr>
                <w:color w:val="000000" w:themeColor="text1"/>
                <w:highlight w:val="none"/>
              </w:rPr>
            </w:r>
            <w:r/>
          </w:p>
        </w:tc>
      </w:tr>
      <w:tr>
        <w:trPr>
          <w:trHeight w:val="23"/>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953"/>
              <w:jc w:val="right"/>
              <w:rPr>
                <w:rFonts w:ascii="宋体" w:hAnsi="宋体" w:cs="宋体"/>
                <w:b/>
                <w:color w:val="000000" w:themeColor="text1"/>
                <w:sz w:val="32"/>
                <w:szCs w:val="32"/>
                <w:highlight w:val="none"/>
              </w:rPr>
            </w:pPr>
            <w:r>
              <w:rPr>
                <w:rFonts w:hint="eastAsia" w:ascii="宋体" w:hAnsi="宋体" w:cs="宋体"/>
                <w:b/>
                <w:color w:val="000000" w:themeColor="text1"/>
                <w:sz w:val="36"/>
                <w:szCs w:val="21"/>
                <w:highlight w:val="none"/>
              </w:rPr>
              <w:t xml:space="preserve">投标人名称：</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953"/>
              <w:rPr>
                <w:rFonts w:ascii="宋体" w:hAnsi="宋体" w:cs="宋体"/>
                <w:b/>
                <w:color w:val="000000" w:themeColor="text1"/>
                <w:sz w:val="32"/>
                <w:szCs w:val="32"/>
                <w:highlight w:val="none"/>
              </w:rPr>
            </w:pPr>
            <w:r>
              <w:rPr>
                <w:rFonts w:hint="eastAsia" w:ascii="宋体" w:hAnsi="宋体" w:cs="宋体"/>
                <w:b/>
                <w:color w:val="000000" w:themeColor="text1"/>
                <w:sz w:val="36"/>
                <w:szCs w:val="21"/>
                <w:highlight w:val="none"/>
              </w:rPr>
              <w:t xml:space="preserve">（XXXXXXXXX加盖CA电子</w:t>
            </w:r>
            <w:r>
              <w:rPr>
                <w:rFonts w:hint="eastAsia" w:ascii="宋体" w:hAnsi="宋体" w:cs="宋体"/>
                <w:b/>
                <w:color w:val="000000" w:themeColor="text1"/>
                <w:sz w:val="36"/>
                <w:szCs w:val="21"/>
                <w:highlight w:val="none"/>
              </w:rPr>
              <w:t xml:space="preserve">公章）</w:t>
            </w:r>
            <w:r>
              <w:rPr>
                <w:color w:val="000000" w:themeColor="text1"/>
                <w:highlight w:val="none"/>
              </w:rPr>
            </w:r>
            <w:r/>
          </w:p>
        </w:tc>
      </w:tr>
      <w:tr>
        <w:trPr>
          <w:trHeight w:val="23"/>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953"/>
              <w:jc w:val="right"/>
              <w:rPr>
                <w:rFonts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日期</w:t>
            </w:r>
            <w:r>
              <w:rPr>
                <w:rFonts w:hint="eastAsia" w:ascii="宋体" w:hAnsi="宋体" w:cs="宋体"/>
                <w:b/>
                <w:color w:val="000000" w:themeColor="text1"/>
                <w:sz w:val="36"/>
                <w:szCs w:val="21"/>
                <w:highlight w:val="none"/>
              </w:rPr>
              <w:t xml:space="preserve">：</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953"/>
              <w:rPr>
                <w:rFonts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2026年XX月XX日</w:t>
            </w:r>
            <w:r>
              <w:rPr>
                <w:color w:val="000000" w:themeColor="text1"/>
                <w:highlight w:val="none"/>
              </w:rPr>
            </w:r>
            <w:r/>
          </w:p>
        </w:tc>
      </w:tr>
    </w:tbl>
    <w:p>
      <w:pPr>
        <w:pStyle w:val="953"/>
        <w:jc w:val="center"/>
        <w:rPr>
          <w:rFonts w:ascii="宋体" w:hAnsi="宋体" w:cs="宋体"/>
          <w:b/>
          <w:color w:val="000000" w:themeColor="text1"/>
          <w:sz w:val="36"/>
          <w:szCs w:val="21"/>
          <w:highlight w:val="none"/>
        </w:rPr>
      </w:pPr>
      <w:r>
        <w:rPr>
          <w:rFonts w:ascii="宋体" w:hAnsi="宋体" w:cs="宋体"/>
          <w:b/>
          <w:color w:val="000000" w:themeColor="text1"/>
          <w:sz w:val="36"/>
          <w:szCs w:val="21"/>
          <w:highlight w:val="none"/>
        </w:rPr>
      </w:r>
      <w:r>
        <w:rPr>
          <w:color w:val="000000" w:themeColor="text1"/>
          <w:highlight w:val="none"/>
        </w:rPr>
      </w:r>
      <w:r/>
    </w:p>
    <w:p>
      <w:pPr>
        <w:pStyle w:val="953"/>
        <w:jc w:val="center"/>
        <w:rPr>
          <w:rFonts w:ascii="宋体" w:hAnsi="宋体" w:cs="宋体"/>
          <w:b/>
          <w:color w:val="000000" w:themeColor="text1"/>
          <w:sz w:val="36"/>
          <w:szCs w:val="21"/>
          <w:highlight w:val="none"/>
        </w:rPr>
      </w:pPr>
      <w:r>
        <w:rPr>
          <w:rFonts w:ascii="宋体" w:hAnsi="宋体" w:cs="宋体"/>
          <w:b/>
          <w:color w:val="000000" w:themeColor="text1"/>
          <w:sz w:val="36"/>
          <w:szCs w:val="21"/>
          <w:highlight w:val="none"/>
        </w:rPr>
      </w:r>
      <w:r>
        <w:rPr>
          <w:color w:val="000000" w:themeColor="text1"/>
          <w:highlight w:val="none"/>
        </w:rPr>
      </w:r>
      <w:r/>
    </w:p>
    <w:p>
      <w:pPr>
        <w:pStyle w:val="953"/>
        <w:jc w:val="center"/>
        <w:rPr>
          <w:rFonts w:ascii="宋体" w:hAnsi="宋体" w:cs="宋体"/>
          <w:b/>
          <w:color w:val="000000" w:themeColor="text1"/>
          <w:sz w:val="36"/>
          <w:szCs w:val="21"/>
          <w:highlight w:val="none"/>
        </w:rPr>
      </w:pPr>
      <w:r>
        <w:rPr>
          <w:rFonts w:ascii="宋体" w:hAnsi="宋体" w:cs="宋体"/>
          <w:b/>
          <w:color w:val="000000" w:themeColor="text1"/>
          <w:sz w:val="36"/>
          <w:szCs w:val="21"/>
          <w:highlight w:val="none"/>
        </w:rPr>
      </w:r>
      <w:r>
        <w:rPr>
          <w:color w:val="000000" w:themeColor="text1"/>
          <w:highlight w:val="none"/>
        </w:rPr>
      </w:r>
      <w:r/>
    </w:p>
    <w:p>
      <w:pPr>
        <w:pStyle w:val="95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pStyle w:val="95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pStyle w:val="953"/>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br w:type="page" w:clear="all"/>
      </w:r>
      <w:r>
        <w:rPr>
          <w:color w:val="000000" w:themeColor="text1"/>
          <w:highlight w:val="none"/>
        </w:rPr>
      </w:r>
      <w:r/>
    </w:p>
    <w:p>
      <w:pPr>
        <w:pStyle w:val="953"/>
        <w:jc w:val="center"/>
        <w:spacing w:line="440" w:lineRule="exact"/>
        <w:rPr>
          <w:rFonts w:ascii="宋体" w:hAnsi="宋体"/>
          <w:b/>
          <w:bCs/>
          <w:color w:val="000000" w:themeColor="text1"/>
          <w:sz w:val="32"/>
          <w:szCs w:val="32"/>
          <w:highlight w:val="none"/>
        </w:rPr>
        <w:outlineLvl w:val="1"/>
      </w:pPr>
      <w:r>
        <w:rPr>
          <w:color w:val="000000" w:themeColor="text1"/>
          <w:highlight w:val="none"/>
        </w:rPr>
      </w:r>
      <w:bookmarkStart w:id="178" w:name="_Toc2408"/>
      <w:r>
        <w:rPr>
          <w:rFonts w:hint="eastAsia" w:ascii="宋体" w:hAnsi="宋体"/>
          <w:b/>
          <w:bCs/>
          <w:color w:val="000000" w:themeColor="text1"/>
          <w:sz w:val="32"/>
          <w:szCs w:val="32"/>
          <w:highlight w:val="none"/>
        </w:rPr>
        <w:t xml:space="preserve">投标文件目录</w:t>
      </w:r>
      <w:bookmarkEnd w:id="178"/>
      <w:r>
        <w:rPr>
          <w:color w:val="000000" w:themeColor="text1"/>
          <w:highlight w:val="none"/>
        </w:rPr>
      </w:r>
      <w:r/>
    </w:p>
    <w:p>
      <w:pPr>
        <w:pStyle w:val="953"/>
        <w:ind w:firstLine="321"/>
        <w:jc w:val="center"/>
        <w:spacing w:line="360" w:lineRule="auto"/>
        <w:rPr>
          <w:rFonts w:ascii="宋体" w:hAnsi="宋体"/>
          <w:b/>
          <w:bCs/>
          <w:color w:val="000000" w:themeColor="text1"/>
          <w:sz w:val="32"/>
          <w:szCs w:val="32"/>
          <w:highlight w:val="none"/>
        </w:rPr>
      </w:pPr>
      <w:r>
        <w:rPr>
          <w:rFonts w:ascii="宋体" w:hAnsi="宋体"/>
          <w:b/>
          <w:bCs/>
          <w:color w:val="000000" w:themeColor="text1"/>
          <w:sz w:val="32"/>
          <w:szCs w:val="32"/>
          <w:highlight w:val="none"/>
        </w:rPr>
      </w:r>
      <w:r>
        <w:rPr>
          <w:color w:val="000000" w:themeColor="text1"/>
          <w:highlight w:val="none"/>
        </w:rPr>
      </w:r>
      <w:r/>
    </w:p>
    <w:p>
      <w:pPr>
        <w:pStyle w:val="953"/>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一、法人或者其他组织的营业执照等证明文件，自然人的身份证明</w:t>
      </w:r>
      <w:r>
        <w:rPr>
          <w:color w:val="000000" w:themeColor="text1"/>
          <w:highlight w:val="none"/>
        </w:rPr>
      </w:r>
      <w:r/>
    </w:p>
    <w:p>
      <w:pPr>
        <w:pStyle w:val="953"/>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二、上一年度的财务状况报告</w:t>
      </w:r>
      <w:r>
        <w:rPr>
          <w:color w:val="000000" w:themeColor="text1"/>
          <w:highlight w:val="none"/>
        </w:rPr>
      </w:r>
      <w:r/>
    </w:p>
    <w:p>
      <w:pPr>
        <w:pStyle w:val="953"/>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三、依法缴纳税收和社会保障资金的相关材料</w:t>
      </w:r>
      <w:r>
        <w:rPr>
          <w:color w:val="000000" w:themeColor="text1"/>
          <w:highlight w:val="none"/>
        </w:rPr>
      </w:r>
      <w:r/>
    </w:p>
    <w:p>
      <w:pPr>
        <w:pStyle w:val="953"/>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四、具备履行合同所必需的设备和专业技术能力的书面声明</w:t>
      </w:r>
      <w:r>
        <w:rPr>
          <w:color w:val="000000" w:themeColor="text1"/>
          <w:highlight w:val="none"/>
        </w:rPr>
      </w:r>
      <w:r/>
    </w:p>
    <w:p>
      <w:pPr>
        <w:pStyle w:val="953"/>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五、参加政府采购活动前 3 年内在经营活动中没有重大违法记录的书面声明</w:t>
      </w:r>
      <w:r>
        <w:rPr>
          <w:color w:val="000000" w:themeColor="text1"/>
          <w:highlight w:val="none"/>
        </w:rPr>
      </w:r>
      <w:r/>
    </w:p>
    <w:p>
      <w:pPr>
        <w:pStyle w:val="953"/>
        <w:ind w:firstLine="240"/>
        <w:spacing w:line="360" w:lineRule="auto"/>
        <w:rPr>
          <w:rFonts w:hint="eastAsia"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六、特定资格要求的证明文件</w:t>
      </w:r>
      <w:r>
        <w:rPr>
          <w:color w:val="000000" w:themeColor="text1"/>
          <w:highlight w:val="none"/>
        </w:rPr>
      </w:r>
      <w:r/>
    </w:p>
    <w:p>
      <w:pPr>
        <w:pStyle w:val="953"/>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七、法人授权书</w:t>
      </w:r>
      <w:r>
        <w:rPr>
          <w:color w:val="000000" w:themeColor="text1"/>
          <w:highlight w:val="none"/>
        </w:rPr>
      </w:r>
      <w:r/>
    </w:p>
    <w:p>
      <w:pPr>
        <w:pStyle w:val="953"/>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八、投标函</w:t>
      </w:r>
      <w:r>
        <w:rPr>
          <w:color w:val="000000" w:themeColor="text1"/>
          <w:highlight w:val="none"/>
        </w:rPr>
      </w:r>
      <w:r/>
    </w:p>
    <w:p>
      <w:pPr>
        <w:pStyle w:val="953"/>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九、中小微企业声明函</w:t>
      </w:r>
      <w:r>
        <w:rPr>
          <w:color w:val="000000" w:themeColor="text1"/>
          <w:highlight w:val="none"/>
        </w:rPr>
      </w:r>
      <w:r/>
    </w:p>
    <w:p>
      <w:pPr>
        <w:pStyle w:val="953"/>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十、残</w:t>
      </w:r>
      <w:r>
        <w:rPr>
          <w:rFonts w:hint="eastAsia" w:ascii="宋体" w:hAnsi="宋体"/>
          <w:iCs/>
          <w:color w:val="000000" w:themeColor="text1"/>
          <w:sz w:val="24"/>
          <w:szCs w:val="21"/>
          <w:highlight w:val="none"/>
        </w:rPr>
        <w:t xml:space="preserve">疾人福利性单位声明函</w:t>
      </w:r>
      <w:r>
        <w:rPr>
          <w:color w:val="000000" w:themeColor="text1"/>
          <w:highlight w:val="none"/>
        </w:rPr>
      </w:r>
      <w:r/>
    </w:p>
    <w:p>
      <w:pPr>
        <w:pStyle w:val="953"/>
        <w:ind w:firstLine="240"/>
        <w:spacing w:line="360" w:lineRule="auto"/>
        <w:rPr>
          <w:rFonts w:hint="eastAsia"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十一、技术、商务条款偏离表</w:t>
      </w:r>
      <w:r>
        <w:rPr>
          <w:color w:val="000000" w:themeColor="text1"/>
          <w:highlight w:val="none"/>
        </w:rPr>
      </w:r>
      <w:r/>
    </w:p>
    <w:p>
      <w:pPr>
        <w:pStyle w:val="953"/>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十二、开标一览表</w:t>
      </w:r>
      <w:r>
        <w:rPr>
          <w:color w:val="000000" w:themeColor="text1"/>
          <w:highlight w:val="none"/>
        </w:rPr>
      </w:r>
      <w:r/>
    </w:p>
    <w:p>
      <w:pPr>
        <w:pStyle w:val="953"/>
        <w:ind w:firstLine="240"/>
        <w:spacing w:line="360" w:lineRule="auto"/>
        <w:rPr>
          <w:rFonts w:hint="eastAsia"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十三、分项报价表</w:t>
      </w:r>
      <w:r>
        <w:rPr>
          <w:color w:val="000000" w:themeColor="text1"/>
          <w:highlight w:val="none"/>
        </w:rPr>
      </w:r>
      <w:r/>
    </w:p>
    <w:p>
      <w:pPr>
        <w:pStyle w:val="953"/>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十四、服务方</w:t>
      </w:r>
      <w:r>
        <w:rPr>
          <w:rFonts w:hint="eastAsia" w:ascii="宋体" w:hAnsi="宋体"/>
          <w:iCs/>
          <w:color w:val="000000" w:themeColor="text1"/>
          <w:sz w:val="24"/>
          <w:szCs w:val="21"/>
          <w:highlight w:val="none"/>
        </w:rPr>
        <w:t xml:space="preserve">案</w:t>
      </w:r>
      <w:r>
        <w:rPr>
          <w:color w:val="000000" w:themeColor="text1"/>
          <w:highlight w:val="none"/>
        </w:rPr>
      </w:r>
      <w:r/>
    </w:p>
    <w:p>
      <w:pPr>
        <w:pStyle w:val="953"/>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十五、投标人认为需要提供的其它资料</w:t>
      </w:r>
      <w:r>
        <w:rPr>
          <w:color w:val="000000" w:themeColor="text1"/>
          <w:highlight w:val="none"/>
        </w:rPr>
      </w:r>
      <w:r/>
    </w:p>
    <w:p>
      <w:pPr>
        <w:pStyle w:val="953"/>
        <w:ind w:firstLine="240"/>
        <w:spacing w:line="360" w:lineRule="auto"/>
        <w:rPr>
          <w:rFonts w:hint="eastAsia"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十六、样品清单</w:t>
      </w:r>
      <w:r>
        <w:rPr>
          <w:color w:val="000000" w:themeColor="text1"/>
          <w:highlight w:val="none"/>
        </w:rPr>
      </w:r>
      <w:r/>
    </w:p>
    <w:p>
      <w:pPr>
        <w:pStyle w:val="953"/>
        <w:ind w:firstLine="240"/>
        <w:spacing w:line="360" w:lineRule="auto"/>
        <w:rPr>
          <w:rFonts w:hint="eastAsia"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十七、南京市政府采购供应商信用承诺书</w:t>
      </w:r>
      <w:r>
        <w:rPr>
          <w:color w:val="000000" w:themeColor="text1"/>
          <w:highlight w:val="none"/>
        </w:rPr>
      </w:r>
      <w:r/>
    </w:p>
    <w:p>
      <w:pPr>
        <w:pStyle w:val="953"/>
        <w:ind w:firstLine="240"/>
        <w:spacing w:line="360" w:lineRule="auto"/>
        <w:rPr>
          <w:rFonts w:ascii="宋体" w:hAnsi="宋体"/>
          <w:i/>
          <w:color w:val="000000" w:themeColor="text1"/>
          <w:sz w:val="24"/>
          <w:szCs w:val="21"/>
          <w:highlight w:val="none"/>
          <w:u w:val="single"/>
        </w:rPr>
      </w:pPr>
      <w:r>
        <w:rPr>
          <w:rFonts w:ascii="宋体" w:hAnsi="宋体"/>
          <w:i/>
          <w:color w:val="000000" w:themeColor="text1"/>
          <w:sz w:val="24"/>
          <w:szCs w:val="21"/>
          <w:highlight w:val="none"/>
          <w:u w:val="single"/>
        </w:rPr>
      </w:r>
      <w:r>
        <w:rPr>
          <w:color w:val="000000" w:themeColor="text1"/>
          <w:highlight w:val="none"/>
        </w:rPr>
      </w:r>
      <w:r/>
    </w:p>
    <w:p>
      <w:pPr>
        <w:pStyle w:val="953"/>
        <w:jc w:val="center"/>
        <w:rPr>
          <w:rFonts w:ascii="宋体" w:hAnsi="宋体" w:cs="宋体"/>
          <w:b/>
          <w:color w:val="000000" w:themeColor="text1"/>
          <w:sz w:val="44"/>
          <w:szCs w:val="44"/>
          <w:highlight w:val="none"/>
        </w:rPr>
      </w:pPr>
      <w:r>
        <w:rPr>
          <w:rFonts w:ascii="宋体" w:hAnsi="宋体" w:cs="宋体"/>
          <w:b/>
          <w:color w:val="000000" w:themeColor="text1"/>
          <w:sz w:val="44"/>
          <w:szCs w:val="44"/>
          <w:highlight w:val="none"/>
        </w:rPr>
      </w:r>
      <w:r>
        <w:rPr>
          <w:color w:val="000000" w:themeColor="text1"/>
          <w:highlight w:val="none"/>
        </w:rPr>
      </w:r>
      <w:r/>
    </w:p>
    <w:p>
      <w:pPr>
        <w:pStyle w:val="953"/>
        <w:jc w:val="center"/>
        <w:rPr>
          <w:rFonts w:ascii="宋体" w:hAnsi="宋体" w:cs="宋体"/>
          <w:bCs/>
          <w:color w:val="000000" w:themeColor="text1"/>
          <w:szCs w:val="21"/>
          <w:highlight w:val="none"/>
        </w:rPr>
      </w:pPr>
      <w:r>
        <w:rPr>
          <w:rFonts w:hint="eastAsia" w:ascii="宋体" w:hAnsi="宋体" w:cs="宋体"/>
          <w:b/>
          <w:color w:val="000000" w:themeColor="text1"/>
          <w:sz w:val="44"/>
          <w:szCs w:val="44"/>
          <w:highlight w:val="none"/>
        </w:rPr>
        <w:br w:type="page" w:clear="all"/>
      </w:r>
      <w:r>
        <w:rPr>
          <w:color w:val="000000" w:themeColor="text1"/>
          <w:highlight w:val="none"/>
        </w:rPr>
      </w:r>
      <w:r/>
    </w:p>
    <w:p>
      <w:pPr>
        <w:pStyle w:val="953"/>
        <w:spacing w:line="360" w:lineRule="auto"/>
        <w:rPr>
          <w:rFonts w:ascii="宋体" w:hAnsi="宋体" w:cs="宋体"/>
          <w:iCs/>
          <w:color w:val="000000" w:themeColor="text1"/>
          <w:sz w:val="28"/>
          <w:szCs w:val="28"/>
          <w:highlight w:val="none"/>
        </w:rPr>
        <w:outlineLvl w:val="1"/>
      </w:pPr>
      <w:r>
        <w:rPr>
          <w:color w:val="000000" w:themeColor="text1"/>
          <w:highlight w:val="none"/>
        </w:rPr>
      </w:r>
      <w:bookmarkStart w:id="179" w:name="_Toc4762"/>
      <w:r>
        <w:rPr>
          <w:rFonts w:hint="eastAsia" w:ascii="宋体" w:hAnsi="宋体" w:cs="宋体"/>
          <w:iCs/>
          <w:color w:val="000000" w:themeColor="text1"/>
          <w:sz w:val="28"/>
          <w:szCs w:val="28"/>
          <w:highlight w:val="none"/>
        </w:rPr>
        <w:t xml:space="preserve">一、法人或者其他组织的营业执照等证明文件，自然人的身份证明</w:t>
      </w:r>
      <w:bookmarkEnd w:id="179"/>
      <w:r>
        <w:rPr>
          <w:color w:val="000000" w:themeColor="text1"/>
          <w:highlight w:val="none"/>
        </w:rPr>
      </w:r>
      <w:r/>
    </w:p>
    <w:p>
      <w:pPr>
        <w:pStyle w:val="953"/>
        <w:spacing w:line="360" w:lineRule="auto"/>
        <w:rPr>
          <w:rFonts w:ascii="宋体" w:hAnsi="宋体" w:cs="宋体"/>
          <w:color w:val="000000" w:themeColor="text1"/>
          <w:sz w:val="24"/>
          <w:szCs w:val="21"/>
          <w:highlight w:val="none"/>
        </w:rPr>
      </w:pPr>
      <w:r>
        <w:rPr>
          <w:rFonts w:ascii="宋体" w:hAnsi="宋体" w:cs="宋体"/>
          <w:color w:val="000000" w:themeColor="text1"/>
          <w:sz w:val="24"/>
          <w:szCs w:val="21"/>
          <w:highlight w:val="none"/>
        </w:rPr>
      </w:r>
      <w:r>
        <w:rPr>
          <w:color w:val="000000" w:themeColor="text1"/>
          <w:highlight w:val="none"/>
        </w:rPr>
      </w:r>
      <w:r/>
    </w:p>
    <w:p>
      <w:pPr>
        <w:pStyle w:val="953"/>
        <w:spacing w:line="360" w:lineRule="auto"/>
        <w:rPr>
          <w:rFonts w:ascii="宋体" w:hAnsi="宋体" w:cs="宋体"/>
          <w:iCs/>
          <w:color w:val="000000" w:themeColor="text1"/>
          <w:sz w:val="28"/>
          <w:szCs w:val="28"/>
          <w:highlight w:val="none"/>
        </w:rPr>
        <w:outlineLvl w:val="1"/>
      </w:pPr>
      <w:r>
        <w:rPr>
          <w:color w:val="000000" w:themeColor="text1"/>
          <w:highlight w:val="none"/>
        </w:rPr>
      </w:r>
      <w:bookmarkStart w:id="180" w:name="_Toc20138"/>
      <w:r>
        <w:rPr>
          <w:rFonts w:hint="eastAsia" w:ascii="宋体" w:hAnsi="宋体" w:cs="宋体"/>
          <w:iCs/>
          <w:color w:val="000000" w:themeColor="text1"/>
          <w:sz w:val="28"/>
          <w:szCs w:val="28"/>
          <w:highlight w:val="none"/>
        </w:rPr>
        <w:t xml:space="preserve">二、</w:t>
      </w:r>
      <w:bookmarkEnd w:id="180"/>
      <w:r>
        <w:rPr>
          <w:rFonts w:hint="eastAsia" w:ascii="宋体" w:hAnsi="宋体" w:cs="宋体"/>
          <w:iCs/>
          <w:color w:val="000000" w:themeColor="text1"/>
          <w:sz w:val="28"/>
          <w:szCs w:val="28"/>
          <w:highlight w:val="none"/>
        </w:rPr>
        <w:t xml:space="preserve">具有良好的商业信誉和健全的财务会计制度</w:t>
      </w:r>
      <w:r>
        <w:rPr>
          <w:color w:val="000000" w:themeColor="text1"/>
          <w:highlight w:val="none"/>
        </w:rPr>
      </w:r>
      <w:r/>
    </w:p>
    <w:p>
      <w:pPr>
        <w:pStyle w:val="953"/>
        <w:ind w:firstLine="480"/>
        <w:spacing w:line="241"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181" w:name="_Toc11827"/>
      <w:r>
        <w:rPr>
          <w:rFonts w:ascii="宋体" w:hAnsi="宋体" w:cs="宋体"/>
          <w:color w:val="000000" w:themeColor="text1"/>
          <w:sz w:val="24"/>
          <w:highlight w:val="none"/>
        </w:rPr>
        <w:t xml:space="preserve">提供202</w:t>
      </w: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年度财务报告，或投标截止时间前一年内任一月份企业编制的会计报表（至少包括资产负债表和利润表），或投标截止时间前六个月内银行出具的资信证明，复印件加盖公章；（投标人成立不满一年无需提供）</w:t>
      </w:r>
      <w:r>
        <w:rPr>
          <w:color w:val="000000" w:themeColor="text1"/>
          <w:highlight w:val="none"/>
        </w:rPr>
      </w:r>
      <w:r/>
    </w:p>
    <w:p>
      <w:pPr>
        <w:pStyle w:val="953"/>
        <w:spacing w:line="360" w:lineRule="auto"/>
        <w:rPr>
          <w:rFonts w:ascii="宋体" w:hAnsi="宋体" w:cs="宋体"/>
          <w:iCs/>
          <w:color w:val="000000" w:themeColor="text1"/>
          <w:sz w:val="28"/>
          <w:szCs w:val="28"/>
          <w:highlight w:val="none"/>
        </w:rPr>
        <w:outlineLvl w:val="1"/>
      </w:pPr>
      <w:r>
        <w:rPr>
          <w:rFonts w:hint="eastAsia" w:ascii="宋体" w:hAnsi="宋体" w:cs="宋体"/>
          <w:iCs/>
          <w:color w:val="000000" w:themeColor="text1"/>
          <w:sz w:val="28"/>
          <w:szCs w:val="28"/>
          <w:highlight w:val="none"/>
        </w:rPr>
        <w:t xml:space="preserve">三、依法</w:t>
      </w:r>
      <w:r>
        <w:rPr>
          <w:rFonts w:hint="eastAsia" w:ascii="宋体" w:hAnsi="宋体" w:cs="宋体"/>
          <w:iCs/>
          <w:color w:val="000000" w:themeColor="text1"/>
          <w:sz w:val="28"/>
          <w:szCs w:val="28"/>
          <w:highlight w:val="none"/>
        </w:rPr>
        <w:t xml:space="preserve">缴纳税收和社会保障资金的相关材料</w:t>
      </w:r>
      <w:bookmarkEnd w:id="181"/>
      <w:r>
        <w:rPr>
          <w:color w:val="000000" w:themeColor="text1"/>
          <w:highlight w:val="none"/>
        </w:rPr>
      </w:r>
      <w:r/>
    </w:p>
    <w:p>
      <w:pPr>
        <w:pStyle w:val="953"/>
        <w:ind w:firstLine="480"/>
        <w:spacing w:line="360" w:lineRule="auto"/>
        <w:rPr>
          <w:rFonts w:ascii="宋体" w:hAnsi="宋体" w:cs="宋体"/>
          <w:i/>
          <w:color w:val="000000" w:themeColor="text1"/>
          <w:sz w:val="32"/>
          <w:szCs w:val="32"/>
          <w:highlight w:val="none"/>
          <w:u w:val="single"/>
        </w:rPr>
      </w:pPr>
      <w:r>
        <w:rPr>
          <w:rFonts w:hint="eastAsia" w:ascii="宋体" w:hAnsi="宋体" w:cs="宋体"/>
          <w:bCs/>
          <w:color w:val="000000" w:themeColor="text1"/>
          <w:sz w:val="24"/>
          <w:szCs w:val="21"/>
          <w:highlight w:val="none"/>
        </w:rPr>
        <w:t xml:space="preserve">提供提交投标文件截止时间前一年内至少一个月依法缴纳税收及缴纳社会</w:t>
      </w:r>
      <w:r>
        <w:rPr>
          <w:rFonts w:hint="eastAsia" w:ascii="宋体" w:hAnsi="宋体" w:cs="宋体"/>
          <w:bCs/>
          <w:color w:val="000000" w:themeColor="text1"/>
          <w:sz w:val="24"/>
          <w:szCs w:val="21"/>
          <w:highlight w:val="none"/>
        </w:rPr>
        <w:t xml:space="preserve">保障资金的证明材料。投标人依法享受缓缴、免缴税收、社会保障资金的提供证明材料。</w:t>
      </w:r>
      <w:r>
        <w:rPr>
          <w:color w:val="000000" w:themeColor="text1"/>
          <w:highlight w:val="none"/>
        </w:rPr>
      </w:r>
      <w:r/>
    </w:p>
    <w:p>
      <w:pPr>
        <w:pStyle w:val="953"/>
        <w:spacing w:line="360" w:lineRule="auto"/>
        <w:rPr>
          <w:rFonts w:ascii="宋体" w:hAnsi="宋体" w:cs="宋体"/>
          <w:iCs/>
          <w:color w:val="000000" w:themeColor="text1"/>
          <w:sz w:val="28"/>
          <w:szCs w:val="28"/>
          <w:highlight w:val="none"/>
        </w:rPr>
        <w:outlineLvl w:val="1"/>
      </w:pPr>
      <w:r>
        <w:rPr>
          <w:color w:val="000000" w:themeColor="text1"/>
          <w:highlight w:val="none"/>
        </w:rPr>
      </w:r>
      <w:bookmarkStart w:id="182" w:name="_Toc17495"/>
      <w:r>
        <w:rPr>
          <w:rFonts w:hint="eastAsia" w:ascii="宋体" w:hAnsi="宋体" w:cs="宋体"/>
          <w:iCs/>
          <w:color w:val="000000" w:themeColor="text1"/>
          <w:sz w:val="28"/>
          <w:szCs w:val="28"/>
          <w:highlight w:val="none"/>
        </w:rPr>
        <w:t xml:space="preserve">四、具备履行合同所必需的设备和专业技术能力的书面声明</w:t>
      </w:r>
      <w:bookmarkEnd w:id="182"/>
      <w:r>
        <w:rPr>
          <w:color w:val="000000" w:themeColor="text1"/>
          <w:highlight w:val="none"/>
        </w:rPr>
      </w:r>
      <w:r/>
    </w:p>
    <w:p>
      <w:pPr>
        <w:pStyle w:val="953"/>
        <w:jc w:val="center"/>
        <w:spacing w:line="360" w:lineRule="auto"/>
        <w:rPr>
          <w:rFonts w:ascii="宋体" w:hAnsi="宋体" w:cs="宋体"/>
          <w:bCs/>
          <w:color w:val="000000" w:themeColor="text1"/>
          <w:sz w:val="32"/>
          <w:szCs w:val="32"/>
          <w:highlight w:val="none"/>
        </w:rPr>
      </w:pPr>
      <w:r>
        <w:rPr>
          <w:rFonts w:hint="eastAsia" w:ascii="宋体" w:hAnsi="宋体" w:cs="宋体"/>
          <w:bCs/>
          <w:color w:val="000000" w:themeColor="text1"/>
          <w:sz w:val="32"/>
          <w:szCs w:val="32"/>
          <w:highlight w:val="none"/>
        </w:rPr>
        <w:t xml:space="preserve">声明</w:t>
      </w:r>
      <w:r>
        <w:rPr>
          <w:color w:val="000000" w:themeColor="text1"/>
          <w:highlight w:val="none"/>
        </w:rPr>
      </w:r>
      <w:r/>
    </w:p>
    <w:p>
      <w:pPr>
        <w:pStyle w:val="953"/>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致：南京市儿童医院</w:t>
      </w:r>
      <w:r>
        <w:rPr>
          <w:color w:val="000000" w:themeColor="text1"/>
          <w:highlight w:val="none"/>
        </w:rPr>
      </w:r>
      <w:r/>
    </w:p>
    <w:p>
      <w:pPr>
        <w:pStyle w:val="953"/>
        <w:ind w:firstLine="492"/>
        <w:spacing w:line="460" w:lineRule="exact"/>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我单位郑重声明：我单位具备履行本项采购合同所必需的设备和专业技术能力，为履行本项采购合同我公司具备如下主要设备和主要专业技术能力：</w:t>
      </w:r>
      <w:r>
        <w:rPr>
          <w:color w:val="000000" w:themeColor="text1"/>
          <w:highlight w:val="none"/>
        </w:rPr>
      </w:r>
      <w:r/>
    </w:p>
    <w:p>
      <w:pPr>
        <w:pStyle w:val="953"/>
        <w:ind w:firstLine="492"/>
        <w:spacing w:line="460" w:lineRule="exact"/>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主要设备有：</w:t>
      </w:r>
      <w:r>
        <w:rPr>
          <w:rFonts w:hint="eastAsia" w:ascii="宋体" w:hAnsi="宋体"/>
          <w:bCs/>
          <w:color w:val="000000" w:themeColor="text1"/>
          <w:sz w:val="24"/>
          <w:szCs w:val="21"/>
          <w:highlight w:val="none"/>
          <w:u w:val="single"/>
        </w:rPr>
        <w:t xml:space="preserve">  </w:t>
      </w:r>
      <w:r>
        <w:rPr>
          <w:rFonts w:hint="eastAsia" w:ascii="宋体" w:hAnsi="宋体"/>
          <w:bCs/>
          <w:color w:val="000000" w:themeColor="text1"/>
          <w:sz w:val="24"/>
          <w:szCs w:val="21"/>
          <w:highlight w:val="none"/>
        </w:rPr>
        <w:t xml:space="preserve">。</w:t>
      </w:r>
      <w:r>
        <w:rPr>
          <w:color w:val="000000" w:themeColor="text1"/>
          <w:highlight w:val="none"/>
        </w:rPr>
      </w:r>
      <w:r/>
    </w:p>
    <w:p>
      <w:pPr>
        <w:pStyle w:val="953"/>
        <w:ind w:firstLine="492"/>
        <w:spacing w:line="460" w:lineRule="exact"/>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主要专业技术能力有：</w:t>
      </w:r>
      <w:r>
        <w:rPr>
          <w:rFonts w:hint="eastAsia" w:ascii="宋体" w:hAnsi="宋体"/>
          <w:bCs/>
          <w:color w:val="000000" w:themeColor="text1"/>
          <w:sz w:val="24"/>
          <w:szCs w:val="21"/>
          <w:highlight w:val="none"/>
          <w:u w:val="single"/>
        </w:rPr>
        <w:t xml:space="preserve">   </w:t>
      </w:r>
      <w:r>
        <w:rPr>
          <w:rFonts w:hint="eastAsia" w:ascii="宋体" w:hAnsi="宋体"/>
          <w:bCs/>
          <w:color w:val="000000" w:themeColor="text1"/>
          <w:sz w:val="24"/>
          <w:szCs w:val="21"/>
          <w:highlight w:val="none"/>
        </w:rPr>
        <w:t xml:space="preserve">。</w:t>
      </w:r>
      <w:r>
        <w:rPr>
          <w:color w:val="000000" w:themeColor="text1"/>
          <w:highlight w:val="none"/>
        </w:rPr>
      </w:r>
      <w:r/>
    </w:p>
    <w:p>
      <w:pPr>
        <w:pStyle w:val="953"/>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特此声明！</w:t>
      </w:r>
      <w:r>
        <w:rPr>
          <w:color w:val="000000" w:themeColor="text1"/>
          <w:highlight w:val="none"/>
        </w:rPr>
      </w:r>
      <w:r/>
    </w:p>
    <w:p>
      <w:pPr>
        <w:pStyle w:val="953"/>
        <w:ind w:firstLine="480"/>
        <w:spacing w:line="360" w:lineRule="auto"/>
        <w:rPr>
          <w:rFonts w:ascii="宋体" w:hAnsi="宋体" w:cs="宋体"/>
          <w:bCs/>
          <w:color w:val="000000" w:themeColor="text1"/>
          <w:sz w:val="24"/>
          <w:szCs w:val="21"/>
          <w:highlight w:val="none"/>
        </w:rPr>
      </w:pPr>
      <w:r>
        <w:rPr>
          <w:rFonts w:ascii="宋体" w:hAnsi="宋体" w:cs="宋体"/>
          <w:bCs/>
          <w:color w:val="000000" w:themeColor="text1"/>
          <w:sz w:val="24"/>
          <w:szCs w:val="21"/>
          <w:highlight w:val="none"/>
        </w:rPr>
      </w:r>
      <w:r>
        <w:rPr>
          <w:color w:val="000000" w:themeColor="text1"/>
          <w:highlight w:val="none"/>
        </w:rPr>
      </w:r>
      <w:r/>
    </w:p>
    <w:p>
      <w:pPr>
        <w:pStyle w:val="953"/>
        <w:ind w:firstLine="480"/>
        <w:spacing w:line="360" w:lineRule="auto"/>
        <w:rPr>
          <w:rFonts w:ascii="宋体" w:hAnsi="宋体" w:cs="宋体"/>
          <w:bCs/>
          <w:color w:val="000000" w:themeColor="text1"/>
          <w:sz w:val="24"/>
          <w:szCs w:val="21"/>
          <w:highlight w:val="none"/>
          <w:u w:val="single"/>
        </w:rPr>
      </w:pPr>
      <w:r>
        <w:rPr>
          <w:rFonts w:hint="eastAsia" w:ascii="宋体" w:hAnsi="宋体" w:cs="宋体"/>
          <w:bCs/>
          <w:color w:val="000000" w:themeColor="text1"/>
          <w:sz w:val="24"/>
          <w:szCs w:val="21"/>
          <w:highlight w:val="none"/>
        </w:rPr>
        <w:t xml:space="preserve">投标人名称：</w:t>
      </w:r>
      <w:r>
        <w:rPr>
          <w:rFonts w:hint="eastAsia" w:ascii="宋体" w:hAnsi="宋体" w:cs="宋体"/>
          <w:bCs/>
          <w:color w:val="000000" w:themeColor="text1"/>
          <w:sz w:val="24"/>
          <w:szCs w:val="21"/>
          <w:highlight w:val="none"/>
          <w:u w:val="single"/>
        </w:rPr>
        <w:t xml:space="preserve">（加盖CA电子公章）</w:t>
      </w:r>
      <w:r>
        <w:rPr>
          <w:color w:val="000000" w:themeColor="text1"/>
          <w:highlight w:val="none"/>
        </w:rPr>
      </w:r>
      <w:r/>
    </w:p>
    <w:p>
      <w:pPr>
        <w:pStyle w:val="953"/>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法定代表人（或授权代表）</w:t>
      </w:r>
      <w:r>
        <w:rPr>
          <w:rFonts w:hint="eastAsia" w:ascii="宋体" w:hAnsi="宋体" w:cs="宋体"/>
          <w:bCs/>
          <w:color w:val="000000" w:themeColor="text1"/>
          <w:sz w:val="24"/>
          <w:szCs w:val="21"/>
          <w:highlight w:val="none"/>
        </w:rPr>
        <w:t xml:space="preserve">签字：</w:t>
      </w:r>
      <w:r>
        <w:rPr>
          <w:color w:val="000000" w:themeColor="text1"/>
          <w:highlight w:val="none"/>
        </w:rPr>
      </w:r>
      <w:r/>
    </w:p>
    <w:p>
      <w:pPr>
        <w:pStyle w:val="953"/>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投标日期：2026年XX月XX日</w:t>
      </w:r>
      <w:r>
        <w:rPr>
          <w:color w:val="000000" w:themeColor="text1"/>
          <w:highlight w:val="none"/>
        </w:rPr>
      </w:r>
      <w:r/>
    </w:p>
    <w:p>
      <w:pPr>
        <w:pStyle w:val="953"/>
        <w:spacing w:line="360" w:lineRule="auto"/>
        <w:rPr>
          <w:rFonts w:ascii="宋体" w:hAnsi="宋体" w:cs="宋体"/>
          <w:iCs/>
          <w:color w:val="000000" w:themeColor="text1"/>
          <w:sz w:val="28"/>
          <w:szCs w:val="28"/>
          <w:highlight w:val="none"/>
        </w:rPr>
        <w:outlineLvl w:val="1"/>
      </w:pPr>
      <w:r>
        <w:rPr>
          <w:color w:val="000000" w:themeColor="text1"/>
          <w:highlight w:val="none"/>
        </w:rPr>
      </w:r>
      <w:bookmarkStart w:id="183" w:name="_Toc21471"/>
      <w:r>
        <w:rPr>
          <w:rFonts w:hint="eastAsia" w:ascii="宋体" w:hAnsi="宋体" w:cs="宋体"/>
          <w:iCs/>
          <w:color w:val="000000" w:themeColor="text1"/>
          <w:sz w:val="28"/>
          <w:szCs w:val="28"/>
          <w:highlight w:val="none"/>
        </w:rPr>
        <w:t xml:space="preserve">五、参加政府采购活动前 3 年内在经营活动中没有重大违法</w:t>
      </w:r>
      <w:r>
        <w:rPr>
          <w:rFonts w:hint="eastAsia" w:ascii="宋体" w:hAnsi="宋体" w:cs="宋体"/>
          <w:iCs/>
          <w:color w:val="000000" w:themeColor="text1"/>
          <w:sz w:val="28"/>
          <w:szCs w:val="28"/>
          <w:highlight w:val="none"/>
        </w:rPr>
        <w:t xml:space="preserve">记录声明</w:t>
      </w:r>
      <w:bookmarkEnd w:id="183"/>
      <w:r>
        <w:rPr>
          <w:color w:val="000000" w:themeColor="text1"/>
          <w:highlight w:val="none"/>
        </w:rPr>
      </w:r>
      <w:r/>
    </w:p>
    <w:p>
      <w:pPr>
        <w:pStyle w:val="953"/>
        <w:jc w:val="center"/>
        <w:spacing w:line="360" w:lineRule="auto"/>
        <w:rPr>
          <w:rFonts w:ascii="宋体" w:hAnsi="宋体" w:cs="宋体"/>
          <w:bCs/>
          <w:color w:val="000000" w:themeColor="text1"/>
          <w:sz w:val="24"/>
          <w:highlight w:val="none"/>
        </w:rPr>
      </w:pPr>
      <w:r>
        <w:rPr>
          <w:rFonts w:hint="eastAsia" w:ascii="宋体" w:hAnsi="宋体" w:cs="宋体"/>
          <w:bCs/>
          <w:color w:val="000000" w:themeColor="text1"/>
          <w:sz w:val="32"/>
          <w:szCs w:val="32"/>
          <w:highlight w:val="none"/>
        </w:rPr>
        <w:t xml:space="preserve">声明</w:t>
      </w:r>
      <w:r>
        <w:rPr>
          <w:color w:val="000000" w:themeColor="text1"/>
          <w:highlight w:val="none"/>
        </w:rPr>
      </w:r>
      <w:r/>
    </w:p>
    <w:p>
      <w:pPr>
        <w:pStyle w:val="953"/>
        <w:ind w:firstLine="480"/>
        <w:jc w:val="left"/>
        <w:spacing w:line="360" w:lineRule="auto"/>
        <w:rPr>
          <w:rFonts w:ascii="宋体" w:hAnsi="宋体" w:cs="宋体"/>
          <w:b/>
          <w:bCs/>
          <w:color w:val="000000" w:themeColor="text1"/>
          <w:sz w:val="44"/>
          <w:szCs w:val="44"/>
          <w:highlight w:val="none"/>
        </w:rPr>
      </w:pPr>
      <w:r>
        <w:rPr>
          <w:rFonts w:hint="eastAsia" w:ascii="宋体" w:hAnsi="宋体" w:cs="宋体"/>
          <w:bCs/>
          <w:color w:val="000000" w:themeColor="text1"/>
          <w:sz w:val="24"/>
          <w:highlight w:val="none"/>
        </w:rPr>
        <w:t xml:space="preserve">致：南京市儿童医院</w:t>
      </w:r>
      <w:r>
        <w:rPr>
          <w:color w:val="000000" w:themeColor="text1"/>
          <w:highlight w:val="none"/>
        </w:rPr>
      </w:r>
      <w:r/>
    </w:p>
    <w:p>
      <w:pPr>
        <w:pStyle w:val="953"/>
        <w:spacing w:line="360" w:lineRule="auto"/>
        <w:rPr>
          <w:rFonts w:ascii="宋体" w:hAnsi="宋体" w:cs="宋体"/>
          <w:bCs/>
          <w:color w:val="000000" w:themeColor="text1"/>
          <w:sz w:val="24"/>
          <w:szCs w:val="21"/>
          <w:highlight w:val="none"/>
        </w:rPr>
      </w:pPr>
      <w:r>
        <w:rPr>
          <w:rFonts w:hint="eastAsia" w:ascii="宋体" w:hAnsi="宋体" w:cs="宋体"/>
          <w:b/>
          <w:bCs/>
          <w:color w:val="000000" w:themeColor="text1"/>
          <w:sz w:val="24"/>
          <w:szCs w:val="21"/>
          <w:highlight w:val="none"/>
        </w:rPr>
        <w:t xml:space="preserve">    </w:t>
      </w:r>
      <w:r>
        <w:rPr>
          <w:rFonts w:hint="eastAsia" w:ascii="宋体" w:hAnsi="宋体"/>
          <w:bCs/>
          <w:color w:val="000000" w:themeColor="text1"/>
          <w:sz w:val="24"/>
          <w:szCs w:val="21"/>
          <w:highlight w:val="none"/>
        </w:rPr>
        <w:t xml:space="preserve">我单位郑重声明：参加本次政府采购活动前3年内，我单位在经营活动中没有因违法经营受到刑事处罚或者责令停产停业、吊销许可证或者执照、较大数额罚款等行政处罚。</w:t>
      </w:r>
      <w:r>
        <w:rPr>
          <w:color w:val="000000" w:themeColor="text1"/>
          <w:highlight w:val="none"/>
        </w:rPr>
      </w:r>
      <w:r/>
    </w:p>
    <w:p>
      <w:pPr>
        <w:pStyle w:val="953"/>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特此声明！</w:t>
      </w:r>
      <w:r>
        <w:rPr>
          <w:color w:val="000000" w:themeColor="text1"/>
          <w:highlight w:val="none"/>
        </w:rPr>
      </w:r>
      <w:r/>
    </w:p>
    <w:p>
      <w:pPr>
        <w:pStyle w:val="953"/>
        <w:ind w:firstLine="480"/>
        <w:spacing w:line="360" w:lineRule="auto"/>
        <w:rPr>
          <w:rFonts w:ascii="宋体" w:hAnsi="宋体" w:cs="宋体"/>
          <w:bCs/>
          <w:color w:val="000000" w:themeColor="text1"/>
          <w:sz w:val="24"/>
          <w:szCs w:val="21"/>
          <w:highlight w:val="none"/>
        </w:rPr>
      </w:pPr>
      <w:r>
        <w:rPr>
          <w:rFonts w:ascii="宋体" w:hAnsi="宋体" w:cs="宋体"/>
          <w:bCs/>
          <w:color w:val="000000" w:themeColor="text1"/>
          <w:sz w:val="24"/>
          <w:szCs w:val="21"/>
          <w:highlight w:val="none"/>
        </w:rPr>
      </w:r>
      <w:r>
        <w:rPr>
          <w:color w:val="000000" w:themeColor="text1"/>
          <w:highlight w:val="none"/>
        </w:rPr>
      </w:r>
      <w:r/>
    </w:p>
    <w:p>
      <w:pPr>
        <w:pStyle w:val="953"/>
        <w:ind w:firstLine="480"/>
        <w:spacing w:line="360" w:lineRule="auto"/>
        <w:rPr>
          <w:rFonts w:ascii="宋体" w:hAnsi="宋体" w:cs="宋体"/>
          <w:bCs/>
          <w:color w:val="000000" w:themeColor="text1"/>
          <w:sz w:val="24"/>
          <w:szCs w:val="21"/>
          <w:highlight w:val="none"/>
          <w:u w:val="single"/>
        </w:rPr>
      </w:pPr>
      <w:r>
        <w:rPr>
          <w:rFonts w:hint="eastAsia" w:ascii="宋体" w:hAnsi="宋体" w:cs="宋体"/>
          <w:bCs/>
          <w:color w:val="000000" w:themeColor="text1"/>
          <w:sz w:val="24"/>
          <w:szCs w:val="21"/>
          <w:highlight w:val="none"/>
        </w:rPr>
        <w:t xml:space="preserve">投标人名称：</w:t>
      </w:r>
      <w:r>
        <w:rPr>
          <w:rFonts w:hint="eastAsia" w:ascii="宋体" w:hAnsi="宋体" w:cs="宋体"/>
          <w:bCs/>
          <w:color w:val="000000" w:themeColor="text1"/>
          <w:sz w:val="24"/>
          <w:szCs w:val="21"/>
          <w:highlight w:val="none"/>
          <w:u w:val="single"/>
        </w:rPr>
        <w:t xml:space="preserve">（加盖CA电子公章）</w:t>
      </w:r>
      <w:r>
        <w:rPr>
          <w:color w:val="000000" w:themeColor="text1"/>
          <w:highlight w:val="none"/>
        </w:rPr>
      </w:r>
      <w:r/>
    </w:p>
    <w:p>
      <w:pPr>
        <w:pStyle w:val="953"/>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法定代表人（或授权代表）签字：</w:t>
      </w:r>
      <w:r>
        <w:rPr>
          <w:color w:val="000000" w:themeColor="text1"/>
          <w:highlight w:val="none"/>
        </w:rPr>
      </w:r>
      <w:r/>
    </w:p>
    <w:p>
      <w:pPr>
        <w:pStyle w:val="953"/>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投标日期：2026年XX月XX日</w:t>
      </w:r>
      <w:r>
        <w:rPr>
          <w:color w:val="000000" w:themeColor="text1"/>
          <w:highlight w:val="none"/>
        </w:rPr>
      </w:r>
      <w:r/>
    </w:p>
    <w:p>
      <w:pPr>
        <w:pStyle w:val="953"/>
        <w:spacing w:line="360" w:lineRule="auto"/>
        <w:rPr>
          <w:rFonts w:ascii="宋体" w:hAnsi="宋体" w:cs="宋体"/>
          <w:i/>
          <w:color w:val="000000" w:themeColor="text1"/>
          <w:sz w:val="32"/>
          <w:szCs w:val="32"/>
          <w:highlight w:val="none"/>
          <w:u w:val="single"/>
        </w:rPr>
      </w:pPr>
      <w:r>
        <w:rPr>
          <w:rFonts w:ascii="宋体" w:hAnsi="宋体" w:cs="宋体"/>
          <w:i/>
          <w:color w:val="000000" w:themeColor="text1"/>
          <w:sz w:val="32"/>
          <w:szCs w:val="32"/>
          <w:highlight w:val="none"/>
          <w:u w:val="single"/>
        </w:rPr>
      </w:r>
      <w:r>
        <w:rPr>
          <w:color w:val="000000" w:themeColor="text1"/>
          <w:highlight w:val="none"/>
        </w:rPr>
      </w:r>
      <w:r/>
    </w:p>
    <w:p>
      <w:pPr>
        <w:pStyle w:val="953"/>
        <w:spacing w:line="360" w:lineRule="auto"/>
        <w:rPr>
          <w:rFonts w:ascii="宋体" w:hAnsi="宋体" w:cs="宋体"/>
          <w:iCs/>
          <w:color w:val="000000" w:themeColor="text1"/>
          <w:sz w:val="28"/>
          <w:szCs w:val="28"/>
          <w:highlight w:val="none"/>
        </w:rPr>
        <w:outlineLvl w:val="1"/>
      </w:pPr>
      <w:r>
        <w:rPr>
          <w:color w:val="000000" w:themeColor="text1"/>
          <w:highlight w:val="none"/>
        </w:rPr>
      </w:r>
      <w:bookmarkStart w:id="184" w:name="_Toc7896"/>
      <w:r>
        <w:rPr>
          <w:rFonts w:hint="eastAsia" w:ascii="宋体" w:hAnsi="宋体" w:cs="宋体"/>
          <w:iCs/>
          <w:color w:val="000000" w:themeColor="text1"/>
          <w:sz w:val="28"/>
          <w:szCs w:val="28"/>
          <w:highlight w:val="none"/>
        </w:rPr>
        <w:t xml:space="preserve">六、特定资格要求的证明文件</w:t>
      </w:r>
      <w:bookmarkEnd w:id="184"/>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1.投标人须提供投标人在开标日前6个月内任意一月为其授权代表缴纳社会保障</w:t>
      </w:r>
      <w:r>
        <w:rPr>
          <w:rFonts w:hint="eastAsia" w:ascii="宋体" w:hAnsi="宋体" w:cs="宋体"/>
          <w:color w:val="000000" w:themeColor="text1"/>
          <w:sz w:val="24"/>
          <w:highlight w:val="none"/>
        </w:rPr>
        <w:t xml:space="preserve">金的相关证明材料（法定代表人直接参与的无需提供）；</w:t>
      </w:r>
      <w:r>
        <w:rPr>
          <w:color w:val="000000" w:themeColor="text1"/>
          <w:highlight w:val="none"/>
        </w:rPr>
      </w:r>
      <w:r/>
    </w:p>
    <w:p>
      <w:pPr>
        <w:pStyle w:val="1032"/>
        <w:ind w:firstLine="480"/>
        <w:spacing w:line="360" w:lineRule="auto"/>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2.没有重大违法及商业贿赂不良记录声明（提供书</w:t>
      </w:r>
      <w:r>
        <w:rPr>
          <w:rFonts w:hint="eastAsia" w:ascii="宋体" w:hAnsi="宋体" w:cs="宋体"/>
          <w:color w:val="000000" w:themeColor="text1"/>
          <w:sz w:val="24"/>
          <w:szCs w:val="20"/>
          <w:highlight w:val="none"/>
        </w:rPr>
        <w:t xml:space="preserve">面声明原件）；</w:t>
      </w:r>
      <w:r>
        <w:rPr>
          <w:color w:val="000000" w:themeColor="text1"/>
          <w:highlight w:val="none"/>
        </w:rPr>
      </w:r>
      <w:r/>
    </w:p>
    <w:p>
      <w:pPr>
        <w:pStyle w:val="953"/>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3.拒绝下述供应商参加本次采购活动的情形：</w:t>
      </w:r>
      <w:r>
        <w:rPr>
          <w:color w:val="000000" w:themeColor="text1"/>
          <w:highlight w:val="none"/>
        </w:rPr>
      </w:r>
      <w:r/>
    </w:p>
    <w:p>
      <w:pPr>
        <w:pStyle w:val="953"/>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3.1.供应商单位负责人为同一人或者存在直接控股、管理关系的不同供应商，不得参加同一合同项下的政府采购活动。</w:t>
      </w:r>
      <w:r>
        <w:rPr>
          <w:color w:val="000000" w:themeColor="text1"/>
          <w:highlight w:val="none"/>
        </w:rPr>
      </w:r>
      <w:r/>
    </w:p>
    <w:p>
      <w:pPr>
        <w:pStyle w:val="953"/>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3.2.凡为采购项目提供整体设计、规范编制或者项目管理、监理、检测等服务的供应商，不得再参加本项目的采购活动。</w:t>
      </w:r>
      <w:r>
        <w:rPr>
          <w:color w:val="000000" w:themeColor="text1"/>
          <w:highlight w:val="none"/>
        </w:rPr>
      </w:r>
      <w:r/>
    </w:p>
    <w:p>
      <w:pPr>
        <w:pStyle w:val="953"/>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3.3.拒绝列入失信被执行人名单、重大税收违法失信主体名单、严重失信主体名单的供应商参与政府采购活动。</w:t>
      </w:r>
      <w:r>
        <w:rPr>
          <w:color w:val="000000" w:themeColor="text1"/>
          <w:highlight w:val="none"/>
        </w:rPr>
      </w:r>
      <w:r/>
    </w:p>
    <w:p>
      <w:pPr>
        <w:pStyle w:val="953"/>
        <w:jc w:val="center"/>
        <w:rPr>
          <w:rFonts w:hint="eastAsia" w:ascii="宋体" w:hAnsi="宋体" w:cs="宋体"/>
          <w:b/>
          <w:iCs/>
          <w:color w:val="000000" w:themeColor="text1"/>
          <w:sz w:val="32"/>
          <w:szCs w:val="32"/>
          <w:highlight w:val="none"/>
        </w:rPr>
      </w:pPr>
      <w:r>
        <w:rPr>
          <w:rFonts w:hint="eastAsia" w:ascii="宋体" w:hAnsi="宋体" w:cs="宋体"/>
          <w:b/>
          <w:iCs/>
          <w:color w:val="000000" w:themeColor="text1"/>
          <w:sz w:val="32"/>
          <w:szCs w:val="32"/>
          <w:highlight w:val="none"/>
        </w:rPr>
      </w:r>
      <w:r>
        <w:rPr>
          <w:color w:val="000000" w:themeColor="text1"/>
          <w:highlight w:val="none"/>
        </w:rPr>
      </w:r>
      <w:r/>
    </w:p>
    <w:p>
      <w:pPr>
        <w:pStyle w:val="953"/>
        <w:jc w:val="center"/>
        <w:rPr>
          <w:rFonts w:hint="eastAsia" w:ascii="宋体" w:hAnsi="宋体" w:cs="宋体"/>
          <w:b/>
          <w:iCs/>
          <w:color w:val="000000" w:themeColor="text1"/>
          <w:sz w:val="32"/>
          <w:szCs w:val="32"/>
          <w:highlight w:val="none"/>
        </w:rPr>
      </w:pPr>
      <w:r>
        <w:rPr>
          <w:rFonts w:hint="eastAsia" w:ascii="宋体" w:hAnsi="宋体" w:cs="宋体"/>
          <w:b/>
          <w:iCs/>
          <w:color w:val="000000" w:themeColor="text1"/>
          <w:sz w:val="32"/>
          <w:szCs w:val="32"/>
          <w:highlight w:val="none"/>
        </w:rPr>
      </w:r>
      <w:r>
        <w:rPr>
          <w:color w:val="000000" w:themeColor="text1"/>
          <w:highlight w:val="none"/>
        </w:rPr>
      </w:r>
      <w:r/>
    </w:p>
    <w:p>
      <w:pPr>
        <w:pStyle w:val="953"/>
        <w:jc w:val="center"/>
        <w:rPr>
          <w:rFonts w:hint="eastAsia" w:ascii="宋体" w:hAnsi="宋体" w:cs="宋体"/>
          <w:b/>
          <w:iCs/>
          <w:color w:val="000000" w:themeColor="text1"/>
          <w:sz w:val="32"/>
          <w:szCs w:val="32"/>
          <w:highlight w:val="none"/>
        </w:rPr>
      </w:pPr>
      <w:r>
        <w:rPr>
          <w:rFonts w:hint="eastAsia" w:ascii="宋体" w:hAnsi="宋体" w:cs="宋体"/>
          <w:b/>
          <w:iCs/>
          <w:color w:val="000000" w:themeColor="text1"/>
          <w:sz w:val="32"/>
          <w:szCs w:val="32"/>
          <w:highlight w:val="none"/>
        </w:rPr>
      </w:r>
      <w:r>
        <w:rPr>
          <w:color w:val="000000" w:themeColor="text1"/>
          <w:highlight w:val="none"/>
        </w:rPr>
      </w:r>
      <w:r/>
    </w:p>
    <w:p>
      <w:pPr>
        <w:pStyle w:val="953"/>
        <w:jc w:val="center"/>
        <w:rPr>
          <w:rFonts w:hint="eastAsia" w:ascii="宋体" w:hAnsi="宋体" w:cs="宋体"/>
          <w:b/>
          <w:iCs/>
          <w:color w:val="000000" w:themeColor="text1"/>
          <w:sz w:val="32"/>
          <w:szCs w:val="32"/>
          <w:highlight w:val="none"/>
        </w:rPr>
      </w:pPr>
      <w:r>
        <w:rPr>
          <w:rFonts w:hint="eastAsia" w:ascii="宋体" w:hAnsi="宋体" w:cs="宋体"/>
          <w:b/>
          <w:iCs/>
          <w:color w:val="000000" w:themeColor="text1"/>
          <w:sz w:val="32"/>
          <w:szCs w:val="32"/>
          <w:highlight w:val="none"/>
        </w:rPr>
      </w:r>
      <w:r>
        <w:rPr>
          <w:color w:val="000000" w:themeColor="text1"/>
          <w:highlight w:val="none"/>
        </w:rPr>
      </w:r>
      <w:r/>
    </w:p>
    <w:p>
      <w:pPr>
        <w:pStyle w:val="953"/>
        <w:jc w:val="center"/>
        <w:rPr>
          <w:rFonts w:ascii="宋体" w:hAnsi="宋体" w:cs="宋体"/>
          <w:b/>
          <w:iCs/>
          <w:color w:val="000000" w:themeColor="text1"/>
          <w:sz w:val="32"/>
          <w:szCs w:val="32"/>
          <w:highlight w:val="none"/>
        </w:rPr>
      </w:pPr>
      <w:r>
        <w:rPr>
          <w:rFonts w:hint="eastAsia" w:ascii="宋体" w:hAnsi="宋体" w:cs="宋体"/>
          <w:b/>
          <w:iCs/>
          <w:color w:val="000000" w:themeColor="text1"/>
          <w:sz w:val="32"/>
          <w:szCs w:val="32"/>
          <w:highlight w:val="none"/>
        </w:rPr>
        <w:t xml:space="preserve">2.没有重大违法及商</w:t>
      </w:r>
      <w:r>
        <w:rPr>
          <w:rFonts w:hint="eastAsia" w:ascii="宋体" w:hAnsi="宋体" w:cs="宋体"/>
          <w:b/>
          <w:iCs/>
          <w:color w:val="000000" w:themeColor="text1"/>
          <w:sz w:val="32"/>
          <w:szCs w:val="32"/>
          <w:highlight w:val="none"/>
        </w:rPr>
        <w:t xml:space="preserve">业贿赂不良记录声明</w:t>
      </w:r>
      <w:r>
        <w:rPr>
          <w:color w:val="000000" w:themeColor="text1"/>
          <w:highlight w:val="none"/>
        </w:rPr>
      </w:r>
      <w:r/>
    </w:p>
    <w:p>
      <w:pPr>
        <w:pStyle w:val="953"/>
        <w:spacing w:line="500" w:lineRule="exact"/>
        <w:rPr>
          <w:rFonts w:ascii="宋体" w:hAnsi="宋体"/>
          <w:b/>
          <w:bCs/>
          <w:iCs/>
          <w:color w:val="000000" w:themeColor="text1"/>
          <w:sz w:val="24"/>
          <w:szCs w:val="28"/>
          <w:highlight w:val="none"/>
        </w:rPr>
      </w:pPr>
      <w:r>
        <w:rPr>
          <w:rFonts w:hint="eastAsia" w:ascii="宋体" w:hAnsi="宋体"/>
          <w:b/>
          <w:bCs/>
          <w:iCs/>
          <w:color w:val="000000" w:themeColor="text1"/>
          <w:sz w:val="24"/>
          <w:szCs w:val="28"/>
          <w:highlight w:val="none"/>
        </w:rPr>
        <w:t xml:space="preserve">（请提供参加本次采购活动前3年内在经营活动中没有重大违法记录、2年内没有商业贿</w:t>
      </w:r>
      <w:r>
        <w:rPr>
          <w:rFonts w:hint="eastAsia" w:ascii="宋体" w:hAnsi="宋体"/>
          <w:b/>
          <w:bCs/>
          <w:iCs/>
          <w:color w:val="000000" w:themeColor="text1"/>
          <w:sz w:val="24"/>
          <w:szCs w:val="28"/>
          <w:highlight w:val="none"/>
        </w:rPr>
        <w:t xml:space="preserve">赂不良记录的书面声明，原件，加盖单位公章）</w:t>
      </w:r>
      <w:r>
        <w:rPr>
          <w:color w:val="000000" w:themeColor="text1"/>
          <w:highlight w:val="none"/>
        </w:rPr>
      </w:r>
      <w:r/>
    </w:p>
    <w:p>
      <w:pPr>
        <w:pStyle w:val="1076"/>
        <w:contextualSpacing/>
        <w:ind w:firstLine="480"/>
        <w:spacing w:line="480" w:lineRule="auto"/>
        <w:rPr>
          <w:rFonts w:ascii="宋体" w:hAnsi="宋体" w:cs="宋体"/>
          <w:iCs/>
          <w:color w:val="000000" w:themeColor="text1"/>
          <w:sz w:val="24"/>
          <w:szCs w:val="21"/>
          <w:highlight w:val="none"/>
        </w:rPr>
      </w:pPr>
      <w:r>
        <w:rPr>
          <w:rFonts w:hint="eastAsia" w:ascii="宋体" w:hAnsi="宋体" w:cs="宋体"/>
          <w:iCs/>
          <w:color w:val="000000" w:themeColor="text1"/>
          <w:sz w:val="24"/>
          <w:szCs w:val="21"/>
          <w:highlight w:val="none"/>
        </w:rPr>
        <w:t xml:space="preserve">我公司郑重声明：参加本次采购活动前三年内，我公司在经营活动中没有因违法经营受到刑事处罚或者责令停产停业、吊销许可证或者执照、较大数额罚款等行政处罚，两年内无医药购销领域商业贿赂不良记录。</w:t>
      </w:r>
      <w:r>
        <w:rPr>
          <w:color w:val="000000" w:themeColor="text1"/>
          <w:highlight w:val="none"/>
        </w:rPr>
      </w:r>
      <w:r/>
    </w:p>
    <w:p>
      <w:pPr>
        <w:pStyle w:val="1076"/>
        <w:contextualSpacing/>
        <w:ind w:firstLine="480"/>
        <w:spacing w:line="480" w:lineRule="auto"/>
        <w:rPr>
          <w:rFonts w:ascii="宋体" w:hAnsi="宋体" w:cs="宋体"/>
          <w:iCs/>
          <w:color w:val="000000" w:themeColor="text1"/>
          <w:sz w:val="24"/>
          <w:szCs w:val="21"/>
          <w:highlight w:val="none"/>
        </w:rPr>
      </w:pPr>
      <w:r>
        <w:rPr>
          <w:rFonts w:hint="eastAsia" w:ascii="宋体" w:hAnsi="宋体" w:cs="宋体"/>
          <w:iCs/>
          <w:color w:val="000000" w:themeColor="text1"/>
          <w:sz w:val="24"/>
          <w:szCs w:val="21"/>
          <w:highlight w:val="none"/>
        </w:rPr>
        <w:t xml:space="preserve">特此声明！</w:t>
      </w:r>
      <w:r>
        <w:rPr>
          <w:color w:val="000000" w:themeColor="text1"/>
          <w:highlight w:val="none"/>
        </w:rPr>
      </w:r>
      <w:r/>
    </w:p>
    <w:p>
      <w:pPr>
        <w:pStyle w:val="1076"/>
        <w:contextualSpacing/>
        <w:ind w:firstLine="480"/>
        <w:spacing w:line="480" w:lineRule="auto"/>
        <w:rPr>
          <w:rFonts w:ascii="宋体" w:hAnsi="宋体" w:cs="宋体"/>
          <w:iCs/>
          <w:color w:val="000000" w:themeColor="text1"/>
          <w:sz w:val="24"/>
          <w:szCs w:val="21"/>
          <w:highlight w:val="none"/>
        </w:rPr>
      </w:pPr>
      <w:r>
        <w:rPr>
          <w:rFonts w:ascii="宋体" w:hAnsi="宋体" w:cs="宋体"/>
          <w:iCs/>
          <w:color w:val="000000" w:themeColor="text1"/>
          <w:sz w:val="24"/>
          <w:szCs w:val="21"/>
          <w:highlight w:val="none"/>
        </w:rPr>
      </w:r>
      <w:r>
        <w:rPr>
          <w:color w:val="000000" w:themeColor="text1"/>
          <w:highlight w:val="none"/>
        </w:rPr>
      </w:r>
      <w:r/>
    </w:p>
    <w:p>
      <w:pPr>
        <w:pStyle w:val="953"/>
        <w:ind w:firstLine="480"/>
        <w:spacing w:line="360" w:lineRule="auto"/>
        <w:rPr>
          <w:rFonts w:ascii="宋体" w:hAnsi="宋体" w:cs="宋体"/>
          <w:bCs/>
          <w:color w:val="000000" w:themeColor="text1"/>
          <w:sz w:val="24"/>
          <w:szCs w:val="21"/>
          <w:highlight w:val="none"/>
          <w:u w:val="single"/>
        </w:rPr>
      </w:pPr>
      <w:r>
        <w:rPr>
          <w:color w:val="000000" w:themeColor="text1"/>
          <w:highlight w:val="none"/>
        </w:rPr>
      </w:r>
      <w:bookmarkStart w:id="185" w:name="_Toc17132"/>
      <w:r>
        <w:rPr>
          <w:rFonts w:hint="eastAsia" w:ascii="宋体" w:hAnsi="宋体" w:cs="宋体"/>
          <w:bCs/>
          <w:color w:val="000000" w:themeColor="text1"/>
          <w:sz w:val="24"/>
          <w:szCs w:val="21"/>
          <w:highlight w:val="none"/>
        </w:rPr>
        <w:t xml:space="preserve">投标人名称：</w:t>
      </w:r>
      <w:r>
        <w:rPr>
          <w:rFonts w:hint="eastAsia" w:ascii="宋体" w:hAnsi="宋体" w:cs="宋体"/>
          <w:bCs/>
          <w:color w:val="000000" w:themeColor="text1"/>
          <w:sz w:val="24"/>
          <w:szCs w:val="21"/>
          <w:highlight w:val="none"/>
          <w:u w:val="single"/>
        </w:rPr>
        <w:t xml:space="preserve">（加盖CA电子公章）</w:t>
      </w:r>
      <w:r>
        <w:rPr>
          <w:color w:val="000000" w:themeColor="text1"/>
          <w:highlight w:val="none"/>
        </w:rPr>
      </w:r>
      <w:r/>
    </w:p>
    <w:p>
      <w:pPr>
        <w:pStyle w:val="953"/>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法定代表人（或授权代表）签字：</w:t>
      </w:r>
      <w:r>
        <w:rPr>
          <w:color w:val="000000" w:themeColor="text1"/>
          <w:highlight w:val="none"/>
        </w:rPr>
      </w:r>
      <w:r/>
    </w:p>
    <w:p>
      <w:pPr>
        <w:pStyle w:val="953"/>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投标日期：2026年XX月XX日</w:t>
      </w:r>
      <w:r>
        <w:rPr>
          <w:color w:val="000000" w:themeColor="text1"/>
          <w:highlight w:val="none"/>
        </w:rPr>
      </w:r>
      <w:r/>
    </w:p>
    <w:p>
      <w:pPr>
        <w:pStyle w:val="953"/>
        <w:rPr>
          <w:rFonts w:ascii="宋体" w:hAnsi="宋体" w:cs="宋体"/>
          <w:iCs/>
          <w:color w:val="000000" w:themeColor="text1"/>
          <w:sz w:val="32"/>
          <w:szCs w:val="32"/>
          <w:highlight w:val="none"/>
          <w:u w:val="single"/>
        </w:rPr>
      </w:pPr>
      <w:r>
        <w:rPr>
          <w:rFonts w:ascii="宋体" w:hAnsi="宋体" w:cs="宋体"/>
          <w:iCs/>
          <w:color w:val="000000" w:themeColor="text1"/>
          <w:sz w:val="32"/>
          <w:szCs w:val="32"/>
          <w:highlight w:val="none"/>
          <w:u w:val="single"/>
        </w:rPr>
      </w:r>
      <w:r>
        <w:rPr>
          <w:color w:val="000000" w:themeColor="text1"/>
          <w:highlight w:val="none"/>
        </w:rPr>
      </w:r>
      <w:r/>
    </w:p>
    <w:p>
      <w:pPr>
        <w:pStyle w:val="953"/>
        <w:rPr>
          <w:rFonts w:ascii="宋体" w:hAnsi="宋体" w:cs="宋体"/>
          <w:iCs/>
          <w:color w:val="000000" w:themeColor="text1"/>
          <w:sz w:val="28"/>
          <w:szCs w:val="28"/>
          <w:highlight w:val="none"/>
        </w:rPr>
      </w:pPr>
      <w:r>
        <w:rPr>
          <w:rFonts w:hint="eastAsia" w:ascii="宋体" w:hAnsi="宋体" w:cs="宋体"/>
          <w:iCs/>
          <w:color w:val="000000" w:themeColor="text1"/>
          <w:sz w:val="28"/>
          <w:szCs w:val="28"/>
          <w:highlight w:val="none"/>
        </w:rPr>
        <w:br w:type="page" w:clear="all"/>
      </w:r>
      <w:r>
        <w:rPr>
          <w:color w:val="000000" w:themeColor="text1"/>
          <w:highlight w:val="none"/>
        </w:rPr>
      </w:r>
      <w:r/>
    </w:p>
    <w:p>
      <w:pPr>
        <w:pStyle w:val="953"/>
        <w:jc w:val="center"/>
        <w:spacing w:line="360" w:lineRule="auto"/>
        <w:rPr>
          <w:rFonts w:ascii="宋体" w:hAnsi="宋体" w:cs="宋体"/>
          <w:iCs/>
          <w:color w:val="000000" w:themeColor="text1"/>
          <w:sz w:val="28"/>
          <w:szCs w:val="28"/>
          <w:highlight w:val="none"/>
        </w:rPr>
        <w:outlineLvl w:val="1"/>
      </w:pPr>
      <w:r>
        <w:rPr>
          <w:rFonts w:hint="eastAsia" w:ascii="宋体" w:hAnsi="宋体" w:cs="宋体"/>
          <w:iCs/>
          <w:color w:val="000000" w:themeColor="text1"/>
          <w:sz w:val="28"/>
          <w:szCs w:val="28"/>
          <w:highlight w:val="none"/>
        </w:rPr>
        <w:t xml:space="preserve">七、法人授权书</w:t>
      </w:r>
      <w:bookmarkEnd w:id="185"/>
      <w:r>
        <w:rPr>
          <w:color w:val="000000" w:themeColor="text1"/>
          <w:highlight w:val="none"/>
        </w:rPr>
      </w:r>
      <w:r/>
    </w:p>
    <w:p>
      <w:pPr>
        <w:pStyle w:val="953"/>
        <w:ind w:firstLine="480"/>
        <w:spacing w:line="85" w:lineRule="atLeast"/>
        <w:tabs>
          <w:tab w:val="left" w:pos="360" w:leader="none"/>
        </w:tabs>
        <w:rPr>
          <w:iCs/>
          <w:color w:val="000000" w:themeColor="text1"/>
          <w:highlight w:val="none"/>
        </w:rPr>
      </w:pPr>
      <w:r>
        <w:rPr>
          <w:rFonts w:ascii="宋体" w:hAnsi="宋体" w:cs="宋体"/>
          <w:iCs/>
          <w:color w:val="000000" w:themeColor="text1"/>
          <w:sz w:val="24"/>
          <w:highlight w:val="none"/>
        </w:rPr>
        <w:t xml:space="preserve">本授权书声明：____________（投标人</w:t>
      </w:r>
      <w:r>
        <w:rPr>
          <w:rFonts w:ascii="宋体" w:hAnsi="宋体" w:cs="宋体"/>
          <w:iCs/>
          <w:color w:val="000000" w:themeColor="text1"/>
          <w:sz w:val="24"/>
          <w:highlight w:val="none"/>
        </w:rPr>
        <w:t xml:space="preserve">名称）授权________________（</w:t>
      </w:r>
      <w:r>
        <w:rPr>
          <w:rFonts w:hint="eastAsia" w:ascii="宋体" w:hAnsi="宋体" w:cs="宋体"/>
          <w:iCs/>
          <w:color w:val="000000" w:themeColor="text1"/>
          <w:sz w:val="24"/>
          <w:highlight w:val="none"/>
        </w:rPr>
        <w:t xml:space="preserve">授权代表</w:t>
      </w:r>
      <w:r>
        <w:rPr>
          <w:rFonts w:ascii="宋体" w:hAnsi="宋体" w:cs="宋体"/>
          <w:iCs/>
          <w:color w:val="000000" w:themeColor="text1"/>
          <w:sz w:val="24"/>
          <w:highlight w:val="none"/>
        </w:rPr>
        <w:t xml:space="preserve">的姓名）为我方就JSZC-</w:t>
      </w:r>
      <w:r>
        <w:rPr>
          <w:rFonts w:ascii="宋体" w:hAnsi="宋体" w:cs="宋体"/>
          <w:iCs/>
          <w:color w:val="000000" w:themeColor="text1"/>
          <w:sz w:val="24"/>
          <w:highlight w:val="none"/>
          <w:u w:val="single"/>
        </w:rPr>
        <w:t xml:space="preserve">        号项</w:t>
      </w:r>
      <w:r>
        <w:rPr>
          <w:rFonts w:ascii="宋体" w:hAnsi="宋体" w:cs="宋体"/>
          <w:iCs/>
          <w:color w:val="000000" w:themeColor="text1"/>
          <w:sz w:val="24"/>
          <w:highlight w:val="none"/>
          <w:u w:val="single"/>
        </w:rPr>
        <w:t xml:space="preserve">目</w:t>
      </w:r>
      <w:r>
        <w:rPr>
          <w:rFonts w:ascii="宋体" w:hAnsi="宋体" w:cs="宋体"/>
          <w:iCs/>
          <w:color w:val="000000" w:themeColor="text1"/>
          <w:sz w:val="24"/>
          <w:highlight w:val="none"/>
        </w:rPr>
        <w:t xml:space="preserve">采购活动的合法代理人，以本单位名义全权处理一切与该项目采购有关的事务。</w:t>
      </w:r>
      <w:r>
        <w:rPr>
          <w:color w:val="000000" w:themeColor="text1"/>
          <w:highlight w:val="none"/>
        </w:rPr>
      </w:r>
      <w:r/>
    </w:p>
    <w:p>
      <w:pPr>
        <w:pStyle w:val="953"/>
        <w:ind w:firstLine="480"/>
        <w:jc w:val="left"/>
        <w:spacing w:line="85" w:lineRule="atLeast"/>
        <w:tabs>
          <w:tab w:val="left" w:pos="360" w:leader="none"/>
        </w:tabs>
        <w:rPr>
          <w:iCs/>
          <w:color w:val="000000" w:themeColor="text1"/>
          <w:highlight w:val="none"/>
        </w:rPr>
      </w:pPr>
      <w:r>
        <w:rPr>
          <w:rFonts w:ascii="宋体" w:hAnsi="宋体" w:cs="宋体"/>
          <w:iCs/>
          <w:color w:val="000000" w:themeColor="text1"/>
          <w:sz w:val="24"/>
          <w:highlight w:val="none"/>
        </w:rPr>
        <w:t xml:space="preserve">本授权书于______年____月____日起生效，特此声明。</w:t>
      </w:r>
      <w:r>
        <w:rPr>
          <w:color w:val="000000" w:themeColor="text1"/>
          <w:highlight w:val="none"/>
        </w:rPr>
      </w:r>
      <w:r/>
    </w:p>
    <w:p>
      <w:pPr>
        <w:pStyle w:val="953"/>
        <w:jc w:val="left"/>
        <w:spacing w:line="85" w:lineRule="atLeast"/>
        <w:tabs>
          <w:tab w:val="left" w:pos="360" w:leader="none"/>
        </w:tabs>
        <w:rPr>
          <w:iCs/>
          <w:color w:val="000000" w:themeColor="text1"/>
          <w:highlight w:val="none"/>
        </w:rPr>
      </w:pPr>
      <w:r>
        <w:rPr>
          <w:rFonts w:hint="eastAsia" w:ascii="宋体" w:hAnsi="宋体" w:cs="宋体"/>
          <w:iCs/>
          <w:color w:val="000000" w:themeColor="text1"/>
          <w:sz w:val="24"/>
          <w:highlight w:val="none"/>
        </w:rPr>
        <w:t xml:space="preserve">法定代表人身份证号码</w:t>
      </w:r>
      <w:r>
        <w:rPr>
          <w:rFonts w:ascii="宋体" w:hAnsi="宋体" w:cs="宋体"/>
          <w:iCs/>
          <w:color w:val="000000" w:themeColor="text1"/>
          <w:sz w:val="24"/>
          <w:highlight w:val="none"/>
        </w:rPr>
        <w:t xml:space="preserve">：</w:t>
      </w:r>
      <w:r>
        <w:rPr>
          <w:rFonts w:ascii="宋体" w:hAnsi="宋体" w:cs="宋体"/>
          <w:iCs/>
          <w:color w:val="000000" w:themeColor="text1"/>
          <w:sz w:val="24"/>
          <w:highlight w:val="none"/>
          <w:u w:val="single"/>
        </w:rPr>
        <w:t xml:space="preserve">                        </w:t>
      </w:r>
      <w:r>
        <w:rPr>
          <w:color w:val="000000" w:themeColor="text1"/>
          <w:highlight w:val="none"/>
        </w:rPr>
      </w:r>
      <w:r/>
    </w:p>
    <w:p>
      <w:pPr>
        <w:pStyle w:val="953"/>
        <w:jc w:val="left"/>
        <w:spacing w:line="85" w:lineRule="atLeast"/>
        <w:tabs>
          <w:tab w:val="left" w:pos="360" w:leader="none"/>
        </w:tabs>
        <w:rPr>
          <w:iCs/>
          <w:color w:val="000000" w:themeColor="text1"/>
          <w:highlight w:val="none"/>
        </w:rPr>
      </w:pPr>
      <w:r>
        <w:rPr>
          <w:rFonts w:ascii="宋体" w:hAnsi="宋体" w:cs="宋体"/>
          <w:iCs/>
          <w:color w:val="000000" w:themeColor="text1"/>
          <w:sz w:val="24"/>
          <w:highlight w:val="none"/>
        </w:rPr>
        <w:t xml:space="preserve">法定代表人联系电话：（手机）</w:t>
      </w:r>
      <w:r>
        <w:rPr>
          <w:rFonts w:ascii="宋体" w:hAnsi="宋体" w:cs="宋体"/>
          <w:iCs/>
          <w:color w:val="000000" w:themeColor="text1"/>
          <w:sz w:val="24"/>
          <w:highlight w:val="none"/>
          <w:u w:val="single"/>
        </w:rPr>
        <w:t xml:space="preserve">                     </w:t>
      </w:r>
      <w:r>
        <w:rPr>
          <w:color w:val="000000" w:themeColor="text1"/>
          <w:highlight w:val="none"/>
        </w:rPr>
      </w:r>
      <w:r/>
    </w:p>
    <w:p>
      <w:pPr>
        <w:pStyle w:val="953"/>
        <w:jc w:val="left"/>
        <w:spacing w:line="85" w:lineRule="atLeast"/>
        <w:tabs>
          <w:tab w:val="left" w:pos="360" w:leader="none"/>
        </w:tabs>
        <w:rPr>
          <w:rFonts w:ascii="宋体" w:hAnsi="宋体" w:cs="宋体"/>
          <w:iCs/>
          <w:color w:val="000000" w:themeColor="text1"/>
          <w:sz w:val="24"/>
          <w:highlight w:val="none"/>
          <w:u w:val="single"/>
        </w:rPr>
      </w:pPr>
      <w:r>
        <w:rPr>
          <w:rFonts w:ascii="宋体" w:hAnsi="宋体" w:cs="宋体"/>
          <w:iCs/>
          <w:color w:val="000000" w:themeColor="text1"/>
          <w:sz w:val="24"/>
          <w:highlight w:val="none"/>
        </w:rPr>
        <w:t xml:space="preserve">授权代表身份证号码：</w:t>
      </w:r>
      <w:r>
        <w:rPr>
          <w:rFonts w:ascii="宋体" w:hAnsi="宋体" w:cs="宋体"/>
          <w:iCs/>
          <w:color w:val="000000" w:themeColor="text1"/>
          <w:sz w:val="24"/>
          <w:highlight w:val="none"/>
          <w:u w:val="single"/>
        </w:rPr>
        <w:t xml:space="preserve">                        </w:t>
      </w:r>
      <w:r>
        <w:rPr>
          <w:color w:val="000000" w:themeColor="text1"/>
          <w:highlight w:val="none"/>
        </w:rPr>
      </w:r>
      <w:r/>
    </w:p>
    <w:p>
      <w:pPr>
        <w:pStyle w:val="953"/>
        <w:jc w:val="left"/>
        <w:spacing w:line="85" w:lineRule="atLeast"/>
        <w:tabs>
          <w:tab w:val="left" w:pos="360" w:leader="none"/>
        </w:tabs>
        <w:rPr>
          <w:iCs/>
          <w:color w:val="000000" w:themeColor="text1"/>
          <w:highlight w:val="none"/>
        </w:rPr>
      </w:pPr>
      <w:r>
        <w:rPr>
          <w:rFonts w:ascii="宋体" w:hAnsi="宋体" w:cs="宋体"/>
          <w:iCs/>
          <w:color w:val="000000" w:themeColor="text1"/>
          <w:sz w:val="24"/>
          <w:highlight w:val="none"/>
        </w:rPr>
        <w:t xml:space="preserve">授权代表联系电话：（手机）</w:t>
      </w:r>
      <w:r>
        <w:rPr>
          <w:rFonts w:ascii="宋体" w:hAnsi="宋体" w:cs="宋体"/>
          <w:iCs/>
          <w:color w:val="000000" w:themeColor="text1"/>
          <w:sz w:val="24"/>
          <w:highlight w:val="none"/>
          <w:u w:val="single"/>
        </w:rPr>
        <w:t xml:space="preserve">                  </w:t>
      </w:r>
      <w:r>
        <w:rPr>
          <w:rFonts w:ascii="宋体" w:hAnsi="宋体" w:cs="宋体"/>
          <w:iCs/>
          <w:color w:val="000000" w:themeColor="text1"/>
          <w:sz w:val="24"/>
          <w:highlight w:val="none"/>
          <w:u w:val="single"/>
        </w:rPr>
        <w:t xml:space="preserve">   </w:t>
      </w:r>
      <w:r>
        <w:rPr>
          <w:color w:val="000000" w:themeColor="text1"/>
          <w:highlight w:val="none"/>
        </w:rPr>
      </w:r>
      <w:r/>
    </w:p>
    <w:p>
      <w:pPr>
        <w:pStyle w:val="953"/>
        <w:jc w:val="left"/>
        <w:spacing w:line="85" w:lineRule="atLeast"/>
        <w:tabs>
          <w:tab w:val="left" w:pos="360" w:leader="none"/>
        </w:tabs>
        <w:rPr>
          <w:iCs/>
          <w:color w:val="000000" w:themeColor="text1"/>
          <w:highlight w:val="none"/>
        </w:rPr>
      </w:pPr>
      <w:r>
        <w:rPr>
          <w:rFonts w:ascii="宋体" w:hAnsi="宋体" w:cs="宋体"/>
          <w:iCs/>
          <w:color w:val="000000" w:themeColor="text1"/>
          <w:sz w:val="24"/>
          <w:highlight w:val="none"/>
        </w:rPr>
        <w:t xml:space="preserve">授权单位名称：</w:t>
      </w:r>
      <w:r>
        <w:rPr>
          <w:rFonts w:ascii="宋体" w:hAnsi="宋体" w:cs="宋体"/>
          <w:iCs/>
          <w:color w:val="000000" w:themeColor="text1"/>
          <w:sz w:val="24"/>
          <w:highlight w:val="none"/>
          <w:u w:val="single"/>
        </w:rPr>
        <w:t xml:space="preserve">（加盖CA电子公章）</w:t>
      </w:r>
      <w:r>
        <w:rPr>
          <w:color w:val="000000" w:themeColor="text1"/>
          <w:highlight w:val="none"/>
        </w:rPr>
      </w:r>
      <w:r/>
    </w:p>
    <w:p>
      <w:pPr>
        <w:pStyle w:val="953"/>
        <w:jc w:val="left"/>
        <w:spacing w:line="85" w:lineRule="atLeast"/>
        <w:tabs>
          <w:tab w:val="left" w:pos="360" w:leader="none"/>
        </w:tabs>
        <w:rPr>
          <w:iCs/>
          <w:color w:val="000000" w:themeColor="text1"/>
          <w:highlight w:val="none"/>
        </w:rPr>
      </w:pPr>
      <w:r>
        <w:rPr>
          <w:rFonts w:ascii="宋体" w:hAnsi="宋体" w:cs="宋体"/>
          <w:iCs/>
          <w:color w:val="000000" w:themeColor="text1"/>
          <w:sz w:val="24"/>
          <w:highlight w:val="none"/>
        </w:rPr>
        <w:t xml:space="preserve">单位地址：</w:t>
      </w:r>
      <w:r>
        <w:rPr>
          <w:rFonts w:ascii="宋体" w:hAnsi="宋体" w:cs="宋体"/>
          <w:iCs/>
          <w:color w:val="000000" w:themeColor="text1"/>
          <w:sz w:val="24"/>
          <w:highlight w:val="none"/>
          <w:u w:val="single"/>
        </w:rPr>
        <w:t xml:space="preserve">                      </w:t>
      </w:r>
      <w:r>
        <w:rPr>
          <w:rFonts w:ascii="宋体" w:hAnsi="宋体" w:cs="宋体"/>
          <w:iCs/>
          <w:color w:val="000000" w:themeColor="text1"/>
          <w:sz w:val="24"/>
          <w:highlight w:val="none"/>
          <w:u w:val="single"/>
        </w:rPr>
        <w:t xml:space="preserve">       </w:t>
      </w:r>
      <w:r>
        <w:rPr>
          <w:color w:val="000000" w:themeColor="text1"/>
          <w:highlight w:val="none"/>
        </w:rPr>
      </w:r>
      <w:r/>
    </w:p>
    <w:p>
      <w:pPr>
        <w:pStyle w:val="953"/>
        <w:jc w:val="left"/>
        <w:spacing w:line="85" w:lineRule="atLeast"/>
        <w:tabs>
          <w:tab w:val="left" w:pos="360" w:leader="none"/>
        </w:tabs>
        <w:rPr>
          <w:iCs/>
          <w:color w:val="000000" w:themeColor="text1"/>
          <w:highlight w:val="none"/>
        </w:rPr>
      </w:pPr>
      <w:r>
        <w:rPr>
          <w:rFonts w:ascii="宋体" w:hAnsi="宋体" w:cs="宋体"/>
          <w:iCs/>
          <w:color w:val="000000" w:themeColor="text1"/>
          <w:sz w:val="24"/>
          <w:highlight w:val="none"/>
        </w:rPr>
        <w:t xml:space="preserve">日期：</w:t>
      </w:r>
      <w:r>
        <w:rPr>
          <w:rFonts w:ascii="宋体" w:hAnsi="宋体" w:cs="宋体"/>
          <w:iCs/>
          <w:color w:val="000000" w:themeColor="text1"/>
          <w:sz w:val="24"/>
          <w:highlight w:val="none"/>
          <w:u w:val="single"/>
        </w:rPr>
        <w:t xml:space="preserve">                               </w:t>
      </w:r>
      <w:r>
        <w:rPr>
          <w:color w:val="000000" w:themeColor="text1"/>
          <w:highlight w:val="none"/>
        </w:rPr>
      </w:r>
      <w:r/>
    </w:p>
    <w:p>
      <w:pPr>
        <w:pStyle w:val="953"/>
        <w:ind w:firstLine="420"/>
        <w:rPr>
          <w:iCs/>
          <w:color w:val="000000" w:themeColor="text1"/>
          <w:highlight w:val="none"/>
        </w:rPr>
      </w:pPr>
      <w:r>
        <w:rPr>
          <w:rFonts w:eastAsia="Times New Roman"/>
          <w:iCs/>
          <w:color w:val="000000" w:themeColor="text1"/>
          <w:sz w:val="24"/>
          <w:highlight w:val="none"/>
          <w:u w:val="single"/>
        </w:rPr>
        <w:t xml:space="preserve"> </w:t>
      </w:r>
      <w:r>
        <w:rPr>
          <w:color w:val="000000" w:themeColor="text1"/>
          <w:highlight w:val="none"/>
        </w:rPr>
      </w:r>
      <w:r/>
    </w:p>
    <w:p>
      <w:pPr>
        <w:pStyle w:val="953"/>
        <w:ind w:firstLine="420"/>
        <w:rPr>
          <w:iCs/>
          <w:color w:val="000000" w:themeColor="text1"/>
          <w:highlight w:val="none"/>
        </w:rPr>
      </w:pPr>
      <w:r>
        <w:rPr>
          <w:rFonts w:ascii="宋体" w:hAnsi="宋体" w:cs="宋体"/>
          <w:iCs/>
          <w:color w:val="000000" w:themeColor="text1"/>
          <w:sz w:val="24"/>
          <w:highlight w:val="none"/>
          <w:u w:val="single"/>
        </w:rPr>
        <w:t xml:space="preserve">法定代表人身份证复印件：</w:t>
      </w:r>
      <w:r>
        <w:rPr>
          <w:color w:val="000000" w:themeColor="text1"/>
          <w:highlight w:val="none"/>
        </w:rPr>
      </w:r>
      <w:r/>
    </w:p>
    <w:p>
      <w:pPr>
        <w:pStyle w:val="953"/>
        <w:ind w:left="420" w:firstLine="480"/>
        <w:spacing w:after="120"/>
        <w:rPr>
          <w:iCs/>
          <w:color w:val="000000" w:themeColor="text1"/>
          <w:highlight w:val="none"/>
        </w:rPr>
      </w:pPr>
      <w:r>
        <w:rPr>
          <w:rFonts w:eastAsia="Times New Roman"/>
          <w:iCs/>
          <w:color w:val="000000" w:themeColor="text1"/>
          <w:highlight w:val="none"/>
        </w:rPr>
        <w:t xml:space="preserve"> </w:t>
      </w:r>
      <w:r>
        <w:rPr>
          <w:color w:val="000000" w:themeColor="text1"/>
          <w:highlight w:val="none"/>
        </w:rPr>
      </w:r>
      <w:r/>
    </w:p>
    <w:p>
      <w:pPr>
        <w:pStyle w:val="953"/>
        <w:ind w:left="420" w:firstLine="480"/>
        <w:spacing w:after="120"/>
        <w:rPr>
          <w:iCs/>
          <w:color w:val="000000" w:themeColor="text1"/>
          <w:highlight w:val="none"/>
        </w:rPr>
      </w:pPr>
      <w:r>
        <w:rPr>
          <w:rFonts w:eastAsia="Times New Roman"/>
          <w:iCs/>
          <w:color w:val="000000" w:themeColor="text1"/>
          <w:highlight w:val="none"/>
        </w:rPr>
        <w:t xml:space="preserve"> </w:t>
      </w:r>
      <w:r>
        <w:rPr>
          <w:color w:val="000000" w:themeColor="text1"/>
          <w:highlight w:val="none"/>
        </w:rPr>
      </w:r>
      <w:r/>
    </w:p>
    <w:p>
      <w:pPr>
        <w:pStyle w:val="953"/>
        <w:ind w:firstLine="420"/>
        <w:rPr>
          <w:iCs/>
          <w:color w:val="000000" w:themeColor="text1"/>
          <w:highlight w:val="none"/>
        </w:rPr>
      </w:pPr>
      <w:r>
        <w:rPr>
          <w:rFonts w:ascii="宋体" w:hAnsi="宋体" w:cs="宋体"/>
          <w:iCs/>
          <w:color w:val="000000" w:themeColor="text1"/>
          <w:sz w:val="24"/>
          <w:highlight w:val="none"/>
          <w:u w:val="single"/>
        </w:rPr>
        <w:t xml:space="preserve">授权代表身份证复印件：</w:t>
      </w:r>
      <w:r>
        <w:rPr>
          <w:color w:val="000000" w:themeColor="text1"/>
          <w:highlight w:val="none"/>
        </w:rPr>
      </w:r>
      <w:r/>
    </w:p>
    <w:p>
      <w:pPr>
        <w:pStyle w:val="953"/>
        <w:ind w:left="420" w:firstLine="480"/>
        <w:spacing w:after="120"/>
        <w:rPr>
          <w:iCs/>
          <w:color w:val="000000" w:themeColor="text1"/>
          <w:highlight w:val="none"/>
        </w:rPr>
      </w:pPr>
      <w:r>
        <w:rPr>
          <w:rFonts w:eastAsia="Times New Roman"/>
          <w:iCs/>
          <w:color w:val="000000" w:themeColor="text1"/>
          <w:highlight w:val="none"/>
        </w:rPr>
        <w:t xml:space="preserve"> </w:t>
      </w:r>
      <w:r>
        <w:rPr>
          <w:color w:val="000000" w:themeColor="text1"/>
          <w:highlight w:val="none"/>
        </w:rPr>
      </w:r>
      <w:r/>
    </w:p>
    <w:p>
      <w:pPr>
        <w:pStyle w:val="953"/>
        <w:ind w:firstLine="480"/>
        <w:spacing w:line="360" w:lineRule="auto"/>
        <w:rPr>
          <w:rFonts w:ascii="宋体" w:hAnsi="宋体" w:cs="宋体"/>
          <w:bCs/>
          <w:color w:val="000000" w:themeColor="text1"/>
          <w:sz w:val="24"/>
          <w:szCs w:val="21"/>
          <w:highlight w:val="none"/>
          <w:u w:val="single"/>
        </w:rPr>
      </w:pPr>
      <w:r>
        <w:rPr>
          <w:rFonts w:hint="eastAsia" w:ascii="宋体" w:hAnsi="宋体" w:cs="宋体"/>
          <w:bCs/>
          <w:color w:val="000000" w:themeColor="text1"/>
          <w:sz w:val="24"/>
          <w:szCs w:val="21"/>
          <w:highlight w:val="none"/>
        </w:rPr>
        <w:t xml:space="preserve">投标人名称：</w:t>
      </w:r>
      <w:r>
        <w:rPr>
          <w:rFonts w:hint="eastAsia" w:ascii="宋体" w:hAnsi="宋体" w:cs="宋体"/>
          <w:bCs/>
          <w:color w:val="000000" w:themeColor="text1"/>
          <w:sz w:val="24"/>
          <w:szCs w:val="21"/>
          <w:highlight w:val="none"/>
          <w:u w:val="single"/>
        </w:rPr>
        <w:t xml:space="preserve">（加盖CA电子公章）</w:t>
      </w:r>
      <w:r>
        <w:rPr>
          <w:color w:val="000000" w:themeColor="text1"/>
          <w:highlight w:val="none"/>
        </w:rPr>
      </w:r>
      <w:r/>
    </w:p>
    <w:p>
      <w:pPr>
        <w:pStyle w:val="953"/>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法定代表人（或授权代表）签字：</w:t>
      </w:r>
      <w:r>
        <w:rPr>
          <w:color w:val="000000" w:themeColor="text1"/>
          <w:highlight w:val="none"/>
        </w:rPr>
      </w:r>
      <w:r/>
    </w:p>
    <w:p>
      <w:pPr>
        <w:pStyle w:val="953"/>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投标日期：2026年XX月XX日</w:t>
      </w:r>
      <w:r>
        <w:rPr>
          <w:color w:val="000000" w:themeColor="text1"/>
          <w:highlight w:val="none"/>
        </w:rPr>
      </w:r>
      <w:r/>
    </w:p>
    <w:p>
      <w:pPr>
        <w:pStyle w:val="953"/>
        <w:spacing w:line="360"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r/>
    </w:p>
    <w:p>
      <w:pPr>
        <w:pStyle w:val="953"/>
        <w:ind w:left="420" w:firstLine="480"/>
        <w:spacing w:after="120"/>
        <w:rPr>
          <w:iCs/>
          <w:color w:val="000000" w:themeColor="text1"/>
          <w:highlight w:val="none"/>
        </w:rPr>
      </w:pPr>
      <w:r>
        <w:rPr>
          <w:rFonts w:eastAsia="Times New Roman"/>
          <w:iCs/>
          <w:color w:val="000000" w:themeColor="text1"/>
          <w:highlight w:val="none"/>
        </w:rPr>
        <w:t xml:space="preserve"> </w:t>
      </w:r>
      <w:r>
        <w:rPr>
          <w:color w:val="000000" w:themeColor="text1"/>
          <w:highlight w:val="none"/>
        </w:rPr>
      </w:r>
      <w:r/>
    </w:p>
    <w:p>
      <w:pPr>
        <w:pStyle w:val="953"/>
        <w:ind w:firstLine="420"/>
        <w:spacing w:before="161"/>
        <w:rPr>
          <w:iCs/>
          <w:color w:val="000000" w:themeColor="text1"/>
          <w:highlight w:val="none"/>
        </w:rPr>
      </w:pPr>
      <w:r>
        <w:rPr>
          <w:rFonts w:ascii="宋体" w:hAnsi="宋体" w:cs="宋体"/>
          <w:iCs/>
          <w:color w:val="000000" w:themeColor="text1"/>
          <w:highlight w:val="none"/>
        </w:rPr>
        <w:t xml:space="preserve">说明：</w:t>
      </w:r>
      <w:r>
        <w:rPr>
          <w:color w:val="000000" w:themeColor="text1"/>
          <w:highlight w:val="none"/>
        </w:rPr>
      </w:r>
      <w:r/>
    </w:p>
    <w:p>
      <w:pPr>
        <w:pStyle w:val="953"/>
        <w:ind w:firstLine="420"/>
        <w:spacing w:before="161"/>
        <w:rPr>
          <w:rFonts w:ascii="宋体" w:hAnsi="宋体" w:cs="宋体"/>
          <w:b/>
          <w:iCs/>
          <w:color w:val="000000" w:themeColor="text1"/>
          <w:highlight w:val="none"/>
          <w:u w:val="single"/>
        </w:rPr>
      </w:pPr>
      <w:r>
        <w:rPr>
          <w:rFonts w:ascii="宋体" w:hAnsi="宋体" w:cs="宋体"/>
          <w:b/>
          <w:iCs/>
          <w:color w:val="000000" w:themeColor="text1"/>
          <w:highlight w:val="none"/>
          <w:u w:val="single"/>
        </w:rPr>
        <w:t xml:space="preserve">（1）本授权委托书之后需附上法定代表人、授权代表身份证复印件（正反面）；</w:t>
      </w:r>
      <w:r>
        <w:rPr>
          <w:color w:val="000000" w:themeColor="text1"/>
          <w:highlight w:val="none"/>
        </w:rPr>
      </w:r>
      <w:r/>
    </w:p>
    <w:p>
      <w:pPr>
        <w:pStyle w:val="953"/>
        <w:ind w:firstLine="420"/>
        <w:spacing w:before="161"/>
        <w:rPr>
          <w:rFonts w:ascii="宋体" w:hAnsi="宋体" w:cs="宋体"/>
          <w:b/>
          <w:iCs/>
          <w:color w:val="000000" w:themeColor="text1"/>
          <w:highlight w:val="none"/>
          <w:u w:val="single"/>
        </w:rPr>
      </w:pPr>
      <w:r>
        <w:rPr>
          <w:rFonts w:ascii="宋体" w:hAnsi="宋体" w:cs="宋体"/>
          <w:b/>
          <w:iCs/>
          <w:color w:val="000000" w:themeColor="text1"/>
          <w:highlight w:val="none"/>
          <w:u w:val="single"/>
        </w:rPr>
        <w:t xml:space="preserve">（2）如果是法定代表人直接参与的可以不提供授权委托书；但必须在营业执照之后</w:t>
      </w:r>
      <w:r>
        <w:rPr>
          <w:rFonts w:ascii="宋体" w:hAnsi="宋体" w:cs="宋体"/>
          <w:b/>
          <w:iCs/>
          <w:color w:val="000000" w:themeColor="text1"/>
          <w:highlight w:val="none"/>
          <w:u w:val="single"/>
        </w:rPr>
        <w:t xml:space="preserve">附上法定代表人身份证复印；</w:t>
      </w:r>
      <w:r>
        <w:rPr>
          <w:color w:val="000000" w:themeColor="text1"/>
          <w:highlight w:val="none"/>
        </w:rPr>
      </w:r>
      <w:r/>
    </w:p>
    <w:p>
      <w:pPr>
        <w:pStyle w:val="953"/>
        <w:ind w:firstLine="420"/>
        <w:spacing w:before="161"/>
        <w:rPr>
          <w:iCs/>
          <w:color w:val="000000" w:themeColor="text1"/>
          <w:highlight w:val="none"/>
        </w:rPr>
      </w:pPr>
      <w:r>
        <w:rPr>
          <w:rFonts w:ascii="宋体" w:hAnsi="宋体" w:cs="宋体"/>
          <w:iCs/>
          <w:color w:val="000000" w:themeColor="text1"/>
          <w:highlight w:val="none"/>
        </w:rPr>
        <w:t xml:space="preserve">（3）</w:t>
      </w:r>
      <w:r>
        <w:rPr>
          <w:rFonts w:ascii="宋体" w:hAnsi="宋体" w:cs="宋体"/>
          <w:b/>
          <w:iCs/>
          <w:color w:val="000000" w:themeColor="text1"/>
          <w:highlight w:val="none"/>
          <w:u w:val="single"/>
        </w:rPr>
        <w:t xml:space="preserve">未按上述规定随附身份证复印件的，响应无效。</w:t>
      </w:r>
      <w:r>
        <w:rPr>
          <w:color w:val="000000" w:themeColor="text1"/>
          <w:highlight w:val="none"/>
        </w:rPr>
      </w:r>
      <w:r/>
    </w:p>
    <w:p>
      <w:pPr>
        <w:pStyle w:val="953"/>
        <w:ind w:firstLine="420"/>
        <w:rPr>
          <w:iCs/>
          <w:color w:val="000000" w:themeColor="text1"/>
          <w:sz w:val="24"/>
          <w:highlight w:val="none"/>
          <w:u w:val="single"/>
        </w:rPr>
      </w:pPr>
      <w:r>
        <w:rPr>
          <w:iCs/>
          <w:color w:val="000000" w:themeColor="text1"/>
          <w:sz w:val="24"/>
          <w:highlight w:val="none"/>
          <w:u w:val="single"/>
        </w:rPr>
      </w:r>
      <w:r>
        <w:rPr>
          <w:color w:val="000000" w:themeColor="text1"/>
          <w:highlight w:val="none"/>
        </w:rPr>
      </w:r>
      <w:r/>
    </w:p>
    <w:p>
      <w:pPr>
        <w:pStyle w:val="953"/>
        <w:jc w:val="center"/>
        <w:spacing w:line="360" w:lineRule="auto"/>
        <w:rPr>
          <w:rFonts w:ascii="黑体" w:hAnsi="黑体" w:eastAsia="黑体"/>
          <w:b/>
          <w:iCs/>
          <w:color w:val="000000" w:themeColor="text1"/>
          <w:sz w:val="32"/>
          <w:szCs w:val="32"/>
          <w:highlight w:val="none"/>
          <w:u w:val="single"/>
        </w:rPr>
        <w:outlineLvl w:val="1"/>
      </w:pPr>
      <w:r>
        <w:rPr>
          <w:rFonts w:hint="eastAsia"/>
          <w:iCs/>
          <w:color w:val="000000" w:themeColor="text1"/>
          <w:szCs w:val="21"/>
          <w:highlight w:val="none"/>
        </w:rPr>
        <w:br w:type="page" w:clear="all"/>
      </w:r>
      <w:bookmarkStart w:id="186" w:name="_Toc12967"/>
      <w:r>
        <w:rPr>
          <w:rFonts w:hint="eastAsia" w:ascii="宋体" w:hAnsi="宋体" w:cs="宋体"/>
          <w:iCs/>
          <w:color w:val="000000" w:themeColor="text1"/>
          <w:sz w:val="28"/>
          <w:szCs w:val="28"/>
          <w:highlight w:val="none"/>
        </w:rPr>
        <w:t xml:space="preserve">八、投标函</w:t>
      </w:r>
      <w:bookmarkEnd w:id="186"/>
      <w:r>
        <w:rPr>
          <w:color w:val="000000" w:themeColor="text1"/>
          <w:highlight w:val="none"/>
        </w:rPr>
      </w:r>
      <w:r/>
    </w:p>
    <w:p>
      <w:pPr>
        <w:pStyle w:val="953"/>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致：</w:t>
      </w:r>
      <w:r>
        <w:rPr>
          <w:rFonts w:hint="eastAsia" w:ascii="宋体" w:hAnsi="宋体"/>
          <w:color w:val="000000" w:themeColor="text1"/>
          <w:sz w:val="24"/>
          <w:szCs w:val="21"/>
          <w:highlight w:val="none"/>
        </w:rPr>
        <w:t xml:space="preserve">江苏苏豪创新科技集团有限公司</w:t>
      </w:r>
      <w:r>
        <w:rPr>
          <w:color w:val="000000" w:themeColor="text1"/>
          <w:highlight w:val="none"/>
        </w:rPr>
      </w:r>
      <w:r/>
    </w:p>
    <w:p>
      <w:pPr>
        <w:pStyle w:val="953"/>
        <w:ind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根据贵方的JSZC-320100-SOHO-G2026-0082号招标文件，正式授权下述签字人_________________(姓名)代表我方______________（投标人的名称），全权处理本次项目投标的有关事宜。</w:t>
      </w:r>
      <w:r>
        <w:rPr>
          <w:color w:val="000000" w:themeColor="text1"/>
          <w:highlight w:val="none"/>
        </w:rPr>
      </w:r>
      <w:r/>
    </w:p>
    <w:p>
      <w:pPr>
        <w:pStyle w:val="953"/>
        <w:ind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据此函，__________签字人兹宣布同意如下：</w:t>
      </w:r>
      <w:r>
        <w:rPr>
          <w:color w:val="000000" w:themeColor="text1"/>
          <w:highlight w:val="none"/>
        </w:rPr>
      </w:r>
      <w:r/>
    </w:p>
    <w:p>
      <w:pPr>
        <w:pStyle w:val="953"/>
        <w:ind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1.按招标文件规定的各项要求，向买方提供所需货物（包含与货物相关的服务）。</w:t>
      </w:r>
      <w:r>
        <w:rPr>
          <w:color w:val="000000" w:themeColor="text1"/>
          <w:highlight w:val="none"/>
        </w:rPr>
      </w:r>
      <w:r/>
    </w:p>
    <w:p>
      <w:pPr>
        <w:pStyle w:val="953"/>
        <w:ind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2.我们完全理解贵方不一定将合同</w:t>
      </w:r>
      <w:r>
        <w:rPr>
          <w:rFonts w:hint="eastAsia" w:ascii="宋体" w:hAnsi="宋体"/>
          <w:color w:val="000000" w:themeColor="text1"/>
          <w:sz w:val="24"/>
          <w:szCs w:val="21"/>
          <w:highlight w:val="none"/>
        </w:rPr>
        <w:t xml:space="preserve">授予最低报价的投标人。</w:t>
      </w:r>
      <w:r>
        <w:rPr>
          <w:color w:val="000000" w:themeColor="text1"/>
          <w:highlight w:val="none"/>
        </w:rPr>
      </w:r>
      <w:r/>
    </w:p>
    <w:p>
      <w:pPr>
        <w:pStyle w:val="953"/>
        <w:ind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3.我们已详细审核全部招标文件及其有效补充文件，我们知道必须放弃提出含糊不</w:t>
      </w:r>
      <w:r>
        <w:rPr>
          <w:rFonts w:hint="eastAsia" w:ascii="宋体" w:hAnsi="宋体"/>
          <w:color w:val="000000" w:themeColor="text1"/>
          <w:sz w:val="24"/>
          <w:szCs w:val="21"/>
          <w:highlight w:val="none"/>
        </w:rPr>
        <w:t xml:space="preserve">清或误解问题的权利。</w:t>
      </w:r>
      <w:r>
        <w:rPr>
          <w:color w:val="000000" w:themeColor="text1"/>
          <w:highlight w:val="none"/>
        </w:rPr>
      </w:r>
      <w:r/>
    </w:p>
    <w:p>
      <w:pPr>
        <w:pStyle w:val="953"/>
        <w:ind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4.我们同意从规定的开标日期起遵循本投标文件，并在规定的投标有效期期满之前均具有约束力。</w:t>
      </w:r>
      <w:r>
        <w:rPr>
          <w:color w:val="000000" w:themeColor="text1"/>
          <w:highlight w:val="none"/>
        </w:rPr>
      </w:r>
      <w:r/>
    </w:p>
    <w:p>
      <w:pPr>
        <w:pStyle w:val="953"/>
        <w:ind w:firstLine="480"/>
        <w:jc w:val="left"/>
        <w:spacing w:line="420" w:lineRule="exact"/>
        <w:rPr>
          <w:rFonts w:ascii="宋体" w:hAnsi="宋体"/>
          <w:color w:val="000000" w:themeColor="text1"/>
          <w:sz w:val="24"/>
          <w:szCs w:val="21"/>
          <w:highlight w:val="none"/>
        </w:rPr>
      </w:pPr>
      <w:r>
        <w:rPr>
          <w:rFonts w:ascii="宋体" w:hAnsi="宋体"/>
          <w:color w:val="000000" w:themeColor="text1"/>
          <w:sz w:val="24"/>
          <w:szCs w:val="21"/>
          <w:highlight w:val="none"/>
        </w:rPr>
        <w:t xml:space="preserve">5</w:t>
      </w:r>
      <w:r>
        <w:rPr>
          <w:rFonts w:hint="eastAsia" w:ascii="宋体" w:hAnsi="宋体"/>
          <w:color w:val="000000" w:themeColor="text1"/>
          <w:sz w:val="24"/>
          <w:szCs w:val="21"/>
          <w:highlight w:val="none"/>
        </w:rPr>
        <w:t xml:space="preserve">.同意向贵方提供贵方可能另外要求的与投标有关的任何证据或资料，并保证我方已提供和将要提供的文件是真实的、准确的。</w:t>
      </w:r>
      <w:r>
        <w:rPr>
          <w:color w:val="000000" w:themeColor="text1"/>
          <w:highlight w:val="none"/>
        </w:rPr>
      </w:r>
      <w:r/>
    </w:p>
    <w:p>
      <w:pPr>
        <w:pStyle w:val="953"/>
        <w:ind w:firstLine="480"/>
        <w:jc w:val="left"/>
        <w:spacing w:line="420" w:lineRule="exact"/>
        <w:rPr>
          <w:rFonts w:ascii="宋体" w:hAnsi="宋体"/>
          <w:color w:val="000000" w:themeColor="text1"/>
          <w:sz w:val="24"/>
          <w:szCs w:val="21"/>
          <w:highlight w:val="none"/>
        </w:rPr>
      </w:pP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.一旦我方中标,我方将根据招标文件的规定，严格履行合同的责任和义务,并保证在招标文件规定的时间完成项目，交付买方验收、使用。</w:t>
      </w:r>
      <w:r>
        <w:rPr>
          <w:color w:val="000000" w:themeColor="text1"/>
          <w:highlight w:val="none"/>
        </w:rPr>
      </w:r>
      <w:r/>
    </w:p>
    <w:p>
      <w:pPr>
        <w:pStyle w:val="953"/>
        <w:ind w:left="425"/>
        <w:jc w:val="left"/>
        <w:spacing w:line="420" w:lineRule="exact"/>
        <w:rPr>
          <w:rFonts w:ascii="宋体" w:hAnsi="宋体"/>
          <w:color w:val="000000" w:themeColor="text1"/>
          <w:sz w:val="24"/>
          <w:szCs w:val="21"/>
          <w:highlight w:val="none"/>
        </w:rPr>
      </w:pPr>
      <w:r>
        <w:rPr>
          <w:rFonts w:ascii="宋体" w:hAnsi="宋体"/>
          <w:color w:val="000000" w:themeColor="text1"/>
          <w:sz w:val="24"/>
          <w:szCs w:val="21"/>
          <w:highlight w:val="none"/>
        </w:rPr>
        <w:t xml:space="preserve">7</w:t>
      </w:r>
      <w:r>
        <w:rPr>
          <w:rFonts w:hint="eastAsia" w:ascii="宋体" w:hAnsi="宋体"/>
          <w:color w:val="000000" w:themeColor="text1"/>
          <w:sz w:val="24"/>
          <w:szCs w:val="21"/>
          <w:highlight w:val="none"/>
        </w:rPr>
        <w:t xml:space="preserve">.与本投标有关的正式通讯地址为：</w:t>
      </w:r>
      <w:r>
        <w:rPr>
          <w:color w:val="000000" w:themeColor="text1"/>
          <w:highlight w:val="none"/>
        </w:rPr>
      </w:r>
      <w:r/>
    </w:p>
    <w:p>
      <w:pPr>
        <w:pStyle w:val="953"/>
        <w:ind w:left="420"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地        址：</w:t>
      </w:r>
      <w:r>
        <w:rPr>
          <w:color w:val="000000" w:themeColor="text1"/>
          <w:highlight w:val="none"/>
        </w:rPr>
      </w:r>
      <w:r/>
    </w:p>
    <w:p>
      <w:pPr>
        <w:pStyle w:val="953"/>
        <w:ind w:left="420"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邮        编：</w:t>
      </w:r>
      <w:r>
        <w:rPr>
          <w:color w:val="000000" w:themeColor="text1"/>
          <w:highlight w:val="none"/>
        </w:rPr>
      </w:r>
      <w:r/>
    </w:p>
    <w:p>
      <w:pPr>
        <w:pStyle w:val="953"/>
        <w:ind w:left="420"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电        话：</w:t>
      </w:r>
      <w:r>
        <w:rPr>
          <w:color w:val="000000" w:themeColor="text1"/>
          <w:highlight w:val="none"/>
        </w:rPr>
      </w:r>
      <w:r/>
    </w:p>
    <w:p>
      <w:pPr>
        <w:pStyle w:val="953"/>
        <w:ind w:left="420"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传        真：</w:t>
      </w:r>
      <w:r>
        <w:rPr>
          <w:color w:val="000000" w:themeColor="text1"/>
          <w:highlight w:val="none"/>
        </w:rPr>
      </w:r>
      <w:r/>
    </w:p>
    <w:p>
      <w:pPr>
        <w:pStyle w:val="953"/>
        <w:ind w:left="420"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投标人开户行：</w:t>
      </w:r>
      <w:r>
        <w:rPr>
          <w:color w:val="000000" w:themeColor="text1"/>
          <w:highlight w:val="none"/>
        </w:rPr>
      </w:r>
      <w:r/>
    </w:p>
    <w:p>
      <w:pPr>
        <w:pStyle w:val="953"/>
        <w:ind w:left="420"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账   </w:t>
      </w:r>
      <w:r>
        <w:rPr>
          <w:rFonts w:hint="eastAsia" w:ascii="宋体" w:hAnsi="宋体"/>
          <w:color w:val="000000" w:themeColor="text1"/>
          <w:sz w:val="24"/>
          <w:szCs w:val="21"/>
          <w:highlight w:val="none"/>
        </w:rPr>
        <w:t xml:space="preserve">     号：</w:t>
      </w:r>
      <w:r>
        <w:rPr>
          <w:color w:val="000000" w:themeColor="text1"/>
          <w:highlight w:val="none"/>
        </w:rPr>
      </w:r>
      <w:r/>
    </w:p>
    <w:p>
      <w:pPr>
        <w:pStyle w:val="953"/>
        <w:ind w:left="420"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日        期：________年____月____日</w:t>
      </w:r>
      <w:r>
        <w:rPr>
          <w:color w:val="000000" w:themeColor="text1"/>
          <w:highlight w:val="none"/>
        </w:rPr>
      </w:r>
      <w:r/>
    </w:p>
    <w:p>
      <w:pPr>
        <w:pStyle w:val="953"/>
        <w:numPr>
          <w:ilvl w:val="0"/>
          <w:numId w:val="9"/>
        </w:numPr>
        <w:ind w:firstLine="321"/>
        <w:jc w:val="center"/>
        <w:spacing w:line="560" w:lineRule="exact"/>
        <w:rPr>
          <w:rFonts w:ascii="宋体" w:hAnsi="宋体" w:cs="宋体"/>
          <w:b/>
          <w:color w:val="000000" w:themeColor="text1"/>
          <w:sz w:val="28"/>
          <w:szCs w:val="28"/>
          <w:highlight w:val="none"/>
        </w:rPr>
        <w:outlineLvl w:val="1"/>
      </w:pPr>
      <w:r>
        <w:rPr>
          <w:rFonts w:hint="eastAsia"/>
          <w:color w:val="000000" w:themeColor="text1"/>
          <w:szCs w:val="21"/>
          <w:highlight w:val="none"/>
        </w:rPr>
        <w:br w:type="page" w:clear="all"/>
      </w:r>
      <w:bookmarkStart w:id="187" w:name="_Toc20163"/>
      <w:r>
        <w:rPr>
          <w:rFonts w:hint="eastAsia" w:ascii="宋体" w:hAnsi="宋体" w:cs="宋体"/>
          <w:b/>
          <w:bCs/>
          <w:iCs/>
          <w:color w:val="000000" w:themeColor="text1"/>
          <w:sz w:val="28"/>
          <w:szCs w:val="28"/>
          <w:highlight w:val="none"/>
        </w:rPr>
        <w:t xml:space="preserve">中小微企业声明函</w:t>
      </w:r>
      <w:bookmarkEnd w:id="187"/>
      <w:r>
        <w:rPr>
          <w:color w:val="000000" w:themeColor="text1"/>
          <w:highlight w:val="none"/>
        </w:rPr>
      </w:r>
      <w:r/>
    </w:p>
    <w:p>
      <w:pPr>
        <w:pStyle w:val="953"/>
        <w:ind w:firstLine="281"/>
        <w:jc w:val="center"/>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中小微企业声明函（货物类项目）</w:t>
      </w:r>
      <w:r>
        <w:rPr>
          <w:color w:val="000000" w:themeColor="text1"/>
          <w:highlight w:val="none"/>
        </w:rPr>
      </w:r>
      <w:r/>
    </w:p>
    <w:p>
      <w:pPr>
        <w:pStyle w:val="953"/>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本公司（联合体）郑重声明，根据《政府采购促进中小企业发展管理办法》(财库[2020]46号)的规定，本公司（联合体）参加江苏苏豪创新科技集团高科有限公司组织的</w:t>
      </w:r>
      <w:r>
        <w:rPr>
          <w:rFonts w:hint="eastAsia" w:ascii="宋体" w:hAnsi="宋体" w:cs="宋体"/>
          <w:color w:val="000000" w:themeColor="text1"/>
          <w:sz w:val="24"/>
          <w:highlight w:val="none"/>
          <w:u w:val="single"/>
        </w:rPr>
        <w:t xml:space="preserve">（单位名称）</w:t>
      </w:r>
      <w:r>
        <w:rPr>
          <w:rFonts w:hint="eastAsia" w:ascii="宋体" w:hAnsi="宋体" w:cs="宋体"/>
          <w:color w:val="000000" w:themeColor="text1"/>
          <w:sz w:val="24"/>
          <w:highlight w:val="none"/>
        </w:rPr>
        <w:t xml:space="preserve">采购编号为</w:t>
      </w:r>
      <w:r>
        <w:rPr>
          <w:rFonts w:hint="eastAsia" w:ascii="宋体" w:hAnsi="宋体" w:cs="宋体"/>
          <w:color w:val="000000" w:themeColor="text1"/>
          <w:sz w:val="24"/>
          <w:szCs w:val="24"/>
          <w:highlight w:val="none"/>
        </w:rPr>
        <w:t xml:space="preserve">JSZC-320</w:t>
      </w:r>
      <w:r>
        <w:rPr>
          <w:rFonts w:hint="eastAsia" w:ascii="宋体" w:hAnsi="宋体" w:cs="宋体"/>
          <w:color w:val="000000" w:themeColor="text1"/>
          <w:sz w:val="24"/>
          <w:szCs w:val="24"/>
          <w:highlight w:val="none"/>
          <w:u w:val="single"/>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u w:val="single"/>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u w:val="single"/>
        </w:rPr>
        <w:t xml:space="preserve">****</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u w:val="single"/>
        </w:rPr>
        <w:t xml:space="preserve">（项目名称）</w:t>
      </w:r>
      <w:r>
        <w:rPr>
          <w:rFonts w:hint="eastAsia" w:ascii="宋体" w:hAnsi="宋体" w:cs="宋体"/>
          <w:color w:val="000000" w:themeColor="text1"/>
          <w:sz w:val="24"/>
          <w:highlight w:val="none"/>
        </w:rPr>
        <w:t xml:space="preserve">的采购活动，提供的货物全部由符合政策要求的中小</w:t>
      </w:r>
      <w:r>
        <w:rPr>
          <w:rFonts w:hint="eastAsia" w:ascii="宋体" w:hAnsi="宋体" w:cs="宋体"/>
          <w:color w:val="000000" w:themeColor="text1"/>
          <w:sz w:val="24"/>
          <w:highlight w:val="none"/>
        </w:rPr>
        <w:t xml:space="preserve">微企业制造。根据《工业和信息化部、国家统计局、国家发展和改革委员会、财政部关于印发中小企业划型标准</w:t>
      </w:r>
      <w:r>
        <w:rPr>
          <w:rFonts w:hint="eastAsia" w:ascii="宋体" w:hAnsi="宋体" w:cs="宋体"/>
          <w:color w:val="000000" w:themeColor="text1"/>
          <w:sz w:val="24"/>
          <w:highlight w:val="none"/>
        </w:rPr>
        <w:t xml:space="preserve">规定的通知》(工信部联企业[2011]300号)的规定，相关企业（含联合体中的中小微企业、签订分包意向协议的中小微企业）的具体情况如下：</w:t>
      </w:r>
      <w:r>
        <w:rPr>
          <w:color w:val="000000" w:themeColor="text1"/>
          <w:highlight w:val="none"/>
        </w:rPr>
      </w:r>
      <w:r/>
    </w:p>
    <w:p>
      <w:pPr>
        <w:pStyle w:val="953"/>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u w:val="single"/>
        </w:rPr>
        <w:t xml:space="preserve">（标的名称）</w:t>
      </w:r>
      <w:r>
        <w:rPr>
          <w:rFonts w:hint="eastAsia" w:ascii="宋体" w:hAnsi="宋体" w:cs="宋体"/>
          <w:i/>
          <w:color w:val="000000" w:themeColor="text1"/>
          <w:sz w:val="24"/>
          <w:highlight w:val="none"/>
        </w:rPr>
        <w:t xml:space="preserve">，</w:t>
      </w:r>
      <w:r>
        <w:rPr>
          <w:rFonts w:hint="eastAsia" w:ascii="宋体" w:hAnsi="宋体" w:cs="宋体"/>
          <w:color w:val="000000" w:themeColor="text1"/>
          <w:sz w:val="24"/>
          <w:highlight w:val="none"/>
        </w:rPr>
        <w:t xml:space="preserve">属于</w:t>
      </w:r>
      <w:r>
        <w:rPr>
          <w:rFonts w:hint="eastAsia" w:ascii="宋体" w:hAnsi="宋体" w:cs="宋体"/>
          <w:color w:val="000000" w:themeColor="text1"/>
          <w:sz w:val="24"/>
          <w:highlight w:val="none"/>
          <w:u w:val="single"/>
        </w:rPr>
        <w:t xml:space="preserve">工业</w:t>
      </w:r>
      <w:r>
        <w:rPr>
          <w:rFonts w:hint="eastAsia" w:ascii="宋体" w:hAnsi="宋体" w:cs="宋体"/>
          <w:color w:val="000000" w:themeColor="text1"/>
          <w:sz w:val="24"/>
          <w:highlight w:val="none"/>
        </w:rPr>
        <w:t xml:space="preserve">行业；制造商为</w:t>
      </w:r>
      <w:r>
        <w:rPr>
          <w:rFonts w:hint="eastAsia" w:ascii="宋体" w:hAnsi="宋体" w:cs="宋体"/>
          <w:color w:val="000000" w:themeColor="text1"/>
          <w:sz w:val="24"/>
          <w:highlight w:val="none"/>
          <w:u w:val="single"/>
        </w:rPr>
        <w:t xml:space="preserve">（企业名称）</w:t>
      </w:r>
      <w:r>
        <w:rPr>
          <w:rFonts w:hint="eastAsia" w:ascii="宋体" w:hAnsi="宋体" w:cs="宋体"/>
          <w:color w:val="000000" w:themeColor="text1"/>
          <w:sz w:val="24"/>
          <w:highlight w:val="none"/>
        </w:rPr>
        <w:t xml:space="preserve">，从业人员人，营业收入为万元，资产总额为万元，属于</w:t>
      </w:r>
      <w:r>
        <w:rPr>
          <w:rFonts w:hint="eastAsia" w:ascii="宋体" w:hAnsi="宋体" w:cs="宋体"/>
          <w:color w:val="000000" w:themeColor="text1"/>
          <w:sz w:val="24"/>
          <w:highlight w:val="none"/>
          <w:u w:val="single"/>
        </w:rPr>
        <w:t xml:space="preserve">（□中型企业 □小型企业 □微型企业）；</w:t>
      </w:r>
      <w:r>
        <w:rPr>
          <w:color w:val="000000" w:themeColor="text1"/>
          <w:highlight w:val="none"/>
        </w:rPr>
      </w:r>
      <w:r/>
    </w:p>
    <w:p>
      <w:pPr>
        <w:pStyle w:val="953"/>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u w:val="single"/>
        </w:rPr>
        <w:t xml:space="preserve">（标的名称）</w:t>
      </w:r>
      <w:r>
        <w:rPr>
          <w:rFonts w:hint="eastAsia" w:ascii="宋体" w:hAnsi="宋体" w:cs="宋体"/>
          <w:i/>
          <w:color w:val="000000" w:themeColor="text1"/>
          <w:sz w:val="24"/>
          <w:highlight w:val="none"/>
        </w:rPr>
        <w:t xml:space="preserve">，</w:t>
      </w:r>
      <w:r>
        <w:rPr>
          <w:rFonts w:hint="eastAsia" w:ascii="宋体" w:hAnsi="宋体" w:cs="宋体"/>
          <w:color w:val="000000" w:themeColor="text1"/>
          <w:sz w:val="24"/>
          <w:highlight w:val="none"/>
        </w:rPr>
        <w:t xml:space="preserve">属于</w:t>
      </w:r>
      <w:r>
        <w:rPr>
          <w:rFonts w:hint="eastAsia" w:ascii="宋体" w:hAnsi="宋体" w:cs="宋体"/>
          <w:color w:val="000000" w:themeColor="text1"/>
          <w:sz w:val="24"/>
          <w:highlight w:val="none"/>
          <w:u w:val="single"/>
        </w:rPr>
        <w:t xml:space="preserve">工业</w:t>
      </w:r>
      <w:r>
        <w:rPr>
          <w:rFonts w:hint="eastAsia" w:ascii="宋体" w:hAnsi="宋体" w:cs="宋体"/>
          <w:color w:val="000000" w:themeColor="text1"/>
          <w:sz w:val="24"/>
          <w:highlight w:val="none"/>
        </w:rPr>
        <w:t xml:space="preserve">行业；制造商为</w:t>
      </w:r>
      <w:r>
        <w:rPr>
          <w:rFonts w:hint="eastAsia" w:ascii="宋体" w:hAnsi="宋体" w:cs="宋体"/>
          <w:color w:val="000000" w:themeColor="text1"/>
          <w:sz w:val="24"/>
          <w:highlight w:val="none"/>
          <w:u w:val="single"/>
        </w:rPr>
        <w:t xml:space="preserve">（企业名称）</w:t>
      </w:r>
      <w:r>
        <w:rPr>
          <w:rFonts w:hint="eastAsia" w:ascii="宋体" w:hAnsi="宋体" w:cs="宋体"/>
          <w:color w:val="000000" w:themeColor="text1"/>
          <w:sz w:val="24"/>
          <w:highlight w:val="none"/>
        </w:rPr>
        <w:t xml:space="preserve">，从业人员人，营业收入为万元，资产总额为万元，属于</w:t>
      </w:r>
      <w:r>
        <w:rPr>
          <w:rFonts w:hint="eastAsia" w:ascii="宋体" w:hAnsi="宋体" w:cs="宋体"/>
          <w:color w:val="000000" w:themeColor="text1"/>
          <w:sz w:val="24"/>
          <w:highlight w:val="none"/>
          <w:u w:val="single"/>
        </w:rPr>
        <w:t xml:space="preserve">（□中型企业 □小型企业 □微</w:t>
      </w:r>
      <w:r>
        <w:rPr>
          <w:rFonts w:hint="eastAsia" w:ascii="宋体" w:hAnsi="宋体" w:cs="宋体"/>
          <w:color w:val="000000" w:themeColor="text1"/>
          <w:sz w:val="24"/>
          <w:highlight w:val="none"/>
          <w:u w:val="single"/>
        </w:rPr>
        <w:t xml:space="preserve">型企业）；</w:t>
      </w:r>
      <w:r>
        <w:rPr>
          <w:color w:val="000000" w:themeColor="text1"/>
          <w:highlight w:val="none"/>
        </w:rPr>
      </w:r>
      <w:r/>
    </w:p>
    <w:p>
      <w:pPr>
        <w:pStyle w:val="953"/>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w:t>
      </w:r>
      <w:r>
        <w:rPr>
          <w:color w:val="000000" w:themeColor="text1"/>
          <w:highlight w:val="none"/>
        </w:rPr>
      </w:r>
      <w:r/>
    </w:p>
    <w:p>
      <w:pPr>
        <w:pStyle w:val="953"/>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以上企业，不属于大企业的分支机构，不存在控股股东为大企业的情形，也不存在与大企业</w:t>
      </w:r>
      <w:r>
        <w:rPr>
          <w:rFonts w:hint="eastAsia" w:ascii="宋体" w:hAnsi="宋体" w:cs="宋体"/>
          <w:color w:val="000000" w:themeColor="text1"/>
          <w:sz w:val="24"/>
          <w:highlight w:val="none"/>
        </w:rPr>
        <w:t xml:space="preserve">的负责人为同一人的情形。</w:t>
      </w:r>
      <w:r>
        <w:rPr>
          <w:color w:val="000000" w:themeColor="text1"/>
          <w:highlight w:val="none"/>
        </w:rPr>
      </w:r>
      <w:r/>
    </w:p>
    <w:p>
      <w:pPr>
        <w:pStyle w:val="953"/>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本企业对上述声明内容的真实性负责。如有虚假，将依法承担相应责任</w:t>
      </w:r>
      <w:r>
        <w:rPr>
          <w:color w:val="000000" w:themeColor="text1"/>
          <w:highlight w:val="none"/>
        </w:rPr>
      </w:r>
      <w:r/>
    </w:p>
    <w:p>
      <w:pPr>
        <w:pStyle w:val="953"/>
        <w:ind w:right="72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 </w:t>
      </w:r>
      <w:r>
        <w:rPr>
          <w:color w:val="000000" w:themeColor="text1"/>
          <w:highlight w:val="none"/>
        </w:rPr>
      </w:r>
      <w:r/>
    </w:p>
    <w:p>
      <w:pPr>
        <w:pStyle w:val="953"/>
        <w:ind w:right="180" w:firstLine="420"/>
        <w:jc w:val="right"/>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企业名称（加盖CA电子公章）：</w:t>
      </w:r>
      <w:r>
        <w:rPr>
          <w:color w:val="000000" w:themeColor="text1"/>
          <w:highlight w:val="none"/>
        </w:rPr>
      </w:r>
      <w:r/>
    </w:p>
    <w:p>
      <w:pPr>
        <w:pStyle w:val="953"/>
        <w:ind w:right="480" w:firstLine="630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日  期：</w:t>
      </w:r>
      <w:r>
        <w:rPr>
          <w:color w:val="000000" w:themeColor="text1"/>
          <w:highlight w:val="none"/>
        </w:rPr>
      </w:r>
      <w:r/>
    </w:p>
    <w:p>
      <w:pPr>
        <w:pStyle w:val="953"/>
        <w:ind w:right="480" w:firstLine="630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r>
      <w:r>
        <w:rPr>
          <w:color w:val="000000" w:themeColor="text1"/>
          <w:highlight w:val="none"/>
        </w:rPr>
      </w:r>
      <w:r/>
    </w:p>
    <w:p>
      <w:pPr>
        <w:pStyle w:val="953"/>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备注：</w:t>
      </w:r>
      <w:r>
        <w:rPr>
          <w:color w:val="000000" w:themeColor="text1"/>
          <w:highlight w:val="none"/>
        </w:rPr>
      </w:r>
      <w:r/>
    </w:p>
    <w:p>
      <w:pPr>
        <w:pStyle w:val="953"/>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1.从业人员、营业收入、资产总额填报上一年度数据，无上一年度数据的新成立企业可不填报。</w:t>
      </w:r>
      <w:r>
        <w:rPr>
          <w:color w:val="000000" w:themeColor="text1"/>
          <w:highlight w:val="none"/>
        </w:rPr>
      </w:r>
      <w:r/>
    </w:p>
    <w:p>
      <w:pPr>
        <w:pStyle w:val="953"/>
        <w:ind w:firstLine="562"/>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color w:val="000000" w:themeColor="text1"/>
          <w:highlight w:val="none"/>
        </w:rPr>
      </w:r>
      <w:r/>
    </w:p>
    <w:p>
      <w:pPr>
        <w:pStyle w:val="953"/>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3.供应商自行勾选</w:t>
      </w:r>
      <w:r>
        <w:rPr>
          <w:rFonts w:hint="eastAsia" w:ascii="宋体" w:hAnsi="宋体" w:cs="宋体"/>
          <w:color w:val="000000" w:themeColor="text1"/>
          <w:sz w:val="24"/>
          <w:highlight w:val="none"/>
        </w:rPr>
        <w:t xml:space="preserve">制造商的企业规模类型。</w:t>
      </w:r>
      <w:r>
        <w:rPr>
          <w:color w:val="000000" w:themeColor="text1"/>
          <w:highlight w:val="none"/>
        </w:rPr>
      </w:r>
      <w:r/>
    </w:p>
    <w:p>
      <w:pPr>
        <w:pStyle w:val="953"/>
        <w:numPr>
          <w:ilvl w:val="0"/>
          <w:numId w:val="9"/>
        </w:numPr>
        <w:ind w:firstLine="321"/>
        <w:jc w:val="center"/>
        <w:spacing w:line="460" w:lineRule="exact"/>
        <w:rPr>
          <w:rFonts w:hint="eastAsia" w:ascii="宋体" w:hAnsi="宋体" w:cs="宋体"/>
          <w:b/>
          <w:color w:val="000000" w:themeColor="text1"/>
          <w:sz w:val="24"/>
          <w:szCs w:val="24"/>
          <w:highlight w:val="none"/>
        </w:rPr>
        <w:outlineLvl w:val="1"/>
      </w:pPr>
      <w:r>
        <w:rPr>
          <w:rFonts w:hint="eastAsia" w:ascii="宋体" w:hAnsi="宋体" w:cs="宋体"/>
          <w:b/>
          <w:color w:val="000000" w:themeColor="text1"/>
          <w:sz w:val="24"/>
          <w:szCs w:val="24"/>
          <w:highlight w:val="none"/>
        </w:rPr>
        <w:br w:type="page" w:clear="all"/>
      </w:r>
      <w:bookmarkStart w:id="188" w:name="_Toc31478"/>
      <w:r>
        <w:rPr>
          <w:rFonts w:hint="eastAsia" w:ascii="宋体" w:hAnsi="宋体" w:cs="宋体"/>
          <w:b/>
          <w:bCs/>
          <w:iCs/>
          <w:color w:val="000000" w:themeColor="text1"/>
          <w:sz w:val="28"/>
          <w:szCs w:val="28"/>
          <w:highlight w:val="none"/>
        </w:rPr>
        <w:t xml:space="preserve">残疾人福利性单位声明函</w:t>
      </w:r>
      <w:bookmarkEnd w:id="188"/>
      <w:r>
        <w:rPr>
          <w:color w:val="000000" w:themeColor="text1"/>
          <w:highlight w:val="none"/>
        </w:rPr>
      </w:r>
      <w:r/>
    </w:p>
    <w:p>
      <w:pPr>
        <w:pStyle w:val="953"/>
        <w:ind w:left="561" w:hanging="141"/>
        <w:jc w:val="center"/>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残疾人福利性单位声明函（货物类项目）</w:t>
      </w:r>
      <w:r>
        <w:rPr>
          <w:color w:val="000000" w:themeColor="text1"/>
          <w:highlight w:val="none"/>
        </w:rPr>
      </w:r>
      <w:r/>
    </w:p>
    <w:p>
      <w:pPr>
        <w:pStyle w:val="953"/>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本单位郑重</w:t>
      </w:r>
      <w:r>
        <w:rPr>
          <w:rFonts w:hint="eastAsia" w:ascii="宋体" w:hAnsi="宋体" w:cs="宋体"/>
          <w:color w:val="000000" w:themeColor="text1"/>
          <w:sz w:val="24"/>
          <w:highlight w:val="none"/>
        </w:rPr>
        <w:t xml:space="preserve">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cs="宋体"/>
          <w:color w:val="000000" w:themeColor="text1"/>
          <w:sz w:val="24"/>
          <w:szCs w:val="24"/>
          <w:highlight w:val="none"/>
        </w:rPr>
        <w:t xml:space="preserve">JSZC-320</w:t>
      </w:r>
      <w:r>
        <w:rPr>
          <w:rFonts w:hint="eastAsia" w:ascii="宋体" w:hAnsi="宋体" w:cs="宋体"/>
          <w:color w:val="000000" w:themeColor="text1"/>
          <w:sz w:val="24"/>
          <w:szCs w:val="24"/>
          <w:highlight w:val="none"/>
          <w:u w:val="single"/>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u w:val="single"/>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u w:val="single"/>
        </w:rPr>
        <w:t xml:space="preserve">****</w:t>
      </w:r>
      <w:r>
        <w:rPr>
          <w:rFonts w:hint="eastAsia" w:ascii="宋体" w:hAnsi="宋体" w:cs="宋体"/>
          <w:color w:val="000000" w:themeColor="text1"/>
          <w:sz w:val="24"/>
          <w:highlight w:val="none"/>
        </w:rPr>
        <w:t xml:space="preserve">的项目采购活动提供本单位制造的货物，或者提供其他残疾人福利性单位制造的货物（不包括使用非残疾人福利性单位注册商标的货物）。</w:t>
      </w:r>
      <w:r>
        <w:rPr>
          <w:color w:val="000000" w:themeColor="text1"/>
          <w:highlight w:val="none"/>
        </w:rPr>
      </w:r>
      <w:r/>
    </w:p>
    <w:p>
      <w:pPr>
        <w:pStyle w:val="953"/>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本单位对上述声明的真实性负责。如有虚假，将依法</w:t>
      </w:r>
      <w:r>
        <w:rPr>
          <w:rFonts w:hint="eastAsia" w:ascii="宋体" w:hAnsi="宋体" w:cs="宋体"/>
          <w:color w:val="000000" w:themeColor="text1"/>
          <w:sz w:val="24"/>
          <w:highlight w:val="none"/>
        </w:rPr>
        <w:t xml:space="preserve">承担相应责任。</w:t>
      </w:r>
      <w:r>
        <w:rPr>
          <w:color w:val="000000" w:themeColor="text1"/>
          <w:highlight w:val="none"/>
        </w:rPr>
      </w:r>
      <w:r/>
    </w:p>
    <w:p>
      <w:pPr>
        <w:pStyle w:val="953"/>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 </w:t>
      </w:r>
      <w:r>
        <w:rPr>
          <w:color w:val="000000" w:themeColor="text1"/>
          <w:highlight w:val="none"/>
        </w:rPr>
      </w:r>
      <w:r/>
    </w:p>
    <w:p>
      <w:pPr>
        <w:pStyle w:val="953"/>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备注：</w:t>
      </w:r>
      <w:r>
        <w:rPr>
          <w:color w:val="000000" w:themeColor="text1"/>
          <w:highlight w:val="none"/>
        </w:rPr>
      </w:r>
      <w:r/>
    </w:p>
    <w:p>
      <w:pPr>
        <w:pStyle w:val="953"/>
        <w:ind w:firstLine="562"/>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1.专门面向中小微型企业采购的项目，供应商为残疾人福利性单位并提供本单</w:t>
      </w:r>
      <w:r>
        <w:rPr>
          <w:rFonts w:hint="eastAsia" w:ascii="宋体" w:hAnsi="宋体" w:cs="宋体"/>
          <w:b/>
          <w:color w:val="000000" w:themeColor="text1"/>
          <w:sz w:val="24"/>
          <w:highlight w:val="none"/>
        </w:rPr>
        <w:t xml:space="preserve">位制造的货物，或者提供其他残疾人福利性单位制造的货物，必须提供此声明函，否则将不能通过资格审查。</w:t>
      </w:r>
      <w:r>
        <w:rPr>
          <w:color w:val="000000" w:themeColor="text1"/>
          <w:highlight w:val="none"/>
        </w:rPr>
      </w:r>
      <w:r/>
    </w:p>
    <w:p>
      <w:pPr>
        <w:pStyle w:val="953"/>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 非专门面向中小微型企业采购的项目，供应商如不提供此声明函，价格将不做相应扣除。</w:t>
      </w:r>
      <w:r>
        <w:rPr>
          <w:color w:val="000000" w:themeColor="text1"/>
          <w:highlight w:val="none"/>
        </w:rPr>
      </w:r>
      <w:r/>
    </w:p>
    <w:p>
      <w:pPr>
        <w:pStyle w:val="953"/>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3.中标/成交供应商为残疾人福利性单位的，此声明函将随中标/成交结果同时公告，接受社会监督。</w:t>
      </w:r>
      <w:r>
        <w:rPr>
          <w:color w:val="000000" w:themeColor="text1"/>
          <w:highlight w:val="none"/>
        </w:rPr>
      </w:r>
      <w:r/>
    </w:p>
    <w:p>
      <w:pPr>
        <w:pStyle w:val="953"/>
        <w:ind w:firstLine="584"/>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4"/>
          <w:highlight w:val="none"/>
        </w:rPr>
        <w:t xml:space="preserve"> </w:t>
      </w:r>
      <w:r>
        <w:rPr>
          <w:color w:val="000000" w:themeColor="text1"/>
          <w:highlight w:val="none"/>
        </w:rPr>
      </w:r>
      <w:r/>
    </w:p>
    <w:p>
      <w:pPr>
        <w:pStyle w:val="953"/>
        <w:ind w:right="873" w:firstLine="584"/>
        <w:jc w:val="center"/>
        <w:spacing w:line="479" w:lineRule="atLeast"/>
        <w:tabs>
          <w:tab w:val="left" w:pos="4860" w:leader="none"/>
        </w:tabs>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       供应商全称（加盖CA电子章）：</w:t>
      </w:r>
      <w:r>
        <w:rPr>
          <w:color w:val="000000" w:themeColor="text1"/>
          <w:highlight w:val="none"/>
        </w:rPr>
      </w:r>
      <w:r/>
    </w:p>
    <w:p>
      <w:pPr>
        <w:pStyle w:val="953"/>
        <w:ind w:right="1559" w:firstLine="560"/>
        <w:jc w:val="center"/>
        <w:spacing w:line="479" w:lineRule="atLeast"/>
        <w:tabs>
          <w:tab w:val="left" w:pos="4860" w:leader="none"/>
        </w:tabs>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        日  期：</w:t>
      </w:r>
      <w:r>
        <w:rPr>
          <w:color w:val="000000" w:themeColor="text1"/>
          <w:highlight w:val="none"/>
        </w:rPr>
      </w:r>
      <w:r/>
    </w:p>
    <w:p>
      <w:pPr>
        <w:pStyle w:val="953"/>
        <w:jc w:val="center"/>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 </w:t>
      </w:r>
      <w:r>
        <w:rPr>
          <w:color w:val="000000" w:themeColor="text1"/>
          <w:highlight w:val="none"/>
        </w:rPr>
      </w:r>
      <w:r/>
    </w:p>
    <w:p>
      <w:pPr>
        <w:pStyle w:val="953"/>
        <w:jc w:val="center"/>
        <w:spacing w:line="560" w:lineRule="exact"/>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r/>
    </w:p>
    <w:p>
      <w:pPr>
        <w:pStyle w:val="953"/>
        <w:jc w:val="center"/>
        <w:spacing w:line="560" w:lineRule="exact"/>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r/>
    </w:p>
    <w:p>
      <w:pPr>
        <w:pStyle w:val="953"/>
        <w:jc w:val="center"/>
        <w:spacing w:line="560" w:lineRule="exact"/>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r/>
    </w:p>
    <w:p>
      <w:pPr>
        <w:pStyle w:val="953"/>
        <w:jc w:val="center"/>
        <w:spacing w:line="560" w:lineRule="exact"/>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r/>
    </w:p>
    <w:p>
      <w:pPr>
        <w:pStyle w:val="953"/>
        <w:jc w:val="center"/>
        <w:spacing w:line="560" w:lineRule="exact"/>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r/>
    </w:p>
    <w:p>
      <w:pPr>
        <w:pStyle w:val="953"/>
        <w:jc w:val="left"/>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br w:type="page" w:clear="all"/>
      </w:r>
      <w:r>
        <w:rPr>
          <w:color w:val="000000" w:themeColor="text1"/>
          <w:highlight w:val="none"/>
        </w:rPr>
      </w:r>
      <w:r/>
    </w:p>
    <w:p>
      <w:pPr>
        <w:pStyle w:val="953"/>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r/>
    </w:p>
    <w:p>
      <w:pPr>
        <w:pStyle w:val="953"/>
        <w:numPr>
          <w:ilvl w:val="0"/>
          <w:numId w:val="9"/>
        </w:numPr>
        <w:ind w:firstLine="321"/>
        <w:jc w:val="center"/>
        <w:spacing w:line="460" w:lineRule="exact"/>
        <w:rPr>
          <w:rFonts w:ascii="宋体" w:hAnsi="宋体" w:cs="宋体"/>
          <w:iCs/>
          <w:color w:val="000000" w:themeColor="text1"/>
          <w:sz w:val="28"/>
          <w:szCs w:val="28"/>
          <w:highlight w:val="none"/>
        </w:rPr>
        <w:outlineLvl w:val="1"/>
      </w:pPr>
      <w:r>
        <w:rPr>
          <w:rFonts w:hint="eastAsia" w:ascii="宋体" w:hAnsi="宋体" w:cs="宋体"/>
          <w:iCs/>
          <w:color w:val="000000" w:themeColor="text1"/>
          <w:sz w:val="28"/>
          <w:szCs w:val="28"/>
          <w:highlight w:val="none"/>
        </w:rPr>
        <w:t xml:space="preserve">技术、商务条款偏离表</w:t>
      </w:r>
      <w:r>
        <w:rPr>
          <w:color w:val="000000" w:themeColor="text1"/>
          <w:highlight w:val="none"/>
        </w:rPr>
      </w:r>
      <w:r/>
    </w:p>
    <w:p>
      <w:pPr>
        <w:pStyle w:val="953"/>
        <w:ind w:firstLine="281"/>
        <w:jc w:val="center"/>
        <w:spacing w:after="160" w:line="278" w:lineRule="auto"/>
        <w:rPr>
          <w:color w:val="000000" w:themeColor="text1"/>
          <w:sz w:val="28"/>
          <w:szCs w:val="28"/>
          <w:highlight w:val="none"/>
        </w:rPr>
      </w:pPr>
      <w:r>
        <w:rPr>
          <w:rFonts w:ascii="宋体" w:hAnsi="宋体" w:cs="宋体"/>
          <w:b/>
          <w:bCs/>
          <w:color w:val="000000" w:themeColor="text1"/>
          <w:sz w:val="28"/>
          <w:szCs w:val="28"/>
          <w:highlight w:val="none"/>
        </w:rPr>
        <w:t xml:space="preserve">技术要求响应/偏</w:t>
      </w:r>
      <w:r>
        <w:rPr>
          <w:rFonts w:ascii="宋体" w:hAnsi="宋体" w:cs="宋体"/>
          <w:b/>
          <w:bCs/>
          <w:color w:val="000000" w:themeColor="text1"/>
          <w:sz w:val="28"/>
          <w:szCs w:val="28"/>
          <w:highlight w:val="none"/>
        </w:rPr>
        <w:t xml:space="preserve">离表</w:t>
      </w:r>
      <w:r>
        <w:rPr>
          <w:color w:val="000000" w:themeColor="text1"/>
          <w:highlight w:val="none"/>
        </w:rPr>
      </w:r>
      <w:r/>
    </w:p>
    <w:p>
      <w:pPr>
        <w:pStyle w:val="953"/>
        <w:jc w:val="center"/>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（根据招标文件第四章 </w:t>
      </w:r>
      <w:r>
        <w:rPr>
          <w:rFonts w:ascii="宋体" w:hAnsi="宋体" w:cs="宋体"/>
          <w:b/>
          <w:bCs/>
          <w:color w:val="000000" w:themeColor="text1"/>
          <w:sz w:val="24"/>
          <w:szCs w:val="24"/>
          <w:highlight w:val="none"/>
        </w:rPr>
        <w:t xml:space="preserve">二、技术要求</w:t>
      </w:r>
      <w:r>
        <w:rPr>
          <w:rFonts w:ascii="宋体" w:hAnsi="宋体" w:cs="宋体"/>
          <w:color w:val="000000" w:themeColor="text1"/>
          <w:sz w:val="24"/>
          <w:szCs w:val="24"/>
          <w:highlight w:val="none"/>
        </w:rPr>
        <w:t xml:space="preserve">的内容填写，必须点对点应答，逐条进行响应）</w:t>
      </w:r>
      <w:r>
        <w:rPr>
          <w:color w:val="000000" w:themeColor="text1"/>
          <w:highlight w:val="none"/>
        </w:rPr>
      </w:r>
      <w:r/>
    </w:p>
    <w:p>
      <w:pPr>
        <w:pStyle w:val="953"/>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项目名称：</w:t>
      </w:r>
      <w:r>
        <w:rPr>
          <w:color w:val="000000" w:themeColor="text1"/>
          <w:highlight w:val="none"/>
        </w:rPr>
      </w:r>
      <w:r/>
    </w:p>
    <w:p>
      <w:pPr>
        <w:pStyle w:val="953"/>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项</w:t>
      </w:r>
      <w:r>
        <w:rPr>
          <w:rFonts w:ascii="宋体" w:hAnsi="宋体" w:cs="宋体"/>
          <w:color w:val="000000" w:themeColor="text1"/>
          <w:sz w:val="24"/>
          <w:szCs w:val="24"/>
          <w:highlight w:val="none"/>
        </w:rPr>
        <w:t xml:space="preserve">目编号：</w:t>
      </w:r>
      <w:r>
        <w:rPr>
          <w:color w:val="000000" w:themeColor="text1"/>
          <w:highlight w:val="none"/>
        </w:rPr>
      </w:r>
      <w:r/>
    </w:p>
    <w:tbl>
      <w:tblPr>
        <w:tblW w:w="4750" w:type="pct"/>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926"/>
        <w:gridCol w:w="2996"/>
        <w:gridCol w:w="2084"/>
        <w:gridCol w:w="1471"/>
        <w:gridCol w:w="1157"/>
      </w:tblGrid>
      <w:tr>
        <w:trPr>
          <w:trHeight w:val="883"/>
        </w:trPr>
        <w:tc>
          <w:tcPr>
            <w:tcBorders>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pStyle w:val="953"/>
              <w:jc w:val="center"/>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序号</w:t>
            </w:r>
            <w:r>
              <w:rPr>
                <w:color w:val="000000" w:themeColor="text1"/>
                <w:highlight w:val="none"/>
              </w:rPr>
            </w:r>
            <w:r/>
          </w:p>
        </w:tc>
        <w:tc>
          <w:tcPr>
            <w:tcBorders>
              <w:left w:val="single" w:color="000000" w:sz="6" w:space="0"/>
              <w:bottom w:val="single" w:color="000000" w:sz="6" w:space="0"/>
              <w:right w:val="single" w:color="000000" w:sz="6" w:space="0"/>
            </w:tcBorders>
            <w:tcMar>
              <w:left w:w="8" w:type="dxa"/>
              <w:top w:w="8" w:type="dxa"/>
              <w:right w:w="8" w:type="dxa"/>
              <w:bottom w:w="8" w:type="dxa"/>
            </w:tcMar>
            <w:tcW w:w="3378" w:type="dxa"/>
            <w:vAlign w:val="center"/>
            <w:textDirection w:val="lrTb"/>
            <w:noWrap w:val="false"/>
          </w:tcPr>
          <w:p>
            <w:pPr>
              <w:pStyle w:val="953"/>
              <w:jc w:val="center"/>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招标文件技术要求条款</w:t>
            </w:r>
            <w:r>
              <w:rPr>
                <w:color w:val="000000" w:themeColor="text1"/>
                <w:highlight w:val="none"/>
              </w:rPr>
            </w:r>
            <w:r/>
          </w:p>
        </w:tc>
        <w:tc>
          <w:tcPr>
            <w:tcBorders>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pStyle w:val="953"/>
              <w:jc w:val="center"/>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投标人技术响应</w:t>
            </w:r>
            <w:r>
              <w:rPr>
                <w:color w:val="000000" w:themeColor="text1"/>
                <w:highlight w:val="none"/>
              </w:rPr>
            </w:r>
            <w:r/>
          </w:p>
        </w:tc>
        <w:tc>
          <w:tcPr>
            <w:tcBorders>
              <w:left w:val="single" w:color="000000" w:sz="6" w:space="0"/>
              <w:bottom w:val="single" w:color="000000" w:sz="6" w:space="0"/>
              <w:right w:val="single" w:color="000000" w:sz="6" w:space="0"/>
            </w:tcBorders>
            <w:tcMar>
              <w:left w:w="8" w:type="dxa"/>
              <w:top w:w="8" w:type="dxa"/>
              <w:right w:w="8" w:type="dxa"/>
              <w:bottom w:w="8" w:type="dxa"/>
            </w:tcMar>
            <w:tcW w:w="1656" w:type="dxa"/>
            <w:vAlign w:val="center"/>
            <w:textDirection w:val="lrTb"/>
            <w:noWrap w:val="false"/>
          </w:tcPr>
          <w:p>
            <w:pPr>
              <w:pStyle w:val="953"/>
              <w:jc w:val="center"/>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符合</w:t>
            </w:r>
            <w:r>
              <w:rPr>
                <w:color w:val="000000" w:themeColor="text1"/>
                <w:sz w:val="24"/>
                <w:szCs w:val="24"/>
                <w:highlight w:val="none"/>
              </w:rPr>
              <w:t xml:space="preserve">/</w:t>
            </w:r>
            <w:r>
              <w:rPr>
                <w:rFonts w:ascii="宋体" w:hAnsi="宋体" w:cs="宋体"/>
                <w:color w:val="000000" w:themeColor="text1"/>
                <w:sz w:val="24"/>
                <w:szCs w:val="24"/>
                <w:highlight w:val="none"/>
              </w:rPr>
              <w:t xml:space="preserve">正偏离</w:t>
            </w:r>
            <w:r>
              <w:rPr>
                <w:color w:val="000000" w:themeColor="text1"/>
                <w:sz w:val="24"/>
                <w:szCs w:val="24"/>
                <w:highlight w:val="none"/>
              </w:rPr>
              <w:t xml:space="preserve">/</w:t>
            </w:r>
            <w:r>
              <w:rPr>
                <w:rFonts w:ascii="宋体" w:hAnsi="宋体" w:cs="宋体"/>
                <w:color w:val="000000" w:themeColor="text1"/>
                <w:sz w:val="24"/>
                <w:szCs w:val="24"/>
                <w:highlight w:val="none"/>
              </w:rPr>
              <w:t xml:space="preserve">负偏离</w:t>
            </w:r>
            <w:r>
              <w:rPr>
                <w:color w:val="000000" w:themeColor="text1"/>
                <w:highlight w:val="none"/>
              </w:rPr>
            </w:r>
            <w:r/>
          </w:p>
        </w:tc>
        <w:tc>
          <w:tcPr>
            <w:tcBorders>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pStyle w:val="953"/>
              <w:spacing w:after="160" w:line="278"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p>
            <w:pPr>
              <w:pStyle w:val="953"/>
              <w:jc w:val="center"/>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证明</w:t>
            </w:r>
            <w:r>
              <w:rPr>
                <w:color w:val="000000" w:themeColor="text1"/>
                <w:highlight w:val="none"/>
              </w:rPr>
            </w:r>
            <w:r/>
          </w:p>
          <w:p>
            <w:pPr>
              <w:pStyle w:val="953"/>
              <w:jc w:val="center"/>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材料</w:t>
            </w:r>
            <w:r>
              <w:rPr>
                <w:color w:val="000000" w:themeColor="text1"/>
                <w:highlight w:val="none"/>
              </w:rPr>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pStyle w:val="953"/>
              <w:jc w:val="center"/>
              <w:spacing w:after="160" w:line="278"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3378" w:type="dxa"/>
            <w:vAlign w:val="center"/>
            <w:textDirection w:val="lrTb"/>
            <w:noWrap w:val="false"/>
          </w:tcPr>
          <w:p>
            <w:pPr>
              <w:pStyle w:val="953"/>
              <w:spacing w:after="160" w:line="278"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pStyle w:val="953"/>
              <w:spacing w:after="160" w:line="278"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656" w:type="dxa"/>
            <w:vAlign w:val="center"/>
            <w:textDirection w:val="lrTb"/>
            <w:noWrap w:val="false"/>
          </w:tcPr>
          <w:p>
            <w:pPr>
              <w:pStyle w:val="953"/>
              <w:spacing w:after="160" w:line="278"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pStyle w:val="953"/>
              <w:spacing w:after="160" w:line="278" w:lineRule="auto"/>
              <w:rPr>
                <w:color w:val="000000" w:themeColor="text1"/>
                <w:highlight w:val="none"/>
              </w:rPr>
            </w:pPr>
            <w:r>
              <w:rPr>
                <w:color w:val="000000" w:themeColor="text1"/>
                <w:highlight w:val="none"/>
              </w:rPr>
            </w:r>
            <w:r>
              <w:rPr>
                <w:color w:val="000000" w:themeColor="text1"/>
                <w:highlight w:val="none"/>
              </w:rPr>
            </w:r>
            <w:r/>
          </w:p>
        </w:tc>
      </w:tr>
      <w:tr>
        <w:trP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pStyle w:val="953"/>
              <w:jc w:val="center"/>
              <w:spacing w:after="160" w:line="278"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000000" w:sz="6" w:space="0"/>
              <w:left w:val="single" w:color="000000" w:sz="6" w:space="0"/>
              <w:right w:val="single" w:color="000000" w:sz="6" w:space="0"/>
            </w:tcBorders>
            <w:tcMar>
              <w:left w:w="8" w:type="dxa"/>
              <w:top w:w="8" w:type="dxa"/>
              <w:right w:w="8" w:type="dxa"/>
              <w:bottom w:w="5" w:type="dxa"/>
            </w:tcMar>
            <w:tcW w:w="3378" w:type="dxa"/>
            <w:vAlign w:val="center"/>
            <w:textDirection w:val="lrTb"/>
            <w:noWrap w:val="false"/>
          </w:tcPr>
          <w:p>
            <w:pPr>
              <w:pStyle w:val="953"/>
              <w:spacing w:after="160" w:line="278"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pStyle w:val="953"/>
              <w:spacing w:after="160" w:line="278"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656" w:type="dxa"/>
            <w:vAlign w:val="center"/>
            <w:textDirection w:val="lrTb"/>
            <w:noWrap w:val="false"/>
          </w:tcPr>
          <w:p>
            <w:pPr>
              <w:pStyle w:val="953"/>
              <w:spacing w:after="160" w:line="278"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pStyle w:val="953"/>
              <w:spacing w:after="160" w:line="278" w:lineRule="auto"/>
              <w:rPr>
                <w:color w:val="000000" w:themeColor="text1"/>
                <w:highlight w:val="none"/>
              </w:rPr>
            </w:pPr>
            <w:r>
              <w:rPr>
                <w:color w:val="000000" w:themeColor="text1"/>
                <w:highlight w:val="none"/>
              </w:rPr>
            </w:r>
            <w:r>
              <w:rPr>
                <w:color w:val="000000" w:themeColor="text1"/>
                <w:highlight w:val="none"/>
              </w:rPr>
            </w:r>
            <w:r/>
          </w:p>
        </w:tc>
      </w:tr>
      <w:tr>
        <w:trP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pStyle w:val="953"/>
              <w:jc w:val="center"/>
              <w:spacing w:after="160" w:line="278"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000000" w:sz="6" w:space="0"/>
              <w:left w:val="single" w:color="000000" w:sz="6" w:space="0"/>
              <w:right w:val="single" w:color="000000" w:sz="6" w:space="0"/>
            </w:tcBorders>
            <w:tcMar>
              <w:left w:w="8" w:type="dxa"/>
              <w:top w:w="8" w:type="dxa"/>
              <w:right w:w="8" w:type="dxa"/>
              <w:bottom w:w="5" w:type="dxa"/>
            </w:tcMar>
            <w:tcW w:w="3378" w:type="dxa"/>
            <w:vAlign w:val="center"/>
            <w:textDirection w:val="lrTb"/>
            <w:noWrap w:val="false"/>
          </w:tcPr>
          <w:p>
            <w:pPr>
              <w:pStyle w:val="953"/>
              <w:spacing w:after="160" w:line="278"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pStyle w:val="953"/>
              <w:spacing w:after="160" w:line="278"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656" w:type="dxa"/>
            <w:vAlign w:val="center"/>
            <w:textDirection w:val="lrTb"/>
            <w:noWrap w:val="false"/>
          </w:tcPr>
          <w:p>
            <w:pPr>
              <w:pStyle w:val="953"/>
              <w:spacing w:after="160" w:line="278"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pStyle w:val="953"/>
              <w:spacing w:after="160" w:line="278" w:lineRule="auto"/>
              <w:rPr>
                <w:color w:val="000000" w:themeColor="text1"/>
                <w:highlight w:val="none"/>
              </w:rPr>
            </w:pPr>
            <w:r>
              <w:rPr>
                <w:color w:val="000000" w:themeColor="text1"/>
                <w:highlight w:val="none"/>
              </w:rPr>
            </w:r>
            <w:r>
              <w:rPr>
                <w:color w:val="000000" w:themeColor="text1"/>
                <w:highlight w:val="none"/>
              </w:rPr>
            </w:r>
            <w:r/>
          </w:p>
        </w:tc>
      </w:tr>
      <w:tr>
        <w:trP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pStyle w:val="953"/>
              <w:jc w:val="center"/>
              <w:spacing w:after="160" w:line="278"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000000" w:sz="6" w:space="0"/>
              <w:left w:val="single" w:color="000000" w:sz="6" w:space="0"/>
              <w:right w:val="single" w:color="000000" w:sz="6" w:space="0"/>
            </w:tcBorders>
            <w:tcMar>
              <w:left w:w="8" w:type="dxa"/>
              <w:top w:w="8" w:type="dxa"/>
              <w:right w:w="8" w:type="dxa"/>
              <w:bottom w:w="5" w:type="dxa"/>
            </w:tcMar>
            <w:tcW w:w="3378" w:type="dxa"/>
            <w:vAlign w:val="center"/>
            <w:textDirection w:val="lrTb"/>
            <w:noWrap w:val="false"/>
          </w:tcPr>
          <w:p>
            <w:pPr>
              <w:pStyle w:val="953"/>
              <w:spacing w:after="160" w:line="278"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pStyle w:val="953"/>
              <w:spacing w:after="160" w:line="278"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656" w:type="dxa"/>
            <w:vAlign w:val="center"/>
            <w:textDirection w:val="lrTb"/>
            <w:noWrap w:val="false"/>
          </w:tcPr>
          <w:p>
            <w:pPr>
              <w:pStyle w:val="953"/>
              <w:spacing w:after="160" w:line="278"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pStyle w:val="953"/>
              <w:spacing w:after="160" w:line="278" w:lineRule="auto"/>
              <w:rPr>
                <w:color w:val="000000" w:themeColor="text1"/>
                <w:highlight w:val="none"/>
              </w:rPr>
            </w:pPr>
            <w:r>
              <w:rPr>
                <w:color w:val="000000" w:themeColor="text1"/>
                <w:highlight w:val="none"/>
              </w:rPr>
            </w:r>
            <w:r>
              <w:rPr>
                <w:color w:val="000000" w:themeColor="text1"/>
                <w:highlight w:val="none"/>
              </w:rPr>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pStyle w:val="953"/>
              <w:jc w:val="center"/>
              <w:spacing w:after="160" w:line="278"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3378" w:type="dxa"/>
            <w:vAlign w:val="center"/>
            <w:textDirection w:val="lrTb"/>
            <w:noWrap w:val="false"/>
          </w:tcPr>
          <w:p>
            <w:pPr>
              <w:pStyle w:val="953"/>
              <w:spacing w:after="160" w:line="278"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pStyle w:val="953"/>
              <w:spacing w:after="160" w:line="278"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656" w:type="dxa"/>
            <w:vAlign w:val="center"/>
            <w:textDirection w:val="lrTb"/>
            <w:noWrap w:val="false"/>
          </w:tcPr>
          <w:p>
            <w:pPr>
              <w:pStyle w:val="953"/>
              <w:spacing w:after="160" w:line="278"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pStyle w:val="953"/>
              <w:spacing w:after="160" w:line="278" w:lineRule="auto"/>
              <w:rPr>
                <w:color w:val="000000" w:themeColor="text1"/>
                <w:highlight w:val="none"/>
              </w:rPr>
            </w:pPr>
            <w:r>
              <w:rPr>
                <w:color w:val="000000" w:themeColor="text1"/>
                <w:highlight w:val="none"/>
              </w:rPr>
            </w:r>
            <w:r>
              <w:rPr>
                <w:color w:val="000000" w:themeColor="text1"/>
                <w:highlight w:val="none"/>
              </w:rPr>
            </w:r>
            <w:r/>
          </w:p>
        </w:tc>
      </w:tr>
      <w:tr>
        <w:trPr>
          <w:trHeight w:val="615"/>
        </w:trPr>
        <w:tc>
          <w:tcPr>
            <w:tcBorders>
              <w:top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pStyle w:val="953"/>
              <w:jc w:val="center"/>
              <w:spacing w:after="160" w:line="278"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000000" w:sz="6" w:space="0"/>
              <w:left w:val="single" w:color="000000" w:sz="6" w:space="0"/>
              <w:right w:val="single" w:color="000000" w:sz="6" w:space="0"/>
            </w:tcBorders>
            <w:tcMar>
              <w:left w:w="8" w:type="dxa"/>
              <w:top w:w="8" w:type="dxa"/>
              <w:right w:w="8" w:type="dxa"/>
              <w:bottom w:w="8" w:type="dxa"/>
            </w:tcMar>
            <w:tcW w:w="3378" w:type="dxa"/>
            <w:vAlign w:val="center"/>
            <w:textDirection w:val="lrTb"/>
            <w:noWrap w:val="false"/>
          </w:tcPr>
          <w:p>
            <w:pPr>
              <w:pStyle w:val="953"/>
              <w:spacing w:after="160" w:line="278"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000000" w:sz="6" w:space="0"/>
              <w:left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pStyle w:val="953"/>
              <w:spacing w:after="160" w:line="278"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000000" w:sz="6" w:space="0"/>
              <w:left w:val="single" w:color="000000" w:sz="6" w:space="0"/>
              <w:right w:val="single" w:color="000000" w:sz="6" w:space="0"/>
            </w:tcBorders>
            <w:tcMar>
              <w:left w:w="8" w:type="dxa"/>
              <w:top w:w="8" w:type="dxa"/>
              <w:right w:w="8" w:type="dxa"/>
              <w:bottom w:w="8" w:type="dxa"/>
            </w:tcMar>
            <w:tcW w:w="1656" w:type="dxa"/>
            <w:vAlign w:val="center"/>
            <w:textDirection w:val="lrTb"/>
            <w:noWrap w:val="false"/>
          </w:tcPr>
          <w:p>
            <w:pPr>
              <w:pStyle w:val="953"/>
              <w:spacing w:after="160" w:line="278" w:lineRule="auto"/>
              <w:rPr>
                <w:color w:val="000000" w:themeColor="text1"/>
                <w:highlight w:val="none"/>
              </w:rPr>
            </w:pPr>
            <w:r>
              <w:rPr>
                <w:color w:val="000000" w:themeColor="text1"/>
                <w:highlight w:val="none"/>
              </w:rPr>
            </w:r>
            <w:r>
              <w:rPr>
                <w:color w:val="000000" w:themeColor="text1"/>
                <w:highlight w:val="none"/>
              </w:rPr>
            </w:r>
            <w:r/>
          </w:p>
        </w:tc>
        <w:tc>
          <w:tcPr>
            <w:tcBorders>
              <w:top w:val="single" w:color="000000" w:sz="6" w:space="0"/>
              <w:left w:val="single" w:color="000000" w:sz="6" w:space="0"/>
            </w:tcBorders>
            <w:tcMar>
              <w:left w:w="8" w:type="dxa"/>
              <w:top w:w="8" w:type="dxa"/>
              <w:right w:w="8" w:type="dxa"/>
              <w:bottom w:w="8" w:type="dxa"/>
            </w:tcMar>
            <w:tcW w:w="1302" w:type="dxa"/>
            <w:vAlign w:val="center"/>
            <w:textDirection w:val="lrTb"/>
            <w:noWrap w:val="false"/>
          </w:tcPr>
          <w:p>
            <w:pPr>
              <w:pStyle w:val="953"/>
              <w:spacing w:after="160" w:line="278" w:lineRule="auto"/>
              <w:rPr>
                <w:color w:val="000000" w:themeColor="text1"/>
                <w:highlight w:val="none"/>
              </w:rPr>
            </w:pPr>
            <w:r>
              <w:rPr>
                <w:color w:val="000000" w:themeColor="text1"/>
                <w:highlight w:val="none"/>
              </w:rPr>
            </w:r>
            <w:r>
              <w:rPr>
                <w:color w:val="000000" w:themeColor="text1"/>
                <w:highlight w:val="none"/>
              </w:rPr>
            </w:r>
            <w:r/>
          </w:p>
        </w:tc>
      </w:tr>
    </w:tbl>
    <w:p>
      <w:pPr>
        <w:pStyle w:val="953"/>
        <w:spacing w:after="160" w:line="240" w:lineRule="atLeast"/>
        <w:rPr>
          <w:color w:val="000000" w:themeColor="text1"/>
          <w:highlight w:val="none"/>
        </w:rPr>
      </w:pPr>
      <w:r>
        <w:rPr>
          <w:rFonts w:ascii="宋体" w:hAnsi="宋体" w:cs="宋体"/>
          <w:color w:val="000000" w:themeColor="text1"/>
          <w:highlight w:val="none"/>
        </w:rPr>
        <w:t xml:space="preserve">注：</w:t>
      </w:r>
      <w:r>
        <w:rPr>
          <w:color w:val="000000" w:themeColor="text1"/>
          <w:highlight w:val="none"/>
        </w:rPr>
      </w:r>
      <w:r/>
    </w:p>
    <w:p>
      <w:pPr>
        <w:pStyle w:val="953"/>
        <w:spacing w:after="160" w:line="360" w:lineRule="auto"/>
        <w:rPr>
          <w:rFonts w:ascii="宋体" w:hAnsi="宋体" w:cs="宋体"/>
          <w:color w:val="000000" w:themeColor="text1"/>
          <w:highlight w:val="none"/>
        </w:rPr>
      </w:pPr>
      <w:r>
        <w:rPr>
          <w:rFonts w:ascii="宋体" w:hAnsi="宋体" w:cs="宋体"/>
          <w:color w:val="000000" w:themeColor="text1"/>
          <w:highlight w:val="none"/>
        </w:rPr>
        <w:t xml:space="preserve">1.行数不够，可自行添加；</w:t>
      </w:r>
      <w:r>
        <w:rPr>
          <w:color w:val="000000" w:themeColor="text1"/>
          <w:highlight w:val="none"/>
        </w:rPr>
      </w:r>
      <w:r/>
    </w:p>
    <w:p>
      <w:pPr>
        <w:pStyle w:val="953"/>
        <w:spacing w:after="160" w:line="360" w:lineRule="auto"/>
        <w:rPr>
          <w:color w:val="000000" w:themeColor="text1"/>
          <w:highlight w:val="none"/>
        </w:rPr>
      </w:pPr>
      <w:r>
        <w:rPr>
          <w:rFonts w:hint="eastAsia" w:ascii="宋体" w:hAnsi="宋体" w:cs="宋体"/>
          <w:color w:val="000000" w:themeColor="text1"/>
          <w:highlight w:val="none"/>
        </w:rPr>
        <w:t xml:space="preserve">2</w:t>
      </w:r>
      <w:r>
        <w:rPr>
          <w:rFonts w:ascii="宋体" w:hAnsi="宋体" w:cs="宋体"/>
          <w:color w:val="000000" w:themeColor="text1"/>
          <w:highlight w:val="none"/>
        </w:rPr>
        <w:t xml:space="preserve">.投标人需确保提供佐证材料的真实性，如被认定提供实质性虚假材料，将会导致无效投标处理。</w:t>
      </w:r>
      <w:r>
        <w:rPr>
          <w:color w:val="000000" w:themeColor="text1"/>
          <w:highlight w:val="none"/>
        </w:rPr>
      </w:r>
      <w:r/>
    </w:p>
    <w:p>
      <w:pPr>
        <w:pStyle w:val="953"/>
        <w:spacing w:before="25" w:after="25" w:line="360" w:lineRule="auto"/>
        <w:rPr>
          <w:color w:val="000000" w:themeColor="text1"/>
          <w:sz w:val="24"/>
          <w:szCs w:val="24"/>
          <w:highlight w:val="none"/>
        </w:rPr>
      </w:pPr>
      <w:r>
        <w:rPr>
          <w:rFonts w:ascii="宋体" w:hAnsi="宋体" w:cs="宋体"/>
          <w:color w:val="000000" w:themeColor="text1"/>
          <w:sz w:val="24"/>
          <w:szCs w:val="24"/>
          <w:highlight w:val="none"/>
        </w:rPr>
        <w:t xml:space="preserve">投标人名称（加盖CA电子公章）：____________</w:t>
      </w:r>
      <w:r>
        <w:rPr>
          <w:color w:val="000000" w:themeColor="text1"/>
          <w:highlight w:val="none"/>
        </w:rPr>
      </w:r>
      <w:r/>
    </w:p>
    <w:p>
      <w:pPr>
        <w:pStyle w:val="953"/>
        <w:spacing w:before="25" w:after="25" w:line="360" w:lineRule="auto"/>
        <w:rPr>
          <w:color w:val="000000" w:themeColor="text1"/>
          <w:sz w:val="24"/>
          <w:szCs w:val="24"/>
          <w:highlight w:val="none"/>
        </w:rPr>
      </w:pPr>
      <w:r>
        <w:rPr>
          <w:rFonts w:ascii="宋体" w:hAnsi="宋体" w:cs="宋体"/>
          <w:color w:val="000000" w:themeColor="text1"/>
          <w:sz w:val="24"/>
          <w:szCs w:val="24"/>
          <w:highlight w:val="none"/>
        </w:rPr>
        <w:t xml:space="preserve">日期：_____年______月______日   </w:t>
      </w:r>
      <w:r>
        <w:rPr>
          <w:color w:val="000000" w:themeColor="text1"/>
          <w:highlight w:val="none"/>
        </w:rPr>
      </w:r>
      <w:r/>
    </w:p>
    <w:p>
      <w:pPr>
        <w:pStyle w:val="953"/>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br w:type="page" w:clear="all"/>
      </w:r>
      <w:r>
        <w:rPr>
          <w:color w:val="000000" w:themeColor="text1"/>
          <w:highlight w:val="none"/>
        </w:rPr>
      </w:r>
      <w:r/>
    </w:p>
    <w:p>
      <w:pPr>
        <w:pStyle w:val="953"/>
        <w:ind w:firstLine="281"/>
        <w:jc w:val="center"/>
        <w:spacing w:after="160" w:line="278" w:lineRule="auto"/>
        <w:rPr>
          <w:color w:val="000000" w:themeColor="text1"/>
          <w:sz w:val="28"/>
          <w:szCs w:val="28"/>
          <w:highlight w:val="none"/>
        </w:rPr>
      </w:pPr>
      <w:r>
        <w:rPr>
          <w:rFonts w:ascii="宋体" w:hAnsi="宋体" w:cs="宋体"/>
          <w:b/>
          <w:bCs/>
          <w:color w:val="000000" w:themeColor="text1"/>
          <w:sz w:val="28"/>
          <w:szCs w:val="28"/>
          <w:highlight w:val="none"/>
        </w:rPr>
        <w:t xml:space="preserve">商务要求响</w:t>
      </w:r>
      <w:r>
        <w:rPr>
          <w:rFonts w:ascii="宋体" w:hAnsi="宋体" w:cs="宋体"/>
          <w:b/>
          <w:bCs/>
          <w:color w:val="000000" w:themeColor="text1"/>
          <w:sz w:val="28"/>
          <w:szCs w:val="28"/>
          <w:highlight w:val="none"/>
        </w:rPr>
        <w:t xml:space="preserve">应/偏离表</w:t>
      </w:r>
      <w:r>
        <w:rPr>
          <w:color w:val="000000" w:themeColor="text1"/>
          <w:highlight w:val="none"/>
        </w:rPr>
      </w:r>
      <w:r/>
    </w:p>
    <w:p>
      <w:pPr>
        <w:pStyle w:val="953"/>
        <w:jc w:val="center"/>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（根据招标文件第四章 </w:t>
      </w:r>
      <w:r>
        <w:rPr>
          <w:rFonts w:hint="eastAsia" w:ascii="宋体" w:hAnsi="宋体" w:cs="宋体"/>
          <w:color w:val="000000" w:themeColor="text1"/>
          <w:sz w:val="24"/>
          <w:szCs w:val="24"/>
          <w:highlight w:val="none"/>
        </w:rPr>
        <w:t xml:space="preserve">四</w:t>
      </w:r>
      <w:r>
        <w:rPr>
          <w:rFonts w:ascii="宋体" w:hAnsi="宋体" w:cs="宋体"/>
          <w:color w:val="000000" w:themeColor="text1"/>
          <w:sz w:val="24"/>
          <w:szCs w:val="24"/>
          <w:highlight w:val="none"/>
        </w:rPr>
        <w:t xml:space="preserve">、商务要求的内容填写，必须点对点应答，逐条进行响应）</w:t>
      </w:r>
      <w:r>
        <w:rPr>
          <w:color w:val="000000" w:themeColor="text1"/>
          <w:highlight w:val="none"/>
        </w:rPr>
      </w:r>
      <w:r/>
    </w:p>
    <w:p>
      <w:pPr>
        <w:pStyle w:val="953"/>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项目名称</w:t>
      </w:r>
      <w:r>
        <w:rPr>
          <w:rFonts w:ascii="宋体" w:hAnsi="宋体" w:cs="宋体"/>
          <w:color w:val="000000" w:themeColor="text1"/>
          <w:sz w:val="24"/>
          <w:szCs w:val="24"/>
          <w:highlight w:val="none"/>
        </w:rPr>
        <w:t xml:space="preserve">：</w:t>
      </w:r>
      <w:r>
        <w:rPr>
          <w:color w:val="000000" w:themeColor="text1"/>
          <w:highlight w:val="none"/>
        </w:rPr>
      </w:r>
      <w:r/>
    </w:p>
    <w:p>
      <w:pPr>
        <w:pStyle w:val="953"/>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项目编号：</w:t>
      </w:r>
      <w:r>
        <w:rPr>
          <w:color w:val="000000" w:themeColor="text1"/>
          <w:highlight w:val="none"/>
        </w:rPr>
      </w:r>
      <w:r/>
    </w:p>
    <w:tbl>
      <w:tblPr>
        <w:tblpPr w:horzAnchor="text" w:tblpXSpec="left" w:vertAnchor="text" w:tblpY="1" w:leftFromText="180" w:topFromText="0" w:rightFromText="180" w:bottomFromText="0"/>
        <w:tblW w:w="475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958"/>
        <w:gridCol w:w="2159"/>
        <w:gridCol w:w="2159"/>
        <w:gridCol w:w="2159"/>
        <w:gridCol w:w="1199"/>
      </w:tblGrid>
      <w:tr>
        <w:trPr>
          <w:trHeight w:val="694"/>
        </w:trPr>
        <w:tc>
          <w:tcPr>
            <w:tcBorders>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pStyle w:val="953"/>
              <w:jc w:val="center"/>
              <w:spacing w:after="160" w:line="278" w:lineRule="auto"/>
              <w:rPr>
                <w:color w:val="000000" w:themeColor="text1"/>
                <w:sz w:val="24"/>
                <w:szCs w:val="24"/>
                <w:highlight w:val="none"/>
              </w:rPr>
              <w:framePr w:hSpace="180" w:wrap="around" w:vAnchor="text" w:hAnchor="text" w:y="1"/>
            </w:pPr>
            <w:r>
              <w:rPr>
                <w:rFonts w:ascii="宋体" w:hAnsi="宋体" w:cs="宋体"/>
                <w:color w:val="000000" w:themeColor="text1"/>
                <w:sz w:val="24"/>
                <w:szCs w:val="24"/>
                <w:highlight w:val="none"/>
              </w:rPr>
              <w:t xml:space="preserve">序号</w:t>
            </w:r>
            <w:r>
              <w:rPr>
                <w:color w:val="000000" w:themeColor="text1"/>
                <w:highlight w:val="none"/>
              </w:rPr>
            </w:r>
            <w:r/>
          </w:p>
        </w:tc>
        <w:tc>
          <w:tcPr>
            <w:tcBorders>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pStyle w:val="953"/>
              <w:jc w:val="center"/>
              <w:spacing w:after="160" w:line="278" w:lineRule="auto"/>
              <w:rPr>
                <w:color w:val="000000" w:themeColor="text1"/>
                <w:sz w:val="24"/>
                <w:szCs w:val="24"/>
                <w:highlight w:val="none"/>
              </w:rPr>
              <w:framePr w:hSpace="180" w:wrap="around" w:vAnchor="text" w:hAnchor="text" w:y="1"/>
            </w:pPr>
            <w:r>
              <w:rPr>
                <w:rFonts w:ascii="宋体" w:hAnsi="宋体" w:cs="宋体"/>
                <w:color w:val="000000" w:themeColor="text1"/>
                <w:sz w:val="24"/>
                <w:szCs w:val="24"/>
                <w:highlight w:val="none"/>
              </w:rPr>
              <w:t xml:space="preserve">招标文件商务要求条款</w:t>
            </w:r>
            <w:r>
              <w:rPr>
                <w:color w:val="000000" w:themeColor="text1"/>
                <w:highlight w:val="none"/>
              </w:rPr>
            </w:r>
            <w:r/>
          </w:p>
        </w:tc>
        <w:tc>
          <w:tcPr>
            <w:tcBorders>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pStyle w:val="953"/>
              <w:jc w:val="center"/>
              <w:spacing w:after="160" w:line="278" w:lineRule="auto"/>
              <w:rPr>
                <w:color w:val="000000" w:themeColor="text1"/>
                <w:sz w:val="24"/>
                <w:szCs w:val="24"/>
                <w:highlight w:val="none"/>
              </w:rPr>
              <w:framePr w:hSpace="180" w:wrap="around" w:vAnchor="text" w:hAnchor="text" w:y="1"/>
            </w:pPr>
            <w:r>
              <w:rPr>
                <w:rFonts w:ascii="宋体" w:hAnsi="宋体" w:cs="宋体"/>
                <w:color w:val="000000" w:themeColor="text1"/>
                <w:sz w:val="24"/>
                <w:szCs w:val="24"/>
                <w:highlight w:val="none"/>
              </w:rPr>
              <w:t xml:space="preserve">投标人商务响应</w:t>
            </w:r>
            <w:r>
              <w:rPr>
                <w:color w:val="000000" w:themeColor="text1"/>
                <w:highlight w:val="none"/>
              </w:rPr>
            </w:r>
            <w:r/>
          </w:p>
        </w:tc>
        <w:tc>
          <w:tcPr>
            <w:tcBorders>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pStyle w:val="953"/>
              <w:jc w:val="center"/>
              <w:spacing w:after="160" w:line="278" w:lineRule="auto"/>
              <w:rPr>
                <w:color w:val="000000" w:themeColor="text1"/>
                <w:sz w:val="24"/>
                <w:szCs w:val="24"/>
                <w:highlight w:val="none"/>
              </w:rPr>
              <w:framePr w:hSpace="180" w:wrap="around" w:vAnchor="text" w:hAnchor="text" w:y="1"/>
            </w:pPr>
            <w:r>
              <w:rPr>
                <w:rFonts w:ascii="宋体" w:hAnsi="宋体" w:cs="宋体"/>
                <w:color w:val="000000" w:themeColor="text1"/>
                <w:sz w:val="24"/>
                <w:szCs w:val="24"/>
                <w:highlight w:val="none"/>
              </w:rPr>
              <w:t xml:space="preserve">符合</w:t>
            </w:r>
            <w:r>
              <w:rPr>
                <w:color w:val="000000" w:themeColor="text1"/>
                <w:sz w:val="24"/>
                <w:szCs w:val="24"/>
                <w:highlight w:val="none"/>
              </w:rPr>
              <w:t xml:space="preserve">/</w:t>
            </w:r>
            <w:r>
              <w:rPr>
                <w:rFonts w:ascii="宋体" w:hAnsi="宋体" w:cs="宋体"/>
                <w:color w:val="000000" w:themeColor="text1"/>
                <w:sz w:val="24"/>
                <w:szCs w:val="24"/>
                <w:highlight w:val="none"/>
              </w:rPr>
              <w:t xml:space="preserve">正偏离</w:t>
            </w:r>
            <w:r>
              <w:rPr>
                <w:color w:val="000000" w:themeColor="text1"/>
                <w:highlight w:val="none"/>
              </w:rPr>
            </w:r>
            <w:r/>
          </w:p>
        </w:tc>
        <w:tc>
          <w:tcPr>
            <w:tcBorders>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pStyle w:val="953"/>
              <w:jc w:val="center"/>
              <w:spacing w:after="160" w:line="278" w:lineRule="auto"/>
              <w:rPr>
                <w:color w:val="000000" w:themeColor="text1"/>
                <w:sz w:val="24"/>
                <w:szCs w:val="24"/>
                <w:highlight w:val="none"/>
              </w:rPr>
              <w:framePr w:hSpace="180" w:wrap="around" w:vAnchor="text" w:hAnchor="text" w:y="1"/>
            </w:pPr>
            <w:r>
              <w:rPr>
                <w:rFonts w:ascii="宋体" w:hAnsi="宋体" w:cs="宋体"/>
                <w:color w:val="000000" w:themeColor="text1"/>
                <w:sz w:val="24"/>
                <w:szCs w:val="24"/>
                <w:highlight w:val="none"/>
              </w:rPr>
              <w:t xml:space="preserve">备注</w:t>
            </w:r>
            <w:r>
              <w:rPr>
                <w:color w:val="000000" w:themeColor="text1"/>
                <w:highlight w:val="none"/>
              </w:rPr>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r>
      <w:tr>
        <w:trP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r>
      <w:tr>
        <w:trP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r>
      <w:tr>
        <w:trP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r>
      <w:tr>
        <w:trPr>
          <w:trHeight w:val="615"/>
        </w:trPr>
        <w:tc>
          <w:tcPr>
            <w:tcBorders>
              <w:top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c>
          <w:tcPr>
            <w:tcBorders>
              <w:top w:val="single" w:color="000000" w:sz="6" w:space="0"/>
              <w:left w:val="single" w:color="000000" w:sz="6" w:space="0"/>
            </w:tcBorders>
            <w:tcMar>
              <w:left w:w="8" w:type="dxa"/>
              <w:top w:w="8" w:type="dxa"/>
              <w:right w:w="8" w:type="dxa"/>
              <w:bottom w:w="8" w:type="dxa"/>
            </w:tcMar>
            <w:tcW w:w="1302" w:type="dxa"/>
            <w:vAlign w:val="center"/>
            <w:textDirection w:val="lrTb"/>
            <w:noWrap w:val="false"/>
          </w:tcPr>
          <w:p>
            <w:pPr>
              <w:pStyle w:val="953"/>
              <w:jc w:val="center"/>
              <w:spacing w:after="160" w:line="278" w:lineRule="auto"/>
              <w:rPr>
                <w:color w:val="000000" w:themeColor="text1"/>
                <w:highlight w:val="none"/>
              </w:rPr>
              <w:framePr w:hSpace="180" w:wrap="around" w:vAnchor="text" w:hAnchor="text" w:y="1"/>
            </w:pPr>
            <w:r>
              <w:rPr>
                <w:color w:val="000000" w:themeColor="text1"/>
                <w:highlight w:val="none"/>
              </w:rPr>
            </w:r>
            <w:r>
              <w:rPr>
                <w:color w:val="000000" w:themeColor="text1"/>
                <w:highlight w:val="none"/>
              </w:rPr>
            </w:r>
            <w:r/>
          </w:p>
        </w:tc>
      </w:tr>
    </w:tbl>
    <w:p>
      <w:pPr>
        <w:pStyle w:val="953"/>
        <w:spacing w:after="160" w:line="278" w:lineRule="auto"/>
        <w:rPr>
          <w:color w:val="000000" w:themeColor="text1"/>
          <w:highlight w:val="none"/>
        </w:rPr>
      </w:pPr>
      <w:r>
        <w:rPr>
          <w:color w:val="000000" w:themeColor="text1"/>
          <w:highlight w:val="none"/>
        </w:rPr>
      </w:r>
      <w:r>
        <w:rPr>
          <w:color w:val="000000" w:themeColor="text1"/>
          <w:highlight w:val="none"/>
        </w:rPr>
      </w:r>
      <w:r/>
    </w:p>
    <w:p>
      <w:pPr>
        <w:pStyle w:val="953"/>
        <w:spacing w:before="25" w:after="25" w:line="360" w:lineRule="auto"/>
        <w:rPr>
          <w:color w:val="000000" w:themeColor="text1"/>
          <w:szCs w:val="21"/>
          <w:highlight w:val="none"/>
        </w:rPr>
      </w:pPr>
      <w:r>
        <w:rPr>
          <w:color w:val="000000" w:themeColor="text1"/>
          <w:szCs w:val="21"/>
          <w:highlight w:val="none"/>
        </w:rPr>
      </w:r>
      <w:r>
        <w:rPr>
          <w:color w:val="000000" w:themeColor="text1"/>
          <w:highlight w:val="none"/>
        </w:rPr>
      </w:r>
      <w:r/>
    </w:p>
    <w:p>
      <w:pPr>
        <w:pStyle w:val="953"/>
        <w:spacing w:before="25" w:after="25" w:line="360" w:lineRule="auto"/>
        <w:rPr>
          <w:color w:val="000000" w:themeColor="text1"/>
          <w:sz w:val="24"/>
          <w:szCs w:val="24"/>
          <w:highlight w:val="none"/>
        </w:rPr>
      </w:pPr>
      <w:r>
        <w:rPr>
          <w:rFonts w:ascii="宋体" w:hAnsi="宋体" w:cs="宋体"/>
          <w:color w:val="000000" w:themeColor="text1"/>
          <w:sz w:val="24"/>
          <w:szCs w:val="24"/>
          <w:highlight w:val="none"/>
        </w:rPr>
        <w:t xml:space="preserve">投标人名称（加盖CA电子公章）：____________</w:t>
      </w:r>
      <w:r>
        <w:rPr>
          <w:color w:val="000000" w:themeColor="text1"/>
          <w:highlight w:val="none"/>
        </w:rPr>
      </w:r>
      <w:r/>
    </w:p>
    <w:p>
      <w:pPr>
        <w:pStyle w:val="953"/>
        <w:spacing w:before="25" w:after="25" w:line="360" w:lineRule="auto"/>
        <w:rPr>
          <w:color w:val="000000" w:themeColor="text1"/>
          <w:sz w:val="24"/>
          <w:szCs w:val="24"/>
          <w:highlight w:val="none"/>
        </w:rPr>
      </w:pPr>
      <w:r>
        <w:rPr>
          <w:rFonts w:ascii="宋体" w:hAnsi="宋体" w:cs="宋体"/>
          <w:color w:val="000000" w:themeColor="text1"/>
          <w:sz w:val="24"/>
          <w:szCs w:val="24"/>
          <w:highlight w:val="none"/>
        </w:rPr>
        <w:t xml:space="preserve">日期：_____年______月______日   </w:t>
      </w:r>
      <w:r>
        <w:rPr>
          <w:color w:val="000000" w:themeColor="text1"/>
          <w:highlight w:val="none"/>
        </w:rPr>
      </w:r>
      <w:r/>
    </w:p>
    <w:p>
      <w:pPr>
        <w:pStyle w:val="953"/>
        <w:spacing w:line="360"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r/>
    </w:p>
    <w:p>
      <w:pPr>
        <w:pStyle w:val="953"/>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pStyle w:val="953"/>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pStyle w:val="953"/>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953"/>
        <w:rPr>
          <w:rFonts w:ascii="宋体" w:hAnsi="宋体" w:cs="宋体"/>
          <w:iCs/>
          <w:color w:val="000000" w:themeColor="text1"/>
          <w:sz w:val="32"/>
          <w:szCs w:val="32"/>
          <w:highlight w:val="none"/>
        </w:rPr>
      </w:pPr>
      <w:r>
        <w:rPr>
          <w:color w:val="000000" w:themeColor="text1"/>
          <w:highlight w:val="none"/>
        </w:rPr>
      </w:r>
      <w:bookmarkStart w:id="189" w:name="_Hlt26955054"/>
      <w:r>
        <w:rPr>
          <w:color w:val="000000" w:themeColor="text1"/>
          <w:highlight w:val="none"/>
        </w:rPr>
      </w:r>
      <w:bookmarkEnd w:id="189"/>
      <w:r>
        <w:rPr>
          <w:rFonts w:hint="eastAsia" w:ascii="宋体" w:hAnsi="宋体" w:cs="宋体"/>
          <w:iCs/>
          <w:color w:val="000000" w:themeColor="text1"/>
          <w:sz w:val="32"/>
          <w:szCs w:val="32"/>
          <w:highlight w:val="none"/>
        </w:rPr>
        <w:br w:type="page" w:clear="all"/>
      </w:r>
      <w:r>
        <w:rPr>
          <w:color w:val="000000" w:themeColor="text1"/>
          <w:highlight w:val="none"/>
        </w:rPr>
      </w:r>
      <w:r/>
    </w:p>
    <w:p>
      <w:pPr>
        <w:pStyle w:val="953"/>
        <w:ind w:firstLine="3390"/>
        <w:keepLines/>
        <w:keepNext/>
        <w:spacing w:before="260" w:after="260" w:line="416" w:lineRule="auto"/>
        <w:rPr>
          <w:rFonts w:ascii="宋体" w:hAnsi="宋体" w:cs="宋体"/>
          <w:iCs/>
          <w:color w:val="000000" w:themeColor="text1"/>
          <w:sz w:val="28"/>
          <w:szCs w:val="28"/>
          <w:highlight w:val="none"/>
        </w:rPr>
        <w:outlineLvl w:val="1"/>
      </w:pPr>
      <w:r>
        <w:rPr>
          <w:color w:val="000000" w:themeColor="text1"/>
          <w:highlight w:val="none"/>
        </w:rPr>
      </w:r>
      <w:bookmarkStart w:id="190" w:name="_格式2__法定代表人授权书"/>
      <w:r>
        <w:rPr>
          <w:color w:val="000000" w:themeColor="text1"/>
          <w:highlight w:val="none"/>
        </w:rPr>
      </w:r>
      <w:bookmarkEnd w:id="190"/>
      <w:r>
        <w:rPr>
          <w:color w:val="000000" w:themeColor="text1"/>
          <w:highlight w:val="none"/>
        </w:rPr>
      </w:r>
      <w:bookmarkStart w:id="191" w:name="_Hlt26671374"/>
      <w:r>
        <w:rPr>
          <w:color w:val="000000" w:themeColor="text1"/>
          <w:highlight w:val="none"/>
        </w:rPr>
      </w:r>
      <w:bookmarkEnd w:id="191"/>
      <w:r>
        <w:rPr>
          <w:color w:val="000000" w:themeColor="text1"/>
          <w:highlight w:val="none"/>
        </w:rPr>
      </w:r>
      <w:bookmarkStart w:id="192" w:name="_Hlt26609389"/>
      <w:r>
        <w:rPr>
          <w:color w:val="000000" w:themeColor="text1"/>
          <w:highlight w:val="none"/>
        </w:rPr>
      </w:r>
      <w:bookmarkEnd w:id="192"/>
      <w:r>
        <w:rPr>
          <w:color w:val="000000" w:themeColor="text1"/>
          <w:highlight w:val="none"/>
        </w:rPr>
      </w:r>
      <w:bookmarkStart w:id="193" w:name="_Hlt26955066"/>
      <w:r>
        <w:rPr>
          <w:color w:val="000000" w:themeColor="text1"/>
          <w:highlight w:val="none"/>
        </w:rPr>
      </w:r>
      <w:bookmarkEnd w:id="193"/>
      <w:r>
        <w:rPr>
          <w:color w:val="000000" w:themeColor="text1"/>
          <w:highlight w:val="none"/>
        </w:rPr>
      </w:r>
      <w:bookmarkStart w:id="194" w:name="_Toc1140"/>
      <w:r>
        <w:rPr>
          <w:rFonts w:hint="eastAsia" w:ascii="宋体" w:hAnsi="宋体" w:cs="宋体"/>
          <w:iCs/>
          <w:color w:val="000000" w:themeColor="text1"/>
          <w:sz w:val="28"/>
          <w:szCs w:val="28"/>
          <w:highlight w:val="none"/>
        </w:rPr>
        <w:t xml:space="preserve">十二、开标一览表</w:t>
      </w:r>
      <w:bookmarkEnd w:id="194"/>
      <w:r>
        <w:rPr>
          <w:color w:val="000000" w:themeColor="text1"/>
          <w:highlight w:val="none"/>
        </w:rPr>
      </w:r>
      <w:r/>
    </w:p>
    <w:p>
      <w:pPr>
        <w:pStyle w:val="953"/>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投标人全称（加盖CA电子签章）：</w:t>
      </w:r>
      <w:r>
        <w:rPr>
          <w:color w:val="000000" w:themeColor="text1"/>
          <w:highlight w:val="none"/>
        </w:rPr>
      </w:r>
      <w:r/>
    </w:p>
    <w:p>
      <w:pPr>
        <w:pStyle w:val="953"/>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color w:val="000000" w:themeColor="text1"/>
          <w:highlight w:val="none"/>
        </w:rPr>
      </w:r>
      <w:r/>
    </w:p>
    <w:p>
      <w:pPr>
        <w:pStyle w:val="953"/>
        <w:ind w:firstLine="480"/>
        <w:rPr>
          <w:rFonts w:ascii="宋体" w:hAnsi="宋体"/>
          <w:color w:val="000000" w:themeColor="text1"/>
          <w:sz w:val="24"/>
          <w:highlight w:val="none"/>
        </w:rPr>
      </w:pPr>
      <w:r>
        <w:rPr>
          <w:rFonts w:hint="eastAsia" w:ascii="宋体" w:hAnsi="宋体" w:cs="宋体"/>
          <w:color w:val="000000" w:themeColor="text1"/>
          <w:sz w:val="24"/>
          <w:highlight w:val="none"/>
        </w:rPr>
        <w:t xml:space="preserve">招标编号：           </w:t>
      </w:r>
      <w:r>
        <w:rPr>
          <w:rFonts w:hint="eastAsia" w:ascii="宋体" w:hAnsi="宋体" w:cs="宋体"/>
          <w:color w:val="000000" w:themeColor="text1"/>
          <w:sz w:val="24"/>
          <w:highlight w:val="none"/>
        </w:rPr>
        <w:t xml:space="preserve">                        分包号：</w:t>
      </w:r>
      <w:r>
        <w:rPr>
          <w:color w:val="000000" w:themeColor="text1"/>
          <w:highlight w:val="none"/>
        </w:rPr>
      </w:r>
      <w:r/>
    </w:p>
    <w:tbl>
      <w:tblPr>
        <w:tblW w:w="8783" w:type="dxa"/>
        <w:tblInd w:w="1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3"/>
        <w:gridCol w:w="4600"/>
      </w:tblGrid>
      <w:tr>
        <w:trPr>
          <w:trHeight w:val="649"/>
        </w:trPr>
        <w:tc>
          <w:tcPr>
            <w:tcBorders>
              <w:top w:val="single" w:color="000000" w:sz="4" w:space="0"/>
              <w:left w:val="single" w:color="000000" w:sz="4" w:space="0"/>
              <w:bottom w:val="single" w:color="000000" w:sz="4" w:space="0"/>
              <w:right w:val="single" w:color="000000" w:sz="4" w:space="0"/>
            </w:tcBorders>
            <w:tcW w:w="4183" w:type="dxa"/>
            <w:vAlign w:val="top"/>
            <w:textDirection w:val="lrTb"/>
            <w:noWrap w:val="false"/>
          </w:tcPr>
          <w:p>
            <w:pPr>
              <w:pStyle w:val="953"/>
              <w:spacing w:before="50" w:after="50" w:line="360" w:lineRule="auto"/>
              <w:widowControl/>
              <w:rPr>
                <w:rFonts w:hint="eastAsia" w:hAnsi="宋体"/>
                <w:color w:val="000000" w:themeColor="text1"/>
                <w:sz w:val="24"/>
                <w:szCs w:val="24"/>
                <w:highlight w:val="none"/>
                <w:shd w:val="clear" w:color="auto" w:fill="ffffff"/>
              </w:rPr>
            </w:pPr>
            <w:r>
              <w:rPr>
                <w:rFonts w:hint="eastAsia" w:hAnsi="宋体"/>
                <w:color w:val="000000" w:themeColor="text1"/>
                <w:sz w:val="24"/>
                <w:szCs w:val="24"/>
                <w:highlight w:val="none"/>
                <w:shd w:val="clear" w:color="auto" w:fill="ffffff"/>
              </w:rPr>
              <w:t xml:space="preserve">投标货物名称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00" w:type="dxa"/>
            <w:vAlign w:val="top"/>
            <w:textDirection w:val="lrTb"/>
            <w:noWrap w:val="false"/>
          </w:tcPr>
          <w:p>
            <w:pPr>
              <w:pStyle w:val="953"/>
              <w:spacing w:before="50" w:after="50" w:line="360" w:lineRule="auto"/>
              <w:widowControl/>
              <w:rPr>
                <w:rFonts w:hint="eastAsia" w:hAnsi="宋体"/>
                <w:color w:val="000000" w:themeColor="text1"/>
                <w:sz w:val="24"/>
                <w:szCs w:val="24"/>
                <w:highlight w:val="none"/>
                <w:shd w:val="clear" w:color="auto" w:fill="ffffff"/>
              </w:rPr>
            </w:pPr>
            <w:r>
              <w:rPr>
                <w:rFonts w:hint="eastAsia" w:ascii="Calibri" w:hAnsi="Calibri"/>
                <w:color w:val="000000" w:themeColor="text1"/>
                <w:sz w:val="24"/>
                <w:szCs w:val="24"/>
                <w:highlight w:val="none"/>
                <w:shd w:val="clear" w:color="auto" w:fill="ffffff"/>
              </w:rPr>
              <w:t xml:space="preserve">总价（小写）</w:t>
            </w:r>
            <w:r>
              <w:rPr>
                <w:color w:val="000000" w:themeColor="text1"/>
                <w:highlight w:val="none"/>
              </w:rPr>
            </w:r>
            <w:r/>
          </w:p>
        </w:tc>
      </w:tr>
      <w:tr>
        <w:trPr>
          <w:trHeight w:val="649"/>
        </w:trPr>
        <w:tc>
          <w:tcPr>
            <w:tcBorders>
              <w:top w:val="single" w:color="000000" w:sz="4" w:space="0"/>
              <w:left w:val="single" w:color="000000" w:sz="4" w:space="0"/>
              <w:bottom w:val="single" w:color="000000" w:sz="4" w:space="0"/>
              <w:right w:val="single" w:color="000000" w:sz="4" w:space="0"/>
            </w:tcBorders>
            <w:tcW w:w="4183" w:type="dxa"/>
            <w:vAlign w:val="top"/>
            <w:textDirection w:val="lrTb"/>
            <w:noWrap w:val="false"/>
          </w:tcPr>
          <w:p>
            <w:pPr>
              <w:pStyle w:val="953"/>
              <w:spacing w:before="50" w:after="50" w:line="360" w:lineRule="auto"/>
              <w:widowControl/>
              <w:rPr>
                <w:rFonts w:hint="eastAsia" w:hAnsi="宋体"/>
                <w:bCs/>
                <w:color w:val="000000" w:themeColor="text1"/>
                <w:sz w:val="24"/>
                <w:szCs w:val="24"/>
                <w:highlight w:val="none"/>
                <w:shd w:val="clear" w:color="auto" w:fill="ffffff"/>
              </w:rPr>
            </w:pPr>
            <w:r>
              <w:rPr>
                <w:rFonts w:hint="eastAsia" w:hAnsi="宋体"/>
                <w:color w:val="000000" w:themeColor="text1"/>
                <w:sz w:val="24"/>
                <w:szCs w:val="24"/>
                <w:highlight w:val="none"/>
                <w:shd w:val="clear" w:color="auto" w:fill="ffffff"/>
              </w:rPr>
              <w:t xml:space="preserve">投标产品名</w:t>
            </w:r>
            <w:r>
              <w:rPr>
                <w:rFonts w:hint="eastAsia" w:hAnsi="宋体"/>
                <w:color w:val="000000" w:themeColor="text1"/>
                <w:sz w:val="24"/>
                <w:szCs w:val="24"/>
                <w:highlight w:val="none"/>
                <w:shd w:val="clear" w:color="auto" w:fill="ffffff"/>
              </w:rPr>
              <w:t xml:space="preserve">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00" w:type="dxa"/>
            <w:vAlign w:val="top"/>
            <w:textDirection w:val="lrTb"/>
            <w:noWrap w:val="false"/>
          </w:tcPr>
          <w:p>
            <w:pPr>
              <w:pStyle w:val="953"/>
              <w:spacing w:before="50" w:after="50" w:line="360" w:lineRule="auto"/>
              <w:widowControl/>
              <w:rPr>
                <w:rFonts w:hint="eastAsia" w:hAnsi="宋体"/>
                <w:color w:val="000000" w:themeColor="text1"/>
                <w:sz w:val="24"/>
                <w:szCs w:val="24"/>
                <w:highlight w:val="none"/>
                <w:shd w:val="clear" w:color="auto" w:fill="ffffff"/>
              </w:rPr>
            </w:pPr>
            <w:r>
              <w:rPr>
                <w:rFonts w:ascii="Calibri" w:hAnsi="Calibri"/>
                <w:color w:val="000000" w:themeColor="text1"/>
                <w:sz w:val="24"/>
                <w:szCs w:val="24"/>
                <w:highlight w:val="none"/>
                <w:shd w:val="clear" w:color="auto" w:fill="ffffff"/>
              </w:rPr>
              <w:t xml:space="preserve">_______________</w:t>
            </w:r>
            <w:r>
              <w:rPr>
                <w:rFonts w:hint="eastAsia" w:ascii="Calibri" w:hAnsi="Calibri"/>
                <w:color w:val="000000" w:themeColor="text1"/>
                <w:sz w:val="24"/>
                <w:szCs w:val="24"/>
                <w:highlight w:val="none"/>
                <w:shd w:val="clear" w:color="auto" w:fill="ffffff"/>
              </w:rPr>
              <w:t xml:space="preserve">元</w:t>
            </w:r>
            <w:r>
              <w:rPr>
                <w:color w:val="000000" w:themeColor="text1"/>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W w:w="4183" w:type="dxa"/>
            <w:vAlign w:val="top"/>
            <w:textDirection w:val="lrTb"/>
            <w:noWrap w:val="false"/>
          </w:tcPr>
          <w:p>
            <w:pPr>
              <w:pStyle w:val="953"/>
              <w:spacing w:before="50" w:after="50" w:line="360" w:lineRule="auto"/>
              <w:widowControl/>
              <w:rPr>
                <w:rFonts w:hint="eastAsia" w:hAnsi="宋体"/>
                <w:color w:val="000000" w:themeColor="text1"/>
                <w:sz w:val="24"/>
                <w:szCs w:val="24"/>
                <w:highlight w:val="none"/>
                <w:shd w:val="clear" w:color="auto" w:fill="ffffff"/>
              </w:rPr>
            </w:pPr>
            <w:r>
              <w:rPr>
                <w:rFonts w:hint="eastAsia" w:hAnsi="宋体"/>
                <w:color w:val="000000" w:themeColor="text1"/>
                <w:sz w:val="24"/>
                <w:szCs w:val="24"/>
                <w:highlight w:val="none"/>
                <w:shd w:val="clear" w:color="auto" w:fill="ffffff"/>
              </w:rPr>
              <w:t xml:space="preserve">核心产品品牌：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600" w:type="dxa"/>
            <w:vAlign w:val="top"/>
            <w:textDirection w:val="lrTb"/>
            <w:noWrap w:val="false"/>
          </w:tcPr>
          <w:p>
            <w:pPr>
              <w:pStyle w:val="953"/>
              <w:spacing w:before="50" w:after="50" w:line="360" w:lineRule="auto"/>
              <w:widowControl/>
              <w:rPr>
                <w:rFonts w:hint="eastAsia" w:hAnsi="宋体"/>
                <w:color w:val="000000" w:themeColor="text1"/>
                <w:sz w:val="24"/>
                <w:szCs w:val="24"/>
                <w:highlight w:val="none"/>
                <w:shd w:val="clear" w:color="auto" w:fill="ffffff"/>
              </w:rPr>
            </w:pPr>
            <w:r>
              <w:rPr>
                <w:rFonts w:hint="eastAsia" w:hAnsi="宋体"/>
                <w:color w:val="000000" w:themeColor="text1"/>
                <w:sz w:val="24"/>
                <w:szCs w:val="24"/>
                <w:highlight w:val="none"/>
                <w:shd w:val="clear" w:color="auto" w:fill="ffffff"/>
              </w:rPr>
            </w:r>
            <w:r>
              <w:rPr>
                <w:color w:val="000000" w:themeColor="text1"/>
                <w:highlight w:val="none"/>
              </w:rPr>
            </w:r>
            <w:r/>
          </w:p>
        </w:tc>
      </w:tr>
    </w:tbl>
    <w:p>
      <w:pPr>
        <w:pStyle w:val="953"/>
        <w:spacing w:before="50" w:after="50"/>
        <w:widowControl/>
        <w:rPr>
          <w:rFonts w:hint="eastAsia" w:hAnsi="宋体"/>
          <w:color w:val="000000" w:themeColor="text1"/>
          <w:sz w:val="24"/>
          <w:szCs w:val="24"/>
          <w:highlight w:val="none"/>
          <w:shd w:val="clear" w:color="auto" w:fill="ffffff"/>
        </w:rPr>
      </w:pPr>
      <w:r>
        <w:rPr>
          <w:rFonts w:hint="eastAsia" w:hAnsi="宋体"/>
          <w:color w:val="000000" w:themeColor="text1"/>
          <w:sz w:val="24"/>
          <w:szCs w:val="24"/>
          <w:highlight w:val="none"/>
          <w:shd w:val="clear" w:color="auto" w:fill="ffffff"/>
        </w:rPr>
      </w:r>
      <w:r>
        <w:rPr>
          <w:color w:val="000000" w:themeColor="text1"/>
          <w:highlight w:val="none"/>
        </w:rPr>
      </w:r>
      <w:r/>
    </w:p>
    <w:p>
      <w:pPr>
        <w:pStyle w:val="953"/>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953"/>
        <w:ind w:firstLine="480"/>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highlight w:val="none"/>
        </w:rPr>
      </w:r>
      <w:r/>
    </w:p>
    <w:p>
      <w:pPr>
        <w:pStyle w:val="953"/>
        <w:jc w:val="right"/>
        <w:rPr>
          <w:rFonts w:ascii="宋体" w:hAnsi="宋体"/>
          <w:color w:val="000000" w:themeColor="text1"/>
          <w:sz w:val="24"/>
          <w:highlight w:val="none"/>
        </w:rPr>
      </w:pPr>
      <w:r>
        <w:rPr>
          <w:rFonts w:hint="eastAsia" w:ascii="宋体" w:hAnsi="宋体"/>
          <w:color w:val="000000" w:themeColor="text1"/>
          <w:sz w:val="24"/>
          <w:highlight w:val="none"/>
        </w:rPr>
        <w:t xml:space="preserve">日期：  </w:t>
      </w:r>
      <w:r>
        <w:rPr>
          <w:rFonts w:hint="eastAsia" w:ascii="宋体" w:hAnsi="宋体"/>
          <w:color w:val="000000" w:themeColor="text1"/>
          <w:sz w:val="24"/>
          <w:highlight w:val="none"/>
          <w:u w:val="single"/>
        </w:rPr>
        <w:t xml:space="preserve">     </w:t>
      </w:r>
      <w:r>
        <w:rPr>
          <w:rFonts w:hint="eastAsia" w:ascii="宋体" w:hAnsi="宋体"/>
          <w:color w:val="000000" w:themeColor="text1"/>
          <w:sz w:val="24"/>
          <w:highlight w:val="none"/>
        </w:rPr>
        <w:t xml:space="preserve">年</w:t>
      </w:r>
      <w:r>
        <w:rPr>
          <w:rFonts w:hint="eastAsia" w:ascii="宋体" w:hAnsi="宋体"/>
          <w:color w:val="000000" w:themeColor="text1"/>
          <w:sz w:val="24"/>
          <w:highlight w:val="none"/>
          <w:u w:val="single"/>
        </w:rPr>
        <w:t xml:space="preserve">   </w:t>
      </w:r>
      <w:r>
        <w:rPr>
          <w:rFonts w:hint="eastAsia" w:ascii="宋体" w:hAnsi="宋体"/>
          <w:color w:val="000000" w:themeColor="text1"/>
          <w:sz w:val="24"/>
          <w:highlight w:val="none"/>
        </w:rPr>
        <w:t xml:space="preserve">月</w:t>
      </w:r>
      <w:r>
        <w:rPr>
          <w:rFonts w:hint="eastAsia" w:ascii="宋体" w:hAnsi="宋体"/>
          <w:color w:val="000000" w:themeColor="text1"/>
          <w:sz w:val="24"/>
          <w:highlight w:val="none"/>
          <w:u w:val="single"/>
        </w:rPr>
        <w:t xml:space="preserve">   </w:t>
      </w:r>
      <w:r>
        <w:rPr>
          <w:rFonts w:hint="eastAsia" w:ascii="宋体" w:hAnsi="宋体"/>
          <w:color w:val="000000" w:themeColor="text1"/>
          <w:sz w:val="24"/>
          <w:highlight w:val="none"/>
        </w:rPr>
        <w:t xml:space="preserve">日</w:t>
      </w:r>
      <w:r>
        <w:rPr>
          <w:color w:val="000000" w:themeColor="text1"/>
          <w:highlight w:val="none"/>
        </w:rPr>
      </w:r>
      <w:r/>
    </w:p>
    <w:p>
      <w:pPr>
        <w:pStyle w:val="953"/>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r/>
    </w:p>
    <w:p>
      <w:pPr>
        <w:pStyle w:val="953"/>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备注：以苏彩云系统中开标一览表为准！</w:t>
      </w:r>
      <w:r>
        <w:rPr>
          <w:color w:val="000000" w:themeColor="text1"/>
          <w:highlight w:val="none"/>
        </w:rPr>
      </w:r>
      <w:r/>
    </w:p>
    <w:p>
      <w:pPr>
        <w:pStyle w:val="953"/>
        <w:jc w:val="left"/>
        <w:widowControl/>
        <w:rPr>
          <w:rFonts w:ascii="宋体" w:hAnsi="宋体" w:cs="宋体"/>
          <w:color w:val="000000" w:themeColor="text1"/>
          <w:sz w:val="32"/>
          <w:szCs w:val="32"/>
          <w:highlight w:val="none"/>
        </w:rPr>
      </w:pPr>
      <w:r>
        <w:rPr>
          <w:rFonts w:ascii="宋体" w:hAnsi="宋体" w:cs="宋体"/>
          <w:color w:val="000000" w:themeColor="text1"/>
          <w:sz w:val="32"/>
          <w:szCs w:val="32"/>
          <w:highlight w:val="none"/>
        </w:rPr>
        <w:br w:type="page" w:clear="all"/>
      </w:r>
      <w:r>
        <w:rPr>
          <w:color w:val="000000" w:themeColor="text1"/>
          <w:highlight w:val="none"/>
        </w:rPr>
      </w:r>
      <w:r/>
    </w:p>
    <w:p>
      <w:pPr>
        <w:pStyle w:val="953"/>
        <w:ind w:firstLine="3390"/>
        <w:keepLines/>
        <w:keepNext/>
        <w:spacing w:before="260" w:after="260" w:line="416" w:lineRule="auto"/>
        <w:rPr>
          <w:rFonts w:hint="eastAsia" w:ascii="宋体" w:hAnsi="宋体" w:cs="宋体"/>
          <w:iCs/>
          <w:color w:val="000000" w:themeColor="text1"/>
          <w:sz w:val="28"/>
          <w:szCs w:val="28"/>
          <w:highlight w:val="none"/>
        </w:rPr>
        <w:outlineLvl w:val="1"/>
      </w:pPr>
      <w:r>
        <w:rPr>
          <w:rFonts w:hint="eastAsia" w:ascii="宋体" w:hAnsi="宋体" w:cs="宋体"/>
          <w:iCs/>
          <w:color w:val="000000" w:themeColor="text1"/>
          <w:sz w:val="28"/>
          <w:szCs w:val="28"/>
          <w:highlight w:val="none"/>
        </w:rPr>
        <w:t xml:space="preserve">十三、分项报价表</w:t>
      </w:r>
      <w:r>
        <w:rPr>
          <w:color w:val="000000" w:themeColor="text1"/>
          <w:highlight w:val="none"/>
        </w:rPr>
      </w:r>
      <w:r/>
    </w:p>
    <w:p>
      <w:pPr>
        <w:pStyle w:val="953"/>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color w:val="000000" w:themeColor="text1"/>
          <w:highlight w:val="none"/>
        </w:rPr>
      </w:r>
      <w:r/>
    </w:p>
    <w:p>
      <w:pPr>
        <w:pStyle w:val="1032"/>
        <w:ind w:firstLine="0"/>
        <w:rPr>
          <w:color w:val="000000" w:themeColor="text1"/>
          <w:highlight w:val="none"/>
        </w:rPr>
      </w:pPr>
      <w:r>
        <w:rPr>
          <w:rFonts w:hint="eastAsia" w:ascii="宋体" w:hAnsi="宋体" w:cs="宋体"/>
          <w:color w:val="000000" w:themeColor="text1"/>
          <w:highlight w:val="none"/>
        </w:rPr>
        <w:t xml:space="preserve">项目编号：</w:t>
      </w:r>
      <w:r>
        <w:rPr>
          <w:color w:val="000000" w:themeColor="text1"/>
          <w:highlight w:val="none"/>
        </w:rPr>
      </w:r>
      <w:r/>
    </w:p>
    <w:p>
      <w:pPr>
        <w:pStyle w:val="967"/>
        <w:rPr>
          <w:rFonts w:hint="eastAsia"/>
          <w:color w:val="000000" w:themeColor="text1"/>
          <w:highlight w:val="none"/>
        </w:rPr>
      </w:pPr>
      <w:r>
        <w:rPr>
          <w:rFonts w:hint="eastAsia"/>
          <w:color w:val="000000" w:themeColor="text1"/>
          <w:highlight w:val="none"/>
        </w:rPr>
      </w:r>
      <w:r>
        <w:rPr>
          <w:color w:val="000000" w:themeColor="text1"/>
          <w:highlight w:val="none"/>
        </w:rPr>
      </w:r>
      <w:r/>
    </w:p>
    <w:tbl>
      <w:tblPr>
        <w:tblW w:w="625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1"/>
        <w:gridCol w:w="1969"/>
        <w:gridCol w:w="1116"/>
        <w:gridCol w:w="1804"/>
        <w:gridCol w:w="1899"/>
        <w:gridCol w:w="1646"/>
        <w:gridCol w:w="1322"/>
        <w:gridCol w:w="1334"/>
      </w:tblGrid>
      <w:tr>
        <w:trPr>
          <w:trHeight w:val="966"/>
        </w:trPr>
        <w:tc>
          <w:tcPr>
            <w:tcW w:w="229"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r/>
          </w:p>
        </w:tc>
        <w:tc>
          <w:tcPr>
            <w:tcW w:w="847"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产品名称</w:t>
            </w:r>
            <w:r>
              <w:rPr>
                <w:color w:val="000000" w:themeColor="text1"/>
                <w:highlight w:val="none"/>
              </w:rPr>
            </w:r>
            <w:r/>
          </w:p>
        </w:tc>
        <w:tc>
          <w:tcPr>
            <w:tcW w:w="480"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color w:val="000000" w:themeColor="text1"/>
                <w:highlight w:val="none"/>
              </w:rPr>
            </w:r>
            <w:r/>
          </w:p>
        </w:tc>
        <w:tc>
          <w:tcPr>
            <w:tcW w:w="776" w:type="pct"/>
            <w:vAlign w:val="center"/>
            <w:textDirection w:val="lrTb"/>
            <w:noWrap/>
          </w:tcPr>
          <w:p>
            <w:pPr>
              <w:pStyle w:val="953"/>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最高限价</w:t>
            </w:r>
            <w:r>
              <w:rPr>
                <w:color w:val="000000" w:themeColor="text1"/>
                <w:highlight w:val="none"/>
              </w:rPr>
            </w:r>
            <w:r/>
          </w:p>
          <w:p>
            <w:pPr>
              <w:pStyle w:val="953"/>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（单价）</w:t>
            </w:r>
            <w:r>
              <w:rPr>
                <w:color w:val="000000" w:themeColor="text1"/>
                <w:highlight w:val="none"/>
              </w:rPr>
            </w:r>
            <w:r/>
          </w:p>
          <w:p>
            <w:pPr>
              <w:pStyle w:val="953"/>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（人民币/元）</w:t>
            </w:r>
            <w:r>
              <w:rPr>
                <w:color w:val="000000" w:themeColor="text1"/>
                <w:highlight w:val="none"/>
              </w:rPr>
            </w:r>
            <w:r/>
          </w:p>
        </w:tc>
        <w:tc>
          <w:tcPr>
            <w:tcW w:w="817" w:type="pct"/>
            <w:vAlign w:val="center"/>
            <w:textDirection w:val="lrTb"/>
            <w:noWrap/>
          </w:tcPr>
          <w:p>
            <w:pPr>
              <w:pStyle w:val="953"/>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价格</w:t>
            </w:r>
            <w:r>
              <w:rPr>
                <w:color w:val="000000" w:themeColor="text1"/>
                <w:highlight w:val="none"/>
              </w:rPr>
            </w:r>
            <w:r/>
          </w:p>
          <w:p>
            <w:pPr>
              <w:pStyle w:val="953"/>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（单价）</w:t>
            </w:r>
            <w:r>
              <w:rPr>
                <w:color w:val="000000" w:themeColor="text1"/>
                <w:highlight w:val="none"/>
              </w:rPr>
            </w:r>
            <w:r/>
          </w:p>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（人民币/元）</w:t>
            </w:r>
            <w:r>
              <w:rPr>
                <w:color w:val="000000" w:themeColor="text1"/>
                <w:highlight w:val="none"/>
              </w:rPr>
            </w:r>
            <w:r/>
          </w:p>
        </w:tc>
        <w:tc>
          <w:tcPr>
            <w:tcW w:w="708" w:type="pct"/>
            <w:vAlign w:val="center"/>
            <w:textDirection w:val="lrTb"/>
            <w:noWrap/>
          </w:tcPr>
          <w:p>
            <w:pPr>
              <w:pStyle w:val="953"/>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小计</w:t>
            </w:r>
            <w:r>
              <w:rPr>
                <w:color w:val="000000" w:themeColor="text1"/>
                <w:highlight w:val="none"/>
              </w:rPr>
            </w:r>
            <w:r/>
          </w:p>
          <w:p>
            <w:pPr>
              <w:pStyle w:val="953"/>
              <w:jc w:val="center"/>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（人民币/元）</w:t>
            </w:r>
            <w:r>
              <w:rPr>
                <w:color w:val="000000" w:themeColor="text1"/>
                <w:highlight w:val="none"/>
              </w:rPr>
            </w:r>
            <w:r/>
          </w:p>
        </w:tc>
        <w:tc>
          <w:tcPr>
            <w:tcW w:w="569" w:type="pct"/>
            <w:vAlign w:val="center"/>
            <w:textDirection w:val="lrTb"/>
            <w:noWrap/>
          </w:tcPr>
          <w:p>
            <w:pPr>
              <w:pStyle w:val="953"/>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品牌/制造商</w:t>
            </w:r>
            <w:r>
              <w:rPr>
                <w:color w:val="000000" w:themeColor="text1"/>
                <w:highlight w:val="none"/>
              </w:rPr>
            </w:r>
            <w:r/>
          </w:p>
        </w:tc>
        <w:tc>
          <w:tcPr>
            <w:tcW w:w="569" w:type="pct"/>
            <w:vAlign w:val="center"/>
            <w:textDirection w:val="lrTb"/>
            <w:noWrap/>
          </w:tcPr>
          <w:p>
            <w:pPr>
              <w:pStyle w:val="953"/>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型号</w:t>
            </w:r>
            <w:r>
              <w:rPr>
                <w:color w:val="000000" w:themeColor="text1"/>
                <w:highlight w:val="none"/>
              </w:rPr>
            </w:r>
            <w:r/>
          </w:p>
        </w:tc>
      </w:tr>
      <w:tr>
        <w:trPr>
          <w:trHeight w:val="488"/>
        </w:trPr>
        <w:tc>
          <w:tcPr>
            <w:shd w:val="clear" w:color="000000" w:fill="ffffff"/>
            <w:tcW w:w="229"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shd w:val="clear" w:color="000000" w:fill="ffffff"/>
            <w:tcW w:w="847"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手</w:t>
            </w:r>
            <w:r>
              <w:rPr>
                <w:rFonts w:hint="eastAsia" w:ascii="宋体" w:hAnsi="宋体" w:cs="宋体"/>
                <w:color w:val="000000" w:themeColor="text1"/>
                <w:sz w:val="24"/>
                <w:szCs w:val="24"/>
                <w:highlight w:val="none"/>
              </w:rPr>
              <w:t xml:space="preserve">动·阻燃</w:t>
            </w:r>
            <w:r>
              <w:rPr>
                <w:rFonts w:hint="eastAsia" w:ascii="宋体" w:hAnsi="宋体" w:cs="宋体"/>
                <w:color w:val="000000" w:themeColor="text1"/>
                <w:sz w:val="24"/>
                <w:szCs w:val="24"/>
                <w:highlight w:val="none"/>
              </w:rPr>
              <w:t xml:space="preserve">窗帘</w:t>
            </w:r>
            <w:r>
              <w:rPr>
                <w:color w:val="000000" w:themeColor="text1"/>
                <w:highlight w:val="none"/>
              </w:rPr>
            </w:r>
            <w:r/>
          </w:p>
        </w:tc>
        <w:tc>
          <w:tcPr>
            <w:tcW w:w="480"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49</w:t>
            </w:r>
            <w:r>
              <w:rPr>
                <w:rFonts w:hint="eastAsia" w:ascii="宋体" w:hAnsi="宋体" w:cs="宋体"/>
                <w:color w:val="000000" w:themeColor="text1"/>
                <w:sz w:val="24"/>
                <w:szCs w:val="24"/>
                <w:highlight w:val="none"/>
              </w:rPr>
              <w:t xml:space="preserve">30</w:t>
            </w:r>
            <w:r>
              <w:rPr>
                <w:color w:val="000000" w:themeColor="text1"/>
                <w:highlight w:val="none"/>
              </w:rPr>
            </w:r>
            <w:r/>
          </w:p>
        </w:tc>
        <w:tc>
          <w:tcPr>
            <w:shd w:val="clear" w:color="000000" w:fill="ffffff"/>
            <w:tcW w:w="776"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133</w:t>
            </w:r>
            <w:r>
              <w:rPr>
                <w:color w:val="000000" w:themeColor="text1"/>
                <w:highlight w:val="none"/>
              </w:rPr>
            </w:r>
            <w:r/>
          </w:p>
        </w:tc>
        <w:tc>
          <w:tcPr>
            <w:shd w:val="clear" w:color="000000" w:fill="ffffff"/>
            <w:tcW w:w="817" w:type="pct"/>
            <w:vAlign w:val="center"/>
            <w:textDirection w:val="lrTb"/>
            <w:noWrap/>
          </w:tcPr>
          <w:p>
            <w:pPr>
              <w:pStyle w:val="953"/>
              <w:jc w:val="left"/>
              <w:spacing w:line="360" w:lineRule="auto"/>
              <w:tabs>
                <w:tab w:val="center" w:pos="97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shd w:val="clear" w:color="000000" w:fill="ffffff"/>
            <w:tcW w:w="708" w:type="pct"/>
            <w:vAlign w:val="center"/>
            <w:textDirection w:val="lrTb"/>
            <w:noWrap/>
          </w:tcPr>
          <w:p>
            <w:pPr>
              <w:pStyle w:val="953"/>
              <w:jc w:val="left"/>
              <w:spacing w:line="360" w:lineRule="auto"/>
              <w:tabs>
                <w:tab w:val="center" w:pos="97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shd w:val="clear" w:color="000000" w:fill="ffffff"/>
            <w:tcW w:w="569" w:type="pct"/>
            <w:vAlign w:val="center"/>
            <w:textDirection w:val="lrTb"/>
            <w:noWrap/>
          </w:tcPr>
          <w:p>
            <w:pPr>
              <w:pStyle w:val="953"/>
              <w:jc w:val="left"/>
              <w:spacing w:line="360" w:lineRule="auto"/>
              <w:tabs>
                <w:tab w:val="center" w:pos="97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shd w:val="clear" w:color="000000" w:fill="ffffff"/>
            <w:tcW w:w="569" w:type="pct"/>
            <w:vAlign w:val="center"/>
            <w:textDirection w:val="lrTb"/>
            <w:noWrap/>
          </w:tcPr>
          <w:p>
            <w:pPr>
              <w:pStyle w:val="953"/>
              <w:jc w:val="left"/>
              <w:spacing w:line="360" w:lineRule="auto"/>
              <w:tabs>
                <w:tab w:val="center" w:pos="97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488"/>
        </w:trPr>
        <w:tc>
          <w:tcPr>
            <w:shd w:val="clear" w:color="000000" w:fill="ffffff"/>
            <w:tcW w:w="229"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r/>
          </w:p>
        </w:tc>
        <w:tc>
          <w:tcPr>
            <w:shd w:val="clear" w:color="000000" w:fill="ffffff"/>
            <w:tcW w:w="847"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手动·阻燃</w:t>
            </w:r>
            <w:r>
              <w:rPr>
                <w:rFonts w:hint="eastAsia" w:ascii="宋体" w:hAnsi="宋体" w:cs="宋体"/>
                <w:color w:val="000000" w:themeColor="text1"/>
                <w:sz w:val="24"/>
                <w:szCs w:val="24"/>
                <w:highlight w:val="none"/>
              </w:rPr>
              <w:t xml:space="preserve">医用隔帘</w:t>
            </w:r>
            <w:r>
              <w:rPr>
                <w:color w:val="000000" w:themeColor="text1"/>
                <w:highlight w:val="none"/>
              </w:rPr>
            </w:r>
            <w:r/>
          </w:p>
        </w:tc>
        <w:tc>
          <w:tcPr>
            <w:tcW w:w="480"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94</w:t>
            </w:r>
            <w:r>
              <w:rPr>
                <w:rFonts w:hint="eastAsia" w:ascii="宋体" w:hAnsi="宋体" w:cs="宋体"/>
                <w:color w:val="000000" w:themeColor="text1"/>
                <w:sz w:val="24"/>
                <w:szCs w:val="24"/>
                <w:highlight w:val="none"/>
              </w:rPr>
              <w:t xml:space="preserve">45</w:t>
            </w:r>
            <w:r>
              <w:rPr>
                <w:color w:val="000000" w:themeColor="text1"/>
                <w:highlight w:val="none"/>
              </w:rPr>
            </w:r>
            <w:r/>
          </w:p>
        </w:tc>
        <w:tc>
          <w:tcPr>
            <w:shd w:val="clear" w:color="000000" w:fill="ffffff"/>
            <w:tcW w:w="776"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65</w:t>
            </w:r>
            <w:r>
              <w:rPr>
                <w:color w:val="000000" w:themeColor="text1"/>
                <w:highlight w:val="none"/>
              </w:rPr>
            </w:r>
            <w:r/>
          </w:p>
        </w:tc>
        <w:tc>
          <w:tcPr>
            <w:shd w:val="clear" w:color="000000" w:fill="ffffff"/>
            <w:tcW w:w="817"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shd w:val="clear" w:color="000000" w:fill="ffffff"/>
            <w:tcW w:w="708" w:type="pct"/>
            <w:vAlign w:val="center"/>
            <w:textDirection w:val="lrTb"/>
            <w:noWrap/>
          </w:tcPr>
          <w:p>
            <w:pPr>
              <w:pStyle w:val="953"/>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shd w:val="clear" w:color="000000" w:fill="ffffff"/>
            <w:tcW w:w="569"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shd w:val="clear" w:color="000000" w:fill="ffffff"/>
            <w:tcW w:w="569"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88"/>
        </w:trPr>
        <w:tc>
          <w:tcPr>
            <w:shd w:val="clear" w:color="000000" w:fill="ffffff"/>
            <w:tcW w:w="229"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r/>
          </w:p>
        </w:tc>
        <w:tc>
          <w:tcPr>
            <w:shd w:val="clear" w:color="000000" w:fill="ffffff"/>
            <w:tcW w:w="847"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手动·阻燃卷帘</w:t>
            </w:r>
            <w:r>
              <w:rPr>
                <w:color w:val="000000" w:themeColor="text1"/>
                <w:highlight w:val="none"/>
              </w:rPr>
            </w:r>
            <w:r/>
          </w:p>
        </w:tc>
        <w:tc>
          <w:tcPr>
            <w:tcW w:w="480"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53</w:t>
            </w:r>
            <w:r>
              <w:rPr>
                <w:rFonts w:hint="eastAsia" w:ascii="宋体" w:hAnsi="宋体" w:cs="宋体"/>
                <w:color w:val="000000" w:themeColor="text1"/>
                <w:sz w:val="24"/>
                <w:szCs w:val="24"/>
                <w:highlight w:val="none"/>
              </w:rPr>
              <w:t xml:space="preserve">80</w:t>
            </w:r>
            <w:r>
              <w:rPr>
                <w:color w:val="000000" w:themeColor="text1"/>
                <w:highlight w:val="none"/>
              </w:rPr>
            </w:r>
            <w:r/>
          </w:p>
        </w:tc>
        <w:tc>
          <w:tcPr>
            <w:shd w:val="clear" w:color="000000" w:fill="ffffff"/>
            <w:tcW w:w="776"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150</w:t>
            </w:r>
            <w:r>
              <w:rPr>
                <w:color w:val="000000" w:themeColor="text1"/>
                <w:highlight w:val="none"/>
              </w:rPr>
            </w:r>
            <w:r/>
          </w:p>
        </w:tc>
        <w:tc>
          <w:tcPr>
            <w:shd w:val="clear" w:color="000000" w:fill="ffffff"/>
            <w:tcW w:w="817"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shd w:val="clear" w:color="000000" w:fill="ffffff"/>
            <w:tcW w:w="708" w:type="pct"/>
            <w:vAlign w:val="center"/>
            <w:textDirection w:val="lrTb"/>
            <w:noWrap/>
          </w:tcPr>
          <w:p>
            <w:pPr>
              <w:pStyle w:val="953"/>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shd w:val="clear" w:color="000000" w:fill="ffffff"/>
            <w:tcW w:w="569"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shd w:val="clear" w:color="000000" w:fill="ffffff"/>
            <w:tcW w:w="569"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88"/>
        </w:trPr>
        <w:tc>
          <w:tcPr>
            <w:shd w:val="clear" w:color="000000" w:fill="ffffff"/>
            <w:tcW w:w="229"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r/>
          </w:p>
        </w:tc>
        <w:tc>
          <w:tcPr>
            <w:shd w:val="clear" w:color="000000" w:fill="ffffff"/>
            <w:tcW w:w="847"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电动·阻燃</w:t>
            </w:r>
            <w:r>
              <w:rPr>
                <w:rFonts w:hint="eastAsia" w:ascii="宋体" w:hAnsi="宋体" w:cs="宋体"/>
                <w:color w:val="000000" w:themeColor="text1"/>
                <w:sz w:val="24"/>
                <w:szCs w:val="24"/>
                <w:highlight w:val="none"/>
              </w:rPr>
              <w:t xml:space="preserve">窗帘</w:t>
            </w:r>
            <w:r>
              <w:rPr>
                <w:color w:val="000000" w:themeColor="text1"/>
                <w:highlight w:val="none"/>
              </w:rPr>
            </w:r>
            <w:r/>
          </w:p>
        </w:tc>
        <w:tc>
          <w:tcPr>
            <w:tcW w:w="480"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rPr>
              <w:t xml:space="preserve">80</w:t>
            </w:r>
            <w:r>
              <w:rPr>
                <w:color w:val="000000" w:themeColor="text1"/>
                <w:highlight w:val="none"/>
              </w:rPr>
            </w:r>
            <w:r/>
          </w:p>
        </w:tc>
        <w:tc>
          <w:tcPr>
            <w:shd w:val="clear" w:color="000000" w:fill="ffffff"/>
            <w:tcW w:w="776"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540</w:t>
            </w:r>
            <w:r>
              <w:rPr>
                <w:color w:val="000000" w:themeColor="text1"/>
                <w:highlight w:val="none"/>
              </w:rPr>
            </w:r>
            <w:r/>
          </w:p>
        </w:tc>
        <w:tc>
          <w:tcPr>
            <w:shd w:val="clear" w:color="000000" w:fill="ffffff"/>
            <w:tcW w:w="817"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shd w:val="clear" w:color="000000" w:fill="ffffff"/>
            <w:tcW w:w="708" w:type="pct"/>
            <w:vAlign w:val="center"/>
            <w:textDirection w:val="lrTb"/>
            <w:noWrap/>
          </w:tcPr>
          <w:p>
            <w:pPr>
              <w:pStyle w:val="953"/>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shd w:val="clear" w:color="000000" w:fill="ffffff"/>
            <w:tcW w:w="569"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shd w:val="clear" w:color="000000" w:fill="ffffff"/>
            <w:tcW w:w="569"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88"/>
        </w:trPr>
        <w:tc>
          <w:tcPr>
            <w:shd w:val="clear" w:color="000000" w:fill="ffffff"/>
            <w:tcW w:w="229"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r/>
          </w:p>
        </w:tc>
        <w:tc>
          <w:tcPr>
            <w:shd w:val="clear" w:color="000000" w:fill="ffffff"/>
            <w:tcW w:w="847"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电动·阻燃卷帘</w:t>
            </w:r>
            <w:r>
              <w:rPr>
                <w:color w:val="000000" w:themeColor="text1"/>
                <w:highlight w:val="none"/>
              </w:rPr>
            </w:r>
            <w:r/>
          </w:p>
        </w:tc>
        <w:tc>
          <w:tcPr>
            <w:tcW w:w="480"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200</w:t>
            </w:r>
            <w:r>
              <w:rPr>
                <w:color w:val="000000" w:themeColor="text1"/>
                <w:highlight w:val="none"/>
              </w:rPr>
            </w:r>
            <w:r/>
          </w:p>
        </w:tc>
        <w:tc>
          <w:tcPr>
            <w:shd w:val="clear" w:color="000000" w:fill="ffffff"/>
            <w:tcW w:w="776"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560</w:t>
            </w:r>
            <w:r>
              <w:rPr>
                <w:color w:val="000000" w:themeColor="text1"/>
                <w:highlight w:val="none"/>
              </w:rPr>
            </w:r>
            <w:r/>
          </w:p>
        </w:tc>
        <w:tc>
          <w:tcPr>
            <w:shd w:val="clear" w:color="000000" w:fill="ffffff"/>
            <w:tcW w:w="817"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shd w:val="clear" w:color="000000" w:fill="ffffff"/>
            <w:tcW w:w="708" w:type="pct"/>
            <w:vAlign w:val="center"/>
            <w:textDirection w:val="lrTb"/>
            <w:noWrap/>
          </w:tcPr>
          <w:p>
            <w:pPr>
              <w:pStyle w:val="953"/>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shd w:val="clear" w:color="000000" w:fill="ffffff"/>
            <w:tcW w:w="569" w:type="pct"/>
            <w:vAlign w:val="center"/>
            <w:textDirection w:val="lrTb"/>
            <w:noWrap/>
          </w:tcPr>
          <w:p>
            <w:pPr>
              <w:pStyle w:val="953"/>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shd w:val="clear" w:color="000000" w:fill="ffffff"/>
            <w:tcW w:w="569" w:type="pct"/>
            <w:vAlign w:val="center"/>
            <w:textDirection w:val="lrTb"/>
            <w:noWrap/>
          </w:tcPr>
          <w:p>
            <w:pPr>
              <w:pStyle w:val="953"/>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488"/>
        </w:trPr>
        <w:tc>
          <w:tcPr>
            <w:shd w:val="clear" w:color="000000" w:fill="ffffff"/>
            <w:tcW w:w="229"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r/>
          </w:p>
        </w:tc>
        <w:tc>
          <w:tcPr>
            <w:shd w:val="clear" w:color="000000" w:fill="ffffff"/>
            <w:tcW w:w="847"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电动·阻燃幕布</w:t>
            </w:r>
            <w:r>
              <w:rPr>
                <w:color w:val="000000" w:themeColor="text1"/>
                <w:highlight w:val="none"/>
              </w:rPr>
            </w:r>
            <w:r/>
          </w:p>
        </w:tc>
        <w:tc>
          <w:tcPr>
            <w:tcW w:w="480"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8</w:t>
            </w:r>
            <w:r>
              <w:rPr>
                <w:rFonts w:hint="eastAsia" w:ascii="宋体" w:hAnsi="宋体" w:cs="宋体"/>
                <w:color w:val="000000" w:themeColor="text1"/>
                <w:sz w:val="24"/>
                <w:szCs w:val="24"/>
                <w:highlight w:val="none"/>
              </w:rPr>
              <w:t xml:space="preserve">5</w:t>
            </w:r>
            <w:r>
              <w:rPr>
                <w:color w:val="000000" w:themeColor="text1"/>
                <w:highlight w:val="none"/>
              </w:rPr>
            </w:r>
            <w:r/>
          </w:p>
        </w:tc>
        <w:tc>
          <w:tcPr>
            <w:shd w:val="clear" w:color="000000" w:fill="ffffff"/>
            <w:tcW w:w="776"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540</w:t>
            </w:r>
            <w:r>
              <w:rPr>
                <w:color w:val="000000" w:themeColor="text1"/>
                <w:highlight w:val="none"/>
              </w:rPr>
            </w:r>
            <w:r/>
          </w:p>
        </w:tc>
        <w:tc>
          <w:tcPr>
            <w:shd w:val="clear" w:color="000000" w:fill="ffffff"/>
            <w:tcW w:w="817"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shd w:val="clear" w:color="000000" w:fill="ffffff"/>
            <w:tcW w:w="708" w:type="pct"/>
            <w:vAlign w:val="center"/>
            <w:textDirection w:val="lrTb"/>
            <w:noWrap/>
          </w:tcPr>
          <w:p>
            <w:pPr>
              <w:pStyle w:val="953"/>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shd w:val="clear" w:color="000000" w:fill="ffffff"/>
            <w:tcW w:w="569"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shd w:val="clear" w:color="000000" w:fill="ffffff"/>
            <w:tcW w:w="569"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88"/>
        </w:trPr>
        <w:tc>
          <w:tcPr>
            <w:shd w:val="clear" w:color="000000" w:fill="ffffff"/>
            <w:tcW w:w="229"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color w:val="000000" w:themeColor="text1"/>
                <w:highlight w:val="none"/>
              </w:rPr>
            </w:r>
            <w:r/>
          </w:p>
        </w:tc>
        <w:tc>
          <w:tcPr>
            <w:shd w:val="clear" w:color="000000" w:fill="ffffff"/>
            <w:tcW w:w="847" w:type="pct"/>
            <w:vAlign w:val="center"/>
            <w:textDirection w:val="lrTb"/>
            <w:noWrap/>
          </w:tcPr>
          <w:p>
            <w:pPr>
              <w:pStyle w:val="953"/>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辅料配件</w:t>
            </w:r>
            <w:r>
              <w:rPr>
                <w:color w:val="000000" w:themeColor="text1"/>
                <w:highlight w:val="none"/>
              </w:rPr>
            </w:r>
            <w:r/>
          </w:p>
        </w:tc>
        <w:tc>
          <w:tcPr>
            <w:tcW w:w="480"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776"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highlight w:val="none"/>
              </w:rPr>
            </w:r>
            <w:r/>
          </w:p>
        </w:tc>
        <w:tc>
          <w:tcPr>
            <w:tcW w:w="817" w:type="pct"/>
            <w:vAlign w:val="center"/>
            <w:textDirection w:val="lrTb"/>
            <w:noWrap/>
          </w:tcPr>
          <w:p>
            <w:pPr>
              <w:pStyle w:val="953"/>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highlight w:val="none"/>
              </w:rPr>
            </w:r>
            <w:r/>
          </w:p>
        </w:tc>
        <w:tc>
          <w:tcPr>
            <w:shd w:val="clear" w:color="000000" w:fill="ffffff"/>
            <w:tcW w:w="708" w:type="pct"/>
            <w:vAlign w:val="center"/>
            <w:textDirection w:val="lrTb"/>
            <w:noWrap/>
          </w:tcPr>
          <w:p>
            <w:pPr>
              <w:pStyle w:val="953"/>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包含在总价内</w:t>
            </w:r>
            <w:r>
              <w:rPr>
                <w:color w:val="000000" w:themeColor="text1"/>
                <w:highlight w:val="none"/>
              </w:rPr>
            </w:r>
            <w:r/>
          </w:p>
        </w:tc>
        <w:tc>
          <w:tcPr>
            <w:shd w:val="clear" w:color="000000" w:fill="ffffff"/>
            <w:tcW w:w="569"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shd w:val="clear" w:color="000000" w:fill="ffffff"/>
            <w:tcW w:w="569"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88"/>
        </w:trPr>
        <w:tc>
          <w:tcPr>
            <w:gridSpan w:val="8"/>
            <w:shd w:val="clear" w:color="000000" w:fill="ffffff"/>
            <w:tcW w:w="5000" w:type="pct"/>
            <w:vAlign w:val="center"/>
            <w:textDirection w:val="lrTb"/>
            <w:noWrap/>
          </w:tcPr>
          <w:p>
            <w:pPr>
              <w:pStyle w:val="953"/>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投标总价：</w:t>
            </w:r>
            <w:r>
              <w:rPr>
                <w:rFonts w:hint="eastAsia" w:ascii="宋体" w:hAnsi="宋体" w:cs="宋体"/>
                <w:color w:val="000000" w:themeColor="text1"/>
                <w:sz w:val="24"/>
                <w:szCs w:val="24"/>
                <w:highlight w:val="none"/>
              </w:rPr>
              <w:t xml:space="preserve">  </w:t>
            </w:r>
            <w:r>
              <w:rPr>
                <w:color w:val="000000" w:themeColor="text1"/>
                <w:highlight w:val="none"/>
              </w:rPr>
            </w:r>
            <w:r/>
          </w:p>
        </w:tc>
      </w:tr>
      <w:tr>
        <w:trPr>
          <w:trHeight w:val="488"/>
        </w:trPr>
        <w:tc>
          <w:tcPr>
            <w:gridSpan w:val="8"/>
            <w:shd w:val="clear" w:color="000000" w:fill="ffffff"/>
            <w:tcW w:w="5000" w:type="pct"/>
            <w:vAlign w:val="center"/>
            <w:textDirection w:val="lrTb"/>
            <w:noWrap/>
          </w:tcPr>
          <w:p>
            <w:pPr>
              <w:pStyle w:val="953"/>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本国产品占比:</w:t>
            </w:r>
            <w:r>
              <w:rPr>
                <w:rFonts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 %</w:t>
            </w:r>
            <w:r>
              <w:rPr>
                <w:color w:val="000000" w:themeColor="text1"/>
                <w:highlight w:val="none"/>
              </w:rPr>
            </w:r>
            <w:r/>
          </w:p>
        </w:tc>
      </w:tr>
      <w:tr>
        <w:trPr>
          <w:trHeight w:val="488"/>
        </w:trPr>
        <w:tc>
          <w:tcPr>
            <w:gridSpan w:val="8"/>
            <w:shd w:val="clear" w:color="000000" w:fill="ffffff"/>
            <w:tcW w:w="5000" w:type="pct"/>
            <w:vAlign w:val="center"/>
            <w:textDirection w:val="lrTb"/>
            <w:noWrap/>
          </w:tcPr>
          <w:p>
            <w:pPr>
              <w:pStyle w:val="953"/>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color w:val="000000" w:themeColor="text1"/>
                <w:highlight w:val="none"/>
              </w:rPr>
            </w:r>
            <w:r/>
          </w:p>
        </w:tc>
      </w:tr>
    </w:tbl>
    <w:p>
      <w:pPr>
        <w:pStyle w:val="953"/>
        <w:jc w:val="left"/>
        <w:rPr>
          <w:color w:val="000000" w:themeColor="text1"/>
          <w:szCs w:val="21"/>
          <w:highlight w:val="none"/>
        </w:rPr>
      </w:pPr>
      <w:r>
        <w:rPr>
          <w:rFonts w:hint="eastAsia" w:ascii="宋体" w:hAnsi="宋体" w:cs="宋体"/>
          <w:bCs/>
          <w:color w:val="000000" w:themeColor="text1"/>
          <w:sz w:val="24"/>
          <w:szCs w:val="21"/>
          <w:highlight w:val="none"/>
        </w:rPr>
        <w:t xml:space="preserve">备注：</w:t>
      </w:r>
      <w:r>
        <w:rPr>
          <w:rFonts w:ascii="宋体" w:hAnsi="宋体" w:cs="宋体"/>
          <w:b/>
          <w:bCs/>
          <w:color w:val="000000" w:themeColor="text1"/>
          <w:szCs w:val="21"/>
          <w:highlight w:val="none"/>
        </w:rPr>
        <w:t xml:space="preserve">1、“分项报价表”中“投标总价”金额应当与“开标一览表”中</w:t>
      </w:r>
      <w:r>
        <w:rPr>
          <w:rFonts w:hint="eastAsia" w:ascii="宋体" w:hAnsi="宋体" w:cs="宋体"/>
          <w:b/>
          <w:bCs/>
          <w:color w:val="000000" w:themeColor="text1"/>
          <w:szCs w:val="21"/>
          <w:highlight w:val="none"/>
        </w:rPr>
        <w:t xml:space="preserve">价格</w:t>
      </w:r>
      <w:r>
        <w:rPr>
          <w:rFonts w:ascii="宋体" w:hAnsi="宋体" w:cs="宋体"/>
          <w:b/>
          <w:bCs/>
          <w:color w:val="000000" w:themeColor="text1"/>
          <w:szCs w:val="21"/>
          <w:highlight w:val="none"/>
        </w:rPr>
        <w:t xml:space="preserve">金额一致。</w:t>
      </w:r>
      <w:r>
        <w:rPr>
          <w:rFonts w:hint="eastAsia" w:ascii="宋体" w:hAnsi="宋体" w:cs="宋体"/>
          <w:b/>
          <w:bCs/>
          <w:color w:val="000000" w:themeColor="text1"/>
          <w:szCs w:val="21"/>
          <w:highlight w:val="none"/>
        </w:rPr>
        <w:t xml:space="preserve">投标单价不得超过单价限价。</w:t>
      </w:r>
      <w:r>
        <w:rPr>
          <w:color w:val="000000" w:themeColor="text1"/>
          <w:highlight w:val="none"/>
        </w:rPr>
      </w:r>
      <w:r/>
    </w:p>
    <w:p>
      <w:pPr>
        <w:pStyle w:val="953"/>
        <w:spacing w:after="120" w:line="300" w:lineRule="auto"/>
        <w:rPr>
          <w:color w:val="000000" w:themeColor="text1"/>
          <w:szCs w:val="21"/>
          <w:highlight w:val="none"/>
        </w:rPr>
      </w:pPr>
      <w:r>
        <w:rPr>
          <w:rFonts w:ascii="宋体" w:hAnsi="宋体" w:cs="宋体"/>
          <w:b/>
          <w:bCs/>
          <w:color w:val="000000" w:themeColor="text1"/>
          <w:szCs w:val="21"/>
          <w:highlight w:val="none"/>
        </w:rPr>
        <w:t xml:space="preserve">2</w:t>
      </w:r>
      <w:r>
        <w:rPr>
          <w:rFonts w:ascii="宋体" w:hAnsi="宋体" w:cs="宋体"/>
          <w:b/>
          <w:bCs/>
          <w:color w:val="000000" w:themeColor="text1"/>
          <w:szCs w:val="21"/>
          <w:highlight w:val="none"/>
        </w:rPr>
        <w:t xml:space="preserve">、涉及小型、微型、节能产品、环境标志等享受政府采购扶持政策的项目，需在备注中分别明确注明。</w:t>
      </w:r>
      <w:r>
        <w:rPr>
          <w:color w:val="000000" w:themeColor="text1"/>
          <w:highlight w:val="none"/>
        </w:rPr>
      </w:r>
      <w:r/>
    </w:p>
    <w:p>
      <w:pPr>
        <w:pStyle w:val="953"/>
        <w:spacing w:after="120" w:line="300" w:lineRule="auto"/>
        <w:rPr>
          <w:rFonts w:hint="eastAsia" w:ascii="宋体" w:hAnsi="宋体" w:cs="宋体"/>
          <w:b/>
          <w:bCs/>
          <w:color w:val="000000" w:themeColor="text1"/>
          <w:szCs w:val="21"/>
          <w:highlight w:val="none"/>
        </w:rPr>
      </w:pPr>
      <w:r>
        <w:rPr>
          <w:rFonts w:ascii="宋体" w:hAnsi="宋体" w:cs="宋体"/>
          <w:b/>
          <w:bCs/>
          <w:color w:val="000000" w:themeColor="text1"/>
          <w:szCs w:val="21"/>
          <w:highlight w:val="none"/>
        </w:rPr>
        <w:t xml:space="preserve">3、本</w:t>
      </w:r>
      <w:r>
        <w:rPr>
          <w:rFonts w:ascii="宋体" w:hAnsi="宋体" w:cs="宋体"/>
          <w:b/>
          <w:bCs/>
          <w:color w:val="000000" w:themeColor="text1"/>
          <w:szCs w:val="21"/>
          <w:highlight w:val="none"/>
        </w:rPr>
        <w:t xml:space="preserve">采购包中含有多种产品时，供应商未填写本采购包中提供的符合本国产品标准的产品成本之和占该采购包提供的全部产品成本之和的比例数值的，或比例数值未达到80%的，将不享受本国产品价格评审优惠。投标报价采用总承包方式，“投标总报价”应包括所投货物（包含与货物相关的服务）费用、安装调试费、测试验收费、培训费、运行维护费用、税金、国际（如果有）国内运输保险、报关清关（如果有）、开证（如果有）、办理全套免税手续费用（如果有）及</w:t>
      </w:r>
      <w:r>
        <w:rPr>
          <w:rFonts w:ascii="宋体" w:hAnsi="宋体" w:cs="宋体"/>
          <w:b/>
          <w:bCs/>
          <w:color w:val="000000" w:themeColor="text1"/>
          <w:szCs w:val="21"/>
          <w:highlight w:val="none"/>
        </w:rPr>
        <w:t xml:space="preserve">其他有关的为完成本项目发生的所有费用，招标文件中另有规定的除外。</w:t>
      </w:r>
      <w:r>
        <w:rPr>
          <w:rFonts w:hint="eastAsia" w:ascii="宋体" w:hAnsi="宋体" w:cs="宋体"/>
          <w:b/>
          <w:bCs/>
          <w:color w:val="000000" w:themeColor="text1"/>
          <w:szCs w:val="21"/>
          <w:highlight w:val="none"/>
        </w:rPr>
        <w:t xml:space="preserve">详见第五章中7、采购本国产品的支持</w:t>
      </w:r>
      <w:r>
        <w:rPr>
          <w:rFonts w:hint="eastAsia" w:ascii="宋体" w:hAnsi="宋体" w:cs="宋体"/>
          <w:b/>
          <w:bCs/>
          <w:color w:val="000000" w:themeColor="text1"/>
          <w:szCs w:val="21"/>
          <w:highlight w:val="none"/>
        </w:rPr>
        <w:t xml:space="preserve">政策。</w:t>
      </w:r>
      <w:r>
        <w:rPr>
          <w:color w:val="000000" w:themeColor="text1"/>
          <w:highlight w:val="none"/>
        </w:rPr>
      </w:r>
      <w:r/>
    </w:p>
    <w:p>
      <w:pPr>
        <w:pStyle w:val="953"/>
        <w:ind w:firstLine="480"/>
        <w:spacing w:line="360" w:lineRule="auto"/>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r>
      <w:r>
        <w:rPr>
          <w:color w:val="000000" w:themeColor="text1"/>
          <w:highlight w:val="none"/>
        </w:rPr>
      </w:r>
      <w:r/>
    </w:p>
    <w:p>
      <w:pPr>
        <w:pStyle w:val="953"/>
        <w:ind w:firstLine="480"/>
        <w:spacing w:line="360" w:lineRule="auto"/>
        <w:rPr>
          <w:rFonts w:ascii="宋体" w:hAnsi="宋体" w:cs="宋体"/>
          <w:bCs/>
          <w:color w:val="000000" w:themeColor="text1"/>
          <w:sz w:val="24"/>
          <w:szCs w:val="21"/>
          <w:highlight w:val="none"/>
          <w:u w:val="single"/>
        </w:rPr>
      </w:pPr>
      <w:r>
        <w:rPr>
          <w:rFonts w:hint="eastAsia" w:ascii="宋体" w:hAnsi="宋体" w:cs="宋体"/>
          <w:bCs/>
          <w:color w:val="000000" w:themeColor="text1"/>
          <w:sz w:val="24"/>
          <w:szCs w:val="21"/>
          <w:highlight w:val="none"/>
        </w:rPr>
        <w:t xml:space="preserve">投标人名称：</w:t>
      </w:r>
      <w:r>
        <w:rPr>
          <w:rFonts w:hint="eastAsia" w:ascii="宋体" w:hAnsi="宋体" w:cs="宋体"/>
          <w:bCs/>
          <w:color w:val="000000" w:themeColor="text1"/>
          <w:sz w:val="24"/>
          <w:szCs w:val="21"/>
          <w:highlight w:val="none"/>
          <w:u w:val="single"/>
        </w:rPr>
        <w:t xml:space="preserve">（加盖CA电子公章）</w:t>
      </w:r>
      <w:r>
        <w:rPr>
          <w:color w:val="000000" w:themeColor="text1"/>
          <w:highlight w:val="none"/>
        </w:rPr>
      </w:r>
      <w:r/>
    </w:p>
    <w:p>
      <w:pPr>
        <w:pStyle w:val="953"/>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投标日期：XX年XX月XX日</w:t>
      </w:r>
      <w:r>
        <w:rPr>
          <w:color w:val="000000" w:themeColor="text1"/>
          <w:highlight w:val="none"/>
        </w:rPr>
      </w:r>
      <w:r/>
    </w:p>
    <w:p>
      <w:pPr>
        <w:pStyle w:val="953"/>
        <w:rPr>
          <w:rFonts w:hint="eastAsia" w:ascii="宋体" w:hAnsi="宋体" w:cs="宋体"/>
          <w:iCs/>
          <w:color w:val="000000" w:themeColor="text1"/>
          <w:sz w:val="28"/>
          <w:szCs w:val="28"/>
          <w:highlight w:val="none"/>
        </w:rPr>
      </w:pPr>
      <w:r>
        <w:rPr>
          <w:rFonts w:hint="eastAsia" w:ascii="宋体" w:hAnsi="宋体" w:cs="宋体"/>
          <w:iCs/>
          <w:color w:val="000000" w:themeColor="text1"/>
          <w:sz w:val="28"/>
          <w:szCs w:val="28"/>
          <w:highlight w:val="none"/>
        </w:rPr>
        <w:br w:type="page" w:clear="all"/>
      </w:r>
      <w:r>
        <w:rPr>
          <w:color w:val="000000" w:themeColor="text1"/>
          <w:highlight w:val="none"/>
        </w:rPr>
      </w:r>
      <w:r/>
    </w:p>
    <w:p>
      <w:pPr>
        <w:pStyle w:val="953"/>
        <w:rPr>
          <w:rFonts w:hint="eastAsia" w:ascii="宋体" w:hAnsi="宋体" w:cs="宋体"/>
          <w:iCs/>
          <w:color w:val="000000" w:themeColor="text1"/>
          <w:sz w:val="28"/>
          <w:szCs w:val="28"/>
          <w:highlight w:val="none"/>
        </w:rPr>
      </w:pPr>
      <w:r>
        <w:rPr>
          <w:rFonts w:hint="eastAsia" w:ascii="宋体" w:hAnsi="宋体" w:cs="宋体"/>
          <w:iCs/>
          <w:color w:val="000000" w:themeColor="text1"/>
          <w:sz w:val="28"/>
          <w:szCs w:val="28"/>
          <w:highlight w:val="none"/>
        </w:rPr>
      </w:r>
      <w:r>
        <w:rPr>
          <w:color w:val="000000" w:themeColor="text1"/>
          <w:highlight w:val="none"/>
        </w:rPr>
      </w:r>
      <w:r/>
    </w:p>
    <w:p>
      <w:pPr>
        <w:pStyle w:val="953"/>
        <w:jc w:val="center"/>
        <w:keepLines/>
        <w:keepNext/>
        <w:spacing w:before="260" w:line="415" w:lineRule="auto"/>
        <w:rPr>
          <w:rFonts w:ascii="宋体" w:hAnsi="宋体" w:cs="宋体"/>
          <w:color w:val="000000" w:themeColor="text1"/>
          <w:sz w:val="28"/>
          <w:szCs w:val="28"/>
          <w:highlight w:val="none"/>
        </w:rPr>
        <w:outlineLvl w:val="1"/>
      </w:pPr>
      <w:r>
        <w:rPr>
          <w:color w:val="000000" w:themeColor="text1"/>
          <w:highlight w:val="none"/>
        </w:rPr>
      </w:r>
      <w:bookmarkStart w:id="195" w:name="_Toc14221"/>
      <w:r>
        <w:rPr>
          <w:rFonts w:hint="eastAsia" w:ascii="宋体" w:hAnsi="宋体" w:cs="宋体"/>
          <w:color w:val="000000" w:themeColor="text1"/>
          <w:sz w:val="28"/>
          <w:szCs w:val="28"/>
          <w:highlight w:val="none"/>
        </w:rPr>
        <w:t xml:space="preserve">十四、服务方案</w:t>
      </w:r>
      <w:bookmarkEnd w:id="195"/>
      <w:r>
        <w:rPr>
          <w:color w:val="000000" w:themeColor="text1"/>
          <w:highlight w:val="none"/>
        </w:rPr>
      </w:r>
      <w:r/>
    </w:p>
    <w:p>
      <w:pPr>
        <w:pStyle w:val="953"/>
        <w:ind w:left="420"/>
        <w:jc w:val="center"/>
        <w:rPr>
          <w:rFonts w:ascii="宋体" w:hAnsi="宋体" w:cs="宋体"/>
          <w:color w:val="000000" w:themeColor="text1"/>
          <w:sz w:val="24"/>
          <w:highlight w:val="none"/>
        </w:rPr>
      </w:pPr>
      <w:r>
        <w:rPr>
          <w:rFonts w:hint="eastAsia" w:ascii="宋体" w:hAnsi="宋体" w:cs="宋体"/>
          <w:bCs/>
          <w:color w:val="000000" w:themeColor="text1"/>
          <w:sz w:val="24"/>
          <w:highlight w:val="none"/>
        </w:rPr>
        <w:t xml:space="preserve">投标人须根据本项目的采购需求及评分标准的要求编制项目服务方案，格式自拟</w:t>
      </w:r>
      <w:r>
        <w:rPr>
          <w:color w:val="000000" w:themeColor="text1"/>
          <w:highlight w:val="none"/>
        </w:rPr>
      </w:r>
      <w:r/>
    </w:p>
    <w:p>
      <w:pPr>
        <w:pStyle w:val="953"/>
        <w:rPr>
          <w:rFonts w:ascii="宋体" w:hAnsi="宋体" w:cs="宋体"/>
          <w:i/>
          <w:iCs/>
          <w:color w:val="000000" w:themeColor="text1"/>
          <w:sz w:val="32"/>
          <w:szCs w:val="32"/>
          <w:highlight w:val="none"/>
          <w:u w:val="single"/>
        </w:rPr>
      </w:pPr>
      <w:r>
        <w:rPr>
          <w:rFonts w:hint="eastAsia" w:ascii="宋体" w:hAnsi="宋体" w:cs="宋体"/>
          <w:i/>
          <w:iCs/>
          <w:color w:val="000000" w:themeColor="text1"/>
          <w:sz w:val="32"/>
          <w:szCs w:val="32"/>
          <w:highlight w:val="none"/>
          <w:u w:val="single"/>
        </w:rPr>
        <w:br w:type="page" w:clear="all"/>
      </w:r>
      <w:r>
        <w:rPr>
          <w:color w:val="000000" w:themeColor="text1"/>
          <w:highlight w:val="none"/>
        </w:rPr>
      </w:r>
      <w:r/>
    </w:p>
    <w:p>
      <w:pPr>
        <w:pStyle w:val="953"/>
        <w:jc w:val="center"/>
        <w:keepLines/>
        <w:keepNext/>
        <w:spacing w:before="260" w:line="415" w:lineRule="auto"/>
        <w:rPr>
          <w:rFonts w:ascii="宋体" w:hAnsi="宋体" w:cs="宋体"/>
          <w:color w:val="000000" w:themeColor="text1"/>
          <w:sz w:val="28"/>
          <w:szCs w:val="28"/>
          <w:highlight w:val="none"/>
        </w:rPr>
        <w:outlineLvl w:val="1"/>
      </w:pPr>
      <w:r>
        <w:rPr>
          <w:color w:val="000000" w:themeColor="text1"/>
          <w:highlight w:val="none"/>
        </w:rPr>
      </w:r>
      <w:bookmarkStart w:id="196" w:name="_Toc10285"/>
      <w:r>
        <w:rPr>
          <w:rFonts w:hint="eastAsia" w:ascii="宋体" w:hAnsi="宋体" w:cs="宋体"/>
          <w:color w:val="000000" w:themeColor="text1"/>
          <w:sz w:val="28"/>
          <w:szCs w:val="28"/>
          <w:highlight w:val="none"/>
        </w:rPr>
        <w:t xml:space="preserve">十五、</w:t>
      </w:r>
      <w:bookmarkEnd w:id="196"/>
      <w:r>
        <w:rPr>
          <w:rFonts w:hint="eastAsia" w:ascii="宋体" w:hAnsi="宋体" w:cs="宋体"/>
          <w:color w:val="000000" w:themeColor="text1"/>
          <w:sz w:val="28"/>
          <w:szCs w:val="28"/>
          <w:highlight w:val="none"/>
        </w:rPr>
        <w:t xml:space="preserve">投标人认为需要提供的其它资料</w:t>
      </w:r>
      <w:r>
        <w:rPr>
          <w:color w:val="000000" w:themeColor="text1"/>
          <w:highlight w:val="none"/>
        </w:rPr>
      </w:r>
      <w:r/>
    </w:p>
    <w:p>
      <w:pPr>
        <w:pStyle w:val="953"/>
        <w:jc w:val="center"/>
        <w:keepLines/>
        <w:keepNext/>
        <w:spacing w:before="260" w:line="415"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r/>
    </w:p>
    <w:p>
      <w:pPr>
        <w:pStyle w:val="953"/>
        <w:jc w:val="center"/>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（评分或招标文件中要求提供的材料，格式自拟）</w:t>
      </w:r>
      <w:r>
        <w:rPr>
          <w:color w:val="000000" w:themeColor="text1"/>
          <w:highlight w:val="none"/>
        </w:rPr>
      </w:r>
      <w:r/>
    </w:p>
    <w:p>
      <w:pPr>
        <w:pStyle w:val="953"/>
        <w:jc w:val="left"/>
        <w:keepLines/>
        <w:keepNex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例如：</w:t>
      </w:r>
      <w:r>
        <w:rPr>
          <w:color w:val="000000" w:themeColor="text1"/>
          <w:highlight w:val="none"/>
        </w:rPr>
      </w:r>
      <w:r/>
    </w:p>
    <w:p>
      <w:pPr>
        <w:pStyle w:val="953"/>
        <w:numPr>
          <w:ilvl w:val="0"/>
          <w:numId w:val="10"/>
        </w:numPr>
        <w:ind w:left="0" w:firstLine="0"/>
        <w:jc w:val="left"/>
        <w:keepLines/>
        <w:keepNex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评分标准中涉及的材料（如业绩证明材料等）</w:t>
      </w:r>
      <w:r>
        <w:rPr>
          <w:color w:val="000000" w:themeColor="text1"/>
          <w:highlight w:val="none"/>
        </w:rPr>
      </w:r>
      <w:r/>
    </w:p>
    <w:p>
      <w:pPr>
        <w:pStyle w:val="953"/>
        <w:numPr>
          <w:ilvl w:val="0"/>
          <w:numId w:val="10"/>
        </w:numPr>
        <w:ind w:left="0" w:firstLine="0"/>
        <w:jc w:val="left"/>
        <w:keepLines/>
        <w:keepNex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投标人认为需要提供的其它资料</w:t>
      </w:r>
      <w:r>
        <w:rPr>
          <w:color w:val="000000" w:themeColor="text1"/>
          <w:highlight w:val="none"/>
        </w:rPr>
      </w:r>
      <w:r/>
    </w:p>
    <w:p>
      <w:pPr>
        <w:pStyle w:val="953"/>
        <w:numPr>
          <w:ilvl w:val="0"/>
          <w:numId w:val="10"/>
        </w:numPr>
        <w:ind w:left="0" w:firstLine="0"/>
        <w:jc w:val="left"/>
        <w:keepLines/>
        <w:keepNex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pStyle w:val="953"/>
        <w:jc w:val="center"/>
        <w:keepLines/>
        <w:keepNext/>
        <w:spacing w:before="260" w:line="415" w:lineRule="auto"/>
        <w:rPr>
          <w:rFonts w:hint="eastAsia" w:ascii="宋体" w:hAnsi="宋体" w:cs="宋体"/>
          <w:color w:val="000000" w:themeColor="text1"/>
          <w:sz w:val="28"/>
          <w:szCs w:val="28"/>
          <w:highlight w:val="none"/>
        </w:rPr>
        <w:outlineLvl w:val="1"/>
      </w:pPr>
      <w:r>
        <w:rPr>
          <w:rFonts w:hint="eastAsia" w:ascii="宋体" w:hAnsi="宋体" w:cs="宋体"/>
          <w:color w:val="000000" w:themeColor="text1"/>
          <w:sz w:val="28"/>
          <w:szCs w:val="28"/>
          <w:highlight w:val="none"/>
        </w:rPr>
        <w:br w:type="page" w:clear="all"/>
        <w:t xml:space="preserve">十六、样品清单（格式自拟）</w:t>
      </w:r>
      <w:r>
        <w:rPr>
          <w:color w:val="000000" w:themeColor="text1"/>
          <w:highlight w:val="none"/>
        </w:rPr>
      </w:r>
      <w:r/>
    </w:p>
    <w:p>
      <w:pPr>
        <w:pStyle w:val="953"/>
        <w:jc w:val="center"/>
        <w:spacing w:line="241" w:lineRule="atLeast"/>
        <w:rPr>
          <w:rFonts w:ascii="宋体" w:hAnsi="宋体" w:cs="宋体"/>
          <w:color w:val="000000" w:themeColor="text1"/>
          <w:sz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仿宋"/>
          <w:b/>
          <w:bCs/>
          <w:color w:val="000000" w:themeColor="text1"/>
          <w:sz w:val="32"/>
          <w:szCs w:val="32"/>
          <w:highlight w:val="none"/>
        </w:rPr>
        <w:br w:type="page" w:clear="all"/>
      </w:r>
      <w:r>
        <w:rPr>
          <w:rFonts w:hint="eastAsia" w:ascii="宋体" w:hAnsi="宋体" w:cs="宋体"/>
          <w:color w:val="000000" w:themeColor="text1"/>
          <w:sz w:val="28"/>
          <w:szCs w:val="28"/>
          <w:highlight w:val="none"/>
        </w:rPr>
        <w:t xml:space="preserve">十七、</w:t>
      </w:r>
      <w:r>
        <w:rPr>
          <w:rFonts w:hint="eastAsia" w:ascii="宋体" w:hAnsi="宋体" w:cs="宋体"/>
          <w:color w:val="000000" w:themeColor="text1"/>
          <w:sz w:val="32"/>
          <w:highlight w:val="none"/>
        </w:rPr>
        <w:t xml:space="preserve">南京市政府采购供应商信用承诺书</w:t>
      </w:r>
      <w:r>
        <w:rPr>
          <w:color w:val="000000" w:themeColor="text1"/>
          <w:highlight w:val="none"/>
        </w:rPr>
      </w:r>
      <w:r/>
    </w:p>
    <w:p>
      <w:pPr>
        <w:pStyle w:val="953"/>
        <w:jc w:val="right"/>
        <w:rPr>
          <w:rFonts w:ascii="方正小标宋简体" w:hAnsi="方正小标宋简体" w:eastAsia="方正小标宋简体" w:cs="方正小标宋简体"/>
          <w:color w:val="000000" w:themeColor="text1"/>
          <w:sz w:val="22"/>
          <w:szCs w:val="28"/>
          <w:highlight w:val="none"/>
        </w:rPr>
      </w:pPr>
      <w:r>
        <w:rPr>
          <w:rFonts w:ascii="方正小标宋简体" w:hAnsi="方正小标宋简体" w:eastAsia="方正小标宋简体" w:cs="方正小标宋简体"/>
          <w:color w:val="000000" w:themeColor="text1"/>
          <w:sz w:val="22"/>
          <w:szCs w:val="28"/>
          <w:highlight w:val="none"/>
        </w:rPr>
        <w:t xml:space="preserve">202</w:t>
      </w:r>
      <w:r>
        <w:rPr>
          <w:rFonts w:ascii="方正小标宋简体" w:hAnsi="方正小标宋简体" w:eastAsia="方正小标宋简体" w:cs="方正小标宋简体"/>
          <w:color w:val="000000" w:themeColor="text1"/>
          <w:sz w:val="22"/>
          <w:szCs w:val="28"/>
          <w:highlight w:val="none"/>
        </w:rPr>
        <w:t xml:space="preserve">6</w:t>
      </w:r>
      <w:r>
        <w:rPr>
          <w:rFonts w:hint="eastAsia" w:ascii="方正小标宋简体" w:hAnsi="方正小标宋简体" w:eastAsia="方正小标宋简体" w:cs="方正小标宋简体"/>
          <w:color w:val="000000" w:themeColor="text1"/>
          <w:sz w:val="22"/>
          <w:szCs w:val="28"/>
          <w:highlight w:val="none"/>
        </w:rPr>
        <w:t xml:space="preserve">年</w:t>
      </w:r>
      <w:r>
        <w:rPr>
          <w:rFonts w:ascii="方正小标宋简体" w:hAnsi="方正小标宋简体" w:eastAsia="方正小标宋简体" w:cs="方正小标宋简体"/>
          <w:color w:val="000000" w:themeColor="text1"/>
          <w:sz w:val="22"/>
          <w:szCs w:val="28"/>
          <w:highlight w:val="none"/>
        </w:rPr>
        <w:t xml:space="preserve">XX</w:t>
      </w:r>
      <w:r>
        <w:rPr>
          <w:rFonts w:hint="eastAsia" w:ascii="方正小标宋简体" w:hAnsi="方正小标宋简体" w:eastAsia="方正小标宋简体" w:cs="方正小标宋简体"/>
          <w:color w:val="000000" w:themeColor="text1"/>
          <w:sz w:val="22"/>
          <w:szCs w:val="28"/>
          <w:highlight w:val="none"/>
        </w:rPr>
        <w:t xml:space="preserve">月</w:t>
      </w:r>
      <w:r>
        <w:rPr>
          <w:rFonts w:ascii="方正小标宋简体" w:hAnsi="方正小标宋简体" w:eastAsia="方正小标宋简体" w:cs="方正小标宋简体"/>
          <w:color w:val="000000" w:themeColor="text1"/>
          <w:sz w:val="22"/>
          <w:szCs w:val="28"/>
          <w:highlight w:val="none"/>
        </w:rPr>
        <w:t xml:space="preserve">XX</w:t>
      </w:r>
      <w:r>
        <w:rPr>
          <w:rFonts w:hint="eastAsia" w:ascii="方正小标宋简体" w:hAnsi="方正小标宋简体" w:eastAsia="方正小标宋简体" w:cs="方正小标宋简体"/>
          <w:color w:val="000000" w:themeColor="text1"/>
          <w:sz w:val="22"/>
          <w:szCs w:val="28"/>
          <w:highlight w:val="none"/>
        </w:rPr>
        <w:t xml:space="preserve">日</w:t>
      </w:r>
      <w:r>
        <w:rPr>
          <w:color w:val="000000" w:themeColor="text1"/>
          <w:highlight w:val="none"/>
        </w:rPr>
      </w:r>
      <w:r/>
    </w:p>
    <w:p>
      <w:pPr>
        <w:pStyle w:val="953"/>
        <w:jc w:val="center"/>
        <w:rPr>
          <w:color w:val="000000" w:themeColor="text1"/>
          <w:highlight w:val="none"/>
        </w:rPr>
      </w:pPr>
      <w:r>
        <w:rPr>
          <w:color w:val="000000" w:themeColor="text1"/>
          <w:highlight w:val="none"/>
        </w:rPr>
      </w:r>
      <w:r>
        <w:rPr>
          <w:color w:val="000000" w:themeColor="text1"/>
          <w:highlight w:val="none"/>
        </w:rPr>
      </w:r>
      <w:r/>
    </w:p>
    <w:tbl>
      <w:tblPr>
        <w:tblpPr w:horzAnchor="text" w:tblpXSpec="center" w:vertAnchor="text" w:tblpY="1" w:leftFromText="180" w:topFromText="0" w:rightFromText="180" w:bottomFromText="0"/>
        <w:tblW w:w="95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953"/>
              <w:ind w:left="-420"/>
              <w:jc w:val="center"/>
              <w:tabs>
                <w:tab w:val="left" w:pos="2520" w:leader="none"/>
              </w:tabs>
              <w:rPr>
                <w:rFonts w:ascii="宋体" w:hAnsi="宋体"/>
                <w:color w:val="000000" w:themeColor="text1"/>
                <w:sz w:val="24"/>
                <w:szCs w:val="32"/>
                <w:highlight w:val="none"/>
              </w:rPr>
              <w:framePr w:hSpace="180" w:wrap="around" w:vAnchor="text" w:hAnchor="text" w:xAlign="center" w:y="1"/>
            </w:pPr>
            <w:r>
              <w:rPr>
                <w:rFonts w:hint="eastAsia" w:ascii="宋体" w:hAnsi="宋体"/>
                <w:color w:val="000000" w:themeColor="text1"/>
                <w:sz w:val="24"/>
                <w:szCs w:val="32"/>
                <w:highlight w:val="none"/>
              </w:rPr>
              <w:t xml:space="preserve">   单位名称</w:t>
            </w:r>
            <w:r>
              <w:rPr>
                <w:color w:val="000000" w:themeColor="text1"/>
                <w:highlight w:val="none"/>
              </w:rPr>
            </w:r>
            <w:r/>
          </w:p>
        </w:tc>
        <w:tc>
          <w:tcPr>
            <w:tcW w:w="2284" w:type="dxa"/>
            <w:vAlign w:val="center"/>
            <w:textDirection w:val="lrTb"/>
            <w:noWrap w:val="false"/>
          </w:tcPr>
          <w:p>
            <w:pPr>
              <w:pStyle w:val="953"/>
              <w:jc w:val="center"/>
              <w:rPr>
                <w:rFonts w:ascii="宋体" w:hAnsi="宋体"/>
                <w:color w:val="000000" w:themeColor="text1"/>
                <w:sz w:val="24"/>
                <w:szCs w:val="32"/>
                <w:highlight w:val="none"/>
              </w:rPr>
              <w:framePr w:hSpace="180" w:wrap="around" w:vAnchor="text" w:hAnchor="text" w:xAlign="center" w:y="1"/>
            </w:pPr>
            <w:r>
              <w:rPr>
                <w:rFonts w:ascii="宋体" w:hAnsi="宋体"/>
                <w:color w:val="000000" w:themeColor="text1"/>
                <w:sz w:val="24"/>
                <w:szCs w:val="32"/>
                <w:highlight w:val="none"/>
              </w:rPr>
            </w:r>
            <w:r>
              <w:rPr>
                <w:color w:val="000000" w:themeColor="text1"/>
                <w:highlight w:val="none"/>
              </w:rPr>
            </w:r>
            <w:r/>
          </w:p>
        </w:tc>
        <w:tc>
          <w:tcPr>
            <w:tcW w:w="1833" w:type="dxa"/>
            <w:vAlign w:val="center"/>
            <w:textDirection w:val="lrTb"/>
            <w:noWrap w:val="false"/>
          </w:tcPr>
          <w:p>
            <w:pPr>
              <w:pStyle w:val="953"/>
              <w:jc w:val="center"/>
              <w:rPr>
                <w:rFonts w:ascii="宋体" w:hAnsi="宋体"/>
                <w:color w:val="000000" w:themeColor="text1"/>
                <w:sz w:val="24"/>
                <w:szCs w:val="32"/>
                <w:highlight w:val="none"/>
              </w:rPr>
              <w:framePr w:hSpace="180" w:wrap="around" w:vAnchor="text" w:hAnchor="text" w:xAlign="center" w:y="1"/>
            </w:pPr>
            <w:r>
              <w:rPr>
                <w:rFonts w:hint="eastAsia" w:ascii="宋体" w:hAnsi="宋体"/>
                <w:color w:val="000000" w:themeColor="text1"/>
                <w:sz w:val="24"/>
                <w:szCs w:val="32"/>
                <w:highlight w:val="none"/>
              </w:rPr>
              <w:t xml:space="preserve">统一社会信用代码</w:t>
            </w:r>
            <w:r>
              <w:rPr>
                <w:color w:val="000000" w:themeColor="text1"/>
                <w:highlight w:val="none"/>
              </w:rPr>
            </w:r>
            <w:r/>
          </w:p>
        </w:tc>
        <w:tc>
          <w:tcPr>
            <w:tcW w:w="3331" w:type="dxa"/>
            <w:vAlign w:val="center"/>
            <w:textDirection w:val="lrTb"/>
            <w:noWrap w:val="false"/>
          </w:tcPr>
          <w:p>
            <w:pPr>
              <w:pStyle w:val="953"/>
              <w:ind w:right="-678"/>
              <w:jc w:val="center"/>
              <w:tabs>
                <w:tab w:val="left" w:pos="2320" w:leader="none"/>
              </w:tabs>
              <w:rPr>
                <w:rFonts w:ascii="宋体" w:hAnsi="宋体"/>
                <w:color w:val="000000" w:themeColor="text1"/>
                <w:highlight w:val="none"/>
              </w:rPr>
              <w:framePr w:hSpace="180" w:wrap="around" w:vAnchor="text" w:hAnchor="text" w:xAlign="center" w:y="1"/>
            </w:pPr>
            <w:r>
              <w:rPr>
                <w:rFonts w:ascii="宋体" w:hAnsi="宋体"/>
                <w:color w:val="000000" w:themeColor="text1"/>
                <w:highlight w:val="none"/>
              </w:rPr>
            </w:r>
            <w:r>
              <w:rPr>
                <w:color w:val="000000" w:themeColor="text1"/>
                <w:highlight w:val="none"/>
              </w:rPr>
            </w:r>
            <w:r/>
          </w:p>
        </w:tc>
      </w:tr>
      <w:tr>
        <w:trPr>
          <w:trHeight w:val="567"/>
        </w:trPr>
        <w:tc>
          <w:tcPr>
            <w:tcW w:w="2148" w:type="dxa"/>
            <w:vAlign w:val="center"/>
            <w:textDirection w:val="lrTb"/>
            <w:noWrap w:val="false"/>
          </w:tcPr>
          <w:p>
            <w:pPr>
              <w:pStyle w:val="953"/>
              <w:jc w:val="center"/>
              <w:rPr>
                <w:rFonts w:ascii="宋体" w:hAnsi="宋体"/>
                <w:color w:val="000000" w:themeColor="text1"/>
                <w:sz w:val="24"/>
                <w:szCs w:val="32"/>
                <w:highlight w:val="none"/>
              </w:rPr>
              <w:framePr w:hSpace="180" w:wrap="around" w:vAnchor="text" w:hAnchor="text" w:xAlign="center" w:y="1"/>
            </w:pPr>
            <w:r>
              <w:rPr>
                <w:rFonts w:hint="eastAsia" w:ascii="宋体" w:hAnsi="宋体"/>
                <w:color w:val="000000" w:themeColor="text1"/>
                <w:sz w:val="24"/>
                <w:szCs w:val="32"/>
                <w:highlight w:val="none"/>
              </w:rPr>
              <w:t xml:space="preserve">法定代表人</w:t>
            </w:r>
            <w:r>
              <w:rPr>
                <w:color w:val="000000" w:themeColor="text1"/>
                <w:highlight w:val="none"/>
              </w:rPr>
            </w:r>
            <w:r/>
          </w:p>
        </w:tc>
        <w:tc>
          <w:tcPr>
            <w:tcW w:w="2284" w:type="dxa"/>
            <w:vAlign w:val="center"/>
            <w:textDirection w:val="lrTb"/>
            <w:noWrap w:val="false"/>
          </w:tcPr>
          <w:p>
            <w:pPr>
              <w:pStyle w:val="953"/>
              <w:jc w:val="center"/>
              <w:rPr>
                <w:rFonts w:ascii="宋体" w:hAnsi="宋体"/>
                <w:color w:val="000000" w:themeColor="text1"/>
                <w:sz w:val="24"/>
                <w:szCs w:val="32"/>
                <w:highlight w:val="none"/>
              </w:rPr>
              <w:framePr w:hSpace="180" w:wrap="around" w:vAnchor="text" w:hAnchor="text" w:xAlign="center" w:y="1"/>
            </w:pPr>
            <w:r>
              <w:rPr>
                <w:rFonts w:ascii="宋体" w:hAnsi="宋体"/>
                <w:color w:val="000000" w:themeColor="text1"/>
                <w:sz w:val="24"/>
                <w:szCs w:val="32"/>
                <w:highlight w:val="none"/>
              </w:rPr>
            </w:r>
            <w:r>
              <w:rPr>
                <w:color w:val="000000" w:themeColor="text1"/>
                <w:highlight w:val="none"/>
              </w:rPr>
            </w:r>
            <w:r/>
          </w:p>
        </w:tc>
        <w:tc>
          <w:tcPr>
            <w:tcW w:w="1833" w:type="dxa"/>
            <w:vAlign w:val="center"/>
            <w:textDirection w:val="lrTb"/>
            <w:noWrap w:val="false"/>
          </w:tcPr>
          <w:p>
            <w:pPr>
              <w:pStyle w:val="953"/>
              <w:jc w:val="center"/>
              <w:rPr>
                <w:rFonts w:ascii="宋体" w:hAnsi="宋体"/>
                <w:color w:val="000000" w:themeColor="text1"/>
                <w:sz w:val="24"/>
                <w:szCs w:val="32"/>
                <w:highlight w:val="none"/>
              </w:rPr>
              <w:framePr w:hSpace="180" w:wrap="around" w:vAnchor="text" w:hAnchor="text" w:xAlign="center" w:y="1"/>
            </w:pPr>
            <w:r>
              <w:rPr>
                <w:rFonts w:hint="eastAsia" w:ascii="宋体" w:hAnsi="宋体"/>
                <w:color w:val="000000" w:themeColor="text1"/>
                <w:sz w:val="24"/>
                <w:szCs w:val="32"/>
                <w:highlight w:val="none"/>
              </w:rPr>
              <w:t xml:space="preserve">联系人</w:t>
            </w:r>
            <w:r>
              <w:rPr>
                <w:color w:val="000000" w:themeColor="text1"/>
                <w:highlight w:val="none"/>
              </w:rPr>
            </w:r>
            <w:r/>
          </w:p>
        </w:tc>
        <w:tc>
          <w:tcPr>
            <w:tcW w:w="3331" w:type="dxa"/>
            <w:vAlign w:val="center"/>
            <w:textDirection w:val="lrTb"/>
            <w:noWrap w:val="false"/>
          </w:tcPr>
          <w:p>
            <w:pPr>
              <w:pStyle w:val="953"/>
              <w:jc w:val="center"/>
              <w:rPr>
                <w:rFonts w:ascii="宋体" w:hAnsi="宋体"/>
                <w:color w:val="000000" w:themeColor="text1"/>
                <w:highlight w:val="none"/>
              </w:rPr>
              <w:framePr w:hSpace="180" w:wrap="around" w:vAnchor="text" w:hAnchor="text" w:xAlign="center" w:y="1"/>
            </w:pPr>
            <w:r>
              <w:rPr>
                <w:rFonts w:ascii="宋体" w:hAnsi="宋体"/>
                <w:color w:val="000000" w:themeColor="text1"/>
                <w:highlight w:val="none"/>
              </w:rPr>
            </w:r>
            <w:r>
              <w:rPr>
                <w:color w:val="000000" w:themeColor="text1"/>
                <w:highlight w:val="none"/>
              </w:rPr>
            </w:r>
            <w:r/>
          </w:p>
        </w:tc>
      </w:tr>
      <w:tr>
        <w:trPr>
          <w:trHeight w:val="567"/>
        </w:trPr>
        <w:tc>
          <w:tcPr>
            <w:tcW w:w="2148" w:type="dxa"/>
            <w:vAlign w:val="center"/>
            <w:textDirection w:val="lrTb"/>
            <w:noWrap w:val="false"/>
          </w:tcPr>
          <w:p>
            <w:pPr>
              <w:pStyle w:val="953"/>
              <w:jc w:val="center"/>
              <w:rPr>
                <w:rFonts w:ascii="宋体" w:hAnsi="宋体"/>
                <w:color w:val="000000" w:themeColor="text1"/>
                <w:sz w:val="24"/>
                <w:szCs w:val="32"/>
                <w:highlight w:val="none"/>
              </w:rPr>
              <w:framePr w:hSpace="180" w:wrap="around" w:vAnchor="text" w:hAnchor="text" w:xAlign="center" w:y="1"/>
            </w:pPr>
            <w:r>
              <w:rPr>
                <w:rFonts w:hint="eastAsia" w:ascii="宋体" w:hAnsi="宋体"/>
                <w:color w:val="000000" w:themeColor="text1"/>
                <w:sz w:val="24"/>
                <w:szCs w:val="32"/>
                <w:highlight w:val="none"/>
              </w:rPr>
              <w:t xml:space="preserve">联系地址</w:t>
            </w:r>
            <w:r>
              <w:rPr>
                <w:color w:val="000000" w:themeColor="text1"/>
                <w:highlight w:val="none"/>
              </w:rPr>
            </w:r>
            <w:r/>
          </w:p>
        </w:tc>
        <w:tc>
          <w:tcPr>
            <w:tcW w:w="2284" w:type="dxa"/>
            <w:vAlign w:val="center"/>
            <w:textDirection w:val="lrTb"/>
            <w:noWrap w:val="false"/>
          </w:tcPr>
          <w:p>
            <w:pPr>
              <w:pStyle w:val="953"/>
              <w:jc w:val="center"/>
              <w:rPr>
                <w:rFonts w:ascii="宋体" w:hAnsi="宋体"/>
                <w:color w:val="000000" w:themeColor="text1"/>
                <w:sz w:val="24"/>
                <w:szCs w:val="32"/>
                <w:highlight w:val="none"/>
              </w:rPr>
              <w:framePr w:hSpace="180" w:wrap="around" w:vAnchor="text" w:hAnchor="text" w:xAlign="center" w:y="1"/>
            </w:pPr>
            <w:r>
              <w:rPr>
                <w:rFonts w:ascii="宋体" w:hAnsi="宋体"/>
                <w:color w:val="000000" w:themeColor="text1"/>
                <w:sz w:val="24"/>
                <w:szCs w:val="32"/>
                <w:highlight w:val="none"/>
              </w:rPr>
            </w:r>
            <w:r>
              <w:rPr>
                <w:color w:val="000000" w:themeColor="text1"/>
                <w:highlight w:val="none"/>
              </w:rPr>
            </w:r>
            <w:r/>
          </w:p>
        </w:tc>
        <w:tc>
          <w:tcPr>
            <w:tcW w:w="1833" w:type="dxa"/>
            <w:vAlign w:val="center"/>
            <w:textDirection w:val="lrTb"/>
            <w:noWrap w:val="false"/>
          </w:tcPr>
          <w:p>
            <w:pPr>
              <w:pStyle w:val="953"/>
              <w:jc w:val="center"/>
              <w:rPr>
                <w:rFonts w:ascii="宋体" w:hAnsi="宋体"/>
                <w:color w:val="000000" w:themeColor="text1"/>
                <w:sz w:val="24"/>
                <w:szCs w:val="32"/>
                <w:highlight w:val="none"/>
              </w:rPr>
              <w:framePr w:hSpace="180" w:wrap="around" w:vAnchor="text" w:hAnchor="text" w:xAlign="center" w:y="1"/>
            </w:pPr>
            <w:r>
              <w:rPr>
                <w:rFonts w:hint="eastAsia" w:ascii="宋体" w:hAnsi="宋体"/>
                <w:color w:val="000000" w:themeColor="text1"/>
                <w:sz w:val="24"/>
                <w:szCs w:val="32"/>
                <w:highlight w:val="none"/>
              </w:rPr>
              <w:t xml:space="preserve">联系电话</w:t>
            </w:r>
            <w:r>
              <w:rPr>
                <w:color w:val="000000" w:themeColor="text1"/>
                <w:highlight w:val="none"/>
              </w:rPr>
            </w:r>
            <w:r/>
          </w:p>
        </w:tc>
        <w:tc>
          <w:tcPr>
            <w:tcW w:w="3331" w:type="dxa"/>
            <w:vAlign w:val="center"/>
            <w:textDirection w:val="lrTb"/>
            <w:noWrap w:val="false"/>
          </w:tcPr>
          <w:p>
            <w:pPr>
              <w:pStyle w:val="953"/>
              <w:jc w:val="center"/>
              <w:rPr>
                <w:rFonts w:ascii="宋体" w:hAnsi="宋体"/>
                <w:color w:val="000000" w:themeColor="text1"/>
                <w:highlight w:val="none"/>
              </w:rPr>
              <w:framePr w:hSpace="180" w:wrap="around" w:vAnchor="text" w:hAnchor="text" w:xAlign="center" w:y="1"/>
            </w:pPr>
            <w:r>
              <w:rPr>
                <w:rFonts w:ascii="宋体" w:hAnsi="宋体"/>
                <w:color w:val="000000" w:themeColor="text1"/>
                <w:highlight w:val="none"/>
              </w:rPr>
            </w:r>
            <w:r>
              <w:rPr>
                <w:color w:val="000000" w:themeColor="text1"/>
                <w:highlight w:val="none"/>
              </w:rPr>
            </w:r>
            <w:r/>
          </w:p>
        </w:tc>
      </w:tr>
      <w:tr>
        <w:trPr>
          <w:trHeight w:val="5560"/>
        </w:trPr>
        <w:tc>
          <w:tcPr>
            <w:tcW w:w="2148" w:type="dxa"/>
            <w:vAlign w:val="center"/>
            <w:textDirection w:val="lrTb"/>
            <w:noWrap w:val="false"/>
          </w:tcPr>
          <w:p>
            <w:pPr>
              <w:pStyle w:val="953"/>
              <w:jc w:val="center"/>
              <w:rPr>
                <w:rFonts w:ascii="宋体" w:hAnsi="宋体"/>
                <w:color w:val="000000" w:themeColor="text1"/>
                <w:sz w:val="24"/>
                <w:szCs w:val="32"/>
                <w:highlight w:val="none"/>
              </w:rPr>
              <w:framePr w:hSpace="180" w:wrap="around" w:vAnchor="text" w:hAnchor="text" w:xAlign="center" w:y="1"/>
            </w:pPr>
            <w:r>
              <w:rPr>
                <w:rFonts w:hint="eastAsia" w:ascii="宋体" w:hAnsi="宋体"/>
                <w:color w:val="000000" w:themeColor="text1"/>
                <w:sz w:val="24"/>
                <w:szCs w:val="32"/>
                <w:highlight w:val="none"/>
              </w:rPr>
              <w:t xml:space="preserve">信用承诺</w:t>
            </w:r>
            <w:r>
              <w:rPr>
                <w:color w:val="000000" w:themeColor="text1"/>
                <w:highlight w:val="none"/>
              </w:rPr>
            </w:r>
            <w:r/>
          </w:p>
        </w:tc>
        <w:tc>
          <w:tcPr>
            <w:gridSpan w:val="3"/>
            <w:tcW w:w="7448" w:type="dxa"/>
            <w:vAlign w:val="center"/>
            <w:textDirection w:val="lrTb"/>
            <w:noWrap w:val="false"/>
          </w:tcPr>
          <w:p>
            <w:pPr>
              <w:pStyle w:val="953"/>
              <w:ind w:firstLine="420"/>
              <w:rPr>
                <w:rFonts w:ascii="宋体" w:hAnsi="宋体"/>
                <w:color w:val="000000" w:themeColor="text1"/>
                <w:highlight w:val="none"/>
              </w:rPr>
              <w:framePr w:hSpace="180" w:wrap="around" w:vAnchor="text" w:hAnchor="text" w:xAlign="center" w:y="1"/>
            </w:pPr>
            <w:r>
              <w:rPr>
                <w:rFonts w:hint="eastAsia" w:ascii="宋体" w:hAnsi="宋体"/>
                <w:color w:val="000000" w:themeColor="text1"/>
                <w:highlight w:val="none"/>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w:t>
            </w:r>
            <w:r>
              <w:rPr>
                <w:rFonts w:hint="eastAsia" w:ascii="宋体" w:hAnsi="宋体"/>
                <w:color w:val="000000" w:themeColor="text1"/>
                <w:highlight w:val="none"/>
              </w:rPr>
              <w:t xml:space="preserve">的良好记录；参加政府采购活动前三年内，在经营活动中没有重大违法记录；符合法律、行政法规和采购文件规</w:t>
            </w:r>
            <w:r>
              <w:rPr>
                <w:rFonts w:hint="eastAsia" w:ascii="宋体" w:hAnsi="宋体"/>
                <w:color w:val="000000" w:themeColor="text1"/>
                <w:highlight w:val="none"/>
              </w:rPr>
              <w:t xml:space="preserve">定的其他条件。如有弄虚作假或其他违法违规行为，愿承担一切法律责任，接受各级政府采购监管部门和有权机关的审查和处罚。</w:t>
            </w:r>
            <w:r>
              <w:rPr>
                <w:color w:val="000000" w:themeColor="text1"/>
                <w:highlight w:val="none"/>
              </w:rPr>
            </w:r>
            <w:r/>
          </w:p>
          <w:p>
            <w:pPr>
              <w:pStyle w:val="953"/>
              <w:ind w:firstLine="420"/>
              <w:rPr>
                <w:rFonts w:ascii="宋体" w:hAnsi="宋体"/>
                <w:color w:val="000000" w:themeColor="text1"/>
                <w:highlight w:val="none"/>
              </w:rPr>
              <w:framePr w:hSpace="180" w:wrap="around" w:vAnchor="text" w:hAnchor="text" w:xAlign="center" w:y="1"/>
            </w:pPr>
            <w:r>
              <w:rPr>
                <w:rFonts w:ascii="宋体" w:hAnsi="宋体"/>
                <w:color w:val="000000" w:themeColor="text1"/>
                <w:highlight w:val="none"/>
              </w:rPr>
            </w:r>
            <w:r>
              <w:rPr>
                <w:color w:val="000000" w:themeColor="text1"/>
                <w:highlight w:val="none"/>
              </w:rPr>
            </w:r>
            <w:r/>
          </w:p>
          <w:p>
            <w:pPr>
              <w:pStyle w:val="953"/>
              <w:ind w:firstLine="420"/>
              <w:jc w:val="center"/>
              <w:rPr>
                <w:rFonts w:ascii="宋体" w:hAnsi="宋体"/>
                <w:color w:val="000000" w:themeColor="text1"/>
                <w:highlight w:val="none"/>
              </w:rPr>
              <w:framePr w:hSpace="180" w:wrap="around" w:vAnchor="text" w:hAnchor="text" w:xAlign="center" w:y="1"/>
            </w:pPr>
            <w:r>
              <w:rPr>
                <w:rFonts w:hint="eastAsia" w:ascii="宋体" w:hAnsi="宋体"/>
                <w:color w:val="000000" w:themeColor="text1"/>
                <w:highlight w:val="none"/>
              </w:rPr>
              <w:t xml:space="preserve">供应商名称（盖章）：</w:t>
            </w:r>
            <w:r>
              <w:rPr>
                <w:color w:val="000000" w:themeColor="text1"/>
                <w:highlight w:val="none"/>
              </w:rPr>
            </w:r>
            <w:r/>
          </w:p>
          <w:p>
            <w:pPr>
              <w:pStyle w:val="953"/>
              <w:ind w:firstLine="420"/>
              <w:jc w:val="center"/>
              <w:rPr>
                <w:rFonts w:ascii="宋体" w:hAnsi="宋体"/>
                <w:color w:val="000000" w:themeColor="text1"/>
                <w:highlight w:val="none"/>
              </w:rPr>
              <w:framePr w:hSpace="180" w:wrap="around" w:vAnchor="text" w:hAnchor="text" w:xAlign="center" w:y="1"/>
            </w:pPr>
            <w:r>
              <w:rPr>
                <w:rFonts w:ascii="宋体" w:hAnsi="宋体"/>
                <w:color w:val="000000" w:themeColor="text1"/>
                <w:highlight w:val="none"/>
              </w:rPr>
            </w:r>
            <w:r>
              <w:rPr>
                <w:color w:val="000000" w:themeColor="text1"/>
                <w:highlight w:val="none"/>
              </w:rPr>
            </w:r>
            <w:r/>
          </w:p>
          <w:p>
            <w:pPr>
              <w:pStyle w:val="953"/>
              <w:ind w:firstLine="420"/>
              <w:jc w:val="center"/>
              <w:rPr>
                <w:rFonts w:ascii="宋体" w:hAnsi="宋体"/>
                <w:color w:val="000000" w:themeColor="text1"/>
                <w:highlight w:val="none"/>
              </w:rPr>
              <w:framePr w:hSpace="180" w:wrap="around" w:vAnchor="text" w:hAnchor="text" w:xAlign="center" w:y="1"/>
            </w:pPr>
            <w:r>
              <w:rPr>
                <w:rFonts w:hint="eastAsia" w:ascii="宋体" w:hAnsi="宋体"/>
                <w:color w:val="000000" w:themeColor="text1"/>
                <w:highlight w:val="none"/>
              </w:rPr>
              <w:t xml:space="preserve">法定代表人（签字）：</w:t>
            </w:r>
            <w:r>
              <w:rPr>
                <w:color w:val="000000" w:themeColor="text1"/>
                <w:highlight w:val="none"/>
              </w:rPr>
            </w:r>
            <w:r/>
          </w:p>
          <w:p>
            <w:pPr>
              <w:pStyle w:val="953"/>
              <w:ind w:firstLine="420"/>
              <w:jc w:val="center"/>
              <w:rPr>
                <w:rFonts w:ascii="宋体" w:hAnsi="宋体"/>
                <w:color w:val="000000" w:themeColor="text1"/>
                <w:highlight w:val="none"/>
              </w:rPr>
              <w:framePr w:hSpace="180" w:wrap="around" w:vAnchor="text" w:hAnchor="text" w:xAlign="center" w:y="1"/>
            </w:pPr>
            <w:r>
              <w:rPr>
                <w:rFonts w:ascii="宋体" w:hAnsi="宋体"/>
                <w:color w:val="000000" w:themeColor="text1"/>
                <w:highlight w:val="none"/>
              </w:rPr>
            </w:r>
            <w:r>
              <w:rPr>
                <w:color w:val="000000" w:themeColor="text1"/>
                <w:highlight w:val="none"/>
              </w:rPr>
            </w:r>
            <w:r/>
          </w:p>
          <w:p>
            <w:pPr>
              <w:pStyle w:val="953"/>
              <w:ind w:firstLine="420"/>
              <w:jc w:val="center"/>
              <w:rPr>
                <w:rFonts w:ascii="宋体" w:hAnsi="宋体"/>
                <w:color w:val="000000" w:themeColor="text1"/>
                <w:highlight w:val="none"/>
              </w:rPr>
              <w:framePr w:hSpace="180" w:wrap="around" w:vAnchor="text" w:hAnchor="text" w:xAlign="center" w:y="1"/>
            </w:pPr>
            <w:r>
              <w:rPr>
                <w:rFonts w:hint="eastAsia" w:ascii="宋体" w:hAnsi="宋体"/>
                <w:color w:val="000000" w:themeColor="text1"/>
                <w:highlight w:val="none"/>
              </w:rPr>
              <w:t xml:space="preserve">XXXX年XX月XX日</w:t>
            </w:r>
            <w:r>
              <w:rPr>
                <w:color w:val="000000" w:themeColor="text1"/>
                <w:highlight w:val="none"/>
              </w:rPr>
            </w:r>
            <w:r/>
          </w:p>
        </w:tc>
      </w:tr>
    </w:tbl>
    <w:p>
      <w:pPr>
        <w:pStyle w:val="953"/>
        <w:jc w:val="cente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953"/>
        <w:spacing w:line="6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highlight w:val="none"/>
        </w:rPr>
      </w:r>
      <w:r/>
    </w:p>
    <w:p>
      <w:pPr>
        <w:pStyle w:val="953"/>
        <w:spacing w:line="6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highlight w:val="none"/>
        </w:rPr>
      </w:r>
      <w:r/>
    </w:p>
    <w:p>
      <w:pPr>
        <w:pStyle w:val="953"/>
        <w:ind w:firstLine="480"/>
        <w:rPr>
          <w:color w:val="000000" w:themeColor="text1"/>
          <w:highlight w:val="none"/>
        </w:rPr>
      </w:pPr>
      <w:r>
        <w:rPr>
          <w:rFonts w:eastAsia="Times New Roman"/>
          <w:color w:val="000000" w:themeColor="text1"/>
          <w:highlight w:val="none"/>
        </w:rPr>
        <w:t xml:space="preserve"> </w:t>
      </w:r>
      <w:r>
        <w:rPr>
          <w:rFonts w:ascii="宋体" w:hAnsi="宋体" w:cs="宋体"/>
          <w:color w:val="000000" w:themeColor="text1"/>
          <w:sz w:val="24"/>
          <w:highlight w:val="none"/>
        </w:rPr>
        <w:t xml:space="preserve">在政府采购资格审查环节，供应商只需提供书面《</w:t>
      </w:r>
      <w:r>
        <w:rPr>
          <w:rFonts w:hint="eastAsia" w:ascii="宋体" w:hAnsi="宋体" w:cs="宋体"/>
          <w:color w:val="000000" w:themeColor="text1"/>
          <w:sz w:val="24"/>
          <w:highlight w:val="none"/>
        </w:rPr>
        <w:t xml:space="preserve">南京市政府采购供应商信用承诺书</w:t>
      </w:r>
      <w:r>
        <w:rPr>
          <w:rFonts w:ascii="宋体" w:hAnsi="宋体" w:cs="宋体"/>
          <w:color w:val="000000" w:themeColor="text1"/>
          <w:sz w:val="24"/>
          <w:highlight w:val="none"/>
        </w:rPr>
        <w:t xml:space="preserve">》，即可替代以下证明材料： </w:t>
      </w:r>
      <w:r>
        <w:rPr>
          <w:color w:val="000000" w:themeColor="text1"/>
          <w:highlight w:val="none"/>
        </w:rPr>
      </w:r>
      <w:r/>
    </w:p>
    <w:p>
      <w:pPr>
        <w:pStyle w:val="953"/>
        <w:ind w:firstLine="480"/>
        <w:rPr>
          <w:color w:val="000000" w:themeColor="text1"/>
          <w:highlight w:val="none"/>
        </w:rPr>
      </w:pPr>
      <w:r>
        <w:rPr>
          <w:rFonts w:ascii="宋体" w:hAnsi="宋体" w:cs="宋体"/>
          <w:color w:val="000000" w:themeColor="text1"/>
          <w:sz w:val="24"/>
          <w:highlight w:val="none"/>
        </w:rPr>
        <w:t xml:space="preserve">（1）符合国家相关规定的财务状况报告； </w:t>
      </w:r>
      <w:r>
        <w:rPr>
          <w:color w:val="000000" w:themeColor="text1"/>
          <w:highlight w:val="none"/>
        </w:rPr>
      </w:r>
      <w:r/>
    </w:p>
    <w:p>
      <w:pPr>
        <w:pStyle w:val="953"/>
        <w:ind w:firstLine="480"/>
        <w:rPr>
          <w:color w:val="000000" w:themeColor="text1"/>
          <w:highlight w:val="none"/>
        </w:rPr>
      </w:pPr>
      <w:r>
        <w:rPr>
          <w:rFonts w:ascii="宋体" w:hAnsi="宋体" w:cs="宋体"/>
          <w:color w:val="000000" w:themeColor="text1"/>
          <w:sz w:val="24"/>
          <w:highlight w:val="none"/>
        </w:rPr>
        <w:t xml:space="preserve">（2）依法缴纳税收的证明材料； </w:t>
      </w:r>
      <w:r>
        <w:rPr>
          <w:color w:val="000000" w:themeColor="text1"/>
          <w:highlight w:val="none"/>
        </w:rPr>
      </w:r>
      <w:r/>
    </w:p>
    <w:p>
      <w:pPr>
        <w:pStyle w:val="953"/>
        <w:ind w:firstLine="480"/>
        <w:rPr>
          <w:color w:val="000000" w:themeColor="text1"/>
          <w:highlight w:val="none"/>
        </w:rPr>
      </w:pPr>
      <w:r>
        <w:rPr>
          <w:rFonts w:ascii="宋体" w:hAnsi="宋体" w:cs="宋体"/>
          <w:color w:val="000000" w:themeColor="text1"/>
          <w:sz w:val="24"/>
          <w:highlight w:val="none"/>
        </w:rPr>
        <w:t xml:space="preserve">（3）依法缴纳社会保障资金的证明材</w:t>
      </w:r>
      <w:r>
        <w:rPr>
          <w:rFonts w:ascii="宋体" w:hAnsi="宋体" w:cs="宋体"/>
          <w:color w:val="000000" w:themeColor="text1"/>
          <w:sz w:val="24"/>
          <w:highlight w:val="none"/>
        </w:rPr>
        <w:t xml:space="preserve">料； </w:t>
      </w:r>
      <w:r>
        <w:rPr>
          <w:color w:val="000000" w:themeColor="text1"/>
          <w:highlight w:val="none"/>
        </w:rPr>
      </w:r>
      <w:r/>
    </w:p>
    <w:p>
      <w:pPr>
        <w:pStyle w:val="953"/>
        <w:ind w:firstLine="480"/>
        <w:rPr>
          <w:color w:val="000000" w:themeColor="text1"/>
          <w:highlight w:val="none"/>
        </w:rPr>
      </w:pPr>
      <w:r>
        <w:rPr>
          <w:rFonts w:ascii="宋体" w:hAnsi="宋体" w:cs="宋体"/>
          <w:color w:val="000000" w:themeColor="text1"/>
          <w:sz w:val="24"/>
          <w:highlight w:val="none"/>
        </w:rPr>
        <w:t xml:space="preserve">（4）具备履行政府采购合同所必需的设备和专业技术能力的证明材料； </w:t>
      </w:r>
      <w:r>
        <w:rPr>
          <w:color w:val="000000" w:themeColor="text1"/>
          <w:highlight w:val="none"/>
        </w:rPr>
      </w:r>
      <w:r/>
    </w:p>
    <w:p>
      <w:pPr>
        <w:pStyle w:val="953"/>
        <w:ind w:firstLine="480"/>
        <w:rPr>
          <w:color w:val="000000" w:themeColor="text1"/>
          <w:highlight w:val="none"/>
        </w:rPr>
      </w:pPr>
      <w:r>
        <w:rPr>
          <w:rFonts w:ascii="宋体" w:hAnsi="宋体" w:cs="宋体"/>
          <w:color w:val="000000" w:themeColor="text1"/>
          <w:sz w:val="24"/>
          <w:highlight w:val="none"/>
        </w:rPr>
        <w:t xml:space="preserve">（5）参加政府采购活动</w:t>
      </w:r>
      <w:r>
        <w:rPr>
          <w:rFonts w:ascii="宋体" w:hAnsi="宋体" w:cs="宋体"/>
          <w:color w:val="000000" w:themeColor="text1"/>
          <w:sz w:val="24"/>
          <w:highlight w:val="none"/>
        </w:rPr>
        <w:t xml:space="preserve">前三年内在经营活动中没有重大违法记录的证明材料； </w:t>
      </w:r>
      <w:r>
        <w:rPr>
          <w:color w:val="000000" w:themeColor="text1"/>
          <w:highlight w:val="none"/>
        </w:rPr>
      </w:r>
      <w:r/>
    </w:p>
    <w:p>
      <w:pPr>
        <w:pStyle w:val="953"/>
        <w:ind w:firstLine="480"/>
        <w:rPr>
          <w:color w:val="000000" w:themeColor="text1"/>
          <w:highlight w:val="none"/>
        </w:rPr>
      </w:pPr>
      <w:r>
        <w:rPr>
          <w:rFonts w:ascii="宋体" w:hAnsi="宋体" w:cs="宋体"/>
          <w:color w:val="000000" w:themeColor="text1"/>
          <w:sz w:val="24"/>
          <w:highlight w:val="none"/>
        </w:rPr>
        <w:t xml:space="preserve">（6）未被列入失信被执行人、重大税收违法失信主体、政府采购严重违法失信行为记录名单的证明材料。 </w:t>
      </w:r>
      <w:r>
        <w:rPr>
          <w:color w:val="000000" w:themeColor="text1"/>
          <w:highlight w:val="none"/>
        </w:rPr>
      </w:r>
      <w:r/>
    </w:p>
    <w:p>
      <w:pPr>
        <w:pStyle w:val="953"/>
        <w:ind w:firstLine="480"/>
        <w:rPr>
          <w:color w:val="000000" w:themeColor="text1"/>
          <w:highlight w:val="none"/>
        </w:rPr>
      </w:pPr>
      <w:r>
        <w:rPr>
          <w:rFonts w:ascii="宋体" w:hAnsi="宋体" w:cs="宋体"/>
          <w:color w:val="000000" w:themeColor="text1"/>
          <w:sz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color w:val="000000" w:themeColor="text1"/>
          <w:highlight w:val="none"/>
        </w:rPr>
      </w:r>
      <w:r/>
    </w:p>
    <w:p>
      <w:pPr>
        <w:pStyle w:val="953"/>
        <w:ind w:firstLine="480"/>
        <w:rPr>
          <w:color w:val="000000" w:themeColor="text1"/>
          <w:highlight w:val="none"/>
        </w:rPr>
      </w:pPr>
      <w:r>
        <w:rPr>
          <w:rFonts w:ascii="宋体" w:hAnsi="宋体" w:cs="宋体"/>
          <w:color w:val="000000" w:themeColor="text1"/>
          <w:sz w:val="24"/>
          <w:highlight w:val="none"/>
        </w:rPr>
        <w:t xml:space="preserve">供应商涉及以下情形的，不适用信用承诺： </w:t>
      </w:r>
      <w:r>
        <w:rPr>
          <w:color w:val="000000" w:themeColor="text1"/>
          <w:highlight w:val="none"/>
        </w:rPr>
      </w:r>
      <w:r/>
    </w:p>
    <w:p>
      <w:pPr>
        <w:pStyle w:val="953"/>
        <w:ind w:firstLine="480"/>
        <w:rPr>
          <w:color w:val="000000" w:themeColor="text1"/>
          <w:highlight w:val="none"/>
        </w:rPr>
      </w:pPr>
      <w:r>
        <w:rPr>
          <w:rFonts w:ascii="宋体" w:hAnsi="宋体" w:cs="宋体"/>
          <w:color w:val="000000" w:themeColor="text1"/>
          <w:sz w:val="24"/>
          <w:highlight w:val="none"/>
        </w:rPr>
        <w:t xml:space="preserve">（1）供应商被列入严重失信主体名单； </w:t>
      </w:r>
      <w:r>
        <w:rPr>
          <w:color w:val="000000" w:themeColor="text1"/>
          <w:highlight w:val="none"/>
        </w:rPr>
      </w:r>
      <w:r/>
    </w:p>
    <w:p>
      <w:pPr>
        <w:pStyle w:val="953"/>
        <w:ind w:firstLine="480"/>
        <w:rPr>
          <w:color w:val="000000" w:themeColor="text1"/>
          <w:highlight w:val="none"/>
        </w:rPr>
      </w:pPr>
      <w:r>
        <w:rPr>
          <w:rFonts w:ascii="宋体" w:hAnsi="宋体" w:cs="宋体"/>
          <w:color w:val="000000" w:themeColor="text1"/>
          <w:sz w:val="24"/>
          <w:highlight w:val="none"/>
        </w:rPr>
        <w:t xml:space="preserve">（2）被相关监</w:t>
      </w:r>
      <w:r>
        <w:rPr>
          <w:rFonts w:ascii="宋体" w:hAnsi="宋体" w:cs="宋体"/>
          <w:color w:val="000000" w:themeColor="text1"/>
          <w:sz w:val="24"/>
          <w:highlight w:val="none"/>
        </w:rPr>
        <w:t xml:space="preserve">管部门作出行政处罚且尚在处罚有效期内； </w:t>
      </w:r>
      <w:r>
        <w:rPr>
          <w:color w:val="000000" w:themeColor="text1"/>
          <w:highlight w:val="none"/>
        </w:rPr>
      </w:r>
      <w:r/>
    </w:p>
    <w:p>
      <w:pPr>
        <w:pStyle w:val="953"/>
        <w:ind w:firstLine="480"/>
        <w:rPr>
          <w:color w:val="000000" w:themeColor="text1"/>
          <w:highlight w:val="none"/>
        </w:rPr>
      </w:pPr>
      <w:r>
        <w:rPr>
          <w:rFonts w:ascii="宋体" w:hAnsi="宋体" w:cs="宋体"/>
          <w:color w:val="000000" w:themeColor="text1"/>
          <w:sz w:val="24"/>
          <w:highlight w:val="none"/>
        </w:rPr>
        <w:t xml:space="preserve">（3）其他法律、行政法规规定的不适用信用承诺的情形。 </w:t>
      </w:r>
      <w:r>
        <w:rPr>
          <w:color w:val="000000" w:themeColor="text1"/>
          <w:highlight w:val="none"/>
        </w:rPr>
      </w:r>
      <w:r/>
    </w:p>
    <w:p>
      <w:pPr>
        <w:pStyle w:val="953"/>
        <w:ind w:firstLine="480"/>
        <w:rPr>
          <w:color w:val="000000" w:themeColor="text1"/>
          <w:highlight w:val="none"/>
        </w:rPr>
      </w:pPr>
      <w:r>
        <w:rPr>
          <w:rFonts w:ascii="宋体" w:hAnsi="宋体" w:cs="宋体"/>
          <w:color w:val="000000" w:themeColor="text1"/>
          <w:sz w:val="24"/>
          <w:highlight w:val="none"/>
        </w:rPr>
        <w:t xml:space="preserve">供应商对信用承诺内容的真实性、合法性、有效性负责。如作出虚假信用承诺，视同为“提供虚假材料谋取中标、成交”的违法行为。</w:t>
      </w:r>
      <w:r>
        <w:rPr>
          <w:color w:val="000000" w:themeColor="text1"/>
          <w:highlight w:val="none"/>
        </w:rPr>
      </w:r>
      <w:r/>
    </w:p>
    <w:p>
      <w:pPr>
        <w:pStyle w:val="953"/>
        <w:jc w:val="left"/>
        <w:widowControl/>
        <w:rPr>
          <w:rFonts w:ascii="宋体" w:hAnsi="宋体" w:cs="仿宋"/>
          <w:b/>
          <w:bCs/>
          <w:color w:val="000000" w:themeColor="text1"/>
          <w:sz w:val="32"/>
          <w:szCs w:val="32"/>
          <w:highlight w:val="none"/>
        </w:rPr>
      </w:pPr>
      <w:r>
        <w:rPr>
          <w:rFonts w:ascii="宋体" w:hAnsi="宋体" w:cs="仿宋"/>
          <w:b/>
          <w:bCs/>
          <w:color w:val="000000" w:themeColor="text1"/>
          <w:sz w:val="32"/>
          <w:szCs w:val="32"/>
          <w:highlight w:val="none"/>
        </w:rPr>
        <w:br w:type="page" w:clear="all"/>
      </w:r>
      <w:r>
        <w:rPr>
          <w:color w:val="000000" w:themeColor="text1"/>
          <w:highlight w:val="none"/>
        </w:rPr>
      </w:r>
      <w:r/>
    </w:p>
    <w:p>
      <w:pPr>
        <w:pStyle w:val="953"/>
        <w:rPr>
          <w:rFonts w:ascii="宋体" w:hAnsi="宋体" w:cs="仿宋"/>
          <w:b/>
          <w:bCs/>
          <w:color w:val="000000" w:themeColor="text1"/>
          <w:sz w:val="32"/>
          <w:szCs w:val="32"/>
          <w:highlight w:val="none"/>
        </w:rPr>
      </w:pPr>
      <w:r>
        <w:rPr>
          <w:rFonts w:ascii="宋体" w:hAnsi="宋体" w:cs="仿宋"/>
          <w:b/>
          <w:bCs/>
          <w:color w:val="000000" w:themeColor="text1"/>
          <w:sz w:val="32"/>
          <w:szCs w:val="32"/>
          <w:highlight w:val="none"/>
        </w:rPr>
      </w:r>
      <w:r>
        <w:rPr>
          <w:color w:val="000000" w:themeColor="text1"/>
          <w:highlight w:val="none"/>
        </w:rPr>
      </w:r>
      <w:r/>
    </w:p>
    <w:p>
      <w:pPr>
        <w:pStyle w:val="953"/>
        <w:jc w:val="center"/>
        <w:rPr>
          <w:rFonts w:ascii="宋体" w:hAnsi="宋体" w:cs="仿宋"/>
          <w:b/>
          <w:bCs/>
          <w:color w:val="000000" w:themeColor="text1"/>
          <w:sz w:val="32"/>
          <w:szCs w:val="32"/>
          <w:highlight w:val="none"/>
        </w:rPr>
        <w:outlineLvl w:val="1"/>
      </w:pPr>
      <w:r>
        <w:rPr>
          <w:color w:val="000000" w:themeColor="text1"/>
          <w:highlight w:val="none"/>
        </w:rPr>
      </w:r>
      <w:bookmarkStart w:id="197" w:name="_Toc18348"/>
      <w:r>
        <w:rPr>
          <w:rFonts w:hint="eastAsia" w:ascii="宋体" w:hAnsi="宋体" w:cs="仿宋"/>
          <w:b/>
          <w:bCs/>
          <w:color w:val="000000" w:themeColor="text1"/>
          <w:sz w:val="32"/>
          <w:szCs w:val="32"/>
          <w:highlight w:val="none"/>
        </w:rPr>
        <w:t xml:space="preserve">质疑函范本</w:t>
      </w:r>
      <w:bookmarkEnd w:id="197"/>
      <w:r>
        <w:rPr>
          <w:color w:val="000000" w:themeColor="text1"/>
          <w:highlight w:val="none"/>
        </w:rPr>
      </w:r>
      <w:r/>
    </w:p>
    <w:p>
      <w:pPr>
        <w:pStyle w:val="953"/>
        <w:spacing w:before="290"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一、质疑供应商基本信息</w:t>
      </w:r>
      <w:r>
        <w:rPr>
          <w:color w:val="000000" w:themeColor="text1"/>
          <w:highlight w:val="none"/>
        </w:rPr>
      </w:r>
      <w:r/>
    </w:p>
    <w:p>
      <w:pPr>
        <w:pStyle w:val="953"/>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质疑供应商：</w:t>
      </w:r>
      <w:r>
        <w:rPr>
          <w:rFonts w:hint="eastAsia" w:ascii="宋体" w:hAnsi="宋体" w:cs="仿宋"/>
          <w:color w:val="000000" w:themeColor="text1"/>
          <w:sz w:val="24"/>
          <w:highlight w:val="none"/>
          <w:u w:val="single"/>
        </w:rPr>
        <w:t xml:space="preserve">                                                              </w:t>
      </w:r>
      <w:r>
        <w:rPr>
          <w:color w:val="000000" w:themeColor="text1"/>
          <w:highlight w:val="none"/>
        </w:rPr>
      </w:r>
      <w:r/>
    </w:p>
    <w:p>
      <w:pPr>
        <w:pStyle w:val="953"/>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地址：</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邮编：</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u w:val="single"/>
        </w:rPr>
        <w:t xml:space="preserve">              </w:t>
      </w:r>
      <w:r>
        <w:rPr>
          <w:color w:val="000000" w:themeColor="text1"/>
          <w:highlight w:val="none"/>
        </w:rPr>
      </w:r>
      <w:r/>
    </w:p>
    <w:p>
      <w:pPr>
        <w:pStyle w:val="953"/>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联系人：</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联系电话：</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u w:val="single"/>
        </w:rPr>
        <w:t xml:space="preserve">                                    </w:t>
      </w:r>
      <w:r>
        <w:rPr>
          <w:color w:val="000000" w:themeColor="text1"/>
          <w:highlight w:val="none"/>
        </w:rPr>
      </w:r>
      <w:r/>
    </w:p>
    <w:p>
      <w:pPr>
        <w:pStyle w:val="953"/>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授权代表：</w:t>
      </w:r>
      <w:r>
        <w:rPr>
          <w:rFonts w:hint="eastAsia" w:ascii="宋体" w:hAnsi="宋体" w:cs="仿宋"/>
          <w:color w:val="000000" w:themeColor="text1"/>
          <w:sz w:val="24"/>
          <w:highlight w:val="none"/>
          <w:u w:val="single"/>
        </w:rPr>
        <w:t xml:space="preserve">                                                                 </w:t>
      </w:r>
      <w:r>
        <w:rPr>
          <w:color w:val="000000" w:themeColor="text1"/>
          <w:highlight w:val="none"/>
        </w:rPr>
      </w:r>
      <w:r/>
    </w:p>
    <w:p>
      <w:pPr>
        <w:pStyle w:val="953"/>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联系电话：</w:t>
      </w:r>
      <w:r>
        <w:rPr>
          <w:rFonts w:hint="eastAsia" w:ascii="宋体" w:hAnsi="宋体" w:cs="仿宋"/>
          <w:color w:val="000000" w:themeColor="text1"/>
          <w:sz w:val="24"/>
          <w:highlight w:val="none"/>
          <w:u w:val="single"/>
        </w:rPr>
        <w:t xml:space="preserve">                                                                </w:t>
      </w:r>
      <w:r>
        <w:rPr>
          <w:color w:val="000000" w:themeColor="text1"/>
          <w:highlight w:val="none"/>
        </w:rPr>
      </w:r>
      <w:r/>
    </w:p>
    <w:p>
      <w:pPr>
        <w:pStyle w:val="953"/>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地址：</w:t>
      </w:r>
      <w:r>
        <w:rPr>
          <w:rFonts w:ascii="宋体" w:hAnsi="宋体" w:cs="仿宋"/>
          <w:color w:val="000000" w:themeColor="text1"/>
          <w:sz w:val="24"/>
          <w:highlight w:val="none"/>
        </w:rPr>
        <w:t xml:space="preserve"> </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邮</w:t>
      </w:r>
      <w:r>
        <w:rPr>
          <w:rFonts w:hint="eastAsia" w:ascii="宋体" w:hAnsi="宋体" w:cs="仿宋"/>
          <w:color w:val="000000" w:themeColor="text1"/>
          <w:sz w:val="24"/>
          <w:highlight w:val="none"/>
        </w:rPr>
        <w:t xml:space="preserve">编：</w:t>
      </w:r>
      <w:r>
        <w:rPr>
          <w:rFonts w:hint="eastAsia" w:ascii="宋体" w:hAnsi="宋体" w:cs="仿宋"/>
          <w:color w:val="000000" w:themeColor="text1"/>
          <w:sz w:val="24"/>
          <w:highlight w:val="none"/>
          <w:u w:val="single"/>
        </w:rPr>
        <w:t xml:space="preserve">                                     </w:t>
      </w:r>
      <w:r>
        <w:rPr>
          <w:color w:val="000000" w:themeColor="text1"/>
          <w:highlight w:val="none"/>
        </w:rPr>
      </w:r>
      <w:r/>
    </w:p>
    <w:p>
      <w:pPr>
        <w:pStyle w:val="953"/>
        <w:spacing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二、质疑项目基本情</w:t>
      </w:r>
      <w:r>
        <w:rPr>
          <w:rFonts w:hint="eastAsia" w:ascii="宋体" w:hAnsi="宋体" w:cs="仿宋"/>
          <w:bCs/>
          <w:color w:val="000000" w:themeColor="text1"/>
          <w:sz w:val="24"/>
          <w:highlight w:val="none"/>
        </w:rPr>
        <w:t xml:space="preserve">况</w:t>
      </w:r>
      <w:r>
        <w:rPr>
          <w:color w:val="000000" w:themeColor="text1"/>
          <w:highlight w:val="none"/>
        </w:rPr>
      </w:r>
      <w:r/>
    </w:p>
    <w:p>
      <w:pPr>
        <w:pStyle w:val="953"/>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质疑项目的名称：</w:t>
      </w:r>
      <w:r>
        <w:rPr>
          <w:rFonts w:hint="eastAsia" w:ascii="宋体" w:hAnsi="宋体" w:cs="仿宋"/>
          <w:color w:val="000000" w:themeColor="text1"/>
          <w:sz w:val="24"/>
          <w:highlight w:val="none"/>
          <w:u w:val="single"/>
        </w:rPr>
        <w:t xml:space="preserve">                                                          </w:t>
      </w:r>
      <w:r>
        <w:rPr>
          <w:color w:val="000000" w:themeColor="text1"/>
          <w:highlight w:val="none"/>
        </w:rPr>
      </w:r>
      <w:r/>
    </w:p>
    <w:p>
      <w:pPr>
        <w:pStyle w:val="953"/>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质疑项目的编号：</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包号：</w:t>
      </w:r>
      <w:r>
        <w:rPr>
          <w:rFonts w:hint="eastAsia" w:ascii="宋体" w:hAnsi="宋体" w:cs="仿宋"/>
          <w:color w:val="000000" w:themeColor="text1"/>
          <w:sz w:val="24"/>
          <w:highlight w:val="none"/>
          <w:u w:val="single"/>
        </w:rPr>
        <w:t xml:space="preserve">                           </w:t>
      </w:r>
      <w:r>
        <w:rPr>
          <w:color w:val="000000" w:themeColor="text1"/>
          <w:highlight w:val="none"/>
        </w:rPr>
      </w:r>
      <w:r/>
    </w:p>
    <w:p>
      <w:pPr>
        <w:pStyle w:val="953"/>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采购人名称：</w:t>
      </w:r>
      <w:r>
        <w:rPr>
          <w:rFonts w:hint="eastAsia" w:ascii="宋体" w:hAnsi="宋体" w:cs="仿宋"/>
          <w:color w:val="000000" w:themeColor="text1"/>
          <w:sz w:val="24"/>
          <w:highlight w:val="none"/>
          <w:u w:val="single"/>
        </w:rPr>
        <w:t xml:space="preserve">                                                              </w:t>
      </w:r>
      <w:r>
        <w:rPr>
          <w:color w:val="000000" w:themeColor="text1"/>
          <w:highlight w:val="none"/>
        </w:rPr>
      </w:r>
      <w:r/>
    </w:p>
    <w:p>
      <w:pPr>
        <w:pStyle w:val="953"/>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采购文件获</w:t>
      </w:r>
      <w:r>
        <w:rPr>
          <w:rFonts w:hint="eastAsia" w:ascii="宋体" w:hAnsi="宋体" w:cs="仿宋"/>
          <w:color w:val="000000" w:themeColor="text1"/>
          <w:sz w:val="24"/>
          <w:highlight w:val="none"/>
        </w:rPr>
        <w:t xml:space="preserve">取日期：</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u w:val="single"/>
        </w:rPr>
        <w:t xml:space="preserve">           </w:t>
      </w:r>
      <w:r>
        <w:rPr>
          <w:color w:val="000000" w:themeColor="text1"/>
          <w:highlight w:val="none"/>
        </w:rPr>
      </w:r>
      <w:r/>
    </w:p>
    <w:p>
      <w:pPr>
        <w:pStyle w:val="953"/>
        <w:spacing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三、质疑事项具体内容</w:t>
      </w:r>
      <w:r>
        <w:rPr>
          <w:color w:val="000000" w:themeColor="text1"/>
          <w:highlight w:val="none"/>
        </w:rPr>
      </w:r>
      <w:r/>
    </w:p>
    <w:p>
      <w:pPr>
        <w:pStyle w:val="953"/>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质疑事项1：</w:t>
      </w:r>
      <w:r>
        <w:rPr>
          <w:rFonts w:hint="eastAsia" w:ascii="宋体" w:hAnsi="宋体" w:cs="仿宋"/>
          <w:color w:val="000000" w:themeColor="text1"/>
          <w:sz w:val="24"/>
          <w:highlight w:val="none"/>
          <w:u w:val="single"/>
        </w:rPr>
        <w:t xml:space="preserve">                                                              </w:t>
      </w:r>
      <w:r>
        <w:rPr>
          <w:color w:val="000000" w:themeColor="text1"/>
          <w:highlight w:val="none"/>
        </w:rPr>
      </w:r>
      <w:r/>
    </w:p>
    <w:p>
      <w:pPr>
        <w:pStyle w:val="953"/>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事实依据：</w:t>
      </w:r>
      <w:r>
        <w:rPr>
          <w:rFonts w:hint="eastAsia" w:ascii="宋体" w:hAnsi="宋体" w:cs="仿宋"/>
          <w:color w:val="000000" w:themeColor="text1"/>
          <w:sz w:val="24"/>
          <w:highlight w:val="none"/>
          <w:u w:val="single"/>
        </w:rPr>
        <w:t xml:space="preserve">                                                                </w:t>
      </w:r>
      <w:r>
        <w:rPr>
          <w:color w:val="000000" w:themeColor="text1"/>
          <w:highlight w:val="none"/>
        </w:rPr>
      </w:r>
      <w:r/>
    </w:p>
    <w:p>
      <w:pPr>
        <w:pStyle w:val="953"/>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u w:val="single"/>
        </w:rPr>
        <w:t xml:space="preserve">                              </w:t>
      </w:r>
      <w:r>
        <w:rPr>
          <w:color w:val="000000" w:themeColor="text1"/>
          <w:highlight w:val="none"/>
        </w:rPr>
      </w:r>
      <w:r/>
    </w:p>
    <w:p>
      <w:pPr>
        <w:pStyle w:val="953"/>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法律依据：</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u w:val="single"/>
        </w:rPr>
        <w:t xml:space="preserve">                                                    </w:t>
      </w:r>
      <w:r>
        <w:rPr>
          <w:color w:val="000000" w:themeColor="text1"/>
          <w:highlight w:val="none"/>
        </w:rPr>
      </w:r>
      <w:r/>
    </w:p>
    <w:p>
      <w:pPr>
        <w:pStyle w:val="953"/>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u w:val="single"/>
        </w:rPr>
        <w:t xml:space="preserve">                                                                           </w:t>
      </w:r>
      <w:r>
        <w:rPr>
          <w:color w:val="000000" w:themeColor="text1"/>
          <w:highlight w:val="none"/>
        </w:rPr>
      </w:r>
      <w:r/>
    </w:p>
    <w:p>
      <w:pPr>
        <w:pStyle w:val="953"/>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质疑事项2</w:t>
      </w:r>
      <w:r>
        <w:rPr>
          <w:color w:val="000000" w:themeColor="text1"/>
          <w:highlight w:val="none"/>
        </w:rPr>
      </w:r>
      <w:r/>
    </w:p>
    <w:p>
      <w:pPr>
        <w:pStyle w:val="953"/>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w:t>
      </w:r>
      <w:r>
        <w:rPr>
          <w:color w:val="000000" w:themeColor="text1"/>
          <w:highlight w:val="none"/>
        </w:rPr>
      </w:r>
      <w:r/>
    </w:p>
    <w:p>
      <w:pPr>
        <w:pStyle w:val="953"/>
        <w:spacing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四、与质疑事项相关的质疑请求</w:t>
      </w:r>
      <w:r>
        <w:rPr>
          <w:color w:val="000000" w:themeColor="text1"/>
          <w:highlight w:val="none"/>
        </w:rPr>
      </w:r>
      <w:r/>
    </w:p>
    <w:p>
      <w:pPr>
        <w:pStyle w:val="953"/>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请求：</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u w:val="single"/>
        </w:rPr>
        <w:t xml:space="preserve">                  </w:t>
      </w:r>
      <w:r>
        <w:rPr>
          <w:color w:val="000000" w:themeColor="text1"/>
          <w:highlight w:val="none"/>
        </w:rPr>
      </w:r>
      <w:r/>
    </w:p>
    <w:p>
      <w:pPr>
        <w:pStyle w:val="953"/>
        <w:rPr>
          <w:rFonts w:ascii="宋体" w:hAnsi="宋体"/>
          <w:color w:val="000000" w:themeColor="text1"/>
          <w:sz w:val="24"/>
          <w:highlight w:val="none"/>
        </w:rPr>
      </w:pPr>
      <w:r>
        <w:rPr>
          <w:rFonts w:hint="eastAsia" w:ascii="宋体" w:hAnsi="宋体"/>
          <w:color w:val="000000" w:themeColor="text1"/>
          <w:sz w:val="24"/>
          <w:highlight w:val="none"/>
        </w:rPr>
        <w:t xml:space="preserve">签字(签章)：                   公章： </w:t>
      </w:r>
      <w:r>
        <w:rPr>
          <w:rFonts w:hint="eastAsia" w:ascii="宋体" w:hAnsi="宋体"/>
          <w:color w:val="000000" w:themeColor="text1"/>
          <w:sz w:val="24"/>
          <w:highlight w:val="none"/>
        </w:rPr>
        <w:t xml:space="preserve">                     </w:t>
      </w:r>
      <w:r>
        <w:rPr>
          <w:color w:val="000000" w:themeColor="text1"/>
          <w:highlight w:val="none"/>
        </w:rPr>
      </w:r>
      <w:r/>
    </w:p>
    <w:p>
      <w:pPr>
        <w:pStyle w:val="953"/>
        <w:rPr>
          <w:rFonts w:ascii="宋体" w:hAnsi="宋体"/>
          <w:color w:val="000000" w:themeColor="text1"/>
          <w:sz w:val="24"/>
          <w:highlight w:val="none"/>
        </w:rPr>
      </w:pPr>
      <w:r>
        <w:rPr>
          <w:rFonts w:hint="eastAsia" w:ascii="宋体" w:hAnsi="宋体"/>
          <w:color w:val="000000" w:themeColor="text1"/>
          <w:sz w:val="24"/>
          <w:highlight w:val="none"/>
        </w:rPr>
        <w:t xml:space="preserve">日期：    </w:t>
      </w:r>
      <w:r>
        <w:rPr>
          <w:color w:val="000000" w:themeColor="text1"/>
          <w:highlight w:val="none"/>
        </w:rPr>
      </w:r>
      <w:r/>
    </w:p>
    <w:p>
      <w:pPr>
        <w:pStyle w:val="953"/>
        <w:spacing w:line="400" w:lineRule="exact"/>
        <w:rPr>
          <w:rFonts w:ascii="宋体" w:hAnsi="宋体"/>
          <w:b/>
          <w:color w:val="000000" w:themeColor="text1"/>
          <w:sz w:val="24"/>
          <w:highlight w:val="none"/>
        </w:rPr>
      </w:pPr>
      <w:r>
        <w:rPr>
          <w:rFonts w:hint="eastAsia" w:ascii="宋体" w:hAnsi="宋体"/>
          <w:b/>
          <w:color w:val="000000" w:themeColor="text1"/>
          <w:sz w:val="24"/>
          <w:highlight w:val="none"/>
        </w:rPr>
        <w:t xml:space="preserve">质疑函制作说明：</w:t>
      </w:r>
      <w:r>
        <w:rPr>
          <w:color w:val="000000" w:themeColor="text1"/>
          <w:highlight w:val="none"/>
        </w:rPr>
      </w:r>
      <w:r/>
    </w:p>
    <w:p>
      <w:pPr>
        <w:pStyle w:val="953"/>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1.供应商提出质疑时，应提交质疑函和必要的证明材料。</w:t>
      </w:r>
      <w:r>
        <w:rPr>
          <w:color w:val="000000" w:themeColor="text1"/>
          <w:highlight w:val="none"/>
        </w:rPr>
      </w:r>
      <w:r/>
    </w:p>
    <w:p>
      <w:pPr>
        <w:pStyle w:val="953"/>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2.质疑供应商若委托代理人进行质疑的，质疑函应按要求列明“授权代表”的有关内容，并在附件中提交由质疑</w:t>
      </w:r>
      <w:r>
        <w:rPr>
          <w:rFonts w:hint="eastAsia" w:ascii="宋体" w:hAnsi="宋体" w:cs="宋体"/>
          <w:color w:val="000000" w:themeColor="text1"/>
          <w:sz w:val="24"/>
          <w:highlight w:val="none"/>
        </w:rPr>
        <w:t xml:space="preserve">供应商签署的授权委托书。授权委托书应载明代理人的姓名或者名称、代理事项、具体权限、期限和相关事项。</w:t>
      </w:r>
      <w:r>
        <w:rPr>
          <w:color w:val="000000" w:themeColor="text1"/>
          <w:highlight w:val="none"/>
        </w:rPr>
      </w:r>
      <w:r/>
    </w:p>
    <w:p>
      <w:pPr>
        <w:pStyle w:val="953"/>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3.质疑供应商若对项目的某一分包进行质疑，质疑函中应列明具体分包号。</w:t>
      </w:r>
      <w:r>
        <w:rPr>
          <w:color w:val="000000" w:themeColor="text1"/>
          <w:highlight w:val="none"/>
        </w:rPr>
      </w:r>
      <w:r/>
    </w:p>
    <w:p>
      <w:pPr>
        <w:pStyle w:val="953"/>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4.质疑函的</w:t>
      </w:r>
      <w:r>
        <w:rPr>
          <w:rFonts w:hint="eastAsia" w:ascii="宋体" w:hAnsi="宋体"/>
          <w:color w:val="000000" w:themeColor="text1"/>
          <w:sz w:val="24"/>
          <w:highlight w:val="none"/>
        </w:rPr>
        <w:t xml:space="preserve">质疑事项应具体、明确，并有必要的事实依据和法律依据。</w:t>
      </w:r>
      <w:r>
        <w:rPr>
          <w:color w:val="000000" w:themeColor="text1"/>
          <w:highlight w:val="none"/>
        </w:rPr>
      </w:r>
      <w:r/>
    </w:p>
    <w:p>
      <w:pPr>
        <w:pStyle w:val="953"/>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5.质疑函的质疑请求应与质疑事项相关。</w:t>
      </w:r>
      <w:r>
        <w:rPr>
          <w:color w:val="000000" w:themeColor="text1"/>
          <w:highlight w:val="none"/>
        </w:rPr>
      </w:r>
      <w:r/>
    </w:p>
    <w:p>
      <w:pPr>
        <w:pStyle w:val="953"/>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6.</w:t>
      </w:r>
      <w:r>
        <w:rPr>
          <w:rFonts w:hint="eastAsia" w:ascii="宋体" w:hAnsi="宋体"/>
          <w:color w:val="000000" w:themeColor="text1"/>
          <w:sz w:val="24"/>
          <w:highlight w:val="none"/>
        </w:rPr>
        <w:t xml:space="preserve">质疑供应商为自然人的，质疑函应由本人签字；质疑供应商为法人或者其他组织的，质疑函应由法定代表人、主要负责人，或者其授权代表签字或者盖章，并加盖公章。</w:t>
      </w:r>
      <w:r>
        <w:rPr>
          <w:color w:val="000000" w:themeColor="text1"/>
          <w:highlight w:val="none"/>
        </w:rPr>
      </w:r>
      <w:r/>
    </w:p>
    <w:p>
      <w:pPr>
        <w:pStyle w:val="953"/>
        <w:ind w:firstLine="420"/>
        <w:rPr>
          <w:color w:val="000000" w:themeColor="text1"/>
          <w:sz w:val="24"/>
          <w:highlight w:val="none"/>
        </w:rPr>
      </w:pPr>
      <w:r>
        <w:rPr>
          <w:color w:val="000000" w:themeColor="text1"/>
          <w:sz w:val="24"/>
          <w:highlight w:val="none"/>
        </w:rPr>
      </w:r>
      <w:r>
        <w:rPr>
          <w:color w:val="000000" w:themeColor="text1"/>
          <w:highlight w:val="none"/>
        </w:rPr>
      </w:r>
      <w:r/>
    </w:p>
    <w:p>
      <w:pPr>
        <w:pStyle w:val="953"/>
        <w:ind w:firstLine="420"/>
        <w:rPr>
          <w:color w:val="000000" w:themeColor="text1"/>
          <w:sz w:val="24"/>
          <w:highlight w:val="none"/>
        </w:rPr>
      </w:pPr>
      <w:r>
        <w:rPr>
          <w:color w:val="000000" w:themeColor="text1"/>
          <w:sz w:val="24"/>
          <w:highlight w:val="none"/>
        </w:rPr>
      </w:r>
      <w:r>
        <w:rPr>
          <w:color w:val="000000" w:themeColor="text1"/>
          <w:highlight w:val="none"/>
        </w:rPr>
      </w:r>
      <w:r/>
    </w:p>
    <w:p>
      <w:pPr>
        <w:pStyle w:val="953"/>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r/>
    </w:p>
    <w:sectPr>
      <w:footnotePr/>
      <w:endnotePr/>
      <w:type w:val="nextPage"/>
      <w:pgSz w:w="11906" w:h="16838" w:orient="portrait"/>
      <w:pgMar w:top="1134" w:right="1417" w:bottom="850" w:left="1417"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黑体_GBK">
    <w:panose1 w:val="020B0503020202020204"/>
  </w:font>
  <w:font w:name="方正小标宋简体">
    <w:panose1 w:val="020B0503020202020204"/>
  </w:font>
  <w:font w:name="华文行楷">
    <w:panose1 w:val="02010800040101010101"/>
  </w:font>
  <w:font w:name="Symbol">
    <w:panose1 w:val="05050102010706020507"/>
  </w:font>
  <w:font w:name="Wingdings">
    <w:panose1 w:val="05000000000000000000"/>
  </w:font>
  <w:font w:name="楷体_GB2312">
    <w:panose1 w:val="02010609060101010101"/>
  </w:font>
  <w:font w:name="Calibri">
    <w:panose1 w:val="020F0502020204030204"/>
  </w:font>
  <w:font w:name="微软雅黑">
    <w:panose1 w:val="020B0503020204020204"/>
  </w:font>
  <w:font w:name="Tahoma">
    <w:panose1 w:val="020B060403050404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rPr>
        <w:rFonts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6"/>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6</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w:instrText>
                          </w:r>
                          <w:r>
                            <w:rPr>
                              <w:rFonts w:hint="eastAsia" w:ascii="宋体" w:hAnsi="宋体" w:cs="宋体"/>
                              <w:sz w:val="21"/>
                              <w:szCs w:val="21"/>
                            </w:rPr>
                            <w:instrText xml:space="preserve">AT </w:instrText>
                          </w:r>
                          <w:r>
                            <w:rPr>
                              <w:rFonts w:hint="eastAsia" w:ascii="宋体" w:hAnsi="宋体" w:cs="宋体"/>
                              <w:sz w:val="21"/>
                              <w:szCs w:val="21"/>
                            </w:rPr>
                            <w:fldChar w:fldCharType="separate"/>
                          </w:r>
                          <w:r>
                            <w:rPr>
                              <w:rFonts w:ascii="宋体" w:hAnsi="宋体" w:cs="宋体"/>
                              <w:sz w:val="21"/>
                              <w:szCs w:val="21"/>
                            </w:rPr>
                            <w:t xml:space="preserve">64</w:t>
                          </w:r>
                          <w:r>
                            <w:rPr>
                              <w:rFonts w:hint="eastAsia" w:ascii="宋体" w:hAnsi="宋体" w:cs="宋体"/>
                              <w:sz w:val="21"/>
                              <w:szCs w:val="21"/>
                            </w:rPr>
                            <w:fldChar w:fldCharType="end"/>
                          </w:r>
                          <w:r/>
                        </w:p>
                        <w:p>
                          <w:pPr>
                            <w:pStyle w:val="95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6"/>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6</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w:instrText>
                    </w:r>
                    <w:r>
                      <w:rPr>
                        <w:rFonts w:hint="eastAsia" w:ascii="宋体" w:hAnsi="宋体" w:cs="宋体"/>
                        <w:sz w:val="21"/>
                        <w:szCs w:val="21"/>
                      </w:rPr>
                      <w:instrText xml:space="preserve">AT </w:instrText>
                    </w:r>
                    <w:r>
                      <w:rPr>
                        <w:rFonts w:hint="eastAsia" w:ascii="宋体" w:hAnsi="宋体" w:cs="宋体"/>
                        <w:sz w:val="21"/>
                        <w:szCs w:val="21"/>
                      </w:rPr>
                      <w:fldChar w:fldCharType="separate"/>
                    </w:r>
                    <w:r>
                      <w:rPr>
                        <w:rFonts w:ascii="宋体" w:hAnsi="宋体" w:cs="宋体"/>
                        <w:sz w:val="21"/>
                        <w:szCs w:val="21"/>
                      </w:rPr>
                      <w:t xml:space="preserve">64</w:t>
                    </w:r>
                    <w:r>
                      <w:rPr>
                        <w:rFonts w:hint="eastAsia" w:ascii="宋体" w:hAnsi="宋体" w:cs="宋体"/>
                        <w:sz w:val="21"/>
                        <w:szCs w:val="21"/>
                      </w:rPr>
                      <w:fldChar w:fldCharType="end"/>
                    </w:r>
                    <w:r/>
                  </w:p>
                  <w:p>
                    <w:pPr>
                      <w:pStyle w:val="953"/>
                    </w:pPr>
                    <w:r/>
                    <w:r/>
                  </w:p>
                </w:txbxContent>
              </v:textbox>
            </v:shape>
          </w:pict>
        </mc:Fallback>
      </mc:AlternateContent>
    </w:r>
    <w:r>
      <w:rPr>
        <w:rFonts w:ascii="宋体" w:hAnsi="宋体" w:cs="宋体"/>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w:rPr>
        <w:rFonts w:hint="eastAsia"/>
      </w:rPr>
      <w:t xml:space="preserve">第</w:t>
    </w:r>
    <w:r>
      <w:fldChar w:fldCharType="begin"/>
    </w:r>
    <w:r>
      <w:rPr>
        <w:rStyle w:val="1036"/>
      </w:rPr>
      <w:instrText xml:space="preserve"> PAGE </w:instrText>
    </w:r>
    <w:r>
      <w:fldChar w:fldCharType="separate"/>
    </w:r>
    <w:r>
      <w:rPr>
        <w:rStyle w:val="1036"/>
      </w:rPr>
      <w:t xml:space="preserve">35</w:t>
    </w:r>
    <w:r>
      <w:fldChar w:fldCharType="end"/>
    </w:r>
    <w:r>
      <w:rPr>
        <w:rStyle w:val="1036"/>
        <w:rFonts w:hint="eastAsia"/>
      </w:rPr>
      <w:t xml:space="preserve">页，共</w:t>
    </w:r>
    <w:r>
      <w:fldChar w:fldCharType="begin"/>
    </w:r>
    <w:r>
      <w:rPr>
        <w:rStyle w:val="1036"/>
      </w:rPr>
      <w:instrText xml:space="preserve"> NUMPAGES </w:instrText>
    </w:r>
    <w:r>
      <w:fldChar w:fldCharType="separate"/>
    </w:r>
    <w:r>
      <w:rPr>
        <w:rStyle w:val="1036"/>
      </w:rPr>
      <w:t xml:space="preserve">64</w:t>
    </w:r>
    <w:r>
      <w:fldChar w:fldCharType="end"/>
    </w:r>
    <w:r>
      <w:rPr>
        <w:rStyle w:val="1036"/>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w:rPr>
        <w:rFonts w:hint="eastAsia" w:eastAsia="华文行楷"/>
        <w:sz w:val="24"/>
      </w:rPr>
      <w:t xml:space="preserve">江苏海事大厦智能化系统招标文件</w:t>
    </w:r>
    <w:r/>
  </w:p>
  <w:p>
    <w:pPr>
      <w:pStyle w:val="1008"/>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pStyle w:val="9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54"/>
      <w:isLgl w:val="false"/>
      <w:suff w:val="nothing"/>
      <w:lvlText w:val="第%1章"/>
      <w:lvlJc w:val="left"/>
      <w:pPr>
        <w:pStyle w:val="953"/>
        <w:ind w:left="0" w:firstLine="0"/>
      </w:pPr>
    </w:lvl>
    <w:lvl w:ilvl="1">
      <w:start w:val="1"/>
      <w:numFmt w:val="decimal"/>
      <w:pStyle w:val="955"/>
      <w:isLgl w:val="false"/>
      <w:suff w:val="nothing"/>
      <w:lvlText w:val=""/>
      <w:lvlJc w:val="left"/>
      <w:pPr>
        <w:pStyle w:val="953"/>
        <w:ind w:left="0" w:firstLine="0"/>
      </w:pPr>
    </w:lvl>
    <w:lvl w:ilvl="2">
      <w:start w:val="1"/>
      <w:numFmt w:val="decimal"/>
      <w:pStyle w:val="956"/>
      <w:isLgl w:val="false"/>
      <w:suff w:val="nothing"/>
      <w:lvlText w:val=""/>
      <w:lvlJc w:val="left"/>
      <w:pPr>
        <w:pStyle w:val="953"/>
        <w:ind w:left="0" w:firstLine="0"/>
      </w:pPr>
    </w:lvl>
    <w:lvl w:ilvl="3">
      <w:start w:val="1"/>
      <w:numFmt w:val="decimal"/>
      <w:pStyle w:val="957"/>
      <w:isLgl w:val="false"/>
      <w:suff w:val="nothing"/>
      <w:lvlText w:val=""/>
      <w:lvlJc w:val="left"/>
      <w:pPr>
        <w:pStyle w:val="953"/>
        <w:ind w:left="0" w:firstLine="0"/>
      </w:pPr>
    </w:lvl>
    <w:lvl w:ilvl="4">
      <w:start w:val="1"/>
      <w:numFmt w:val="decimal"/>
      <w:pStyle w:val="958"/>
      <w:isLgl w:val="false"/>
      <w:suff w:val="nothing"/>
      <w:lvlText w:val=""/>
      <w:lvlJc w:val="left"/>
      <w:pPr>
        <w:pStyle w:val="953"/>
        <w:ind w:left="0" w:firstLine="0"/>
      </w:pPr>
    </w:lvl>
    <w:lvl w:ilvl="5">
      <w:start w:val="1"/>
      <w:numFmt w:val="decimal"/>
      <w:pStyle w:val="959"/>
      <w:isLgl w:val="false"/>
      <w:suff w:val="nothing"/>
      <w:lvlText w:val=""/>
      <w:lvlJc w:val="left"/>
      <w:pPr>
        <w:pStyle w:val="953"/>
        <w:ind w:left="0" w:firstLine="0"/>
      </w:pPr>
    </w:lvl>
    <w:lvl w:ilvl="6">
      <w:start w:val="1"/>
      <w:numFmt w:val="decimal"/>
      <w:pStyle w:val="960"/>
      <w:isLgl w:val="false"/>
      <w:suff w:val="nothing"/>
      <w:lvlText w:val=""/>
      <w:lvlJc w:val="left"/>
      <w:pPr>
        <w:pStyle w:val="953"/>
        <w:ind w:left="0" w:firstLine="0"/>
      </w:pPr>
    </w:lvl>
    <w:lvl w:ilvl="7">
      <w:start w:val="1"/>
      <w:numFmt w:val="decimal"/>
      <w:pStyle w:val="961"/>
      <w:isLgl w:val="false"/>
      <w:suff w:val="nothing"/>
      <w:lvlText w:val=""/>
      <w:lvlJc w:val="left"/>
      <w:pPr>
        <w:pStyle w:val="953"/>
        <w:ind w:left="0" w:firstLine="0"/>
      </w:pPr>
    </w:lvl>
    <w:lvl w:ilvl="8">
      <w:start w:val="1"/>
      <w:numFmt w:val="decimal"/>
      <w:pStyle w:val="962"/>
      <w:isLgl w:val="false"/>
      <w:suff w:val="nothing"/>
      <w:lvlText w:val=""/>
      <w:lvlJc w:val="left"/>
      <w:pPr>
        <w:pStyle w:val="953"/>
        <w:ind w:left="0" w:firstLine="0"/>
      </w:pPr>
    </w:lvl>
  </w:abstractNum>
  <w:abstractNum w:abstractNumId="3">
    <w:multiLevelType w:val="hybridMultilevel"/>
    <w:lvl w:ilvl="0">
      <w:start w:val="1"/>
      <w:numFmt w:val="decimal"/>
      <w:isLgl w:val="false"/>
      <w:suff w:val="tab"/>
      <w:lvlText w:val="%1."/>
      <w:lvlJc w:val="left"/>
      <w:pPr>
        <w:pStyle w:val="95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98"/>
      <w:isLgl w:val="false"/>
      <w:suff w:val="tab"/>
      <w:lvlText w:val=""/>
      <w:lvlJc w:val="left"/>
      <w:pPr>
        <w:pStyle w:val="953"/>
        <w:ind w:left="420" w:hanging="420"/>
        <w:tabs>
          <w:tab w:val="num" w:pos="420" w:leader="none"/>
        </w:tabs>
      </w:pPr>
      <w:rPr>
        <w:rFonts w:ascii="Wingdings" w:hAnsi="Wingdings"/>
      </w:rPr>
    </w:lvl>
    <w:lvl w:ilvl="1">
      <w:start w:val="1"/>
      <w:numFmt w:val="decimal"/>
      <w:isLgl w:val="false"/>
      <w:suff w:val="tab"/>
      <w:lvlText w:val="（%2）"/>
      <w:lvlJc w:val="left"/>
      <w:pPr>
        <w:pStyle w:val="953"/>
        <w:ind w:left="1500" w:hanging="1080"/>
        <w:tabs>
          <w:tab w:val="num" w:pos="1500" w:leader="none"/>
        </w:tabs>
      </w:pPr>
      <w:rPr>
        <w:rFonts w:hint="eastAsia" w:cs="Times New Roman"/>
      </w:rPr>
    </w:lvl>
    <w:lvl w:ilvl="2">
      <w:start w:val="1"/>
      <w:numFmt w:val="decimal"/>
      <w:isLgl w:val="false"/>
      <w:suff w:val="tab"/>
      <w:lvlText w:val="（%3）"/>
      <w:lvlJc w:val="left"/>
      <w:pPr>
        <w:pStyle w:val="953"/>
        <w:ind w:left="1560" w:hanging="720"/>
        <w:tabs>
          <w:tab w:val="num" w:pos="1560" w:leader="none"/>
        </w:tabs>
      </w:pPr>
      <w:rPr>
        <w:rFonts w:hint="eastAsia" w:cs="Times New Roman"/>
      </w:rPr>
    </w:lvl>
    <w:lvl w:ilvl="3">
      <w:start w:val="1"/>
      <w:numFmt w:val="decimal"/>
      <w:isLgl w:val="false"/>
      <w:suff w:val="tab"/>
      <w:lvlText w:val="%4."/>
      <w:lvlJc w:val="left"/>
      <w:pPr>
        <w:pStyle w:val="953"/>
        <w:ind w:left="1680" w:hanging="420"/>
        <w:tabs>
          <w:tab w:val="num" w:pos="1680" w:leader="none"/>
        </w:tabs>
      </w:pPr>
      <w:rPr>
        <w:rFonts w:cs="Times New Roman"/>
      </w:rPr>
    </w:lvl>
    <w:lvl w:ilvl="4">
      <w:start w:val="1"/>
      <w:numFmt w:val="lowerLetter"/>
      <w:isLgl w:val="false"/>
      <w:suff w:val="tab"/>
      <w:lvlText w:val="%5)"/>
      <w:lvlJc w:val="left"/>
      <w:pPr>
        <w:pStyle w:val="953"/>
        <w:ind w:left="2100" w:hanging="420"/>
        <w:tabs>
          <w:tab w:val="num" w:pos="2100" w:leader="none"/>
        </w:tabs>
      </w:pPr>
      <w:rPr>
        <w:rFonts w:cs="Times New Roman"/>
      </w:rPr>
    </w:lvl>
    <w:lvl w:ilvl="5">
      <w:start w:val="1"/>
      <w:numFmt w:val="lowerRoman"/>
      <w:isLgl w:val="false"/>
      <w:suff w:val="tab"/>
      <w:lvlText w:val="%6."/>
      <w:lvlJc w:val="right"/>
      <w:pPr>
        <w:pStyle w:val="953"/>
        <w:ind w:left="2520" w:hanging="420"/>
        <w:tabs>
          <w:tab w:val="num" w:pos="2520" w:leader="none"/>
        </w:tabs>
      </w:pPr>
      <w:rPr>
        <w:rFonts w:cs="Times New Roman"/>
      </w:rPr>
    </w:lvl>
    <w:lvl w:ilvl="6">
      <w:start w:val="1"/>
      <w:numFmt w:val="decimal"/>
      <w:isLgl w:val="false"/>
      <w:suff w:val="tab"/>
      <w:lvlText w:val="%7."/>
      <w:lvlJc w:val="left"/>
      <w:pPr>
        <w:pStyle w:val="953"/>
        <w:ind w:left="2940" w:hanging="420"/>
        <w:tabs>
          <w:tab w:val="num" w:pos="2940" w:leader="none"/>
        </w:tabs>
      </w:pPr>
      <w:rPr>
        <w:rFonts w:cs="Times New Roman"/>
      </w:rPr>
    </w:lvl>
    <w:lvl w:ilvl="7">
      <w:start w:val="1"/>
      <w:numFmt w:val="lowerLetter"/>
      <w:isLgl w:val="false"/>
      <w:suff w:val="tab"/>
      <w:lvlText w:val="%8)"/>
      <w:lvlJc w:val="left"/>
      <w:pPr>
        <w:pStyle w:val="953"/>
        <w:ind w:left="3360" w:hanging="420"/>
        <w:tabs>
          <w:tab w:val="num" w:pos="3360" w:leader="none"/>
        </w:tabs>
      </w:pPr>
      <w:rPr>
        <w:rFonts w:cs="Times New Roman"/>
      </w:rPr>
    </w:lvl>
    <w:lvl w:ilvl="8">
      <w:start w:val="1"/>
      <w:numFmt w:val="lowerRoman"/>
      <w:isLgl w:val="false"/>
      <w:suff w:val="tab"/>
      <w:lvlText w:val="%9."/>
      <w:lvlJc w:val="right"/>
      <w:pPr>
        <w:pStyle w:val="953"/>
        <w:ind w:left="3780" w:hanging="420"/>
        <w:tabs>
          <w:tab w:val="num" w:pos="3780" w:leader="none"/>
        </w:tabs>
      </w:pPr>
      <w:rPr>
        <w:rFonts w:cs="Times New Roman"/>
      </w:rPr>
    </w:lvl>
  </w:abstractNum>
  <w:abstractNum w:abstractNumId="5">
    <w:multiLevelType w:val="hybridMultilevel"/>
    <w:lvl w:ilvl="0">
      <w:start w:val="2"/>
      <w:numFmt w:val="decimal"/>
      <w:isLgl w:val="false"/>
      <w:suff w:val="tab"/>
      <w:lvlText w:val="%1."/>
      <w:lvlJc w:val="left"/>
      <w:pPr>
        <w:pStyle w:val="95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86"/>
      <w:isLgl w:val="false"/>
      <w:suff w:val="tab"/>
      <w:lvlText w:val="(%1)"/>
      <w:lvlJc w:val="left"/>
      <w:pPr>
        <w:pStyle w:val="953"/>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953"/>
        <w:ind w:left="840" w:hanging="420"/>
        <w:tabs>
          <w:tab w:val="num" w:pos="840" w:leader="none"/>
        </w:tabs>
      </w:pPr>
      <w:rPr>
        <w:rFonts w:cs="Times New Roman"/>
      </w:rPr>
    </w:lvl>
    <w:lvl w:ilvl="2">
      <w:start w:val="1"/>
      <w:numFmt w:val="lowerRoman"/>
      <w:isLgl w:val="false"/>
      <w:suff w:val="tab"/>
      <w:lvlText w:val="%3."/>
      <w:lvlJc w:val="right"/>
      <w:pPr>
        <w:pStyle w:val="953"/>
        <w:ind w:left="1260" w:hanging="420"/>
        <w:tabs>
          <w:tab w:val="num" w:pos="1260" w:leader="none"/>
        </w:tabs>
      </w:pPr>
      <w:rPr>
        <w:rFonts w:cs="Times New Roman"/>
      </w:rPr>
    </w:lvl>
    <w:lvl w:ilvl="3">
      <w:start w:val="1"/>
      <w:numFmt w:val="decimal"/>
      <w:isLgl w:val="false"/>
      <w:suff w:val="tab"/>
      <w:lvlText w:val="%4."/>
      <w:lvlJc w:val="left"/>
      <w:pPr>
        <w:pStyle w:val="953"/>
        <w:ind w:left="1680" w:hanging="420"/>
        <w:tabs>
          <w:tab w:val="num" w:pos="1680" w:leader="none"/>
        </w:tabs>
      </w:pPr>
      <w:rPr>
        <w:rFonts w:cs="Times New Roman"/>
      </w:rPr>
    </w:lvl>
    <w:lvl w:ilvl="4">
      <w:start w:val="1"/>
      <w:numFmt w:val="lowerLetter"/>
      <w:isLgl w:val="false"/>
      <w:suff w:val="tab"/>
      <w:lvlText w:val="%5)"/>
      <w:lvlJc w:val="left"/>
      <w:pPr>
        <w:pStyle w:val="953"/>
        <w:ind w:left="2100" w:hanging="420"/>
        <w:tabs>
          <w:tab w:val="num" w:pos="2100" w:leader="none"/>
        </w:tabs>
      </w:pPr>
      <w:rPr>
        <w:rFonts w:cs="Times New Roman"/>
      </w:rPr>
    </w:lvl>
    <w:lvl w:ilvl="5">
      <w:start w:val="1"/>
      <w:numFmt w:val="lowerRoman"/>
      <w:isLgl w:val="false"/>
      <w:suff w:val="tab"/>
      <w:lvlText w:val="%6."/>
      <w:lvlJc w:val="right"/>
      <w:pPr>
        <w:pStyle w:val="953"/>
        <w:ind w:left="2520" w:hanging="420"/>
        <w:tabs>
          <w:tab w:val="num" w:pos="2520" w:leader="none"/>
        </w:tabs>
      </w:pPr>
      <w:rPr>
        <w:rFonts w:cs="Times New Roman"/>
      </w:rPr>
    </w:lvl>
    <w:lvl w:ilvl="6">
      <w:start w:val="1"/>
      <w:numFmt w:val="decimal"/>
      <w:isLgl w:val="false"/>
      <w:suff w:val="tab"/>
      <w:lvlText w:val="%7."/>
      <w:lvlJc w:val="left"/>
      <w:pPr>
        <w:pStyle w:val="953"/>
        <w:ind w:left="2940" w:hanging="420"/>
        <w:tabs>
          <w:tab w:val="num" w:pos="2940" w:leader="none"/>
        </w:tabs>
      </w:pPr>
      <w:rPr>
        <w:rFonts w:cs="Times New Roman"/>
      </w:rPr>
    </w:lvl>
    <w:lvl w:ilvl="7">
      <w:start w:val="1"/>
      <w:numFmt w:val="lowerLetter"/>
      <w:isLgl w:val="false"/>
      <w:suff w:val="tab"/>
      <w:lvlText w:val="%8)"/>
      <w:lvlJc w:val="left"/>
      <w:pPr>
        <w:pStyle w:val="953"/>
        <w:ind w:left="3360" w:hanging="420"/>
        <w:tabs>
          <w:tab w:val="num" w:pos="3360" w:leader="none"/>
        </w:tabs>
      </w:pPr>
      <w:rPr>
        <w:rFonts w:cs="Times New Roman"/>
      </w:rPr>
    </w:lvl>
    <w:lvl w:ilvl="8">
      <w:start w:val="1"/>
      <w:numFmt w:val="lowerRoman"/>
      <w:isLgl w:val="false"/>
      <w:suff w:val="tab"/>
      <w:lvlText w:val="%9."/>
      <w:lvlJc w:val="right"/>
      <w:pPr>
        <w:pStyle w:val="953"/>
        <w:ind w:left="3780" w:hanging="420"/>
        <w:tabs>
          <w:tab w:val="num" w:pos="3780" w:leader="none"/>
        </w:tabs>
      </w:pPr>
      <w:rPr>
        <w:rFonts w:cs="Times New Roman"/>
      </w:rPr>
    </w:lvl>
  </w:abstractNum>
  <w:abstractNum w:abstractNumId="7">
    <w:multiLevelType w:val="hybridMultilevel"/>
    <w:lvl w:ilvl="0">
      <w:start w:val="1"/>
      <w:numFmt w:val="bullet"/>
      <w:pStyle w:val="1096"/>
      <w:isLgl w:val="false"/>
      <w:suff w:val="tab"/>
      <w:lvlText w:val=""/>
      <w:lvlJc w:val="left"/>
      <w:pPr>
        <w:pStyle w:val="953"/>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53"/>
      <w:isLgl w:val="false"/>
      <w:suff w:val="tab"/>
      <w:lvlText w:val="%1"/>
      <w:lvlJc w:val="left"/>
      <w:pPr>
        <w:pStyle w:val="953"/>
        <w:ind w:left="567" w:hanging="567"/>
        <w:tabs>
          <w:tab w:val="num" w:pos="567" w:leader="none"/>
        </w:tabs>
      </w:pPr>
      <w:rPr>
        <w:rFonts w:hint="eastAsia" w:cs="Times New Roman"/>
      </w:rPr>
    </w:lvl>
    <w:lvl w:ilvl="1">
      <w:start w:val="1"/>
      <w:numFmt w:val="decimal"/>
      <w:pStyle w:val="1069"/>
      <w:isLgl w:val="false"/>
      <w:suff w:val="tab"/>
      <w:lvlText w:val="%1.%2"/>
      <w:lvlJc w:val="left"/>
      <w:pPr>
        <w:pStyle w:val="953"/>
        <w:ind w:left="567" w:hanging="283"/>
        <w:tabs>
          <w:tab w:val="num" w:pos="1004" w:leader="none"/>
        </w:tabs>
      </w:pPr>
      <w:rPr>
        <w:rFonts w:hint="eastAsia" w:cs="Times New Roman"/>
      </w:rPr>
    </w:lvl>
    <w:lvl w:ilvl="2">
      <w:start w:val="1"/>
      <w:numFmt w:val="decimal"/>
      <w:isLgl w:val="false"/>
      <w:suff w:val="tab"/>
      <w:lvlText w:val="%1.%2.%3"/>
      <w:lvlJc w:val="left"/>
      <w:pPr>
        <w:pStyle w:val="953"/>
        <w:ind w:left="1134" w:hanging="567"/>
        <w:tabs>
          <w:tab w:val="num" w:pos="1647" w:leader="none"/>
        </w:tabs>
      </w:pPr>
      <w:rPr>
        <w:rFonts w:hint="eastAsia" w:cs="Times New Roman"/>
      </w:rPr>
    </w:lvl>
    <w:lvl w:ilvl="3">
      <w:start w:val="1"/>
      <w:numFmt w:val="decimal"/>
      <w:isLgl w:val="false"/>
      <w:suff w:val="tab"/>
      <w:lvlText w:val="%1.%2.%3.%4"/>
      <w:lvlJc w:val="left"/>
      <w:pPr>
        <w:pStyle w:val="953"/>
        <w:ind w:left="2851" w:hanging="708"/>
        <w:tabs>
          <w:tab w:val="num" w:pos="3223" w:leader="none"/>
        </w:tabs>
      </w:pPr>
      <w:rPr>
        <w:rFonts w:hint="eastAsia" w:cs="Times New Roman"/>
      </w:rPr>
    </w:lvl>
    <w:lvl w:ilvl="4">
      <w:start w:val="1"/>
      <w:numFmt w:val="decimal"/>
      <w:isLgl w:val="false"/>
      <w:suff w:val="tab"/>
      <w:lvlText w:val="%1.%2.%3.%4.%5"/>
      <w:lvlJc w:val="left"/>
      <w:pPr>
        <w:pStyle w:val="953"/>
        <w:ind w:left="3418" w:hanging="850"/>
        <w:tabs>
          <w:tab w:val="num" w:pos="3648" w:leader="none"/>
        </w:tabs>
      </w:pPr>
      <w:rPr>
        <w:rFonts w:hint="eastAsia" w:cs="Times New Roman"/>
      </w:rPr>
    </w:lvl>
    <w:lvl w:ilvl="5">
      <w:start w:val="1"/>
      <w:numFmt w:val="decimal"/>
      <w:isLgl w:val="false"/>
      <w:suff w:val="tab"/>
      <w:lvlText w:val="%1.%2.%3.%4.%5.%6"/>
      <w:lvlJc w:val="left"/>
      <w:pPr>
        <w:pStyle w:val="953"/>
        <w:ind w:left="4127" w:hanging="1134"/>
        <w:tabs>
          <w:tab w:val="num" w:pos="4433" w:leader="none"/>
        </w:tabs>
      </w:pPr>
      <w:rPr>
        <w:rFonts w:hint="eastAsia" w:cs="Times New Roman"/>
      </w:rPr>
    </w:lvl>
    <w:lvl w:ilvl="6">
      <w:start w:val="1"/>
      <w:numFmt w:val="decimal"/>
      <w:isLgl w:val="false"/>
      <w:suff w:val="tab"/>
      <w:lvlText w:val="%1.%2.%3.%4.%5.%6.%7"/>
      <w:lvlJc w:val="left"/>
      <w:pPr>
        <w:pStyle w:val="953"/>
        <w:ind w:left="4694" w:hanging="1276"/>
        <w:tabs>
          <w:tab w:val="num" w:pos="4858" w:leader="none"/>
        </w:tabs>
      </w:pPr>
      <w:rPr>
        <w:rFonts w:hint="eastAsia" w:cs="Times New Roman"/>
      </w:rPr>
    </w:lvl>
    <w:lvl w:ilvl="7">
      <w:start w:val="1"/>
      <w:numFmt w:val="decimal"/>
      <w:isLgl w:val="false"/>
      <w:suff w:val="tab"/>
      <w:lvlText w:val="%1.%2.%3.%4.%5.%6.%7.%8"/>
      <w:lvlJc w:val="left"/>
      <w:pPr>
        <w:pStyle w:val="953"/>
        <w:ind w:left="5261" w:hanging="1418"/>
        <w:tabs>
          <w:tab w:val="num" w:pos="5643" w:leader="none"/>
        </w:tabs>
      </w:pPr>
      <w:rPr>
        <w:rFonts w:hint="eastAsia" w:cs="Times New Roman"/>
      </w:rPr>
    </w:lvl>
    <w:lvl w:ilvl="8">
      <w:start w:val="1"/>
      <w:numFmt w:val="decimal"/>
      <w:isLgl w:val="false"/>
      <w:suff w:val="tab"/>
      <w:lvlText w:val="%1.%2.%3.%4.%5.%6.%7.%8.%9"/>
      <w:lvlJc w:val="left"/>
      <w:pPr>
        <w:pStyle w:val="953"/>
        <w:ind w:left="5969" w:hanging="1700"/>
        <w:tabs>
          <w:tab w:val="num" w:pos="6429" w:leader="none"/>
        </w:tabs>
      </w:pPr>
      <w:rPr>
        <w:rFonts w:hint="eastAsia" w:cs="Times New Roman"/>
      </w:rPr>
    </w:lvl>
  </w:abstractNum>
  <w:abstractNum w:abstractNumId="9">
    <w:multiLevelType w:val="hybridMultilevel"/>
    <w:lvl w:ilvl="0">
      <w:start w:val="1"/>
      <w:numFmt w:val="chineseCountingThousand"/>
      <w:isLgl w:val="false"/>
      <w:suff w:val="tab"/>
      <w:lvlText w:val="%1、"/>
      <w:lvlJc w:val="left"/>
      <w:pPr>
        <w:pStyle w:val="953"/>
        <w:ind w:left="562" w:hanging="420"/>
      </w:pPr>
      <w:rPr>
        <w:rFonts w:hint="eastAsia"/>
      </w:rPr>
    </w:lvl>
    <w:lvl w:ilvl="1">
      <w:start w:val="1"/>
      <w:numFmt w:val="lowerLetter"/>
      <w:isLgl w:val="false"/>
      <w:suff w:val="tab"/>
      <w:lvlText w:val="%2)"/>
      <w:lvlJc w:val="left"/>
      <w:pPr>
        <w:pStyle w:val="953"/>
        <w:ind w:left="840" w:hanging="420"/>
      </w:pPr>
    </w:lvl>
    <w:lvl w:ilvl="2">
      <w:start w:val="1"/>
      <w:numFmt w:val="lowerRoman"/>
      <w:isLgl w:val="false"/>
      <w:suff w:val="tab"/>
      <w:lvlText w:val="%3."/>
      <w:lvlJc w:val="right"/>
      <w:pPr>
        <w:pStyle w:val="953"/>
        <w:ind w:left="1260" w:hanging="420"/>
      </w:pPr>
    </w:lvl>
    <w:lvl w:ilvl="3">
      <w:start w:val="1"/>
      <w:numFmt w:val="decimal"/>
      <w:isLgl w:val="false"/>
      <w:suff w:val="tab"/>
      <w:lvlText w:val="%4."/>
      <w:lvlJc w:val="left"/>
      <w:pPr>
        <w:pStyle w:val="953"/>
        <w:ind w:left="1680" w:hanging="420"/>
      </w:pPr>
    </w:lvl>
    <w:lvl w:ilvl="4">
      <w:start w:val="1"/>
      <w:numFmt w:val="lowerLetter"/>
      <w:isLgl w:val="false"/>
      <w:suff w:val="tab"/>
      <w:lvlText w:val="%5)"/>
      <w:lvlJc w:val="left"/>
      <w:pPr>
        <w:pStyle w:val="953"/>
        <w:ind w:left="2100" w:hanging="420"/>
      </w:pPr>
    </w:lvl>
    <w:lvl w:ilvl="5">
      <w:start w:val="1"/>
      <w:numFmt w:val="lowerRoman"/>
      <w:isLgl w:val="false"/>
      <w:suff w:val="tab"/>
      <w:lvlText w:val="%6."/>
      <w:lvlJc w:val="right"/>
      <w:pPr>
        <w:pStyle w:val="953"/>
        <w:ind w:left="2520" w:hanging="420"/>
      </w:pPr>
    </w:lvl>
    <w:lvl w:ilvl="6">
      <w:start w:val="1"/>
      <w:numFmt w:val="decimal"/>
      <w:isLgl w:val="false"/>
      <w:suff w:val="tab"/>
      <w:lvlText w:val="%7."/>
      <w:lvlJc w:val="left"/>
      <w:pPr>
        <w:pStyle w:val="953"/>
        <w:ind w:left="2940" w:hanging="420"/>
      </w:pPr>
    </w:lvl>
    <w:lvl w:ilvl="7">
      <w:start w:val="1"/>
      <w:numFmt w:val="lowerLetter"/>
      <w:isLgl w:val="false"/>
      <w:suff w:val="tab"/>
      <w:lvlText w:val="%8)"/>
      <w:lvlJc w:val="left"/>
      <w:pPr>
        <w:pStyle w:val="953"/>
        <w:ind w:left="3360" w:hanging="420"/>
      </w:pPr>
    </w:lvl>
    <w:lvl w:ilvl="8">
      <w:start w:val="1"/>
      <w:numFmt w:val="lowerRoman"/>
      <w:isLgl w:val="false"/>
      <w:suff w:val="tab"/>
      <w:lvlText w:val="%9."/>
      <w:lvlJc w:val="right"/>
      <w:pPr>
        <w:pStyle w:val="953"/>
        <w:ind w:left="3780" w:hanging="420"/>
      </w:pPr>
    </w:lvl>
  </w:abstractNum>
  <w:num w:numId="1">
    <w:abstractNumId w:val="2"/>
  </w:num>
  <w:num w:numId="2">
    <w:abstractNumId w:val="8"/>
  </w:num>
  <w:num w:numId="3">
    <w:abstractNumId w:val="6"/>
  </w:num>
  <w:num w:numId="4">
    <w:abstractNumId w:val="7"/>
  </w:num>
  <w:num w:numId="5">
    <w:abstractNumId w:val="4"/>
  </w:num>
  <w:num w:numId="6">
    <w:abstractNumId w:val="9"/>
  </w:num>
  <w:num w:numId="7">
    <w:abstractNumId w:val="5"/>
  </w:num>
  <w:num w:numId="8">
    <w:abstractNumId w:val="1"/>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name w:val="Heading 1"/>
    <w:basedOn w:val="953"/>
    <w:next w:val="953"/>
    <w:link w:val="777"/>
    <w:uiPriority w:val="9"/>
    <w:qFormat/>
    <w:pPr>
      <w:keepLines/>
      <w:keepNext/>
      <w:spacing w:before="480" w:after="200"/>
      <w:outlineLvl w:val="0"/>
    </w:pPr>
    <w:rPr>
      <w:rFonts w:ascii="Arial" w:hAnsi="Arial" w:eastAsia="Arial" w:cs="Arial"/>
      <w:sz w:val="40"/>
      <w:szCs w:val="40"/>
    </w:rPr>
  </w:style>
  <w:style w:type="character" w:styleId="777">
    <w:name w:val="Heading 1 Char"/>
    <w:link w:val="776"/>
    <w:uiPriority w:val="9"/>
    <w:rPr>
      <w:rFonts w:ascii="Arial" w:hAnsi="Arial" w:eastAsia="Arial" w:cs="Arial"/>
      <w:sz w:val="40"/>
      <w:szCs w:val="40"/>
    </w:rPr>
  </w:style>
  <w:style w:type="paragraph" w:styleId="778">
    <w:name w:val="Heading 2"/>
    <w:basedOn w:val="953"/>
    <w:next w:val="953"/>
    <w:link w:val="779"/>
    <w:uiPriority w:val="9"/>
    <w:unhideWhenUsed/>
    <w:qFormat/>
    <w:pPr>
      <w:keepLines/>
      <w:keepNext/>
      <w:spacing w:before="360" w:after="200"/>
      <w:outlineLvl w:val="1"/>
    </w:pPr>
    <w:rPr>
      <w:rFonts w:ascii="Arial" w:hAnsi="Arial" w:eastAsia="Arial" w:cs="Arial"/>
      <w:sz w:val="34"/>
    </w:rPr>
  </w:style>
  <w:style w:type="character" w:styleId="779">
    <w:name w:val="Heading 2 Char"/>
    <w:link w:val="778"/>
    <w:uiPriority w:val="9"/>
    <w:rPr>
      <w:rFonts w:ascii="Arial" w:hAnsi="Arial" w:eastAsia="Arial" w:cs="Arial"/>
      <w:sz w:val="34"/>
    </w:rPr>
  </w:style>
  <w:style w:type="paragraph" w:styleId="780">
    <w:name w:val="Heading 3"/>
    <w:basedOn w:val="953"/>
    <w:next w:val="953"/>
    <w:link w:val="781"/>
    <w:uiPriority w:val="9"/>
    <w:unhideWhenUsed/>
    <w:qFormat/>
    <w:pPr>
      <w:keepLines/>
      <w:keepNext/>
      <w:spacing w:before="320" w:after="200"/>
      <w:outlineLvl w:val="2"/>
    </w:pPr>
    <w:rPr>
      <w:rFonts w:ascii="Arial" w:hAnsi="Arial" w:eastAsia="Arial" w:cs="Arial"/>
      <w:sz w:val="30"/>
      <w:szCs w:val="30"/>
    </w:rPr>
  </w:style>
  <w:style w:type="character" w:styleId="781">
    <w:name w:val="Heading 3 Char"/>
    <w:link w:val="780"/>
    <w:uiPriority w:val="9"/>
    <w:rPr>
      <w:rFonts w:ascii="Arial" w:hAnsi="Arial" w:eastAsia="Arial" w:cs="Arial"/>
      <w:sz w:val="30"/>
      <w:szCs w:val="30"/>
    </w:rPr>
  </w:style>
  <w:style w:type="paragraph" w:styleId="782">
    <w:name w:val="Heading 4"/>
    <w:basedOn w:val="953"/>
    <w:next w:val="953"/>
    <w:link w:val="783"/>
    <w:uiPriority w:val="9"/>
    <w:unhideWhenUsed/>
    <w:qFormat/>
    <w:pPr>
      <w:keepLines/>
      <w:keepNext/>
      <w:spacing w:before="320" w:after="200"/>
      <w:outlineLvl w:val="3"/>
    </w:pPr>
    <w:rPr>
      <w:rFonts w:ascii="Arial" w:hAnsi="Arial" w:eastAsia="Arial" w:cs="Arial"/>
      <w:b/>
      <w:bCs/>
      <w:sz w:val="26"/>
      <w:szCs w:val="26"/>
    </w:rPr>
  </w:style>
  <w:style w:type="character" w:styleId="783">
    <w:name w:val="Heading 4 Char"/>
    <w:link w:val="782"/>
    <w:uiPriority w:val="9"/>
    <w:rPr>
      <w:rFonts w:ascii="Arial" w:hAnsi="Arial" w:eastAsia="Arial" w:cs="Arial"/>
      <w:b/>
      <w:bCs/>
      <w:sz w:val="26"/>
      <w:szCs w:val="26"/>
    </w:rPr>
  </w:style>
  <w:style w:type="paragraph" w:styleId="784">
    <w:name w:val="Heading 5"/>
    <w:basedOn w:val="953"/>
    <w:next w:val="953"/>
    <w:link w:val="785"/>
    <w:uiPriority w:val="9"/>
    <w:unhideWhenUsed/>
    <w:qFormat/>
    <w:pPr>
      <w:keepLines/>
      <w:keepNext/>
      <w:spacing w:before="320" w:after="200"/>
      <w:outlineLvl w:val="4"/>
    </w:pPr>
    <w:rPr>
      <w:rFonts w:ascii="Arial" w:hAnsi="Arial" w:eastAsia="Arial" w:cs="Arial"/>
      <w:b/>
      <w:bCs/>
      <w:sz w:val="24"/>
      <w:szCs w:val="24"/>
    </w:rPr>
  </w:style>
  <w:style w:type="character" w:styleId="785">
    <w:name w:val="Heading 5 Char"/>
    <w:link w:val="784"/>
    <w:uiPriority w:val="9"/>
    <w:rPr>
      <w:rFonts w:ascii="Arial" w:hAnsi="Arial" w:eastAsia="Arial" w:cs="Arial"/>
      <w:b/>
      <w:bCs/>
      <w:sz w:val="24"/>
      <w:szCs w:val="24"/>
    </w:rPr>
  </w:style>
  <w:style w:type="paragraph" w:styleId="786">
    <w:name w:val="Heading 6"/>
    <w:basedOn w:val="953"/>
    <w:next w:val="953"/>
    <w:link w:val="787"/>
    <w:uiPriority w:val="9"/>
    <w:unhideWhenUsed/>
    <w:qFormat/>
    <w:pPr>
      <w:keepLines/>
      <w:keepNext/>
      <w:spacing w:before="320" w:after="200"/>
      <w:outlineLvl w:val="5"/>
    </w:pPr>
    <w:rPr>
      <w:rFonts w:ascii="Arial" w:hAnsi="Arial" w:eastAsia="Arial" w:cs="Arial"/>
      <w:b/>
      <w:bCs/>
      <w:sz w:val="22"/>
      <w:szCs w:val="22"/>
    </w:rPr>
  </w:style>
  <w:style w:type="character" w:styleId="787">
    <w:name w:val="Heading 6 Char"/>
    <w:link w:val="786"/>
    <w:uiPriority w:val="9"/>
    <w:rPr>
      <w:rFonts w:ascii="Arial" w:hAnsi="Arial" w:eastAsia="Arial" w:cs="Arial"/>
      <w:b/>
      <w:bCs/>
      <w:sz w:val="22"/>
      <w:szCs w:val="22"/>
    </w:rPr>
  </w:style>
  <w:style w:type="paragraph" w:styleId="788">
    <w:name w:val="Heading 7"/>
    <w:basedOn w:val="953"/>
    <w:next w:val="953"/>
    <w:link w:val="789"/>
    <w:uiPriority w:val="9"/>
    <w:unhideWhenUsed/>
    <w:qFormat/>
    <w:pPr>
      <w:keepLines/>
      <w:keepNext/>
      <w:spacing w:before="320" w:after="200"/>
      <w:outlineLvl w:val="6"/>
    </w:pPr>
    <w:rPr>
      <w:rFonts w:ascii="Arial" w:hAnsi="Arial" w:eastAsia="Arial" w:cs="Arial"/>
      <w:b/>
      <w:bCs/>
      <w:i/>
      <w:iCs/>
      <w:sz w:val="22"/>
      <w:szCs w:val="22"/>
    </w:rPr>
  </w:style>
  <w:style w:type="character" w:styleId="789">
    <w:name w:val="Heading 7 Char"/>
    <w:link w:val="788"/>
    <w:uiPriority w:val="9"/>
    <w:rPr>
      <w:rFonts w:ascii="Arial" w:hAnsi="Arial" w:eastAsia="Arial" w:cs="Arial"/>
      <w:b/>
      <w:bCs/>
      <w:i/>
      <w:iCs/>
      <w:sz w:val="22"/>
      <w:szCs w:val="22"/>
    </w:rPr>
  </w:style>
  <w:style w:type="paragraph" w:styleId="790">
    <w:name w:val="Heading 8"/>
    <w:basedOn w:val="953"/>
    <w:next w:val="953"/>
    <w:link w:val="791"/>
    <w:uiPriority w:val="9"/>
    <w:unhideWhenUsed/>
    <w:qFormat/>
    <w:pPr>
      <w:keepLines/>
      <w:keepNext/>
      <w:spacing w:before="320" w:after="200"/>
      <w:outlineLvl w:val="7"/>
    </w:pPr>
    <w:rPr>
      <w:rFonts w:ascii="Arial" w:hAnsi="Arial" w:eastAsia="Arial" w:cs="Arial"/>
      <w:i/>
      <w:iCs/>
      <w:sz w:val="22"/>
      <w:szCs w:val="22"/>
    </w:rPr>
  </w:style>
  <w:style w:type="character" w:styleId="791">
    <w:name w:val="Heading 8 Char"/>
    <w:link w:val="790"/>
    <w:uiPriority w:val="9"/>
    <w:rPr>
      <w:rFonts w:ascii="Arial" w:hAnsi="Arial" w:eastAsia="Arial" w:cs="Arial"/>
      <w:i/>
      <w:iCs/>
      <w:sz w:val="22"/>
      <w:szCs w:val="22"/>
    </w:rPr>
  </w:style>
  <w:style w:type="paragraph" w:styleId="792">
    <w:name w:val="Heading 9"/>
    <w:basedOn w:val="953"/>
    <w:next w:val="953"/>
    <w:link w:val="793"/>
    <w:uiPriority w:val="9"/>
    <w:unhideWhenUsed/>
    <w:qFormat/>
    <w:pPr>
      <w:keepLines/>
      <w:keepNext/>
      <w:spacing w:before="320" w:after="200"/>
      <w:outlineLvl w:val="8"/>
    </w:pPr>
    <w:rPr>
      <w:rFonts w:ascii="Arial" w:hAnsi="Arial" w:eastAsia="Arial" w:cs="Arial"/>
      <w:i/>
      <w:iCs/>
      <w:sz w:val="21"/>
      <w:szCs w:val="21"/>
    </w:rPr>
  </w:style>
  <w:style w:type="character" w:styleId="793">
    <w:name w:val="Heading 9 Char"/>
    <w:link w:val="792"/>
    <w:uiPriority w:val="9"/>
    <w:rPr>
      <w:rFonts w:ascii="Arial" w:hAnsi="Arial" w:eastAsia="Arial" w:cs="Arial"/>
      <w:i/>
      <w:iCs/>
      <w:sz w:val="21"/>
      <w:szCs w:val="21"/>
    </w:rPr>
  </w:style>
  <w:style w:type="paragraph" w:styleId="794">
    <w:name w:val="No Spacing"/>
    <w:uiPriority w:val="1"/>
    <w:qFormat/>
    <w:pPr>
      <w:spacing w:before="0" w:after="0" w:line="240" w:lineRule="auto"/>
    </w:pPr>
  </w:style>
  <w:style w:type="paragraph" w:styleId="795">
    <w:name w:val="Title"/>
    <w:basedOn w:val="953"/>
    <w:next w:val="953"/>
    <w:link w:val="796"/>
    <w:uiPriority w:val="10"/>
    <w:qFormat/>
    <w:pPr>
      <w:contextualSpacing/>
      <w:spacing w:before="300" w:after="200"/>
    </w:pPr>
    <w:rPr>
      <w:sz w:val="48"/>
      <w:szCs w:val="48"/>
    </w:rPr>
  </w:style>
  <w:style w:type="character" w:styleId="796">
    <w:name w:val="Title Char"/>
    <w:link w:val="795"/>
    <w:uiPriority w:val="10"/>
    <w:rPr>
      <w:sz w:val="48"/>
      <w:szCs w:val="48"/>
    </w:rPr>
  </w:style>
  <w:style w:type="paragraph" w:styleId="797">
    <w:name w:val="Subtitle"/>
    <w:basedOn w:val="953"/>
    <w:next w:val="953"/>
    <w:link w:val="798"/>
    <w:uiPriority w:val="11"/>
    <w:qFormat/>
    <w:pPr>
      <w:spacing w:before="200" w:after="200"/>
    </w:pPr>
    <w:rPr>
      <w:sz w:val="24"/>
      <w:szCs w:val="24"/>
    </w:rPr>
  </w:style>
  <w:style w:type="character" w:styleId="798">
    <w:name w:val="Subtitle Char"/>
    <w:link w:val="797"/>
    <w:uiPriority w:val="11"/>
    <w:rPr>
      <w:sz w:val="24"/>
      <w:szCs w:val="24"/>
    </w:rPr>
  </w:style>
  <w:style w:type="paragraph" w:styleId="799">
    <w:name w:val="Quote"/>
    <w:basedOn w:val="953"/>
    <w:next w:val="953"/>
    <w:link w:val="800"/>
    <w:uiPriority w:val="29"/>
    <w:qFormat/>
    <w:pPr>
      <w:ind w:left="720" w:right="720"/>
    </w:pPr>
    <w:rPr>
      <w:i/>
    </w:rPr>
  </w:style>
  <w:style w:type="character" w:styleId="800">
    <w:name w:val="Quote Char"/>
    <w:link w:val="799"/>
    <w:uiPriority w:val="29"/>
    <w:rPr>
      <w:i/>
    </w:rPr>
  </w:style>
  <w:style w:type="paragraph" w:styleId="801">
    <w:name w:val="Intense Quote"/>
    <w:basedOn w:val="953"/>
    <w:next w:val="953"/>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paragraph" w:styleId="803">
    <w:name w:val="Header"/>
    <w:basedOn w:val="953"/>
    <w:link w:val="804"/>
    <w:uiPriority w:val="99"/>
    <w:unhideWhenUsed/>
    <w:pPr>
      <w:spacing w:after="0" w:line="240" w:lineRule="auto"/>
      <w:tabs>
        <w:tab w:val="center" w:pos="7143" w:leader="none"/>
        <w:tab w:val="right" w:pos="14287" w:leader="none"/>
      </w:tabs>
    </w:pPr>
  </w:style>
  <w:style w:type="character" w:styleId="804">
    <w:name w:val="Header Char"/>
    <w:link w:val="803"/>
    <w:uiPriority w:val="99"/>
  </w:style>
  <w:style w:type="paragraph" w:styleId="805">
    <w:name w:val="Footer"/>
    <w:basedOn w:val="953"/>
    <w:link w:val="808"/>
    <w:uiPriority w:val="99"/>
    <w:unhideWhenUsed/>
    <w:pPr>
      <w:spacing w:after="0" w:line="240" w:lineRule="auto"/>
      <w:tabs>
        <w:tab w:val="center" w:pos="7143" w:leader="none"/>
        <w:tab w:val="right" w:pos="14287" w:leader="none"/>
      </w:tabs>
    </w:pPr>
  </w:style>
  <w:style w:type="character" w:styleId="806">
    <w:name w:val="Footer Char"/>
    <w:link w:val="805"/>
    <w:uiPriority w:val="99"/>
  </w:style>
  <w:style w:type="paragraph" w:styleId="807">
    <w:name w:val="Caption"/>
    <w:basedOn w:val="953"/>
    <w:next w:val="953"/>
    <w:uiPriority w:val="35"/>
    <w:semiHidden/>
    <w:unhideWhenUsed/>
    <w:qFormat/>
    <w:pPr>
      <w:spacing w:line="276" w:lineRule="auto"/>
    </w:pPr>
    <w:rPr>
      <w:b/>
      <w:bCs/>
      <w:color w:val="4f81bd" w:themeColor="accent1"/>
      <w:sz w:val="18"/>
      <w:szCs w:val="18"/>
    </w:rPr>
  </w:style>
  <w:style w:type="character" w:styleId="808">
    <w:name w:val="Caption Char"/>
    <w:basedOn w:val="807"/>
    <w:link w:val="805"/>
    <w:uiPriority w:val="99"/>
  </w:style>
  <w:style w:type="table" w:styleId="8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5">
    <w:name w:val="Hyperlink"/>
    <w:uiPriority w:val="99"/>
    <w:unhideWhenUsed/>
    <w:rPr>
      <w:color w:val="0000ff" w:themeColor="hyperlink"/>
      <w:u w:val="single"/>
    </w:rPr>
  </w:style>
  <w:style w:type="paragraph" w:styleId="936">
    <w:name w:val="footnote text"/>
    <w:basedOn w:val="953"/>
    <w:link w:val="937"/>
    <w:uiPriority w:val="99"/>
    <w:semiHidden/>
    <w:unhideWhenUsed/>
    <w:pPr>
      <w:spacing w:after="40" w:line="240" w:lineRule="auto"/>
    </w:pPr>
    <w:rPr>
      <w:sz w:val="18"/>
    </w:rPr>
  </w:style>
  <w:style w:type="character" w:styleId="937">
    <w:name w:val="Footnote Text Char"/>
    <w:link w:val="936"/>
    <w:uiPriority w:val="99"/>
    <w:rPr>
      <w:sz w:val="18"/>
    </w:rPr>
  </w:style>
  <w:style w:type="character" w:styleId="938">
    <w:name w:val="footnote reference"/>
    <w:uiPriority w:val="99"/>
    <w:unhideWhenUsed/>
    <w:rPr>
      <w:vertAlign w:val="superscript"/>
    </w:rPr>
  </w:style>
  <w:style w:type="paragraph" w:styleId="939">
    <w:name w:val="endnote text"/>
    <w:basedOn w:val="953"/>
    <w:link w:val="940"/>
    <w:uiPriority w:val="99"/>
    <w:semiHidden/>
    <w:unhideWhenUsed/>
    <w:pPr>
      <w:spacing w:after="0" w:line="240" w:lineRule="auto"/>
    </w:pPr>
    <w:rPr>
      <w:sz w:val="20"/>
    </w:rPr>
  </w:style>
  <w:style w:type="character" w:styleId="940">
    <w:name w:val="Endnote Text Char"/>
    <w:link w:val="939"/>
    <w:uiPriority w:val="99"/>
    <w:rPr>
      <w:sz w:val="20"/>
    </w:rPr>
  </w:style>
  <w:style w:type="character" w:styleId="941">
    <w:name w:val="endnote reference"/>
    <w:uiPriority w:val="99"/>
    <w:semiHidden/>
    <w:unhideWhenUsed/>
    <w:rPr>
      <w:vertAlign w:val="superscript"/>
    </w:rPr>
  </w:style>
  <w:style w:type="paragraph" w:styleId="942">
    <w:name w:val="toc 1"/>
    <w:basedOn w:val="953"/>
    <w:next w:val="953"/>
    <w:uiPriority w:val="39"/>
    <w:unhideWhenUsed/>
    <w:pPr>
      <w:ind w:left="0" w:right="0" w:firstLine="0"/>
      <w:spacing w:after="57"/>
    </w:pPr>
  </w:style>
  <w:style w:type="paragraph" w:styleId="943">
    <w:name w:val="toc 2"/>
    <w:basedOn w:val="953"/>
    <w:next w:val="953"/>
    <w:uiPriority w:val="39"/>
    <w:unhideWhenUsed/>
    <w:pPr>
      <w:ind w:left="283" w:right="0" w:firstLine="0"/>
      <w:spacing w:after="57"/>
    </w:pPr>
  </w:style>
  <w:style w:type="paragraph" w:styleId="944">
    <w:name w:val="toc 3"/>
    <w:basedOn w:val="953"/>
    <w:next w:val="953"/>
    <w:uiPriority w:val="39"/>
    <w:unhideWhenUsed/>
    <w:pPr>
      <w:ind w:left="567" w:right="0" w:firstLine="0"/>
      <w:spacing w:after="57"/>
    </w:pPr>
  </w:style>
  <w:style w:type="paragraph" w:styleId="945">
    <w:name w:val="toc 4"/>
    <w:basedOn w:val="953"/>
    <w:next w:val="953"/>
    <w:uiPriority w:val="39"/>
    <w:unhideWhenUsed/>
    <w:pPr>
      <w:ind w:left="850" w:right="0" w:firstLine="0"/>
      <w:spacing w:after="57"/>
    </w:pPr>
  </w:style>
  <w:style w:type="paragraph" w:styleId="946">
    <w:name w:val="toc 5"/>
    <w:basedOn w:val="953"/>
    <w:next w:val="953"/>
    <w:uiPriority w:val="39"/>
    <w:unhideWhenUsed/>
    <w:pPr>
      <w:ind w:left="1134" w:right="0" w:firstLine="0"/>
      <w:spacing w:after="57"/>
    </w:pPr>
  </w:style>
  <w:style w:type="paragraph" w:styleId="947">
    <w:name w:val="toc 6"/>
    <w:basedOn w:val="953"/>
    <w:next w:val="953"/>
    <w:uiPriority w:val="39"/>
    <w:unhideWhenUsed/>
    <w:pPr>
      <w:ind w:left="1417" w:right="0" w:firstLine="0"/>
      <w:spacing w:after="57"/>
    </w:pPr>
  </w:style>
  <w:style w:type="paragraph" w:styleId="948">
    <w:name w:val="toc 7"/>
    <w:basedOn w:val="953"/>
    <w:next w:val="953"/>
    <w:uiPriority w:val="39"/>
    <w:unhideWhenUsed/>
    <w:pPr>
      <w:ind w:left="1701" w:right="0" w:firstLine="0"/>
      <w:spacing w:after="57"/>
    </w:pPr>
  </w:style>
  <w:style w:type="paragraph" w:styleId="949">
    <w:name w:val="toc 8"/>
    <w:basedOn w:val="953"/>
    <w:next w:val="953"/>
    <w:uiPriority w:val="39"/>
    <w:unhideWhenUsed/>
    <w:pPr>
      <w:ind w:left="1984" w:right="0" w:firstLine="0"/>
      <w:spacing w:after="57"/>
    </w:pPr>
  </w:style>
  <w:style w:type="paragraph" w:styleId="950">
    <w:name w:val="toc 9"/>
    <w:basedOn w:val="953"/>
    <w:next w:val="953"/>
    <w:uiPriority w:val="39"/>
    <w:unhideWhenUsed/>
    <w:pPr>
      <w:ind w:left="2268" w:right="0" w:firstLine="0"/>
      <w:spacing w:after="57"/>
    </w:pPr>
  </w:style>
  <w:style w:type="paragraph" w:styleId="951">
    <w:name w:val="TOC Heading"/>
    <w:uiPriority w:val="39"/>
    <w:unhideWhenUsed/>
  </w:style>
  <w:style w:type="paragraph" w:styleId="952">
    <w:name w:val="table of figures"/>
    <w:basedOn w:val="953"/>
    <w:next w:val="953"/>
    <w:uiPriority w:val="99"/>
    <w:unhideWhenUsed/>
    <w:pPr>
      <w:spacing w:after="0" w:afterAutospacing="0"/>
    </w:pPr>
  </w:style>
  <w:style w:type="paragraph" w:styleId="953" w:default="1">
    <w:name w:val="Normal"/>
    <w:next w:val="953"/>
    <w:link w:val="953"/>
    <w:qFormat/>
    <w:pPr>
      <w:jc w:val="both"/>
      <w:widowControl w:val="off"/>
    </w:pPr>
    <w:rPr>
      <w:sz w:val="21"/>
      <w:lang w:val="en-US" w:eastAsia="zh-CN" w:bidi="ar-SA"/>
    </w:rPr>
  </w:style>
  <w:style w:type="paragraph" w:styleId="954">
    <w:name w:val="标题 1"/>
    <w:basedOn w:val="953"/>
    <w:next w:val="967"/>
    <w:link w:val="966"/>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955">
    <w:name w:val="标题 2"/>
    <w:basedOn w:val="953"/>
    <w:next w:val="953"/>
    <w:link w:val="969"/>
    <w:uiPriority w:val="99"/>
    <w:qFormat/>
    <w:pPr>
      <w:numPr>
        <w:ilvl w:val="1"/>
        <w:numId w:val="1"/>
      </w:numPr>
      <w:jc w:val="left"/>
      <w:keepLines/>
      <w:keepNext/>
      <w:spacing w:before="120" w:after="120"/>
      <w:outlineLvl w:val="1"/>
    </w:pPr>
    <w:rPr>
      <w:rFonts w:ascii="Cambria" w:hAnsi="Cambria"/>
      <w:b/>
      <w:bCs/>
      <w:sz w:val="32"/>
      <w:szCs w:val="32"/>
    </w:rPr>
  </w:style>
  <w:style w:type="paragraph" w:styleId="956">
    <w:name w:val="标题 3"/>
    <w:basedOn w:val="953"/>
    <w:next w:val="971"/>
    <w:link w:val="970"/>
    <w:uiPriority w:val="99"/>
    <w:qFormat/>
    <w:pPr>
      <w:numPr>
        <w:ilvl w:val="2"/>
        <w:numId w:val="1"/>
      </w:numPr>
      <w:keepLines/>
      <w:keepNext/>
      <w:spacing w:before="120" w:after="120"/>
      <w:outlineLvl w:val="2"/>
    </w:pPr>
    <w:rPr>
      <w:b/>
      <w:bCs/>
      <w:sz w:val="32"/>
      <w:szCs w:val="32"/>
    </w:rPr>
  </w:style>
  <w:style w:type="paragraph" w:styleId="957">
    <w:name w:val="标题 4"/>
    <w:basedOn w:val="953"/>
    <w:next w:val="971"/>
    <w:link w:val="973"/>
    <w:uiPriority w:val="99"/>
    <w:qFormat/>
    <w:pPr>
      <w:numPr>
        <w:ilvl w:val="3"/>
        <w:numId w:val="1"/>
      </w:numPr>
      <w:keepLines/>
      <w:keepNext/>
      <w:spacing w:before="120" w:after="120"/>
      <w:outlineLvl w:val="3"/>
    </w:pPr>
    <w:rPr>
      <w:rFonts w:ascii="Cambria" w:hAnsi="Cambria"/>
      <w:b/>
      <w:bCs/>
      <w:sz w:val="28"/>
      <w:szCs w:val="28"/>
    </w:rPr>
  </w:style>
  <w:style w:type="paragraph" w:styleId="958">
    <w:name w:val="标题 5"/>
    <w:basedOn w:val="953"/>
    <w:next w:val="971"/>
    <w:link w:val="974"/>
    <w:uiPriority w:val="99"/>
    <w:qFormat/>
    <w:pPr>
      <w:numPr>
        <w:ilvl w:val="4"/>
        <w:numId w:val="1"/>
      </w:numPr>
      <w:keepNext/>
      <w:spacing w:before="156" w:after="156"/>
      <w:outlineLvl w:val="4"/>
    </w:pPr>
    <w:rPr>
      <w:b/>
      <w:bCs/>
      <w:sz w:val="28"/>
      <w:szCs w:val="28"/>
    </w:rPr>
  </w:style>
  <w:style w:type="paragraph" w:styleId="959">
    <w:name w:val="标题 6"/>
    <w:basedOn w:val="953"/>
    <w:next w:val="953"/>
    <w:link w:val="975"/>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960">
    <w:name w:val="标题 7"/>
    <w:basedOn w:val="953"/>
    <w:next w:val="953"/>
    <w:link w:val="976"/>
    <w:uiPriority w:val="99"/>
    <w:qFormat/>
    <w:pPr>
      <w:numPr>
        <w:ilvl w:val="6"/>
        <w:numId w:val="1"/>
      </w:numPr>
      <w:keepLines/>
      <w:keepNext/>
      <w:spacing w:before="240" w:after="64" w:line="320" w:lineRule="auto"/>
      <w:outlineLvl w:val="6"/>
    </w:pPr>
    <w:rPr>
      <w:b/>
      <w:bCs/>
      <w:sz w:val="24"/>
      <w:szCs w:val="24"/>
    </w:rPr>
  </w:style>
  <w:style w:type="paragraph" w:styleId="961">
    <w:name w:val="标题 8"/>
    <w:basedOn w:val="953"/>
    <w:next w:val="953"/>
    <w:link w:val="977"/>
    <w:uiPriority w:val="99"/>
    <w:qFormat/>
    <w:pPr>
      <w:numPr>
        <w:ilvl w:val="7"/>
        <w:numId w:val="1"/>
      </w:numPr>
      <w:keepLines/>
      <w:keepNext/>
      <w:spacing w:before="240" w:after="64" w:line="320" w:lineRule="auto"/>
      <w:outlineLvl w:val="7"/>
    </w:pPr>
    <w:rPr>
      <w:rFonts w:ascii="Cambria" w:hAnsi="Cambria"/>
      <w:sz w:val="24"/>
      <w:szCs w:val="24"/>
    </w:rPr>
  </w:style>
  <w:style w:type="paragraph" w:styleId="962">
    <w:name w:val="标题 9"/>
    <w:basedOn w:val="953"/>
    <w:next w:val="953"/>
    <w:link w:val="978"/>
    <w:uiPriority w:val="99"/>
    <w:qFormat/>
    <w:pPr>
      <w:numPr>
        <w:ilvl w:val="8"/>
        <w:numId w:val="1"/>
      </w:numPr>
      <w:keepLines/>
      <w:keepNext/>
      <w:spacing w:before="240" w:after="64" w:line="320" w:lineRule="auto"/>
      <w:outlineLvl w:val="8"/>
    </w:pPr>
    <w:rPr>
      <w:rFonts w:ascii="Cambria" w:hAnsi="Cambria"/>
      <w:szCs w:val="21"/>
    </w:rPr>
  </w:style>
  <w:style w:type="character" w:styleId="963">
    <w:name w:val="默认段落字体"/>
    <w:next w:val="963"/>
    <w:link w:val="953"/>
    <w:uiPriority w:val="1"/>
    <w:unhideWhenUsed/>
  </w:style>
  <w:style w:type="table" w:styleId="964">
    <w:name w:val="普通表格"/>
    <w:next w:val="964"/>
    <w:link w:val="953"/>
    <w:uiPriority w:val="99"/>
    <w:unhideWhenUsed/>
    <w:tblPr/>
  </w:style>
  <w:style w:type="numbering" w:styleId="965">
    <w:name w:val="无列表"/>
    <w:next w:val="965"/>
    <w:link w:val="953"/>
    <w:uiPriority w:val="99"/>
    <w:semiHidden/>
    <w:unhideWhenUsed/>
  </w:style>
  <w:style w:type="character" w:styleId="966">
    <w:name w:val="标题 1 字符"/>
    <w:next w:val="966"/>
    <w:link w:val="954"/>
    <w:rPr>
      <w:rFonts w:ascii="黑体" w:eastAsia="黑体"/>
      <w:b/>
      <w:sz w:val="28"/>
    </w:rPr>
  </w:style>
  <w:style w:type="paragraph" w:styleId="967">
    <w:name w:val="正文文本"/>
    <w:basedOn w:val="953"/>
    <w:next w:val="967"/>
    <w:link w:val="968"/>
    <w:uiPriority w:val="99"/>
    <w:rPr>
      <w:sz w:val="20"/>
    </w:rPr>
  </w:style>
  <w:style w:type="character" w:styleId="968">
    <w:name w:val="正文文本 字符"/>
    <w:next w:val="968"/>
    <w:link w:val="967"/>
    <w:uiPriority w:val="99"/>
    <w:semiHidden/>
    <w:rPr>
      <w:rFonts w:cs="Times New Roman"/>
      <w:sz w:val="20"/>
      <w:szCs w:val="20"/>
    </w:rPr>
  </w:style>
  <w:style w:type="character" w:styleId="969">
    <w:name w:val="标题 2 字符"/>
    <w:next w:val="969"/>
    <w:link w:val="955"/>
    <w:uiPriority w:val="99"/>
    <w:rPr>
      <w:rFonts w:ascii="Cambria" w:hAnsi="Cambria"/>
      <w:b/>
      <w:bCs/>
      <w:sz w:val="32"/>
      <w:szCs w:val="32"/>
    </w:rPr>
  </w:style>
  <w:style w:type="character" w:styleId="970">
    <w:name w:val="标题 3 字符"/>
    <w:next w:val="970"/>
    <w:link w:val="956"/>
    <w:uiPriority w:val="99"/>
    <w:rPr>
      <w:b/>
      <w:bCs/>
      <w:sz w:val="32"/>
      <w:szCs w:val="32"/>
    </w:rPr>
  </w:style>
  <w:style w:type="paragraph" w:styleId="971">
    <w:name w:val="正文缩进"/>
    <w:basedOn w:val="953"/>
    <w:next w:val="971"/>
    <w:link w:val="972"/>
    <w:qFormat/>
    <w:pPr>
      <w:ind w:firstLine="420"/>
    </w:pPr>
  </w:style>
  <w:style w:type="character" w:styleId="972">
    <w:name w:val="正文缩进 字符"/>
    <w:next w:val="972"/>
    <w:link w:val="971"/>
    <w:rPr>
      <w:rFonts w:eastAsia="宋体" w:cs="Times New Roman"/>
      <w:sz w:val="21"/>
      <w:lang w:val="en-US" w:eastAsia="zh-CN" w:bidi="ar-SA"/>
    </w:rPr>
  </w:style>
  <w:style w:type="character" w:styleId="973">
    <w:name w:val="标题 4 字符"/>
    <w:next w:val="973"/>
    <w:link w:val="957"/>
    <w:uiPriority w:val="99"/>
    <w:rPr>
      <w:rFonts w:ascii="Cambria" w:hAnsi="Cambria"/>
      <w:b/>
      <w:bCs/>
      <w:sz w:val="28"/>
      <w:szCs w:val="28"/>
    </w:rPr>
  </w:style>
  <w:style w:type="character" w:styleId="974">
    <w:name w:val="标题 5 字符"/>
    <w:next w:val="974"/>
    <w:link w:val="958"/>
    <w:uiPriority w:val="99"/>
    <w:rPr>
      <w:b/>
      <w:bCs/>
      <w:sz w:val="28"/>
      <w:szCs w:val="28"/>
    </w:rPr>
  </w:style>
  <w:style w:type="character" w:styleId="975">
    <w:name w:val="标题 6 字符"/>
    <w:next w:val="975"/>
    <w:link w:val="959"/>
    <w:uiPriority w:val="99"/>
    <w:rPr>
      <w:rFonts w:ascii="Cambria" w:hAnsi="Cambria"/>
      <w:b/>
      <w:bCs/>
      <w:sz w:val="24"/>
      <w:szCs w:val="24"/>
    </w:rPr>
  </w:style>
  <w:style w:type="character" w:styleId="976">
    <w:name w:val="标题 7 字符"/>
    <w:next w:val="976"/>
    <w:link w:val="960"/>
    <w:uiPriority w:val="99"/>
    <w:rPr>
      <w:b/>
      <w:bCs/>
      <w:sz w:val="24"/>
      <w:szCs w:val="24"/>
    </w:rPr>
  </w:style>
  <w:style w:type="character" w:styleId="977">
    <w:name w:val="标题 8 字符"/>
    <w:next w:val="977"/>
    <w:link w:val="961"/>
    <w:uiPriority w:val="99"/>
    <w:rPr>
      <w:rFonts w:ascii="Cambria" w:hAnsi="Cambria"/>
      <w:sz w:val="24"/>
      <w:szCs w:val="24"/>
    </w:rPr>
  </w:style>
  <w:style w:type="character" w:styleId="978">
    <w:name w:val="标题 9 字符"/>
    <w:next w:val="978"/>
    <w:link w:val="962"/>
    <w:uiPriority w:val="99"/>
    <w:rPr>
      <w:rFonts w:ascii="Cambria" w:hAnsi="Cambria"/>
      <w:sz w:val="21"/>
      <w:szCs w:val="21"/>
    </w:rPr>
  </w:style>
  <w:style w:type="paragraph" w:styleId="979">
    <w:name w:val="列表 3"/>
    <w:basedOn w:val="953"/>
    <w:next w:val="979"/>
    <w:link w:val="953"/>
    <w:uiPriority w:val="99"/>
    <w:pPr>
      <w:ind w:left="1260" w:hanging="420"/>
    </w:pPr>
  </w:style>
  <w:style w:type="paragraph" w:styleId="980">
    <w:name w:val="目录 7"/>
    <w:basedOn w:val="953"/>
    <w:next w:val="953"/>
    <w:link w:val="953"/>
    <w:uiPriority w:val="99"/>
    <w:semiHidden/>
    <w:pPr>
      <w:ind w:left="1260"/>
      <w:jc w:val="left"/>
    </w:pPr>
    <w:rPr>
      <w:sz w:val="18"/>
    </w:rPr>
  </w:style>
  <w:style w:type="paragraph" w:styleId="981">
    <w:name w:val="索引 8"/>
    <w:basedOn w:val="953"/>
    <w:next w:val="953"/>
    <w:link w:val="953"/>
    <w:uiPriority w:val="99"/>
    <w:semiHidden/>
    <w:pPr>
      <w:ind w:left="2940"/>
    </w:pPr>
  </w:style>
  <w:style w:type="paragraph" w:styleId="982">
    <w:name w:val="索引 5"/>
    <w:basedOn w:val="953"/>
    <w:next w:val="953"/>
    <w:link w:val="953"/>
    <w:uiPriority w:val="99"/>
    <w:semiHidden/>
    <w:pPr>
      <w:ind w:left="1680"/>
    </w:pPr>
  </w:style>
  <w:style w:type="paragraph" w:styleId="983">
    <w:name w:val="文档结构图"/>
    <w:basedOn w:val="953"/>
    <w:next w:val="983"/>
    <w:link w:val="984"/>
    <w:uiPriority w:val="99"/>
    <w:semiHidden/>
    <w:pPr>
      <w:shd w:val="clear" w:color="auto" w:fill="000080"/>
    </w:pPr>
    <w:rPr>
      <w:sz w:val="2"/>
    </w:rPr>
  </w:style>
  <w:style w:type="character" w:styleId="984">
    <w:name w:val="文档结构图 字符"/>
    <w:next w:val="984"/>
    <w:link w:val="983"/>
    <w:uiPriority w:val="99"/>
    <w:semiHidden/>
    <w:rPr>
      <w:rFonts w:cs="Times New Roman"/>
      <w:sz w:val="2"/>
    </w:rPr>
  </w:style>
  <w:style w:type="paragraph" w:styleId="985">
    <w:name w:val="批注文字"/>
    <w:basedOn w:val="953"/>
    <w:next w:val="985"/>
    <w:link w:val="986"/>
    <w:pPr>
      <w:jc w:val="left"/>
    </w:pPr>
    <w:rPr>
      <w:sz w:val="20"/>
    </w:rPr>
  </w:style>
  <w:style w:type="character" w:styleId="986">
    <w:name w:val="批注文字 字符"/>
    <w:next w:val="986"/>
    <w:link w:val="985"/>
    <w:rPr>
      <w:rFonts w:cs="Times New Roman"/>
      <w:sz w:val="20"/>
      <w:szCs w:val="20"/>
    </w:rPr>
  </w:style>
  <w:style w:type="paragraph" w:styleId="987">
    <w:name w:val="索引 6"/>
    <w:basedOn w:val="953"/>
    <w:next w:val="953"/>
    <w:link w:val="953"/>
    <w:uiPriority w:val="99"/>
    <w:semiHidden/>
    <w:pPr>
      <w:ind w:left="2100"/>
    </w:pPr>
  </w:style>
  <w:style w:type="paragraph" w:styleId="988">
    <w:name w:val="正文文本 3"/>
    <w:basedOn w:val="953"/>
    <w:next w:val="988"/>
    <w:link w:val="989"/>
    <w:uiPriority w:val="99"/>
    <w:rPr>
      <w:sz w:val="16"/>
      <w:szCs w:val="16"/>
    </w:rPr>
  </w:style>
  <w:style w:type="character" w:styleId="989">
    <w:name w:val="正文文本 3 字符"/>
    <w:next w:val="989"/>
    <w:link w:val="988"/>
    <w:uiPriority w:val="99"/>
    <w:semiHidden/>
    <w:rPr>
      <w:rFonts w:cs="Times New Roman"/>
      <w:sz w:val="16"/>
      <w:szCs w:val="16"/>
    </w:rPr>
  </w:style>
  <w:style w:type="paragraph" w:styleId="990">
    <w:name w:val="正文文本缩进"/>
    <w:basedOn w:val="953"/>
    <w:next w:val="992"/>
    <w:link w:val="991"/>
    <w:uiPriority w:val="99"/>
    <w:pPr>
      <w:ind w:firstLine="645"/>
    </w:pPr>
    <w:rPr>
      <w:sz w:val="20"/>
    </w:rPr>
  </w:style>
  <w:style w:type="character" w:styleId="991">
    <w:name w:val="正文文本缩进 字符"/>
    <w:next w:val="991"/>
    <w:link w:val="990"/>
    <w:uiPriority w:val="99"/>
    <w:semiHidden/>
    <w:rPr>
      <w:rFonts w:cs="Times New Roman"/>
      <w:sz w:val="20"/>
      <w:szCs w:val="20"/>
    </w:rPr>
  </w:style>
  <w:style w:type="paragraph" w:styleId="992">
    <w:name w:val="寄信人地址"/>
    <w:basedOn w:val="953"/>
    <w:next w:val="992"/>
    <w:link w:val="953"/>
    <w:qFormat/>
    <w:pPr>
      <w:spacing w:line="560" w:lineRule="exact"/>
    </w:pPr>
    <w:rPr>
      <w:rFonts w:ascii="Arial" w:hAnsi="Arial" w:eastAsia="仿宋_GB2312" w:cs="Arial"/>
      <w:sz w:val="32"/>
    </w:rPr>
  </w:style>
  <w:style w:type="paragraph" w:styleId="993">
    <w:name w:val="索引 4"/>
    <w:basedOn w:val="953"/>
    <w:next w:val="953"/>
    <w:link w:val="953"/>
    <w:uiPriority w:val="99"/>
    <w:semiHidden/>
    <w:pPr>
      <w:ind w:left="1260"/>
    </w:pPr>
  </w:style>
  <w:style w:type="paragraph" w:styleId="994">
    <w:name w:val="目录 5"/>
    <w:basedOn w:val="953"/>
    <w:next w:val="953"/>
    <w:link w:val="953"/>
    <w:uiPriority w:val="99"/>
    <w:semiHidden/>
    <w:pPr>
      <w:ind w:left="840"/>
      <w:jc w:val="left"/>
    </w:pPr>
    <w:rPr>
      <w:sz w:val="18"/>
    </w:rPr>
  </w:style>
  <w:style w:type="paragraph" w:styleId="995">
    <w:name w:val="目录 3"/>
    <w:basedOn w:val="953"/>
    <w:next w:val="953"/>
    <w:link w:val="953"/>
    <w:uiPriority w:val="99"/>
    <w:semiHidden/>
    <w:pPr>
      <w:ind w:left="420"/>
      <w:jc w:val="left"/>
    </w:pPr>
    <w:rPr>
      <w:i/>
      <w:sz w:val="20"/>
    </w:rPr>
  </w:style>
  <w:style w:type="paragraph" w:styleId="996">
    <w:name w:val="纯文本"/>
    <w:basedOn w:val="953"/>
    <w:next w:val="996"/>
    <w:link w:val="997"/>
    <w:rPr>
      <w:rFonts w:ascii="宋体" w:hAnsi="Courier New"/>
      <w:szCs w:val="21"/>
    </w:rPr>
  </w:style>
  <w:style w:type="character" w:styleId="997">
    <w:name w:val="纯文本 字符"/>
    <w:next w:val="997"/>
    <w:link w:val="996"/>
    <w:rPr>
      <w:rFonts w:ascii="宋体" w:hAnsi="Courier New" w:cs="Courier New"/>
      <w:sz w:val="21"/>
      <w:szCs w:val="21"/>
    </w:rPr>
  </w:style>
  <w:style w:type="paragraph" w:styleId="998">
    <w:name w:val="目录 8"/>
    <w:basedOn w:val="953"/>
    <w:next w:val="953"/>
    <w:link w:val="953"/>
    <w:uiPriority w:val="99"/>
    <w:semiHidden/>
    <w:pPr>
      <w:ind w:left="1470"/>
      <w:jc w:val="left"/>
    </w:pPr>
    <w:rPr>
      <w:sz w:val="18"/>
    </w:rPr>
  </w:style>
  <w:style w:type="paragraph" w:styleId="999">
    <w:name w:val="索引 3"/>
    <w:basedOn w:val="953"/>
    <w:next w:val="953"/>
    <w:link w:val="953"/>
    <w:uiPriority w:val="99"/>
    <w:semiHidden/>
    <w:pPr>
      <w:ind w:left="840"/>
    </w:pPr>
  </w:style>
  <w:style w:type="paragraph" w:styleId="1000">
    <w:name w:val="日期"/>
    <w:basedOn w:val="953"/>
    <w:next w:val="953"/>
    <w:link w:val="1001"/>
    <w:uiPriority w:val="99"/>
    <w:pPr>
      <w:ind w:left="100"/>
    </w:pPr>
    <w:rPr>
      <w:sz w:val="20"/>
    </w:rPr>
  </w:style>
  <w:style w:type="character" w:styleId="1001">
    <w:name w:val="日期 字符"/>
    <w:next w:val="1001"/>
    <w:link w:val="1000"/>
    <w:uiPriority w:val="99"/>
    <w:semiHidden/>
    <w:rPr>
      <w:rFonts w:cs="Times New Roman"/>
      <w:sz w:val="20"/>
      <w:szCs w:val="20"/>
    </w:rPr>
  </w:style>
  <w:style w:type="paragraph" w:styleId="1002">
    <w:name w:val="正文文本缩进 2"/>
    <w:basedOn w:val="953"/>
    <w:next w:val="1002"/>
    <w:link w:val="1003"/>
    <w:uiPriority w:val="99"/>
    <w:pPr>
      <w:ind w:left="630" w:firstLine="645"/>
    </w:pPr>
    <w:rPr>
      <w:sz w:val="20"/>
    </w:rPr>
  </w:style>
  <w:style w:type="character" w:styleId="1003">
    <w:name w:val="正文文本缩进 2 字符"/>
    <w:next w:val="1003"/>
    <w:link w:val="1002"/>
    <w:uiPriority w:val="99"/>
    <w:semiHidden/>
    <w:rPr>
      <w:rFonts w:cs="Times New Roman"/>
      <w:sz w:val="20"/>
      <w:szCs w:val="20"/>
    </w:rPr>
  </w:style>
  <w:style w:type="paragraph" w:styleId="1004">
    <w:name w:val="批注框文本"/>
    <w:basedOn w:val="953"/>
    <w:next w:val="1004"/>
    <w:link w:val="1005"/>
    <w:uiPriority w:val="99"/>
    <w:semiHidden/>
    <w:rPr>
      <w:sz w:val="18"/>
      <w:szCs w:val="18"/>
    </w:rPr>
  </w:style>
  <w:style w:type="character" w:styleId="1005">
    <w:name w:val="批注框文本 字符"/>
    <w:next w:val="1005"/>
    <w:link w:val="1004"/>
    <w:uiPriority w:val="99"/>
    <w:semiHidden/>
    <w:rPr>
      <w:sz w:val="18"/>
      <w:szCs w:val="18"/>
    </w:rPr>
  </w:style>
  <w:style w:type="paragraph" w:styleId="1006">
    <w:name w:val="页脚"/>
    <w:basedOn w:val="953"/>
    <w:next w:val="1006"/>
    <w:link w:val="1007"/>
    <w:uiPriority w:val="99"/>
    <w:pPr>
      <w:jc w:val="left"/>
      <w:tabs>
        <w:tab w:val="center" w:pos="4153" w:leader="none"/>
        <w:tab w:val="right" w:pos="8306" w:leader="none"/>
      </w:tabs>
    </w:pPr>
    <w:rPr>
      <w:sz w:val="18"/>
    </w:rPr>
  </w:style>
  <w:style w:type="character" w:styleId="1007">
    <w:name w:val="页脚 字符"/>
    <w:next w:val="1007"/>
    <w:link w:val="1006"/>
    <w:uiPriority w:val="99"/>
    <w:rPr>
      <w:rFonts w:eastAsia="宋体" w:cs="Times New Roman"/>
      <w:sz w:val="18"/>
      <w:lang w:val="en-US" w:eastAsia="zh-CN" w:bidi="ar-SA"/>
    </w:rPr>
  </w:style>
  <w:style w:type="paragraph" w:styleId="1008">
    <w:name w:val="页眉"/>
    <w:basedOn w:val="953"/>
    <w:next w:val="1008"/>
    <w:link w:val="1009"/>
    <w:uiPriority w:val="99"/>
    <w:pPr>
      <w:jc w:val="center"/>
      <w:tabs>
        <w:tab w:val="center" w:pos="4153" w:leader="none"/>
        <w:tab w:val="right" w:pos="8306" w:leader="none"/>
      </w:tabs>
      <w:pBdr>
        <w:bottom w:val="single" w:color="000000" w:sz="6" w:space="1"/>
      </w:pBdr>
    </w:pPr>
    <w:rPr>
      <w:sz w:val="18"/>
    </w:rPr>
  </w:style>
  <w:style w:type="character" w:styleId="1009">
    <w:name w:val="页眉 字符"/>
    <w:next w:val="1009"/>
    <w:link w:val="1008"/>
    <w:uiPriority w:val="99"/>
    <w:semiHidden/>
    <w:rPr>
      <w:rFonts w:eastAsia="宋体" w:cs="Times New Roman"/>
      <w:sz w:val="18"/>
      <w:lang w:val="en-US" w:eastAsia="zh-CN" w:bidi="ar-SA"/>
    </w:rPr>
  </w:style>
  <w:style w:type="paragraph" w:styleId="1010">
    <w:name w:val="目录 1"/>
    <w:basedOn w:val="953"/>
    <w:next w:val="953"/>
    <w:link w:val="953"/>
    <w:uiPriority w:val="39"/>
    <w:pPr>
      <w:jc w:val="left"/>
      <w:spacing w:before="120" w:after="120"/>
    </w:pPr>
    <w:rPr>
      <w:b/>
      <w:caps/>
      <w:sz w:val="20"/>
    </w:rPr>
  </w:style>
  <w:style w:type="paragraph" w:styleId="1011">
    <w:name w:val="目录 4"/>
    <w:basedOn w:val="953"/>
    <w:next w:val="953"/>
    <w:link w:val="953"/>
    <w:uiPriority w:val="99"/>
    <w:semiHidden/>
    <w:pPr>
      <w:ind w:left="630"/>
      <w:jc w:val="left"/>
    </w:pPr>
    <w:rPr>
      <w:sz w:val="18"/>
    </w:rPr>
  </w:style>
  <w:style w:type="paragraph" w:styleId="1012">
    <w:name w:val="索引标题"/>
    <w:basedOn w:val="953"/>
    <w:next w:val="1013"/>
    <w:link w:val="953"/>
    <w:uiPriority w:val="99"/>
    <w:semiHidden/>
  </w:style>
  <w:style w:type="paragraph" w:styleId="1013">
    <w:name w:val="索引 1"/>
    <w:basedOn w:val="953"/>
    <w:next w:val="953"/>
    <w:link w:val="953"/>
    <w:uiPriority w:val="99"/>
    <w:semiHidden/>
    <w:pPr>
      <w:jc w:val="center"/>
    </w:pPr>
    <w:rPr>
      <w:rFonts w:ascii="仿宋_GB2312" w:hAnsi="宋体" w:eastAsia="仿宋_GB2312"/>
      <w:sz w:val="30"/>
      <w:szCs w:val="24"/>
    </w:rPr>
  </w:style>
  <w:style w:type="paragraph" w:styleId="1014">
    <w:name w:val="目录 6"/>
    <w:basedOn w:val="953"/>
    <w:next w:val="953"/>
    <w:link w:val="953"/>
    <w:uiPriority w:val="99"/>
    <w:semiHidden/>
    <w:pPr>
      <w:ind w:left="1050"/>
      <w:jc w:val="left"/>
    </w:pPr>
    <w:rPr>
      <w:sz w:val="18"/>
    </w:rPr>
  </w:style>
  <w:style w:type="paragraph" w:styleId="1015">
    <w:name w:val="正文文本缩进 3"/>
    <w:basedOn w:val="953"/>
    <w:next w:val="1015"/>
    <w:link w:val="1016"/>
    <w:uiPriority w:val="99"/>
    <w:pPr>
      <w:ind w:left="645" w:firstLine="645"/>
    </w:pPr>
    <w:rPr>
      <w:sz w:val="16"/>
      <w:szCs w:val="16"/>
    </w:rPr>
  </w:style>
  <w:style w:type="character" w:styleId="1016">
    <w:name w:val="正文文本缩进 3 字符"/>
    <w:next w:val="1016"/>
    <w:link w:val="1015"/>
    <w:uiPriority w:val="99"/>
    <w:semiHidden/>
    <w:rPr>
      <w:rFonts w:cs="Times New Roman"/>
      <w:sz w:val="16"/>
      <w:szCs w:val="16"/>
    </w:rPr>
  </w:style>
  <w:style w:type="paragraph" w:styleId="1017">
    <w:name w:val="索引 7"/>
    <w:basedOn w:val="953"/>
    <w:next w:val="953"/>
    <w:link w:val="953"/>
    <w:uiPriority w:val="99"/>
    <w:semiHidden/>
    <w:pPr>
      <w:ind w:left="2520"/>
    </w:pPr>
  </w:style>
  <w:style w:type="paragraph" w:styleId="1018">
    <w:name w:val="索引 9"/>
    <w:basedOn w:val="953"/>
    <w:next w:val="953"/>
    <w:link w:val="953"/>
    <w:uiPriority w:val="99"/>
    <w:semiHidden/>
    <w:pPr>
      <w:ind w:left="3360"/>
    </w:pPr>
  </w:style>
  <w:style w:type="paragraph" w:styleId="1019">
    <w:name w:val="图表目录"/>
    <w:basedOn w:val="953"/>
    <w:next w:val="953"/>
    <w:link w:val="953"/>
    <w:uiPriority w:val="99"/>
    <w:semiHidden/>
    <w:pPr>
      <w:ind w:left="840" w:hanging="420"/>
    </w:pPr>
  </w:style>
  <w:style w:type="paragraph" w:styleId="1020">
    <w:name w:val="目录 2"/>
    <w:basedOn w:val="953"/>
    <w:next w:val="953"/>
    <w:link w:val="953"/>
    <w:uiPriority w:val="39"/>
    <w:pPr>
      <w:ind w:left="210"/>
      <w:jc w:val="left"/>
    </w:pPr>
    <w:rPr>
      <w:smallCaps/>
      <w:sz w:val="20"/>
    </w:rPr>
  </w:style>
  <w:style w:type="paragraph" w:styleId="1021">
    <w:name w:val="目录 9"/>
    <w:basedOn w:val="953"/>
    <w:next w:val="953"/>
    <w:link w:val="953"/>
    <w:uiPriority w:val="99"/>
    <w:semiHidden/>
    <w:pPr>
      <w:ind w:left="1680"/>
      <w:jc w:val="left"/>
    </w:pPr>
    <w:rPr>
      <w:sz w:val="18"/>
    </w:rPr>
  </w:style>
  <w:style w:type="paragraph" w:styleId="1022">
    <w:name w:val="正文文本 2"/>
    <w:basedOn w:val="953"/>
    <w:next w:val="1022"/>
    <w:link w:val="1023"/>
    <w:uiPriority w:val="99"/>
    <w:pPr>
      <w:jc w:val="center"/>
      <w:widowControl/>
    </w:pPr>
    <w:rPr>
      <w:sz w:val="20"/>
    </w:rPr>
  </w:style>
  <w:style w:type="character" w:styleId="1023">
    <w:name w:val="正文文本 2 字符"/>
    <w:next w:val="1023"/>
    <w:link w:val="1022"/>
    <w:uiPriority w:val="99"/>
    <w:semiHidden/>
    <w:rPr>
      <w:rFonts w:cs="Times New Roman"/>
      <w:sz w:val="20"/>
      <w:szCs w:val="20"/>
    </w:rPr>
  </w:style>
  <w:style w:type="paragraph" w:styleId="1024">
    <w:name w:val="HTML 预设格式"/>
    <w:basedOn w:val="953"/>
    <w:next w:val="1024"/>
    <w:link w:val="1025"/>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25">
    <w:name w:val="HTML 预设格式 字符"/>
    <w:next w:val="1025"/>
    <w:link w:val="1024"/>
    <w:uiPriority w:val="99"/>
    <w:semiHidden/>
    <w:rPr>
      <w:rFonts w:ascii="Courier New" w:hAnsi="Courier New" w:cs="Courier New"/>
      <w:sz w:val="20"/>
      <w:szCs w:val="20"/>
    </w:rPr>
  </w:style>
  <w:style w:type="paragraph" w:styleId="1026">
    <w:name w:val="普通(网站)"/>
    <w:basedOn w:val="953"/>
    <w:next w:val="1026"/>
    <w:link w:val="953"/>
    <w:uiPriority w:val="99"/>
    <w:pPr>
      <w:jc w:val="left"/>
      <w:spacing w:before="100" w:beforeAutospacing="1" w:after="100" w:afterAutospacing="1"/>
      <w:widowControl/>
    </w:pPr>
    <w:rPr>
      <w:rFonts w:ascii="Arial" w:hAnsi="Arial" w:cs="Arial"/>
      <w:sz w:val="24"/>
      <w:szCs w:val="24"/>
    </w:rPr>
  </w:style>
  <w:style w:type="paragraph" w:styleId="1027">
    <w:name w:val="索引 2"/>
    <w:basedOn w:val="953"/>
    <w:next w:val="953"/>
    <w:link w:val="953"/>
    <w:uiPriority w:val="99"/>
    <w:semiHidden/>
    <w:pPr>
      <w:ind w:left="420"/>
    </w:pPr>
  </w:style>
  <w:style w:type="paragraph" w:styleId="1028">
    <w:name w:val="标题"/>
    <w:basedOn w:val="953"/>
    <w:next w:val="953"/>
    <w:link w:val="1029"/>
    <w:uiPriority w:val="10"/>
    <w:qFormat/>
    <w:pPr>
      <w:jc w:val="center"/>
      <w:spacing w:before="240" w:after="60"/>
      <w:outlineLvl w:val="0"/>
    </w:pPr>
    <w:rPr>
      <w:rFonts w:ascii="Cambria" w:hAnsi="Cambria"/>
      <w:b/>
      <w:bCs/>
      <w:sz w:val="32"/>
      <w:szCs w:val="32"/>
    </w:rPr>
  </w:style>
  <w:style w:type="character" w:styleId="1029">
    <w:name w:val="标题 字符"/>
    <w:next w:val="1029"/>
    <w:link w:val="1028"/>
    <w:uiPriority w:val="10"/>
    <w:rPr>
      <w:rFonts w:ascii="Cambria" w:hAnsi="Cambria" w:cs="Times New Roman"/>
      <w:b/>
      <w:bCs/>
      <w:sz w:val="32"/>
      <w:szCs w:val="32"/>
    </w:rPr>
  </w:style>
  <w:style w:type="paragraph" w:styleId="1030">
    <w:name w:val="批注主题"/>
    <w:basedOn w:val="985"/>
    <w:next w:val="985"/>
    <w:link w:val="1031"/>
    <w:uiPriority w:val="99"/>
    <w:semiHidden/>
    <w:rPr>
      <w:b/>
      <w:bCs/>
    </w:rPr>
  </w:style>
  <w:style w:type="character" w:styleId="1031">
    <w:name w:val="批注主题 字符"/>
    <w:next w:val="1031"/>
    <w:link w:val="1030"/>
    <w:uiPriority w:val="99"/>
    <w:semiHidden/>
    <w:rPr>
      <w:rFonts w:cs="Times New Roman"/>
      <w:b/>
      <w:bCs/>
      <w:sz w:val="20"/>
      <w:szCs w:val="20"/>
    </w:rPr>
  </w:style>
  <w:style w:type="paragraph" w:styleId="1032">
    <w:name w:val="正文首行缩进"/>
    <w:basedOn w:val="967"/>
    <w:next w:val="1032"/>
    <w:link w:val="1033"/>
    <w:uiPriority w:val="99"/>
    <w:pPr>
      <w:ind w:firstLine="420"/>
      <w:spacing w:after="120"/>
    </w:pPr>
    <w:rPr>
      <w:rFonts w:ascii="Times New Roman" w:hAnsi="Times New Roman" w:eastAsia="宋体"/>
      <w:sz w:val="21"/>
      <w:szCs w:val="24"/>
    </w:rPr>
  </w:style>
  <w:style w:type="character" w:styleId="1033">
    <w:name w:val="正文首行缩进 字符"/>
    <w:next w:val="1033"/>
    <w:link w:val="1032"/>
    <w:uiPriority w:val="99"/>
    <w:semiHidden/>
  </w:style>
  <w:style w:type="paragraph" w:styleId="1034">
    <w:name w:val="正文首行缩进 2"/>
    <w:basedOn w:val="990"/>
    <w:next w:val="1034"/>
    <w:link w:val="953"/>
    <w:unhideWhenUsed/>
    <w:qFormat/>
    <w:pPr>
      <w:ind w:left="200" w:firstLine="420"/>
    </w:pPr>
  </w:style>
  <w:style w:type="table" w:styleId="1035">
    <w:name w:val="网格型"/>
    <w:next w:val="1035"/>
    <w:link w:val="953"/>
    <w:uiPriority w:val="59"/>
    <w:qFormat/>
    <w:rPr>
      <w:lang w:val="en-US" w:eastAsia="zh-CN" w:bidi="ar-SA"/>
    </w:rPr>
    <w:tblPr/>
  </w:style>
  <w:style w:type="character" w:styleId="1036">
    <w:name w:val="页码"/>
    <w:next w:val="1036"/>
    <w:link w:val="953"/>
    <w:rPr>
      <w:rFonts w:cs="Times New Roman"/>
    </w:rPr>
  </w:style>
  <w:style w:type="character" w:styleId="1037">
    <w:name w:val="访问过的超链接"/>
    <w:next w:val="1037"/>
    <w:link w:val="953"/>
    <w:uiPriority w:val="99"/>
    <w:rPr>
      <w:rFonts w:cs="Times New Roman"/>
      <w:color w:val="800080"/>
      <w:u w:val="single"/>
    </w:rPr>
  </w:style>
  <w:style w:type="character" w:styleId="1038">
    <w:name w:val="强调"/>
    <w:next w:val="1038"/>
    <w:link w:val="953"/>
    <w:qFormat/>
    <w:rPr>
      <w:b/>
      <w:i/>
      <w:spacing w:val="10"/>
      <w:shd w:val="clear" w:color="auto" w:fill="auto"/>
    </w:rPr>
  </w:style>
  <w:style w:type="character" w:styleId="1039">
    <w:name w:val="HTML 打字机"/>
    <w:next w:val="1039"/>
    <w:link w:val="953"/>
    <w:unhideWhenUsed/>
    <w:rPr>
      <w:rFonts w:ascii="monospace" w:hAnsi="monospace" w:eastAsia="monospace" w:cs="monospace"/>
      <w:sz w:val="20"/>
    </w:rPr>
  </w:style>
  <w:style w:type="character" w:styleId="1040">
    <w:name w:val="HTML 缩写"/>
    <w:next w:val="1040"/>
    <w:link w:val="953"/>
    <w:unhideWhenUsed/>
  </w:style>
  <w:style w:type="character" w:styleId="1041">
    <w:name w:val="超链接"/>
    <w:next w:val="1041"/>
    <w:link w:val="953"/>
    <w:uiPriority w:val="99"/>
    <w:rPr>
      <w:rFonts w:cs="Times New Roman"/>
      <w:color w:val="0000ff"/>
      <w:u w:val="single"/>
    </w:rPr>
  </w:style>
  <w:style w:type="character" w:styleId="1042">
    <w:name w:val="HTML 代码"/>
    <w:next w:val="1042"/>
    <w:link w:val="953"/>
    <w:unhideWhenUsed/>
    <w:rPr>
      <w:rFonts w:ascii="monospace" w:hAnsi="monospace" w:eastAsia="monospace" w:cs="monospace"/>
      <w:sz w:val="20"/>
    </w:rPr>
  </w:style>
  <w:style w:type="character" w:styleId="1043">
    <w:name w:val="批注引用"/>
    <w:next w:val="1043"/>
    <w:link w:val="953"/>
    <w:rPr>
      <w:rFonts w:cs="Times New Roman"/>
      <w:sz w:val="21"/>
    </w:rPr>
  </w:style>
  <w:style w:type="character" w:styleId="1044">
    <w:name w:val="HTML 键盘"/>
    <w:next w:val="1044"/>
    <w:link w:val="953"/>
    <w:unhideWhenUsed/>
    <w:rPr>
      <w:rFonts w:ascii="monospace" w:hAnsi="monospace" w:eastAsia="monospace" w:cs="monospace"/>
      <w:sz w:val="20"/>
      <w:shd w:val="clear" w:color="auto" w:fill="fcf8f5"/>
    </w:rPr>
  </w:style>
  <w:style w:type="character" w:styleId="1045">
    <w:name w:val="HTML 样本"/>
    <w:next w:val="1045"/>
    <w:link w:val="953"/>
    <w:unhideWhenUsed/>
    <w:rPr>
      <w:rFonts w:ascii="monospace" w:hAnsi="monospace" w:eastAsia="monospace" w:cs="monospace"/>
    </w:rPr>
  </w:style>
  <w:style w:type="character" w:styleId="1046">
    <w:name w:val="标题 3 Char,h3 Char,3rd level Char,3 Char,标题4 Char,Heading 3 - old Char"/>
    <w:next w:val="1046"/>
    <w:link w:val="953"/>
    <w:uiPriority w:val="99"/>
    <w:rPr>
      <w:rFonts w:ascii="宋体" w:hAnsi="宋体" w:eastAsia="宋体" w:cs="Times New Roman"/>
      <w:b/>
      <w:bCs/>
      <w:sz w:val="32"/>
      <w:szCs w:val="32"/>
      <w:lang w:val="en-US" w:eastAsia="zh-CN" w:bidi="ar-SA"/>
    </w:rPr>
  </w:style>
  <w:style w:type="character" w:styleId="1047">
    <w:name w:val="para_small"/>
    <w:next w:val="1047"/>
    <w:link w:val="953"/>
    <w:uiPriority w:val="99"/>
    <w:rPr>
      <w:rFonts w:cs="Times New Roman"/>
    </w:rPr>
  </w:style>
  <w:style w:type="character" w:styleId="1048">
    <w:name w:val="point_normal1"/>
    <w:next w:val="1048"/>
    <w:link w:val="953"/>
    <w:uiPriority w:val="99"/>
    <w:rPr>
      <w:rFonts w:ascii="Arial" w:hAnsi="Arial" w:cs="Arial"/>
      <w:sz w:val="18"/>
      <w:szCs w:val="18"/>
    </w:rPr>
  </w:style>
  <w:style w:type="character" w:styleId="1049">
    <w:name w:val="正文2 Char"/>
    <w:next w:val="1049"/>
    <w:link w:val="1050"/>
    <w:rPr>
      <w:sz w:val="24"/>
    </w:rPr>
  </w:style>
  <w:style w:type="paragraph" w:styleId="1050">
    <w:name w:val="正文2"/>
    <w:basedOn w:val="953"/>
    <w:next w:val="1050"/>
    <w:link w:val="1049"/>
    <w:pPr>
      <w:ind w:firstLine="510"/>
      <w:spacing w:before="156" w:line="360" w:lineRule="auto"/>
    </w:pPr>
    <w:rPr>
      <w:sz w:val="24"/>
    </w:rPr>
  </w:style>
  <w:style w:type="character" w:styleId="1051">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1051"/>
    <w:link w:val="953"/>
    <w:rPr>
      <w:rFonts w:ascii="宋体" w:hAnsi="Courier New" w:eastAsia="宋体"/>
      <w:sz w:val="21"/>
      <w:lang w:val="en-US" w:eastAsia="zh-CN" w:bidi="ar-SA"/>
    </w:rPr>
  </w:style>
  <w:style w:type="character" w:styleId="1052">
    <w:name w:val="二级目录 Char"/>
    <w:next w:val="1052"/>
    <w:link w:val="1053"/>
    <w:uiPriority w:val="99"/>
    <w:rPr>
      <w:b/>
      <w:sz w:val="30"/>
      <w:szCs w:val="28"/>
      <w:lang w:val="en-US" w:eastAsia="zh-CN" w:bidi="ar-SA"/>
    </w:rPr>
  </w:style>
  <w:style w:type="paragraph" w:styleId="1053">
    <w:name w:val="二级目录"/>
    <w:next w:val="953"/>
    <w:link w:val="1052"/>
    <w:uiPriority w:val="99"/>
    <w:pPr>
      <w:numPr>
        <w:ilvl w:val="0"/>
        <w:numId w:val="2"/>
      </w:numPr>
      <w:tabs>
        <w:tab w:val="clear" w:pos="567" w:leader="none"/>
        <w:tab w:val="left" w:pos="720" w:leader="none"/>
      </w:tabs>
      <w:outlineLvl w:val="1"/>
    </w:pPr>
    <w:rPr>
      <w:b/>
      <w:sz w:val="30"/>
      <w:szCs w:val="28"/>
      <w:lang w:val="en-US" w:eastAsia="zh-CN" w:bidi="ar-SA"/>
    </w:rPr>
  </w:style>
  <w:style w:type="paragraph" w:styleId="1054">
    <w:name w:val="列表段落1"/>
    <w:basedOn w:val="953"/>
    <w:next w:val="1054"/>
    <w:link w:val="953"/>
    <w:uiPriority w:val="99"/>
    <w:qFormat/>
    <w:pPr>
      <w:ind w:firstLine="420"/>
    </w:pPr>
    <w:rPr>
      <w:rFonts w:ascii="Times New Roman" w:hAnsi="Times New Roman" w:eastAsia="宋体" w:cs="Times New Roman"/>
      <w:szCs w:val="20"/>
    </w:rPr>
  </w:style>
  <w:style w:type="paragraph" w:styleId="1055">
    <w:name w:val="font6"/>
    <w:basedOn w:val="953"/>
    <w:next w:val="1055"/>
    <w:link w:val="953"/>
    <w:pPr>
      <w:jc w:val="left"/>
      <w:spacing w:before="100" w:beforeAutospacing="1" w:after="100" w:afterAutospacing="1"/>
      <w:widowControl/>
    </w:pPr>
    <w:rPr>
      <w:rFonts w:ascii="宋体" w:hAnsi="宋体" w:cs="宋体"/>
      <w:color w:val="000000"/>
      <w:sz w:val="20"/>
    </w:rPr>
  </w:style>
  <w:style w:type="paragraph" w:styleId="1056">
    <w:name w:val="Char"/>
    <w:basedOn w:val="953"/>
    <w:next w:val="1056"/>
    <w:link w:val="953"/>
    <w:rPr>
      <w:rFonts w:ascii="Tahoma" w:hAnsi="Tahoma" w:cs="仿宋_GB2312"/>
      <w:sz w:val="24"/>
      <w:szCs w:val="28"/>
    </w:rPr>
  </w:style>
  <w:style w:type="paragraph" w:styleId="1057">
    <w:name w:val="xl113"/>
    <w:basedOn w:val="953"/>
    <w:next w:val="1057"/>
    <w:link w:val="95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58">
    <w:name w:val="tableau"/>
    <w:basedOn w:val="953"/>
    <w:next w:val="1058"/>
    <w:link w:val="953"/>
    <w:uiPriority w:val="99"/>
    <w:pPr>
      <w:jc w:val="center"/>
      <w:spacing w:before="20" w:after="20"/>
      <w:widowControl/>
    </w:pPr>
    <w:rPr>
      <w:rFonts w:ascii="Arial" w:hAnsi="Arial"/>
      <w:sz w:val="16"/>
      <w:lang w:eastAsia="en-US"/>
    </w:rPr>
  </w:style>
  <w:style w:type="paragraph" w:styleId="1059">
    <w:name w:val="Char Char2 Char Char"/>
    <w:basedOn w:val="983"/>
    <w:next w:val="1059"/>
    <w:link w:val="953"/>
    <w:uiPriority w:val="99"/>
    <w:pPr>
      <w:spacing w:line="436" w:lineRule="exact"/>
    </w:pPr>
    <w:rPr>
      <w:rFonts w:ascii="Tahoma" w:hAnsi="Tahoma"/>
      <w:sz w:val="24"/>
    </w:rPr>
  </w:style>
  <w:style w:type="paragraph" w:styleId="1060">
    <w:name w:val="默认段落字体 Para Char"/>
    <w:basedOn w:val="953"/>
    <w:next w:val="1060"/>
    <w:link w:val="953"/>
    <w:uiPriority w:val="99"/>
    <w:rPr>
      <w:sz w:val="24"/>
      <w:szCs w:val="24"/>
    </w:rPr>
  </w:style>
  <w:style w:type="paragraph" w:styleId="1061">
    <w:name w:val="丁华正文"/>
    <w:basedOn w:val="1015"/>
    <w:next w:val="1061"/>
    <w:link w:val="953"/>
    <w:uiPriority w:val="99"/>
    <w:pPr>
      <w:ind w:left="0" w:firstLine="510"/>
      <w:spacing w:line="360" w:lineRule="auto"/>
    </w:pPr>
    <w:rPr>
      <w:rFonts w:ascii="Times New Roman" w:hAnsi="Times New Roman" w:eastAsia="宋体"/>
      <w:color w:val="000000"/>
      <w:sz w:val="24"/>
      <w:szCs w:val="16"/>
    </w:rPr>
  </w:style>
  <w:style w:type="paragraph" w:styleId="1062">
    <w:name w:val="xl117"/>
    <w:basedOn w:val="953"/>
    <w:next w:val="1062"/>
    <w:link w:val="953"/>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63">
    <w:name w:val="xl109"/>
    <w:basedOn w:val="953"/>
    <w:next w:val="1063"/>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64">
    <w:name w:val="msolistparagraph"/>
    <w:basedOn w:val="953"/>
    <w:next w:val="1064"/>
    <w:link w:val="953"/>
    <w:uiPriority w:val="99"/>
    <w:pPr>
      <w:ind w:firstLine="420"/>
    </w:pPr>
    <w:rPr>
      <w:rFonts w:ascii="Calibri" w:hAnsi="Calibri"/>
      <w:szCs w:val="22"/>
    </w:rPr>
  </w:style>
  <w:style w:type="paragraph" w:styleId="1065">
    <w:name w:val="retrait3"/>
    <w:basedOn w:val="953"/>
    <w:next w:val="1065"/>
    <w:link w:val="953"/>
    <w:uiPriority w:val="99"/>
    <w:pPr>
      <w:ind w:left="851"/>
      <w:jc w:val="left"/>
      <w:spacing w:before="20" w:after="20"/>
      <w:widowControl/>
    </w:pPr>
    <w:rPr>
      <w:rFonts w:ascii="Arial" w:hAnsi="Arial"/>
      <w:sz w:val="24"/>
    </w:rPr>
  </w:style>
  <w:style w:type="paragraph" w:styleId="1066">
    <w:name w:val="xl107"/>
    <w:basedOn w:val="953"/>
    <w:next w:val="1066"/>
    <w:link w:val="953"/>
    <w:pPr>
      <w:jc w:val="left"/>
      <w:spacing w:before="100" w:beforeAutospacing="1" w:after="100" w:afterAutospacing="1"/>
      <w:widowControl/>
    </w:pPr>
    <w:rPr>
      <w:rFonts w:ascii="Arial" w:hAnsi="Arial" w:cs="Arial"/>
      <w:sz w:val="20"/>
    </w:rPr>
  </w:style>
  <w:style w:type="paragraph" w:styleId="1067">
    <w:name w:val="Char Char Char Char"/>
    <w:basedOn w:val="983"/>
    <w:next w:val="1067"/>
    <w:link w:val="953"/>
    <w:uiPriority w:val="99"/>
    <w:pPr>
      <w:spacing w:line="360" w:lineRule="auto"/>
    </w:pPr>
    <w:rPr>
      <w:rFonts w:ascii="Tahoma" w:hAnsi="Tahoma"/>
      <w:sz w:val="24"/>
      <w:szCs w:val="24"/>
    </w:rPr>
  </w:style>
  <w:style w:type="paragraph" w:styleId="1068">
    <w:name w:val="表格1"/>
    <w:basedOn w:val="953"/>
    <w:next w:val="1068"/>
    <w:link w:val="953"/>
    <w:uiPriority w:val="99"/>
    <w:rPr>
      <w:rFonts w:ascii="宋体"/>
      <w:szCs w:val="21"/>
    </w:rPr>
  </w:style>
  <w:style w:type="paragraph" w:styleId="1069">
    <w:name w:val="丁华标题2"/>
    <w:basedOn w:val="955"/>
    <w:next w:val="1061"/>
    <w:link w:val="953"/>
    <w:uiPriority w:val="99"/>
    <w:pPr>
      <w:numPr>
        <w:ilvl w:val="1"/>
        <w:numId w:val="2"/>
      </w:numPr>
      <w:spacing w:line="415" w:lineRule="auto"/>
      <w:tabs>
        <w:tab w:val="left" w:pos="567" w:leader="none"/>
      </w:tabs>
    </w:pPr>
    <w:rPr>
      <w:rFonts w:ascii="Arial" w:hAnsi="Arial" w:eastAsia="黑体"/>
      <w:b w:val="0"/>
      <w:sz w:val="28"/>
      <w:szCs w:val="20"/>
    </w:rPr>
  </w:style>
  <w:style w:type="paragraph" w:styleId="1070">
    <w:name w:val="段落"/>
    <w:basedOn w:val="953"/>
    <w:next w:val="1070"/>
    <w:link w:val="953"/>
    <w:uiPriority w:val="99"/>
    <w:pPr>
      <w:ind w:firstLine="480"/>
      <w:spacing w:line="460" w:lineRule="exact"/>
    </w:pPr>
    <w:rPr>
      <w:sz w:val="24"/>
    </w:rPr>
  </w:style>
  <w:style w:type="paragraph" w:styleId="1071">
    <w:name w:val="xl111"/>
    <w:basedOn w:val="953"/>
    <w:next w:val="1071"/>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72">
    <w:name w:val="font7"/>
    <w:basedOn w:val="953"/>
    <w:next w:val="1072"/>
    <w:link w:val="953"/>
    <w:pPr>
      <w:jc w:val="left"/>
      <w:spacing w:before="100" w:beforeAutospacing="1" w:after="100" w:afterAutospacing="1"/>
      <w:widowControl/>
    </w:pPr>
    <w:rPr>
      <w:rFonts w:ascii="Arial" w:hAnsi="Arial" w:cs="Arial"/>
      <w:color w:val="000000"/>
      <w:sz w:val="20"/>
    </w:rPr>
  </w:style>
  <w:style w:type="paragraph" w:styleId="1073">
    <w:name w:val="Char Char Char"/>
    <w:basedOn w:val="983"/>
    <w:next w:val="1073"/>
    <w:link w:val="953"/>
    <w:uiPriority w:val="99"/>
    <w:pPr>
      <w:spacing w:line="436" w:lineRule="exact"/>
    </w:pPr>
    <w:rPr>
      <w:szCs w:val="24"/>
    </w:rPr>
  </w:style>
  <w:style w:type="paragraph" w:styleId="1074">
    <w:name w:val="Char1"/>
    <w:basedOn w:val="953"/>
    <w:next w:val="1074"/>
    <w:link w:val="953"/>
    <w:uiPriority w:val="99"/>
    <w:pPr>
      <w:jc w:val="left"/>
      <w:spacing w:after="160" w:line="240" w:lineRule="exact"/>
      <w:widowControl/>
    </w:pPr>
    <w:rPr>
      <w:rFonts w:ascii="Verdana" w:hAnsi="Verdana" w:eastAsia="仿宋_GB2312"/>
      <w:sz w:val="24"/>
      <w:lang w:eastAsia="en-US"/>
    </w:rPr>
  </w:style>
  <w:style w:type="paragraph" w:styleId="1075">
    <w:name w:val="默认段落字体 Para Char Char Char Char Char Char Char"/>
    <w:basedOn w:val="953"/>
    <w:next w:val="1075"/>
    <w:link w:val="953"/>
    <w:uiPriority w:val="99"/>
  </w:style>
  <w:style w:type="paragraph" w:styleId="1076">
    <w:name w:val="列出段落"/>
    <w:basedOn w:val="953"/>
    <w:next w:val="1076"/>
    <w:link w:val="953"/>
    <w:uiPriority w:val="99"/>
    <w:qFormat/>
    <w:pPr>
      <w:ind w:firstLine="420"/>
    </w:pPr>
    <w:rPr>
      <w:rFonts w:ascii="Calibri" w:hAnsi="Calibri"/>
      <w:szCs w:val="22"/>
    </w:rPr>
  </w:style>
  <w:style w:type="paragraph" w:styleId="1077">
    <w:name w:val="xl112"/>
    <w:basedOn w:val="953"/>
    <w:next w:val="1077"/>
    <w:link w:val="95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78">
    <w:name w:val="xl25"/>
    <w:basedOn w:val="953"/>
    <w:next w:val="1078"/>
    <w:link w:val="953"/>
    <w:uiPriority w:val="99"/>
    <w:pPr>
      <w:jc w:val="center"/>
      <w:spacing w:before="100" w:beforeAutospacing="1" w:after="100" w:afterAutospacing="1"/>
      <w:widowControl/>
      <w:pBdr>
        <w:right w:val="single" w:color="000000" w:sz="4" w:space="0"/>
      </w:pBdr>
    </w:pPr>
    <w:rPr>
      <w:szCs w:val="21"/>
    </w:rPr>
  </w:style>
  <w:style w:type="paragraph" w:styleId="1079">
    <w:name w:val="无间隔"/>
    <w:next w:val="1079"/>
    <w:link w:val="953"/>
    <w:uiPriority w:val="1"/>
    <w:qFormat/>
    <w:pPr>
      <w:jc w:val="both"/>
      <w:widowControl w:val="off"/>
    </w:pPr>
    <w:rPr>
      <w:sz w:val="21"/>
      <w:lang w:val="en-US" w:eastAsia="zh-CN" w:bidi="ar-SA"/>
    </w:rPr>
  </w:style>
  <w:style w:type="paragraph" w:styleId="1080">
    <w:name w:val="xl108"/>
    <w:basedOn w:val="953"/>
    <w:next w:val="1080"/>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81">
    <w:name w:val="列出段落1"/>
    <w:basedOn w:val="953"/>
    <w:next w:val="1081"/>
    <w:link w:val="953"/>
    <w:uiPriority w:val="99"/>
    <w:pPr>
      <w:contextualSpacing/>
      <w:ind w:left="720"/>
      <w:jc w:val="left"/>
      <w:widowControl/>
    </w:pPr>
    <w:rPr>
      <w:rFonts w:ascii="Arial" w:hAnsi="Arial" w:eastAsia="黑体"/>
      <w:sz w:val="24"/>
      <w:szCs w:val="24"/>
      <w:lang w:eastAsia="en-US"/>
    </w:rPr>
  </w:style>
  <w:style w:type="paragraph" w:styleId="1082">
    <w:name w:val="p0"/>
    <w:basedOn w:val="953"/>
    <w:next w:val="1082"/>
    <w:link w:val="953"/>
    <w:uiPriority w:val="99"/>
    <w:pPr>
      <w:widowControl/>
    </w:pPr>
    <w:rPr>
      <w:szCs w:val="21"/>
    </w:rPr>
  </w:style>
  <w:style w:type="paragraph" w:styleId="1083">
    <w:name w:val="xl115"/>
    <w:basedOn w:val="953"/>
    <w:next w:val="1083"/>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84">
    <w:name w:val="xl116"/>
    <w:basedOn w:val="953"/>
    <w:next w:val="1084"/>
    <w:link w:val="953"/>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85">
    <w:name w:val="模板正文"/>
    <w:basedOn w:val="953"/>
    <w:next w:val="1085"/>
    <w:link w:val="953"/>
    <w:qFormat/>
    <w:pPr>
      <w:ind w:firstLine="200"/>
      <w:spacing w:before="120" w:line="360" w:lineRule="auto"/>
    </w:pPr>
    <w:rPr>
      <w:rFonts w:eastAsia="仿宋_GB2312"/>
      <w:sz w:val="24"/>
      <w:szCs w:val="21"/>
    </w:rPr>
  </w:style>
  <w:style w:type="paragraph" w:styleId="1086">
    <w:name w:val="Item Step in Table"/>
    <w:next w:val="1086"/>
    <w:link w:val="953"/>
    <w:uiPriority w:val="99"/>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087">
    <w:name w:val="丁华标题3"/>
    <w:basedOn w:val="1069"/>
    <w:next w:val="1061"/>
    <w:link w:val="953"/>
    <w:uiPriority w:val="99"/>
    <w:pPr>
      <w:numPr>
        <w:ilvl w:val="1"/>
        <w:numId w:val="0"/>
      </w:numPr>
      <w:ind w:left="1980" w:hanging="420"/>
      <w:spacing w:after="0"/>
      <w:tabs>
        <w:tab w:val="left" w:pos="1470" w:leader="none"/>
        <w:tab w:val="left" w:pos="1980" w:leader="none"/>
      </w:tabs>
      <w:outlineLvl w:val="2"/>
    </w:pPr>
    <w:rPr>
      <w:sz w:val="24"/>
    </w:rPr>
  </w:style>
  <w:style w:type="paragraph" w:styleId="1088">
    <w:name w:val="丁华标题1"/>
    <w:basedOn w:val="954"/>
    <w:next w:val="1061"/>
    <w:link w:val="953"/>
    <w:uiPriority w:val="99"/>
    <w:pPr>
      <w:numPr>
        <w:ilvl w:val="0"/>
        <w:numId w:val="2"/>
      </w:numPr>
      <w:ind w:firstLine="0"/>
      <w:jc w:val="left"/>
      <w:keepLines/>
      <w:spacing w:before="0" w:line="578" w:lineRule="auto"/>
      <w:tabs>
        <w:tab w:val="clear" w:pos="567" w:leader="none"/>
      </w:tabs>
    </w:pPr>
    <w:rPr>
      <w:rFonts w:ascii="Times New Roman"/>
      <w:b w:val="0"/>
      <w:sz w:val="32"/>
      <w:szCs w:val="20"/>
    </w:rPr>
  </w:style>
  <w:style w:type="paragraph" w:styleId="1089">
    <w:name w:val="Char Char Char Char Char Char Char Char Char Char Char1 Char Char Char1"/>
    <w:basedOn w:val="953"/>
    <w:next w:val="1089"/>
    <w:link w:val="953"/>
    <w:uiPriority w:val="99"/>
    <w:semiHidden/>
    <w:pPr>
      <w:ind w:firstLine="200"/>
      <w:jc w:val="left"/>
    </w:pPr>
    <w:rPr>
      <w:rFonts w:ascii="Tahoma" w:hAnsi="Tahoma"/>
      <w:sz w:val="24"/>
      <w:szCs w:val="24"/>
    </w:rPr>
  </w:style>
  <w:style w:type="paragraph" w:styleId="1090">
    <w:name w:val="xl114"/>
    <w:basedOn w:val="953"/>
    <w:next w:val="1090"/>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91">
    <w:name w:val="论文正文"/>
    <w:basedOn w:val="1002"/>
    <w:next w:val="1091"/>
    <w:link w:val="953"/>
    <w:uiPriority w:val="99"/>
    <w:pPr>
      <w:ind w:left="0" w:firstLine="200"/>
      <w:jc w:val="left"/>
      <w:spacing w:line="360" w:lineRule="auto"/>
    </w:pPr>
    <w:rPr>
      <w:rFonts w:ascii="Times New Roman" w:hAnsi="Times New Roman"/>
      <w:sz w:val="28"/>
      <w:szCs w:val="24"/>
    </w:rPr>
  </w:style>
  <w:style w:type="paragraph" w:styleId="1092">
    <w:name w:val="Char Char Char Char Char Char Char Char Char Char Char Char Char"/>
    <w:basedOn w:val="983"/>
    <w:next w:val="1092"/>
    <w:link w:val="953"/>
    <w:uiPriority w:val="99"/>
    <w:rPr>
      <w:rFonts w:ascii="Tahoma" w:hAnsi="Tahoma"/>
      <w:sz w:val="24"/>
      <w:szCs w:val="24"/>
    </w:rPr>
  </w:style>
  <w:style w:type="paragraph" w:styleId="1093">
    <w:name w:val="样式"/>
    <w:basedOn w:val="953"/>
    <w:next w:val="967"/>
    <w:link w:val="953"/>
    <w:uiPriority w:val="99"/>
    <w:rPr>
      <w:rFonts w:ascii="楷体_GB2312" w:hAnsi="Arial" w:eastAsia="楷体_GB2312"/>
      <w:sz w:val="28"/>
    </w:rPr>
  </w:style>
  <w:style w:type="paragraph" w:styleId="1094">
    <w:name w:val="List Paragraph1"/>
    <w:basedOn w:val="953"/>
    <w:next w:val="1094"/>
    <w:link w:val="953"/>
    <w:uiPriority w:val="99"/>
    <w:pPr>
      <w:ind w:firstLine="420"/>
    </w:pPr>
    <w:rPr>
      <w:szCs w:val="24"/>
    </w:rPr>
  </w:style>
  <w:style w:type="paragraph" w:styleId="1095">
    <w:name w:val="xl110"/>
    <w:basedOn w:val="953"/>
    <w:next w:val="1095"/>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96">
    <w:name w:val="Bullets L1"/>
    <w:basedOn w:val="953"/>
    <w:next w:val="1096"/>
    <w:link w:val="953"/>
    <w:uiPriority w:val="99"/>
    <w:pPr>
      <w:numPr>
        <w:ilvl w:val="0"/>
        <w:numId w:val="4"/>
      </w:numPr>
      <w:jc w:val="left"/>
      <w:spacing w:before="60" w:after="60"/>
      <w:widowControl/>
      <w:tabs>
        <w:tab w:val="left" w:pos="360" w:leader="none"/>
      </w:tabs>
    </w:pPr>
    <w:rPr>
      <w:rFonts w:ascii="Arial" w:hAnsi="Arial"/>
      <w:sz w:val="20"/>
    </w:rPr>
  </w:style>
  <w:style w:type="paragraph" w:styleId="1097">
    <w:name w:val="列出段落2"/>
    <w:basedOn w:val="953"/>
    <w:next w:val="1097"/>
    <w:link w:val="953"/>
    <w:uiPriority w:val="34"/>
    <w:qFormat/>
    <w:pPr>
      <w:ind w:firstLine="420"/>
    </w:pPr>
  </w:style>
  <w:style w:type="paragraph" w:styleId="1098">
    <w:name w:val="标题6"/>
    <w:basedOn w:val="958"/>
    <w:next w:val="1098"/>
    <w:link w:val="953"/>
    <w:uiPriority w:val="99"/>
    <w:pPr>
      <w:numPr>
        <w:ilvl w:val="0"/>
        <w:numId w:val="5"/>
      </w:numPr>
      <w:keepLines/>
      <w:tabs>
        <w:tab w:val="left" w:pos="420" w:leader="none"/>
      </w:tabs>
    </w:pPr>
    <w:rPr>
      <w:rFonts w:ascii="Times New Roman"/>
      <w:b w:val="0"/>
      <w:bCs/>
      <w:color w:val="000000"/>
      <w:sz w:val="24"/>
      <w:szCs w:val="28"/>
    </w:rPr>
  </w:style>
  <w:style w:type="paragraph" w:styleId="1099">
    <w:name w:val="TOC 标题"/>
    <w:basedOn w:val="954"/>
    <w:next w:val="953"/>
    <w:link w:val="953"/>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100">
    <w:name w:val="List Paragraph"/>
    <w:basedOn w:val="953"/>
    <w:next w:val="1100"/>
    <w:link w:val="953"/>
    <w:uiPriority w:val="34"/>
    <w:qFormat/>
    <w:pPr>
      <w:ind w:firstLine="420"/>
    </w:pPr>
  </w:style>
  <w:style w:type="paragraph" w:styleId="1101">
    <w:name w:val="font5"/>
    <w:basedOn w:val="953"/>
    <w:next w:val="1101"/>
    <w:link w:val="953"/>
    <w:pPr>
      <w:jc w:val="left"/>
      <w:spacing w:before="100" w:beforeAutospacing="1" w:after="100" w:afterAutospacing="1"/>
      <w:widowControl/>
    </w:pPr>
    <w:rPr>
      <w:rFonts w:ascii="宋体" w:hAnsi="宋体" w:cs="宋体"/>
      <w:sz w:val="18"/>
      <w:szCs w:val="18"/>
    </w:rPr>
  </w:style>
  <w:style w:type="paragraph" w:styleId="1102">
    <w:name w:val="普通正文"/>
    <w:basedOn w:val="953"/>
    <w:next w:val="1102"/>
    <w:link w:val="953"/>
    <w:pPr>
      <w:ind w:firstLine="480"/>
      <w:jc w:val="left"/>
      <w:spacing w:before="120" w:after="120" w:line="360" w:lineRule="auto"/>
    </w:pPr>
    <w:rPr>
      <w:rFonts w:ascii="Arial" w:hAnsi="Arial" w:cs="Arial"/>
      <w:sz w:val="24"/>
      <w:szCs w:val="24"/>
    </w:rPr>
  </w:style>
  <w:style w:type="paragraph" w:styleId="1103">
    <w:name w:val="列出段落3"/>
    <w:basedOn w:val="953"/>
    <w:next w:val="1103"/>
    <w:link w:val="953"/>
    <w:uiPriority w:val="34"/>
    <w:qFormat/>
    <w:pPr>
      <w:ind w:firstLine="420"/>
    </w:pPr>
  </w:style>
  <w:style w:type="paragraph" w:styleId="1104">
    <w:name w:val="样式 标题 2 + Times New Roman 四号 非加粗 段前: 5 磅 段后: 0 磅 行距: 固定值 20..."/>
    <w:basedOn w:val="955"/>
    <w:next w:val="1104"/>
    <w:link w:val="953"/>
    <w:uiPriority w:val="99"/>
    <w:qFormat/>
    <w:pPr>
      <w:spacing w:before="100" w:after="0" w:line="400" w:lineRule="exact"/>
    </w:pPr>
    <w:rPr>
      <w:rFonts w:ascii="Times New Roman" w:hAnsi="Times New Roman"/>
      <w:b w:val="0"/>
      <w:bCs w:val="0"/>
      <w:sz w:val="28"/>
      <w:szCs w:val="20"/>
    </w:rPr>
  </w:style>
  <w:style w:type="paragraph" w:styleId="1105">
    <w:name w:val="Blockquote"/>
    <w:basedOn w:val="953"/>
    <w:next w:val="1105"/>
    <w:link w:val="953"/>
    <w:uiPriority w:val="99"/>
    <w:qFormat/>
    <w:pPr>
      <w:ind w:left="360" w:right="360"/>
      <w:jc w:val="left"/>
      <w:spacing w:before="100" w:after="100"/>
    </w:pPr>
    <w:rPr>
      <w:sz w:val="24"/>
    </w:rPr>
  </w:style>
  <w:style w:type="paragraph" w:styleId="1106">
    <w:name w:val="段"/>
    <w:next w:val="1106"/>
    <w:link w:val="953"/>
    <w:qFormat/>
    <w:pPr>
      <w:ind w:firstLine="200"/>
      <w:jc w:val="both"/>
    </w:pPr>
    <w:rPr>
      <w:rFonts w:ascii="宋体"/>
      <w:sz w:val="21"/>
      <w:lang w:val="en-US" w:eastAsia="zh-CN" w:bidi="ar-SA"/>
    </w:rPr>
  </w:style>
  <w:style w:type="paragraph" w:styleId="1107">
    <w:name w:val="正文_5"/>
    <w:next w:val="1107"/>
    <w:link w:val="953"/>
    <w:uiPriority w:val="99"/>
    <w:qFormat/>
    <w:pPr>
      <w:jc w:val="both"/>
      <w:widowControl w:val="off"/>
    </w:pPr>
    <w:rPr>
      <w:sz w:val="21"/>
      <w:szCs w:val="24"/>
      <w:lang w:val="en-US" w:eastAsia="zh-CN" w:bidi="ar-SA"/>
    </w:rPr>
  </w:style>
  <w:style w:type="paragraph" w:styleId="1108">
    <w:name w:val="索引 41"/>
    <w:basedOn w:val="953"/>
    <w:next w:val="953"/>
    <w:link w:val="953"/>
    <w:unhideWhenUsed/>
    <w:qFormat/>
    <w:pPr>
      <w:ind w:left="600"/>
    </w:pPr>
    <w:rPr>
      <w:rFonts w:ascii="Verdana" w:hAnsi="Verdana" w:eastAsia="微软雅黑" w:cs="Times New Roman"/>
      <w:szCs w:val="20"/>
    </w:rPr>
  </w:style>
  <w:style w:type="paragraph" w:styleId="1109">
    <w:name w:val="标题一级"/>
    <w:basedOn w:val="953"/>
    <w:next w:val="1109"/>
    <w:link w:val="953"/>
    <w:qFormat/>
    <w:pPr>
      <w:ind w:left="422"/>
    </w:pPr>
    <w:rPr>
      <w:rFonts w:ascii="宋体" w:hAnsi="宋体"/>
      <w:b/>
      <w:szCs w:val="21"/>
    </w:rPr>
  </w:style>
  <w:style w:type="paragraph" w:styleId="1110">
    <w:name w:val="标题二级"/>
    <w:basedOn w:val="953"/>
    <w:next w:val="1110"/>
    <w:link w:val="953"/>
    <w:qFormat/>
    <w:rPr>
      <w:rFonts w:ascii="宋体" w:hAnsi="宋体"/>
      <w:szCs w:val="21"/>
    </w:rPr>
  </w:style>
  <w:style w:type="paragraph" w:styleId="1111">
    <w:name w:val="正文文本缩进1"/>
    <w:basedOn w:val="953"/>
    <w:next w:val="1111"/>
    <w:link w:val="953"/>
    <w:qFormat/>
    <w:pPr>
      <w:ind w:left="420"/>
      <w:spacing w:after="120"/>
    </w:pPr>
    <w:rPr>
      <w:rFonts w:ascii="Calibri" w:hAnsi="Calibri" w:eastAsia="Calibri" w:cs="宋体"/>
      <w:position w:val="0"/>
      <w:sz w:val="20"/>
      <w:szCs w:val="24"/>
      <w:lang w:val="zh-CN"/>
    </w:rPr>
  </w:style>
  <w:style w:type="table" w:styleId="1112">
    <w:name w:val="table"/>
    <w:basedOn w:val="964"/>
    <w:next w:val="1112"/>
    <w:link w:val="953"/>
    <w:qFormat/>
    <w:tblPr/>
  </w:style>
  <w:style w:type="table" w:styleId="1113">
    <w:name w:val="网格型2"/>
    <w:basedOn w:val="964"/>
    <w:next w:val="1113"/>
    <w:link w:val="953"/>
    <w:uiPriority w:val="59"/>
    <w:qFormat/>
    <w:tblPr/>
  </w:style>
  <w:style w:type="paragraph" w:styleId="1114">
    <w:name w:val="修订"/>
    <w:next w:val="1114"/>
    <w:link w:val="953"/>
    <w:hidden/>
    <w:uiPriority w:val="99"/>
    <w:unhideWhenUsed/>
    <w:rPr>
      <w:sz w:val="21"/>
      <w:lang w:val="en-US" w:eastAsia="zh-CN" w:bidi="ar-SA"/>
    </w:rPr>
  </w:style>
  <w:style w:type="character" w:styleId="1115" w:default="1">
    <w:name w:val="Default Paragraph Font"/>
    <w:uiPriority w:val="1"/>
    <w:semiHidden/>
    <w:unhideWhenUsed/>
  </w:style>
  <w:style w:type="numbering" w:styleId="1116" w:default="1">
    <w:name w:val="No List"/>
    <w:uiPriority w:val="99"/>
    <w:semiHidden/>
    <w:unhideWhenUsed/>
  </w:style>
  <w:style w:type="table" w:styleId="11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jpg"/><Relationship Id="rId19" Type="http://schemas.openxmlformats.org/officeDocument/2006/relationships/image" Target="media/image4.png"/><Relationship Id="rId20"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竞争性谈判文件</dc:title>
  <dc:creator>whh</dc:creator>
  <cp:lastModifiedBy>吴岢非</cp:lastModifiedBy>
  <cp:revision>4</cp:revision>
  <dcterms:created xsi:type="dcterms:W3CDTF">2026-11-03T04:54:00Z</dcterms:created>
  <dcterms:modified xsi:type="dcterms:W3CDTF">2026-11-03T05:58:24Z</dcterms:modified>
  <cp:version>1048576</cp:version>
</cp:coreProperties>
</file>