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highlight w:val="none"/>
        </w:rPr>
      </w:pPr>
    </w:p>
    <w:p w14:paraId="435724AD">
      <w:pPr>
        <w:pStyle w:val="86"/>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垃圾中转、运输、除臭服务项目</w:t>
      </w:r>
    </w:p>
    <w:p w14:paraId="67FDD540">
      <w:pPr>
        <w:pStyle w:val="18"/>
        <w:rPr>
          <w:highlight w:val="none"/>
        </w:rPr>
      </w:pPr>
    </w:p>
    <w:p w14:paraId="536E7B7A">
      <w:pPr>
        <w:pStyle w:val="18"/>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JSZC-320113-JCEC-G2026-0455</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8"/>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江苏省设备成套股份有限公司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2"/>
        <w:tabs>
          <w:tab w:val="right" w:leader="dot" w:pos="8296"/>
        </w:tabs>
        <w:rPr>
          <w:rFonts w:hint="eastAsia" w:ascii="宋体" w:hAnsi="宋体" w:cs="宋体"/>
          <w:sz w:val="28"/>
          <w:szCs w:val="28"/>
          <w:highlight w:val="none"/>
        </w:rPr>
      </w:pPr>
    </w:p>
    <w:p w14:paraId="54D52AB3">
      <w:pPr>
        <w:pStyle w:val="32"/>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6</w:t>
      </w:r>
      <w:r>
        <w:rPr>
          <w:highlight w:val="none"/>
        </w:rPr>
        <w:fldChar w:fldCharType="end"/>
      </w:r>
      <w:r>
        <w:rPr>
          <w:rFonts w:hint="eastAsia" w:ascii="宋体" w:hAnsi="宋体" w:cs="宋体"/>
          <w:highlight w:val="none"/>
        </w:rPr>
        <w:fldChar w:fldCharType="end"/>
      </w:r>
    </w:p>
    <w:p w14:paraId="57EBC990">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20</w:t>
      </w:r>
      <w:r>
        <w:rPr>
          <w:highlight w:val="none"/>
        </w:rPr>
        <w:fldChar w:fldCharType="end"/>
      </w:r>
      <w:r>
        <w:rPr>
          <w:rFonts w:hint="eastAsia" w:ascii="宋体" w:hAnsi="宋体" w:cs="宋体"/>
          <w:highlight w:val="none"/>
        </w:rPr>
        <w:fldChar w:fldCharType="end"/>
      </w:r>
    </w:p>
    <w:p w14:paraId="3BFF00C9">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24</w:t>
      </w:r>
      <w:r>
        <w:rPr>
          <w:highlight w:val="none"/>
        </w:rPr>
        <w:fldChar w:fldCharType="end"/>
      </w:r>
      <w:r>
        <w:rPr>
          <w:rFonts w:hint="eastAsia" w:ascii="宋体" w:hAnsi="宋体" w:cs="宋体"/>
          <w:highlight w:val="none"/>
        </w:rPr>
        <w:fldChar w:fldCharType="end"/>
      </w:r>
    </w:p>
    <w:p w14:paraId="61E0CD81">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29</w:t>
      </w:r>
      <w:r>
        <w:rPr>
          <w:highlight w:val="none"/>
        </w:rPr>
        <w:fldChar w:fldCharType="end"/>
      </w:r>
      <w:r>
        <w:rPr>
          <w:rFonts w:hint="eastAsia" w:ascii="宋体" w:hAnsi="宋体" w:cs="宋体"/>
          <w:highlight w:val="none"/>
        </w:rPr>
        <w:fldChar w:fldCharType="end"/>
      </w:r>
    </w:p>
    <w:p w14:paraId="79DE7DFB">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39</w:t>
      </w:r>
      <w:r>
        <w:rPr>
          <w:highlight w:val="none"/>
        </w:rPr>
        <w:fldChar w:fldCharType="end"/>
      </w:r>
      <w:r>
        <w:rPr>
          <w:rFonts w:hint="eastAsia" w:ascii="宋体" w:hAnsi="宋体" w:cs="宋体"/>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2"/>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2"/>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垃圾中转、运输、除臭服务项目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24</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JSZC-320113-JCEC-G2026-0455</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垃圾中转、运输、除臭服务项目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1.3预算金额：人民币802.59万元。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802.59万元/3年；267.53</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垃圾中转、运输、除臭服务项目。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三年，合同一年一签，经考核合格后可续签下一年度合同</w:t>
      </w:r>
      <w:r>
        <w:rPr>
          <w:rFonts w:hint="eastAsia" w:ascii="宋体" w:hAnsi="宋体" w:cs="宋体"/>
          <w:bCs/>
          <w:szCs w:val="21"/>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w:t>
      </w:r>
      <w:r>
        <w:rPr>
          <w:rFonts w:hint="eastAsia" w:ascii="宋体" w:hAnsi="宋体" w:cs="宋体"/>
          <w:bCs/>
          <w:szCs w:val="21"/>
          <w:highlight w:val="none"/>
          <w:lang w:val="en-US" w:eastAsia="zh-CN"/>
        </w:rPr>
        <w:t>其他未列明行业：</w:t>
      </w:r>
      <w:r>
        <w:rPr>
          <w:rFonts w:hint="eastAsia" w:ascii="宋体" w:hAnsi="宋体" w:cs="Arial"/>
          <w:spacing w:val="8"/>
          <w:kern w:val="0"/>
          <w:highlight w:val="none"/>
        </w:rPr>
        <w:t>水利、环境和公共设施管理业</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59F70CAA">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 </w:t>
      </w:r>
    </w:p>
    <w:p w14:paraId="024517BB">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3.3方式：采用网上注册登记方式 </w:t>
      </w:r>
    </w:p>
    <w:p w14:paraId="3B44E74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3.4售价</w:t>
      </w:r>
      <w:r>
        <w:rPr>
          <w:rFonts w:hint="eastAsia" w:ascii="宋体" w:hAnsi="宋体" w:cs="宋体"/>
          <w:bCs/>
          <w:szCs w:val="21"/>
          <w:highlight w:val="none"/>
          <w:lang w:eastAsia="zh-CN"/>
        </w:rPr>
        <w:t>：</w:t>
      </w:r>
      <w:r>
        <w:rPr>
          <w:rFonts w:hint="eastAsia" w:ascii="宋体" w:hAnsi="宋体" w:cs="宋体"/>
          <w:bCs/>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
          <w:bCs w:val="0"/>
          <w:szCs w:val="21"/>
          <w:highlight w:val="none"/>
        </w:rPr>
        <w:t>202</w:t>
      </w:r>
      <w:r>
        <w:rPr>
          <w:rFonts w:hint="eastAsia" w:ascii="宋体" w:hAnsi="宋体" w:cs="宋体"/>
          <w:b/>
          <w:bCs w:val="0"/>
          <w:szCs w:val="21"/>
          <w:highlight w:val="none"/>
          <w:lang w:val="en-US" w:eastAsia="zh-CN"/>
        </w:rPr>
        <w:t>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11</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24</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09</w:t>
      </w:r>
      <w:r>
        <w:rPr>
          <w:rFonts w:hint="eastAsia" w:ascii="宋体" w:hAnsi="宋体" w:cs="宋体"/>
          <w:b/>
          <w:bCs w:val="0"/>
          <w:szCs w:val="21"/>
          <w:highlight w:val="none"/>
        </w:rPr>
        <w:t>点</w:t>
      </w:r>
      <w:r>
        <w:rPr>
          <w:rFonts w:hint="eastAsia" w:ascii="宋体" w:hAnsi="宋体" w:cs="宋体"/>
          <w:b/>
          <w:bCs w:val="0"/>
          <w:szCs w:val="21"/>
          <w:highlight w:val="none"/>
          <w:lang w:val="en-US" w:eastAsia="zh-CN"/>
        </w:rPr>
        <w:t>00</w:t>
      </w:r>
      <w:r>
        <w:rPr>
          <w:rFonts w:hint="eastAsia" w:ascii="宋体" w:hAnsi="宋体" w:cs="宋体"/>
          <w:b/>
          <w:bCs w:val="0"/>
          <w:szCs w:val="21"/>
          <w:highlight w:val="none"/>
        </w:rPr>
        <w:t>分</w:t>
      </w:r>
      <w:r>
        <w:rPr>
          <w:rFonts w:hint="eastAsia" w:ascii="宋体" w:hAnsi="宋体" w:cs="宋体"/>
          <w:bCs/>
          <w:szCs w:val="21"/>
          <w:highlight w:val="none"/>
        </w:rPr>
        <w:t>（北京时间）</w:t>
      </w:r>
    </w:p>
    <w:p w14:paraId="72F30F8E">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w:t>
      </w:r>
    </w:p>
    <w:p w14:paraId="46B6A30C">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pStyle w:val="86"/>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6.1本项目在</w:t>
      </w:r>
      <w:r>
        <w:rPr>
          <w:rFonts w:hint="eastAsia" w:ascii="宋体" w:hAnsi="宋体" w:cs="宋体"/>
          <w:b/>
          <w:bCs w:val="0"/>
          <w:szCs w:val="21"/>
          <w:highlight w:val="none"/>
          <w:lang w:val="zh-CN"/>
        </w:rPr>
        <w:t>江苏政府采购网、</w:t>
      </w:r>
      <w:r>
        <w:rPr>
          <w:rFonts w:hint="eastAsia" w:ascii="宋体" w:hAnsi="宋体" w:cs="宋体"/>
          <w:b/>
          <w:bCs w:val="0"/>
          <w:szCs w:val="21"/>
          <w:highlight w:val="none"/>
        </w:rPr>
        <w:t>中国政府采购网</w:t>
      </w:r>
      <w:r>
        <w:rPr>
          <w:rFonts w:hint="eastAsia" w:ascii="宋体" w:hAnsi="宋体" w:cs="宋体"/>
          <w:bCs/>
          <w:szCs w:val="21"/>
          <w:highlight w:val="none"/>
          <w:lang w:val="zh-CN"/>
        </w:rPr>
        <w:t>网站发布公告。</w:t>
      </w:r>
    </w:p>
    <w:p w14:paraId="77202CD0">
      <w:pPr>
        <w:pStyle w:val="86"/>
        <w:spacing w:line="360" w:lineRule="auto"/>
        <w:rPr>
          <w:rFonts w:hint="eastAsia" w:ascii="宋体" w:hAnsi="宋体" w:cs="宋体"/>
          <w:bCs/>
          <w:szCs w:val="21"/>
          <w:highlight w:val="none"/>
        </w:rPr>
      </w:pPr>
      <w:r>
        <w:rPr>
          <w:rFonts w:hint="eastAsia" w:ascii="宋体" w:hAnsi="宋体" w:cs="宋体"/>
          <w:bCs/>
          <w:szCs w:val="21"/>
          <w:highlight w:val="none"/>
          <w:lang w:val="zh-CN"/>
        </w:rPr>
        <w:t>6.</w:t>
      </w:r>
      <w:r>
        <w:rPr>
          <w:rFonts w:hint="eastAsia" w:ascii="宋体" w:hAnsi="宋体" w:cs="宋体"/>
          <w:bCs/>
          <w:szCs w:val="21"/>
          <w:highlight w:val="none"/>
        </w:rPr>
        <w:t>2勘察现场：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pStyle w:val="86"/>
        <w:spacing w:line="360" w:lineRule="auto"/>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jc w:val="left"/>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6"/>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wordWrap w:val="0"/>
        <w:spacing w:after="0" w:line="360" w:lineRule="auto"/>
        <w:ind w:firstLine="365" w:firstLineChars="173"/>
        <w:jc w:val="left"/>
        <w:rPr>
          <w:rFonts w:hint="eastAsia" w:ascii="宋体" w:hAnsi="宋体" w:cs="宋体"/>
          <w:b/>
          <w:bCs/>
          <w:szCs w:val="21"/>
          <w:highlight w:val="none"/>
          <w:lang w:val="zh-CN" w:eastAsia="zh-CN"/>
        </w:rPr>
      </w:pPr>
      <w:r>
        <w:rPr>
          <w:rFonts w:hint="eastAsia" w:ascii="宋体" w:hAnsi="宋体" w:cs="宋体"/>
          <w:b/>
          <w:bCs/>
          <w:szCs w:val="21"/>
          <w:highlight w:val="none"/>
          <w:lang w:val="zh-CN" w:eastAsia="zh-CN"/>
        </w:rPr>
        <w:t>6.</w:t>
      </w:r>
      <w:r>
        <w:rPr>
          <w:rFonts w:hint="eastAsia" w:ascii="宋体" w:hAnsi="宋体" w:cs="宋体"/>
          <w:b/>
          <w:bCs/>
          <w:szCs w:val="21"/>
          <w:highlight w:val="none"/>
          <w:lang w:val="en-US" w:eastAsia="zh-CN"/>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8"/>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联系人：魏欢</w:t>
      </w:r>
    </w:p>
    <w:p w14:paraId="71A55C91">
      <w:pPr>
        <w:widowControl/>
        <w:spacing w:line="360" w:lineRule="auto"/>
        <w:ind w:firstLine="363" w:firstLineChars="173"/>
        <w:rPr>
          <w:rFonts w:hint="eastAsia"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highlight w:val="none"/>
          <w:lang w:val="en-US" w:eastAsia="zh-CN"/>
        </w:rPr>
        <w:t>025-85580253</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7F0275C9">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C5B84C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地址：江苏省南京市鼓楼区清江南路18号鼓楼创新广场D栋10楼1001室</w:t>
      </w:r>
    </w:p>
    <w:p w14:paraId="1B7282A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  褚晶晶  唐大维</w:t>
      </w:r>
    </w:p>
    <w:p w14:paraId="44872F1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电子邮箱：zuolc@jcec.cn</w:t>
      </w:r>
    </w:p>
    <w:p w14:paraId="31D45BC8">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 xml:space="preserve">联系方式：025-83314167  </w:t>
      </w:r>
    </w:p>
    <w:p w14:paraId="5AAD6277">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43F7BE50">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  褚晶晶  唐大维</w:t>
      </w:r>
    </w:p>
    <w:p w14:paraId="78826966">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电话：025-83314167</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2"/>
        <w:spacing w:line="360" w:lineRule="auto"/>
        <w:jc w:val="center"/>
        <w:rPr>
          <w:rFonts w:hint="eastAsia" w:ascii="宋体" w:hAnsi="宋体" w:cs="宋体"/>
          <w:highlight w:val="none"/>
        </w:rPr>
      </w:pPr>
      <w:bookmarkStart w:id="4" w:name="_Toc452625218"/>
      <w:bookmarkStart w:id="5" w:name="_Toc7039"/>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3.7本国产品支持政策</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本项目不适用</w:t>
      </w:r>
      <w:r>
        <w:rPr>
          <w:rFonts w:hint="eastAsia" w:ascii="宋体" w:hAnsi="宋体" w:cs="宋体"/>
          <w:kern w:val="0"/>
          <w:szCs w:val="21"/>
          <w:highlight w:val="none"/>
          <w:lang w:eastAsia="zh-CN"/>
        </w:rPr>
        <w:t>）</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w:t>
      </w:r>
      <w:r>
        <w:rPr>
          <w:rFonts w:hint="eastAsia" w:ascii="Arial" w:hAnsi="Arial" w:cs="Times New Roman"/>
          <w:szCs w:val="21"/>
          <w:highlight w:val="none"/>
          <w:lang w:val="en-US" w:eastAsia="zh-CN"/>
        </w:rPr>
        <w:t>36.65</w:t>
      </w:r>
      <w:r>
        <w:rPr>
          <w:rFonts w:hint="eastAsia" w:ascii="Arial" w:hAnsi="Arial"/>
          <w:szCs w:val="21"/>
          <w:highlight w:val="none"/>
          <w:lang w:val="en-US" w:eastAsia="zh-CN"/>
        </w:rPr>
        <w:t>%取费（不足5000按5000计算）。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2"/>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采用低价优先法计算，即满足招标文件基本要求且投标价格最低的投标报价为评标基准价为满分，即</w:t>
            </w:r>
            <w:r>
              <w:rPr>
                <w:rFonts w:hint="eastAsia" w:ascii="宋体" w:hAnsi="宋体"/>
                <w:b w:val="0"/>
                <w:bCs w:val="0"/>
                <w:color w:val="000000" w:themeColor="text1"/>
                <w:kern w:val="0"/>
                <w:highlight w:val="none"/>
                <w:lang w:val="en-US" w:eastAsia="zh-CN"/>
                <w14:textFill>
                  <w14:solidFill>
                    <w14:schemeClr w14:val="tx1"/>
                  </w14:solidFill>
                </w14:textFill>
              </w:rPr>
              <w:t>15</w:t>
            </w:r>
            <w:r>
              <w:rPr>
                <w:rFonts w:hint="eastAsia" w:ascii="宋体" w:hAnsi="宋体"/>
                <w:b w:val="0"/>
                <w:bCs w:val="0"/>
                <w:color w:val="000000" w:themeColor="text1"/>
                <w:kern w:val="0"/>
                <w:highlight w:val="none"/>
                <w14:textFill>
                  <w14:solidFill>
                    <w14:schemeClr w14:val="tx1"/>
                  </w14:solidFill>
                </w14:textFill>
              </w:rPr>
              <w:t>分。其他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的价格分按照下列公式计算（小数点保留二位）；投标报价得分=（评标基准价/投标报价）×</w:t>
            </w:r>
            <w:r>
              <w:rPr>
                <w:rFonts w:hint="eastAsia" w:ascii="宋体" w:hAnsi="宋体"/>
                <w:b w:val="0"/>
                <w:bCs w:val="0"/>
                <w:color w:val="000000" w:themeColor="text1"/>
                <w:kern w:val="0"/>
                <w:highlight w:val="none"/>
                <w:lang w:val="en-US" w:eastAsia="zh-CN"/>
                <w14:textFill>
                  <w14:solidFill>
                    <w14:schemeClr w14:val="tx1"/>
                  </w14:solidFill>
                </w14:textFill>
              </w:rPr>
              <w:t>15</w:t>
            </w:r>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2023年1月1日</w:t>
            </w:r>
            <w:r>
              <w:rPr>
                <w:rFonts w:hint="eastAsia" w:ascii="宋体" w:hAnsi="宋体" w:eastAsia="宋体" w:cs="宋体"/>
                <w:sz w:val="21"/>
                <w:szCs w:val="21"/>
                <w:highlight w:val="none"/>
              </w:rPr>
              <w:t>（含）</w:t>
            </w:r>
            <w:r>
              <w:rPr>
                <w:rFonts w:hint="eastAsia" w:ascii="宋体" w:hAnsi="宋体"/>
                <w:b w:val="0"/>
                <w:bCs w:val="0"/>
                <w:color w:val="000000" w:themeColor="text1"/>
                <w:kern w:val="0"/>
                <w:highlight w:val="none"/>
                <w14:textFill>
                  <w14:solidFill>
                    <w14:schemeClr w14:val="tx1"/>
                  </w14:solidFill>
                </w14:textFill>
              </w:rPr>
              <w:t>以来</w:t>
            </w:r>
            <w:r>
              <w:rPr>
                <w:rFonts w:hint="eastAsia" w:ascii="宋体" w:hAnsi="宋体"/>
                <w:b w:val="0"/>
                <w:bCs w:val="0"/>
                <w:color w:val="000000" w:themeColor="text1"/>
                <w:kern w:val="0"/>
                <w:highlight w:val="none"/>
                <w:lang w:val="en-US" w:eastAsia="zh-CN"/>
                <w14:textFill>
                  <w14:solidFill>
                    <w14:schemeClr w14:val="tx1"/>
                  </w14:solidFill>
                </w14:textFill>
              </w:rPr>
              <w:t>投标人承担过</w:t>
            </w:r>
            <w:r>
              <w:rPr>
                <w:rFonts w:hint="eastAsia" w:ascii="宋体" w:hAnsi="宋体" w:eastAsia="宋体" w:cs="宋体"/>
                <w:color w:val="auto"/>
                <w:spacing w:val="0"/>
                <w:sz w:val="21"/>
                <w:szCs w:val="21"/>
                <w:highlight w:val="none"/>
                <w:lang w:eastAsia="zh-CN"/>
              </w:rPr>
              <w:t>垃圾中转</w:t>
            </w:r>
            <w:r>
              <w:rPr>
                <w:rFonts w:hint="eastAsia" w:ascii="宋体" w:hAnsi="宋体" w:cs="宋体"/>
                <w:color w:val="auto"/>
                <w:spacing w:val="0"/>
                <w:sz w:val="21"/>
                <w:szCs w:val="21"/>
                <w:highlight w:val="none"/>
                <w:lang w:eastAsia="zh-CN"/>
              </w:rPr>
              <w:t>、</w:t>
            </w:r>
            <w:r>
              <w:rPr>
                <w:rFonts w:hint="eastAsia" w:ascii="宋体" w:hAnsi="宋体" w:cs="宋体"/>
                <w:color w:val="auto"/>
                <w:spacing w:val="0"/>
                <w:sz w:val="21"/>
                <w:szCs w:val="21"/>
                <w:highlight w:val="none"/>
                <w:lang w:val="en-US" w:eastAsia="zh-CN"/>
              </w:rPr>
              <w:t>运输</w:t>
            </w:r>
            <w:r>
              <w:rPr>
                <w:rFonts w:hint="eastAsia" w:ascii="宋体" w:hAnsi="宋体"/>
                <w:b w:val="0"/>
                <w:bCs w:val="0"/>
                <w:color w:val="000000" w:themeColor="text1"/>
                <w:kern w:val="0"/>
                <w:highlight w:val="none"/>
                <w14:textFill>
                  <w14:solidFill>
                    <w14:schemeClr w14:val="tx1"/>
                  </w14:solidFill>
                </w14:textFill>
              </w:rPr>
              <w:t>项目业绩的，一个得3分，最多得</w:t>
            </w:r>
            <w:r>
              <w:rPr>
                <w:rFonts w:hint="eastAsia" w:ascii="宋体" w:hAnsi="宋体"/>
                <w:b w:val="0"/>
                <w:bCs w:val="0"/>
                <w:color w:val="000000" w:themeColor="text1"/>
                <w:kern w:val="0"/>
                <w:highlight w:val="none"/>
                <w:lang w:val="en-US" w:eastAsia="zh-CN"/>
                <w14:textFill>
                  <w14:solidFill>
                    <w14:schemeClr w14:val="tx1"/>
                  </w14:solidFill>
                </w14:textFill>
              </w:rPr>
              <w:t>9</w:t>
            </w:r>
            <w:r>
              <w:rPr>
                <w:rFonts w:hint="eastAsia" w:ascii="宋体" w:hAnsi="宋体"/>
                <w:b w:val="0"/>
                <w:bCs w:val="0"/>
                <w:color w:val="000000" w:themeColor="text1"/>
                <w:kern w:val="0"/>
                <w:highlight w:val="none"/>
                <w14:textFill>
                  <w14:solidFill>
                    <w14:schemeClr w14:val="tx1"/>
                  </w14:solidFill>
                </w14:textFill>
              </w:rPr>
              <w:t>分。</w:t>
            </w:r>
          </w:p>
          <w:p w14:paraId="2672E758">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（注：提供合同扫描件加盖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公章编入投标文件中，时间以合同签订时间为准</w:t>
            </w:r>
            <w:r>
              <w:rPr>
                <w:rFonts w:hint="eastAsia" w:ascii="宋体" w:hAnsi="宋体"/>
                <w:b w:val="0"/>
                <w:bCs w:val="0"/>
                <w:color w:val="000000" w:themeColor="text1"/>
                <w:kern w:val="0"/>
                <w:highlight w:val="none"/>
                <w:lang w:eastAsia="zh-CN"/>
                <w14:textFill>
                  <w14:solidFill>
                    <w14:schemeClr w14:val="tx1"/>
                  </w14:solidFill>
                </w14:textFill>
              </w:rPr>
              <w:t>，</w:t>
            </w:r>
            <w:r>
              <w:rPr>
                <w:rFonts w:hint="eastAsia" w:ascii="宋体" w:hAnsi="宋体"/>
                <w:b w:val="0"/>
                <w:bCs w:val="0"/>
                <w:color w:val="000000" w:themeColor="text1"/>
                <w:kern w:val="0"/>
                <w:highlight w:val="none"/>
                <w:lang w:val="en-US" w:eastAsia="zh-CN"/>
                <w14:textFill>
                  <w14:solidFill>
                    <w14:schemeClr w14:val="tx1"/>
                  </w14:solidFill>
                </w14:textFill>
              </w:rPr>
              <w:t>无签订时间不得分</w:t>
            </w:r>
            <w:r>
              <w:rPr>
                <w:rFonts w:hint="eastAsia" w:ascii="宋体" w:hAnsi="宋体"/>
                <w:b w:val="0"/>
                <w:bCs w:val="0"/>
                <w:color w:val="000000" w:themeColor="text1"/>
                <w:kern w:val="0"/>
                <w:highlight w:val="none"/>
                <w14:textFill>
                  <w14:solidFill>
                    <w14:schemeClr w14:val="tx1"/>
                  </w14:solidFill>
                </w14:textFill>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车辆及设备</w:t>
            </w:r>
          </w:p>
        </w:tc>
        <w:tc>
          <w:tcPr>
            <w:tcW w:w="6602" w:type="dxa"/>
            <w:tcMar>
              <w:top w:w="0" w:type="dxa"/>
              <w:left w:w="108" w:type="dxa"/>
              <w:bottom w:w="0" w:type="dxa"/>
              <w:right w:w="108" w:type="dxa"/>
            </w:tcMar>
            <w:vAlign w:val="center"/>
          </w:tcPr>
          <w:p w14:paraId="52FAD1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
              <w:textAlignment w:val="auto"/>
              <w:rPr>
                <w:rFonts w:hint="eastAsia" w:ascii="宋体" w:hAnsi="宋体" w:eastAsia="宋体" w:cs="宋体"/>
                <w:color w:val="auto"/>
                <w:spacing w:val="0"/>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color w:val="auto"/>
                <w:spacing w:val="0"/>
                <w:sz w:val="21"/>
                <w:szCs w:val="21"/>
                <w:highlight w:val="none"/>
              </w:rPr>
              <w:t>提供</w:t>
            </w:r>
            <w:r>
              <w:rPr>
                <w:rFonts w:hint="eastAsia" w:ascii="宋体" w:hAnsi="宋体" w:eastAsia="宋体" w:cs="宋体"/>
                <w:bCs/>
                <w:color w:val="auto"/>
                <w:kern w:val="0"/>
                <w:highlight w:val="none"/>
                <w:lang w:val="en-US" w:eastAsia="zh-CN"/>
              </w:rPr>
              <w:t>勾臂</w:t>
            </w:r>
            <w:r>
              <w:rPr>
                <w:rFonts w:hint="eastAsia" w:ascii="宋体" w:hAnsi="宋体" w:eastAsia="宋体" w:cs="宋体"/>
                <w:bCs/>
                <w:color w:val="auto"/>
                <w:kern w:val="0"/>
                <w:highlight w:val="none"/>
              </w:rPr>
              <w:t>式</w:t>
            </w:r>
            <w:r>
              <w:rPr>
                <w:rFonts w:hint="eastAsia" w:ascii="宋体" w:hAnsi="宋体" w:eastAsia="宋体" w:cs="宋体"/>
                <w:bCs/>
                <w:color w:val="auto"/>
                <w:kern w:val="0"/>
                <w:highlight w:val="none"/>
                <w:lang w:val="en-US" w:eastAsia="zh-CN"/>
              </w:rPr>
              <w:t>全封闭</w:t>
            </w:r>
            <w:r>
              <w:rPr>
                <w:rFonts w:hint="eastAsia" w:ascii="宋体" w:hAnsi="宋体" w:eastAsia="宋体" w:cs="宋体"/>
                <w:bCs/>
                <w:color w:val="auto"/>
                <w:kern w:val="0"/>
                <w:highlight w:val="none"/>
              </w:rPr>
              <w:t>垃圾收集</w:t>
            </w:r>
            <w:r>
              <w:rPr>
                <w:rFonts w:hint="eastAsia" w:ascii="宋体" w:hAnsi="宋体" w:eastAsia="宋体" w:cs="宋体"/>
                <w:bCs/>
                <w:color w:val="auto"/>
                <w:kern w:val="0"/>
                <w:highlight w:val="none"/>
                <w:lang w:val="en-US" w:eastAsia="zh-CN"/>
              </w:rPr>
              <w:t>运输</w:t>
            </w:r>
            <w:r>
              <w:rPr>
                <w:rFonts w:hint="eastAsia" w:ascii="宋体" w:hAnsi="宋体" w:eastAsia="宋体" w:cs="宋体"/>
                <w:bCs/>
                <w:color w:val="auto"/>
                <w:kern w:val="0"/>
                <w:highlight w:val="none"/>
              </w:rPr>
              <w:t>车</w:t>
            </w:r>
            <w:r>
              <w:rPr>
                <w:rFonts w:hint="eastAsia" w:ascii="宋体" w:hAnsi="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辆，每有一辆得</w:t>
            </w:r>
            <w:r>
              <w:rPr>
                <w:rFonts w:hint="eastAsia" w:ascii="宋体" w:hAnsi="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分，最高得</w:t>
            </w:r>
            <w:r>
              <w:rPr>
                <w:rFonts w:hint="eastAsia" w:ascii="宋体" w:hAnsi="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分；</w:t>
            </w:r>
          </w:p>
          <w:p w14:paraId="49CAE9C7">
            <w:pP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color w:val="auto"/>
                <w:spacing w:val="0"/>
                <w:sz w:val="21"/>
                <w:szCs w:val="21"/>
                <w:highlight w:val="none"/>
              </w:rPr>
              <w:t>提供</w:t>
            </w:r>
            <w:r>
              <w:rPr>
                <w:rFonts w:hint="eastAsia" w:ascii="宋体" w:hAnsi="宋体" w:eastAsia="宋体" w:cs="宋体"/>
                <w:bCs/>
                <w:color w:val="auto"/>
                <w:kern w:val="0"/>
                <w:highlight w:val="none"/>
                <w:lang w:val="en-US" w:eastAsia="zh-CN"/>
              </w:rPr>
              <w:t>运输</w:t>
            </w:r>
            <w:r>
              <w:rPr>
                <w:rFonts w:hint="eastAsia" w:ascii="宋体" w:hAnsi="宋体" w:eastAsia="宋体" w:cs="宋体"/>
                <w:bCs/>
                <w:color w:val="auto"/>
                <w:kern w:val="0"/>
                <w:highlight w:val="none"/>
              </w:rPr>
              <w:t>车</w:t>
            </w:r>
            <w:r>
              <w:rPr>
                <w:rFonts w:hint="eastAsia" w:ascii="宋体" w:hAnsi="宋体" w:cs="宋体"/>
                <w:bCs/>
                <w:color w:val="auto"/>
                <w:kern w:val="0"/>
                <w:highlight w:val="none"/>
                <w:lang w:val="en-US" w:eastAsia="zh-CN"/>
              </w:rPr>
              <w:t>箱体6个（需提供与前端收集车相匹配的箱体），每个</w:t>
            </w:r>
            <w:r>
              <w:rPr>
                <w:rFonts w:hint="eastAsia" w:ascii="宋体" w:hAnsi="宋体" w:eastAsia="宋体" w:cs="宋体"/>
                <w:color w:val="auto"/>
                <w:spacing w:val="0"/>
                <w:sz w:val="21"/>
                <w:szCs w:val="21"/>
                <w:highlight w:val="none"/>
              </w:rPr>
              <w:t>得</w:t>
            </w:r>
            <w:r>
              <w:rPr>
                <w:rFonts w:hint="eastAsia" w:ascii="宋体" w:hAnsi="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分，最高得</w:t>
            </w:r>
            <w:r>
              <w:rPr>
                <w:rFonts w:hint="eastAsia" w:ascii="宋体" w:hAnsi="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分</w:t>
            </w:r>
            <w:r>
              <w:rPr>
                <w:rFonts w:hint="eastAsia" w:ascii="宋体" w:hAnsi="宋体" w:cs="宋体"/>
                <w:color w:val="auto"/>
                <w:spacing w:val="0"/>
                <w:sz w:val="21"/>
                <w:szCs w:val="21"/>
                <w:highlight w:val="none"/>
                <w:lang w:eastAsia="zh-CN"/>
              </w:rPr>
              <w:t>；</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投标人承诺如果中标，须提供自有或租赁或承诺的同等类别和数量的车辆及设备</w:t>
            </w:r>
            <w:r>
              <w:rPr>
                <w:rFonts w:hint="eastAsia" w:ascii="宋体" w:hAnsi="宋体" w:eastAsia="宋体" w:cs="宋体"/>
                <w:sz w:val="21"/>
                <w:szCs w:val="21"/>
                <w:highlight w:val="none"/>
              </w:rPr>
              <w:t>，在服务期限内不挪作他用，承诺书内容完整得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分，不完整或未提供承诺书不得分。（提供承诺书</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rPr>
              <w:t>）</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highlight w:val="none"/>
                <w:lang w:val="en-US" w:eastAsia="zh-CN"/>
              </w:rPr>
              <w:t>投标人</w:t>
            </w:r>
            <w:r>
              <w:rPr>
                <w:rFonts w:hint="eastAsia" w:ascii="宋体" w:hAnsi="宋体"/>
                <w:b/>
                <w:bCs/>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w:t>
            </w:r>
            <w:r>
              <w:rPr>
                <w:rFonts w:hint="eastAsia" w:ascii="宋体" w:hAnsi="宋体" w:eastAsia="宋体" w:cs="宋体"/>
                <w:b/>
                <w:bCs/>
                <w:sz w:val="21"/>
                <w:szCs w:val="21"/>
                <w:highlight w:val="none"/>
              </w:rPr>
              <w:t>自有</w:t>
            </w:r>
            <w:r>
              <w:rPr>
                <w:rFonts w:hint="eastAsia" w:ascii="宋体" w:hAnsi="宋体" w:eastAsia="宋体" w:cs="宋体"/>
                <w:sz w:val="21"/>
                <w:szCs w:val="21"/>
                <w:highlight w:val="none"/>
              </w:rPr>
              <w:t>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b/>
                <w:bCs/>
                <w:sz w:val="21"/>
                <w:szCs w:val="21"/>
                <w:highlight w:val="none"/>
              </w:rPr>
              <w:t>租赁</w:t>
            </w:r>
            <w:r>
              <w:rPr>
                <w:rFonts w:hint="eastAsia" w:ascii="宋体" w:hAnsi="宋体" w:eastAsia="宋体" w:cs="宋体"/>
                <w:sz w:val="21"/>
                <w:szCs w:val="21"/>
                <w:highlight w:val="none"/>
              </w:rPr>
              <w:t>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cs="宋体"/>
                <w:sz w:val="21"/>
                <w:szCs w:val="21"/>
                <w:highlight w:val="none"/>
                <w:lang w:val="en-US" w:eastAsia="zh-CN"/>
              </w:rPr>
              <w:t>加盖公章</w:t>
            </w:r>
            <w:r>
              <w:rPr>
                <w:rFonts w:hint="eastAsia" w:ascii="宋体" w:hAnsi="宋体" w:cs="宋体"/>
                <w:sz w:val="21"/>
                <w:szCs w:val="21"/>
                <w:highlight w:val="none"/>
                <w:lang w:eastAsia="zh-CN"/>
              </w:rPr>
              <w:t>；</w:t>
            </w:r>
            <w:r>
              <w:rPr>
                <w:rFonts w:hint="eastAsia" w:ascii="宋体" w:hAnsi="宋体"/>
                <w:b/>
                <w:bCs/>
                <w:highlight w:val="none"/>
                <w:lang w:val="en-US" w:eastAsia="zh-CN"/>
              </w:rPr>
              <w:t>承诺</w:t>
            </w:r>
            <w:r>
              <w:rPr>
                <w:rFonts w:hint="eastAsia" w:ascii="宋体" w:hAnsi="宋体"/>
                <w:highlight w:val="none"/>
                <w:lang w:val="en-US" w:eastAsia="zh-CN"/>
              </w:rPr>
              <w:t>的</w:t>
            </w:r>
            <w:r>
              <w:rPr>
                <w:rFonts w:ascii="宋体" w:hAnsi="宋体"/>
                <w:highlight w:val="none"/>
              </w:rPr>
              <w:t>需</w:t>
            </w:r>
            <w:r>
              <w:rPr>
                <w:rFonts w:hint="eastAsia" w:ascii="宋体" w:hAnsi="宋体"/>
                <w:highlight w:val="none"/>
                <w:lang w:val="en-US" w:eastAsia="zh-CN"/>
              </w:rPr>
              <w:t>提供承诺书</w:t>
            </w:r>
            <w:r>
              <w:rPr>
                <w:rFonts w:hint="eastAsia" w:ascii="宋体" w:hAnsi="宋体" w:cs="宋体"/>
                <w:sz w:val="21"/>
                <w:szCs w:val="21"/>
                <w:highlight w:val="none"/>
                <w:lang w:val="en-US" w:eastAsia="zh-CN"/>
              </w:rPr>
              <w:t>加盖公章</w:t>
            </w:r>
            <w:r>
              <w:rPr>
                <w:rFonts w:hint="eastAsia" w:ascii="宋体" w:hAnsi="宋体"/>
                <w:highlight w:val="none"/>
                <w:lang w:val="en-US" w:eastAsia="zh-CN"/>
              </w:rPr>
              <w:t>：承诺中标后十日内备齐，否则不得分。</w:t>
            </w:r>
          </w:p>
          <w:p w14:paraId="1C100AB4">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eastAsia="宋体" w:cs="宋体"/>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13</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4</w:t>
            </w:r>
          </w:p>
        </w:tc>
        <w:tc>
          <w:tcPr>
            <w:tcW w:w="1499" w:type="dxa"/>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人员投入</w:t>
            </w:r>
          </w:p>
        </w:tc>
        <w:tc>
          <w:tcPr>
            <w:tcW w:w="6602" w:type="dxa"/>
            <w:tcMar>
              <w:top w:w="0" w:type="dxa"/>
              <w:left w:w="108" w:type="dxa"/>
              <w:bottom w:w="0" w:type="dxa"/>
              <w:right w:w="108" w:type="dxa"/>
            </w:tcMar>
            <w:vAlign w:val="center"/>
          </w:tcPr>
          <w:p w14:paraId="5FAB0C1B">
            <w:pPr>
              <w:widowControl/>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承诺</w:t>
            </w:r>
            <w:r>
              <w:rPr>
                <w:rFonts w:hint="eastAsia" w:ascii="宋体" w:hAnsi="宋体" w:eastAsia="宋体" w:cs="宋体"/>
                <w:sz w:val="21"/>
                <w:szCs w:val="21"/>
                <w:highlight w:val="none"/>
              </w:rPr>
              <w:t>投入本</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人员不少于</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人</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，（须提供承诺书加盖公章，未提供或提供不全的不得分。）</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000000" w:themeColor="text1"/>
                <w:kern w:val="0"/>
                <w:highlight w:val="none"/>
                <w:lang w:eastAsia="zh-CN"/>
                <w14:textFill>
                  <w14:solidFill>
                    <w14:schemeClr w14:val="tx1"/>
                  </w14:solidFill>
                </w14:textFill>
              </w:rPr>
            </w:pPr>
            <w:r>
              <w:rPr>
                <w:rFonts w:hint="eastAsia" w:ascii="宋体" w:hAnsi="宋体"/>
                <w:b/>
                <w:color w:val="000000" w:themeColor="text1"/>
                <w:kern w:val="0"/>
                <w:highlight w:val="none"/>
                <w:lang w:val="en-US" w:eastAsia="zh-CN"/>
                <w14:textFill>
                  <w14:solidFill>
                    <w14:schemeClr w14:val="tx1"/>
                  </w14:solidFill>
                </w14:textFill>
              </w:rPr>
              <w:t>5</w:t>
            </w:r>
          </w:p>
        </w:tc>
        <w:tc>
          <w:tcPr>
            <w:tcW w:w="1499" w:type="dxa"/>
            <w:vMerge w:val="restart"/>
            <w:tcMar>
              <w:top w:w="0" w:type="dxa"/>
              <w:left w:w="108" w:type="dxa"/>
              <w:bottom w:w="0" w:type="dxa"/>
              <w:right w:w="108" w:type="dxa"/>
            </w:tcMar>
            <w:vAlign w:val="center"/>
          </w:tcPr>
          <w:p w14:paraId="1AC45D9E">
            <w:pPr>
              <w:widowControl/>
              <w:spacing w:line="360" w:lineRule="auto"/>
              <w:jc w:val="center"/>
              <w:rPr>
                <w:rFonts w:ascii="宋体" w:hAnsi="宋体"/>
                <w:b/>
                <w:bCs/>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服务</w:t>
            </w:r>
            <w:r>
              <w:rPr>
                <w:rFonts w:hint="eastAsia" w:ascii="宋体" w:hAnsi="宋体"/>
                <w:b w:val="0"/>
                <w:bCs w:val="0"/>
                <w:color w:val="000000" w:themeColor="text1"/>
                <w:kern w:val="0"/>
                <w:highlight w:val="none"/>
                <w14:textFill>
                  <w14:solidFill>
                    <w14:schemeClr w14:val="tx1"/>
                  </w14:solidFill>
                </w14:textFill>
              </w:rPr>
              <w:t>方案</w:t>
            </w:r>
          </w:p>
        </w:tc>
        <w:tc>
          <w:tcPr>
            <w:tcW w:w="6602" w:type="dxa"/>
            <w:tcMar>
              <w:top w:w="0" w:type="dxa"/>
              <w:left w:w="108" w:type="dxa"/>
              <w:bottom w:w="0" w:type="dxa"/>
              <w:right w:w="108" w:type="dxa"/>
            </w:tcMar>
            <w:vAlign w:val="center"/>
          </w:tcPr>
          <w:p w14:paraId="1E9F7CF8">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评委依据各投标人针对本项目的具体情况制定的总体运营管理安排及服务方案，对其科学性、合理性、针对性及优劣程度进行评价。</w:t>
            </w:r>
          </w:p>
          <w:p w14:paraId="54B843C4">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服务方案科学、合理、有针对性的得</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p w14:paraId="0F92DE30">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较科学、合理的得</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分；</w:t>
            </w:r>
          </w:p>
          <w:p w14:paraId="65FB21DB">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kern w:val="0"/>
                <w:highlight w:val="none"/>
              </w:rPr>
              <w:t>服务方案一般基本能满足本项目需求的得</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lang w:val="en-US" w:eastAsia="zh-CN"/>
              </w:rPr>
              <w:t>分</w:t>
            </w:r>
            <w:r>
              <w:rPr>
                <w:rFonts w:hint="eastAsia" w:ascii="宋体" w:hAnsi="宋体" w:cs="宋体"/>
                <w:color w:val="auto"/>
                <w:kern w:val="0"/>
                <w:highlight w:val="none"/>
                <w:lang w:eastAsia="zh-CN"/>
              </w:rPr>
              <w:t>；</w:t>
            </w:r>
          </w:p>
          <w:p w14:paraId="70E196DD">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服务方案未实质性响应项目要求或缺项的得</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lang w:val="en-US" w:eastAsia="zh-CN"/>
              </w:rPr>
              <w:t>分</w:t>
            </w:r>
            <w:r>
              <w:rPr>
                <w:rFonts w:hint="eastAsia" w:ascii="宋体" w:hAnsi="宋体" w:cs="宋体"/>
                <w:color w:val="auto"/>
                <w:kern w:val="0"/>
                <w:highlight w:val="none"/>
                <w:lang w:eastAsia="zh-CN"/>
              </w:rPr>
              <w:t>；</w:t>
            </w:r>
          </w:p>
          <w:p w14:paraId="054F226C">
            <w:pPr>
              <w:widowControl/>
              <w:spacing w:line="360" w:lineRule="auto"/>
              <w:jc w:val="left"/>
              <w:rPr>
                <w:highlight w:val="none"/>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499" w:type="dxa"/>
            <w:vMerge w:val="continue"/>
            <w:vAlign w:val="center"/>
          </w:tcPr>
          <w:p w14:paraId="57CAC93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3DF7874D">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评委依据各投标人针对本项目设置的岗位分工、部门职责、工作流程、各类规章制度及针对垃圾清运工作所做的规划等评分，对其科学性、合理性、针对性及优劣程度进行评价。</w:t>
            </w:r>
          </w:p>
          <w:p w14:paraId="4C6C35F1">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工作流程及岗位分工科学、合理、有针对性的得</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p w14:paraId="1DBB8D79">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较科学、合理的得</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分；</w:t>
            </w:r>
          </w:p>
          <w:p w14:paraId="230370EC">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kern w:val="0"/>
                <w:highlight w:val="none"/>
              </w:rPr>
              <w:t>较一般基本能满足本项目需求的得</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分</w:t>
            </w:r>
            <w:r>
              <w:rPr>
                <w:rFonts w:hint="eastAsia" w:ascii="宋体" w:hAnsi="宋体" w:cs="宋体"/>
                <w:color w:val="auto"/>
                <w:kern w:val="0"/>
                <w:highlight w:val="none"/>
                <w:lang w:eastAsia="zh-CN"/>
              </w:rPr>
              <w:t>；</w:t>
            </w:r>
          </w:p>
          <w:p w14:paraId="732EDFFD">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服务方案未实质性响应项目要求或缺项的得</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lang w:val="en-US" w:eastAsia="zh-CN"/>
              </w:rPr>
              <w:t>分</w:t>
            </w:r>
            <w:r>
              <w:rPr>
                <w:rFonts w:hint="eastAsia" w:ascii="宋体" w:hAnsi="宋体" w:cs="宋体"/>
                <w:color w:val="auto"/>
                <w:kern w:val="0"/>
                <w:highlight w:val="none"/>
                <w:lang w:eastAsia="zh-CN"/>
              </w:rPr>
              <w:t>；</w:t>
            </w:r>
          </w:p>
          <w:p w14:paraId="4420B6F6">
            <w:pPr>
              <w:widowControl/>
              <w:spacing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499" w:type="dxa"/>
            <w:vMerge w:val="continue"/>
            <w:vAlign w:val="center"/>
          </w:tcPr>
          <w:p w14:paraId="748F2658">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2A051754">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评委依据各投标人对项目的人员配备状况，能够满足本项目要求，根据所配备人员的合理性、针对性对其进行评价。</w:t>
            </w:r>
          </w:p>
          <w:p w14:paraId="7726D7D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所投入的人员配备合理，经验丰富，能够很好地完成本项目养护要求的得</w:t>
            </w:r>
            <w:r>
              <w:rPr>
                <w:rFonts w:hint="eastAsia" w:ascii="宋体" w:hAnsi="宋体" w:cs="宋体"/>
                <w:color w:val="auto"/>
                <w:highlight w:val="none"/>
                <w:lang w:val="en-US" w:eastAsia="zh-CN"/>
              </w:rPr>
              <w:t>8</w:t>
            </w:r>
            <w:r>
              <w:rPr>
                <w:rFonts w:hint="eastAsia" w:ascii="宋体" w:hAnsi="宋体" w:eastAsia="宋体" w:cs="宋体"/>
                <w:color w:val="auto"/>
                <w:highlight w:val="none"/>
              </w:rPr>
              <w:t>分；</w:t>
            </w:r>
          </w:p>
          <w:p w14:paraId="3AFB0DE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所投入的人员配备较合理，能够完成本项目养护要求的得</w:t>
            </w:r>
            <w:r>
              <w:rPr>
                <w:rFonts w:hint="eastAsia" w:ascii="宋体" w:hAnsi="宋体" w:cs="宋体"/>
                <w:color w:val="auto"/>
                <w:highlight w:val="none"/>
                <w:lang w:val="en-US" w:eastAsia="zh-CN"/>
              </w:rPr>
              <w:t>6</w:t>
            </w:r>
            <w:r>
              <w:rPr>
                <w:rFonts w:hint="eastAsia" w:ascii="宋体" w:hAnsi="宋体" w:eastAsia="宋体" w:cs="宋体"/>
                <w:color w:val="auto"/>
                <w:highlight w:val="none"/>
              </w:rPr>
              <w:t>分；</w:t>
            </w:r>
          </w:p>
          <w:p w14:paraId="2A8962A9">
            <w:pPr>
              <w:widowControl/>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所投入人员基本满足项目要求的得</w:t>
            </w:r>
            <w:r>
              <w:rPr>
                <w:rFonts w:hint="eastAsia" w:ascii="宋体" w:hAnsi="宋体" w:cs="宋体"/>
                <w:color w:val="auto"/>
                <w:highlight w:val="none"/>
                <w:lang w:val="en-US" w:eastAsia="zh-CN"/>
              </w:rPr>
              <w:t>4</w:t>
            </w:r>
            <w:r>
              <w:rPr>
                <w:rFonts w:hint="eastAsia" w:ascii="宋体" w:hAnsi="宋体" w:eastAsia="宋体" w:cs="宋体"/>
                <w:color w:val="auto"/>
                <w:highlight w:val="none"/>
              </w:rPr>
              <w:t>分</w:t>
            </w:r>
            <w:r>
              <w:rPr>
                <w:rFonts w:hint="eastAsia" w:ascii="宋体" w:hAnsi="宋体" w:cs="宋体"/>
                <w:color w:val="auto"/>
                <w:highlight w:val="none"/>
                <w:lang w:eastAsia="zh-CN"/>
              </w:rPr>
              <w:t>；</w:t>
            </w:r>
          </w:p>
          <w:p w14:paraId="337FAE2A">
            <w:pPr>
              <w:widowControl/>
              <w:spacing w:line="360" w:lineRule="auto"/>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所投入人员</w:t>
            </w:r>
            <w:r>
              <w:rPr>
                <w:rFonts w:hint="eastAsia" w:ascii="宋体" w:hAnsi="宋体" w:cs="宋体"/>
                <w:color w:val="auto"/>
                <w:highlight w:val="none"/>
                <w:lang w:val="en-US" w:eastAsia="zh-CN"/>
              </w:rPr>
              <w:t>不太满足</w:t>
            </w:r>
            <w:r>
              <w:rPr>
                <w:rFonts w:hint="eastAsia" w:ascii="宋体" w:hAnsi="宋体" w:eastAsia="宋体" w:cs="宋体"/>
                <w:color w:val="auto"/>
                <w:highlight w:val="none"/>
              </w:rPr>
              <w:t>项目要求的得</w:t>
            </w:r>
            <w:r>
              <w:rPr>
                <w:rFonts w:hint="eastAsia" w:ascii="宋体" w:hAnsi="宋体" w:cs="宋体"/>
                <w:color w:val="auto"/>
                <w:highlight w:val="none"/>
                <w:lang w:val="en-US" w:eastAsia="zh-CN"/>
              </w:rPr>
              <w:t>2</w:t>
            </w:r>
            <w:r>
              <w:rPr>
                <w:rFonts w:hint="eastAsia" w:ascii="宋体" w:hAnsi="宋体" w:eastAsia="宋体" w:cs="宋体"/>
                <w:color w:val="auto"/>
                <w:highlight w:val="none"/>
              </w:rPr>
              <w:t>分</w:t>
            </w:r>
            <w:r>
              <w:rPr>
                <w:rFonts w:hint="eastAsia" w:ascii="宋体" w:hAnsi="宋体" w:cs="宋体"/>
                <w:color w:val="auto"/>
                <w:highlight w:val="none"/>
                <w:lang w:eastAsia="zh-CN"/>
              </w:rPr>
              <w:t>；</w:t>
            </w:r>
          </w:p>
          <w:p w14:paraId="2C59C513">
            <w:pPr>
              <w:widowControl/>
              <w:spacing w:line="360" w:lineRule="auto"/>
              <w:jc w:val="left"/>
              <w:rPr>
                <w:highlight w:val="none"/>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499" w:type="dxa"/>
            <w:vMerge w:val="continue"/>
            <w:vAlign w:val="center"/>
          </w:tcPr>
          <w:p w14:paraId="6D78F709">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542D48EE">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highlight w:val="none"/>
              </w:rPr>
              <w:t>评委根据投标文件提供的</w:t>
            </w:r>
            <w:r>
              <w:rPr>
                <w:rFonts w:hint="eastAsia" w:ascii="宋体" w:hAnsi="宋体" w:eastAsia="宋体" w:cs="宋体"/>
                <w:color w:val="auto"/>
                <w:kern w:val="0"/>
                <w:highlight w:val="none"/>
              </w:rPr>
              <w:t>服务运营成本和费用测算；所列各项服务成本、测算依据、拟用各种耗材的耗量、价格；</w:t>
            </w:r>
            <w:r>
              <w:rPr>
                <w:rFonts w:hint="eastAsia" w:ascii="宋体" w:hAnsi="宋体" w:eastAsia="宋体" w:cs="宋体"/>
                <w:color w:val="auto"/>
                <w:highlight w:val="none"/>
              </w:rPr>
              <w:t>办公、清洁保洁</w:t>
            </w:r>
            <w:r>
              <w:rPr>
                <w:rFonts w:hint="eastAsia" w:ascii="宋体" w:hAnsi="宋体" w:eastAsia="宋体" w:cs="宋体"/>
                <w:color w:val="auto"/>
                <w:spacing w:val="-4"/>
                <w:highlight w:val="none"/>
              </w:rPr>
              <w:t>、员工服装、易耗品等设备、机具、用具</w:t>
            </w:r>
            <w:r>
              <w:rPr>
                <w:rFonts w:hint="eastAsia" w:ascii="宋体" w:hAnsi="宋体" w:eastAsia="宋体" w:cs="宋体"/>
                <w:color w:val="auto"/>
                <w:highlight w:val="none"/>
              </w:rPr>
              <w:t>分列、规格档次及测算分摊</w:t>
            </w:r>
            <w:r>
              <w:rPr>
                <w:rFonts w:hint="eastAsia" w:ascii="宋体" w:hAnsi="宋体" w:eastAsia="宋体" w:cs="宋体"/>
                <w:color w:val="auto"/>
                <w:kern w:val="0"/>
                <w:highlight w:val="none"/>
              </w:rPr>
              <w:t>等进行评价</w:t>
            </w:r>
            <w:r>
              <w:rPr>
                <w:rFonts w:hint="eastAsia" w:ascii="宋体" w:hAnsi="宋体" w:cs="宋体"/>
                <w:color w:val="auto"/>
                <w:kern w:val="0"/>
                <w:highlight w:val="none"/>
                <w:lang w:eastAsia="zh-CN"/>
              </w:rPr>
              <w:t>。</w:t>
            </w:r>
          </w:p>
          <w:p w14:paraId="4BD00374">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成本测算清晰明确符合市场实际的得</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p w14:paraId="0478C3B3">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成本测算较清晰基本符合市场实际得</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分；</w:t>
            </w:r>
          </w:p>
          <w:p w14:paraId="3F85F09C">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kern w:val="0"/>
                <w:highlight w:val="none"/>
              </w:rPr>
              <w:t>成本测算过于简单不够清晰明确的得</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分</w:t>
            </w:r>
            <w:r>
              <w:rPr>
                <w:rFonts w:hint="eastAsia" w:ascii="宋体" w:hAnsi="宋体" w:cs="宋体"/>
                <w:color w:val="auto"/>
                <w:kern w:val="0"/>
                <w:highlight w:val="none"/>
                <w:lang w:eastAsia="zh-CN"/>
              </w:rPr>
              <w:t>；</w:t>
            </w:r>
          </w:p>
          <w:p w14:paraId="778ADAE7">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成本测算脱离市场实际或缺项的得</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rPr>
              <w:t>分</w:t>
            </w:r>
            <w:r>
              <w:rPr>
                <w:rFonts w:hint="eastAsia" w:ascii="宋体" w:hAnsi="宋体" w:cs="宋体"/>
                <w:color w:val="auto"/>
                <w:kern w:val="0"/>
                <w:highlight w:val="none"/>
                <w:lang w:eastAsia="zh-CN"/>
              </w:rPr>
              <w:t>；</w:t>
            </w:r>
          </w:p>
          <w:p w14:paraId="31796E1E">
            <w:pPr>
              <w:widowControl/>
              <w:spacing w:line="360" w:lineRule="auto"/>
              <w:jc w:val="left"/>
              <w:rPr>
                <w:rFonts w:ascii="宋体" w:hAnsi="宋体"/>
                <w:b/>
                <w:color w:val="000000" w:themeColor="text1"/>
                <w:kern w:val="0"/>
                <w:highlight w:val="none"/>
                <w14:textFill>
                  <w14:solidFill>
                    <w14:schemeClr w14:val="tx1"/>
                  </w14:solidFill>
                </w14:textFill>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color w:val="000000" w:themeColor="text1"/>
                <w:kern w:val="0"/>
                <w:highlight w:val="none"/>
                <w14:textFill>
                  <w14:solidFill>
                    <w14:schemeClr w14:val="tx1"/>
                  </w14:solidFill>
                </w14:textFill>
              </w:rPr>
            </w:pPr>
            <w:r>
              <w:rPr>
                <w:rFonts w:ascii="宋体" w:hAnsi="宋体"/>
                <w:b/>
                <w:bCs/>
                <w:color w:val="000000" w:themeColor="text1"/>
                <w:kern w:val="0"/>
                <w:highlight w:val="none"/>
                <w14:textFill>
                  <w14:solidFill>
                    <w14:schemeClr w14:val="tx1"/>
                  </w14:solidFill>
                </w14:textFill>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499" w:type="dxa"/>
            <w:vMerge w:val="continue"/>
            <w:vAlign w:val="center"/>
          </w:tcPr>
          <w:p w14:paraId="2E887BCB">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57567F5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评委依据各投标人针对突发事件应急处理预案的完备健全性，包括但不限于极端天气及紧急情况下的服务保障方案，对本服务项目针对性，具有实际可操作性进行评价。</w:t>
            </w:r>
          </w:p>
          <w:p w14:paraId="0FFC710F">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突发事件应急处理预案比较完备、健全、针对性强的得</w:t>
            </w:r>
            <w:r>
              <w:rPr>
                <w:rFonts w:hint="eastAsia" w:ascii="宋体" w:hAnsi="宋体" w:cs="宋体"/>
                <w:color w:val="auto"/>
                <w:highlight w:val="none"/>
                <w:lang w:val="en-US" w:eastAsia="zh-CN"/>
              </w:rPr>
              <w:t>7</w:t>
            </w:r>
            <w:r>
              <w:rPr>
                <w:rFonts w:hint="eastAsia" w:ascii="宋体" w:hAnsi="宋体" w:eastAsia="宋体" w:cs="宋体"/>
                <w:color w:val="auto"/>
                <w:highlight w:val="none"/>
              </w:rPr>
              <w:t>分；</w:t>
            </w:r>
          </w:p>
          <w:p w14:paraId="77EDDB62">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突发事件应急处理预案比较完备、健全的得</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p>
          <w:p w14:paraId="511EF334">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较一般基本能满足本项目需求的得</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rPr>
              <w:t>分；</w:t>
            </w:r>
          </w:p>
          <w:p w14:paraId="299B9A1E">
            <w:pPr>
              <w:widowControl/>
              <w:spacing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499" w:type="dxa"/>
            <w:vMerge w:val="continue"/>
            <w:vAlign w:val="center"/>
          </w:tcPr>
          <w:p w14:paraId="7F16982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22598B72">
            <w:pPr>
              <w:pStyle w:val="20"/>
              <w:spacing w:line="360" w:lineRule="auto"/>
              <w:ind w:left="0" w:leftChars="0" w:right="0" w:rightChars="0"/>
              <w:rPr>
                <w:rFonts w:hint="eastAsia" w:ascii="宋体" w:hAnsi="宋体" w:eastAsia="宋体" w:cs="宋体"/>
                <w:color w:val="auto"/>
                <w:kern w:val="0"/>
                <w:highlight w:val="none"/>
              </w:rPr>
            </w:pPr>
            <w:r>
              <w:rPr>
                <w:rFonts w:hint="eastAsia" w:ascii="宋体" w:hAnsi="宋体" w:eastAsia="宋体" w:cs="宋体"/>
                <w:color w:val="auto"/>
                <w:kern w:val="0"/>
                <w:highlight w:val="none"/>
              </w:rPr>
              <w:t>评委依据</w:t>
            </w:r>
            <w:r>
              <w:rPr>
                <w:rFonts w:hint="eastAsia" w:ascii="宋体" w:hAnsi="宋体" w:eastAsia="宋体" w:cs="宋体"/>
                <w:color w:val="auto"/>
                <w:highlight w:val="none"/>
              </w:rPr>
              <w:t>各</w:t>
            </w:r>
            <w:r>
              <w:rPr>
                <w:rFonts w:hint="eastAsia" w:ascii="宋体" w:hAnsi="宋体" w:eastAsia="宋体" w:cs="宋体"/>
                <w:color w:val="auto"/>
                <w:kern w:val="0"/>
                <w:highlight w:val="none"/>
              </w:rPr>
              <w:t>投标人所提供的服务承诺，对投标人在服务响应时间、管理流程、服务质量等方面进行评价。服务承诺明确，符合（超过）招标文件各项要求得</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p w14:paraId="259FAF43">
            <w:pPr>
              <w:pStyle w:val="20"/>
              <w:spacing w:line="360" w:lineRule="auto"/>
              <w:ind w:left="0" w:leftChars="0" w:right="0" w:rightChars="0"/>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服务承诺明确，基本符合招标文件各项要求得</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分；</w:t>
            </w:r>
          </w:p>
          <w:p w14:paraId="7976F159">
            <w:pPr>
              <w:pStyle w:val="20"/>
              <w:spacing w:line="360" w:lineRule="auto"/>
              <w:ind w:left="0" w:leftChars="0" w:right="0" w:rightChars="0"/>
              <w:rPr>
                <w:rFonts w:hint="eastAsia" w:ascii="宋体" w:hAnsi="宋体" w:eastAsia="宋体" w:cs="宋体"/>
                <w:color w:val="auto"/>
                <w:kern w:val="0"/>
                <w:highlight w:val="none"/>
              </w:rPr>
            </w:pPr>
            <w:r>
              <w:rPr>
                <w:rFonts w:hint="eastAsia" w:ascii="宋体" w:hAnsi="宋体" w:eastAsia="宋体" w:cs="宋体"/>
                <w:color w:val="auto"/>
                <w:kern w:val="0"/>
                <w:highlight w:val="none"/>
              </w:rPr>
              <w:t>较一般基本切合本项目实际需求的得</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分；</w:t>
            </w:r>
          </w:p>
          <w:p w14:paraId="60E6976A">
            <w:pPr>
              <w:pStyle w:val="20"/>
              <w:spacing w:line="360" w:lineRule="auto"/>
              <w:ind w:left="0" w:leftChars="0" w:right="0" w:rightChars="0"/>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服务承诺不明确的得</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rPr>
              <w:t>分；</w:t>
            </w:r>
          </w:p>
          <w:p w14:paraId="31CD72BB">
            <w:pPr>
              <w:pStyle w:val="20"/>
              <w:spacing w:line="360" w:lineRule="auto"/>
              <w:ind w:left="0" w:leftChars="0" w:right="0" w:rightChars="0"/>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未提供</w:t>
            </w:r>
            <w:r>
              <w:rPr>
                <w:rFonts w:hint="eastAsia" w:ascii="宋体" w:hAnsi="宋体" w:eastAsia="宋体" w:cs="宋体"/>
                <w:color w:val="auto"/>
                <w:kern w:val="0"/>
                <w:highlight w:val="none"/>
              </w:rPr>
              <w:t>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499" w:type="dxa"/>
            <w:vMerge w:val="continue"/>
            <w:vAlign w:val="center"/>
          </w:tcPr>
          <w:p w14:paraId="44083DA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602" w:type="dxa"/>
            <w:tcMar>
              <w:top w:w="0" w:type="dxa"/>
              <w:left w:w="108" w:type="dxa"/>
              <w:bottom w:w="0" w:type="dxa"/>
              <w:right w:w="108" w:type="dxa"/>
            </w:tcMar>
            <w:vAlign w:val="center"/>
          </w:tcPr>
          <w:p w14:paraId="2A456C12">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kern w:val="0"/>
                <w:highlight w:val="none"/>
              </w:rPr>
              <w:t>评委根据</w:t>
            </w:r>
            <w:r>
              <w:rPr>
                <w:rFonts w:hint="eastAsia" w:ascii="宋体" w:hAnsi="宋体" w:eastAsia="宋体" w:cs="宋体"/>
                <w:color w:val="auto"/>
                <w:highlight w:val="none"/>
              </w:rPr>
              <w:t>各</w:t>
            </w:r>
            <w:r>
              <w:rPr>
                <w:rFonts w:hint="eastAsia" w:ascii="宋体" w:hAnsi="宋体" w:eastAsia="宋体" w:cs="宋体"/>
                <w:color w:val="auto"/>
                <w:kern w:val="0"/>
                <w:highlight w:val="none"/>
              </w:rPr>
              <w:t>投标人针对本项目实际情况结合自身经验提出的合理化建议（包括对本项目的重点、难点进行分析以及服务过程中需要</w:t>
            </w:r>
            <w:r>
              <w:rPr>
                <w:rFonts w:hint="eastAsia" w:ascii="宋体" w:hAnsi="宋体" w:cs="宋体"/>
                <w:color w:val="auto"/>
                <w:kern w:val="0"/>
                <w:highlight w:val="none"/>
                <w:lang w:val="en-US" w:eastAsia="zh-CN"/>
              </w:rPr>
              <w:t>采购人</w:t>
            </w:r>
            <w:r>
              <w:rPr>
                <w:rFonts w:hint="eastAsia" w:ascii="宋体" w:hAnsi="宋体" w:eastAsia="宋体" w:cs="宋体"/>
                <w:color w:val="auto"/>
                <w:kern w:val="0"/>
                <w:highlight w:val="none"/>
              </w:rPr>
              <w:t>进行配合的事项）进行评价</w:t>
            </w:r>
            <w:r>
              <w:rPr>
                <w:rFonts w:hint="eastAsia" w:ascii="宋体" w:hAnsi="宋体" w:cs="宋体"/>
                <w:color w:val="auto"/>
                <w:kern w:val="0"/>
                <w:highlight w:val="none"/>
                <w:lang w:eastAsia="zh-CN"/>
              </w:rPr>
              <w:t>。</w:t>
            </w:r>
          </w:p>
          <w:p w14:paraId="79061931">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合理化建议切合项目实际，可操作易实现的得</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p w14:paraId="36B24DE1">
            <w:pPr>
              <w:widowControl/>
              <w:spacing w:line="360" w:lineRule="auto"/>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合理化建议基本符合项目要求的</w:t>
            </w:r>
            <w:r>
              <w:rPr>
                <w:rFonts w:hint="eastAsia" w:ascii="宋体" w:hAnsi="宋体" w:eastAsia="宋体" w:cs="宋体"/>
                <w:color w:val="auto"/>
                <w:kern w:val="0"/>
                <w:highlight w:val="none"/>
              </w:rPr>
              <w:t>得</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分；</w:t>
            </w:r>
          </w:p>
          <w:p w14:paraId="0A969DA9">
            <w:pPr>
              <w:widowControl/>
              <w:spacing w:line="360" w:lineRule="auto"/>
              <w:jc w:val="left"/>
              <w:rPr>
                <w:rFonts w:hint="eastAsia" w:ascii="宋体" w:hAnsi="宋体" w:cs="宋体"/>
                <w:color w:val="auto"/>
                <w:kern w:val="0"/>
                <w:highlight w:val="none"/>
                <w:lang w:eastAsia="zh-CN"/>
              </w:rPr>
            </w:pPr>
            <w:r>
              <w:rPr>
                <w:rFonts w:hint="eastAsia" w:ascii="宋体" w:hAnsi="宋体" w:eastAsia="宋体" w:cs="宋体"/>
                <w:color w:val="auto"/>
                <w:kern w:val="0"/>
                <w:highlight w:val="none"/>
              </w:rPr>
              <w:t>基本切合本项目实际需求的得</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分</w:t>
            </w:r>
            <w:r>
              <w:rPr>
                <w:rFonts w:hint="eastAsia" w:ascii="宋体" w:hAnsi="宋体" w:cs="宋体"/>
                <w:color w:val="auto"/>
                <w:kern w:val="0"/>
                <w:highlight w:val="none"/>
                <w:lang w:eastAsia="zh-CN"/>
              </w:rPr>
              <w:t>；</w:t>
            </w:r>
          </w:p>
          <w:p w14:paraId="13552431">
            <w:pPr>
              <w:pStyle w:val="56"/>
              <w:spacing w:line="360" w:lineRule="auto"/>
              <w:ind w:left="0" w:leftChars="0" w:firstLine="0" w:firstLineChars="0"/>
              <w:rPr>
                <w:rFonts w:hint="default" w:ascii="宋体" w:hAnsi="宋体" w:eastAsia="宋体" w:cs="宋体"/>
                <w:color w:val="auto"/>
                <w:kern w:val="0"/>
                <w:sz w:val="21"/>
                <w:szCs w:val="24"/>
                <w:highlight w:val="none"/>
                <w:lang w:val="en-US" w:eastAsia="zh-CN" w:bidi="ar-SA"/>
              </w:rPr>
            </w:pPr>
            <w:r>
              <w:rPr>
                <w:rFonts w:hint="eastAsia" w:ascii="宋体" w:hAnsi="宋体" w:eastAsia="宋体" w:cs="宋体"/>
                <w:color w:val="auto"/>
                <w:kern w:val="0"/>
                <w:sz w:val="21"/>
                <w:szCs w:val="24"/>
                <w:highlight w:val="none"/>
                <w:lang w:val="en-US" w:eastAsia="zh-CN" w:bidi="ar-SA"/>
              </w:rPr>
              <w:t>不切合本项目实际需求的得2分；</w:t>
            </w:r>
          </w:p>
          <w:p w14:paraId="449A0AFD">
            <w:pPr>
              <w:widowControl/>
              <w:spacing w:line="360" w:lineRule="auto"/>
              <w:jc w:val="left"/>
              <w:rPr>
                <w:highlight w:val="none"/>
              </w:rPr>
            </w:pPr>
            <w:r>
              <w:rPr>
                <w:rFonts w:hint="eastAsia" w:ascii="宋体" w:hAnsi="宋体" w:eastAsia="宋体" w:cs="宋体"/>
                <w:color w:val="auto"/>
                <w:kern w:val="0"/>
                <w:sz w:val="21"/>
                <w:szCs w:val="24"/>
                <w:highlight w:val="none"/>
                <w:lang w:val="en-US" w:eastAsia="zh-CN" w:bidi="ar-SA"/>
              </w:rPr>
              <w:t>未提供不得分。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Align w:val="center"/>
          </w:tcPr>
          <w:p w14:paraId="70280A08">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6</w:t>
            </w:r>
          </w:p>
        </w:tc>
        <w:tc>
          <w:tcPr>
            <w:tcW w:w="1499" w:type="dxa"/>
            <w:vAlign w:val="center"/>
          </w:tcPr>
          <w:p w14:paraId="0D70022E">
            <w:pPr>
              <w:widowControl/>
              <w:spacing w:line="360" w:lineRule="auto"/>
              <w:jc w:val="center"/>
              <w:rPr>
                <w:rFonts w:hint="eastAsia" w:ascii="宋体" w:hAnsi="宋体" w:eastAsia="宋体"/>
                <w:color w:val="000000" w:themeColor="text1"/>
                <w:kern w:val="0"/>
                <w:highlight w:val="none"/>
                <w:lang w:val="en-US" w:eastAsia="zh-CN"/>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合计</w:t>
            </w:r>
          </w:p>
        </w:tc>
        <w:tc>
          <w:tcPr>
            <w:tcW w:w="6602" w:type="dxa"/>
            <w:tcMar>
              <w:top w:w="0" w:type="dxa"/>
              <w:left w:w="108" w:type="dxa"/>
              <w:bottom w:w="0" w:type="dxa"/>
              <w:right w:w="108" w:type="dxa"/>
            </w:tcMar>
            <w:vAlign w:val="center"/>
          </w:tcPr>
          <w:p w14:paraId="1312E7AC">
            <w:pPr>
              <w:adjustRightInd w:val="0"/>
              <w:snapToGrid w:val="0"/>
              <w:spacing w:line="360" w:lineRule="auto"/>
              <w:rPr>
                <w:rFonts w:hint="eastAsia" w:ascii="宋体" w:hAnsi="宋体"/>
                <w:color w:val="000000" w:themeColor="text1"/>
                <w:highlight w:val="none"/>
                <w14:textFill>
                  <w14:solidFill>
                    <w14:schemeClr w14:val="tx1"/>
                  </w14:solidFill>
                </w14:textFill>
              </w:rPr>
            </w:pP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100</w:t>
            </w:r>
          </w:p>
        </w:tc>
      </w:tr>
    </w:tbl>
    <w:p w14:paraId="22C38213">
      <w:pPr>
        <w:pStyle w:val="58"/>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2"/>
        <w:spacing w:line="360" w:lineRule="auto"/>
        <w:jc w:val="center"/>
        <w:rPr>
          <w:rFonts w:hint="eastAsia" w:ascii="宋体" w:hAnsi="宋体" w:cs="宋体"/>
          <w:highlight w:val="none"/>
        </w:rPr>
      </w:pPr>
      <w:bookmarkStart w:id="8" w:name="_Toc31739"/>
      <w:bookmarkStart w:id="9" w:name="_Hlk96071152"/>
      <w:bookmarkStart w:id="10" w:name="_Toc481057147"/>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3BBA04A1">
      <w:pPr>
        <w:keepNext w:val="0"/>
        <w:keepLines w:val="0"/>
        <w:pageBreakBefore w:val="0"/>
        <w:kinsoku/>
        <w:wordWrap/>
        <w:overflowPunct/>
        <w:topLinePunct w:val="0"/>
        <w:autoSpaceDE w:val="0"/>
        <w:autoSpaceDN w:val="0"/>
        <w:bidi w:val="0"/>
        <w:adjustRightInd w:val="0"/>
        <w:snapToGrid/>
        <w:spacing w:line="360" w:lineRule="auto"/>
        <w:ind w:firstLine="422" w:firstLineChars="200"/>
        <w:jc w:val="left"/>
        <w:textAlignment w:val="auto"/>
        <w:rPr>
          <w:rFonts w:hint="eastAsia" w:ascii="宋体" w:hAnsi="宋体" w:eastAsia="宋体" w:cs="宋体"/>
          <w:b/>
          <w:bCs/>
          <w:color w:val="auto"/>
          <w:spacing w:val="0"/>
          <w:kern w:val="0"/>
          <w:sz w:val="21"/>
          <w:szCs w:val="21"/>
          <w:highlight w:val="none"/>
          <w:lang w:val="zh-CN"/>
        </w:rPr>
      </w:pPr>
      <w:r>
        <w:rPr>
          <w:rFonts w:hint="eastAsia" w:ascii="宋体" w:hAnsi="宋体" w:eastAsia="宋体" w:cs="宋体"/>
          <w:b/>
          <w:bCs/>
          <w:color w:val="auto"/>
          <w:spacing w:val="0"/>
          <w:kern w:val="0"/>
          <w:sz w:val="21"/>
          <w:szCs w:val="21"/>
          <w:highlight w:val="none"/>
          <w:lang w:val="zh-CN"/>
        </w:rPr>
        <w:t>一、项目概况</w:t>
      </w:r>
    </w:p>
    <w:p w14:paraId="0639B3FB">
      <w:pPr>
        <w:keepNext w:val="0"/>
        <w:keepLines w:val="0"/>
        <w:pageBreakBefore w:val="0"/>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pacing w:val="0"/>
          <w:kern w:val="0"/>
          <w:sz w:val="21"/>
          <w:szCs w:val="21"/>
          <w:highlight w:val="none"/>
        </w:rPr>
      </w:pPr>
      <w:r>
        <w:rPr>
          <w:rFonts w:hint="eastAsia" w:ascii="宋体" w:hAnsi="宋体" w:eastAsia="宋体" w:cs="宋体"/>
          <w:color w:val="auto"/>
          <w:spacing w:val="0"/>
          <w:kern w:val="0"/>
          <w:sz w:val="21"/>
          <w:szCs w:val="21"/>
          <w:highlight w:val="none"/>
        </w:rPr>
        <w:t>对</w:t>
      </w:r>
      <w:r>
        <w:rPr>
          <w:rFonts w:hint="eastAsia" w:ascii="宋体" w:hAnsi="宋体" w:cs="宋体"/>
          <w:color w:val="auto"/>
          <w:spacing w:val="0"/>
          <w:kern w:val="0"/>
          <w:sz w:val="21"/>
          <w:szCs w:val="21"/>
          <w:highlight w:val="none"/>
          <w:lang w:val="en-US" w:eastAsia="zh-CN"/>
        </w:rPr>
        <w:t>经开区建成区</w:t>
      </w:r>
      <w:r>
        <w:rPr>
          <w:rFonts w:hint="eastAsia" w:ascii="宋体" w:hAnsi="宋体" w:eastAsia="宋体" w:cs="宋体"/>
          <w:color w:val="auto"/>
          <w:spacing w:val="0"/>
          <w:kern w:val="0"/>
          <w:sz w:val="21"/>
          <w:szCs w:val="21"/>
          <w:highlight w:val="none"/>
        </w:rPr>
        <w:t>内各企事业单位的生活及办公垃圾进行</w:t>
      </w:r>
      <w:r>
        <w:rPr>
          <w:rFonts w:hint="eastAsia" w:ascii="宋体" w:hAnsi="宋体" w:cs="宋体"/>
          <w:color w:val="auto"/>
          <w:spacing w:val="0"/>
          <w:kern w:val="0"/>
          <w:sz w:val="21"/>
          <w:szCs w:val="21"/>
          <w:highlight w:val="none"/>
          <w:lang w:val="en-US" w:eastAsia="zh-CN"/>
        </w:rPr>
        <w:t>中转、运输、除臭</w:t>
      </w:r>
      <w:r>
        <w:rPr>
          <w:rFonts w:hint="eastAsia" w:ascii="宋体" w:hAnsi="宋体" w:eastAsia="宋体" w:cs="宋体"/>
          <w:color w:val="auto"/>
          <w:spacing w:val="0"/>
          <w:kern w:val="0"/>
          <w:sz w:val="21"/>
          <w:szCs w:val="21"/>
          <w:highlight w:val="none"/>
        </w:rPr>
        <w:t>，年垃圾处理量暂按1.62634万吨计算，垃圾</w:t>
      </w:r>
      <w:r>
        <w:rPr>
          <w:rFonts w:hint="eastAsia" w:ascii="宋体" w:hAnsi="宋体" w:cs="宋体"/>
          <w:color w:val="auto"/>
          <w:spacing w:val="0"/>
          <w:kern w:val="0"/>
          <w:sz w:val="21"/>
          <w:szCs w:val="21"/>
          <w:highlight w:val="none"/>
          <w:lang w:val="en-US" w:eastAsia="zh-CN"/>
        </w:rPr>
        <w:t>直</w:t>
      </w:r>
      <w:r>
        <w:rPr>
          <w:rFonts w:hint="eastAsia" w:ascii="宋体" w:hAnsi="宋体" w:eastAsia="宋体" w:cs="宋体"/>
          <w:color w:val="auto"/>
          <w:spacing w:val="0"/>
          <w:kern w:val="0"/>
          <w:sz w:val="21"/>
          <w:szCs w:val="21"/>
          <w:highlight w:val="none"/>
        </w:rPr>
        <w:t>运至</w:t>
      </w:r>
      <w:r>
        <w:rPr>
          <w:rFonts w:hint="eastAsia" w:ascii="宋体" w:hAnsi="宋体" w:cs="宋体"/>
          <w:color w:val="auto"/>
          <w:spacing w:val="0"/>
          <w:kern w:val="0"/>
          <w:sz w:val="21"/>
          <w:szCs w:val="21"/>
          <w:highlight w:val="none"/>
          <w:lang w:val="en-US" w:eastAsia="zh-CN"/>
        </w:rPr>
        <w:t>市级指定终端</w:t>
      </w:r>
      <w:r>
        <w:rPr>
          <w:rFonts w:hint="eastAsia" w:ascii="宋体" w:hAnsi="宋体" w:eastAsia="宋体" w:cs="宋体"/>
          <w:color w:val="auto"/>
          <w:spacing w:val="0"/>
          <w:kern w:val="0"/>
          <w:sz w:val="21"/>
          <w:szCs w:val="21"/>
          <w:highlight w:val="none"/>
        </w:rPr>
        <w:t>,对兴漓垃圾站、机扫垃圾暂存点、分拣中心的日常维护管理，达到南京市相关考核要求，实施内容以最终</w:t>
      </w:r>
      <w:r>
        <w:rPr>
          <w:rFonts w:hint="eastAsia" w:ascii="宋体" w:hAnsi="宋体" w:cs="宋体"/>
          <w:color w:val="auto"/>
          <w:spacing w:val="0"/>
          <w:kern w:val="0"/>
          <w:sz w:val="21"/>
          <w:szCs w:val="21"/>
          <w:highlight w:val="none"/>
          <w:lang w:eastAsia="zh-CN"/>
        </w:rPr>
        <w:t>采购人</w:t>
      </w:r>
      <w:r>
        <w:rPr>
          <w:rFonts w:hint="eastAsia" w:ascii="宋体" w:hAnsi="宋体" w:eastAsia="宋体" w:cs="宋体"/>
          <w:color w:val="auto"/>
          <w:spacing w:val="0"/>
          <w:kern w:val="0"/>
          <w:sz w:val="21"/>
          <w:szCs w:val="21"/>
          <w:highlight w:val="none"/>
        </w:rPr>
        <w:t>确认为准。</w:t>
      </w:r>
    </w:p>
    <w:p w14:paraId="00C4BD2A">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二、项目总要求</w:t>
      </w:r>
    </w:p>
    <w:p w14:paraId="7A13335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1、项目承包期：三年，合同一年一签，经考核合格后续签下一年度合同，</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须在签订合同前向</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提交业务交接方案。业务交接方案经</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确认后，须在合同签订生效之日起5个工作日内完成全部交接工作并进场开展工作，并保证做好与</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及下一轮中标供应商的交接工作。</w:t>
      </w:r>
    </w:p>
    <w:p w14:paraId="77D9678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不得在合同期限内将承包项目转包</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分包。</w:t>
      </w:r>
    </w:p>
    <w:p w14:paraId="2A001DA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必须依照我国《劳动合同法》的有关规定与环卫工人签订劳动合同。</w:t>
      </w:r>
    </w:p>
    <w:p w14:paraId="4AAC367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拟投入本项目的环卫机械设备须按照国家、省、市相关规定执行，若达不到</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的要求，</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可以对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进行扣分处罚。</w:t>
      </w:r>
    </w:p>
    <w:p w14:paraId="7998B71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应根据作业范围内相应片区的服务需求，制定并不断完善各项管理规章制度、人力资源管理方案、具体的日常岗位工作安排和应急管理方案以及员工管理制度和奖惩条例并提交给</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备案，若存在不符合规定或不合理，</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有权要求其修订相关制度并监督其执行。</w:t>
      </w:r>
    </w:p>
    <w:p w14:paraId="34722CA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dstrike/>
          <w:snapToGrid w:val="0"/>
          <w:color w:val="auto"/>
          <w:sz w:val="21"/>
          <w:szCs w:val="21"/>
          <w:highlight w:val="none"/>
        </w:rPr>
      </w:pPr>
      <w:r>
        <w:rPr>
          <w:rFonts w:hint="eastAsia" w:ascii="宋体" w:hAnsi="宋体" w:eastAsia="宋体" w:cs="宋体"/>
          <w:snapToGrid w:val="0"/>
          <w:color w:val="auto"/>
          <w:sz w:val="21"/>
          <w:szCs w:val="21"/>
          <w:highlight w:val="none"/>
        </w:rPr>
        <w:t>6、</w:t>
      </w:r>
      <w:r>
        <w:rPr>
          <w:rFonts w:hint="eastAsia" w:ascii="宋体" w:hAnsi="宋体" w:cs="宋体"/>
          <w:snapToGrid w:val="0"/>
          <w:color w:val="auto"/>
          <w:sz w:val="21"/>
          <w:szCs w:val="21"/>
          <w:highlight w:val="none"/>
          <w:lang w:eastAsia="zh-CN"/>
        </w:rPr>
        <w:t>项目服务期间</w:t>
      </w:r>
      <w:r>
        <w:rPr>
          <w:rFonts w:hint="eastAsia" w:ascii="宋体" w:hAnsi="宋体" w:eastAsia="宋体" w:cs="宋体"/>
          <w:snapToGrid w:val="0"/>
          <w:color w:val="auto"/>
          <w:sz w:val="21"/>
          <w:szCs w:val="21"/>
          <w:highlight w:val="none"/>
        </w:rPr>
        <w:t>因突发等不可抗力因素需要紧急临时增加人员投入时，</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及其员工应</w:t>
      </w:r>
      <w:r>
        <w:rPr>
          <w:rFonts w:hint="eastAsia" w:ascii="宋体" w:hAnsi="宋体" w:cs="宋体"/>
          <w:snapToGrid w:val="0"/>
          <w:color w:val="auto"/>
          <w:sz w:val="21"/>
          <w:szCs w:val="21"/>
          <w:highlight w:val="none"/>
          <w:lang w:val="en-US" w:eastAsia="zh-CN"/>
        </w:rPr>
        <w:t>按</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的调遣和指挥并参与应急或加班工作。</w:t>
      </w:r>
    </w:p>
    <w:p w14:paraId="47D79D27">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7、为保证服务质量，</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对所录用人员要严格审查，保证录用人员没有刑事犯罪记录，身体健康。</w:t>
      </w:r>
    </w:p>
    <w:p w14:paraId="055CBD7A">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8、</w:t>
      </w:r>
      <w:r>
        <w:rPr>
          <w:rFonts w:hint="eastAsia" w:ascii="宋体" w:hAnsi="宋体" w:cs="宋体"/>
          <w:color w:val="auto"/>
          <w:kern w:val="0"/>
          <w:szCs w:val="21"/>
          <w:highlight w:val="none"/>
        </w:rPr>
        <w:t>本项目的项目负责人不得随意变更，如确需变更，应经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书面同意，并同时向</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缴纳违约金2万元/人次。其他用工人员如需变更，需经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许可；每年人员变动不得超过总人数的10%。</w:t>
      </w:r>
    </w:p>
    <w:p w14:paraId="69EC398D">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9</w:t>
      </w:r>
      <w:r>
        <w:rPr>
          <w:rFonts w:hint="eastAsia" w:ascii="宋体" w:hAnsi="宋体" w:eastAsia="宋体" w:cs="宋体"/>
          <w:snapToGrid w:val="0"/>
          <w:color w:val="auto"/>
          <w:sz w:val="21"/>
          <w:szCs w:val="21"/>
          <w:highlight w:val="none"/>
        </w:rPr>
        <w:t>、</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应按国家有关法律法规加强安全生产管理。</w:t>
      </w:r>
    </w:p>
    <w:p w14:paraId="48BDF65B">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10</w:t>
      </w:r>
      <w:r>
        <w:rPr>
          <w:rFonts w:hint="eastAsia" w:ascii="宋体" w:hAnsi="宋体" w:eastAsia="宋体" w:cs="宋体"/>
          <w:snapToGrid w:val="0"/>
          <w:color w:val="auto"/>
          <w:sz w:val="21"/>
          <w:szCs w:val="21"/>
          <w:highlight w:val="none"/>
        </w:rPr>
        <w:t>、合同期间，因</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单方面终止合同的，</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将按其违约进行处理（不可抗力因素除外）</w:t>
      </w:r>
    </w:p>
    <w:p w14:paraId="2B07D913">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三、作业规范和质量要求</w:t>
      </w:r>
    </w:p>
    <w:p w14:paraId="15539D37">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1、应做到垃圾日产日清，垃圾转运站及周边应保持卫生清洁，无臭味，站内无垃圾杂物堆积。</w:t>
      </w:r>
    </w:p>
    <w:p w14:paraId="21F9D66B">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2、垃圾装车点必须专人管理，桶容干净，无垃圾落地，不造成环境的二次污染。</w:t>
      </w:r>
    </w:p>
    <w:p w14:paraId="68F00293">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3、需做好车辆的定期保养及日常维修工作，保险费、保养费及维修费由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支付，垃圾清运车辆如因保养不及时造成损坏并影响生产，</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将对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进行考核。</w:t>
      </w:r>
    </w:p>
    <w:p w14:paraId="114A207C">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4、垃圾站机械应定期进行保养、</w:t>
      </w:r>
      <w:r>
        <w:rPr>
          <w:rFonts w:hint="eastAsia" w:ascii="宋体" w:hAnsi="宋体" w:cs="宋体"/>
          <w:snapToGrid w:val="0"/>
          <w:color w:val="auto"/>
          <w:sz w:val="21"/>
          <w:szCs w:val="21"/>
          <w:highlight w:val="none"/>
          <w:lang w:val="en-US" w:eastAsia="zh-CN"/>
        </w:rPr>
        <w:t>日常</w:t>
      </w:r>
      <w:r>
        <w:rPr>
          <w:rFonts w:hint="eastAsia" w:ascii="宋体" w:hAnsi="宋体" w:eastAsia="宋体" w:cs="宋体"/>
          <w:snapToGrid w:val="0"/>
          <w:color w:val="auto"/>
          <w:sz w:val="21"/>
          <w:szCs w:val="21"/>
          <w:highlight w:val="none"/>
        </w:rPr>
        <w:t>维修</w:t>
      </w:r>
      <w:r>
        <w:rPr>
          <w:rFonts w:hint="eastAsia" w:ascii="宋体" w:hAnsi="宋体" w:cs="宋体"/>
          <w:snapToGrid w:val="0"/>
          <w:color w:val="auto"/>
          <w:sz w:val="21"/>
          <w:szCs w:val="21"/>
          <w:highlight w:val="none"/>
          <w:lang w:val="en-US" w:eastAsia="zh-CN"/>
        </w:rPr>
        <w:t>及中转站内所有设施维修</w:t>
      </w:r>
      <w:r>
        <w:rPr>
          <w:rFonts w:hint="eastAsia" w:ascii="宋体" w:hAnsi="宋体" w:eastAsia="宋体" w:cs="宋体"/>
          <w:snapToGrid w:val="0"/>
          <w:color w:val="auto"/>
          <w:sz w:val="21"/>
          <w:szCs w:val="21"/>
          <w:highlight w:val="none"/>
        </w:rPr>
        <w:t>工作，保险费、保养费及维修费由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支付，如因保养不及时造成损坏并影响生产，</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将对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进行考核。</w:t>
      </w:r>
    </w:p>
    <w:p w14:paraId="753437EC">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负责做好</w:t>
      </w:r>
      <w:r>
        <w:rPr>
          <w:rFonts w:hint="eastAsia" w:ascii="宋体" w:hAnsi="宋体" w:cs="宋体"/>
          <w:snapToGrid w:val="0"/>
          <w:color w:val="auto"/>
          <w:sz w:val="21"/>
          <w:szCs w:val="21"/>
          <w:highlight w:val="none"/>
          <w:lang w:val="en-US" w:eastAsia="zh-CN"/>
        </w:rPr>
        <w:t>项目</w:t>
      </w:r>
      <w:r>
        <w:rPr>
          <w:rFonts w:hint="eastAsia" w:ascii="宋体" w:hAnsi="宋体" w:eastAsia="宋体" w:cs="宋体"/>
          <w:snapToGrid w:val="0"/>
          <w:color w:val="auto"/>
          <w:sz w:val="21"/>
          <w:szCs w:val="21"/>
          <w:highlight w:val="none"/>
        </w:rPr>
        <w:t>范围区域内生活垃圾的压缩运输工作。</w:t>
      </w:r>
    </w:p>
    <w:p w14:paraId="295A84A9">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6、作业期间必须按规定穿着统一的环卫工作服、反光衣（带）等，工作服、反光衣（带）由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负责投入。</w:t>
      </w:r>
    </w:p>
    <w:p w14:paraId="7DCC949D">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须接受</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对作业质量的监管，并做好重大检查、活动期间，或紧急情况下的环卫作业。</w:t>
      </w:r>
    </w:p>
    <w:p w14:paraId="2490CF99">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8、在执行临时性、阶段性任务（含国家、省、市检查，突击整治，重大活动等）期间，其作业质量要求高于上述标准的，按该任务的具体要求执行。</w:t>
      </w:r>
    </w:p>
    <w:p w14:paraId="3BBD662D">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9、</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应做好应对自然灾害及突发事件的应急工作方案及其实施工作。</w:t>
      </w:r>
    </w:p>
    <w:p w14:paraId="73D4ABF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四、作业日常检查及考核评分标准</w:t>
      </w:r>
    </w:p>
    <w:p w14:paraId="76488E4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须接受</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的监督管理和考核，对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作业情况进行定期和不定期检查考核，监督管理和考核按</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颁布的最新办法和标准执行。</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将根据</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每月考核扣分额度核定当月的</w:t>
      </w:r>
      <w:r>
        <w:rPr>
          <w:rFonts w:hint="eastAsia" w:ascii="宋体" w:hAnsi="宋体" w:cs="宋体"/>
          <w:snapToGrid w:val="0"/>
          <w:color w:val="auto"/>
          <w:sz w:val="21"/>
          <w:szCs w:val="21"/>
          <w:highlight w:val="none"/>
          <w:lang w:val="en-US" w:eastAsia="zh-CN"/>
        </w:rPr>
        <w:t>项目</w:t>
      </w:r>
      <w:r>
        <w:rPr>
          <w:rFonts w:hint="eastAsia" w:ascii="宋体" w:hAnsi="宋体" w:eastAsia="宋体" w:cs="宋体"/>
          <w:snapToGrid w:val="0"/>
          <w:color w:val="auto"/>
          <w:sz w:val="21"/>
          <w:szCs w:val="21"/>
          <w:highlight w:val="none"/>
        </w:rPr>
        <w:t>经费。</w:t>
      </w:r>
    </w:p>
    <w:p w14:paraId="7589527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组织对本项目进行全覆盖检查考核，全面掌握本项目规范执行情况和卫生质量状况，并且每月按一定比例抽查部分项目并对日常检查发现的部分问题进行复检。</w:t>
      </w:r>
    </w:p>
    <w:p w14:paraId="541107A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①日常检查</w:t>
      </w:r>
    </w:p>
    <w:p w14:paraId="70402C6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检查安排。日常检查发现重大卫生问题立即责成</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进行整改，并形成环境卫生日常检查记录，检查结果纳入当月考核评分。</w:t>
      </w:r>
    </w:p>
    <w:p w14:paraId="543F8EF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检查要求。现场检查采取车行与步行相结合，对被检项目进行全覆盖检查。对检查中发现的问题，当场以书面和拍照（录像）等方式进行详细记录并通知</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管理人员赴现场确认并处理（20分钟内该区域</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管理人员无到现场，视为默认处理）。每天检查结束后，对检查情况进行汇总整理（包括书面材料、电子文档和影像资料）和标识归类，并形成环境卫生日常检查记录。将现场检查获取的相关影像资料保存3个月，以便</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对以往检查记录和影像资料进行查询。日常检查实施单位每周统计检查考核情况，将一周日常检查发现的问题以书面或电子文档形式通知</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落实整改，并根据环境卫生管理动态对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提出改进要求和指导意见。</w:t>
      </w:r>
    </w:p>
    <w:p w14:paraId="086A41B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②月度检查</w:t>
      </w:r>
    </w:p>
    <w:p w14:paraId="6C04D14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检查安排。结合日常检查情况，每月按一定比例抽查部分项目并对日常检查发现的部分问题进行复检，检查结果纳入当月考核评分。</w:t>
      </w:r>
    </w:p>
    <w:p w14:paraId="6A50FB7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检查要求。重点检查窗口区域、以往日常检查发现的问题，以及有关部门督办事项，包括：一是出现卫生问题被有关部门发现或督办的；二是日常检查中卫生问题突出的，如路面暴露垃圾较多、垃圾收集点垃圾散落污水横溢等；三是长效保洁工作不落实，反复出现卫生问题的。对检查中发现的问题，当场以书面和拍照（录像）等方式进行详细记录并通知</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管理人员赴现场确认并处理（20分钟内该区域</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管理人员无到现场，视为默认处理），每次检查结束后，及时汇总检查记录并按标准评分，形成月检报告由负责人签名确认后保存，并组织</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的负责人召开例会，总结、通报本月检查情况并提出整改意见，部署次月环卫管理工作重点。</w:t>
      </w:r>
    </w:p>
    <w:p w14:paraId="21A8F81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3、经费支付</w:t>
      </w:r>
    </w:p>
    <w:p w14:paraId="3E0674E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val="0"/>
          <w:bCs/>
          <w:snapToGrid w:val="0"/>
          <w:color w:val="auto"/>
          <w:sz w:val="21"/>
          <w:szCs w:val="21"/>
          <w:highlight w:val="none"/>
        </w:rPr>
        <w:t>合同签订且工作实施6个月后，能达到考核标准，支付</w:t>
      </w:r>
      <w:r>
        <w:rPr>
          <w:rFonts w:hint="eastAsia" w:ascii="宋体" w:hAnsi="宋体" w:cs="宋体"/>
          <w:b w:val="0"/>
          <w:bCs/>
          <w:snapToGrid w:val="0"/>
          <w:color w:val="auto"/>
          <w:sz w:val="21"/>
          <w:szCs w:val="21"/>
          <w:highlight w:val="none"/>
          <w:lang w:val="en-US" w:eastAsia="zh-CN"/>
        </w:rPr>
        <w:t>单年度合同总额</w:t>
      </w:r>
      <w:r>
        <w:rPr>
          <w:rFonts w:hint="eastAsia" w:ascii="宋体" w:hAnsi="宋体" w:eastAsia="宋体" w:cs="宋体"/>
          <w:b w:val="0"/>
          <w:bCs/>
          <w:snapToGrid w:val="0"/>
          <w:color w:val="auto"/>
          <w:sz w:val="21"/>
          <w:szCs w:val="21"/>
          <w:highlight w:val="none"/>
        </w:rPr>
        <w:t>的50%（须扣除当期考核绩效费用），</w:t>
      </w:r>
      <w:r>
        <w:rPr>
          <w:rFonts w:hint="eastAsia" w:ascii="宋体" w:hAnsi="宋体" w:cs="宋体"/>
          <w:b w:val="0"/>
          <w:bCs/>
          <w:snapToGrid w:val="0"/>
          <w:color w:val="auto"/>
          <w:sz w:val="21"/>
          <w:szCs w:val="21"/>
          <w:highlight w:val="none"/>
          <w:lang w:val="en-US" w:eastAsia="zh-CN"/>
        </w:rPr>
        <w:t>服务</w:t>
      </w:r>
      <w:r>
        <w:rPr>
          <w:rFonts w:hint="eastAsia" w:ascii="宋体" w:hAnsi="宋体" w:eastAsia="宋体" w:cs="宋体"/>
          <w:b w:val="0"/>
          <w:bCs/>
          <w:snapToGrid w:val="0"/>
          <w:color w:val="auto"/>
          <w:sz w:val="21"/>
          <w:szCs w:val="21"/>
          <w:highlight w:val="none"/>
        </w:rPr>
        <w:t>期满后，完成全年考核任务支付剩余50%（须扣除当期考核绩效费用）</w:t>
      </w:r>
      <w:r>
        <w:rPr>
          <w:rFonts w:hint="eastAsia" w:ascii="宋体" w:hAnsi="宋体" w:cs="宋体"/>
          <w:b w:val="0"/>
          <w:bCs/>
          <w:snapToGrid w:val="0"/>
          <w:color w:val="auto"/>
          <w:sz w:val="21"/>
          <w:szCs w:val="21"/>
          <w:highlight w:val="none"/>
          <w:lang w:val="en-US" w:eastAsia="zh-CN"/>
        </w:rPr>
        <w:t>服务</w:t>
      </w:r>
      <w:r>
        <w:rPr>
          <w:rFonts w:hint="eastAsia" w:ascii="宋体" w:hAnsi="宋体" w:eastAsia="宋体" w:cs="宋体"/>
          <w:b w:val="0"/>
          <w:bCs/>
          <w:snapToGrid w:val="0"/>
          <w:color w:val="auto"/>
          <w:sz w:val="21"/>
          <w:szCs w:val="21"/>
          <w:highlight w:val="none"/>
        </w:rPr>
        <w:t>费用。付款时扣除当期考核罚款(以业主日常考核记录为准)。如全年考核中累计有3个月及以上月度考核得分低于90分，不再续签合同，视为不能正常履行合约。每次付款前，</w:t>
      </w:r>
      <w:r>
        <w:rPr>
          <w:rFonts w:hint="eastAsia" w:ascii="宋体" w:hAnsi="宋体" w:cs="宋体"/>
          <w:b w:val="0"/>
          <w:bCs/>
          <w:snapToGrid w:val="0"/>
          <w:color w:val="auto"/>
          <w:sz w:val="21"/>
          <w:szCs w:val="21"/>
          <w:highlight w:val="none"/>
          <w:lang w:val="en-US" w:eastAsia="zh-CN"/>
        </w:rPr>
        <w:t>供应商</w:t>
      </w:r>
      <w:r>
        <w:rPr>
          <w:rFonts w:hint="eastAsia" w:ascii="宋体" w:hAnsi="宋体" w:eastAsia="宋体" w:cs="宋体"/>
          <w:b w:val="0"/>
          <w:bCs/>
          <w:snapToGrid w:val="0"/>
          <w:color w:val="auto"/>
          <w:sz w:val="21"/>
          <w:szCs w:val="21"/>
          <w:highlight w:val="none"/>
        </w:rPr>
        <w:t>应当提交付款申请以及同等金额的增值税专用发票，</w:t>
      </w:r>
      <w:r>
        <w:rPr>
          <w:rFonts w:hint="eastAsia" w:ascii="宋体" w:hAnsi="宋体" w:cs="宋体"/>
          <w:b w:val="0"/>
          <w:bCs/>
          <w:snapToGrid w:val="0"/>
          <w:color w:val="auto"/>
          <w:sz w:val="21"/>
          <w:szCs w:val="21"/>
          <w:highlight w:val="none"/>
          <w:lang w:val="en-US" w:eastAsia="zh-CN"/>
        </w:rPr>
        <w:t>采购人</w:t>
      </w:r>
      <w:r>
        <w:rPr>
          <w:rFonts w:hint="eastAsia" w:ascii="宋体" w:hAnsi="宋体" w:eastAsia="宋体" w:cs="宋体"/>
          <w:b w:val="0"/>
          <w:bCs/>
          <w:snapToGrid w:val="0"/>
          <w:color w:val="auto"/>
          <w:sz w:val="21"/>
          <w:szCs w:val="21"/>
          <w:highlight w:val="none"/>
        </w:rPr>
        <w:t>复核无误后将在30日内支付。</w:t>
      </w:r>
    </w:p>
    <w:p w14:paraId="36A6BE8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五、</w:t>
      </w:r>
      <w:r>
        <w:rPr>
          <w:rFonts w:hint="eastAsia" w:ascii="宋体" w:hAnsi="宋体" w:cs="宋体"/>
          <w:b/>
          <w:snapToGrid w:val="0"/>
          <w:color w:val="auto"/>
          <w:sz w:val="21"/>
          <w:szCs w:val="21"/>
          <w:highlight w:val="none"/>
          <w:lang w:val="en-US" w:eastAsia="zh-CN"/>
        </w:rPr>
        <w:t>服务</w:t>
      </w:r>
      <w:r>
        <w:rPr>
          <w:rFonts w:hint="eastAsia" w:ascii="宋体" w:hAnsi="宋体" w:eastAsia="宋体" w:cs="宋体"/>
          <w:b/>
          <w:snapToGrid w:val="0"/>
          <w:color w:val="auto"/>
          <w:sz w:val="21"/>
          <w:szCs w:val="21"/>
          <w:highlight w:val="none"/>
        </w:rPr>
        <w:t>责任</w:t>
      </w:r>
    </w:p>
    <w:p w14:paraId="4E48722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应建立完整的服务组织机构，组织机构总人数满足承包任务的需求。</w:t>
      </w:r>
    </w:p>
    <w:p w14:paraId="213978C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应严格按有关部门的要求，制定文明作业制度、设备设施使用维护制度、员工管理制度等有关规章制度，按规定经过有关程序后，依法向劳动主管部门备案，并于合同签署之日起30日内提供给</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备案，</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有权对</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的执行情况进行监督。</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如有违反，</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可要求</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进行整改。</w:t>
      </w:r>
    </w:p>
    <w:p w14:paraId="284F4D3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负责本公司人员的思想教育，专业培训，做到遵纪守法。</w:t>
      </w:r>
    </w:p>
    <w:p w14:paraId="75A3F1A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4、在履行合同的过程中，</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及其员工给他人造成人身伤亡和财产损失的，由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自行承担一切责任。</w:t>
      </w:r>
    </w:p>
    <w:p w14:paraId="0363539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cs="宋体"/>
          <w:snapToGrid w:val="0"/>
          <w:color w:val="auto"/>
          <w:sz w:val="21"/>
          <w:szCs w:val="21"/>
          <w:highlight w:val="none"/>
          <w:lang w:val="en-US" w:eastAsia="zh-CN"/>
        </w:rPr>
        <w:t>服务</w:t>
      </w:r>
      <w:r>
        <w:rPr>
          <w:rFonts w:hint="eastAsia" w:ascii="宋体" w:hAnsi="宋体" w:eastAsia="宋体" w:cs="宋体"/>
          <w:snapToGrid w:val="0"/>
          <w:color w:val="auto"/>
          <w:sz w:val="21"/>
          <w:szCs w:val="21"/>
          <w:highlight w:val="none"/>
        </w:rPr>
        <w:t>期间，</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应自行承担因履行合同所产生的债权债务等一切经济责任；自觉遵守各项管理规定，包括但不限于治安、交通、消防、劳动法律法规等，</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因违反上述规定而导致的行政和经济责任，均由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自行承担相应责任。由此而给</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造成损失的，</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有权向</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追偿。</w:t>
      </w:r>
    </w:p>
    <w:p w14:paraId="6FC7E7E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六、违约责任</w:t>
      </w:r>
    </w:p>
    <w:p w14:paraId="1A86491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不得将承包项目转包</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分包，否则将视为</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严重违约，</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有权单方解除合同，并有权追偿由此给</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造成的经济损失</w:t>
      </w:r>
      <w:r>
        <w:rPr>
          <w:rFonts w:hint="eastAsia" w:ascii="宋体" w:hAnsi="宋体" w:cs="宋体"/>
          <w:snapToGrid w:val="0"/>
          <w:color w:val="auto"/>
          <w:sz w:val="21"/>
          <w:szCs w:val="21"/>
          <w:highlight w:val="none"/>
          <w:lang w:eastAsia="zh-CN"/>
        </w:rPr>
        <w:t>。</w:t>
      </w:r>
    </w:p>
    <w:p w14:paraId="04AD49F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2、在执行临时性、阶段性任务（含国家、省、市检查，突击整治，重大活动等）期间，</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的作业质量未能达到规定的要求，</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可另行安排人员进行作业，并按所发生的实际开支费用的2倍扣减</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当月的承包经费。</w:t>
      </w:r>
    </w:p>
    <w:p w14:paraId="7AE0000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cs="宋体"/>
          <w:snapToGrid w:val="0"/>
          <w:color w:val="auto"/>
          <w:sz w:val="21"/>
          <w:szCs w:val="21"/>
          <w:highlight w:val="none"/>
          <w:lang w:val="en-US" w:eastAsia="zh-CN"/>
        </w:rPr>
        <w:t>服务</w:t>
      </w:r>
      <w:r>
        <w:rPr>
          <w:rFonts w:hint="eastAsia" w:ascii="宋体" w:hAnsi="宋体" w:eastAsia="宋体" w:cs="宋体"/>
          <w:snapToGrid w:val="0"/>
          <w:color w:val="auto"/>
          <w:sz w:val="21"/>
          <w:szCs w:val="21"/>
          <w:highlight w:val="none"/>
        </w:rPr>
        <w:t>期间，如因</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在本承包项目范围内违反法律、法规及国家有关政策而受到政府有关部门的处分、处罚的，而无法继续履行合同的，</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有权单方面解除合同，不承担任何法律责任及经济补偿。</w:t>
      </w:r>
    </w:p>
    <w:p w14:paraId="2597FCD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w:t>
      </w:r>
      <w:r>
        <w:rPr>
          <w:rFonts w:hint="eastAsia" w:ascii="宋体" w:hAnsi="宋体" w:cs="宋体"/>
          <w:snapToGrid w:val="0"/>
          <w:color w:val="auto"/>
          <w:sz w:val="21"/>
          <w:szCs w:val="21"/>
          <w:highlight w:val="none"/>
          <w:lang w:val="en-US" w:eastAsia="zh-CN"/>
        </w:rPr>
        <w:t>服务</w:t>
      </w:r>
      <w:r>
        <w:rPr>
          <w:rFonts w:hint="eastAsia" w:ascii="宋体" w:hAnsi="宋体" w:eastAsia="宋体" w:cs="宋体"/>
          <w:snapToGrid w:val="0"/>
          <w:color w:val="auto"/>
          <w:sz w:val="21"/>
          <w:szCs w:val="21"/>
          <w:highlight w:val="none"/>
        </w:rPr>
        <w:t>期间，双方必须严格履行合同，在执行过程中，如遇未尽事宜（含政府有关部门的政策、作业标准、作业时间、收费管理调整等），双方可协商解决，并签署书面补充合同。</w:t>
      </w:r>
    </w:p>
    <w:p w14:paraId="08283AD5">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cs="宋体"/>
          <w:snapToGrid w:val="0"/>
          <w:color w:val="auto"/>
          <w:sz w:val="21"/>
          <w:szCs w:val="21"/>
          <w:highlight w:val="none"/>
          <w:lang w:val="en-US" w:eastAsia="zh-CN"/>
        </w:rPr>
        <w:t>服务</w:t>
      </w:r>
      <w:r>
        <w:rPr>
          <w:rFonts w:hint="eastAsia" w:ascii="宋体" w:hAnsi="宋体" w:eastAsia="宋体" w:cs="宋体"/>
          <w:snapToGrid w:val="0"/>
          <w:color w:val="auto"/>
          <w:sz w:val="21"/>
          <w:szCs w:val="21"/>
          <w:highlight w:val="none"/>
        </w:rPr>
        <w:t>期间，除合同约定外，任何一方不得无故终止合同，否则视为违约，违约方需按合同规定的一年中标金额的1</w:t>
      </w:r>
      <w:r>
        <w:rPr>
          <w:rFonts w:hint="eastAsia" w:ascii="宋体" w:hAnsi="宋体" w:cs="宋体"/>
          <w:snapToGrid w:val="0"/>
          <w:color w:val="auto"/>
          <w:sz w:val="21"/>
          <w:szCs w:val="21"/>
          <w:highlight w:val="none"/>
          <w:lang w:val="en-US" w:eastAsia="zh-CN"/>
        </w:rPr>
        <w:t>5</w:t>
      </w:r>
      <w:r>
        <w:rPr>
          <w:rFonts w:hint="eastAsia" w:ascii="宋体" w:hAnsi="宋体" w:eastAsia="宋体" w:cs="宋体"/>
          <w:snapToGrid w:val="0"/>
          <w:color w:val="auto"/>
          <w:sz w:val="21"/>
          <w:szCs w:val="21"/>
          <w:highlight w:val="none"/>
        </w:rPr>
        <w:t>%向对方支付违约金。</w:t>
      </w:r>
    </w:p>
    <w:p w14:paraId="5CBC076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2" w:firstLineChars="200"/>
        <w:textAlignment w:val="auto"/>
        <w:rPr>
          <w:rFonts w:hint="default" w:ascii="宋体" w:hAnsi="宋体" w:cs="宋体"/>
          <w:b/>
          <w:snapToGrid w:val="0"/>
          <w:color w:val="auto"/>
          <w:sz w:val="21"/>
          <w:szCs w:val="21"/>
          <w:highlight w:val="none"/>
          <w:lang w:val="en-US" w:eastAsia="zh-CN"/>
        </w:rPr>
      </w:pPr>
      <w:r>
        <w:rPr>
          <w:rFonts w:hint="eastAsia" w:ascii="宋体" w:hAnsi="宋体" w:cs="宋体"/>
          <w:b/>
          <w:snapToGrid w:val="0"/>
          <w:color w:val="auto"/>
          <w:sz w:val="21"/>
          <w:szCs w:val="21"/>
          <w:highlight w:val="none"/>
          <w:lang w:val="en-US" w:eastAsia="zh-CN"/>
        </w:rPr>
        <w:t>七、设施量明细表</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超过单价限价的按无效投标处理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493"/>
        <w:gridCol w:w="1755"/>
        <w:gridCol w:w="2164"/>
        <w:gridCol w:w="862"/>
      </w:tblGrid>
      <w:tr w14:paraId="2ED7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69" w:type="dxa"/>
            <w:vAlign w:val="center"/>
          </w:tcPr>
          <w:p w14:paraId="5F7652C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序号</w:t>
            </w:r>
          </w:p>
        </w:tc>
        <w:tc>
          <w:tcPr>
            <w:tcW w:w="1493" w:type="dxa"/>
            <w:vAlign w:val="center"/>
          </w:tcPr>
          <w:p w14:paraId="7D43E3A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项目</w:t>
            </w:r>
          </w:p>
        </w:tc>
        <w:tc>
          <w:tcPr>
            <w:tcW w:w="1755" w:type="dxa"/>
            <w:vAlign w:val="center"/>
          </w:tcPr>
          <w:p w14:paraId="4E23679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工作量（暂定）</w:t>
            </w:r>
          </w:p>
        </w:tc>
        <w:tc>
          <w:tcPr>
            <w:tcW w:w="2164" w:type="dxa"/>
            <w:vAlign w:val="center"/>
          </w:tcPr>
          <w:p w14:paraId="2435C1E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单价限价（一年）</w:t>
            </w:r>
          </w:p>
        </w:tc>
        <w:tc>
          <w:tcPr>
            <w:tcW w:w="862" w:type="dxa"/>
            <w:vAlign w:val="center"/>
          </w:tcPr>
          <w:p w14:paraId="71CF590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备注</w:t>
            </w:r>
          </w:p>
        </w:tc>
      </w:tr>
      <w:tr w14:paraId="272E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71FB63E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w:t>
            </w:r>
          </w:p>
        </w:tc>
        <w:tc>
          <w:tcPr>
            <w:tcW w:w="1493" w:type="dxa"/>
            <w:vAlign w:val="center"/>
          </w:tcPr>
          <w:p w14:paraId="235AFBB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垃圾中转</w:t>
            </w:r>
          </w:p>
        </w:tc>
        <w:tc>
          <w:tcPr>
            <w:tcW w:w="1755" w:type="dxa"/>
            <w:vAlign w:val="center"/>
          </w:tcPr>
          <w:p w14:paraId="05B867C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1.62634万吨</w:t>
            </w:r>
          </w:p>
        </w:tc>
        <w:tc>
          <w:tcPr>
            <w:tcW w:w="2164" w:type="dxa"/>
            <w:vAlign w:val="center"/>
          </w:tcPr>
          <w:p w14:paraId="01ADC82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5.84元/吨</w:t>
            </w:r>
          </w:p>
        </w:tc>
        <w:tc>
          <w:tcPr>
            <w:tcW w:w="862" w:type="dxa"/>
            <w:vAlign w:val="center"/>
          </w:tcPr>
          <w:p w14:paraId="4353713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r>
      <w:tr w14:paraId="22AB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0982261D">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2</w:t>
            </w:r>
          </w:p>
        </w:tc>
        <w:tc>
          <w:tcPr>
            <w:tcW w:w="1493" w:type="dxa"/>
            <w:vAlign w:val="center"/>
          </w:tcPr>
          <w:p w14:paraId="375FCEA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垃圾运输</w:t>
            </w:r>
          </w:p>
        </w:tc>
        <w:tc>
          <w:tcPr>
            <w:tcW w:w="1755" w:type="dxa"/>
            <w:vAlign w:val="center"/>
          </w:tcPr>
          <w:p w14:paraId="206F34E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166公里</w:t>
            </w:r>
          </w:p>
          <w:p w14:paraId="5D2623F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（1.62634万吨）</w:t>
            </w:r>
          </w:p>
        </w:tc>
        <w:tc>
          <w:tcPr>
            <w:tcW w:w="2164" w:type="dxa"/>
            <w:vAlign w:val="center"/>
          </w:tcPr>
          <w:p w14:paraId="2BB4220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0.95元/吨/公里</w:t>
            </w:r>
          </w:p>
        </w:tc>
        <w:tc>
          <w:tcPr>
            <w:tcW w:w="862" w:type="dxa"/>
            <w:vAlign w:val="center"/>
          </w:tcPr>
          <w:p w14:paraId="01A5EDB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r>
      <w:tr w14:paraId="4494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1705A1F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3</w:t>
            </w:r>
          </w:p>
        </w:tc>
        <w:tc>
          <w:tcPr>
            <w:tcW w:w="1493" w:type="dxa"/>
            <w:vAlign w:val="center"/>
          </w:tcPr>
          <w:p w14:paraId="1BB952B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中转站除臭</w:t>
            </w:r>
          </w:p>
        </w:tc>
        <w:tc>
          <w:tcPr>
            <w:tcW w:w="1755" w:type="dxa"/>
            <w:vAlign w:val="center"/>
          </w:tcPr>
          <w:p w14:paraId="40D494B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1座</w:t>
            </w:r>
          </w:p>
        </w:tc>
        <w:tc>
          <w:tcPr>
            <w:tcW w:w="2164" w:type="dxa"/>
            <w:vAlign w:val="center"/>
          </w:tcPr>
          <w:p w14:paraId="51797C2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14400元/座</w:t>
            </w:r>
          </w:p>
        </w:tc>
        <w:tc>
          <w:tcPr>
            <w:tcW w:w="862" w:type="dxa"/>
            <w:vAlign w:val="center"/>
          </w:tcPr>
          <w:p w14:paraId="51AF536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r>
      <w:tr w14:paraId="0891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Align w:val="center"/>
          </w:tcPr>
          <w:p w14:paraId="693E6A85">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4</w:t>
            </w:r>
          </w:p>
        </w:tc>
        <w:tc>
          <w:tcPr>
            <w:tcW w:w="5412" w:type="dxa"/>
            <w:gridSpan w:val="3"/>
            <w:vAlign w:val="center"/>
          </w:tcPr>
          <w:p w14:paraId="1063ACD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both"/>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bCs w:val="0"/>
                <w:snapToGrid w:val="0"/>
                <w:color w:val="auto"/>
                <w:sz w:val="21"/>
                <w:szCs w:val="21"/>
                <w:highlight w:val="none"/>
                <w:vertAlign w:val="baseline"/>
                <w:lang w:val="en-US" w:eastAsia="zh-CN"/>
              </w:rPr>
              <w:t>备注：以上设施量为一年工作量，为</w:t>
            </w:r>
            <w:r>
              <w:rPr>
                <w:rFonts w:hint="eastAsia" w:ascii="宋体" w:hAnsi="宋体" w:eastAsia="宋体" w:cs="宋体"/>
                <w:b/>
                <w:bCs w:val="0"/>
                <w:color w:val="000000" w:themeColor="text1"/>
                <w:sz w:val="21"/>
                <w:szCs w:val="21"/>
                <w:highlight w:val="none"/>
                <w14:textFill>
                  <w14:solidFill>
                    <w14:schemeClr w14:val="tx1"/>
                  </w14:solidFill>
                </w14:textFill>
              </w:rPr>
              <w:t>预估量</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最终结算以采购人实际审核为准</w:t>
            </w:r>
            <w:r>
              <w:rPr>
                <w:rFonts w:hint="eastAsia" w:ascii="宋体" w:hAnsi="宋体" w:cs="宋体"/>
                <w:b/>
                <w:bCs w:val="0"/>
                <w:snapToGrid w:val="0"/>
                <w:color w:val="auto"/>
                <w:sz w:val="21"/>
                <w:szCs w:val="21"/>
                <w:highlight w:val="none"/>
                <w:vertAlign w:val="baseline"/>
                <w:lang w:val="en-US" w:eastAsia="zh-CN"/>
              </w:rPr>
              <w:t>。</w:t>
            </w:r>
          </w:p>
        </w:tc>
        <w:tc>
          <w:tcPr>
            <w:tcW w:w="862" w:type="dxa"/>
            <w:vAlign w:val="center"/>
          </w:tcPr>
          <w:p w14:paraId="3FF1640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r>
    </w:tbl>
    <w:p w14:paraId="0270E7D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报价要求：</w:t>
      </w:r>
    </w:p>
    <w:p w14:paraId="40A432A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cs="宋体"/>
          <w:b/>
          <w:snapToGrid w:val="0"/>
          <w:color w:val="auto"/>
          <w:sz w:val="21"/>
          <w:szCs w:val="21"/>
          <w:highlight w:val="none"/>
          <w:lang w:val="en-US" w:eastAsia="zh-CN"/>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以人民币为报价货币，所有投标报价均以人民币（元）为计算单位，所有投标报价均为含税价。具体报价内容及要求：①投标报价应当包括投标文件中列出的或隐含的为承担本项目所需的一切责任和义务所需的费用（应包含日常管养、外部协调、检查、考核、车辆、应急服务、卫生城市复审、防汛抗旱、扫雪防冻、防台风等恶劣天气、验收、招标人下达的指令性任务等的所有含税费用，以及支付给员工的工资和国家强制缴纳的各种社会保障资金、保险费用</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（第三者责任险、公众责任险等）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、相关福利待遇、加班费、体检费、服务所用设施设备折旧费、服务所用工具购置及维护费用、服务所用材料消耗费用、</w:t>
      </w:r>
      <w:r>
        <w:rPr>
          <w:rFonts w:hint="eastAsia" w:ascii="宋体" w:hAnsi="宋体" w:cs="宋体"/>
          <w:bCs/>
          <w:color w:val="000000" w:themeColor="text1"/>
          <w:sz w:val="21"/>
          <w:szCs w:val="21"/>
          <w:highlight w:val="none"/>
          <w:lang w:val="en-US" w:eastAsia="zh-CN"/>
          <w14:textFill>
            <w14:solidFill>
              <w14:schemeClr w14:val="tx1"/>
            </w14:solidFill>
          </w14:textFill>
        </w:rPr>
        <w:t>水电费、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燃油费、管理费、利润、税费</w:t>
      </w:r>
      <w:r>
        <w:rPr>
          <w:rFonts w:hint="eastAsia" w:ascii="宋体" w:hAnsi="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 w:val="0"/>
          <w:bCs/>
          <w:color w:val="000000" w:themeColor="text1"/>
          <w:sz w:val="21"/>
          <w:szCs w:val="21"/>
          <w:highlight w:val="none"/>
          <w:lang w:val="en-US" w:eastAsia="zh-CN"/>
          <w14:textFill>
            <w14:solidFill>
              <w14:schemeClr w14:val="tx1"/>
            </w14:solidFill>
          </w14:textFill>
        </w:rPr>
        <w:t>招标代理服务费等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以及政策性费用调整</w:t>
      </w:r>
      <w:r>
        <w:rPr>
          <w:rFonts w:hint="eastAsia" w:ascii="宋体" w:hAnsi="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以及投标人认为需要的其他费用等。除合同另有规定外，应视为投标人不再有报价以外的任何附加费用。未列和没有填写的项目费用，应视为已包括在相关项目的报价中。②投标人报价应充分考虑施工场地障碍条件和现场各种不利条件发生的可能性所带来的风险，应仔细阅读和理解招标文件中有关招标养护范围、设施维修养护内容、技术标准、施工要求、质量目标、安全文明目标、合同义务和费用条款，并充分考察项目现场情况和条件（包括地下情况、交通条件、水电条件、场地条件等），结合企业自身条件进行报价。必须考虑自然的和人为的破坏、被盗等原因和风险，综合考虑目前现状（由投标人自行到现场勘察）所有达到养护标准的费用。③投标人的任何错漏、优惠、竞争性报价不得作为减轻责任、减少服务、增加收费、降低质量的理由。</w:t>
      </w:r>
    </w:p>
    <w:p w14:paraId="264C0AE4">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dstrike/>
          <w:snapToGrid w:val="0"/>
          <w:color w:val="auto"/>
          <w:sz w:val="21"/>
          <w:szCs w:val="21"/>
          <w:highlight w:val="none"/>
        </w:rPr>
      </w:pPr>
      <w:r>
        <w:rPr>
          <w:rFonts w:hint="eastAsia" w:ascii="宋体" w:hAnsi="宋体" w:cs="宋体"/>
          <w:b/>
          <w:snapToGrid w:val="0"/>
          <w:color w:val="auto"/>
          <w:sz w:val="21"/>
          <w:szCs w:val="21"/>
          <w:highlight w:val="none"/>
          <w:lang w:val="en-US" w:eastAsia="zh-CN"/>
        </w:rPr>
        <w:t>八</w:t>
      </w:r>
      <w:r>
        <w:rPr>
          <w:rFonts w:hint="eastAsia" w:ascii="宋体" w:hAnsi="宋体" w:eastAsia="宋体" w:cs="宋体"/>
          <w:b/>
          <w:snapToGrid w:val="0"/>
          <w:color w:val="auto"/>
          <w:sz w:val="21"/>
          <w:szCs w:val="21"/>
          <w:highlight w:val="none"/>
        </w:rPr>
        <w:t>、其他要求</w:t>
      </w:r>
    </w:p>
    <w:p w14:paraId="672901A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不提供</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作业人员的食宿。</w:t>
      </w:r>
    </w:p>
    <w:p w14:paraId="683008D5">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工作人员发生违法、违规行为的，所造成一切后果及损失，由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承担责任和负责赔偿。</w:t>
      </w:r>
    </w:p>
    <w:p w14:paraId="3C9FA32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的组织机构必须完整，组织机构总人数必须满足</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要求。</w:t>
      </w:r>
    </w:p>
    <w:p w14:paraId="5DBDDA42">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
          <w:bCs/>
          <w:dstrike/>
          <w:snapToGrid w:val="0"/>
          <w:color w:val="auto"/>
          <w:sz w:val="21"/>
          <w:szCs w:val="21"/>
          <w:highlight w:val="none"/>
        </w:rPr>
      </w:pPr>
      <w:r>
        <w:rPr>
          <w:rFonts w:hint="eastAsia" w:ascii="宋体" w:hAnsi="宋体" w:eastAsia="宋体" w:cs="宋体"/>
          <w:snapToGrid w:val="0"/>
          <w:color w:val="auto"/>
          <w:sz w:val="21"/>
          <w:szCs w:val="21"/>
          <w:highlight w:val="none"/>
        </w:rPr>
        <w:t>4、</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全部员工，须符合《劳动合同法》和按南京市要求缴纳五险</w:t>
      </w:r>
      <w:r>
        <w:rPr>
          <w:rFonts w:hint="eastAsia" w:ascii="宋体" w:hAnsi="宋体" w:cs="宋体"/>
          <w:snapToGrid w:val="0"/>
          <w:color w:val="auto"/>
          <w:sz w:val="21"/>
          <w:szCs w:val="21"/>
          <w:highlight w:val="none"/>
          <w:lang w:val="en-US" w:eastAsia="zh-CN"/>
        </w:rPr>
        <w:t>等</w:t>
      </w:r>
      <w:r>
        <w:rPr>
          <w:rFonts w:hint="eastAsia" w:ascii="宋体" w:hAnsi="宋体" w:eastAsia="宋体" w:cs="宋体"/>
          <w:snapToGrid w:val="0"/>
          <w:color w:val="auto"/>
          <w:sz w:val="21"/>
          <w:szCs w:val="21"/>
          <w:highlight w:val="none"/>
        </w:rPr>
        <w:t>。</w:t>
      </w:r>
    </w:p>
    <w:p w14:paraId="6B4AF615">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cs="宋体"/>
          <w:snapToGrid w:val="0"/>
          <w:color w:val="auto"/>
          <w:sz w:val="21"/>
          <w:szCs w:val="21"/>
          <w:highlight w:val="none"/>
          <w:lang w:val="en-US" w:eastAsia="zh-CN"/>
        </w:rPr>
        <w:t>合同</w:t>
      </w:r>
      <w:r>
        <w:rPr>
          <w:rFonts w:hint="eastAsia" w:ascii="宋体" w:hAnsi="宋体" w:eastAsia="宋体" w:cs="宋体"/>
          <w:snapToGrid w:val="0"/>
          <w:color w:val="auto"/>
          <w:sz w:val="21"/>
          <w:szCs w:val="21"/>
          <w:highlight w:val="none"/>
        </w:rPr>
        <w:t>期间发生各种事故：包括治安、交通、消防和违反劳务纠纷等事件均由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承担一切责任。</w:t>
      </w:r>
    </w:p>
    <w:p w14:paraId="2ECECCE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6、承包期间，如因</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引起的严重劳务纠纷问题，影响正常工作的，</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有权临时另行聘请员工确保正常工作，所产生的一切费用由</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支付。一年内累计出现两次这类事件，</w:t>
      </w:r>
      <w:r>
        <w:rPr>
          <w:rFonts w:hint="eastAsia" w:ascii="宋体" w:hAnsi="宋体" w:cs="宋体"/>
          <w:snapToGrid w:val="0"/>
          <w:color w:val="auto"/>
          <w:sz w:val="21"/>
          <w:szCs w:val="21"/>
          <w:highlight w:val="none"/>
          <w:lang w:eastAsia="zh-CN"/>
        </w:rPr>
        <w:t>采购人</w:t>
      </w:r>
      <w:r>
        <w:rPr>
          <w:rFonts w:hint="eastAsia" w:ascii="宋体" w:hAnsi="宋体" w:eastAsia="宋体" w:cs="宋体"/>
          <w:snapToGrid w:val="0"/>
          <w:color w:val="auto"/>
          <w:sz w:val="21"/>
          <w:szCs w:val="21"/>
          <w:highlight w:val="none"/>
        </w:rPr>
        <w:t>有权解除合同。</w:t>
      </w:r>
    </w:p>
    <w:p w14:paraId="1C8971C0">
      <w:pPr>
        <w:keepNext w:val="0"/>
        <w:keepLines w:val="0"/>
        <w:pageBreakBefore w:val="0"/>
        <w:widowControl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snapToGrid w:val="0"/>
          <w:color w:val="auto"/>
          <w:sz w:val="21"/>
          <w:szCs w:val="21"/>
          <w:highlight w:val="none"/>
        </w:rPr>
        <w:t>须按照南京市相关垃圾收集、转运、分类及中转站的考核要求执行，并负责应对相关考核检查工作。</w:t>
      </w:r>
    </w:p>
    <w:p w14:paraId="591B9EDF">
      <w:pPr>
        <w:keepNext w:val="0"/>
        <w:keepLines w:val="0"/>
        <w:pageBreakBefore w:val="0"/>
        <w:widowControl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8、垃圾收集、中转必须达到南京市垃圾分类考核标准，并承担上级部门检查及考核等配合费用。</w:t>
      </w:r>
    </w:p>
    <w:p w14:paraId="16D2C5AD">
      <w:pPr>
        <w:keepNext w:val="0"/>
        <w:keepLines w:val="0"/>
        <w:pageBreakBefore w:val="0"/>
        <w:widowControl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snapToGrid w:val="0"/>
          <w:color w:val="auto"/>
          <w:sz w:val="21"/>
          <w:szCs w:val="21"/>
          <w:highlight w:val="none"/>
          <w:lang w:val="en-US" w:eastAsia="zh-CN"/>
        </w:rPr>
        <w:t>9</w:t>
      </w:r>
      <w:r>
        <w:rPr>
          <w:rFonts w:hint="eastAsia" w:ascii="宋体" w:hAnsi="宋体" w:eastAsia="宋体" w:cs="宋体"/>
          <w:b w:val="0"/>
          <w:bCs w:val="0"/>
          <w:snapToGrid w:val="0"/>
          <w:color w:val="auto"/>
          <w:sz w:val="21"/>
          <w:szCs w:val="21"/>
          <w:highlight w:val="none"/>
        </w:rPr>
        <w:t>、年垃圾处理量暂按1.62634万吨计算，合同实付金额按照</w:t>
      </w:r>
      <w:r>
        <w:rPr>
          <w:rFonts w:hint="eastAsia" w:ascii="宋体" w:hAnsi="宋体" w:cs="宋体"/>
          <w:b w:val="0"/>
          <w:bCs w:val="0"/>
          <w:snapToGrid w:val="0"/>
          <w:color w:val="auto"/>
          <w:sz w:val="21"/>
          <w:szCs w:val="21"/>
          <w:highlight w:val="none"/>
          <w:lang w:eastAsia="zh-CN"/>
        </w:rPr>
        <w:t>南京市栖霞区城市管理局</w:t>
      </w:r>
      <w:r>
        <w:rPr>
          <w:rFonts w:hint="eastAsia" w:ascii="宋体" w:hAnsi="宋体" w:eastAsia="宋体" w:cs="宋体"/>
          <w:b w:val="0"/>
          <w:bCs w:val="0"/>
          <w:snapToGrid w:val="0"/>
          <w:color w:val="auto"/>
          <w:sz w:val="21"/>
          <w:szCs w:val="21"/>
          <w:highlight w:val="none"/>
        </w:rPr>
        <w:t>核定的全年垃圾处理量及考核结果进行结算</w:t>
      </w:r>
      <w:r>
        <w:rPr>
          <w:rFonts w:hint="eastAsia" w:ascii="宋体" w:hAnsi="宋体" w:eastAsia="宋体" w:cs="宋体"/>
          <w:b w:val="0"/>
          <w:bCs w:val="0"/>
          <w:color w:val="auto"/>
          <w:sz w:val="21"/>
          <w:szCs w:val="21"/>
          <w:highlight w:val="none"/>
        </w:rPr>
        <w:t>。</w:t>
      </w:r>
    </w:p>
    <w:p w14:paraId="0B34113E">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cs="宋体"/>
          <w:snapToGrid w:val="0"/>
          <w:color w:val="auto"/>
          <w:sz w:val="21"/>
          <w:szCs w:val="21"/>
          <w:highlight w:val="none"/>
          <w:lang w:eastAsia="zh-CN"/>
        </w:rPr>
        <w:t>中标供应商</w:t>
      </w:r>
      <w:r>
        <w:rPr>
          <w:rFonts w:hint="eastAsia" w:ascii="宋体" w:hAnsi="宋体" w:eastAsia="宋体" w:cs="宋体"/>
          <w:color w:val="auto"/>
          <w:sz w:val="21"/>
          <w:szCs w:val="21"/>
          <w:highlight w:val="none"/>
        </w:rPr>
        <w:t>与原作业单位必须在接到</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书面通知后一周内完成设施及设备的交接工作。</w:t>
      </w:r>
    </w:p>
    <w:p w14:paraId="525DF138">
      <w:pPr>
        <w:pStyle w:val="56"/>
        <w:ind w:left="0" w:leftChars="0" w:firstLine="0" w:firstLineChars="0"/>
        <w:rPr>
          <w:rFonts w:hint="eastAsia" w:ascii="宋体" w:hAnsi="宋体" w:eastAsia="宋体" w:cs="宋体"/>
          <w:color w:val="auto"/>
          <w:sz w:val="21"/>
          <w:szCs w:val="21"/>
          <w:highlight w:val="none"/>
        </w:rPr>
      </w:pPr>
    </w:p>
    <w:p w14:paraId="3E042FB6">
      <w:pPr>
        <w:pStyle w:val="56"/>
        <w:ind w:left="0" w:leftChars="0" w:firstLine="0" w:firstLineChars="0"/>
        <w:rPr>
          <w:rFonts w:hint="eastAsia" w:ascii="宋体" w:hAnsi="宋体" w:eastAsia="宋体" w:cs="宋体"/>
          <w:color w:val="auto"/>
          <w:sz w:val="21"/>
          <w:szCs w:val="21"/>
          <w:highlight w:val="none"/>
          <w:lang w:val="en-US" w:eastAsia="zh-CN"/>
        </w:rPr>
        <w:sectPr>
          <w:footerReference r:id="rId7" w:type="first"/>
          <w:headerReference r:id="rId5" w:type="default"/>
          <w:footerReference r:id="rId6"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7841B0A0">
      <w:pPr>
        <w:spacing w:line="360" w:lineRule="auto"/>
        <w:rPr>
          <w:rFonts w:eastAsia="幼圆"/>
          <w:b/>
          <w:bCs/>
          <w:sz w:val="44"/>
          <w:highlight w:val="none"/>
        </w:rPr>
      </w:pPr>
    </w:p>
    <w:p w14:paraId="3E2FA050">
      <w:pPr>
        <w:pStyle w:val="2"/>
        <w:numPr>
          <w:ilvl w:val="0"/>
          <w:numId w:val="6"/>
        </w:numPr>
        <w:rPr>
          <w:rFonts w:hint="eastAsia" w:ascii="宋体" w:hAnsi="宋体" w:cs="宋体"/>
          <w:highlight w:val="none"/>
        </w:rPr>
      </w:pPr>
      <w:r>
        <w:rPr>
          <w:rFonts w:hint="eastAsia" w:ascii="宋体" w:hAnsi="宋体" w:cs="宋体"/>
          <w:highlight w:val="none"/>
        </w:rPr>
        <w:t xml:space="preserve"> </w:t>
      </w:r>
      <w:bookmarkStart w:id="12" w:name="_Toc28129"/>
      <w:bookmarkStart w:id="13" w:name="_Toc26261"/>
      <w:bookmarkStart w:id="14" w:name="_Toc1719"/>
      <w:r>
        <w:rPr>
          <w:rFonts w:hint="eastAsia" w:ascii="宋体" w:hAnsi="宋体" w:cs="宋体"/>
          <w:highlight w:val="none"/>
        </w:rPr>
        <w:t>合同主要条款及格式</w:t>
      </w:r>
      <w:bookmarkEnd w:id="12"/>
      <w:bookmarkEnd w:id="13"/>
      <w:bookmarkEnd w:id="14"/>
    </w:p>
    <w:p w14:paraId="102F624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6C7CD68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161BF34">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56FCA169">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0BD6D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1205CD7E">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6E3D8E1">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07CA7F9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45ACD5BF">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8B0D7C">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5" w:name="_Toc16938559"/>
      <w:bookmarkStart w:id="16" w:name="_Toc20823315"/>
      <w:bookmarkStart w:id="17" w:name="_Toc513029243"/>
    </w:p>
    <w:bookmarkEnd w:id="15"/>
    <w:bookmarkEnd w:id="16"/>
    <w:bookmarkEnd w:id="17"/>
    <w:p w14:paraId="76B4861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bookmarkStart w:id="18" w:name="_Toc120614244"/>
      <w:bookmarkStart w:id="19" w:name="_Hlt16619350"/>
      <w:bookmarkStart w:id="20" w:name="_Toc20823346"/>
      <w:bookmarkStart w:id="21" w:name="_Toc28381_WPSOffice_Level1"/>
      <w:bookmarkStart w:id="22" w:name="_Toc18944_WPSOffice_Level1"/>
      <w:bookmarkStart w:id="23" w:name="_Toc16938590"/>
      <w:r>
        <w:rPr>
          <w:rFonts w:ascii="宋体" w:hAnsi="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1"/>
          <w:szCs w:val="21"/>
          <w:highlight w:val="none"/>
          <w14:textFill>
            <w14:solidFill>
              <w14:schemeClr w14:val="tx1"/>
            </w14:solidFill>
          </w14:textFill>
        </w:rPr>
        <w:t>合同编号:</w:t>
      </w:r>
    </w:p>
    <w:p w14:paraId="1AA715A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政府采购计划号:</w:t>
      </w:r>
    </w:p>
    <w:p w14:paraId="193DD6E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78C5391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委托方(简称甲方):</w:t>
      </w:r>
    </w:p>
    <w:p w14:paraId="29749BC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1796081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7B8F03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服务方(简称乙方):</w:t>
      </w:r>
    </w:p>
    <w:p w14:paraId="2231D7F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067BE7F3">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p>
    <w:p w14:paraId="66EBD0D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根据《中华人民共和国政府采购法》</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《中华人民共和国</w:t>
      </w:r>
      <w:r>
        <w:rPr>
          <w:rFonts w:hint="eastAsia" w:ascii="宋体" w:hAnsi="宋体" w:cs="宋体"/>
          <w:bCs/>
          <w:color w:val="000000" w:themeColor="text1"/>
          <w:sz w:val="21"/>
          <w:szCs w:val="21"/>
          <w:highlight w:val="none"/>
          <w:lang w:val="en-US" w:eastAsia="zh-CN"/>
          <w14:textFill>
            <w14:solidFill>
              <w14:schemeClr w14:val="tx1"/>
            </w14:solidFill>
          </w14:textFill>
        </w:rPr>
        <w:t>民法典合同编</w:t>
      </w:r>
      <w:r>
        <w:rPr>
          <w:rFonts w:hint="eastAsia" w:ascii="宋体" w:hAnsi="宋体" w:eastAsia="宋体" w:cs="宋体"/>
          <w:bCs/>
          <w:color w:val="000000" w:themeColor="text1"/>
          <w:sz w:val="21"/>
          <w:szCs w:val="21"/>
          <w:highlight w:val="none"/>
          <w14:textFill>
            <w14:solidFill>
              <w14:schemeClr w14:val="tx1"/>
            </w14:solidFill>
          </w14:textFill>
        </w:rPr>
        <w:t>》有关法律、法规</w:t>
      </w:r>
      <w:r>
        <w:rPr>
          <w:rFonts w:hint="eastAsia" w:ascii="宋体" w:hAnsi="宋体" w:cs="宋体"/>
          <w:bCs/>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bCs/>
          <w:color w:val="000000" w:themeColor="text1"/>
          <w:sz w:val="21"/>
          <w:szCs w:val="21"/>
          <w:highlight w:val="none"/>
          <w14:textFill>
            <w14:solidFill>
              <w14:schemeClr w14:val="tx1"/>
            </w14:solidFill>
          </w14:textFill>
        </w:rPr>
        <w:t>规定，在平等、自愿、协商一致的基础上，就甲方委托乙方进行服务，特订立本合同，以求共同恪守。</w:t>
      </w:r>
    </w:p>
    <w:bookmarkEnd w:id="18"/>
    <w:bookmarkEnd w:id="19"/>
    <w:bookmarkEnd w:id="20"/>
    <w:bookmarkEnd w:id="21"/>
    <w:bookmarkEnd w:id="22"/>
    <w:bookmarkEnd w:id="23"/>
    <w:p w14:paraId="79F1AE67">
      <w:pPr>
        <w:keepNext w:val="0"/>
        <w:keepLines w:val="0"/>
        <w:pageBreakBefore w:val="0"/>
        <w:widowControl w:val="0"/>
        <w:numPr>
          <w:ilvl w:val="0"/>
          <w:numId w:val="0"/>
        </w:numPr>
        <w:kinsoku/>
        <w:wordWrap/>
        <w:overflowPunct/>
        <w:topLinePunct w:val="0"/>
        <w:autoSpaceDE/>
        <w:autoSpaceDN/>
        <w:bidi w:val="0"/>
        <w:spacing w:line="360" w:lineRule="auto"/>
        <w:ind w:leftChars="200" w:right="0" w:rightChars="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业务概况</w:t>
      </w:r>
    </w:p>
    <w:p w14:paraId="6152C770">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甲方委托乙方对</w:t>
      </w:r>
      <w:r>
        <w:rPr>
          <w:rFonts w:hint="eastAsia" w:ascii="宋体" w:hAnsi="宋体" w:cs="宋体"/>
          <w:color w:val="auto"/>
          <w:spacing w:val="0"/>
          <w:kern w:val="0"/>
          <w:sz w:val="21"/>
          <w:szCs w:val="21"/>
          <w:highlight w:val="none"/>
          <w:lang w:val="en-US" w:eastAsia="zh-CN"/>
        </w:rPr>
        <w:t>经开区建成区</w:t>
      </w:r>
      <w:r>
        <w:rPr>
          <w:rFonts w:hint="eastAsia" w:ascii="宋体" w:hAnsi="宋体" w:eastAsia="宋体" w:cs="宋体"/>
          <w:color w:val="auto"/>
          <w:sz w:val="21"/>
          <w:szCs w:val="21"/>
          <w:highlight w:val="none"/>
        </w:rPr>
        <w:t>内各企业的生活及办公垃圾进行</w:t>
      </w:r>
      <w:r>
        <w:rPr>
          <w:rFonts w:hint="eastAsia" w:ascii="宋体" w:hAnsi="宋体" w:cs="宋体"/>
          <w:color w:val="auto"/>
          <w:spacing w:val="0"/>
          <w:kern w:val="0"/>
          <w:sz w:val="21"/>
          <w:szCs w:val="21"/>
          <w:highlight w:val="none"/>
          <w:lang w:val="en-US" w:eastAsia="zh-CN"/>
        </w:rPr>
        <w:t>中转、运输、除臭</w:t>
      </w:r>
      <w:r>
        <w:rPr>
          <w:rFonts w:hint="eastAsia" w:ascii="宋体" w:hAnsi="宋体" w:eastAsia="宋体" w:cs="宋体"/>
          <w:color w:val="auto"/>
          <w:sz w:val="21"/>
          <w:szCs w:val="21"/>
          <w:highlight w:val="none"/>
        </w:rPr>
        <w:t>，乙方需按照清运要求按时按量完成垃圾清运任务及垃圾中转站</w:t>
      </w:r>
      <w:r>
        <w:rPr>
          <w:rFonts w:hint="eastAsia" w:ascii="宋体" w:hAnsi="宋体" w:eastAsia="宋体" w:cs="宋体"/>
          <w:b w:val="0"/>
          <w:bCs w:val="0"/>
          <w:color w:val="auto"/>
          <w:sz w:val="21"/>
          <w:szCs w:val="21"/>
          <w:highlight w:val="none"/>
        </w:rPr>
        <w:t>的日常维护工作及配合完成相关部门的考核工作，</w:t>
      </w:r>
      <w:r>
        <w:rPr>
          <w:rFonts w:hint="eastAsia" w:ascii="宋体" w:hAnsi="宋体" w:eastAsia="宋体" w:cs="宋体"/>
          <w:b w:val="0"/>
          <w:bCs w:val="0"/>
          <w:snapToGrid w:val="0"/>
          <w:color w:val="auto"/>
          <w:sz w:val="21"/>
          <w:szCs w:val="21"/>
          <w:highlight w:val="none"/>
        </w:rPr>
        <w:t>年垃圾处理量暂按</w:t>
      </w:r>
      <w:r>
        <w:rPr>
          <w:rFonts w:hint="eastAsia" w:ascii="宋体" w:hAnsi="宋体" w:eastAsia="宋体" w:cs="宋体"/>
          <w:b w:val="0"/>
          <w:bCs w:val="0"/>
          <w:snapToGrid w:val="0"/>
          <w:color w:val="auto"/>
          <w:sz w:val="21"/>
          <w:szCs w:val="21"/>
          <w:highlight w:val="none"/>
          <w:lang w:eastAsia="zh-CN"/>
        </w:rPr>
        <w:t>1.62634万吨</w:t>
      </w:r>
      <w:r>
        <w:rPr>
          <w:rFonts w:hint="eastAsia" w:ascii="宋体" w:hAnsi="宋体" w:eastAsia="宋体" w:cs="宋体"/>
          <w:b w:val="0"/>
          <w:bCs w:val="0"/>
          <w:snapToGrid w:val="0"/>
          <w:color w:val="auto"/>
          <w:sz w:val="21"/>
          <w:szCs w:val="21"/>
          <w:highlight w:val="none"/>
        </w:rPr>
        <w:t>计算，合同实付金额按照</w:t>
      </w:r>
      <w:r>
        <w:rPr>
          <w:rFonts w:hint="eastAsia" w:ascii="宋体" w:hAnsi="宋体" w:eastAsia="宋体" w:cs="宋体"/>
          <w:b w:val="0"/>
          <w:bCs w:val="0"/>
          <w:snapToGrid w:val="0"/>
          <w:color w:val="auto"/>
          <w:sz w:val="21"/>
          <w:szCs w:val="21"/>
          <w:highlight w:val="none"/>
          <w:lang w:eastAsia="zh-CN"/>
        </w:rPr>
        <w:t>南京市栖霞区城市管理局</w:t>
      </w:r>
      <w:r>
        <w:rPr>
          <w:rFonts w:hint="eastAsia" w:ascii="宋体" w:hAnsi="宋体" w:eastAsia="宋体" w:cs="宋体"/>
          <w:b w:val="0"/>
          <w:bCs w:val="0"/>
          <w:snapToGrid w:val="0"/>
          <w:color w:val="auto"/>
          <w:sz w:val="21"/>
          <w:szCs w:val="21"/>
          <w:highlight w:val="none"/>
        </w:rPr>
        <w:t>核定的全年垃圾处理量及考核结果进行结算</w:t>
      </w:r>
      <w:r>
        <w:rPr>
          <w:rFonts w:hint="eastAsia" w:ascii="宋体" w:hAnsi="宋体" w:eastAsia="宋体" w:cs="宋体"/>
          <w:b w:val="0"/>
          <w:bCs w:val="0"/>
          <w:color w:val="auto"/>
          <w:sz w:val="21"/>
          <w:szCs w:val="21"/>
          <w:highlight w:val="none"/>
        </w:rPr>
        <w:t>。甲方有权对乙方的工作进行考核，有权按照项目实际需求变更考核细则，但须提前15日以书面形式告知乙方。服务范</w:t>
      </w:r>
      <w:r>
        <w:rPr>
          <w:rFonts w:hint="eastAsia" w:ascii="宋体" w:hAnsi="宋体" w:eastAsia="宋体" w:cs="宋体"/>
          <w:color w:val="auto"/>
          <w:sz w:val="21"/>
          <w:szCs w:val="21"/>
          <w:highlight w:val="none"/>
        </w:rPr>
        <w:t>围如有调整，甲方将提前30日以书面形式通知乙方。</w:t>
      </w:r>
    </w:p>
    <w:p w14:paraId="3405C12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snapToGrid w:val="0"/>
          <w:color w:val="auto"/>
          <w:sz w:val="21"/>
          <w:szCs w:val="21"/>
          <w:highlight w:val="none"/>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相关经费支付及考核</w:t>
      </w:r>
    </w:p>
    <w:p w14:paraId="445386E2">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1.管养费用：本协议期内管养费用为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万元，养护费用根据每月考评结果</w:t>
      </w:r>
      <w:r>
        <w:rPr>
          <w:rFonts w:hint="eastAsia" w:ascii="宋体" w:hAnsi="宋体" w:cs="宋体"/>
          <w:b w:val="0"/>
          <w:bCs w:val="0"/>
          <w:color w:val="auto"/>
          <w:sz w:val="21"/>
          <w:szCs w:val="21"/>
          <w:highlight w:val="none"/>
          <w:lang w:val="en-US" w:eastAsia="zh-CN"/>
        </w:rPr>
        <w:t>按合同约定</w:t>
      </w:r>
      <w:r>
        <w:rPr>
          <w:rFonts w:hint="eastAsia" w:ascii="宋体" w:hAnsi="宋体" w:eastAsia="宋体" w:cs="宋体"/>
          <w:b w:val="0"/>
          <w:bCs w:val="0"/>
          <w:color w:val="auto"/>
          <w:sz w:val="21"/>
          <w:szCs w:val="21"/>
          <w:highlight w:val="none"/>
          <w:lang w:val="en-US" w:eastAsia="zh-CN"/>
        </w:rPr>
        <w:t>支付</w:t>
      </w:r>
      <w:r>
        <w:rPr>
          <w:rFonts w:hint="eastAsia" w:ascii="宋体" w:hAnsi="宋体" w:cs="宋体"/>
          <w:b w:val="0"/>
          <w:bCs w:val="0"/>
          <w:color w:val="auto"/>
          <w:sz w:val="21"/>
          <w:szCs w:val="21"/>
          <w:highlight w:val="none"/>
          <w:lang w:val="en-US" w:eastAsia="zh-CN"/>
        </w:rPr>
        <w:t>；</w:t>
      </w:r>
    </w:p>
    <w:p w14:paraId="5898436E">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90分（含）以上（优秀）：支付月服务费的100%；</w:t>
      </w:r>
    </w:p>
    <w:p w14:paraId="7FA6F438">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85分（含）——90分（良好）：支付月服务费的95%；</w:t>
      </w:r>
    </w:p>
    <w:p w14:paraId="7D3C3B00">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80分（含）——85分（合格）：支付月服务费的90%；</w:t>
      </w:r>
    </w:p>
    <w:p w14:paraId="42C0B3BB">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80分以下（不合格）：支付月服务费的50%。</w:t>
      </w:r>
    </w:p>
    <w:p w14:paraId="70539BC0">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.乙方管养期间，甲方将按照环卫考核细则及市、区环卫作业要求，每月对乙方作业规范、作业质量等方面进行考评。</w:t>
      </w:r>
    </w:p>
    <w:p w14:paraId="7FDC130D">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.考评方式：采取不定期、不通知的方式对乙方管养责任站点进行全方位、全覆盖式的考评。每月考评满分为100分，考评结果与管养服务费用挂钩。</w:t>
      </w:r>
    </w:p>
    <w:p w14:paraId="7412A1F5">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清运要求</w:t>
      </w:r>
    </w:p>
    <w:p w14:paraId="2039630E">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乙方在履行本协议过程中，不得利用垃圾站设备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机械及</w:t>
      </w:r>
      <w:r>
        <w:rPr>
          <w:rFonts w:hint="eastAsia" w:ascii="宋体" w:hAnsi="宋体" w:cs="宋体"/>
          <w:color w:val="auto"/>
          <w:sz w:val="21"/>
          <w:szCs w:val="21"/>
          <w:highlight w:val="none"/>
          <w:lang w:val="en-US" w:eastAsia="zh-CN"/>
        </w:rPr>
        <w:t>场地</w:t>
      </w:r>
      <w:r>
        <w:rPr>
          <w:rFonts w:hint="eastAsia" w:ascii="宋体" w:hAnsi="宋体" w:eastAsia="宋体" w:cs="宋体"/>
          <w:color w:val="auto"/>
          <w:sz w:val="21"/>
          <w:szCs w:val="21"/>
          <w:highlight w:val="none"/>
        </w:rPr>
        <w:t>从事其它工作。</w:t>
      </w:r>
    </w:p>
    <w:p w14:paraId="442584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default" w:ascii="宋体" w:hAnsi="宋体" w:eastAsia="宋体" w:cs="宋体"/>
          <w:b/>
          <w:snapToGrid w:val="0"/>
          <w:color w:val="auto"/>
          <w:sz w:val="21"/>
          <w:szCs w:val="21"/>
          <w:highlight w:val="none"/>
          <w:lang w:val="en-US" w:eastAsia="zh-CN"/>
        </w:rPr>
      </w:pPr>
      <w:r>
        <w:rPr>
          <w:rFonts w:hint="eastAsia" w:ascii="宋体" w:hAnsi="宋体" w:cs="宋体"/>
          <w:b w:val="0"/>
          <w:bCs/>
          <w:snapToGrid w:val="0"/>
          <w:color w:val="auto"/>
          <w:sz w:val="21"/>
          <w:szCs w:val="21"/>
          <w:highlight w:val="none"/>
          <w:lang w:val="en-US" w:eastAsia="zh-CN"/>
        </w:rPr>
        <w:t>2、不得接受本项目范围以外的垃圾清运工作。</w:t>
      </w:r>
    </w:p>
    <w:p w14:paraId="49D1E3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四、服务要求：</w:t>
      </w:r>
    </w:p>
    <w:p w14:paraId="5681332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项目承包期：三年，合同一年一签，经考核合格后续签下一年度合同，中标人须在签订合同前向甲方提交业务交接方案。业务交接方案经甲方确认后，须在合同签订生效之日起5个工作日内完成全部交接工作并进场开展工作，并保证做好与甲方及下一轮中标供应商的交接工作。</w:t>
      </w:r>
    </w:p>
    <w:p w14:paraId="0A90B72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2、乙方不得在合同期限内将项目转包</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分包。</w:t>
      </w:r>
    </w:p>
    <w:p w14:paraId="71B77D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乙方必须依照我国《劳动合同法》的有关规定与环卫工人签订劳动合同，支付不低于南京市最低工资标准工人工资，并按规定发放环卫津贴、高温津贴、加班费等，依法缴纳社会保险（养老、失业、工伤、生育、医疗）及公积金。</w:t>
      </w:r>
    </w:p>
    <w:p w14:paraId="7BDB2C1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4、乙方拟投入本项目的环卫机械设备须按照国家、省、市相关规定执行，若达不到甲方的要求，甲方可以对乙方进行扣分处罚。</w:t>
      </w:r>
    </w:p>
    <w:p w14:paraId="36E0985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乙方应根据作业范围内相应片区的服务需求，制定并不断完善各项管理规章制度、人力资源管理方案、具体的日常岗位工作安排和应急管理方案以及员工管理制度和奖惩条例并提交给甲方备案，若存在不符合规定或不合理，甲方有权要求其修订相关制度并监督其执行。</w:t>
      </w:r>
    </w:p>
    <w:p w14:paraId="4847B8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6、</w:t>
      </w:r>
      <w:r>
        <w:rPr>
          <w:rFonts w:hint="eastAsia" w:ascii="宋体" w:hAnsi="宋体" w:cs="宋体"/>
          <w:snapToGrid w:val="0"/>
          <w:color w:val="auto"/>
          <w:sz w:val="21"/>
          <w:szCs w:val="21"/>
          <w:highlight w:val="none"/>
          <w:lang w:eastAsia="zh-CN"/>
        </w:rPr>
        <w:t>项目服务期间</w:t>
      </w:r>
      <w:r>
        <w:rPr>
          <w:rFonts w:hint="eastAsia" w:ascii="宋体" w:hAnsi="宋体" w:eastAsia="宋体" w:cs="宋体"/>
          <w:snapToGrid w:val="0"/>
          <w:color w:val="auto"/>
          <w:sz w:val="21"/>
          <w:szCs w:val="21"/>
          <w:highlight w:val="none"/>
        </w:rPr>
        <w:t>因突发等不可抗力因素需要紧急临时增加人员投入时，乙方及其员工应服从甲方的调遣和指挥并参与应急或加班工作。</w:t>
      </w:r>
    </w:p>
    <w:p w14:paraId="52C16E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7、为保证服务质量，乙方对所录用人员要严格审查，身体健康。乙方对各类岗位的员工不得随意更换，每次更换的比例不超过各类工作人员的10%，在新的员工未到岗之前，原来的岗位不得缺岗。</w:t>
      </w:r>
    </w:p>
    <w:p w14:paraId="186FF6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8、乙方应按国家有关法律法规加强安全生产管理。</w:t>
      </w:r>
    </w:p>
    <w:p w14:paraId="656E8D3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9、乙方的投标报价须以人民币为单位，应包含设备费用、人工工资、社保、劳保、福利、工伤额外保险、食宿、安全管理、物料消耗费用、利润、税金等完成本项目的一切费用的总和，除此之外，甲方不再支付其他任何费用。</w:t>
      </w:r>
    </w:p>
    <w:p w14:paraId="3E3FF4FA">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10、合同期间，因</w:t>
      </w:r>
      <w:r>
        <w:rPr>
          <w:rFonts w:hint="eastAsia" w:ascii="宋体" w:hAnsi="宋体" w:cs="宋体"/>
          <w:snapToGrid w:val="0"/>
          <w:color w:val="auto"/>
          <w:sz w:val="21"/>
          <w:szCs w:val="21"/>
          <w:highlight w:val="none"/>
          <w:lang w:val="en-US" w:eastAsia="zh-CN"/>
        </w:rPr>
        <w:t>乙方</w:t>
      </w:r>
      <w:r>
        <w:rPr>
          <w:rFonts w:hint="eastAsia" w:ascii="宋体" w:hAnsi="宋体" w:eastAsia="宋体" w:cs="宋体"/>
          <w:snapToGrid w:val="0"/>
          <w:color w:val="auto"/>
          <w:sz w:val="21"/>
          <w:szCs w:val="21"/>
          <w:highlight w:val="none"/>
        </w:rPr>
        <w:t>单方面终止合同的，甲方将按其违约进行处理（不可抗力因素除外）。</w:t>
      </w:r>
    </w:p>
    <w:p w14:paraId="5185234E">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11、应文明作业，尽量减少灰尘</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噪音</w:t>
      </w:r>
      <w:r>
        <w:rPr>
          <w:rFonts w:hint="eastAsia" w:ascii="宋体" w:hAnsi="宋体" w:cs="宋体"/>
          <w:snapToGrid w:val="0"/>
          <w:color w:val="auto"/>
          <w:sz w:val="21"/>
          <w:szCs w:val="21"/>
          <w:highlight w:val="none"/>
          <w:lang w:eastAsia="zh-CN"/>
        </w:rPr>
        <w:t>、</w:t>
      </w:r>
      <w:r>
        <w:rPr>
          <w:rFonts w:hint="eastAsia" w:ascii="宋体" w:hAnsi="宋体" w:cs="宋体"/>
          <w:snapToGrid w:val="0"/>
          <w:color w:val="auto"/>
          <w:sz w:val="21"/>
          <w:szCs w:val="21"/>
          <w:highlight w:val="none"/>
          <w:lang w:val="en-US" w:eastAsia="zh-CN"/>
        </w:rPr>
        <w:t>异味</w:t>
      </w:r>
      <w:r>
        <w:rPr>
          <w:rFonts w:hint="eastAsia" w:ascii="宋体" w:hAnsi="宋体" w:eastAsia="宋体" w:cs="宋体"/>
          <w:snapToGrid w:val="0"/>
          <w:color w:val="auto"/>
          <w:sz w:val="21"/>
          <w:szCs w:val="21"/>
          <w:highlight w:val="none"/>
        </w:rPr>
        <w:t>等，不影响正常活动。</w:t>
      </w:r>
    </w:p>
    <w:p w14:paraId="1257EBFF">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12、在迎接文明城区检查、应急等各项活动工作中，服从甲方安排，达到检查及应急要求。</w:t>
      </w:r>
    </w:p>
    <w:p w14:paraId="5E77E2CE">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3</w:t>
      </w:r>
      <w:r>
        <w:rPr>
          <w:rFonts w:hint="eastAsia" w:ascii="宋体" w:hAnsi="宋体" w:eastAsia="宋体" w:cs="宋体"/>
          <w:snapToGrid w:val="0"/>
          <w:color w:val="auto"/>
          <w:sz w:val="21"/>
          <w:szCs w:val="21"/>
          <w:highlight w:val="none"/>
        </w:rPr>
        <w:t>、实施过程中与市容、交通、水利、河道、周边小区等外部的协调由</w:t>
      </w:r>
      <w:r>
        <w:rPr>
          <w:rFonts w:hint="eastAsia" w:ascii="宋体" w:hAnsi="宋体" w:cs="宋体"/>
          <w:snapToGrid w:val="0"/>
          <w:color w:val="auto"/>
          <w:sz w:val="21"/>
          <w:szCs w:val="21"/>
          <w:highlight w:val="none"/>
          <w:lang w:val="en-US" w:eastAsia="zh-CN"/>
        </w:rPr>
        <w:t>乙方</w:t>
      </w:r>
      <w:r>
        <w:rPr>
          <w:rFonts w:hint="eastAsia" w:ascii="宋体" w:hAnsi="宋体" w:eastAsia="宋体" w:cs="宋体"/>
          <w:snapToGrid w:val="0"/>
          <w:color w:val="auto"/>
          <w:sz w:val="21"/>
          <w:szCs w:val="21"/>
          <w:highlight w:val="none"/>
        </w:rPr>
        <w:t>自行承担，甲方协助。接水接电由</w:t>
      </w:r>
      <w:r>
        <w:rPr>
          <w:rFonts w:hint="eastAsia" w:ascii="宋体" w:hAnsi="宋体" w:cs="宋体"/>
          <w:snapToGrid w:val="0"/>
          <w:color w:val="auto"/>
          <w:sz w:val="21"/>
          <w:szCs w:val="21"/>
          <w:highlight w:val="none"/>
          <w:lang w:val="en-US" w:eastAsia="zh-CN"/>
        </w:rPr>
        <w:t>乙方</w:t>
      </w:r>
      <w:r>
        <w:rPr>
          <w:rFonts w:hint="eastAsia" w:ascii="宋体" w:hAnsi="宋体" w:eastAsia="宋体" w:cs="宋体"/>
          <w:snapToGrid w:val="0"/>
          <w:color w:val="auto"/>
          <w:sz w:val="21"/>
          <w:szCs w:val="21"/>
          <w:highlight w:val="none"/>
        </w:rPr>
        <w:t>自行承担。以上费用含在投标报价中。</w:t>
      </w:r>
    </w:p>
    <w:p w14:paraId="6ACA758D">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4</w:t>
      </w:r>
      <w:r>
        <w:rPr>
          <w:rFonts w:hint="eastAsia" w:ascii="宋体" w:hAnsi="宋体" w:eastAsia="宋体" w:cs="宋体"/>
          <w:snapToGrid w:val="0"/>
          <w:color w:val="auto"/>
          <w:sz w:val="21"/>
          <w:szCs w:val="21"/>
          <w:highlight w:val="none"/>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工作范围内出现安全隐患时，乙方应及时设置安全警示标志、派专人看护值守并及时向甲方及有关部门报告，直至安全隐患解除。如因乙方发现不及时、报告不及时、看护不当等造成的相关损失及赔偿包括在合同价中，造成重大事故的将追究乙方责任。</w:t>
      </w:r>
    </w:p>
    <w:p w14:paraId="446D5116">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5</w:t>
      </w:r>
      <w:r>
        <w:rPr>
          <w:rFonts w:hint="eastAsia" w:ascii="宋体" w:hAnsi="宋体" w:eastAsia="宋体" w:cs="宋体"/>
          <w:snapToGrid w:val="0"/>
          <w:color w:val="auto"/>
          <w:sz w:val="21"/>
          <w:szCs w:val="21"/>
          <w:highlight w:val="none"/>
        </w:rPr>
        <w:t>、乙方须积极处理政府平台相关投诉，包括但不限于12345工单等。</w:t>
      </w:r>
    </w:p>
    <w:p w14:paraId="5304A688">
      <w:pPr>
        <w:pStyle w:val="20"/>
        <w:keepNext w:val="0"/>
        <w:keepLines w:val="0"/>
        <w:pageBreakBefore w:val="0"/>
        <w:widowControl w:val="0"/>
        <w:tabs>
          <w:tab w:val="left" w:pos="574"/>
        </w:tabs>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6</w:t>
      </w:r>
      <w:r>
        <w:rPr>
          <w:rFonts w:hint="eastAsia" w:ascii="宋体" w:hAnsi="宋体" w:eastAsia="宋体" w:cs="宋体"/>
          <w:snapToGrid w:val="0"/>
          <w:color w:val="auto"/>
          <w:sz w:val="21"/>
          <w:szCs w:val="21"/>
          <w:highlight w:val="none"/>
        </w:rPr>
        <w:t>、完成甲方交办的其他临时性工作。</w:t>
      </w:r>
    </w:p>
    <w:p w14:paraId="1AFF3062">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rPr>
        <w:t>、若遇国家</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省</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市</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区域相关政策调整，乙方须无条件</w:t>
      </w:r>
      <w:r>
        <w:rPr>
          <w:rFonts w:hint="eastAsia" w:ascii="宋体" w:hAnsi="宋体" w:cs="宋体"/>
          <w:snapToGrid w:val="0"/>
          <w:color w:val="auto"/>
          <w:sz w:val="21"/>
          <w:szCs w:val="21"/>
          <w:highlight w:val="none"/>
          <w:lang w:val="en-US" w:eastAsia="zh-CN"/>
        </w:rPr>
        <w:t>接受</w:t>
      </w:r>
      <w:r>
        <w:rPr>
          <w:rFonts w:hint="eastAsia" w:ascii="宋体" w:hAnsi="宋体" w:eastAsia="宋体" w:cs="宋体"/>
          <w:snapToGrid w:val="0"/>
          <w:color w:val="auto"/>
          <w:sz w:val="21"/>
          <w:szCs w:val="21"/>
          <w:highlight w:val="none"/>
        </w:rPr>
        <w:t>解除合同。</w:t>
      </w:r>
    </w:p>
    <w:p w14:paraId="5C62B99F">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8</w:t>
      </w:r>
      <w:r>
        <w:rPr>
          <w:rFonts w:hint="eastAsia" w:ascii="宋体" w:hAnsi="宋体" w:eastAsia="宋体" w:cs="宋体"/>
          <w:snapToGrid w:val="0"/>
          <w:color w:val="auto"/>
          <w:sz w:val="21"/>
          <w:szCs w:val="21"/>
          <w:highlight w:val="none"/>
        </w:rPr>
        <w:t>、不得分包、转包；一旦甲方发现存在分包或转包的行为，有权直接解除合同并追究乙方的违约责任。</w:t>
      </w:r>
    </w:p>
    <w:p w14:paraId="7CD63A1C">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19</w:t>
      </w:r>
      <w:r>
        <w:rPr>
          <w:rFonts w:hint="eastAsia" w:ascii="宋体" w:hAnsi="宋体" w:eastAsia="宋体" w:cs="宋体"/>
          <w:snapToGrid w:val="0"/>
          <w:color w:val="auto"/>
          <w:sz w:val="21"/>
          <w:szCs w:val="21"/>
          <w:highlight w:val="none"/>
        </w:rPr>
        <w:t>、乙方应积极主动接受甲方的考核，并对考核结果予以承认，当考核标准有变动时应予以积极配合并按照最新的考核要求开展养护工作。</w:t>
      </w:r>
    </w:p>
    <w:p w14:paraId="77A8B3D7">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五、作业规范和质量要求</w:t>
      </w:r>
    </w:p>
    <w:p w14:paraId="3A56B957">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1、应做到垃圾日产日清，垃圾转运站及周边应保持卫生清洁，无臭味，站内无垃圾杂物堆积。</w:t>
      </w:r>
    </w:p>
    <w:p w14:paraId="3F7BE99F">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2、垃圾装车点必须专人管理，桶容干净，无垃圾落地，不造成环境的二次污染。</w:t>
      </w:r>
    </w:p>
    <w:p w14:paraId="201ABDB2">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3、需做好车辆的定期保养及日常维修工作，保险费、保养费及维修费由乙方支付，垃圾清运车辆如因保养不及时造成损坏并影响生产，甲方将对乙方进行考核。</w:t>
      </w:r>
    </w:p>
    <w:p w14:paraId="607BF39E">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4、垃圾站机械应定期进行保养及日常维修工作，保险费、保养费及维修费由乙方支付，如因保养不及时造成损坏并影响生产，甲方将对乙方进行考核。</w:t>
      </w:r>
    </w:p>
    <w:p w14:paraId="0F31394D">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5、乙方负责做好承包范围区域内生活垃圾的收集、压缩运输工作。</w:t>
      </w:r>
    </w:p>
    <w:p w14:paraId="76E2E05C">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6、作业期间必须按规定穿着统一的环卫工作服、反光衣（带）等，工作服、反光衣（带）由乙方负责投入。</w:t>
      </w:r>
    </w:p>
    <w:p w14:paraId="0BAA9DDA">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7、乙方须接受甲方对作业质量的监管，并做好重大检查、活动期间，或紧急情况下的环卫作业。</w:t>
      </w:r>
    </w:p>
    <w:p w14:paraId="352BF398">
      <w:pPr>
        <w:keepNext w:val="0"/>
        <w:keepLines w:val="0"/>
        <w:pageBreakBefore w:val="0"/>
        <w:widowControl w:val="0"/>
        <w:tabs>
          <w:tab w:val="left" w:pos="0"/>
          <w:tab w:val="left" w:pos="1134"/>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8、在执行临时性、阶段性任务（含国家、省、市检查，突击整治，重大活动等）期间，其作业质量要求高于上述标准的，按该任务的具体要求执行。</w:t>
      </w:r>
    </w:p>
    <w:p w14:paraId="5A5CB57C">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lang w:eastAsia="zh-CN"/>
        </w:rPr>
      </w:pPr>
      <w:r>
        <w:rPr>
          <w:rFonts w:hint="eastAsia" w:ascii="宋体" w:hAnsi="宋体" w:cs="宋体"/>
          <w:snapToGrid w:val="0"/>
          <w:color w:val="auto"/>
          <w:sz w:val="21"/>
          <w:szCs w:val="21"/>
          <w:highlight w:val="none"/>
          <w:lang w:val="en-US" w:eastAsia="zh-CN"/>
        </w:rPr>
        <w:t>9</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乙方</w:t>
      </w:r>
      <w:r>
        <w:rPr>
          <w:rFonts w:hint="eastAsia" w:ascii="宋体" w:hAnsi="宋体" w:cs="宋体"/>
          <w:snapToGrid w:val="0"/>
          <w:color w:val="auto"/>
          <w:sz w:val="21"/>
          <w:szCs w:val="21"/>
          <w:highlight w:val="none"/>
          <w:lang w:val="en-US" w:eastAsia="zh-CN"/>
        </w:rPr>
        <w:t>负责</w:t>
      </w:r>
      <w:r>
        <w:rPr>
          <w:rFonts w:hint="eastAsia" w:ascii="宋体" w:hAnsi="宋体" w:eastAsia="宋体" w:cs="宋体"/>
          <w:snapToGrid w:val="0"/>
          <w:color w:val="auto"/>
          <w:sz w:val="21"/>
          <w:szCs w:val="21"/>
          <w:highlight w:val="none"/>
        </w:rPr>
        <w:t>渗滤液的规范收集、运输及处置</w:t>
      </w:r>
      <w:r>
        <w:rPr>
          <w:rFonts w:hint="eastAsia" w:ascii="宋体" w:hAnsi="宋体" w:cs="宋体"/>
          <w:snapToGrid w:val="0"/>
          <w:color w:val="auto"/>
          <w:sz w:val="21"/>
          <w:szCs w:val="21"/>
          <w:highlight w:val="none"/>
          <w:lang w:eastAsia="zh-CN"/>
        </w:rPr>
        <w:t>。</w:t>
      </w:r>
    </w:p>
    <w:p w14:paraId="66876D44">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10</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乙方</w:t>
      </w:r>
      <w:r>
        <w:rPr>
          <w:rFonts w:hint="eastAsia" w:ascii="宋体" w:hAnsi="宋体" w:cs="宋体"/>
          <w:snapToGrid w:val="0"/>
          <w:color w:val="auto"/>
          <w:sz w:val="21"/>
          <w:szCs w:val="21"/>
          <w:highlight w:val="none"/>
          <w:lang w:val="en-US" w:eastAsia="zh-CN"/>
        </w:rPr>
        <w:t>负责</w:t>
      </w:r>
      <w:r>
        <w:rPr>
          <w:rFonts w:hint="eastAsia" w:ascii="宋体" w:hAnsi="宋体" w:eastAsia="宋体" w:cs="宋体"/>
          <w:snapToGrid w:val="0"/>
          <w:color w:val="auto"/>
          <w:sz w:val="21"/>
          <w:szCs w:val="21"/>
          <w:highlight w:val="none"/>
        </w:rPr>
        <w:t>中转站内除臭、消杀、防疫等工作</w:t>
      </w:r>
      <w:r>
        <w:rPr>
          <w:rFonts w:hint="eastAsia" w:ascii="宋体" w:hAnsi="宋体" w:cs="宋体"/>
          <w:snapToGrid w:val="0"/>
          <w:color w:val="auto"/>
          <w:sz w:val="21"/>
          <w:szCs w:val="21"/>
          <w:highlight w:val="none"/>
          <w:lang w:eastAsia="zh-CN"/>
        </w:rPr>
        <w:t>。</w:t>
      </w:r>
    </w:p>
    <w:p w14:paraId="7099630F">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11</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乙方</w:t>
      </w:r>
      <w:r>
        <w:rPr>
          <w:rFonts w:hint="eastAsia" w:ascii="宋体" w:hAnsi="宋体" w:cs="宋体"/>
          <w:snapToGrid w:val="0"/>
          <w:color w:val="auto"/>
          <w:sz w:val="21"/>
          <w:szCs w:val="21"/>
          <w:highlight w:val="none"/>
          <w:lang w:val="en-US" w:eastAsia="zh-CN"/>
        </w:rPr>
        <w:t>负责</w:t>
      </w:r>
      <w:r>
        <w:rPr>
          <w:rFonts w:hint="eastAsia" w:ascii="宋体" w:hAnsi="宋体" w:eastAsia="宋体" w:cs="宋体"/>
          <w:snapToGrid w:val="0"/>
          <w:color w:val="auto"/>
          <w:sz w:val="21"/>
          <w:szCs w:val="21"/>
          <w:highlight w:val="none"/>
        </w:rPr>
        <w:t>站内安全生产管理工作</w:t>
      </w:r>
      <w:r>
        <w:rPr>
          <w:rFonts w:hint="eastAsia" w:ascii="宋体" w:hAnsi="宋体" w:cs="宋体"/>
          <w:snapToGrid w:val="0"/>
          <w:color w:val="auto"/>
          <w:sz w:val="21"/>
          <w:szCs w:val="21"/>
          <w:highlight w:val="none"/>
          <w:lang w:eastAsia="zh-CN"/>
        </w:rPr>
        <w:t>。</w:t>
      </w:r>
    </w:p>
    <w:p w14:paraId="0B99F3A6">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12</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乙方</w:t>
      </w:r>
      <w:r>
        <w:rPr>
          <w:rFonts w:hint="eastAsia" w:ascii="宋体" w:hAnsi="宋体" w:cs="宋体"/>
          <w:snapToGrid w:val="0"/>
          <w:color w:val="auto"/>
          <w:sz w:val="21"/>
          <w:szCs w:val="21"/>
          <w:highlight w:val="none"/>
          <w:lang w:val="en-US" w:eastAsia="zh-CN"/>
        </w:rPr>
        <w:t>负责</w:t>
      </w:r>
      <w:r>
        <w:rPr>
          <w:rFonts w:hint="eastAsia" w:ascii="宋体" w:hAnsi="宋体" w:eastAsia="宋体" w:cs="宋体"/>
          <w:snapToGrid w:val="0"/>
          <w:color w:val="auto"/>
          <w:sz w:val="21"/>
          <w:szCs w:val="21"/>
          <w:highlight w:val="none"/>
        </w:rPr>
        <w:t>站内部分基础设施改造</w:t>
      </w:r>
      <w:r>
        <w:rPr>
          <w:rFonts w:hint="eastAsia" w:ascii="宋体" w:hAnsi="宋体" w:cs="宋体"/>
          <w:snapToGrid w:val="0"/>
          <w:color w:val="auto"/>
          <w:sz w:val="21"/>
          <w:szCs w:val="21"/>
          <w:highlight w:val="none"/>
          <w:lang w:eastAsia="zh-CN"/>
        </w:rPr>
        <w:t>。</w:t>
      </w:r>
    </w:p>
    <w:p w14:paraId="4DBB7034">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13</w:t>
      </w:r>
      <w:r>
        <w:rPr>
          <w:rFonts w:hint="eastAsia" w:ascii="宋体" w:hAnsi="宋体" w:eastAsia="宋体" w:cs="宋体"/>
          <w:snapToGrid w:val="0"/>
          <w:color w:val="auto"/>
          <w:sz w:val="21"/>
          <w:szCs w:val="21"/>
          <w:highlight w:val="none"/>
        </w:rPr>
        <w:t>、乙方应做好应对自然灾害及突发事件的应急工</w:t>
      </w:r>
      <w:bookmarkStart w:id="35" w:name="_GoBack"/>
      <w:bookmarkEnd w:id="35"/>
      <w:r>
        <w:rPr>
          <w:rFonts w:hint="eastAsia" w:ascii="宋体" w:hAnsi="宋体" w:eastAsia="宋体" w:cs="宋体"/>
          <w:snapToGrid w:val="0"/>
          <w:color w:val="auto"/>
          <w:sz w:val="21"/>
          <w:szCs w:val="21"/>
          <w:highlight w:val="none"/>
        </w:rPr>
        <w:t>作方案及其实施工作</w:t>
      </w:r>
      <w:r>
        <w:rPr>
          <w:rFonts w:hint="eastAsia" w:ascii="宋体" w:hAnsi="宋体" w:cs="宋体"/>
          <w:snapToGrid w:val="0"/>
          <w:color w:val="auto"/>
          <w:sz w:val="21"/>
          <w:szCs w:val="21"/>
          <w:highlight w:val="none"/>
          <w:lang w:eastAsia="zh-CN"/>
        </w:rPr>
        <w:t>。</w:t>
      </w:r>
    </w:p>
    <w:p w14:paraId="5B63F777">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cs="宋体"/>
          <w:snapToGrid w:val="0"/>
          <w:color w:val="auto"/>
          <w:sz w:val="21"/>
          <w:szCs w:val="21"/>
          <w:highlight w:val="none"/>
          <w:lang w:val="en-US" w:eastAsia="zh-CN"/>
        </w:rPr>
        <w:t>4</w:t>
      </w:r>
      <w:r>
        <w:rPr>
          <w:rFonts w:hint="eastAsia" w:ascii="宋体" w:hAnsi="宋体" w:eastAsia="宋体" w:cs="宋体"/>
          <w:snapToGrid w:val="0"/>
          <w:color w:val="auto"/>
          <w:sz w:val="21"/>
          <w:szCs w:val="21"/>
          <w:highlight w:val="none"/>
        </w:rPr>
        <w:t>、</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须按照南京市相关垃圾分类考核要求进行垃圾分类工作。</w:t>
      </w:r>
    </w:p>
    <w:p w14:paraId="00678834">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snapToGrid w:val="0"/>
          <w:color w:val="auto"/>
          <w:sz w:val="21"/>
          <w:szCs w:val="21"/>
          <w:highlight w:val="none"/>
        </w:rPr>
        <w:t>六、作业日常检查</w:t>
      </w:r>
    </w:p>
    <w:p w14:paraId="46782EF8">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1、乙方须接受甲方的监督管理和考核，对乙方作业情况进行定期和不定期检查考核，监督管理和考核按甲方颁布的最新办法和标准执行。甲方将根据乙方每月考核扣分额度核定当月的承包经费。</w:t>
      </w:r>
    </w:p>
    <w:p w14:paraId="2D91CC00">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2、甲方组织对本项目进行全覆盖检查考核，全年无休每天开展日常检查，全面掌握本项目规范执行情况和卫生质量状况，并且每月按一定比例抽查部分项目并对日常检查发现的部分问题进行复检。</w:t>
      </w:r>
    </w:p>
    <w:p w14:paraId="651301C3">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①、日常检查</w:t>
      </w:r>
      <w:r>
        <w:rPr>
          <w:rFonts w:hint="eastAsia" w:ascii="宋体" w:hAnsi="宋体" w:eastAsia="宋体" w:cs="宋体"/>
          <w:color w:val="auto"/>
          <w:sz w:val="21"/>
          <w:szCs w:val="21"/>
          <w:highlight w:val="none"/>
        </w:rPr>
        <w:t xml:space="preserve">  </w:t>
      </w:r>
    </w:p>
    <w:p w14:paraId="720A997A">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检查安排。日常检查发现重大卫生问题立即责成乙方进行整改，并形成环境卫生日常检查记录，检查结果纳入当月考核评分。</w:t>
      </w:r>
      <w:r>
        <w:rPr>
          <w:rFonts w:hint="eastAsia" w:ascii="宋体" w:hAnsi="宋体" w:eastAsia="宋体" w:cs="宋体"/>
          <w:color w:val="auto"/>
          <w:sz w:val="21"/>
          <w:szCs w:val="21"/>
          <w:highlight w:val="none"/>
        </w:rPr>
        <w:t xml:space="preserve">  </w:t>
      </w:r>
    </w:p>
    <w:p w14:paraId="243B9F71">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检查要求。现场检查采取车行与步行相结合，对被检项目进行全覆盖检查。对检查中发现的问题，当场以书面和拍照（录像）等方式进行详细记录并通知乙方管理人员赴现场确认并处理（</w:t>
      </w:r>
      <w:r>
        <w:rPr>
          <w:rFonts w:hint="eastAsia" w:ascii="宋体" w:hAnsi="宋体" w:eastAsia="宋体" w:cs="宋体"/>
          <w:color w:val="auto"/>
          <w:sz w:val="21"/>
          <w:szCs w:val="21"/>
          <w:highlight w:val="none"/>
        </w:rPr>
        <w:t>20</w:t>
      </w:r>
      <w:r>
        <w:rPr>
          <w:rFonts w:hint="eastAsia" w:ascii="宋体" w:hAnsi="宋体" w:eastAsia="宋体" w:cs="宋体"/>
          <w:snapToGrid w:val="0"/>
          <w:color w:val="auto"/>
          <w:sz w:val="21"/>
          <w:szCs w:val="21"/>
          <w:highlight w:val="none"/>
        </w:rPr>
        <w:t>分钟内该区域乙方管理人员无到现场，视为默认处理）。每天检查结束后，对检查情况进行汇总整理（包括书面材料、电子文档和影像资料）和标识归类，并形成环境卫生日常检查记录。将现场检查获取的相关影像资料保存</w:t>
      </w:r>
      <w:r>
        <w:rPr>
          <w:rFonts w:hint="eastAsia" w:ascii="宋体" w:hAnsi="宋体" w:eastAsia="宋体" w:cs="宋体"/>
          <w:color w:val="auto"/>
          <w:sz w:val="21"/>
          <w:szCs w:val="21"/>
          <w:highlight w:val="none"/>
        </w:rPr>
        <w:t>3</w:t>
      </w:r>
      <w:r>
        <w:rPr>
          <w:rFonts w:hint="eastAsia" w:ascii="宋体" w:hAnsi="宋体" w:eastAsia="宋体" w:cs="宋体"/>
          <w:snapToGrid w:val="0"/>
          <w:color w:val="auto"/>
          <w:sz w:val="21"/>
          <w:szCs w:val="21"/>
          <w:highlight w:val="none"/>
        </w:rPr>
        <w:t>个月，以便乙方对以往检查记录和影像资料进行查询。日常检查实施单位每周统计检查考核情况，将一周日常检查发现的问题以书面或电子文档形式通知乙方落实整改，并根据环境卫生管理动态对乙方提出改进要求和指导意见。</w:t>
      </w:r>
    </w:p>
    <w:p w14:paraId="07BD8B25">
      <w:pPr>
        <w:keepNext w:val="0"/>
        <w:keepLines w:val="0"/>
        <w:pageBreakBefore w:val="0"/>
        <w:widowControl w:val="0"/>
        <w:tabs>
          <w:tab w:val="left" w:pos="0"/>
          <w:tab w:val="left" w:pos="993"/>
          <w:tab w:val="left" w:pos="1135"/>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②考核评分标准</w:t>
      </w:r>
    </w:p>
    <w:p w14:paraId="25B2917A">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考核细则：根据市、区最新考核办法执行。乙方无条件服从甲方的业务指导及相应管理。</w:t>
      </w:r>
    </w:p>
    <w:p w14:paraId="59B5907D">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七、机械及车辆的维修管理</w:t>
      </w:r>
    </w:p>
    <w:p w14:paraId="217CF007">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乙方需做好车辆的定期保养及日常维修工作，保险费、保养费及维修费由乙方支付，垃圾清运车辆如因保养不及时造成损坏并影响生产，甲方将对乙方进行考核。</w:t>
      </w:r>
    </w:p>
    <w:p w14:paraId="2E622560">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垃圾站机械设备应定期进行保养及日常维修工作，保险费、保养费及维修费由乙方支付，如因保养不及时造成损坏并影响生产，甲方将对乙方进行考核。</w:t>
      </w:r>
    </w:p>
    <w:p w14:paraId="1DD8794C">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八、安全管理</w:t>
      </w:r>
    </w:p>
    <w:p w14:paraId="728B8783">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必须认真执行国家及省、市有关安全方面的各项法律法规，乙方认真执行安全操作规程，并随时接受甲方的监督检查，采取必要的安全防护措施，消除事故隐患。由于乙方安全措施不利或违规操作，所发生的一切交通及责任事故造成的一切费用由乙方承担。</w:t>
      </w:r>
    </w:p>
    <w:p w14:paraId="20ABE9D4">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 xml:space="preserve">九、承包责任  </w:t>
      </w:r>
    </w:p>
    <w:p w14:paraId="4943405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应建立完整的服务组织机构，组织机构总人数必须满足承包任务的需求。 </w:t>
      </w:r>
    </w:p>
    <w:p w14:paraId="7D3667E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应严格按有关部门的要求，制定文明作业制度、设备设施使用维护制度、员工管理制度等有关规章制度，按规定经过有关程序后，依法向劳动主管部门备案，并于合同签署之日起30日内提供给甲方备案，甲方有权对</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的执行情况进行监督。</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如有违反，甲方可要求</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 xml:space="preserve">进行整改。  </w:t>
      </w:r>
    </w:p>
    <w:p w14:paraId="3CE747D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负责本公司人员的思想教育，专业培训，做到遵纪守法。 </w:t>
      </w:r>
    </w:p>
    <w:p w14:paraId="38AEA9E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4、在履行合同的过程中，</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及其员工给他人造成人身伤亡和财产损失的，由</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自行承担一切责任。</w:t>
      </w:r>
    </w:p>
    <w:p w14:paraId="38525A5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5、承包期间，</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应自行承担因履行合同所产生的债权债务等一切经济责任；自觉遵守各项管理规定，包括但不限于治安、交通、消防、劳动法律法规等，</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因违反上述规定而导致的行政和经济责任，均由</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自行承担相应责任。由此而给甲方造成损失的，甲方有权向</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追偿。</w:t>
      </w:r>
    </w:p>
    <w:p w14:paraId="6275B5A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2" w:firstLineChars="200"/>
        <w:textAlignment w:val="auto"/>
        <w:rPr>
          <w:rFonts w:hint="eastAsia" w:ascii="宋体" w:hAnsi="宋体" w:eastAsia="宋体" w:cs="宋体"/>
          <w:b/>
          <w:snapToGrid w:val="0"/>
          <w:color w:val="auto"/>
          <w:sz w:val="21"/>
          <w:szCs w:val="21"/>
          <w:highlight w:val="none"/>
        </w:rPr>
      </w:pPr>
      <w:r>
        <w:rPr>
          <w:rFonts w:hint="eastAsia" w:ascii="宋体" w:hAnsi="宋体" w:eastAsia="宋体" w:cs="宋体"/>
          <w:b/>
          <w:snapToGrid w:val="0"/>
          <w:color w:val="auto"/>
          <w:sz w:val="21"/>
          <w:szCs w:val="21"/>
          <w:highlight w:val="none"/>
        </w:rPr>
        <w:t>十、违约责任</w:t>
      </w:r>
    </w:p>
    <w:p w14:paraId="08EB7B3D">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不得将项目转包</w:t>
      </w:r>
      <w:r>
        <w:rPr>
          <w:rFonts w:hint="eastAsia" w:ascii="宋体" w:hAnsi="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rPr>
        <w:t>分包，否则，将视为</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严重违约，甲方有权单方解除合同，并有权追偿由此给甲方造成的经济损失。</w:t>
      </w:r>
    </w:p>
    <w:p w14:paraId="5E5F728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2、在执行临时性、阶段性任务（含国家、省、市检查，突击整治，重大活动等）期间，</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的作业质量未能达到规定的要求，甲方可另行安排人员进行作业，并按所发生的实际开支费用的2倍扣减</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当月的承包经费。</w:t>
      </w:r>
    </w:p>
    <w:p w14:paraId="1182D3C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3、承包期间，如因</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在本承包项目范围内违反法律、法规及国家有关政策而受到政府有关部门的处分、处罚的，而无法继续履行合同的，甲方有权单方面解除合同，不承担任何法律责任及经济补偿。</w:t>
      </w:r>
    </w:p>
    <w:p w14:paraId="304D5D0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4、承包期间，双方必须严格履行合同，在执行过程中，如遇未尽事宜（含政府有关部门的政策、作业标准、作业时间、收费管理调整等），双方可协商解决，并签署书面补充合同。</w:t>
      </w:r>
    </w:p>
    <w:p w14:paraId="14E69B4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5、承包期间，除合同约定外，任何一方不得无故终止合同，否则视为违约，违约方需按合同规定的一年中标金额的1</w:t>
      </w:r>
      <w:r>
        <w:rPr>
          <w:rFonts w:hint="eastAsia" w:ascii="宋体" w:hAnsi="宋体" w:cs="宋体"/>
          <w:snapToGrid w:val="0"/>
          <w:color w:val="auto"/>
          <w:sz w:val="21"/>
          <w:szCs w:val="21"/>
          <w:highlight w:val="none"/>
          <w:lang w:val="en-US" w:eastAsia="zh-CN"/>
        </w:rPr>
        <w:t>5</w:t>
      </w:r>
      <w:r>
        <w:rPr>
          <w:rFonts w:hint="eastAsia" w:ascii="宋体" w:hAnsi="宋体" w:eastAsia="宋体" w:cs="宋体"/>
          <w:snapToGrid w:val="0"/>
          <w:color w:val="auto"/>
          <w:sz w:val="21"/>
          <w:szCs w:val="21"/>
          <w:highlight w:val="none"/>
        </w:rPr>
        <w:t>%向对方支付违约金。</w:t>
      </w:r>
    </w:p>
    <w:p w14:paraId="5B1C53C6">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十一、其他要求</w:t>
      </w:r>
    </w:p>
    <w:p w14:paraId="0C45238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1、甲方不提供</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作业人员的食宿。</w:t>
      </w:r>
    </w:p>
    <w:p w14:paraId="7C3EBCD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工作人员发生违法、违规行为的，所造成一切后果及损失，由</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承担责任和负责赔偿。</w:t>
      </w:r>
    </w:p>
    <w:p w14:paraId="1C00718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3、</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的组织机构必须完整，组织机构总人数必须满足要求。 </w:t>
      </w:r>
    </w:p>
    <w:p w14:paraId="7E267F9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dstrike/>
          <w:snapToGrid w:val="0"/>
          <w:color w:val="auto"/>
          <w:sz w:val="21"/>
          <w:szCs w:val="21"/>
          <w:highlight w:val="none"/>
        </w:rPr>
      </w:pPr>
      <w:r>
        <w:rPr>
          <w:rFonts w:hint="eastAsia" w:ascii="宋体" w:hAnsi="宋体" w:eastAsia="宋体" w:cs="宋体"/>
          <w:snapToGrid w:val="0"/>
          <w:color w:val="auto"/>
          <w:sz w:val="21"/>
          <w:szCs w:val="21"/>
          <w:highlight w:val="none"/>
        </w:rPr>
        <w:t>4、</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全部员工，须符合《劳动合同法》和达到南京市城管局对环卫职工待遇的相关要求。</w:t>
      </w:r>
    </w:p>
    <w:p w14:paraId="29D74E3F">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5、承包期间发生各种事故：包括治安、交通、消防和违反劳务纠纷等事件均由</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承担一切责任。</w:t>
      </w:r>
    </w:p>
    <w:p w14:paraId="4CE6E47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6、承包期间，如因</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引起的严重劳务纠纷问题，影响正常工作的，甲方有权临时另行聘请员工确保正常工作，所产生的一切费用由</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支付。一年内累计出现两次这类事件，甲方有权解除合同。</w:t>
      </w:r>
    </w:p>
    <w:p w14:paraId="2EC118AB">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7、</w:t>
      </w:r>
      <w:r>
        <w:rPr>
          <w:rFonts w:hint="eastAsia" w:ascii="宋体" w:hAnsi="宋体" w:eastAsia="宋体" w:cs="宋体"/>
          <w:color w:val="auto"/>
          <w:sz w:val="21"/>
          <w:szCs w:val="21"/>
          <w:highlight w:val="none"/>
        </w:rPr>
        <w:t>乙方</w:t>
      </w:r>
      <w:r>
        <w:rPr>
          <w:rFonts w:hint="eastAsia" w:ascii="宋体" w:hAnsi="宋体" w:eastAsia="宋体" w:cs="宋体"/>
          <w:snapToGrid w:val="0"/>
          <w:color w:val="auto"/>
          <w:sz w:val="21"/>
          <w:szCs w:val="21"/>
          <w:highlight w:val="none"/>
        </w:rPr>
        <w:t>须按照南京市相关垃圾收集、转运、分类及中转站的考核要求执行，并负责应对相关考核检查工作。</w:t>
      </w:r>
    </w:p>
    <w:p w14:paraId="289CA565">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8、垃圾收集、中转必须达到南京市垃圾分类标准，承担上级部门检查及考核等配合费用。</w:t>
      </w:r>
    </w:p>
    <w:p w14:paraId="76E4AFC4">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color w:val="auto"/>
          <w:sz w:val="21"/>
          <w:szCs w:val="21"/>
          <w:highlight w:val="none"/>
        </w:rPr>
      </w:pPr>
      <w:r>
        <w:rPr>
          <w:rFonts w:hint="eastAsia" w:ascii="宋体" w:hAnsi="宋体" w:cs="宋体"/>
          <w:b/>
          <w:bCs/>
          <w:snapToGrid w:val="0"/>
          <w:color w:val="auto"/>
          <w:sz w:val="21"/>
          <w:szCs w:val="21"/>
          <w:highlight w:val="none"/>
          <w:lang w:val="en-US" w:eastAsia="zh-CN"/>
        </w:rPr>
        <w:t>9</w:t>
      </w:r>
      <w:r>
        <w:rPr>
          <w:rFonts w:hint="eastAsia" w:ascii="宋体" w:hAnsi="宋体" w:eastAsia="宋体" w:cs="宋体"/>
          <w:b/>
          <w:bCs/>
          <w:snapToGrid w:val="0"/>
          <w:color w:val="auto"/>
          <w:sz w:val="21"/>
          <w:szCs w:val="21"/>
          <w:highlight w:val="none"/>
        </w:rPr>
        <w:t>、年垃圾处理量暂按</w:t>
      </w:r>
      <w:r>
        <w:rPr>
          <w:rFonts w:hint="eastAsia" w:ascii="宋体" w:hAnsi="宋体" w:eastAsia="宋体" w:cs="宋体"/>
          <w:b/>
          <w:bCs/>
          <w:snapToGrid w:val="0"/>
          <w:color w:val="auto"/>
          <w:sz w:val="21"/>
          <w:szCs w:val="21"/>
          <w:highlight w:val="none"/>
          <w:lang w:eastAsia="zh-CN"/>
        </w:rPr>
        <w:t>1.62634万吨</w:t>
      </w:r>
      <w:r>
        <w:rPr>
          <w:rFonts w:hint="eastAsia" w:ascii="宋体" w:hAnsi="宋体" w:eastAsia="宋体" w:cs="宋体"/>
          <w:b/>
          <w:bCs/>
          <w:snapToGrid w:val="0"/>
          <w:color w:val="auto"/>
          <w:sz w:val="21"/>
          <w:szCs w:val="21"/>
          <w:highlight w:val="none"/>
        </w:rPr>
        <w:t>计算，合同实付金额按照</w:t>
      </w:r>
      <w:r>
        <w:rPr>
          <w:rFonts w:hint="eastAsia" w:ascii="宋体" w:hAnsi="宋体" w:eastAsia="宋体" w:cs="宋体"/>
          <w:b/>
          <w:bCs/>
          <w:snapToGrid w:val="0"/>
          <w:color w:val="auto"/>
          <w:sz w:val="21"/>
          <w:szCs w:val="21"/>
          <w:highlight w:val="none"/>
          <w:lang w:eastAsia="zh-CN"/>
        </w:rPr>
        <w:t>南京市栖霞区城市管理局</w:t>
      </w:r>
      <w:r>
        <w:rPr>
          <w:rFonts w:hint="eastAsia" w:ascii="宋体" w:hAnsi="宋体" w:eastAsia="宋体" w:cs="宋体"/>
          <w:b/>
          <w:bCs/>
          <w:snapToGrid w:val="0"/>
          <w:color w:val="auto"/>
          <w:sz w:val="21"/>
          <w:szCs w:val="21"/>
          <w:highlight w:val="none"/>
        </w:rPr>
        <w:t>核定的全年垃圾处理量及考核结果进行结算</w:t>
      </w:r>
      <w:r>
        <w:rPr>
          <w:rFonts w:hint="eastAsia" w:ascii="宋体" w:hAnsi="宋体" w:eastAsia="宋体" w:cs="宋体"/>
          <w:color w:val="auto"/>
          <w:sz w:val="21"/>
          <w:szCs w:val="21"/>
          <w:highlight w:val="none"/>
        </w:rPr>
        <w:t>。</w:t>
      </w:r>
    </w:p>
    <w:p w14:paraId="138C726E">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、中标单位与原作业单位必须在接到甲方书面通知后一周内完成设施及设备的交接工作。</w:t>
      </w:r>
    </w:p>
    <w:p w14:paraId="3470B815">
      <w:pPr>
        <w:keepNext w:val="0"/>
        <w:keepLines w:val="0"/>
        <w:pageBreakBefore w:val="0"/>
        <w:widowControl w:val="0"/>
        <w:kinsoku/>
        <w:wordWrap/>
        <w:overflowPunct/>
        <w:topLinePunct w:val="0"/>
        <w:autoSpaceDE/>
        <w:autoSpaceDN/>
        <w:bidi w:val="0"/>
        <w:spacing w:line="360" w:lineRule="auto"/>
        <w:ind w:left="0" w:leftChars="0" w:right="0" w:righ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十二、附则</w:t>
      </w:r>
    </w:p>
    <w:p w14:paraId="309CE885">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1、本协议有效期为： 年  月  日至    年   月  日。</w:t>
      </w:r>
    </w:p>
    <w:p w14:paraId="239A5DB6">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2、本协议签订后，双方如需要提出修改或增加条款时，需经双方协商一致后，可以签订补充协议，补充协议与本合同具有同等的法律效力。</w:t>
      </w:r>
    </w:p>
    <w:p w14:paraId="6248ED3E">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3、本协议一式陆份。甲方执叁份，乙方执叁份。</w:t>
      </w:r>
    </w:p>
    <w:p w14:paraId="51C46850">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4、本协议双方盖骑缝章。</w:t>
      </w:r>
    </w:p>
    <w:p w14:paraId="05357334">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5、本协议自双方签字盖章即生效。</w:t>
      </w:r>
    </w:p>
    <w:p w14:paraId="57066D6F">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099C867F">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1、相关费用明细；</w:t>
      </w:r>
    </w:p>
    <w:p w14:paraId="08D7DEE9">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2、垃圾中转工作内容及考核标准；</w:t>
      </w:r>
    </w:p>
    <w:p w14:paraId="1A3BFCB8">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3、乙方营业执照、人员表、设备表及服务承诺。</w:t>
      </w:r>
    </w:p>
    <w:p w14:paraId="17ECD81B">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color w:val="auto"/>
          <w:sz w:val="21"/>
          <w:szCs w:val="21"/>
          <w:highlight w:val="none"/>
        </w:rPr>
      </w:pP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、考核办法及细则（具体待合同签订时明确）</w:t>
      </w:r>
    </w:p>
    <w:p w14:paraId="0C7E708C">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（以下无正文）</w:t>
      </w:r>
    </w:p>
    <w:p w14:paraId="12F6775C">
      <w:pPr>
        <w:pStyle w:val="20"/>
        <w:ind w:left="1470" w:right="1470"/>
        <w:rPr>
          <w:rFonts w:hint="eastAsia" w:ascii="宋体" w:hAnsi="宋体" w:eastAsia="宋体" w:cs="宋体"/>
          <w:color w:val="auto"/>
          <w:sz w:val="21"/>
          <w:szCs w:val="21"/>
          <w:highlight w:val="none"/>
        </w:rPr>
      </w:pPr>
    </w:p>
    <w:p w14:paraId="0D83C426">
      <w:pPr>
        <w:spacing w:line="560" w:lineRule="exact"/>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甲方</w:t>
      </w:r>
      <w:r>
        <w:rPr>
          <w:rFonts w:hint="eastAsia" w:ascii="宋体" w:hAnsi="宋体" w:eastAsia="宋体" w:cs="宋体"/>
          <w:color w:val="auto"/>
          <w:sz w:val="21"/>
          <w:szCs w:val="21"/>
          <w:highlight w:val="none"/>
        </w:rPr>
        <w:t xml:space="preserve">（盖章）                     </w:t>
      </w:r>
      <w:r>
        <w:rPr>
          <w:rFonts w:hint="eastAsia" w:ascii="宋体" w:hAnsi="宋体" w:eastAsia="宋体" w:cs="宋体"/>
          <w:b/>
          <w:color w:val="auto"/>
          <w:sz w:val="21"/>
          <w:szCs w:val="21"/>
          <w:highlight w:val="none"/>
        </w:rPr>
        <w:t>乙方</w:t>
      </w:r>
      <w:r>
        <w:rPr>
          <w:rFonts w:hint="eastAsia" w:ascii="宋体" w:hAnsi="宋体" w:eastAsia="宋体" w:cs="宋体"/>
          <w:color w:val="auto"/>
          <w:sz w:val="21"/>
          <w:szCs w:val="21"/>
          <w:highlight w:val="none"/>
        </w:rPr>
        <w:t>（盖章）</w:t>
      </w:r>
    </w:p>
    <w:p w14:paraId="60E7E4F3">
      <w:pPr>
        <w:spacing w:line="560" w:lineRule="exact"/>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法定代表人</w:t>
      </w:r>
      <w:r>
        <w:rPr>
          <w:rFonts w:hint="eastAsia" w:ascii="宋体" w:hAnsi="宋体" w:eastAsia="宋体" w:cs="宋体"/>
          <w:color w:val="auto"/>
          <w:sz w:val="21"/>
          <w:szCs w:val="21"/>
          <w:highlight w:val="none"/>
        </w:rPr>
        <w:t xml:space="preserve">（签字）            </w:t>
      </w:r>
      <w:r>
        <w:rPr>
          <w:rFonts w:hint="eastAsia" w:ascii="宋体" w:hAnsi="宋体" w:eastAsia="宋体" w:cs="宋体"/>
          <w:b/>
          <w:color w:val="auto"/>
          <w:sz w:val="21"/>
          <w:szCs w:val="21"/>
          <w:highlight w:val="none"/>
        </w:rPr>
        <w:t xml:space="preserve">   法定代表人</w:t>
      </w:r>
      <w:r>
        <w:rPr>
          <w:rFonts w:hint="eastAsia" w:ascii="宋体" w:hAnsi="宋体" w:eastAsia="宋体" w:cs="宋体"/>
          <w:color w:val="auto"/>
          <w:sz w:val="21"/>
          <w:szCs w:val="21"/>
          <w:highlight w:val="none"/>
        </w:rPr>
        <w:t>（签字）</w:t>
      </w:r>
    </w:p>
    <w:p w14:paraId="121F77C2">
      <w:pPr>
        <w:spacing w:line="560" w:lineRule="exact"/>
        <w:ind w:firstLine="898" w:firstLineChars="42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地址：</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地址：</w:t>
      </w:r>
      <w:r>
        <w:rPr>
          <w:rFonts w:hint="eastAsia" w:ascii="宋体" w:hAnsi="宋体" w:eastAsia="宋体" w:cs="宋体"/>
          <w:color w:val="auto"/>
          <w:sz w:val="21"/>
          <w:szCs w:val="21"/>
          <w:highlight w:val="none"/>
        </w:rPr>
        <w:t xml:space="preserve">             </w:t>
      </w:r>
    </w:p>
    <w:p w14:paraId="59B654CA">
      <w:pPr>
        <w:spacing w:line="560" w:lineRule="exact"/>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开户银行：                       开户银行：</w:t>
      </w:r>
      <w:r>
        <w:rPr>
          <w:rFonts w:hint="eastAsia" w:ascii="宋体" w:hAnsi="宋体" w:eastAsia="宋体" w:cs="宋体"/>
          <w:b/>
          <w:color w:val="auto"/>
          <w:sz w:val="21"/>
          <w:szCs w:val="21"/>
          <w:highlight w:val="none"/>
        </w:rPr>
        <w:t xml:space="preserve">                     </w:t>
      </w:r>
    </w:p>
    <w:p w14:paraId="15617B59">
      <w:pPr>
        <w:spacing w:line="560" w:lineRule="exact"/>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账号：</w:t>
      </w:r>
    </w:p>
    <w:p w14:paraId="5B5E9FE6">
      <w:pPr>
        <w:spacing w:line="560" w:lineRule="exact"/>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联系电话：</w:t>
      </w:r>
    </w:p>
    <w:p w14:paraId="6CF6A7D7">
      <w:pPr>
        <w:spacing w:line="560" w:lineRule="exact"/>
        <w:ind w:firstLine="894" w:firstLineChars="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传    真：</w:t>
      </w:r>
    </w:p>
    <w:p w14:paraId="3D744FCC">
      <w:pPr>
        <w:spacing w:line="560" w:lineRule="exact"/>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邮政编码：</w:t>
      </w:r>
    </w:p>
    <w:p w14:paraId="4DFA7FD7">
      <w:pPr>
        <w:spacing w:line="560" w:lineRule="exact"/>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合同签订地点：                  </w:t>
      </w:r>
    </w:p>
    <w:p w14:paraId="63F2C5EB">
      <w:pPr>
        <w:spacing w:line="560" w:lineRule="exact"/>
        <w:ind w:firstLine="894" w:firstLineChars="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合同签订日期：   年  月  日　</w:t>
      </w:r>
    </w:p>
    <w:p w14:paraId="101F3140">
      <w:pPr>
        <w:spacing w:line="56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附件1：相关费用明细</w:t>
      </w:r>
    </w:p>
    <w:p w14:paraId="5C6F22B3">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（截取中标人投标文件中费用明细）</w:t>
      </w:r>
    </w:p>
    <w:p w14:paraId="1DBB0D75">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1"/>
          <w:szCs w:val="21"/>
          <w:highlight w:val="none"/>
        </w:rPr>
        <w:t>附件2：垃圾中转工作内容及考核标准</w:t>
      </w:r>
    </w:p>
    <w:p w14:paraId="5D9B14D2">
      <w:pPr>
        <w:spacing w:line="46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具体考核细则待合同签订时明确。</w:t>
      </w:r>
      <w:r>
        <w:rPr>
          <w:rFonts w:hint="eastAsia" w:ascii="宋体" w:hAnsi="宋体" w:eastAsia="宋体" w:cs="宋体"/>
          <w:b/>
          <w:bCs/>
          <w:color w:val="auto"/>
          <w:sz w:val="21"/>
          <w:szCs w:val="21"/>
          <w:highlight w:val="none"/>
          <w:lang w:eastAsia="zh-CN"/>
        </w:rPr>
        <w:t>）</w:t>
      </w:r>
    </w:p>
    <w:p w14:paraId="104CD987">
      <w:pPr>
        <w:pageBreakBefore w:val="0"/>
        <w:kinsoku/>
        <w:wordWrap/>
        <w:overflowPunct/>
        <w:topLinePunct w:val="0"/>
        <w:autoSpaceDE/>
        <w:autoSpaceDN/>
        <w:bidi w:val="0"/>
        <w:spacing w:line="240" w:lineRule="auto"/>
        <w:ind w:left="0" w:leftChars="0" w:firstLine="420" w:firstLineChars="200"/>
        <w:textAlignment w:val="auto"/>
        <w:rPr>
          <w:rFonts w:hint="eastAsia" w:ascii="宋体" w:hAnsi="宋体" w:eastAsia="宋体" w:cs="宋体"/>
          <w:color w:val="auto"/>
          <w:spacing w:val="0"/>
          <w:sz w:val="21"/>
          <w:szCs w:val="21"/>
          <w:highlight w:val="none"/>
        </w:rPr>
      </w:pPr>
    </w:p>
    <w:p w14:paraId="51C14F55">
      <w:pPr>
        <w:keepNext w:val="0"/>
        <w:keepLines w:val="0"/>
        <w:pageBreakBefore w:val="0"/>
        <w:kinsoku/>
        <w:wordWrap/>
        <w:overflowPunct/>
        <w:topLinePunct w:val="0"/>
        <w:autoSpaceDE/>
        <w:autoSpaceDN/>
        <w:bidi w:val="0"/>
        <w:spacing w:line="240" w:lineRule="auto"/>
        <w:ind w:left="0" w:leftChars="0" w:right="0" w:rightChars="0"/>
        <w:jc w:val="left"/>
        <w:textAlignment w:val="auto"/>
        <w:rPr>
          <w:rFonts w:hint="eastAsia" w:ascii="宋体" w:hAnsi="宋体" w:eastAsia="宋体" w:cs="宋体"/>
          <w:b/>
          <w:bCs/>
          <w:color w:val="auto"/>
          <w:spacing w:val="0"/>
          <w:sz w:val="21"/>
          <w:szCs w:val="21"/>
          <w:highlight w:val="none"/>
        </w:rPr>
        <w:sectPr>
          <w:pgSz w:w="11906" w:h="16838"/>
          <w:pgMar w:top="850" w:right="850" w:bottom="850" w:left="1417" w:header="227" w:footer="397" w:gutter="0"/>
          <w:pgNumType w:fmt="decimal"/>
          <w:cols w:space="720" w:num="1"/>
          <w:docGrid w:type="lines" w:linePitch="312" w:charSpace="0"/>
        </w:sectPr>
      </w:pPr>
    </w:p>
    <w:p w14:paraId="43B86680">
      <w:pPr>
        <w:keepNext w:val="0"/>
        <w:keepLines w:val="0"/>
        <w:pageBreakBefore w:val="0"/>
        <w:kinsoku/>
        <w:wordWrap/>
        <w:overflowPunct/>
        <w:topLinePunct w:val="0"/>
        <w:autoSpaceDE/>
        <w:autoSpaceDN/>
        <w:bidi w:val="0"/>
        <w:spacing w:line="240" w:lineRule="auto"/>
        <w:ind w:left="0" w:leftChars="0" w:right="0" w:rightChars="0"/>
        <w:jc w:val="left"/>
        <w:textAlignment w:val="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附件</w:t>
      </w:r>
      <w:r>
        <w:rPr>
          <w:rFonts w:hint="eastAsia" w:ascii="宋体" w:hAnsi="宋体" w:eastAsia="宋体" w:cs="宋体"/>
          <w:b/>
          <w:bCs/>
          <w:color w:val="auto"/>
          <w:spacing w:val="0"/>
          <w:sz w:val="21"/>
          <w:szCs w:val="21"/>
          <w:highlight w:val="none"/>
          <w:lang w:val="en-US" w:eastAsia="zh-CN"/>
        </w:rPr>
        <w:t>3</w:t>
      </w:r>
    </w:p>
    <w:p w14:paraId="6CE97F68">
      <w:pPr>
        <w:pStyle w:val="20"/>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乙方营业执照、人员表、设备表及服务承诺</w:t>
      </w:r>
    </w:p>
    <w:p w14:paraId="33A70568">
      <w:pPr>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（截取中标人投标文件中营业执照、人员表、设备表及服务承诺）</w:t>
      </w:r>
    </w:p>
    <w:p w14:paraId="780CF78D">
      <w:pPr>
        <w:jc w:val="left"/>
        <w:rPr>
          <w:rFonts w:hint="eastAsia" w:ascii="宋体" w:hAnsi="宋体" w:eastAsia="宋体" w:cs="宋体"/>
          <w:color w:val="auto"/>
          <w:spacing w:val="0"/>
          <w:sz w:val="21"/>
          <w:szCs w:val="21"/>
          <w:highlight w:val="none"/>
        </w:rPr>
      </w:pPr>
    </w:p>
    <w:p w14:paraId="56CB6A4C">
      <w:pPr>
        <w:jc w:val="left"/>
        <w:rPr>
          <w:rFonts w:hint="eastAsia" w:ascii="宋体" w:hAnsi="宋体" w:eastAsia="宋体" w:cs="宋体"/>
          <w:color w:val="auto"/>
          <w:spacing w:val="0"/>
          <w:sz w:val="21"/>
          <w:szCs w:val="21"/>
          <w:highlight w:val="none"/>
        </w:rPr>
      </w:pPr>
    </w:p>
    <w:p w14:paraId="51BBDE35">
      <w:pPr>
        <w:jc w:val="left"/>
        <w:rPr>
          <w:rFonts w:hint="eastAsia" w:ascii="宋体" w:hAnsi="宋体" w:eastAsia="宋体" w:cs="宋体"/>
          <w:color w:val="auto"/>
          <w:spacing w:val="0"/>
          <w:sz w:val="21"/>
          <w:szCs w:val="21"/>
          <w:highlight w:val="none"/>
        </w:rPr>
      </w:pPr>
    </w:p>
    <w:p w14:paraId="34851DF2">
      <w:pPr>
        <w:jc w:val="left"/>
        <w:rPr>
          <w:rFonts w:hint="eastAsia" w:ascii="宋体" w:hAnsi="宋体" w:eastAsia="宋体" w:cs="宋体"/>
          <w:color w:val="auto"/>
          <w:spacing w:val="0"/>
          <w:sz w:val="21"/>
          <w:szCs w:val="21"/>
          <w:highlight w:val="none"/>
        </w:rPr>
      </w:pPr>
    </w:p>
    <w:p w14:paraId="42CCF314">
      <w:pPr>
        <w:jc w:val="left"/>
        <w:rPr>
          <w:rFonts w:hint="eastAsia" w:ascii="宋体" w:hAnsi="宋体" w:eastAsia="宋体" w:cs="宋体"/>
          <w:color w:val="auto"/>
          <w:spacing w:val="0"/>
          <w:sz w:val="21"/>
          <w:szCs w:val="21"/>
          <w:highlight w:val="none"/>
        </w:rPr>
      </w:pPr>
    </w:p>
    <w:p w14:paraId="28A3E7E5">
      <w:pPr>
        <w:jc w:val="left"/>
        <w:rPr>
          <w:rFonts w:hint="eastAsia" w:ascii="宋体" w:hAnsi="宋体" w:eastAsia="宋体" w:cs="宋体"/>
          <w:color w:val="auto"/>
          <w:spacing w:val="0"/>
          <w:sz w:val="21"/>
          <w:szCs w:val="21"/>
          <w:highlight w:val="none"/>
        </w:rPr>
      </w:pPr>
    </w:p>
    <w:p w14:paraId="195A3AD5">
      <w:pPr>
        <w:numPr>
          <w:ilvl w:val="0"/>
          <w:numId w:val="0"/>
        </w:numPr>
        <w:jc w:val="left"/>
        <w:rPr>
          <w:rFonts w:hint="eastAsia" w:ascii="宋体" w:hAnsi="宋体" w:cs="宋体"/>
          <w:b/>
          <w:bCs/>
          <w:i w:val="0"/>
          <w:iCs w:val="0"/>
          <w:color w:val="auto"/>
          <w:kern w:val="2"/>
          <w:sz w:val="21"/>
          <w:szCs w:val="21"/>
          <w:highlight w:val="none"/>
          <w:u w:val="none"/>
          <w:lang w:val="en-US" w:eastAsia="zh-CN" w:bidi="ar"/>
        </w:rPr>
      </w:pPr>
      <w:r>
        <w:rPr>
          <w:rFonts w:hint="eastAsia" w:ascii="宋体" w:hAnsi="宋体" w:cs="宋体"/>
          <w:b/>
          <w:bCs/>
          <w:i w:val="0"/>
          <w:iCs w:val="0"/>
          <w:color w:val="auto"/>
          <w:kern w:val="2"/>
          <w:sz w:val="21"/>
          <w:szCs w:val="21"/>
          <w:highlight w:val="none"/>
          <w:u w:val="none"/>
          <w:lang w:val="en-US" w:eastAsia="zh-CN" w:bidi="ar"/>
        </w:rPr>
        <w:t>附件4</w:t>
      </w:r>
    </w:p>
    <w:p w14:paraId="63988403">
      <w:pPr>
        <w:numPr>
          <w:ilvl w:val="0"/>
          <w:numId w:val="0"/>
        </w:numPr>
        <w:jc w:val="left"/>
        <w:rPr>
          <w:rFonts w:hint="eastAsia" w:ascii="宋体" w:hAnsi="宋体" w:eastAsia="宋体" w:cs="宋体"/>
          <w:b/>
          <w:bCs/>
          <w:i w:val="0"/>
          <w:iCs w:val="0"/>
          <w:color w:val="auto"/>
          <w:kern w:val="2"/>
          <w:sz w:val="21"/>
          <w:szCs w:val="21"/>
          <w:highlight w:val="none"/>
          <w:u w:val="none"/>
          <w:lang w:val="en-US" w:eastAsia="zh-CN" w:bidi="ar"/>
        </w:rPr>
      </w:pPr>
      <w:r>
        <w:rPr>
          <w:rFonts w:hint="eastAsia" w:ascii="宋体" w:hAnsi="宋体" w:eastAsia="宋体" w:cs="宋体"/>
          <w:b/>
          <w:bCs/>
          <w:i w:val="0"/>
          <w:iCs w:val="0"/>
          <w:color w:val="auto"/>
          <w:kern w:val="2"/>
          <w:sz w:val="21"/>
          <w:szCs w:val="21"/>
          <w:highlight w:val="none"/>
          <w:u w:val="none"/>
          <w:lang w:val="en-US" w:eastAsia="zh-CN" w:bidi="ar"/>
        </w:rPr>
        <w:t>考核办法及细则</w:t>
      </w:r>
    </w:p>
    <w:p w14:paraId="18138E15">
      <w:pPr>
        <w:numPr>
          <w:ilvl w:val="0"/>
          <w:numId w:val="0"/>
        </w:numPr>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（具体待合同签订时明确）</w:t>
      </w:r>
    </w:p>
    <w:p w14:paraId="29940F3A">
      <w:pPr>
        <w:rPr>
          <w:rFonts w:ascii="宋体" w:hAnsi="宋体" w:cs="宋体"/>
          <w:szCs w:val="21"/>
          <w:highlight w:val="none"/>
        </w:rPr>
      </w:pPr>
      <w:r>
        <w:rPr>
          <w:color w:val="000000" w:themeColor="text1"/>
          <w:highlight w:val="none"/>
          <w14:textFill>
            <w14:solidFill>
              <w14:schemeClr w14:val="tx1"/>
            </w14:solidFill>
          </w14:textFill>
        </w:rPr>
        <w:br w:type="page"/>
      </w:r>
    </w:p>
    <w:p w14:paraId="7C5D870B">
      <w:pPr>
        <w:pStyle w:val="2"/>
        <w:numPr>
          <w:ilvl w:val="0"/>
          <w:numId w:val="6"/>
        </w:numPr>
        <w:rPr>
          <w:rFonts w:ascii="宋体" w:hAnsi="宋体" w:cs="宋体"/>
          <w:highlight w:val="none"/>
        </w:rPr>
      </w:pPr>
      <w:bookmarkStart w:id="24" w:name="_Toc13466"/>
      <w:bookmarkStart w:id="25" w:name="_Toc15886"/>
      <w:r>
        <w:rPr>
          <w:rFonts w:hint="eastAsia" w:ascii="宋体" w:hAnsi="宋体" w:cs="宋体"/>
          <w:highlight w:val="none"/>
        </w:rPr>
        <w:t>投标文件格式及附件</w:t>
      </w:r>
      <w:bookmarkEnd w:id="24"/>
      <w:bookmarkEnd w:id="25"/>
    </w:p>
    <w:p w14:paraId="65EF2F96">
      <w:pPr>
        <w:pStyle w:val="58"/>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 致：</w:t>
      </w:r>
      <w:r>
        <w:rPr>
          <w:rFonts w:hint="eastAsia" w:ascii="宋体" w:hAnsi="宋体" w:cs="宋体"/>
          <w:kern w:val="0"/>
          <w:szCs w:val="21"/>
          <w:highlight w:val="none"/>
          <w:lang w:eastAsia="zh-CN"/>
        </w:rPr>
        <w:t>江苏省设备成套股份有限公司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26" w:name="_Toc26810"/>
      <w:r>
        <w:rPr>
          <w:rFonts w:hint="eastAsia" w:ascii="宋体" w:hAnsi="宋体" w:cs="宋体"/>
          <w:b/>
          <w:bCs/>
          <w:kern w:val="0"/>
          <w:szCs w:val="21"/>
          <w:highlight w:val="none"/>
          <w:lang w:val="zh-CN"/>
        </w:rPr>
        <w:t>附件三、</w:t>
      </w:r>
      <w:bookmarkEnd w:id="26"/>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苏采云系统中填报的价格为3年总价</w:t>
            </w:r>
          </w:p>
        </w:tc>
      </w:tr>
    </w:tbl>
    <w:p w14:paraId="1F477DA9">
      <w:pPr>
        <w:pStyle w:val="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27"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27"/>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377"/>
        <w:gridCol w:w="1942"/>
        <w:gridCol w:w="1483"/>
        <w:gridCol w:w="1512"/>
        <w:gridCol w:w="1696"/>
      </w:tblGrid>
      <w:tr w14:paraId="4CFA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16" w:type="dxa"/>
            <w:vAlign w:val="center"/>
          </w:tcPr>
          <w:p w14:paraId="0D1530C7">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序号</w:t>
            </w:r>
          </w:p>
        </w:tc>
        <w:tc>
          <w:tcPr>
            <w:tcW w:w="1377" w:type="dxa"/>
            <w:vAlign w:val="center"/>
          </w:tcPr>
          <w:p w14:paraId="2CC7C584">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项目</w:t>
            </w:r>
          </w:p>
        </w:tc>
        <w:tc>
          <w:tcPr>
            <w:tcW w:w="1942" w:type="dxa"/>
            <w:vAlign w:val="center"/>
          </w:tcPr>
          <w:p w14:paraId="395B1973">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工作量</w:t>
            </w:r>
          </w:p>
        </w:tc>
        <w:tc>
          <w:tcPr>
            <w:tcW w:w="1483" w:type="dxa"/>
            <w:vAlign w:val="center"/>
          </w:tcPr>
          <w:p w14:paraId="0073F8D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单价</w:t>
            </w:r>
          </w:p>
        </w:tc>
        <w:tc>
          <w:tcPr>
            <w:tcW w:w="1512" w:type="dxa"/>
            <w:vAlign w:val="center"/>
          </w:tcPr>
          <w:p w14:paraId="62303B2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小计</w:t>
            </w:r>
            <w:r>
              <w:rPr>
                <w:rFonts w:hint="eastAsia" w:ascii="宋体" w:hAnsi="宋体" w:cs="宋体"/>
                <w:b/>
                <w:bCs/>
                <w:color w:val="000000" w:themeColor="text1"/>
                <w:sz w:val="21"/>
                <w:szCs w:val="21"/>
                <w:highlight w:val="none"/>
                <w:lang w:val="en-US" w:eastAsia="zh-CN"/>
                <w14:textFill>
                  <w14:solidFill>
                    <w14:schemeClr w14:val="tx1"/>
                  </w14:solidFill>
                </w14:textFill>
              </w:rPr>
              <w:t>（元/年）</w:t>
            </w:r>
          </w:p>
        </w:tc>
        <w:tc>
          <w:tcPr>
            <w:tcW w:w="1696" w:type="dxa"/>
            <w:vAlign w:val="center"/>
          </w:tcPr>
          <w:p w14:paraId="24210CF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snapToGrid w:val="0"/>
                <w:color w:val="auto"/>
                <w:sz w:val="21"/>
                <w:szCs w:val="21"/>
                <w:highlight w:val="none"/>
                <w:vertAlign w:val="baseline"/>
                <w:lang w:val="en-US" w:eastAsia="zh-CN"/>
              </w:rPr>
              <w:t>备注</w:t>
            </w:r>
          </w:p>
        </w:tc>
      </w:tr>
      <w:tr w14:paraId="6992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16" w:type="dxa"/>
            <w:vAlign w:val="center"/>
          </w:tcPr>
          <w:p w14:paraId="37C1055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w:t>
            </w:r>
          </w:p>
        </w:tc>
        <w:tc>
          <w:tcPr>
            <w:tcW w:w="1377" w:type="dxa"/>
            <w:vAlign w:val="center"/>
          </w:tcPr>
          <w:p w14:paraId="2B5FAC5A">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垃圾中转</w:t>
            </w:r>
          </w:p>
        </w:tc>
        <w:tc>
          <w:tcPr>
            <w:tcW w:w="1942" w:type="dxa"/>
            <w:vAlign w:val="center"/>
          </w:tcPr>
          <w:p w14:paraId="2BD4A63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1.62634万吨</w:t>
            </w:r>
          </w:p>
        </w:tc>
        <w:tc>
          <w:tcPr>
            <w:tcW w:w="1483" w:type="dxa"/>
            <w:vAlign w:val="center"/>
          </w:tcPr>
          <w:p w14:paraId="63720385">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 xml:space="preserve">     元/吨</w:t>
            </w:r>
          </w:p>
        </w:tc>
        <w:tc>
          <w:tcPr>
            <w:tcW w:w="1512" w:type="dxa"/>
            <w:vAlign w:val="center"/>
          </w:tcPr>
          <w:p w14:paraId="05206D9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c>
          <w:tcPr>
            <w:tcW w:w="1696" w:type="dxa"/>
            <w:vAlign w:val="center"/>
          </w:tcPr>
          <w:p w14:paraId="50F7E93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bCs w:val="0"/>
                <w:snapToGrid w:val="0"/>
                <w:color w:val="auto"/>
                <w:sz w:val="21"/>
                <w:szCs w:val="21"/>
                <w:highlight w:val="none"/>
                <w:vertAlign w:val="baseline"/>
                <w:lang w:val="en-US" w:eastAsia="zh-CN"/>
              </w:rPr>
            </w:pPr>
            <w:r>
              <w:rPr>
                <w:rFonts w:hint="eastAsia" w:ascii="宋体" w:hAnsi="宋体" w:cs="宋体"/>
                <w:b/>
                <w:bCs w:val="0"/>
                <w:snapToGrid w:val="0"/>
                <w:color w:val="auto"/>
                <w:sz w:val="21"/>
                <w:szCs w:val="21"/>
                <w:highlight w:val="none"/>
                <w:vertAlign w:val="baseline"/>
                <w:lang w:val="en-US" w:eastAsia="zh-CN"/>
              </w:rPr>
              <w:t>/</w:t>
            </w:r>
          </w:p>
        </w:tc>
      </w:tr>
      <w:tr w14:paraId="76BB7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6" w:type="dxa"/>
            <w:vAlign w:val="center"/>
          </w:tcPr>
          <w:p w14:paraId="505A26B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2</w:t>
            </w:r>
          </w:p>
        </w:tc>
        <w:tc>
          <w:tcPr>
            <w:tcW w:w="1377" w:type="dxa"/>
            <w:vAlign w:val="center"/>
          </w:tcPr>
          <w:p w14:paraId="4428AEE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垃圾运输</w:t>
            </w:r>
          </w:p>
        </w:tc>
        <w:tc>
          <w:tcPr>
            <w:tcW w:w="1942" w:type="dxa"/>
            <w:vAlign w:val="center"/>
          </w:tcPr>
          <w:p w14:paraId="408EC75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166公里</w:t>
            </w:r>
          </w:p>
          <w:p w14:paraId="7E7CB8DC">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（1.62634万吨）</w:t>
            </w:r>
          </w:p>
        </w:tc>
        <w:tc>
          <w:tcPr>
            <w:tcW w:w="1483" w:type="dxa"/>
            <w:vAlign w:val="center"/>
          </w:tcPr>
          <w:p w14:paraId="64A925B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 xml:space="preserve">     元/吨/公里</w:t>
            </w:r>
          </w:p>
        </w:tc>
        <w:tc>
          <w:tcPr>
            <w:tcW w:w="1512" w:type="dxa"/>
            <w:vAlign w:val="center"/>
          </w:tcPr>
          <w:p w14:paraId="0E6367C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c>
          <w:tcPr>
            <w:tcW w:w="1696" w:type="dxa"/>
            <w:vAlign w:val="center"/>
          </w:tcPr>
          <w:p w14:paraId="083F6E8D">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bCs w:val="0"/>
                <w:snapToGrid w:val="0"/>
                <w:color w:val="auto"/>
                <w:sz w:val="21"/>
                <w:szCs w:val="21"/>
                <w:highlight w:val="none"/>
                <w:vertAlign w:val="baseline"/>
                <w:lang w:val="en-US" w:eastAsia="zh-CN"/>
              </w:rPr>
            </w:pPr>
            <w:r>
              <w:rPr>
                <w:rFonts w:hint="eastAsia" w:ascii="宋体" w:hAnsi="宋体" w:cs="宋体"/>
                <w:b/>
                <w:bCs w:val="0"/>
                <w:snapToGrid w:val="0"/>
                <w:color w:val="auto"/>
                <w:sz w:val="21"/>
                <w:szCs w:val="21"/>
                <w:highlight w:val="none"/>
                <w:vertAlign w:val="baseline"/>
                <w:lang w:val="en-US" w:eastAsia="zh-CN"/>
              </w:rPr>
              <w:t>此项计算方式：166×16263.4×所报单价</w:t>
            </w:r>
          </w:p>
        </w:tc>
      </w:tr>
      <w:tr w14:paraId="3BEE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716" w:type="dxa"/>
            <w:vAlign w:val="center"/>
          </w:tcPr>
          <w:p w14:paraId="0815EEA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3</w:t>
            </w:r>
          </w:p>
        </w:tc>
        <w:tc>
          <w:tcPr>
            <w:tcW w:w="1377" w:type="dxa"/>
            <w:vAlign w:val="center"/>
          </w:tcPr>
          <w:p w14:paraId="5292A694">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中转站除臭</w:t>
            </w:r>
          </w:p>
        </w:tc>
        <w:tc>
          <w:tcPr>
            <w:tcW w:w="1942" w:type="dxa"/>
            <w:vAlign w:val="center"/>
          </w:tcPr>
          <w:p w14:paraId="17EC81B4">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1座</w:t>
            </w:r>
          </w:p>
        </w:tc>
        <w:tc>
          <w:tcPr>
            <w:tcW w:w="1483" w:type="dxa"/>
            <w:vAlign w:val="center"/>
          </w:tcPr>
          <w:p w14:paraId="63D9821D">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 xml:space="preserve">  元/座</w:t>
            </w:r>
          </w:p>
        </w:tc>
        <w:tc>
          <w:tcPr>
            <w:tcW w:w="1512" w:type="dxa"/>
            <w:vAlign w:val="center"/>
          </w:tcPr>
          <w:p w14:paraId="7E536F10">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c>
          <w:tcPr>
            <w:tcW w:w="1696" w:type="dxa"/>
            <w:vAlign w:val="center"/>
          </w:tcPr>
          <w:p w14:paraId="631A192B">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bCs w:val="0"/>
                <w:snapToGrid w:val="0"/>
                <w:color w:val="auto"/>
                <w:sz w:val="21"/>
                <w:szCs w:val="21"/>
                <w:highlight w:val="none"/>
                <w:vertAlign w:val="baseline"/>
                <w:lang w:val="en-US" w:eastAsia="zh-CN"/>
              </w:rPr>
            </w:pPr>
            <w:r>
              <w:rPr>
                <w:rFonts w:hint="eastAsia" w:ascii="宋体" w:hAnsi="宋体" w:cs="宋体"/>
                <w:b/>
                <w:bCs w:val="0"/>
                <w:snapToGrid w:val="0"/>
                <w:color w:val="auto"/>
                <w:sz w:val="21"/>
                <w:szCs w:val="21"/>
                <w:highlight w:val="none"/>
                <w:vertAlign w:val="baseline"/>
                <w:lang w:val="en-US" w:eastAsia="zh-CN"/>
              </w:rPr>
              <w:t>/</w:t>
            </w:r>
          </w:p>
        </w:tc>
      </w:tr>
      <w:tr w14:paraId="267E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6" w:type="dxa"/>
            <w:vAlign w:val="center"/>
          </w:tcPr>
          <w:p w14:paraId="7D67C941">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4</w:t>
            </w:r>
          </w:p>
        </w:tc>
        <w:tc>
          <w:tcPr>
            <w:tcW w:w="4802" w:type="dxa"/>
            <w:gridSpan w:val="3"/>
            <w:vAlign w:val="center"/>
          </w:tcPr>
          <w:p w14:paraId="0E92073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w:t>
            </w:r>
          </w:p>
          <w:p w14:paraId="711A7488">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序号1+序号2+序号3之和（一年总价）</w:t>
            </w:r>
          </w:p>
        </w:tc>
        <w:tc>
          <w:tcPr>
            <w:tcW w:w="1512" w:type="dxa"/>
            <w:vAlign w:val="center"/>
          </w:tcPr>
          <w:p w14:paraId="24151FE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snapToGrid w:val="0"/>
                <w:color w:val="auto"/>
                <w:sz w:val="21"/>
                <w:szCs w:val="21"/>
                <w:highlight w:val="none"/>
                <w:vertAlign w:val="baseline"/>
                <w:lang w:val="en-US" w:eastAsia="zh-CN"/>
              </w:rPr>
            </w:pPr>
          </w:p>
        </w:tc>
        <w:tc>
          <w:tcPr>
            <w:tcW w:w="1696" w:type="dxa"/>
            <w:vAlign w:val="center"/>
          </w:tcPr>
          <w:p w14:paraId="2825BB29">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eastAsia" w:ascii="宋体" w:hAnsi="宋体" w:cs="宋体"/>
                <w:b/>
                <w:bCs w:val="0"/>
                <w:snapToGrid w:val="0"/>
                <w:color w:val="auto"/>
                <w:sz w:val="21"/>
                <w:szCs w:val="21"/>
                <w:highlight w:val="none"/>
                <w:vertAlign w:val="baseline"/>
                <w:lang w:val="en-US" w:eastAsia="zh-CN"/>
              </w:rPr>
            </w:pPr>
            <w:r>
              <w:rPr>
                <w:rFonts w:hint="eastAsia" w:ascii="宋体" w:hAnsi="宋体" w:cs="宋体"/>
                <w:b/>
                <w:bCs w:val="0"/>
                <w:snapToGrid w:val="0"/>
                <w:color w:val="auto"/>
                <w:sz w:val="21"/>
                <w:szCs w:val="21"/>
                <w:highlight w:val="none"/>
                <w:vertAlign w:val="baseline"/>
                <w:lang w:val="en-US" w:eastAsia="zh-CN"/>
              </w:rPr>
              <w:t>/</w:t>
            </w:r>
          </w:p>
        </w:tc>
      </w:tr>
      <w:tr w14:paraId="50A3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14:paraId="5D1D471E">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center"/>
              <w:textAlignment w:val="auto"/>
              <w:rPr>
                <w:rFonts w:hint="default" w:ascii="宋体" w:hAnsi="宋体" w:cs="宋体"/>
                <w:b w:val="0"/>
                <w:bCs/>
                <w:snapToGrid w:val="0"/>
                <w:color w:val="auto"/>
                <w:sz w:val="21"/>
                <w:szCs w:val="21"/>
                <w:highlight w:val="none"/>
                <w:vertAlign w:val="baseline"/>
                <w:lang w:val="en-US" w:eastAsia="zh-CN"/>
              </w:rPr>
            </w:pPr>
            <w:r>
              <w:rPr>
                <w:rFonts w:hint="eastAsia" w:ascii="宋体" w:hAnsi="宋体" w:cs="宋体"/>
                <w:b w:val="0"/>
                <w:bCs/>
                <w:snapToGrid w:val="0"/>
                <w:color w:val="auto"/>
                <w:sz w:val="21"/>
                <w:szCs w:val="21"/>
                <w:highlight w:val="none"/>
                <w:vertAlign w:val="baseline"/>
                <w:lang w:val="en-US" w:eastAsia="zh-CN"/>
              </w:rPr>
              <w:t>5</w:t>
            </w:r>
          </w:p>
        </w:tc>
        <w:tc>
          <w:tcPr>
            <w:tcW w:w="8010" w:type="dxa"/>
            <w:gridSpan w:val="5"/>
            <w:vAlign w:val="center"/>
          </w:tcPr>
          <w:p w14:paraId="22785416">
            <w:pPr>
              <w:keepNext w:val="0"/>
              <w:keepLines w:val="0"/>
              <w:pageBreakBefore w:val="0"/>
              <w:widowControl w:val="0"/>
              <w:tabs>
                <w:tab w:val="left" w:pos="0"/>
                <w:tab w:val="left" w:pos="993"/>
                <w:tab w:val="left" w:pos="1134"/>
                <w:tab w:val="left" w:pos="2190"/>
              </w:tabs>
              <w:kinsoku/>
              <w:wordWrap/>
              <w:overflowPunct/>
              <w:topLinePunct w:val="0"/>
              <w:autoSpaceDE/>
              <w:autoSpaceDN/>
              <w:bidi w:val="0"/>
              <w:adjustRightInd w:val="0"/>
              <w:snapToGrid w:val="0"/>
              <w:spacing w:line="360" w:lineRule="auto"/>
              <w:jc w:val="both"/>
              <w:textAlignment w:val="auto"/>
              <w:rPr>
                <w:rFonts w:hint="default" w:ascii="宋体" w:hAnsi="宋体" w:cs="宋体"/>
                <w:b/>
                <w:snapToGrid w:val="0"/>
                <w:color w:val="auto"/>
                <w:sz w:val="21"/>
                <w:szCs w:val="21"/>
                <w:highlight w:val="none"/>
                <w:vertAlign w:val="baseline"/>
                <w:lang w:val="en-US" w:eastAsia="zh-CN"/>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总价（元/三年）: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1533FA50">
      <w:pPr>
        <w:widowControl/>
        <w:shd w:val="clear" w:color="auto" w:fill="FFFFFF"/>
        <w:spacing w:line="360" w:lineRule="auto"/>
        <w:jc w:val="center"/>
        <w:rPr>
          <w:rFonts w:hint="default" w:ascii="宋体" w:hAnsi="宋体" w:eastAsia="宋体" w:cs="宋体"/>
          <w:kern w:val="0"/>
          <w:szCs w:val="21"/>
          <w:highlight w:val="none"/>
          <w:lang w:val="en-US" w:eastAsia="zh-CN"/>
        </w:rPr>
      </w:pPr>
    </w:p>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77873420">
      <w:pPr>
        <w:widowControl/>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说明：</w:t>
      </w:r>
    </w:p>
    <w:p w14:paraId="790B1F76">
      <w:pPr>
        <w:widowControl/>
        <w:numPr>
          <w:ilvl w:val="0"/>
          <w:numId w:val="7"/>
        </w:numPr>
        <w:shd w:val="clear" w:color="auto" w:fill="FFFFFF"/>
        <w:spacing w:line="360" w:lineRule="auto"/>
        <w:jc w:val="left"/>
        <w:rPr>
          <w:rFonts w:hint="eastAsia" w:ascii="宋体" w:hAnsi="宋体" w:cs="宋体"/>
          <w:b/>
          <w:bCs/>
          <w:kern w:val="0"/>
          <w:szCs w:val="21"/>
          <w:highlight w:val="yellow"/>
          <w:u w:val="single"/>
          <w:lang w:val="en-US" w:eastAsia="zh-CN"/>
        </w:rPr>
      </w:pPr>
      <w:r>
        <w:rPr>
          <w:rFonts w:hint="eastAsia" w:ascii="宋体" w:hAnsi="宋体" w:cs="宋体"/>
          <w:b/>
          <w:bCs/>
          <w:kern w:val="0"/>
          <w:szCs w:val="21"/>
          <w:highlight w:val="yellow"/>
          <w:u w:val="single"/>
          <w:lang w:val="en-US" w:eastAsia="zh-CN"/>
        </w:rPr>
        <w:t>单价不得超过招标文件规定的单项限价，否则作无效标处理。</w:t>
      </w:r>
    </w:p>
    <w:p w14:paraId="1ADEB03F">
      <w:pPr>
        <w:widowControl/>
        <w:numPr>
          <w:ilvl w:val="0"/>
          <w:numId w:val="7"/>
        </w:numPr>
        <w:shd w:val="clear" w:color="auto" w:fill="FFFFFF"/>
        <w:spacing w:line="360" w:lineRule="auto"/>
        <w:jc w:val="left"/>
        <w:rPr>
          <w:rFonts w:hint="eastAsia" w:ascii="宋体" w:hAnsi="宋体" w:cs="宋体"/>
          <w:b/>
          <w:bCs/>
          <w:kern w:val="0"/>
          <w:szCs w:val="21"/>
          <w:highlight w:val="yellow"/>
          <w:u w:val="single"/>
        </w:rPr>
      </w:pPr>
      <w:r>
        <w:rPr>
          <w:rFonts w:hint="eastAsia" w:ascii="宋体" w:hAnsi="宋体" w:cs="宋体"/>
          <w:b/>
          <w:bCs/>
          <w:kern w:val="0"/>
          <w:szCs w:val="21"/>
          <w:highlight w:val="yellow"/>
          <w:u w:val="single"/>
          <w:lang w:val="en-US" w:eastAsia="zh-CN"/>
        </w:rPr>
        <w:t>项目、工作量、计量单位不得随意更改，否则作无效标处理。</w:t>
      </w:r>
    </w:p>
    <w:p w14:paraId="4CDCC4B5">
      <w:pPr>
        <w:widowControl/>
        <w:shd w:val="clear" w:color="auto" w:fill="FFFFFF"/>
        <w:spacing w:line="360" w:lineRule="auto"/>
        <w:jc w:val="left"/>
        <w:rPr>
          <w:rFonts w:hint="eastAsia" w:ascii="宋体" w:hAnsi="宋体" w:cs="宋体"/>
          <w:kern w:val="0"/>
          <w:szCs w:val="21"/>
          <w:highlight w:val="none"/>
        </w:rPr>
      </w:pP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28" w:name="OLE_LINK14"/>
      <w:bookmarkStart w:id="29"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30" w:name="_Toc10552"/>
      <w:r>
        <w:rPr>
          <w:rFonts w:hint="eastAsia" w:ascii="宋体" w:hAnsi="宋体" w:eastAsia="宋体" w:cs="宋体"/>
          <w:kern w:val="0"/>
          <w:szCs w:val="24"/>
          <w:highlight w:val="none"/>
        </w:rPr>
        <w:t>备注：</w:t>
      </w:r>
      <w:bookmarkEnd w:id="30"/>
    </w:p>
    <w:p w14:paraId="50E9F431">
      <w:pPr>
        <w:keepNext/>
        <w:keepLines/>
        <w:ind w:firstLine="630" w:firstLineChars="300"/>
        <w:outlineLvl w:val="9"/>
        <w:rPr>
          <w:rFonts w:ascii="宋体" w:hAnsi="宋体" w:eastAsia="宋体" w:cs="宋体"/>
          <w:kern w:val="0"/>
          <w:szCs w:val="24"/>
          <w:highlight w:val="none"/>
        </w:rPr>
      </w:pPr>
      <w:bookmarkStart w:id="31"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1"/>
    </w:p>
    <w:p w14:paraId="7DB06738">
      <w:pPr>
        <w:keepNext/>
        <w:keepLines/>
        <w:ind w:firstLine="630"/>
        <w:outlineLvl w:val="9"/>
        <w:rPr>
          <w:rFonts w:ascii="宋体" w:hAnsi="宋体" w:eastAsia="宋体" w:cs="宋体"/>
          <w:b/>
          <w:bCs/>
          <w:kern w:val="0"/>
          <w:szCs w:val="24"/>
          <w:highlight w:val="none"/>
        </w:rPr>
      </w:pPr>
      <w:bookmarkStart w:id="32"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2"/>
    </w:p>
    <w:p w14:paraId="51714B38">
      <w:pPr>
        <w:keepNext/>
        <w:keepLines/>
        <w:ind w:firstLine="630"/>
        <w:outlineLvl w:val="9"/>
        <w:rPr>
          <w:rFonts w:ascii="宋体" w:hAnsi="宋体" w:eastAsia="宋体" w:cs="宋体"/>
          <w:b/>
          <w:bCs/>
          <w:kern w:val="0"/>
          <w:szCs w:val="24"/>
          <w:highlight w:val="none"/>
        </w:rPr>
      </w:pPr>
      <w:bookmarkStart w:id="33"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3"/>
    </w:p>
    <w:p w14:paraId="33EED38A">
      <w:pPr>
        <w:keepNext/>
        <w:keepLines/>
        <w:ind w:firstLine="632"/>
        <w:outlineLvl w:val="9"/>
        <w:rPr>
          <w:rFonts w:ascii="宋体" w:hAnsi="宋体" w:eastAsia="宋体" w:cs="宋体"/>
          <w:b/>
          <w:bCs/>
          <w:kern w:val="0"/>
          <w:szCs w:val="24"/>
          <w:highlight w:val="none"/>
        </w:rPr>
      </w:pPr>
      <w:bookmarkStart w:id="34"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34"/>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28"/>
    <w:bookmarkEnd w:id="29"/>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6"/>
        <w:rPr>
          <w:rFonts w:ascii="宋体" w:hAnsi="宋体" w:cs="宋体"/>
          <w:bCs/>
          <w:highlight w:val="none"/>
        </w:rPr>
      </w:pPr>
    </w:p>
    <w:p w14:paraId="523E2959">
      <w:pPr>
        <w:pStyle w:val="86"/>
        <w:rPr>
          <w:rFonts w:ascii="宋体" w:hAnsi="宋体" w:cs="宋体"/>
          <w:bCs/>
          <w:highlight w:val="none"/>
        </w:rPr>
      </w:pPr>
    </w:p>
    <w:p w14:paraId="5B8A0A08">
      <w:pPr>
        <w:pStyle w:val="86"/>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江苏省设备成套股份有限公司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6"/>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6"/>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6"/>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6"/>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6"/>
        <w:numPr>
          <w:ilvl w:val="0"/>
          <w:numId w:val="0"/>
        </w:numPr>
        <w:rPr>
          <w:rFonts w:hint="eastAsia" w:ascii="宋体" w:hAnsi="宋体" w:cs="宋体"/>
          <w:b/>
          <w:highlight w:val="none"/>
          <w:lang w:val="en-US" w:eastAsia="zh-CN"/>
        </w:rPr>
      </w:pPr>
    </w:p>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4254F2D-D780-4102-AFF2-FE8D787BAC6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BB1E579-6BD7-4A8E-BCBC-77D29C383454}"/>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3" w:fontKey="{984D70E7-6955-4745-8E5D-335587661B0C}"/>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4" w:fontKey="{71D43F91-E2A4-4948-BAF9-97DE9CFEA238}"/>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29"/>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2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2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2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2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B40E06"/>
    <w:multiLevelType w:val="singleLevel"/>
    <w:tmpl w:val="D0B40E06"/>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8"/>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13BD"/>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58C3"/>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97848"/>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37"/>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381F"/>
    <w:rsid w:val="00F84879"/>
    <w:rsid w:val="00F86037"/>
    <w:rsid w:val="00F8613C"/>
    <w:rsid w:val="00F90B71"/>
    <w:rsid w:val="00F9257D"/>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C114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54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289F"/>
    <w:rsid w:val="03716722"/>
    <w:rsid w:val="03773C2D"/>
    <w:rsid w:val="037C5792"/>
    <w:rsid w:val="03803FCB"/>
    <w:rsid w:val="039B623A"/>
    <w:rsid w:val="039D57BB"/>
    <w:rsid w:val="03A8028B"/>
    <w:rsid w:val="03B1713F"/>
    <w:rsid w:val="03B44AA5"/>
    <w:rsid w:val="03C33A72"/>
    <w:rsid w:val="03C94F45"/>
    <w:rsid w:val="03CF078D"/>
    <w:rsid w:val="040020A7"/>
    <w:rsid w:val="040A4AA1"/>
    <w:rsid w:val="040D00EE"/>
    <w:rsid w:val="04155920"/>
    <w:rsid w:val="043D21F8"/>
    <w:rsid w:val="04473247"/>
    <w:rsid w:val="044D2B93"/>
    <w:rsid w:val="044E3239"/>
    <w:rsid w:val="044E5014"/>
    <w:rsid w:val="045918BE"/>
    <w:rsid w:val="04635904"/>
    <w:rsid w:val="04650D32"/>
    <w:rsid w:val="0468555E"/>
    <w:rsid w:val="04833676"/>
    <w:rsid w:val="04930DBB"/>
    <w:rsid w:val="049F3500"/>
    <w:rsid w:val="04A2371F"/>
    <w:rsid w:val="04A26A62"/>
    <w:rsid w:val="04A53BA4"/>
    <w:rsid w:val="04AA1834"/>
    <w:rsid w:val="04B26062"/>
    <w:rsid w:val="04D17C83"/>
    <w:rsid w:val="04E374DE"/>
    <w:rsid w:val="04FF00EB"/>
    <w:rsid w:val="0501459E"/>
    <w:rsid w:val="050F4EDE"/>
    <w:rsid w:val="05175FCF"/>
    <w:rsid w:val="051C2CDE"/>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5D52CB"/>
    <w:rsid w:val="06647C6C"/>
    <w:rsid w:val="06665E33"/>
    <w:rsid w:val="067B2FA9"/>
    <w:rsid w:val="068176F6"/>
    <w:rsid w:val="06936D88"/>
    <w:rsid w:val="06A31CA0"/>
    <w:rsid w:val="06A44898"/>
    <w:rsid w:val="06A64975"/>
    <w:rsid w:val="06AA4A28"/>
    <w:rsid w:val="06AD3CDC"/>
    <w:rsid w:val="06D25D4A"/>
    <w:rsid w:val="06D31947"/>
    <w:rsid w:val="06D92562"/>
    <w:rsid w:val="06E760D7"/>
    <w:rsid w:val="06EA54F3"/>
    <w:rsid w:val="06F650AE"/>
    <w:rsid w:val="06F914EA"/>
    <w:rsid w:val="07075B45"/>
    <w:rsid w:val="070A76BD"/>
    <w:rsid w:val="07283BBC"/>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B058C"/>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526533"/>
    <w:rsid w:val="086626CB"/>
    <w:rsid w:val="08790814"/>
    <w:rsid w:val="087B41C0"/>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108C3"/>
    <w:rsid w:val="09296C06"/>
    <w:rsid w:val="093522CB"/>
    <w:rsid w:val="093E1EFF"/>
    <w:rsid w:val="093E592B"/>
    <w:rsid w:val="094023AC"/>
    <w:rsid w:val="09443C71"/>
    <w:rsid w:val="0946032A"/>
    <w:rsid w:val="095A5813"/>
    <w:rsid w:val="0972155C"/>
    <w:rsid w:val="097D234D"/>
    <w:rsid w:val="0991369C"/>
    <w:rsid w:val="0991559A"/>
    <w:rsid w:val="09A858BF"/>
    <w:rsid w:val="09E04884"/>
    <w:rsid w:val="09F31262"/>
    <w:rsid w:val="09F8752F"/>
    <w:rsid w:val="0A037C2D"/>
    <w:rsid w:val="0A0D439F"/>
    <w:rsid w:val="0A0E459B"/>
    <w:rsid w:val="0A0F0D09"/>
    <w:rsid w:val="0A1D4600"/>
    <w:rsid w:val="0A1F68B2"/>
    <w:rsid w:val="0A210F95"/>
    <w:rsid w:val="0A255506"/>
    <w:rsid w:val="0A275C51"/>
    <w:rsid w:val="0A2836E0"/>
    <w:rsid w:val="0A29194C"/>
    <w:rsid w:val="0A2C39C3"/>
    <w:rsid w:val="0A4D7977"/>
    <w:rsid w:val="0A593073"/>
    <w:rsid w:val="0A5F62E5"/>
    <w:rsid w:val="0A8E5529"/>
    <w:rsid w:val="0A934F20"/>
    <w:rsid w:val="0AA0734E"/>
    <w:rsid w:val="0AB44EF5"/>
    <w:rsid w:val="0AB85201"/>
    <w:rsid w:val="0AC159A6"/>
    <w:rsid w:val="0AD16319"/>
    <w:rsid w:val="0AD572BC"/>
    <w:rsid w:val="0AE34BB1"/>
    <w:rsid w:val="0AEA2F37"/>
    <w:rsid w:val="0AED0B6E"/>
    <w:rsid w:val="0B16461C"/>
    <w:rsid w:val="0B2A4738"/>
    <w:rsid w:val="0B3066BC"/>
    <w:rsid w:val="0B316DB7"/>
    <w:rsid w:val="0B3A680E"/>
    <w:rsid w:val="0B4B7099"/>
    <w:rsid w:val="0B747542"/>
    <w:rsid w:val="0B7C7FE2"/>
    <w:rsid w:val="0B850F64"/>
    <w:rsid w:val="0B8E7D02"/>
    <w:rsid w:val="0B9E1A60"/>
    <w:rsid w:val="0BAD70EA"/>
    <w:rsid w:val="0BB579E9"/>
    <w:rsid w:val="0BBC2354"/>
    <w:rsid w:val="0BE60C5C"/>
    <w:rsid w:val="0BE64446"/>
    <w:rsid w:val="0BF92CAC"/>
    <w:rsid w:val="0C09671A"/>
    <w:rsid w:val="0C0F382F"/>
    <w:rsid w:val="0C296CAE"/>
    <w:rsid w:val="0C326267"/>
    <w:rsid w:val="0C365370"/>
    <w:rsid w:val="0C442C80"/>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A6B01"/>
    <w:rsid w:val="0D4945E7"/>
    <w:rsid w:val="0D4D0748"/>
    <w:rsid w:val="0D4D2094"/>
    <w:rsid w:val="0D5E0D3B"/>
    <w:rsid w:val="0D5F5515"/>
    <w:rsid w:val="0D61544F"/>
    <w:rsid w:val="0D6D47F2"/>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941F7"/>
    <w:rsid w:val="0E2A2732"/>
    <w:rsid w:val="0E2F7B01"/>
    <w:rsid w:val="0E39045D"/>
    <w:rsid w:val="0E3957FF"/>
    <w:rsid w:val="0E4B5699"/>
    <w:rsid w:val="0E4D5CB6"/>
    <w:rsid w:val="0E512E80"/>
    <w:rsid w:val="0E6E1A32"/>
    <w:rsid w:val="0E7960F6"/>
    <w:rsid w:val="0E7F25F5"/>
    <w:rsid w:val="0E915BD0"/>
    <w:rsid w:val="0E9E4C84"/>
    <w:rsid w:val="0EAA5D5A"/>
    <w:rsid w:val="0EC33A46"/>
    <w:rsid w:val="0ECD4128"/>
    <w:rsid w:val="0EDC0ACC"/>
    <w:rsid w:val="0EE15926"/>
    <w:rsid w:val="0EEA08A5"/>
    <w:rsid w:val="0EF05635"/>
    <w:rsid w:val="0EF32DCC"/>
    <w:rsid w:val="0F0913A4"/>
    <w:rsid w:val="0F0A1DF9"/>
    <w:rsid w:val="0F0C5B71"/>
    <w:rsid w:val="0F106462"/>
    <w:rsid w:val="0F154AD4"/>
    <w:rsid w:val="0F1D1DB9"/>
    <w:rsid w:val="0F202CED"/>
    <w:rsid w:val="0F2729AB"/>
    <w:rsid w:val="0F2E7896"/>
    <w:rsid w:val="0F360DD3"/>
    <w:rsid w:val="0F6B1793"/>
    <w:rsid w:val="0F7B5DFB"/>
    <w:rsid w:val="0F9A0919"/>
    <w:rsid w:val="0FC11AFA"/>
    <w:rsid w:val="0FC22C67"/>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746A1"/>
    <w:rsid w:val="105A6D80"/>
    <w:rsid w:val="105A7A68"/>
    <w:rsid w:val="105F0FA1"/>
    <w:rsid w:val="1073353A"/>
    <w:rsid w:val="10750971"/>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5F09C0"/>
    <w:rsid w:val="116741A8"/>
    <w:rsid w:val="11887A9E"/>
    <w:rsid w:val="1189034F"/>
    <w:rsid w:val="11897D97"/>
    <w:rsid w:val="11963731"/>
    <w:rsid w:val="119D4DFC"/>
    <w:rsid w:val="119E030F"/>
    <w:rsid w:val="11A00EE4"/>
    <w:rsid w:val="11A622AD"/>
    <w:rsid w:val="11AC3296"/>
    <w:rsid w:val="11BF3764"/>
    <w:rsid w:val="11BF5D6D"/>
    <w:rsid w:val="11D53F79"/>
    <w:rsid w:val="11EF6486"/>
    <w:rsid w:val="11F75962"/>
    <w:rsid w:val="11FC0451"/>
    <w:rsid w:val="120C4EB8"/>
    <w:rsid w:val="12135F22"/>
    <w:rsid w:val="1215360D"/>
    <w:rsid w:val="122B1FEE"/>
    <w:rsid w:val="122D760A"/>
    <w:rsid w:val="12311F5A"/>
    <w:rsid w:val="12331667"/>
    <w:rsid w:val="12396EDB"/>
    <w:rsid w:val="123B651A"/>
    <w:rsid w:val="123D3153"/>
    <w:rsid w:val="12406C58"/>
    <w:rsid w:val="12425364"/>
    <w:rsid w:val="12427601"/>
    <w:rsid w:val="125352C6"/>
    <w:rsid w:val="125944FB"/>
    <w:rsid w:val="125D64D0"/>
    <w:rsid w:val="12613E8B"/>
    <w:rsid w:val="12624EB7"/>
    <w:rsid w:val="126A32DB"/>
    <w:rsid w:val="1282388F"/>
    <w:rsid w:val="128572E6"/>
    <w:rsid w:val="128A0F8B"/>
    <w:rsid w:val="129139EE"/>
    <w:rsid w:val="12B105FE"/>
    <w:rsid w:val="12B26461"/>
    <w:rsid w:val="12BC78AF"/>
    <w:rsid w:val="12BF6F7B"/>
    <w:rsid w:val="12C86253"/>
    <w:rsid w:val="12D0549C"/>
    <w:rsid w:val="12D228CA"/>
    <w:rsid w:val="12D442DB"/>
    <w:rsid w:val="12D546F4"/>
    <w:rsid w:val="12DF680F"/>
    <w:rsid w:val="12DF6E63"/>
    <w:rsid w:val="12E0359D"/>
    <w:rsid w:val="12E84200"/>
    <w:rsid w:val="12F36759"/>
    <w:rsid w:val="12F46D05"/>
    <w:rsid w:val="12FE2032"/>
    <w:rsid w:val="1300045E"/>
    <w:rsid w:val="130A6921"/>
    <w:rsid w:val="131E2317"/>
    <w:rsid w:val="131E269C"/>
    <w:rsid w:val="131E73CE"/>
    <w:rsid w:val="13201BEB"/>
    <w:rsid w:val="13312AE3"/>
    <w:rsid w:val="133D024F"/>
    <w:rsid w:val="133D6D87"/>
    <w:rsid w:val="135A4049"/>
    <w:rsid w:val="135F78E8"/>
    <w:rsid w:val="1360648C"/>
    <w:rsid w:val="136A4918"/>
    <w:rsid w:val="13716BB4"/>
    <w:rsid w:val="13821EE1"/>
    <w:rsid w:val="13890B9C"/>
    <w:rsid w:val="138C11FB"/>
    <w:rsid w:val="13944D7F"/>
    <w:rsid w:val="13B62BF9"/>
    <w:rsid w:val="13B63C9C"/>
    <w:rsid w:val="13BC4252"/>
    <w:rsid w:val="13C75329"/>
    <w:rsid w:val="13CB4137"/>
    <w:rsid w:val="13CF716E"/>
    <w:rsid w:val="13D11AEC"/>
    <w:rsid w:val="13D57C19"/>
    <w:rsid w:val="13DA6A23"/>
    <w:rsid w:val="13F27FD8"/>
    <w:rsid w:val="13FA3C10"/>
    <w:rsid w:val="14034216"/>
    <w:rsid w:val="140B4E5D"/>
    <w:rsid w:val="14197590"/>
    <w:rsid w:val="141C7AF8"/>
    <w:rsid w:val="14291CCC"/>
    <w:rsid w:val="142D5867"/>
    <w:rsid w:val="14311C3C"/>
    <w:rsid w:val="1433458D"/>
    <w:rsid w:val="145A6A37"/>
    <w:rsid w:val="146F5C39"/>
    <w:rsid w:val="147C6864"/>
    <w:rsid w:val="14823CB2"/>
    <w:rsid w:val="148E02A6"/>
    <w:rsid w:val="14907014"/>
    <w:rsid w:val="14A05CEA"/>
    <w:rsid w:val="14BA7BD0"/>
    <w:rsid w:val="14BE0DA8"/>
    <w:rsid w:val="14BF71E2"/>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5FB473D"/>
    <w:rsid w:val="1600559A"/>
    <w:rsid w:val="16013F82"/>
    <w:rsid w:val="160C6213"/>
    <w:rsid w:val="160F471D"/>
    <w:rsid w:val="1612444D"/>
    <w:rsid w:val="1615492F"/>
    <w:rsid w:val="16211C47"/>
    <w:rsid w:val="16273291"/>
    <w:rsid w:val="162C07E1"/>
    <w:rsid w:val="162D644C"/>
    <w:rsid w:val="16331C36"/>
    <w:rsid w:val="16392D84"/>
    <w:rsid w:val="163A2583"/>
    <w:rsid w:val="163A7468"/>
    <w:rsid w:val="165027E8"/>
    <w:rsid w:val="166F60B9"/>
    <w:rsid w:val="167504A0"/>
    <w:rsid w:val="167B010A"/>
    <w:rsid w:val="16883ABF"/>
    <w:rsid w:val="16A05B48"/>
    <w:rsid w:val="16A411B1"/>
    <w:rsid w:val="16AA3EEF"/>
    <w:rsid w:val="16AE4B64"/>
    <w:rsid w:val="16BA0495"/>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B2733D"/>
    <w:rsid w:val="17BA0202"/>
    <w:rsid w:val="17CC0594"/>
    <w:rsid w:val="17CE1A9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96638"/>
    <w:rsid w:val="18BC41FE"/>
    <w:rsid w:val="18C13529"/>
    <w:rsid w:val="18C65572"/>
    <w:rsid w:val="18CE406A"/>
    <w:rsid w:val="18D255E8"/>
    <w:rsid w:val="18D71473"/>
    <w:rsid w:val="18E73115"/>
    <w:rsid w:val="18EF453A"/>
    <w:rsid w:val="18F25811"/>
    <w:rsid w:val="18F558C8"/>
    <w:rsid w:val="18F733EE"/>
    <w:rsid w:val="190A6030"/>
    <w:rsid w:val="191206D3"/>
    <w:rsid w:val="192B4DDC"/>
    <w:rsid w:val="192E2BD3"/>
    <w:rsid w:val="19321A02"/>
    <w:rsid w:val="193470ED"/>
    <w:rsid w:val="19362545"/>
    <w:rsid w:val="195105DC"/>
    <w:rsid w:val="195B1CE4"/>
    <w:rsid w:val="195C14A3"/>
    <w:rsid w:val="19654A0D"/>
    <w:rsid w:val="196839F7"/>
    <w:rsid w:val="19756CCC"/>
    <w:rsid w:val="197B5636"/>
    <w:rsid w:val="197F7538"/>
    <w:rsid w:val="1987149D"/>
    <w:rsid w:val="198D30EC"/>
    <w:rsid w:val="1991132A"/>
    <w:rsid w:val="199777B1"/>
    <w:rsid w:val="199C34C0"/>
    <w:rsid w:val="199D28CF"/>
    <w:rsid w:val="19A15CAB"/>
    <w:rsid w:val="19A91355"/>
    <w:rsid w:val="19AB7BCA"/>
    <w:rsid w:val="19B255DB"/>
    <w:rsid w:val="19D159ED"/>
    <w:rsid w:val="19D74089"/>
    <w:rsid w:val="19DE635C"/>
    <w:rsid w:val="19F85595"/>
    <w:rsid w:val="1A051B3B"/>
    <w:rsid w:val="1A0F6516"/>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8B7005"/>
    <w:rsid w:val="1A907657"/>
    <w:rsid w:val="1A992762"/>
    <w:rsid w:val="1AB772D9"/>
    <w:rsid w:val="1AE133EF"/>
    <w:rsid w:val="1AED2809"/>
    <w:rsid w:val="1AEF4DAE"/>
    <w:rsid w:val="1AF77FAB"/>
    <w:rsid w:val="1AFB020E"/>
    <w:rsid w:val="1B1C7367"/>
    <w:rsid w:val="1B370B89"/>
    <w:rsid w:val="1B3A4507"/>
    <w:rsid w:val="1B3B043B"/>
    <w:rsid w:val="1B43728E"/>
    <w:rsid w:val="1B492FF3"/>
    <w:rsid w:val="1B4950A4"/>
    <w:rsid w:val="1B5441BC"/>
    <w:rsid w:val="1B5468D6"/>
    <w:rsid w:val="1B556620"/>
    <w:rsid w:val="1B636B19"/>
    <w:rsid w:val="1B6D5BEA"/>
    <w:rsid w:val="1B6F5854"/>
    <w:rsid w:val="1B7E5AA8"/>
    <w:rsid w:val="1B8A22F8"/>
    <w:rsid w:val="1B8D3B96"/>
    <w:rsid w:val="1BA324C2"/>
    <w:rsid w:val="1BA61267"/>
    <w:rsid w:val="1BAD7E75"/>
    <w:rsid w:val="1BAF2B44"/>
    <w:rsid w:val="1BB47375"/>
    <w:rsid w:val="1BBC0395"/>
    <w:rsid w:val="1BD9327F"/>
    <w:rsid w:val="1BE44D71"/>
    <w:rsid w:val="1BF105C9"/>
    <w:rsid w:val="1BFA7574"/>
    <w:rsid w:val="1C110922"/>
    <w:rsid w:val="1C1B6E90"/>
    <w:rsid w:val="1C213F72"/>
    <w:rsid w:val="1C2344FA"/>
    <w:rsid w:val="1C246855"/>
    <w:rsid w:val="1C252021"/>
    <w:rsid w:val="1C2663BF"/>
    <w:rsid w:val="1C36433C"/>
    <w:rsid w:val="1C376E21"/>
    <w:rsid w:val="1C495776"/>
    <w:rsid w:val="1C607E4F"/>
    <w:rsid w:val="1C62636E"/>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25296F"/>
    <w:rsid w:val="1D3021C0"/>
    <w:rsid w:val="1D325942"/>
    <w:rsid w:val="1D454FF3"/>
    <w:rsid w:val="1D4C37A3"/>
    <w:rsid w:val="1D5A5F73"/>
    <w:rsid w:val="1D672B1F"/>
    <w:rsid w:val="1D677311"/>
    <w:rsid w:val="1D6D0123"/>
    <w:rsid w:val="1D8B3670"/>
    <w:rsid w:val="1DA35BF9"/>
    <w:rsid w:val="1DA6376A"/>
    <w:rsid w:val="1DA73124"/>
    <w:rsid w:val="1DAB29F9"/>
    <w:rsid w:val="1DAE0556"/>
    <w:rsid w:val="1DB1270C"/>
    <w:rsid w:val="1DB67C12"/>
    <w:rsid w:val="1DBE097F"/>
    <w:rsid w:val="1DC615E1"/>
    <w:rsid w:val="1DD12460"/>
    <w:rsid w:val="1DD35E39"/>
    <w:rsid w:val="1DD50B1E"/>
    <w:rsid w:val="1DEE0182"/>
    <w:rsid w:val="1E05035C"/>
    <w:rsid w:val="1E060554"/>
    <w:rsid w:val="1E0C1593"/>
    <w:rsid w:val="1E0F6E32"/>
    <w:rsid w:val="1E124827"/>
    <w:rsid w:val="1E352553"/>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C6093"/>
    <w:rsid w:val="1EFE3118"/>
    <w:rsid w:val="1F091197"/>
    <w:rsid w:val="1F276867"/>
    <w:rsid w:val="1F3233D2"/>
    <w:rsid w:val="1F3868D2"/>
    <w:rsid w:val="1F417E01"/>
    <w:rsid w:val="1F4924CA"/>
    <w:rsid w:val="1F494278"/>
    <w:rsid w:val="1F524DE1"/>
    <w:rsid w:val="1F583D4C"/>
    <w:rsid w:val="1F5E7274"/>
    <w:rsid w:val="1F69585D"/>
    <w:rsid w:val="1F6B38B0"/>
    <w:rsid w:val="1F770DE5"/>
    <w:rsid w:val="1F85443C"/>
    <w:rsid w:val="1F966A87"/>
    <w:rsid w:val="1FB042F7"/>
    <w:rsid w:val="1FB913DD"/>
    <w:rsid w:val="1FC73A85"/>
    <w:rsid w:val="1FD0749B"/>
    <w:rsid w:val="1FE35ADC"/>
    <w:rsid w:val="1FF05470"/>
    <w:rsid w:val="201503A6"/>
    <w:rsid w:val="203A5250"/>
    <w:rsid w:val="203A5CDB"/>
    <w:rsid w:val="20497C75"/>
    <w:rsid w:val="204F1C56"/>
    <w:rsid w:val="204F514C"/>
    <w:rsid w:val="206823A1"/>
    <w:rsid w:val="20762B03"/>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95296A"/>
    <w:rsid w:val="21A665AD"/>
    <w:rsid w:val="21B33C19"/>
    <w:rsid w:val="21BA320B"/>
    <w:rsid w:val="21BB34D8"/>
    <w:rsid w:val="21C44C50"/>
    <w:rsid w:val="21D722C1"/>
    <w:rsid w:val="21DF24FF"/>
    <w:rsid w:val="21EE6B6B"/>
    <w:rsid w:val="21F607B2"/>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36550F"/>
    <w:rsid w:val="2557729C"/>
    <w:rsid w:val="255A6A4F"/>
    <w:rsid w:val="255D5845"/>
    <w:rsid w:val="257239B5"/>
    <w:rsid w:val="257A3E03"/>
    <w:rsid w:val="258C3DF5"/>
    <w:rsid w:val="259D70CC"/>
    <w:rsid w:val="259F4BF2"/>
    <w:rsid w:val="25B132E6"/>
    <w:rsid w:val="25C97EC1"/>
    <w:rsid w:val="25E1786F"/>
    <w:rsid w:val="25E616CC"/>
    <w:rsid w:val="25E8295B"/>
    <w:rsid w:val="25EB11E1"/>
    <w:rsid w:val="25F13423"/>
    <w:rsid w:val="25F252DE"/>
    <w:rsid w:val="25F453F1"/>
    <w:rsid w:val="25F574EA"/>
    <w:rsid w:val="260104CB"/>
    <w:rsid w:val="26055266"/>
    <w:rsid w:val="260B280F"/>
    <w:rsid w:val="260E417C"/>
    <w:rsid w:val="26154AF6"/>
    <w:rsid w:val="26257624"/>
    <w:rsid w:val="263537A8"/>
    <w:rsid w:val="263E440B"/>
    <w:rsid w:val="263F3EBB"/>
    <w:rsid w:val="264B2BBF"/>
    <w:rsid w:val="26633C49"/>
    <w:rsid w:val="266E1364"/>
    <w:rsid w:val="268A4949"/>
    <w:rsid w:val="268E2249"/>
    <w:rsid w:val="2697027E"/>
    <w:rsid w:val="26A67D94"/>
    <w:rsid w:val="26AF355A"/>
    <w:rsid w:val="26B97F35"/>
    <w:rsid w:val="26BA4AE0"/>
    <w:rsid w:val="26BA7057"/>
    <w:rsid w:val="26C52C94"/>
    <w:rsid w:val="26C610CA"/>
    <w:rsid w:val="26C9037E"/>
    <w:rsid w:val="26D07BC5"/>
    <w:rsid w:val="26D96963"/>
    <w:rsid w:val="26E51871"/>
    <w:rsid w:val="26E53DB6"/>
    <w:rsid w:val="26E81B00"/>
    <w:rsid w:val="26EC2D0B"/>
    <w:rsid w:val="26EC52C4"/>
    <w:rsid w:val="26F15921"/>
    <w:rsid w:val="26FD1062"/>
    <w:rsid w:val="27147861"/>
    <w:rsid w:val="271D527A"/>
    <w:rsid w:val="27224B0F"/>
    <w:rsid w:val="272F1E9F"/>
    <w:rsid w:val="273C1105"/>
    <w:rsid w:val="274E1A68"/>
    <w:rsid w:val="27545EB0"/>
    <w:rsid w:val="2764417B"/>
    <w:rsid w:val="2773407F"/>
    <w:rsid w:val="27795A37"/>
    <w:rsid w:val="277D0F63"/>
    <w:rsid w:val="278476CC"/>
    <w:rsid w:val="27851DA0"/>
    <w:rsid w:val="279369D8"/>
    <w:rsid w:val="27A34E59"/>
    <w:rsid w:val="27B92902"/>
    <w:rsid w:val="27C617D8"/>
    <w:rsid w:val="27D36867"/>
    <w:rsid w:val="27DC212D"/>
    <w:rsid w:val="27DF33C8"/>
    <w:rsid w:val="27E81FE7"/>
    <w:rsid w:val="27EB411E"/>
    <w:rsid w:val="27EE3C0E"/>
    <w:rsid w:val="27EE40EE"/>
    <w:rsid w:val="27F710A0"/>
    <w:rsid w:val="280E4562"/>
    <w:rsid w:val="281D76D8"/>
    <w:rsid w:val="281F64BE"/>
    <w:rsid w:val="28237D5C"/>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8D6F19"/>
    <w:rsid w:val="28A67723"/>
    <w:rsid w:val="28AA6265"/>
    <w:rsid w:val="28B0142C"/>
    <w:rsid w:val="28B031C4"/>
    <w:rsid w:val="28B813D8"/>
    <w:rsid w:val="28BE5DFF"/>
    <w:rsid w:val="28C05393"/>
    <w:rsid w:val="28C15F16"/>
    <w:rsid w:val="28C668F3"/>
    <w:rsid w:val="28C8217E"/>
    <w:rsid w:val="28D13A25"/>
    <w:rsid w:val="28E23AA6"/>
    <w:rsid w:val="29053946"/>
    <w:rsid w:val="290A4A78"/>
    <w:rsid w:val="291433AE"/>
    <w:rsid w:val="291B15FB"/>
    <w:rsid w:val="291E3195"/>
    <w:rsid w:val="292274D8"/>
    <w:rsid w:val="29291F9C"/>
    <w:rsid w:val="293A5D80"/>
    <w:rsid w:val="29432A42"/>
    <w:rsid w:val="29490B9E"/>
    <w:rsid w:val="294F62D4"/>
    <w:rsid w:val="294F692F"/>
    <w:rsid w:val="295B52D4"/>
    <w:rsid w:val="29617E99"/>
    <w:rsid w:val="2964577C"/>
    <w:rsid w:val="29652E48"/>
    <w:rsid w:val="296F5223"/>
    <w:rsid w:val="29755B40"/>
    <w:rsid w:val="2976043F"/>
    <w:rsid w:val="29834CA6"/>
    <w:rsid w:val="298429E5"/>
    <w:rsid w:val="298A40CB"/>
    <w:rsid w:val="298B3897"/>
    <w:rsid w:val="29995F92"/>
    <w:rsid w:val="29AA7F26"/>
    <w:rsid w:val="29AB6C0F"/>
    <w:rsid w:val="29B54E3D"/>
    <w:rsid w:val="29BB2216"/>
    <w:rsid w:val="29C610A0"/>
    <w:rsid w:val="29D250A3"/>
    <w:rsid w:val="29D97152"/>
    <w:rsid w:val="29E346EC"/>
    <w:rsid w:val="29E61602"/>
    <w:rsid w:val="29EA6773"/>
    <w:rsid w:val="29EB26F7"/>
    <w:rsid w:val="29F9147A"/>
    <w:rsid w:val="29FA0C70"/>
    <w:rsid w:val="2A043B28"/>
    <w:rsid w:val="2A2622F9"/>
    <w:rsid w:val="2A2E7A7E"/>
    <w:rsid w:val="2A313BB1"/>
    <w:rsid w:val="2A413BB3"/>
    <w:rsid w:val="2A4735A8"/>
    <w:rsid w:val="2A5D63DB"/>
    <w:rsid w:val="2A5F40B6"/>
    <w:rsid w:val="2A72308A"/>
    <w:rsid w:val="2A7939ED"/>
    <w:rsid w:val="2A8A0D83"/>
    <w:rsid w:val="2AB557DB"/>
    <w:rsid w:val="2ADB2B81"/>
    <w:rsid w:val="2AFA72B8"/>
    <w:rsid w:val="2B1A174A"/>
    <w:rsid w:val="2B1C4F36"/>
    <w:rsid w:val="2B2141F9"/>
    <w:rsid w:val="2B225D30"/>
    <w:rsid w:val="2B332625"/>
    <w:rsid w:val="2B361A30"/>
    <w:rsid w:val="2B3C079E"/>
    <w:rsid w:val="2B3C1E41"/>
    <w:rsid w:val="2B455813"/>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CB0E63"/>
    <w:rsid w:val="2BF24C23"/>
    <w:rsid w:val="2BFC6B25"/>
    <w:rsid w:val="2C0646C5"/>
    <w:rsid w:val="2C0B151E"/>
    <w:rsid w:val="2C1B0595"/>
    <w:rsid w:val="2C2F4BD1"/>
    <w:rsid w:val="2C300C99"/>
    <w:rsid w:val="2C421FD2"/>
    <w:rsid w:val="2C436E5C"/>
    <w:rsid w:val="2C477D91"/>
    <w:rsid w:val="2C567BB3"/>
    <w:rsid w:val="2C5B5C73"/>
    <w:rsid w:val="2C632CF4"/>
    <w:rsid w:val="2C66510D"/>
    <w:rsid w:val="2C6B4093"/>
    <w:rsid w:val="2C8A3ED2"/>
    <w:rsid w:val="2C997AF3"/>
    <w:rsid w:val="2C997CDE"/>
    <w:rsid w:val="2C9E14E5"/>
    <w:rsid w:val="2CB84C7B"/>
    <w:rsid w:val="2CC73BC5"/>
    <w:rsid w:val="2CCF1D5F"/>
    <w:rsid w:val="2CCF1ECB"/>
    <w:rsid w:val="2CD25FF8"/>
    <w:rsid w:val="2CD466D2"/>
    <w:rsid w:val="2CE02358"/>
    <w:rsid w:val="2CE27DFB"/>
    <w:rsid w:val="2CE3244C"/>
    <w:rsid w:val="2CF30852"/>
    <w:rsid w:val="2CF3392B"/>
    <w:rsid w:val="2D0A159E"/>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EC5D5C"/>
    <w:rsid w:val="2DED5CC6"/>
    <w:rsid w:val="2DF14458"/>
    <w:rsid w:val="2DF14475"/>
    <w:rsid w:val="2DF46F6B"/>
    <w:rsid w:val="2DF615EA"/>
    <w:rsid w:val="2DF83CAE"/>
    <w:rsid w:val="2DFF1503"/>
    <w:rsid w:val="2E076BE8"/>
    <w:rsid w:val="2E0A386D"/>
    <w:rsid w:val="2E1036F7"/>
    <w:rsid w:val="2E270F76"/>
    <w:rsid w:val="2E290D16"/>
    <w:rsid w:val="2E2D2691"/>
    <w:rsid w:val="2E2F76FC"/>
    <w:rsid w:val="2E3207D6"/>
    <w:rsid w:val="2E36642A"/>
    <w:rsid w:val="2E3A56A0"/>
    <w:rsid w:val="2E3B3187"/>
    <w:rsid w:val="2E422DCC"/>
    <w:rsid w:val="2E427B73"/>
    <w:rsid w:val="2E505240"/>
    <w:rsid w:val="2E642E7C"/>
    <w:rsid w:val="2E6C218E"/>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67D35"/>
    <w:rsid w:val="2EE95130"/>
    <w:rsid w:val="2EEB6F16"/>
    <w:rsid w:val="2EEE11AC"/>
    <w:rsid w:val="2EFE35E8"/>
    <w:rsid w:val="2F0B779C"/>
    <w:rsid w:val="2F0D74C9"/>
    <w:rsid w:val="2F1228D8"/>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1461DC"/>
    <w:rsid w:val="303A70C4"/>
    <w:rsid w:val="303F08C7"/>
    <w:rsid w:val="30412492"/>
    <w:rsid w:val="304704C5"/>
    <w:rsid w:val="30594C7A"/>
    <w:rsid w:val="30615FED"/>
    <w:rsid w:val="30664AB1"/>
    <w:rsid w:val="306857C7"/>
    <w:rsid w:val="3069482A"/>
    <w:rsid w:val="306D6698"/>
    <w:rsid w:val="309713C6"/>
    <w:rsid w:val="30A232E4"/>
    <w:rsid w:val="30A45AD9"/>
    <w:rsid w:val="30A772E8"/>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A224B"/>
    <w:rsid w:val="316D2854"/>
    <w:rsid w:val="316E556D"/>
    <w:rsid w:val="31712EBC"/>
    <w:rsid w:val="317465BC"/>
    <w:rsid w:val="317D5FB6"/>
    <w:rsid w:val="317F48CE"/>
    <w:rsid w:val="31886DD5"/>
    <w:rsid w:val="318A28BC"/>
    <w:rsid w:val="318B00D1"/>
    <w:rsid w:val="318C7F04"/>
    <w:rsid w:val="319C5AA7"/>
    <w:rsid w:val="319F465C"/>
    <w:rsid w:val="31A43C7A"/>
    <w:rsid w:val="31B14463"/>
    <w:rsid w:val="31B22151"/>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134CF"/>
    <w:rsid w:val="33291ACF"/>
    <w:rsid w:val="333D7CDA"/>
    <w:rsid w:val="3365548D"/>
    <w:rsid w:val="336C20F6"/>
    <w:rsid w:val="337630A8"/>
    <w:rsid w:val="337D6DD6"/>
    <w:rsid w:val="3382645E"/>
    <w:rsid w:val="33936F97"/>
    <w:rsid w:val="339670C9"/>
    <w:rsid w:val="339B1966"/>
    <w:rsid w:val="339E0DDD"/>
    <w:rsid w:val="33A23507"/>
    <w:rsid w:val="33AD0200"/>
    <w:rsid w:val="33B052F1"/>
    <w:rsid w:val="33BB04D5"/>
    <w:rsid w:val="33C1178D"/>
    <w:rsid w:val="33C4646B"/>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53B4C"/>
    <w:rsid w:val="3489757C"/>
    <w:rsid w:val="34952A5F"/>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F27157"/>
    <w:rsid w:val="35F42227"/>
    <w:rsid w:val="36137B0F"/>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36F6D"/>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23CD1"/>
    <w:rsid w:val="37645C78"/>
    <w:rsid w:val="376806DB"/>
    <w:rsid w:val="37696240"/>
    <w:rsid w:val="376E5A1F"/>
    <w:rsid w:val="377A101B"/>
    <w:rsid w:val="377C4789"/>
    <w:rsid w:val="37846EE5"/>
    <w:rsid w:val="379461DF"/>
    <w:rsid w:val="379A753B"/>
    <w:rsid w:val="379C5527"/>
    <w:rsid w:val="379F25AA"/>
    <w:rsid w:val="37A20977"/>
    <w:rsid w:val="37B7331B"/>
    <w:rsid w:val="37BE432D"/>
    <w:rsid w:val="37C0269B"/>
    <w:rsid w:val="37C12AB0"/>
    <w:rsid w:val="37C20289"/>
    <w:rsid w:val="37C36E66"/>
    <w:rsid w:val="37CA67B2"/>
    <w:rsid w:val="37CC113C"/>
    <w:rsid w:val="37CF73B3"/>
    <w:rsid w:val="37D06FCA"/>
    <w:rsid w:val="37D15817"/>
    <w:rsid w:val="37DD3769"/>
    <w:rsid w:val="37FE4685"/>
    <w:rsid w:val="38083F02"/>
    <w:rsid w:val="380A48D8"/>
    <w:rsid w:val="380D623D"/>
    <w:rsid w:val="382A0185"/>
    <w:rsid w:val="38316343"/>
    <w:rsid w:val="38540962"/>
    <w:rsid w:val="386862CF"/>
    <w:rsid w:val="386F2D08"/>
    <w:rsid w:val="38727B02"/>
    <w:rsid w:val="387D6E41"/>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40C73"/>
    <w:rsid w:val="39C55488"/>
    <w:rsid w:val="39E81284"/>
    <w:rsid w:val="39ED5AEC"/>
    <w:rsid w:val="39F25C1A"/>
    <w:rsid w:val="39FC33A7"/>
    <w:rsid w:val="3A094ECC"/>
    <w:rsid w:val="3A0C5F5F"/>
    <w:rsid w:val="3A1C4F5E"/>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D668BD"/>
    <w:rsid w:val="3AE1334E"/>
    <w:rsid w:val="3AE21C17"/>
    <w:rsid w:val="3AED2353"/>
    <w:rsid w:val="3AED318F"/>
    <w:rsid w:val="3AF6205F"/>
    <w:rsid w:val="3AFF16FC"/>
    <w:rsid w:val="3B050D2B"/>
    <w:rsid w:val="3B05130C"/>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9E333D"/>
    <w:rsid w:val="3BA35552"/>
    <w:rsid w:val="3BA40D5C"/>
    <w:rsid w:val="3BB54638"/>
    <w:rsid w:val="3BBD597A"/>
    <w:rsid w:val="3BBD76BC"/>
    <w:rsid w:val="3BD50C29"/>
    <w:rsid w:val="3BD62991"/>
    <w:rsid w:val="3BD95935"/>
    <w:rsid w:val="3BE41159"/>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A515F"/>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7778E1"/>
    <w:rsid w:val="3D8E3A72"/>
    <w:rsid w:val="3D9075CA"/>
    <w:rsid w:val="3DA509C7"/>
    <w:rsid w:val="3DAE2673"/>
    <w:rsid w:val="3DBE32B1"/>
    <w:rsid w:val="3DC160C8"/>
    <w:rsid w:val="3DC254CA"/>
    <w:rsid w:val="3DD31485"/>
    <w:rsid w:val="3DD64A42"/>
    <w:rsid w:val="3DD8521E"/>
    <w:rsid w:val="3DF473F7"/>
    <w:rsid w:val="3DFF7691"/>
    <w:rsid w:val="3E0C1BA4"/>
    <w:rsid w:val="3E21293C"/>
    <w:rsid w:val="3E2140BF"/>
    <w:rsid w:val="3E2538A4"/>
    <w:rsid w:val="3E303F83"/>
    <w:rsid w:val="3E30610D"/>
    <w:rsid w:val="3E3703FB"/>
    <w:rsid w:val="3E392133"/>
    <w:rsid w:val="3E6A644A"/>
    <w:rsid w:val="3E711D4C"/>
    <w:rsid w:val="3E7D113A"/>
    <w:rsid w:val="3E861F2A"/>
    <w:rsid w:val="3E865C72"/>
    <w:rsid w:val="3E886713"/>
    <w:rsid w:val="3E920965"/>
    <w:rsid w:val="3E92378D"/>
    <w:rsid w:val="3EA63B08"/>
    <w:rsid w:val="3EC57D85"/>
    <w:rsid w:val="3EC82FB3"/>
    <w:rsid w:val="3ED15D58"/>
    <w:rsid w:val="3ED71DD3"/>
    <w:rsid w:val="3ED81093"/>
    <w:rsid w:val="3EED47C8"/>
    <w:rsid w:val="3EF76DEB"/>
    <w:rsid w:val="3F147322"/>
    <w:rsid w:val="3F1B7BDA"/>
    <w:rsid w:val="3F1E77AE"/>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8319B"/>
    <w:rsid w:val="3FEE07F8"/>
    <w:rsid w:val="3FF03FC2"/>
    <w:rsid w:val="400F586A"/>
    <w:rsid w:val="401546BB"/>
    <w:rsid w:val="40175FA1"/>
    <w:rsid w:val="40225FCC"/>
    <w:rsid w:val="402C43AB"/>
    <w:rsid w:val="402D0F85"/>
    <w:rsid w:val="4031573F"/>
    <w:rsid w:val="403329CA"/>
    <w:rsid w:val="403645F3"/>
    <w:rsid w:val="4037142D"/>
    <w:rsid w:val="403F51D3"/>
    <w:rsid w:val="40414DCB"/>
    <w:rsid w:val="40491F46"/>
    <w:rsid w:val="405A2AD0"/>
    <w:rsid w:val="407658B9"/>
    <w:rsid w:val="407F2BF8"/>
    <w:rsid w:val="407F7AEC"/>
    <w:rsid w:val="40907B01"/>
    <w:rsid w:val="409450AA"/>
    <w:rsid w:val="40952C78"/>
    <w:rsid w:val="40A86353"/>
    <w:rsid w:val="40AC46DB"/>
    <w:rsid w:val="40CC47B9"/>
    <w:rsid w:val="40D07877"/>
    <w:rsid w:val="40E41DEF"/>
    <w:rsid w:val="40E9118A"/>
    <w:rsid w:val="40EA7211"/>
    <w:rsid w:val="40F17FA1"/>
    <w:rsid w:val="40F2485A"/>
    <w:rsid w:val="40F47F9D"/>
    <w:rsid w:val="40FC47E1"/>
    <w:rsid w:val="410C362B"/>
    <w:rsid w:val="410F36BC"/>
    <w:rsid w:val="41345493"/>
    <w:rsid w:val="4138297C"/>
    <w:rsid w:val="413D658C"/>
    <w:rsid w:val="415C1E5E"/>
    <w:rsid w:val="417D21A8"/>
    <w:rsid w:val="4188317F"/>
    <w:rsid w:val="41924FB9"/>
    <w:rsid w:val="41A623DC"/>
    <w:rsid w:val="41AD378E"/>
    <w:rsid w:val="41AD6698"/>
    <w:rsid w:val="41B1079E"/>
    <w:rsid w:val="41B34DF1"/>
    <w:rsid w:val="41BB0480"/>
    <w:rsid w:val="41BF708C"/>
    <w:rsid w:val="41C55588"/>
    <w:rsid w:val="41CC6917"/>
    <w:rsid w:val="41DA6ADE"/>
    <w:rsid w:val="41EC520B"/>
    <w:rsid w:val="41F20E3F"/>
    <w:rsid w:val="41F32255"/>
    <w:rsid w:val="42041BE8"/>
    <w:rsid w:val="42084F3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A91F44"/>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70B79"/>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23E5B"/>
    <w:rsid w:val="451900C5"/>
    <w:rsid w:val="45265484"/>
    <w:rsid w:val="452D1DC2"/>
    <w:rsid w:val="452D74E0"/>
    <w:rsid w:val="45330528"/>
    <w:rsid w:val="45392515"/>
    <w:rsid w:val="45396AC7"/>
    <w:rsid w:val="45536CBB"/>
    <w:rsid w:val="45606FDE"/>
    <w:rsid w:val="45756CBD"/>
    <w:rsid w:val="45777091"/>
    <w:rsid w:val="457C4123"/>
    <w:rsid w:val="45855844"/>
    <w:rsid w:val="458B69F6"/>
    <w:rsid w:val="45A40F60"/>
    <w:rsid w:val="45A647C9"/>
    <w:rsid w:val="45A84C46"/>
    <w:rsid w:val="45A94A5A"/>
    <w:rsid w:val="45C325DF"/>
    <w:rsid w:val="45C943D0"/>
    <w:rsid w:val="45CC116E"/>
    <w:rsid w:val="45DA04A4"/>
    <w:rsid w:val="45DA6D30"/>
    <w:rsid w:val="45DE14B8"/>
    <w:rsid w:val="45E16709"/>
    <w:rsid w:val="45EC271B"/>
    <w:rsid w:val="460F14C8"/>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336A8"/>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7385E"/>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7292A"/>
    <w:rsid w:val="490B2882"/>
    <w:rsid w:val="49116A8B"/>
    <w:rsid w:val="4912008E"/>
    <w:rsid w:val="49134EAB"/>
    <w:rsid w:val="492412C0"/>
    <w:rsid w:val="49302BF1"/>
    <w:rsid w:val="494470C7"/>
    <w:rsid w:val="494E7D53"/>
    <w:rsid w:val="49554334"/>
    <w:rsid w:val="496D6C31"/>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60792"/>
    <w:rsid w:val="49E91D24"/>
    <w:rsid w:val="49EB7211"/>
    <w:rsid w:val="49EC47D8"/>
    <w:rsid w:val="49F04BCB"/>
    <w:rsid w:val="49F17862"/>
    <w:rsid w:val="49FD451C"/>
    <w:rsid w:val="4A037F21"/>
    <w:rsid w:val="4A152F65"/>
    <w:rsid w:val="4A1A3486"/>
    <w:rsid w:val="4A1E617D"/>
    <w:rsid w:val="4A3D4856"/>
    <w:rsid w:val="4A3E0914"/>
    <w:rsid w:val="4A3F1207"/>
    <w:rsid w:val="4A4200BE"/>
    <w:rsid w:val="4A4D4DB2"/>
    <w:rsid w:val="4A5527FC"/>
    <w:rsid w:val="4A57472F"/>
    <w:rsid w:val="4A6E0EB3"/>
    <w:rsid w:val="4A715E3D"/>
    <w:rsid w:val="4A9A1CA8"/>
    <w:rsid w:val="4AB024C8"/>
    <w:rsid w:val="4AB72982"/>
    <w:rsid w:val="4AE34E9D"/>
    <w:rsid w:val="4AF42A0E"/>
    <w:rsid w:val="4AF64A04"/>
    <w:rsid w:val="4B03235C"/>
    <w:rsid w:val="4B17690E"/>
    <w:rsid w:val="4B1B2082"/>
    <w:rsid w:val="4B224ECB"/>
    <w:rsid w:val="4B2D336A"/>
    <w:rsid w:val="4B336491"/>
    <w:rsid w:val="4B60560D"/>
    <w:rsid w:val="4B630CDF"/>
    <w:rsid w:val="4B635F8B"/>
    <w:rsid w:val="4B643369"/>
    <w:rsid w:val="4B65032C"/>
    <w:rsid w:val="4B6973ED"/>
    <w:rsid w:val="4B712A43"/>
    <w:rsid w:val="4B82202B"/>
    <w:rsid w:val="4B863FDA"/>
    <w:rsid w:val="4B97620C"/>
    <w:rsid w:val="4BA60D92"/>
    <w:rsid w:val="4BB56E75"/>
    <w:rsid w:val="4BBE1692"/>
    <w:rsid w:val="4BC304FC"/>
    <w:rsid w:val="4BCA0C2B"/>
    <w:rsid w:val="4BCC5D64"/>
    <w:rsid w:val="4BCD1C09"/>
    <w:rsid w:val="4BD5655B"/>
    <w:rsid w:val="4BD65A7B"/>
    <w:rsid w:val="4BF03999"/>
    <w:rsid w:val="4BF43EA0"/>
    <w:rsid w:val="4C0B49E3"/>
    <w:rsid w:val="4C180EC0"/>
    <w:rsid w:val="4C2B4BD2"/>
    <w:rsid w:val="4C3E4345"/>
    <w:rsid w:val="4C40066C"/>
    <w:rsid w:val="4C4B6676"/>
    <w:rsid w:val="4C4D36BA"/>
    <w:rsid w:val="4C5432DF"/>
    <w:rsid w:val="4C543AEB"/>
    <w:rsid w:val="4C636610"/>
    <w:rsid w:val="4C696745"/>
    <w:rsid w:val="4C737423"/>
    <w:rsid w:val="4C792BE9"/>
    <w:rsid w:val="4C87301C"/>
    <w:rsid w:val="4C875B06"/>
    <w:rsid w:val="4C987A51"/>
    <w:rsid w:val="4C993ABE"/>
    <w:rsid w:val="4C9C4C72"/>
    <w:rsid w:val="4CAA2DCE"/>
    <w:rsid w:val="4CAD6AF7"/>
    <w:rsid w:val="4CAE68AE"/>
    <w:rsid w:val="4CB13E3B"/>
    <w:rsid w:val="4CB84890"/>
    <w:rsid w:val="4CB96EE9"/>
    <w:rsid w:val="4CD66C96"/>
    <w:rsid w:val="4CD859A2"/>
    <w:rsid w:val="4CDC4359"/>
    <w:rsid w:val="4CDC5A3B"/>
    <w:rsid w:val="4CDF0E5D"/>
    <w:rsid w:val="4CE376D5"/>
    <w:rsid w:val="4CF3744D"/>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1A4EAE"/>
    <w:rsid w:val="4E211996"/>
    <w:rsid w:val="4E25360E"/>
    <w:rsid w:val="4E2719FC"/>
    <w:rsid w:val="4E2F0959"/>
    <w:rsid w:val="4E393586"/>
    <w:rsid w:val="4E41684D"/>
    <w:rsid w:val="4E5E12F1"/>
    <w:rsid w:val="4E62045F"/>
    <w:rsid w:val="4E731B38"/>
    <w:rsid w:val="4E783F31"/>
    <w:rsid w:val="4E881E17"/>
    <w:rsid w:val="4EAC689C"/>
    <w:rsid w:val="4EB25AA5"/>
    <w:rsid w:val="4ECC32FB"/>
    <w:rsid w:val="4EDD2691"/>
    <w:rsid w:val="4EE631A7"/>
    <w:rsid w:val="4EF911E3"/>
    <w:rsid w:val="4EF94046"/>
    <w:rsid w:val="4F003827"/>
    <w:rsid w:val="4F0048E8"/>
    <w:rsid w:val="4F037C1C"/>
    <w:rsid w:val="4F0C760F"/>
    <w:rsid w:val="4F15188C"/>
    <w:rsid w:val="4F162F8C"/>
    <w:rsid w:val="4F255836"/>
    <w:rsid w:val="4F29165C"/>
    <w:rsid w:val="4F330749"/>
    <w:rsid w:val="4F3C7E8D"/>
    <w:rsid w:val="4F3F24FD"/>
    <w:rsid w:val="4F4F67C3"/>
    <w:rsid w:val="4F542EE9"/>
    <w:rsid w:val="4F580453"/>
    <w:rsid w:val="4F5E7C98"/>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D37FB"/>
    <w:rsid w:val="505E71AE"/>
    <w:rsid w:val="506E1264"/>
    <w:rsid w:val="507B6A7C"/>
    <w:rsid w:val="508456FE"/>
    <w:rsid w:val="50893447"/>
    <w:rsid w:val="508B7406"/>
    <w:rsid w:val="509F73B0"/>
    <w:rsid w:val="50B26A6B"/>
    <w:rsid w:val="50C20F4E"/>
    <w:rsid w:val="50C51101"/>
    <w:rsid w:val="50CD4459"/>
    <w:rsid w:val="50D40C4B"/>
    <w:rsid w:val="50E46F54"/>
    <w:rsid w:val="50F26FD7"/>
    <w:rsid w:val="50F27DC3"/>
    <w:rsid w:val="510A0B7F"/>
    <w:rsid w:val="510E0858"/>
    <w:rsid w:val="510F05CE"/>
    <w:rsid w:val="510F5BEA"/>
    <w:rsid w:val="512978E2"/>
    <w:rsid w:val="512F07EA"/>
    <w:rsid w:val="5130002C"/>
    <w:rsid w:val="514054DD"/>
    <w:rsid w:val="5144267E"/>
    <w:rsid w:val="514D07CA"/>
    <w:rsid w:val="51604849"/>
    <w:rsid w:val="51747844"/>
    <w:rsid w:val="51776B62"/>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DF61F2"/>
    <w:rsid w:val="51E16066"/>
    <w:rsid w:val="51E74EF3"/>
    <w:rsid w:val="520C2961"/>
    <w:rsid w:val="52147923"/>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8557B"/>
    <w:rsid w:val="52EA11D5"/>
    <w:rsid w:val="52EF49AD"/>
    <w:rsid w:val="530E2672"/>
    <w:rsid w:val="5329120F"/>
    <w:rsid w:val="53314CE8"/>
    <w:rsid w:val="53360094"/>
    <w:rsid w:val="536F68C7"/>
    <w:rsid w:val="537C1F2B"/>
    <w:rsid w:val="5382736B"/>
    <w:rsid w:val="538C23AA"/>
    <w:rsid w:val="539C09AC"/>
    <w:rsid w:val="539C6218"/>
    <w:rsid w:val="539D6771"/>
    <w:rsid w:val="539E491F"/>
    <w:rsid w:val="53A45E3A"/>
    <w:rsid w:val="53AC5C72"/>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5602F"/>
    <w:rsid w:val="54465F20"/>
    <w:rsid w:val="54497292"/>
    <w:rsid w:val="5452714F"/>
    <w:rsid w:val="545D4199"/>
    <w:rsid w:val="547235CB"/>
    <w:rsid w:val="54831B18"/>
    <w:rsid w:val="548F5C4F"/>
    <w:rsid w:val="54905ECA"/>
    <w:rsid w:val="54936AF0"/>
    <w:rsid w:val="549502FD"/>
    <w:rsid w:val="54AB09A6"/>
    <w:rsid w:val="54AF20D4"/>
    <w:rsid w:val="54B72A99"/>
    <w:rsid w:val="54B92A5F"/>
    <w:rsid w:val="54BC49A0"/>
    <w:rsid w:val="54CC7AC8"/>
    <w:rsid w:val="54FE4EC4"/>
    <w:rsid w:val="55022976"/>
    <w:rsid w:val="551A2201"/>
    <w:rsid w:val="551C096F"/>
    <w:rsid w:val="55240097"/>
    <w:rsid w:val="552A0691"/>
    <w:rsid w:val="552C3D46"/>
    <w:rsid w:val="554D13EE"/>
    <w:rsid w:val="55651AA0"/>
    <w:rsid w:val="556D1114"/>
    <w:rsid w:val="556E778F"/>
    <w:rsid w:val="55797798"/>
    <w:rsid w:val="557C57EF"/>
    <w:rsid w:val="558163EB"/>
    <w:rsid w:val="55854A5F"/>
    <w:rsid w:val="559341A6"/>
    <w:rsid w:val="5594298A"/>
    <w:rsid w:val="559F2399"/>
    <w:rsid w:val="559F4616"/>
    <w:rsid w:val="55A0213D"/>
    <w:rsid w:val="55A167FB"/>
    <w:rsid w:val="55A45A9F"/>
    <w:rsid w:val="55B17EA6"/>
    <w:rsid w:val="55C57ADE"/>
    <w:rsid w:val="55CE22F2"/>
    <w:rsid w:val="55F936EF"/>
    <w:rsid w:val="55FA0B36"/>
    <w:rsid w:val="56160365"/>
    <w:rsid w:val="56162CC9"/>
    <w:rsid w:val="561717F3"/>
    <w:rsid w:val="561E54E3"/>
    <w:rsid w:val="5621502B"/>
    <w:rsid w:val="564D4072"/>
    <w:rsid w:val="565F0360"/>
    <w:rsid w:val="566030D8"/>
    <w:rsid w:val="566539D0"/>
    <w:rsid w:val="566E6821"/>
    <w:rsid w:val="567A4F9D"/>
    <w:rsid w:val="56812FF6"/>
    <w:rsid w:val="5697353F"/>
    <w:rsid w:val="569F32F8"/>
    <w:rsid w:val="56A8416C"/>
    <w:rsid w:val="56CA56C3"/>
    <w:rsid w:val="56DD5432"/>
    <w:rsid w:val="56DD747D"/>
    <w:rsid w:val="56EA5375"/>
    <w:rsid w:val="56EE039D"/>
    <w:rsid w:val="56F96728"/>
    <w:rsid w:val="57115846"/>
    <w:rsid w:val="571F273F"/>
    <w:rsid w:val="57224F31"/>
    <w:rsid w:val="572F7A73"/>
    <w:rsid w:val="574D1E50"/>
    <w:rsid w:val="5751212C"/>
    <w:rsid w:val="575B5634"/>
    <w:rsid w:val="575D464A"/>
    <w:rsid w:val="575D7EC0"/>
    <w:rsid w:val="576138FC"/>
    <w:rsid w:val="57621579"/>
    <w:rsid w:val="57692EE1"/>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711D8"/>
    <w:rsid w:val="58590AD0"/>
    <w:rsid w:val="585962B5"/>
    <w:rsid w:val="585F5B75"/>
    <w:rsid w:val="58615BB3"/>
    <w:rsid w:val="586456A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A4004"/>
    <w:rsid w:val="599B086D"/>
    <w:rsid w:val="59A10DD3"/>
    <w:rsid w:val="59B83EF9"/>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526A3"/>
    <w:rsid w:val="5A4A072C"/>
    <w:rsid w:val="5A4E41C1"/>
    <w:rsid w:val="5A6210CC"/>
    <w:rsid w:val="5A654D08"/>
    <w:rsid w:val="5A7348C9"/>
    <w:rsid w:val="5A7521D8"/>
    <w:rsid w:val="5A7E7218"/>
    <w:rsid w:val="5A7F4506"/>
    <w:rsid w:val="5A936069"/>
    <w:rsid w:val="5A961224"/>
    <w:rsid w:val="5A9725BE"/>
    <w:rsid w:val="5AA71877"/>
    <w:rsid w:val="5AB02E22"/>
    <w:rsid w:val="5AC76508"/>
    <w:rsid w:val="5AD45AFB"/>
    <w:rsid w:val="5AD61113"/>
    <w:rsid w:val="5AF72A21"/>
    <w:rsid w:val="5AFC1624"/>
    <w:rsid w:val="5B095493"/>
    <w:rsid w:val="5B115BA8"/>
    <w:rsid w:val="5B1645F9"/>
    <w:rsid w:val="5B235AE9"/>
    <w:rsid w:val="5B246A53"/>
    <w:rsid w:val="5B2E08FC"/>
    <w:rsid w:val="5B33382B"/>
    <w:rsid w:val="5B416E74"/>
    <w:rsid w:val="5B433C96"/>
    <w:rsid w:val="5B437EA2"/>
    <w:rsid w:val="5B534ED1"/>
    <w:rsid w:val="5B745D8C"/>
    <w:rsid w:val="5B750108"/>
    <w:rsid w:val="5B8859A0"/>
    <w:rsid w:val="5B886BD0"/>
    <w:rsid w:val="5B8B5CD7"/>
    <w:rsid w:val="5B8E2674"/>
    <w:rsid w:val="5B8F6E7C"/>
    <w:rsid w:val="5B90055D"/>
    <w:rsid w:val="5B975D90"/>
    <w:rsid w:val="5B9932D2"/>
    <w:rsid w:val="5B995664"/>
    <w:rsid w:val="5B9F7743"/>
    <w:rsid w:val="5BA87F9D"/>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12F6"/>
    <w:rsid w:val="5CDD7838"/>
    <w:rsid w:val="5CEC3A93"/>
    <w:rsid w:val="5CEF405D"/>
    <w:rsid w:val="5CF62188"/>
    <w:rsid w:val="5CFE5040"/>
    <w:rsid w:val="5D0C00B7"/>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9E51B4"/>
    <w:rsid w:val="5DAF46CB"/>
    <w:rsid w:val="5DBA0135"/>
    <w:rsid w:val="5DC0337C"/>
    <w:rsid w:val="5DC87774"/>
    <w:rsid w:val="5DCD5DE5"/>
    <w:rsid w:val="5DD437EF"/>
    <w:rsid w:val="5DDB1F64"/>
    <w:rsid w:val="5DF16302"/>
    <w:rsid w:val="5DFB118E"/>
    <w:rsid w:val="5DFF4B46"/>
    <w:rsid w:val="5E191028"/>
    <w:rsid w:val="5E20206C"/>
    <w:rsid w:val="5E227B93"/>
    <w:rsid w:val="5E381A8A"/>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EFF3BB3"/>
    <w:rsid w:val="5F010576"/>
    <w:rsid w:val="5F0251FA"/>
    <w:rsid w:val="5F0265AC"/>
    <w:rsid w:val="5F0E693E"/>
    <w:rsid w:val="5F2D435B"/>
    <w:rsid w:val="5F4475AE"/>
    <w:rsid w:val="5F4A6799"/>
    <w:rsid w:val="5F6C2424"/>
    <w:rsid w:val="5F6E718C"/>
    <w:rsid w:val="5F8C668E"/>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BA4AAB"/>
    <w:rsid w:val="60C15BBD"/>
    <w:rsid w:val="60C33C2B"/>
    <w:rsid w:val="60DB227B"/>
    <w:rsid w:val="60E253D9"/>
    <w:rsid w:val="60E82CA1"/>
    <w:rsid w:val="60E97ACC"/>
    <w:rsid w:val="60F15F42"/>
    <w:rsid w:val="60F168D4"/>
    <w:rsid w:val="60F56FE3"/>
    <w:rsid w:val="610B7004"/>
    <w:rsid w:val="61160E7E"/>
    <w:rsid w:val="61311E12"/>
    <w:rsid w:val="61412723"/>
    <w:rsid w:val="61637659"/>
    <w:rsid w:val="616C489E"/>
    <w:rsid w:val="617C570B"/>
    <w:rsid w:val="617F6C58"/>
    <w:rsid w:val="61853804"/>
    <w:rsid w:val="618B5A4F"/>
    <w:rsid w:val="618C0568"/>
    <w:rsid w:val="618E553F"/>
    <w:rsid w:val="619B53CA"/>
    <w:rsid w:val="61A56DFA"/>
    <w:rsid w:val="61BB4BC5"/>
    <w:rsid w:val="61C4751D"/>
    <w:rsid w:val="61CD250B"/>
    <w:rsid w:val="61DD43D6"/>
    <w:rsid w:val="61E77B08"/>
    <w:rsid w:val="61E810F3"/>
    <w:rsid w:val="61EB5F1D"/>
    <w:rsid w:val="61F03696"/>
    <w:rsid w:val="61F2797D"/>
    <w:rsid w:val="61FA077D"/>
    <w:rsid w:val="61FC1ECB"/>
    <w:rsid w:val="62095D9E"/>
    <w:rsid w:val="621355E2"/>
    <w:rsid w:val="621B5631"/>
    <w:rsid w:val="62455E7F"/>
    <w:rsid w:val="624770D2"/>
    <w:rsid w:val="624C125B"/>
    <w:rsid w:val="62612D73"/>
    <w:rsid w:val="626D1DCC"/>
    <w:rsid w:val="626D5F91"/>
    <w:rsid w:val="62787EEC"/>
    <w:rsid w:val="627E7D9D"/>
    <w:rsid w:val="62810C2D"/>
    <w:rsid w:val="628407FE"/>
    <w:rsid w:val="62851594"/>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391447"/>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65464"/>
    <w:rsid w:val="63C8241B"/>
    <w:rsid w:val="63C86E42"/>
    <w:rsid w:val="63DF59C2"/>
    <w:rsid w:val="63E6136F"/>
    <w:rsid w:val="63EA625B"/>
    <w:rsid w:val="63EF5D9F"/>
    <w:rsid w:val="63FC6E29"/>
    <w:rsid w:val="63FC6F31"/>
    <w:rsid w:val="641A7C41"/>
    <w:rsid w:val="64276546"/>
    <w:rsid w:val="642E4F72"/>
    <w:rsid w:val="64385E65"/>
    <w:rsid w:val="64395C36"/>
    <w:rsid w:val="64405FB0"/>
    <w:rsid w:val="64497199"/>
    <w:rsid w:val="644B3B98"/>
    <w:rsid w:val="646469D4"/>
    <w:rsid w:val="647A419D"/>
    <w:rsid w:val="64846083"/>
    <w:rsid w:val="64851089"/>
    <w:rsid w:val="648C0E64"/>
    <w:rsid w:val="649021F2"/>
    <w:rsid w:val="649445F6"/>
    <w:rsid w:val="64983CC9"/>
    <w:rsid w:val="64B109D5"/>
    <w:rsid w:val="64CB617B"/>
    <w:rsid w:val="64CD45D0"/>
    <w:rsid w:val="64E43E7F"/>
    <w:rsid w:val="64EC2CA8"/>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C85C1B"/>
    <w:rsid w:val="65D04EEB"/>
    <w:rsid w:val="65D424B9"/>
    <w:rsid w:val="65DB6E4D"/>
    <w:rsid w:val="65E31DEE"/>
    <w:rsid w:val="65E816C2"/>
    <w:rsid w:val="65F334C9"/>
    <w:rsid w:val="65F51453"/>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4746E"/>
    <w:rsid w:val="676A0B2B"/>
    <w:rsid w:val="676C3006"/>
    <w:rsid w:val="67827A7F"/>
    <w:rsid w:val="678A0557"/>
    <w:rsid w:val="679C2007"/>
    <w:rsid w:val="67A667D3"/>
    <w:rsid w:val="67A74C82"/>
    <w:rsid w:val="67A95111"/>
    <w:rsid w:val="67B845F6"/>
    <w:rsid w:val="67C365BF"/>
    <w:rsid w:val="67D8341E"/>
    <w:rsid w:val="67E46FF5"/>
    <w:rsid w:val="67E66A6F"/>
    <w:rsid w:val="67EB2D8A"/>
    <w:rsid w:val="67ED6C16"/>
    <w:rsid w:val="680A6C82"/>
    <w:rsid w:val="68183DB4"/>
    <w:rsid w:val="681A7B2C"/>
    <w:rsid w:val="681C4E3A"/>
    <w:rsid w:val="6824034C"/>
    <w:rsid w:val="682D7860"/>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C091E"/>
    <w:rsid w:val="698E5CD2"/>
    <w:rsid w:val="69952A0C"/>
    <w:rsid w:val="699A1218"/>
    <w:rsid w:val="699B4BDB"/>
    <w:rsid w:val="69A51678"/>
    <w:rsid w:val="69A5357D"/>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85D0E"/>
    <w:rsid w:val="6A5D0E85"/>
    <w:rsid w:val="6A616283"/>
    <w:rsid w:val="6A641407"/>
    <w:rsid w:val="6A656882"/>
    <w:rsid w:val="6A7D5DF7"/>
    <w:rsid w:val="6A8B60FB"/>
    <w:rsid w:val="6A8E035E"/>
    <w:rsid w:val="6A9674BF"/>
    <w:rsid w:val="6A9A37E0"/>
    <w:rsid w:val="6AA604CA"/>
    <w:rsid w:val="6AB67B97"/>
    <w:rsid w:val="6ACE4BFE"/>
    <w:rsid w:val="6AD06BC8"/>
    <w:rsid w:val="6ADB41F3"/>
    <w:rsid w:val="6AF62540"/>
    <w:rsid w:val="6AFB4F4A"/>
    <w:rsid w:val="6AFC5C0F"/>
    <w:rsid w:val="6B014857"/>
    <w:rsid w:val="6B080110"/>
    <w:rsid w:val="6B12444F"/>
    <w:rsid w:val="6B2A12A7"/>
    <w:rsid w:val="6B2B5527"/>
    <w:rsid w:val="6B2F1B41"/>
    <w:rsid w:val="6B301415"/>
    <w:rsid w:val="6B370CF5"/>
    <w:rsid w:val="6B405AFC"/>
    <w:rsid w:val="6B4533C9"/>
    <w:rsid w:val="6B5C39DF"/>
    <w:rsid w:val="6B5E11EE"/>
    <w:rsid w:val="6B611EB1"/>
    <w:rsid w:val="6B643240"/>
    <w:rsid w:val="6B70119D"/>
    <w:rsid w:val="6B7B3CF2"/>
    <w:rsid w:val="6B89226B"/>
    <w:rsid w:val="6B8C2AEF"/>
    <w:rsid w:val="6B961766"/>
    <w:rsid w:val="6BB13803"/>
    <w:rsid w:val="6BC8334A"/>
    <w:rsid w:val="6BD47294"/>
    <w:rsid w:val="6BD61A98"/>
    <w:rsid w:val="6BEA2426"/>
    <w:rsid w:val="6BF77F96"/>
    <w:rsid w:val="6BFE19E1"/>
    <w:rsid w:val="6C050A47"/>
    <w:rsid w:val="6C07486C"/>
    <w:rsid w:val="6C0A7EB8"/>
    <w:rsid w:val="6C0B1A74"/>
    <w:rsid w:val="6C16659B"/>
    <w:rsid w:val="6C19105E"/>
    <w:rsid w:val="6C2471CC"/>
    <w:rsid w:val="6C27235B"/>
    <w:rsid w:val="6C3342D8"/>
    <w:rsid w:val="6C351022"/>
    <w:rsid w:val="6C394A8B"/>
    <w:rsid w:val="6C3F5509"/>
    <w:rsid w:val="6C420156"/>
    <w:rsid w:val="6C4A4519"/>
    <w:rsid w:val="6C5142B7"/>
    <w:rsid w:val="6C554E54"/>
    <w:rsid w:val="6C5555D7"/>
    <w:rsid w:val="6C5F4E8C"/>
    <w:rsid w:val="6C622720"/>
    <w:rsid w:val="6C691082"/>
    <w:rsid w:val="6C715150"/>
    <w:rsid w:val="6C7457E7"/>
    <w:rsid w:val="6C7D6E82"/>
    <w:rsid w:val="6C8311C3"/>
    <w:rsid w:val="6C841F60"/>
    <w:rsid w:val="6C8C5C8D"/>
    <w:rsid w:val="6C8E2897"/>
    <w:rsid w:val="6C924BA3"/>
    <w:rsid w:val="6C9854C4"/>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535F8"/>
    <w:rsid w:val="6D680792"/>
    <w:rsid w:val="6D82770E"/>
    <w:rsid w:val="6D915856"/>
    <w:rsid w:val="6DAB0FE0"/>
    <w:rsid w:val="6DB427D1"/>
    <w:rsid w:val="6DB7283B"/>
    <w:rsid w:val="6DBB5A7E"/>
    <w:rsid w:val="6DBD7A7F"/>
    <w:rsid w:val="6DCF4F15"/>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A551B4"/>
    <w:rsid w:val="6EB02F99"/>
    <w:rsid w:val="6ECE043D"/>
    <w:rsid w:val="6EDA7020"/>
    <w:rsid w:val="6EDF1C43"/>
    <w:rsid w:val="6EEA5691"/>
    <w:rsid w:val="6EF2710D"/>
    <w:rsid w:val="6F08338C"/>
    <w:rsid w:val="6F0E6B0E"/>
    <w:rsid w:val="6F1D73D4"/>
    <w:rsid w:val="6F492FDA"/>
    <w:rsid w:val="6F561A7D"/>
    <w:rsid w:val="6F5914CB"/>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3853CE"/>
    <w:rsid w:val="704A18A5"/>
    <w:rsid w:val="70535193"/>
    <w:rsid w:val="705353D7"/>
    <w:rsid w:val="70595CFD"/>
    <w:rsid w:val="70731CBA"/>
    <w:rsid w:val="70761500"/>
    <w:rsid w:val="70A9313E"/>
    <w:rsid w:val="70AB2A5F"/>
    <w:rsid w:val="70AC08A3"/>
    <w:rsid w:val="70BB3FEA"/>
    <w:rsid w:val="70C40F6B"/>
    <w:rsid w:val="70C745CA"/>
    <w:rsid w:val="70CA1D71"/>
    <w:rsid w:val="70CD22E2"/>
    <w:rsid w:val="70E36810"/>
    <w:rsid w:val="70E43FFB"/>
    <w:rsid w:val="70E72450"/>
    <w:rsid w:val="70E909E4"/>
    <w:rsid w:val="70F27898"/>
    <w:rsid w:val="70F3716D"/>
    <w:rsid w:val="70FF2B52"/>
    <w:rsid w:val="70FF5135"/>
    <w:rsid w:val="71053071"/>
    <w:rsid w:val="710C10F0"/>
    <w:rsid w:val="710C4547"/>
    <w:rsid w:val="71146B3B"/>
    <w:rsid w:val="711E1A75"/>
    <w:rsid w:val="7128341B"/>
    <w:rsid w:val="713B6FC5"/>
    <w:rsid w:val="71530C93"/>
    <w:rsid w:val="71573ACB"/>
    <w:rsid w:val="715E5257"/>
    <w:rsid w:val="718176C8"/>
    <w:rsid w:val="718A6573"/>
    <w:rsid w:val="71924BD7"/>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021E3"/>
    <w:rsid w:val="722F679F"/>
    <w:rsid w:val="723A2626"/>
    <w:rsid w:val="723D68AF"/>
    <w:rsid w:val="724721AC"/>
    <w:rsid w:val="724E3C2C"/>
    <w:rsid w:val="72513DDF"/>
    <w:rsid w:val="725501DD"/>
    <w:rsid w:val="72705108"/>
    <w:rsid w:val="727B38BE"/>
    <w:rsid w:val="72814683"/>
    <w:rsid w:val="729452D5"/>
    <w:rsid w:val="729B2130"/>
    <w:rsid w:val="72B360E6"/>
    <w:rsid w:val="72B739A4"/>
    <w:rsid w:val="72D0594D"/>
    <w:rsid w:val="72F657B0"/>
    <w:rsid w:val="72FC409A"/>
    <w:rsid w:val="73032FC0"/>
    <w:rsid w:val="73054AAE"/>
    <w:rsid w:val="73076EFF"/>
    <w:rsid w:val="730F48D7"/>
    <w:rsid w:val="73181981"/>
    <w:rsid w:val="732206A5"/>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CD7E9D"/>
    <w:rsid w:val="73ED1A3A"/>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005C0"/>
    <w:rsid w:val="746915C4"/>
    <w:rsid w:val="746F1484"/>
    <w:rsid w:val="747C2510"/>
    <w:rsid w:val="748544B6"/>
    <w:rsid w:val="749E3121"/>
    <w:rsid w:val="749F692E"/>
    <w:rsid w:val="74A14CC6"/>
    <w:rsid w:val="74B50BE4"/>
    <w:rsid w:val="74B771BF"/>
    <w:rsid w:val="74B800CA"/>
    <w:rsid w:val="74DB0643"/>
    <w:rsid w:val="74E219D2"/>
    <w:rsid w:val="74F55B27"/>
    <w:rsid w:val="74FC0CE6"/>
    <w:rsid w:val="751F674D"/>
    <w:rsid w:val="752968DA"/>
    <w:rsid w:val="753D165B"/>
    <w:rsid w:val="754461E9"/>
    <w:rsid w:val="75511543"/>
    <w:rsid w:val="75600E6A"/>
    <w:rsid w:val="756B2471"/>
    <w:rsid w:val="756B33ED"/>
    <w:rsid w:val="756E770A"/>
    <w:rsid w:val="75726F76"/>
    <w:rsid w:val="75760D96"/>
    <w:rsid w:val="75875B4C"/>
    <w:rsid w:val="758D6086"/>
    <w:rsid w:val="758F1A33"/>
    <w:rsid w:val="75B0387E"/>
    <w:rsid w:val="75B04FED"/>
    <w:rsid w:val="75B94E29"/>
    <w:rsid w:val="75C13CDD"/>
    <w:rsid w:val="75CA4A2D"/>
    <w:rsid w:val="75D50C8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80271B"/>
    <w:rsid w:val="768E0063"/>
    <w:rsid w:val="76935753"/>
    <w:rsid w:val="76951140"/>
    <w:rsid w:val="76974BD9"/>
    <w:rsid w:val="76977026"/>
    <w:rsid w:val="76A70C95"/>
    <w:rsid w:val="76A93CE9"/>
    <w:rsid w:val="76AA4771"/>
    <w:rsid w:val="76C03F95"/>
    <w:rsid w:val="76D15D09"/>
    <w:rsid w:val="76EB626F"/>
    <w:rsid w:val="76F459ED"/>
    <w:rsid w:val="76F57B1F"/>
    <w:rsid w:val="770E1875"/>
    <w:rsid w:val="771349E5"/>
    <w:rsid w:val="7714635C"/>
    <w:rsid w:val="77197EBD"/>
    <w:rsid w:val="771C30FA"/>
    <w:rsid w:val="77206134"/>
    <w:rsid w:val="77252166"/>
    <w:rsid w:val="772F3A61"/>
    <w:rsid w:val="77336738"/>
    <w:rsid w:val="773553A7"/>
    <w:rsid w:val="77524A58"/>
    <w:rsid w:val="77580A66"/>
    <w:rsid w:val="77692418"/>
    <w:rsid w:val="777D20D6"/>
    <w:rsid w:val="77856544"/>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51694"/>
    <w:rsid w:val="78AD0D21"/>
    <w:rsid w:val="78B73B4F"/>
    <w:rsid w:val="78B934ED"/>
    <w:rsid w:val="78C37C8A"/>
    <w:rsid w:val="78DA332F"/>
    <w:rsid w:val="78DE2D7C"/>
    <w:rsid w:val="790744FA"/>
    <w:rsid w:val="7922596C"/>
    <w:rsid w:val="79273628"/>
    <w:rsid w:val="792F01A6"/>
    <w:rsid w:val="79382965"/>
    <w:rsid w:val="79386064"/>
    <w:rsid w:val="793B3189"/>
    <w:rsid w:val="794C1894"/>
    <w:rsid w:val="795161CA"/>
    <w:rsid w:val="79573931"/>
    <w:rsid w:val="79665BDF"/>
    <w:rsid w:val="79820F11"/>
    <w:rsid w:val="79981173"/>
    <w:rsid w:val="799E6545"/>
    <w:rsid w:val="799F228B"/>
    <w:rsid w:val="79A731EA"/>
    <w:rsid w:val="79A81252"/>
    <w:rsid w:val="79AC037E"/>
    <w:rsid w:val="79B4594A"/>
    <w:rsid w:val="79B95098"/>
    <w:rsid w:val="79B978EA"/>
    <w:rsid w:val="79BC708D"/>
    <w:rsid w:val="79D77FF8"/>
    <w:rsid w:val="79DF4732"/>
    <w:rsid w:val="79EB1C7D"/>
    <w:rsid w:val="79EB5C15"/>
    <w:rsid w:val="79FB1EE7"/>
    <w:rsid w:val="7A0349BA"/>
    <w:rsid w:val="7A0643B5"/>
    <w:rsid w:val="7A0C57BD"/>
    <w:rsid w:val="7A146AD1"/>
    <w:rsid w:val="7A1B476E"/>
    <w:rsid w:val="7A2A5E86"/>
    <w:rsid w:val="7A325833"/>
    <w:rsid w:val="7A37631C"/>
    <w:rsid w:val="7A3C3FD7"/>
    <w:rsid w:val="7A50702E"/>
    <w:rsid w:val="7A633442"/>
    <w:rsid w:val="7A752301"/>
    <w:rsid w:val="7A7A794D"/>
    <w:rsid w:val="7A8552D9"/>
    <w:rsid w:val="7A950B01"/>
    <w:rsid w:val="7A9722EA"/>
    <w:rsid w:val="7A99237D"/>
    <w:rsid w:val="7AA16855"/>
    <w:rsid w:val="7AA274F5"/>
    <w:rsid w:val="7AAD4830"/>
    <w:rsid w:val="7AB14807"/>
    <w:rsid w:val="7AC04563"/>
    <w:rsid w:val="7AE3462E"/>
    <w:rsid w:val="7AE959CB"/>
    <w:rsid w:val="7AEE2741"/>
    <w:rsid w:val="7AF27BF0"/>
    <w:rsid w:val="7AFC6FE5"/>
    <w:rsid w:val="7B095F0A"/>
    <w:rsid w:val="7B124498"/>
    <w:rsid w:val="7B13662A"/>
    <w:rsid w:val="7B1A6AB5"/>
    <w:rsid w:val="7B315BCA"/>
    <w:rsid w:val="7B327BB5"/>
    <w:rsid w:val="7B33563C"/>
    <w:rsid w:val="7B4440DD"/>
    <w:rsid w:val="7B4C0E94"/>
    <w:rsid w:val="7B5737ED"/>
    <w:rsid w:val="7B590B8D"/>
    <w:rsid w:val="7B594633"/>
    <w:rsid w:val="7B7419DE"/>
    <w:rsid w:val="7B763FD0"/>
    <w:rsid w:val="7B783090"/>
    <w:rsid w:val="7B8D6D12"/>
    <w:rsid w:val="7B8F2DE3"/>
    <w:rsid w:val="7B9147B3"/>
    <w:rsid w:val="7B9F3C35"/>
    <w:rsid w:val="7BAC1017"/>
    <w:rsid w:val="7BAD61AB"/>
    <w:rsid w:val="7BB340C8"/>
    <w:rsid w:val="7BC5015F"/>
    <w:rsid w:val="7BDB40C8"/>
    <w:rsid w:val="7BE54EB8"/>
    <w:rsid w:val="7BFC639E"/>
    <w:rsid w:val="7C052E28"/>
    <w:rsid w:val="7C0663D3"/>
    <w:rsid w:val="7C067B78"/>
    <w:rsid w:val="7C075B78"/>
    <w:rsid w:val="7C08260A"/>
    <w:rsid w:val="7C091F3A"/>
    <w:rsid w:val="7C0A7761"/>
    <w:rsid w:val="7C1060A4"/>
    <w:rsid w:val="7C212B16"/>
    <w:rsid w:val="7C281644"/>
    <w:rsid w:val="7C344D27"/>
    <w:rsid w:val="7C453C67"/>
    <w:rsid w:val="7C4F064C"/>
    <w:rsid w:val="7C5331B5"/>
    <w:rsid w:val="7C6034EF"/>
    <w:rsid w:val="7C6F0028"/>
    <w:rsid w:val="7C713B95"/>
    <w:rsid w:val="7C8F3841"/>
    <w:rsid w:val="7C927737"/>
    <w:rsid w:val="7C970076"/>
    <w:rsid w:val="7C991510"/>
    <w:rsid w:val="7CAB244D"/>
    <w:rsid w:val="7CB14283"/>
    <w:rsid w:val="7CC1754B"/>
    <w:rsid w:val="7CDD49A2"/>
    <w:rsid w:val="7CE055BA"/>
    <w:rsid w:val="7CFC1051"/>
    <w:rsid w:val="7D0304AC"/>
    <w:rsid w:val="7D0E614B"/>
    <w:rsid w:val="7D135803"/>
    <w:rsid w:val="7D15058B"/>
    <w:rsid w:val="7D157DA1"/>
    <w:rsid w:val="7D1650D3"/>
    <w:rsid w:val="7D213138"/>
    <w:rsid w:val="7D222D25"/>
    <w:rsid w:val="7D2406DD"/>
    <w:rsid w:val="7D2521B2"/>
    <w:rsid w:val="7D2863F0"/>
    <w:rsid w:val="7D317598"/>
    <w:rsid w:val="7D3230DC"/>
    <w:rsid w:val="7D3F5A81"/>
    <w:rsid w:val="7D417612"/>
    <w:rsid w:val="7D436814"/>
    <w:rsid w:val="7D4A7DF7"/>
    <w:rsid w:val="7D4B091B"/>
    <w:rsid w:val="7D4C20DE"/>
    <w:rsid w:val="7D4D08D5"/>
    <w:rsid w:val="7D4F6887"/>
    <w:rsid w:val="7D5471E5"/>
    <w:rsid w:val="7D551F58"/>
    <w:rsid w:val="7D601119"/>
    <w:rsid w:val="7D676FBC"/>
    <w:rsid w:val="7D697BD3"/>
    <w:rsid w:val="7D6A282B"/>
    <w:rsid w:val="7D6B7FF7"/>
    <w:rsid w:val="7D7D58E5"/>
    <w:rsid w:val="7D7F5DD6"/>
    <w:rsid w:val="7D8306B2"/>
    <w:rsid w:val="7DB3377D"/>
    <w:rsid w:val="7DB97E53"/>
    <w:rsid w:val="7DCD17E7"/>
    <w:rsid w:val="7DCF14E3"/>
    <w:rsid w:val="7DD47173"/>
    <w:rsid w:val="7DF04831"/>
    <w:rsid w:val="7DF22A1C"/>
    <w:rsid w:val="7E0E1134"/>
    <w:rsid w:val="7E102EA3"/>
    <w:rsid w:val="7E1569BE"/>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DF15EE"/>
    <w:rsid w:val="7EE354CD"/>
    <w:rsid w:val="7EFC16E4"/>
    <w:rsid w:val="7EFD24F6"/>
    <w:rsid w:val="7F06366D"/>
    <w:rsid w:val="7F13011A"/>
    <w:rsid w:val="7F2D7630"/>
    <w:rsid w:val="7F2F1CB8"/>
    <w:rsid w:val="7F2F3A66"/>
    <w:rsid w:val="7F3472CE"/>
    <w:rsid w:val="7F3814A3"/>
    <w:rsid w:val="7F410732"/>
    <w:rsid w:val="7F4A08A0"/>
    <w:rsid w:val="7F536596"/>
    <w:rsid w:val="7F5456A0"/>
    <w:rsid w:val="7F594F87"/>
    <w:rsid w:val="7F5C0130"/>
    <w:rsid w:val="7F6F3664"/>
    <w:rsid w:val="7F79289E"/>
    <w:rsid w:val="7F880FE3"/>
    <w:rsid w:val="7F8F1F7C"/>
    <w:rsid w:val="7FA8445B"/>
    <w:rsid w:val="7FAB7D12"/>
    <w:rsid w:val="7FAC4DF9"/>
    <w:rsid w:val="7FBA3C77"/>
    <w:rsid w:val="7FCA114D"/>
    <w:rsid w:val="7FD338C7"/>
    <w:rsid w:val="7FD422E4"/>
    <w:rsid w:val="7FDD34C2"/>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4"/>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4"/>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b/>
      <w:sz w:val="24"/>
      <w:szCs w:val="20"/>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68"/>
    <w:qFormat/>
    <w:uiPriority w:val="0"/>
    <w:rPr>
      <w:rFonts w:ascii="宋体"/>
      <w:sz w:val="18"/>
      <w:szCs w:val="18"/>
    </w:rPr>
  </w:style>
  <w:style w:type="paragraph" w:styleId="16">
    <w:name w:val="annotation text"/>
    <w:basedOn w:val="1"/>
    <w:link w:val="69"/>
    <w:qFormat/>
    <w:uiPriority w:val="99"/>
    <w:pPr>
      <w:jc w:val="left"/>
    </w:pPr>
  </w:style>
  <w:style w:type="paragraph" w:styleId="17">
    <w:name w:val="Body Text 3"/>
    <w:basedOn w:val="1"/>
    <w:link w:val="70"/>
    <w:qFormat/>
    <w:uiPriority w:val="0"/>
    <w:rPr>
      <w:rFonts w:ascii="宋体"/>
      <w:sz w:val="24"/>
      <w:szCs w:val="20"/>
    </w:rPr>
  </w:style>
  <w:style w:type="paragraph" w:styleId="18">
    <w:name w:val="Body Text"/>
    <w:basedOn w:val="1"/>
    <w:next w:val="1"/>
    <w:link w:val="71"/>
    <w:qFormat/>
    <w:uiPriority w:val="0"/>
    <w:pPr>
      <w:jc w:val="center"/>
    </w:pPr>
    <w:rPr>
      <w:rFonts w:eastAsia="幼圆"/>
      <w:b/>
      <w:bCs/>
      <w:sz w:val="44"/>
    </w:rPr>
  </w:style>
  <w:style w:type="paragraph" w:styleId="19">
    <w:name w:val="Body Text Indent"/>
    <w:basedOn w:val="1"/>
    <w:link w:val="72"/>
    <w:qFormat/>
    <w:uiPriority w:val="0"/>
    <w:pPr>
      <w:spacing w:after="120"/>
      <w:ind w:left="420" w:leftChars="200"/>
    </w:pPr>
  </w:style>
  <w:style w:type="paragraph" w:styleId="20">
    <w:name w:val="Block Text"/>
    <w:basedOn w:val="1"/>
    <w:unhideWhenUsed/>
    <w:qFormat/>
    <w:uiPriority w:val="99"/>
    <w:pPr>
      <w:spacing w:after="120"/>
      <w:ind w:left="1440" w:leftChars="700" w:right="1440" w:rightChars="7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7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74"/>
    <w:unhideWhenUsed/>
    <w:qFormat/>
    <w:uiPriority w:val="0"/>
  </w:style>
  <w:style w:type="paragraph" w:styleId="27">
    <w:name w:val="Body Text Indent 2"/>
    <w:basedOn w:val="1"/>
    <w:link w:val="75"/>
    <w:unhideWhenUsed/>
    <w:qFormat/>
    <w:uiPriority w:val="99"/>
    <w:pPr>
      <w:spacing w:line="420" w:lineRule="exact"/>
      <w:ind w:firstLine="525"/>
    </w:pPr>
    <w:rPr>
      <w:rFonts w:ascii="宋体"/>
      <w:kern w:val="0"/>
      <w:sz w:val="20"/>
      <w:szCs w:val="20"/>
    </w:rPr>
  </w:style>
  <w:style w:type="paragraph" w:styleId="28">
    <w:name w:val="Balloon Text"/>
    <w:basedOn w:val="1"/>
    <w:link w:val="76"/>
    <w:qFormat/>
    <w:uiPriority w:val="0"/>
    <w:rPr>
      <w:sz w:val="18"/>
      <w:szCs w:val="18"/>
    </w:rPr>
  </w:style>
  <w:style w:type="paragraph" w:styleId="29">
    <w:name w:val="footer"/>
    <w:basedOn w:val="1"/>
    <w:next w:val="30"/>
    <w:link w:val="77"/>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index heading"/>
    <w:basedOn w:val="1"/>
    <w:next w:val="35"/>
    <w:unhideWhenUsed/>
    <w:qFormat/>
    <w:uiPriority w:val="99"/>
    <w:pPr>
      <w:tabs>
        <w:tab w:val="left" w:pos="240"/>
      </w:tabs>
    </w:pPr>
  </w:style>
  <w:style w:type="paragraph" w:styleId="35">
    <w:name w:val="index 1"/>
    <w:basedOn w:val="1"/>
    <w:next w:val="1"/>
    <w:qFormat/>
    <w:uiPriority w:val="0"/>
    <w:pPr>
      <w:spacing w:line="220" w:lineRule="exact"/>
      <w:jc w:val="center"/>
    </w:pPr>
    <w:rPr>
      <w:rFonts w:ascii="仿宋_GB2312" w:hAnsi="Calibri" w:eastAsia="仿宋_GB2312"/>
      <w:szCs w:val="22"/>
    </w:rPr>
  </w:style>
  <w:style w:type="paragraph" w:styleId="36">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80"/>
    <w:qFormat/>
    <w:uiPriority w:val="0"/>
    <w:pPr>
      <w:spacing w:after="120"/>
      <w:ind w:left="420" w:leftChars="200"/>
    </w:pPr>
    <w:rPr>
      <w:sz w:val="16"/>
      <w:szCs w:val="20"/>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Body Text 2"/>
    <w:basedOn w:val="1"/>
    <w:qFormat/>
    <w:uiPriority w:val="0"/>
    <w:pPr>
      <w:widowControl/>
      <w:jc w:val="center"/>
    </w:pPr>
    <w:rPr>
      <w:rFonts w:ascii="楷体_GB2312" w:eastAsia="楷体_GB2312"/>
      <w:sz w:val="28"/>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6"/>
    <w:next w:val="16"/>
    <w:link w:val="82"/>
    <w:qFormat/>
    <w:uiPriority w:val="0"/>
    <w:rPr>
      <w:b/>
      <w:bCs/>
    </w:rPr>
  </w:style>
  <w:style w:type="paragraph" w:styleId="45">
    <w:name w:val="Body Text First Indent 2"/>
    <w:basedOn w:val="19"/>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2"/>
    <w:qFormat/>
    <w:uiPriority w:val="0"/>
    <w:rPr>
      <w:rFonts w:ascii="Times New Roman" w:hAnsi="Times New Roman" w:eastAsia="宋体" w:cs="Times New Roman"/>
      <w:b/>
      <w:bCs/>
      <w:kern w:val="44"/>
      <w:sz w:val="32"/>
      <w:szCs w:val="44"/>
    </w:rPr>
  </w:style>
  <w:style w:type="character" w:customStyle="1" w:styleId="60">
    <w:name w:val="标题 2 字符"/>
    <w:link w:val="3"/>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5"/>
    <w:qFormat/>
    <w:uiPriority w:val="0"/>
    <w:rPr>
      <w:rFonts w:ascii="宋体"/>
      <w:kern w:val="2"/>
      <w:sz w:val="18"/>
      <w:szCs w:val="18"/>
    </w:rPr>
  </w:style>
  <w:style w:type="character" w:customStyle="1" w:styleId="69">
    <w:name w:val="批注文字 字符"/>
    <w:link w:val="16"/>
    <w:qFormat/>
    <w:uiPriority w:val="99"/>
    <w:rPr>
      <w:kern w:val="2"/>
      <w:sz w:val="21"/>
      <w:szCs w:val="24"/>
    </w:rPr>
  </w:style>
  <w:style w:type="character" w:customStyle="1" w:styleId="70">
    <w:name w:val="正文文本 3 字符"/>
    <w:link w:val="17"/>
    <w:qFormat/>
    <w:uiPriority w:val="0"/>
    <w:rPr>
      <w:rFonts w:ascii="宋体"/>
      <w:kern w:val="2"/>
      <w:sz w:val="24"/>
    </w:rPr>
  </w:style>
  <w:style w:type="character" w:customStyle="1" w:styleId="71">
    <w:name w:val="正文文本 字符"/>
    <w:link w:val="18"/>
    <w:qFormat/>
    <w:uiPriority w:val="0"/>
    <w:rPr>
      <w:rFonts w:eastAsia="幼圆"/>
      <w:b/>
      <w:bCs/>
      <w:kern w:val="2"/>
      <w:sz w:val="44"/>
      <w:szCs w:val="24"/>
    </w:rPr>
  </w:style>
  <w:style w:type="character" w:customStyle="1" w:styleId="72">
    <w:name w:val="正文文本缩进 字符"/>
    <w:link w:val="19"/>
    <w:qFormat/>
    <w:uiPriority w:val="0"/>
    <w:rPr>
      <w:kern w:val="2"/>
      <w:sz w:val="21"/>
      <w:szCs w:val="24"/>
    </w:rPr>
  </w:style>
  <w:style w:type="character" w:customStyle="1" w:styleId="73">
    <w:name w:val="纯文本 字符"/>
    <w:link w:val="24"/>
    <w:qFormat/>
    <w:uiPriority w:val="0"/>
    <w:rPr>
      <w:rFonts w:ascii="Ari"/>
      <w:lang w:val="en-US" w:eastAsia="zh-CN" w:bidi="ar-SA"/>
    </w:rPr>
  </w:style>
  <w:style w:type="character" w:customStyle="1" w:styleId="74">
    <w:name w:val="日期 字符"/>
    <w:link w:val="26"/>
    <w:qFormat/>
    <w:uiPriority w:val="0"/>
    <w:rPr>
      <w:kern w:val="2"/>
      <w:sz w:val="21"/>
      <w:szCs w:val="24"/>
    </w:rPr>
  </w:style>
  <w:style w:type="character" w:customStyle="1" w:styleId="75">
    <w:name w:val="正文文本缩进 2 字符"/>
    <w:link w:val="27"/>
    <w:qFormat/>
    <w:uiPriority w:val="99"/>
    <w:rPr>
      <w:rFonts w:ascii="宋体"/>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kern w:val="2"/>
      <w:sz w:val="18"/>
      <w:szCs w:val="18"/>
    </w:rPr>
  </w:style>
  <w:style w:type="character" w:customStyle="1" w:styleId="78">
    <w:name w:val="页眉 字符"/>
    <w:link w:val="31"/>
    <w:qFormat/>
    <w:uiPriority w:val="0"/>
    <w:rPr>
      <w:kern w:val="2"/>
      <w:sz w:val="18"/>
      <w:szCs w:val="18"/>
    </w:rPr>
  </w:style>
  <w:style w:type="character" w:customStyle="1" w:styleId="79">
    <w:name w:val="副标题 字符"/>
    <w:link w:val="36"/>
    <w:qFormat/>
    <w:uiPriority w:val="0"/>
    <w:rPr>
      <w:rFonts w:ascii="Cambria" w:hAnsi="Cambria"/>
      <w:b/>
      <w:bCs/>
      <w:kern w:val="28"/>
      <w:sz w:val="32"/>
      <w:szCs w:val="32"/>
    </w:rPr>
  </w:style>
  <w:style w:type="character" w:customStyle="1" w:styleId="80">
    <w:name w:val="正文文本缩进 3 字符"/>
    <w:link w:val="38"/>
    <w:qFormat/>
    <w:uiPriority w:val="0"/>
    <w:rPr>
      <w:kern w:val="2"/>
      <w:sz w:val="16"/>
    </w:rPr>
  </w:style>
  <w:style w:type="character" w:customStyle="1" w:styleId="81">
    <w:name w:val="标题 字符"/>
    <w:link w:val="43"/>
    <w:qFormat/>
    <w:uiPriority w:val="0"/>
    <w:rPr>
      <w:rFonts w:ascii="Arial" w:hAnsi="Arial"/>
      <w:b/>
      <w:sz w:val="32"/>
    </w:rPr>
  </w:style>
  <w:style w:type="character" w:customStyle="1" w:styleId="82">
    <w:name w:val="批注主题 字符"/>
    <w:link w:val="44"/>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6"/>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8"/>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8"/>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8"/>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8"/>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3"/>
    <w:next w:val="21"/>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8"/>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2"/>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3"/>
    <w:next w:val="18"/>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59</Pages>
  <Words>19493</Words>
  <Characters>20484</Characters>
  <Lines>235</Lines>
  <Paragraphs>66</Paragraphs>
  <TotalTime>5</TotalTime>
  <ScaleCrop>false</ScaleCrop>
  <LinksUpToDate>false</LinksUpToDate>
  <CharactersWithSpaces>20578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cp:lastModifiedBy>
  <dcterms:modified xsi:type="dcterms:W3CDTF">2026-11-02T11:39:32Z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81AB589CD6384E088D870A506B4A61B6_13</vt:lpwstr>
  </property>
  <property fmtid="{D5CDD505-2E9C-101B-9397-08002B2CF9AE}" pid="4" name="KSOTemplateDocerSaveRecord">
    <vt:lpwstr>eyJoZGlkIjoiNjNhMTcxM2JjY2MyMmMyOTY0M2I3NDgwZDg2YjRlZDgiLCJ1c2VySWQiOiI2NjYwMzMwNDQifQ==</vt:lpwstr>
  </property>
</Properties>
</file>