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3"/>
        <w:ind w:firstLine="0"/>
        <w:jc w:val="center"/>
        <w:rPr>
          <w:rFonts w:hint="eastAsia" w:eastAsia="黑体"/>
          <w:b/>
          <w:bCs/>
          <w:sz w:val="84"/>
        </w:rPr>
      </w:pPr>
      <w:r>
        <w:rPr>
          <w:rFonts w:hint="eastAsia" w:eastAsia="黑体"/>
          <w:b/>
          <w:bCs/>
          <w:sz w:val="84"/>
        </w:rPr>
        <w:t xml:space="preserve">竞争性磋商文件</w:t>
      </w:r>
      <w:r/>
    </w:p>
    <w:p>
      <w:pPr>
        <w:pStyle w:val="860"/>
        <w:ind w:firstLine="1606"/>
        <w:rPr>
          <w:rFonts w:hint="eastAsia" w:ascii="Arial" w:hAnsi="Arial"/>
          <w:b/>
          <w:bCs/>
          <w:sz w:val="32"/>
          <w:szCs w:val="24"/>
          <w:u w:val="single"/>
        </w:rPr>
      </w:pPr>
      <w:r>
        <w:rPr>
          <w:rFonts w:hint="eastAsia" w:ascii="Arial" w:hAnsi="Arial"/>
          <w:b/>
          <w:bCs/>
          <w:sz w:val="32"/>
          <w:szCs w:val="24"/>
        </w:rPr>
        <w:t xml:space="preserve">项目名称：</w:t>
      </w:r>
      <w:r>
        <w:rPr>
          <w:b/>
          <w:sz w:val="32"/>
          <w:szCs w:val="32"/>
        </w:rPr>
        <w:t xml:space="preserve">南京市CIM空间底座建设（一期）</w:t>
      </w:r>
      <w:r>
        <w:rPr>
          <w:rFonts w:hint="eastAsia"/>
          <w:b/>
          <w:sz w:val="32"/>
          <w:szCs w:val="32"/>
        </w:rPr>
        <w:t xml:space="preserve"> </w:t>
      </w:r>
      <w:r>
        <w:rPr>
          <w:rFonts w:hint="eastAsia" w:ascii="Arial" w:hAnsi="Arial"/>
          <w:b/>
          <w:bCs/>
          <w:sz w:val="32"/>
          <w:szCs w:val="24"/>
          <w:u w:val="single"/>
        </w:rPr>
      </w:r>
      <w:r/>
    </w:p>
    <w:p>
      <w:pPr>
        <w:pStyle w:val="860"/>
        <w:ind w:firstLine="1606"/>
        <w:jc w:val="left"/>
        <w:spacing w:before="120" w:after="120" w:line="360" w:lineRule="auto"/>
      </w:pPr>
      <w:r>
        <w:rPr>
          <w:rFonts w:hint="eastAsia" w:ascii="Arial" w:hAnsi="Arial"/>
          <w:b/>
          <w:bCs/>
          <w:sz w:val="32"/>
          <w:szCs w:val="24"/>
        </w:rPr>
        <w:t xml:space="preserve">项目编号：</w:t>
      </w:r>
      <w:r>
        <w:rPr>
          <w:b/>
          <w:sz w:val="32"/>
          <w:szCs w:val="32"/>
        </w:rPr>
        <w:t xml:space="preserve">JSZC-320100-JZCG-C2026-0394</w:t>
      </w:r>
      <w:r/>
    </w:p>
    <w:p>
      <w:pPr>
        <w:pStyle w:val="860"/>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953"/>
        <w:ind w:firstLine="0"/>
        <w:jc w:val="center"/>
        <w:rPr>
          <w:rFonts w:hint="eastAsia"/>
          <w:b/>
          <w:bCs/>
          <w:sz w:val="32"/>
        </w:rPr>
      </w:pPr>
      <w:r>
        <w:rPr>
          <w:rFonts w:hint="eastAsia"/>
          <w:b/>
          <w:bCs/>
          <w:sz w:val="32"/>
        </w:rPr>
        <w:t xml:space="preserve">南京市公共资源交易中心</w:t>
      </w:r>
      <w:r/>
    </w:p>
    <w:p>
      <w:pPr>
        <w:pStyle w:val="860"/>
        <w:jc w:val="center"/>
        <w:rPr>
          <w:rFonts w:hint="eastAsia"/>
          <w:b/>
          <w:sz w:val="32"/>
          <w:szCs w:val="32"/>
        </w:rPr>
      </w:pPr>
      <w:r>
        <w:rPr>
          <w:rFonts w:hint="eastAsia"/>
          <w:b/>
          <w:sz w:val="32"/>
          <w:szCs w:val="32"/>
        </w:rPr>
        <w:t xml:space="preserve">2026年10月</w:t>
      </w:r>
      <w:r/>
    </w:p>
    <w:p>
      <w:pPr>
        <w:pStyle w:val="860"/>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0"/>
        <w:jc w:val="center"/>
        <w:spacing w:before="120" w:after="120" w:line="360" w:lineRule="auto"/>
        <w:rPr>
          <w:rFonts w:hint="eastAsia" w:ascii="Arial" w:hAnsi="Arial"/>
          <w:sz w:val="24"/>
          <w:szCs w:val="24"/>
        </w:rPr>
      </w:pPr>
      <w:r>
        <w:rPr>
          <w:rFonts w:hint="eastAsia" w:ascii="Arial" w:hAnsi="Arial"/>
          <w:sz w:val="24"/>
          <w:szCs w:val="24"/>
        </w:rPr>
      </w:r>
      <w:r/>
    </w:p>
    <w:p>
      <w:pPr>
        <w:pStyle w:val="860"/>
        <w:spacing w:line="480" w:lineRule="exact"/>
        <w:rPr>
          <w:rFonts w:hint="eastAsia" w:ascii="宋体" w:hAnsi="宋体" w:cs="宋体"/>
          <w:b/>
          <w:bCs/>
          <w:sz w:val="24"/>
          <w:szCs w:val="24"/>
        </w:rPr>
        <w:outlineLvl w:val="0"/>
      </w:pPr>
      <w:r>
        <w:rPr>
          <w:rFonts w:hint="eastAsia" w:ascii="宋体" w:hAnsi="宋体" w:cs="宋体"/>
          <w:b/>
          <w:bCs/>
          <w:sz w:val="24"/>
          <w:szCs w:val="24"/>
        </w:rPr>
      </w:r>
      <w:r/>
    </w:p>
    <w:p>
      <w:pPr>
        <w:pStyle w:val="860"/>
        <w:spacing w:line="480" w:lineRule="exact"/>
        <w:rPr>
          <w:rFonts w:ascii="宋体" w:hAnsi="宋体" w:cs="宋体"/>
          <w:b/>
          <w:bCs/>
          <w:sz w:val="24"/>
          <w:szCs w:val="24"/>
        </w:rPr>
      </w:pPr>
      <w:r>
        <w:rPr>
          <w:rFonts w:ascii="宋体" w:hAnsi="宋体" w:cs="宋体"/>
          <w:b/>
          <w:bCs/>
          <w:sz w:val="24"/>
          <w:szCs w:val="24"/>
        </w:rPr>
      </w:r>
      <w:r/>
    </w:p>
    <w:p>
      <w:pPr>
        <w:pStyle w:val="933"/>
      </w:pPr>
      <w:r/>
      <w:r/>
    </w:p>
    <w:p>
      <w:pPr>
        <w:pStyle w:val="933"/>
      </w:pPr>
      <w:r/>
      <w:r/>
    </w:p>
    <w:p>
      <w:pPr>
        <w:pStyle w:val="933"/>
      </w:pPr>
      <w:r/>
      <w:r/>
    </w:p>
    <w:p>
      <w:pPr>
        <w:pStyle w:val="933"/>
      </w:pPr>
      <w:r/>
      <w:r/>
    </w:p>
    <w:p>
      <w:pPr>
        <w:pStyle w:val="860"/>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rPr>
          <w:rFonts w:hint="eastAsia" w:ascii="黑体" w:hAnsi="Arial" w:eastAsia="黑体"/>
          <w:b/>
          <w:sz w:val="44"/>
          <w:szCs w:val="21"/>
        </w:rPr>
      </w:r>
      <w:r/>
    </w:p>
    <w:p>
      <w:pPr>
        <w:pStyle w:val="860"/>
        <w:spacing w:line="480" w:lineRule="auto"/>
        <w:rPr>
          <w:rFonts w:hint="eastAsia" w:ascii="仿宋_GB2312" w:hAnsi="Arial" w:eastAsia="仿宋_GB2312"/>
          <w:b/>
          <w:sz w:val="28"/>
          <w:szCs w:val="21"/>
        </w:rPr>
      </w:pPr>
      <w:r/>
      <w:bookmarkStart w:id="0" w:name="_Toc20823272"/>
      <w:r/>
      <w:bookmarkStart w:id="1" w:name="_Toc16938516"/>
      <w:r/>
      <w:bookmarkStart w:id="2" w:name="_Toc513029200"/>
      <w:r/>
      <w:bookmarkStart w:id="3" w:name="_Toc523127445"/>
      <w:r/>
      <w:bookmarkStart w:id="4" w:name="_Toc120614210"/>
      <w:r/>
      <w:bookmarkStart w:id="5" w:name="_Toc479757206"/>
      <w:r>
        <w:rPr>
          <w:rFonts w:hint="eastAsia" w:ascii="仿宋_GB2312" w:hAnsi="Arial" w:eastAsia="仿宋_GB2312"/>
          <w:b/>
          <w:sz w:val="28"/>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磋商邀请…………………………………… </w:t>
      </w:r>
      <w:r>
        <w:rPr>
          <w:rFonts w:hint="eastAsia" w:ascii="黑体" w:hAnsi="宋体" w:eastAsia="黑体"/>
          <w:sz w:val="36"/>
          <w:szCs w:val="21"/>
        </w:rPr>
        <w:t xml:space="preserve">3</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供应商须知………………………………… </w:t>
      </w:r>
      <w:r>
        <w:rPr>
          <w:rFonts w:hint="eastAsia" w:ascii="黑体" w:hAnsi="宋体" w:eastAsia="黑体"/>
          <w:sz w:val="36"/>
          <w:szCs w:val="21"/>
        </w:rPr>
        <w:t xml:space="preserve">5</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w:t>
      </w:r>
      <w:r>
        <w:rPr>
          <w:rFonts w:hint="eastAsia" w:ascii="黑体" w:hAnsi="宋体" w:eastAsia="黑体"/>
          <w:sz w:val="36"/>
          <w:szCs w:val="21"/>
        </w:rPr>
        <w:t xml:space="preserve">15</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w:t>
      </w:r>
      <w:r>
        <w:rPr>
          <w:rFonts w:hint="eastAsia" w:ascii="黑体" w:hAnsi="宋体" w:eastAsia="黑体"/>
          <w:sz w:val="36"/>
          <w:szCs w:val="21"/>
        </w:rPr>
        <w:t xml:space="preserve">19</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评审方法与评审标准………………………</w:t>
      </w:r>
      <w:r>
        <w:rPr>
          <w:rFonts w:hint="eastAsia" w:ascii="黑体" w:hAnsi="宋体" w:eastAsia="黑体"/>
          <w:sz w:val="36"/>
          <w:szCs w:val="21"/>
        </w:rPr>
        <w:t xml:space="preserve">27</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响应文件格式………………………………31</w:t>
      </w:r>
      <w:r>
        <w:rPr>
          <w:rFonts w:hint="eastAsia" w:ascii="黑体" w:hAnsi="宋体" w:eastAsia="黑体"/>
          <w:sz w:val="36"/>
          <w:szCs w:val="21"/>
        </w:rPr>
      </w:r>
      <w:r/>
    </w:p>
    <w:p>
      <w:pPr>
        <w:pStyle w:val="860"/>
        <w:rPr>
          <w:rFonts w:hint="eastAsia"/>
          <w:szCs w:val="21"/>
        </w:rPr>
      </w:pPr>
      <w:r>
        <w:rPr>
          <w:rFonts w:hint="eastAsia"/>
          <w:szCs w:val="21"/>
        </w:rPr>
      </w:r>
      <w:r/>
    </w:p>
    <w:p>
      <w:pPr>
        <w:pStyle w:val="860"/>
        <w:rPr>
          <w:rFonts w:hint="eastAsia"/>
          <w:szCs w:val="21"/>
        </w:rPr>
      </w:pPr>
      <w:r>
        <w:rPr>
          <w:rFonts w:hint="eastAsia"/>
          <w:szCs w:val="21"/>
        </w:rPr>
      </w:r>
      <w:r/>
    </w:p>
    <w:p>
      <w:pPr>
        <w:pStyle w:val="860"/>
        <w:rPr>
          <w:rFonts w:hint="eastAsia"/>
          <w:szCs w:val="21"/>
        </w:rPr>
      </w:pPr>
      <w:r>
        <w:rPr>
          <w:rFonts w:hint="eastAsia"/>
          <w:szCs w:val="21"/>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磋商邀请</w:t>
      </w:r>
      <w:r/>
    </w:p>
    <w:p>
      <w:pPr>
        <w:pStyle w:val="86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p>
    <w:p>
      <w:pPr>
        <w:pStyle w:val="860"/>
        <w:ind w:firstLine="480"/>
        <w:spacing w:line="264" w:lineRule="auto"/>
        <w:rPr>
          <w:rFonts w:ascii="宋体" w:hAnsi="宋体"/>
          <w:sz w:val="24"/>
          <w:szCs w:val="24"/>
        </w:rPr>
      </w:pPr>
      <w:r>
        <w:rPr>
          <w:rFonts w:hint="eastAsia" w:ascii="宋体" w:hAnsi="宋体"/>
          <w:sz w:val="24"/>
          <w:szCs w:val="24"/>
        </w:rPr>
        <w:t xml:space="preserve">1.项目编号：</w:t>
      </w:r>
      <w:r>
        <w:rPr>
          <w:rFonts w:ascii="宋体" w:hAnsi="宋体"/>
          <w:b/>
          <w:sz w:val="24"/>
          <w:szCs w:val="24"/>
        </w:rPr>
        <w:t xml:space="preserve">JSZC-320100-JZCG-C2026-0394</w:t>
      </w:r>
      <w:r>
        <w:rPr>
          <w:rFonts w:ascii="宋体" w:hAnsi="宋体"/>
          <w:sz w:val="24"/>
          <w:szCs w:val="24"/>
        </w:rPr>
      </w:r>
      <w:r/>
    </w:p>
    <w:p>
      <w:pPr>
        <w:pStyle w:val="860"/>
        <w:ind w:firstLine="480"/>
        <w:spacing w:line="264" w:lineRule="auto"/>
        <w:rPr>
          <w:rFonts w:hint="eastAsia" w:ascii="宋体" w:hAnsi="宋体"/>
          <w:sz w:val="24"/>
          <w:szCs w:val="24"/>
        </w:rPr>
      </w:pPr>
      <w:r>
        <w:rPr>
          <w:rFonts w:hint="eastAsia" w:ascii="宋体" w:hAnsi="宋体"/>
          <w:sz w:val="24"/>
          <w:szCs w:val="24"/>
        </w:rPr>
        <w:t xml:space="preserve">2.项目名称：</w:t>
      </w:r>
      <w:r>
        <w:rPr>
          <w:rFonts w:ascii="宋体" w:hAnsi="宋体"/>
          <w:b/>
          <w:sz w:val="24"/>
          <w:szCs w:val="24"/>
        </w:rPr>
        <w:t xml:space="preserve">南京市CIM空间底座建设（一期）</w:t>
      </w:r>
      <w:r>
        <w:rPr>
          <w:rFonts w:hint="eastAsia" w:ascii="宋体" w:hAnsi="宋体"/>
          <w:sz w:val="24"/>
          <w:szCs w:val="24"/>
        </w:rPr>
      </w:r>
      <w:r/>
    </w:p>
    <w:p>
      <w:pPr>
        <w:pStyle w:val="860"/>
        <w:ind w:firstLine="480"/>
        <w:spacing w:line="264" w:lineRule="auto"/>
        <w:rPr>
          <w:rFonts w:hint="eastAsia" w:ascii="宋体" w:hAnsi="宋体" w:cs="宋体"/>
          <w:sz w:val="24"/>
          <w:szCs w:val="24"/>
        </w:rPr>
      </w:pPr>
      <w:r>
        <w:rPr>
          <w:rFonts w:hint="eastAsia" w:ascii="宋体" w:hAnsi="宋体"/>
          <w:sz w:val="24"/>
          <w:szCs w:val="24"/>
        </w:rPr>
        <w:t xml:space="preserve">3.预算金额：</w:t>
      </w:r>
      <w:bookmarkStart w:id="6" w:name="OLE_LINK3"/>
      <w:r>
        <w:rPr>
          <w:rFonts w:hint="eastAsia" w:ascii="宋体" w:hAnsi="宋体" w:cs="宋体"/>
          <w:sz w:val="24"/>
          <w:szCs w:val="24"/>
        </w:rPr>
        <w:t xml:space="preserve">243.69万元</w:t>
      </w:r>
      <w:bookmarkEnd w:id="6"/>
      <w:r>
        <w:rPr>
          <w:rFonts w:hint="eastAsia" w:ascii="宋体" w:hAnsi="宋体" w:cs="宋体"/>
          <w:sz w:val="24"/>
          <w:szCs w:val="24"/>
        </w:rPr>
      </w:r>
      <w:r/>
    </w:p>
    <w:p>
      <w:pPr>
        <w:pStyle w:val="860"/>
        <w:ind w:firstLine="480"/>
        <w:spacing w:line="264" w:lineRule="auto"/>
        <w:rPr>
          <w:rFonts w:hint="eastAsia" w:ascii="宋体" w:hAnsi="宋体"/>
          <w:sz w:val="24"/>
          <w:szCs w:val="24"/>
        </w:rPr>
      </w:pPr>
      <w:r>
        <w:rPr>
          <w:rFonts w:hint="eastAsia" w:ascii="宋体" w:hAnsi="宋体"/>
          <w:sz w:val="24"/>
          <w:szCs w:val="24"/>
        </w:rPr>
        <w:t xml:space="preserve">4.最高限价：</w:t>
      </w:r>
      <w:r>
        <w:rPr>
          <w:rFonts w:hint="eastAsia" w:ascii="宋体" w:hAnsi="宋体" w:cs="宋体"/>
          <w:sz w:val="24"/>
          <w:szCs w:val="24"/>
        </w:rPr>
        <w:t xml:space="preserve">243.69万元</w:t>
      </w:r>
      <w:r>
        <w:rPr>
          <w:rFonts w:hint="eastAsia" w:ascii="宋体" w:hAnsi="宋体"/>
          <w:sz w:val="24"/>
          <w:szCs w:val="24"/>
        </w:rPr>
      </w:r>
      <w:r/>
    </w:p>
    <w:p>
      <w:pPr>
        <w:pStyle w:val="860"/>
        <w:ind w:firstLine="480"/>
        <w:spacing w:line="264" w:lineRule="auto"/>
        <w:rPr>
          <w:rFonts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为进一步提升</w:t>
      </w:r>
      <w:r>
        <w:rPr>
          <w:rFonts w:hint="eastAsia" w:ascii="宋体" w:hAnsi="宋体"/>
          <w:sz w:val="24"/>
          <w:szCs w:val="24"/>
        </w:rPr>
        <w:t xml:space="preserve">南京</w:t>
      </w:r>
      <w:r>
        <w:rPr>
          <w:rFonts w:ascii="宋体" w:hAnsi="宋体"/>
          <w:sz w:val="24"/>
          <w:szCs w:val="24"/>
        </w:rPr>
        <w:t xml:space="preserve">市城市精细化治理水平，强化南京市城市信息模型（CIM）平台支撑能力，开展涵盖数据底板、地理空间“一本账”、业务应用中心、空间智能中心等核心建设内容，形成覆盖全市的“数据-平台-应用”一体化数字孪</w:t>
      </w:r>
      <w:r>
        <w:rPr>
          <w:rFonts w:ascii="宋体" w:hAnsi="宋体"/>
          <w:sz w:val="24"/>
          <w:szCs w:val="24"/>
        </w:rPr>
        <w:t xml:space="preserve">生底座，支撑跨部门、跨层级城市治理与智能化应用。</w:t>
      </w:r>
      <w:r>
        <w:rPr>
          <w:rFonts w:hint="eastAsia" w:ascii="宋体" w:hAnsi="宋体" w:cs="宋体"/>
          <w:sz w:val="24"/>
          <w:szCs w:val="24"/>
        </w:rPr>
        <w:t xml:space="preserve">（详细内容见本磋商文件第四章） </w:t>
      </w:r>
      <w:r>
        <w:rPr>
          <w:rFonts w:ascii="宋体" w:hAnsi="宋体"/>
          <w:sz w:val="24"/>
          <w:szCs w:val="24"/>
          <w:u w:val="single"/>
        </w:rPr>
      </w:r>
      <w:r/>
    </w:p>
    <w:p>
      <w:pPr>
        <w:pStyle w:val="860"/>
        <w:ind w:firstLine="480"/>
        <w:spacing w:line="264" w:lineRule="auto"/>
        <w:rPr>
          <w:rFonts w:hint="eastAsia" w:ascii="宋体" w:hAnsi="宋体" w:cs="宋体"/>
          <w:sz w:val="24"/>
          <w:szCs w:val="24"/>
        </w:rPr>
      </w:pPr>
      <w:r>
        <w:rPr>
          <w:rFonts w:hint="eastAsia" w:ascii="宋体" w:hAnsi="宋体"/>
          <w:sz w:val="24"/>
          <w:szCs w:val="24"/>
        </w:rPr>
        <w:t xml:space="preserve">6.合同履行期限：</w:t>
      </w:r>
      <w:r>
        <w:rPr>
          <w:rFonts w:ascii="宋体" w:hAnsi="宋体" w:cs="宋体"/>
          <w:sz w:val="24"/>
          <w:szCs w:val="24"/>
        </w:rPr>
        <w:t xml:space="preserve">合同签订后1年内完成（维保时间为验收合格后2年）</w:t>
      </w:r>
      <w:r>
        <w:rPr>
          <w:rFonts w:hint="eastAsia" w:ascii="宋体" w:hAnsi="宋体" w:cs="宋体"/>
          <w:sz w:val="24"/>
          <w:szCs w:val="24"/>
        </w:rPr>
      </w:r>
      <w:r/>
    </w:p>
    <w:p>
      <w:pPr>
        <w:pStyle w:val="860"/>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联合体参加磋商。</w:t>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8.本项目</w:t>
      </w:r>
      <w:r>
        <w:rPr>
          <w:rFonts w:hint="eastAsia" w:ascii="宋体" w:hAnsi="宋体" w:cs="宋体"/>
          <w:sz w:val="24"/>
          <w:szCs w:val="24"/>
        </w:rPr>
        <w:t xml:space="preserve">不接受</w:t>
      </w:r>
      <w:r>
        <w:rPr>
          <w:rFonts w:hint="eastAsia" w:ascii="宋体" w:hAnsi="宋体" w:cs="宋体"/>
          <w:sz w:val="24"/>
          <w:szCs w:val="24"/>
        </w:rPr>
        <w:t xml:space="preserve">进口产品。</w:t>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9.本项目不允许分包。</w:t>
      </w:r>
      <w:r/>
    </w:p>
    <w:p>
      <w:pPr>
        <w:pStyle w:val="863"/>
        <w:ind w:firstLine="465"/>
        <w:spacing w:before="145" w:after="145"/>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r/>
    </w:p>
    <w:p>
      <w:pPr>
        <w:pStyle w:val="860"/>
        <w:ind w:firstLine="480"/>
        <w:spacing w:line="252" w:lineRule="auto"/>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0"/>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pStyle w:val="860"/>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2.未被“信用中国”网站列入失信被执行人、重大税收违法失信主体名单、政府采购严重违法失信行为记录名单。（资格审查环节查询，响应文件中无需提供证明材料）</w:t>
      </w:r>
      <w:r/>
    </w:p>
    <w:p>
      <w:pPr>
        <w:pStyle w:val="860"/>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w:t>
      </w:r>
      <w:r>
        <w:rPr>
          <w:rFonts w:hint="eastAsia" w:ascii="宋体" w:hAnsi="宋体"/>
          <w:sz w:val="24"/>
          <w:szCs w:val="24"/>
          <w:lang w:val="zh-CN"/>
        </w:rPr>
        <w:t xml:space="preserve">无。</w:t>
      </w:r>
      <w:r/>
    </w:p>
    <w:p>
      <w:pPr>
        <w:pStyle w:val="860"/>
        <w:ind w:firstLine="480"/>
        <w:rPr>
          <w:rFonts w:hint="eastAsia" w:ascii="宋体" w:hAnsi="宋体"/>
          <w:sz w:val="24"/>
          <w:szCs w:val="24"/>
        </w:rPr>
      </w:pPr>
      <w:r>
        <w:rPr>
          <w:rFonts w:hint="eastAsia" w:ascii="宋体" w:hAnsi="宋体"/>
          <w:sz w:val="24"/>
          <w:szCs w:val="24"/>
        </w:rPr>
        <w:t xml:space="preserve">（三）本项目的特定资格要求：</w:t>
      </w:r>
      <w:r>
        <w:rPr>
          <w:rFonts w:hint="eastAsia" w:ascii="宋体" w:hAnsi="宋体"/>
          <w:sz w:val="24"/>
          <w:szCs w:val="24"/>
          <w:lang w:val="zh-CN"/>
        </w:rPr>
        <w:t xml:space="preserve">无。</w:t>
      </w:r>
      <w:r>
        <w:rPr>
          <w:rFonts w:hint="eastAsia" w:ascii="宋体" w:hAnsi="宋体"/>
          <w:sz w:val="24"/>
          <w:szCs w:val="24"/>
        </w:rPr>
      </w:r>
      <w:r/>
    </w:p>
    <w:p>
      <w:pPr>
        <w:pStyle w:val="86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三、获取磋商文件</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1.时间：自磋商文件公告发布之日起。</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2.方式：在“江苏政府采购网”免费下载。</w:t>
      </w:r>
      <w:r/>
    </w:p>
    <w:p>
      <w:pPr>
        <w:pStyle w:val="86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p>
    <w:p>
      <w:pPr>
        <w:pStyle w:val="860"/>
        <w:ind w:firstLine="372"/>
        <w:spacing w:before="145" w:after="145" w:line="264" w:lineRule="auto"/>
        <w:rPr>
          <w:rFonts w:hint="eastAsia" w:ascii="宋体" w:hAnsi="宋体"/>
          <w:sz w:val="24"/>
          <w:szCs w:val="24"/>
        </w:rPr>
      </w:pPr>
      <w:r>
        <w:rPr>
          <w:rFonts w:hint="eastAsia" w:ascii="宋体" w:hAnsi="宋体" w:cs="宋体"/>
          <w:sz w:val="24"/>
          <w:szCs w:val="24"/>
        </w:rPr>
        <w:t xml:space="preserve"> 20</w:t>
      </w:r>
      <w:r>
        <w:rPr>
          <w:rFonts w:hint="eastAsia" w:ascii="宋体" w:hAnsi="宋体" w:cs="宋体"/>
          <w:sz w:val="24"/>
          <w:szCs w:val="24"/>
        </w:rPr>
        <w:t xml:space="preserve">26</w:t>
      </w:r>
      <w:r>
        <w:rPr>
          <w:rFonts w:hint="eastAsia" w:ascii="宋体" w:hAnsi="宋体"/>
          <w:sz w:val="24"/>
          <w:szCs w:val="24"/>
        </w:rPr>
        <w:t xml:space="preserve">年11</w:t>
      </w:r>
      <w:r>
        <w:rPr>
          <w:rFonts w:hint="eastAsia" w:ascii="宋体" w:hAnsi="宋体"/>
          <w:sz w:val="24"/>
          <w:szCs w:val="24"/>
        </w:rPr>
        <w:t xml:space="preserve">月3</w:t>
      </w:r>
      <w:r>
        <w:rPr>
          <w:rFonts w:hint="eastAsia" w:ascii="宋体" w:hAnsi="宋体"/>
          <w:sz w:val="24"/>
          <w:szCs w:val="24"/>
        </w:rPr>
        <w:t xml:space="preserve">日</w:t>
      </w:r>
      <w:r>
        <w:rPr>
          <w:rFonts w:hint="eastAsia" w:ascii="宋体" w:hAnsi="宋体" w:cs="宋体"/>
          <w:sz w:val="24"/>
          <w:szCs w:val="24"/>
        </w:rPr>
        <w:t xml:space="preserve">9</w:t>
      </w:r>
      <w:r>
        <w:rPr>
          <w:rFonts w:hint="eastAsia"/>
          <w:sz w:val="24"/>
          <w:szCs w:val="24"/>
        </w:rPr>
        <w:t xml:space="preserve">时30</w:t>
      </w:r>
      <w:r>
        <w:rPr>
          <w:rFonts w:hint="eastAsia" w:ascii="宋体" w:hAnsi="宋体"/>
          <w:sz w:val="24"/>
          <w:szCs w:val="24"/>
        </w:rPr>
        <w:t xml:space="preserve">分</w:t>
      </w:r>
      <w:r>
        <w:rPr>
          <w:rFonts w:hint="eastAsia" w:ascii="宋体" w:hAnsi="宋体"/>
          <w:sz w:val="24"/>
          <w:szCs w:val="24"/>
        </w:rPr>
        <w:t xml:space="preserve">（北京时间）。</w:t>
      </w:r>
      <w:r/>
    </w:p>
    <w:p>
      <w:pPr>
        <w:pStyle w:val="86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6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1.本次磋商不收取磋商保证金。</w:t>
      </w:r>
      <w:r/>
    </w:p>
    <w:p>
      <w:pPr>
        <w:pStyle w:val="860"/>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，供应商如对采购需求有疑问，请咨询采购人。 </w:t>
      </w:r>
      <w:r/>
    </w:p>
    <w:p>
      <w:pPr>
        <w:pStyle w:val="860"/>
        <w:ind w:firstLine="480"/>
        <w:spacing w:line="264" w:lineRule="auto"/>
      </w:pPr>
      <w:r>
        <w:rPr>
          <w:rFonts w:hint="eastAsia" w:ascii="宋体" w:hAnsi="宋体" w:cs="宋体"/>
          <w:sz w:val="24"/>
          <w:szCs w:val="24"/>
        </w:rPr>
        <w:t xml:space="preserve">3.供应商通过苏采云系统参与政府采购项目（苏采云系统登录页详见“江苏政府采</w:t>
      </w:r>
      <w:r>
        <w:rPr>
          <w:rFonts w:hint="eastAsia" w:ascii="宋体" w:hAnsi="宋体" w:cs="宋体"/>
          <w:sz w:val="24"/>
          <w:szCs w:val="24"/>
        </w:rPr>
        <w:t xml:space="preserve">购网”首页底部），需要办理江苏省政府采购数字证书及电子签章（详见苏采云系统登录页“CA办理指南”），进行苏采云系统注册并制作上传电子响应文件（具体操作指南详见“江苏政府采购网-办事指南-资料下载”）。</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pStyle w:val="860"/>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对采购方式、采购需求、供应商资格</w:t>
      </w:r>
      <w:r>
        <w:rPr>
          <w:rFonts w:hint="eastAsia" w:ascii="宋体" w:hAnsi="宋体"/>
          <w:b/>
          <w:bCs/>
          <w:sz w:val="24"/>
        </w:rPr>
        <w:t xml:space="preserve">要求</w:t>
      </w:r>
      <w:r>
        <w:rPr>
          <w:rFonts w:hint="eastAsia" w:ascii="宋体" w:hAnsi="宋体"/>
          <w:b/>
          <w:bCs/>
          <w:sz w:val="24"/>
          <w:lang w:val="zh-CN"/>
        </w:rPr>
        <w:t xml:space="preserve">、评</w:t>
      </w:r>
      <w:r>
        <w:rPr>
          <w:rFonts w:hint="eastAsia" w:ascii="宋体" w:hAnsi="宋体"/>
          <w:b/>
          <w:bCs/>
          <w:sz w:val="24"/>
        </w:rPr>
        <w:t xml:space="preserve">审</w:t>
      </w:r>
      <w:r>
        <w:rPr>
          <w:rFonts w:hint="eastAsia" w:ascii="宋体" w:hAnsi="宋体"/>
          <w:b/>
          <w:bCs/>
          <w:sz w:val="24"/>
          <w:lang w:val="zh-CN"/>
        </w:rPr>
        <w:t xml:space="preserve">方法和评</w:t>
      </w:r>
      <w:r>
        <w:rPr>
          <w:rFonts w:hint="eastAsia" w:ascii="宋体" w:hAnsi="宋体"/>
          <w:b/>
          <w:bCs/>
          <w:sz w:val="24"/>
        </w:rPr>
        <w:t xml:space="preserve">审</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860"/>
        <w:ind w:firstLine="480"/>
        <w:spacing w:line="252" w:lineRule="auto"/>
        <w:rPr>
          <w:rFonts w:ascii="宋体" w:hAnsi="宋体"/>
          <w:sz w:val="24"/>
        </w:rPr>
      </w:pPr>
      <w:r>
        <w:rPr>
          <w:rFonts w:hint="eastAsia" w:ascii="宋体" w:hAnsi="宋体"/>
          <w:sz w:val="24"/>
        </w:rPr>
        <w:t xml:space="preserve">采购</w:t>
      </w:r>
      <w:r>
        <w:rPr>
          <w:rFonts w:hint="eastAsia" w:ascii="宋体" w:hAnsi="宋体"/>
          <w:sz w:val="24"/>
        </w:rPr>
        <w:t xml:space="preserve">人《质疑函》收件人：</w:t>
      </w:r>
      <w:r>
        <w:rPr>
          <w:rFonts w:ascii="宋体" w:hAnsi="宋体"/>
          <w:sz w:val="24"/>
        </w:rPr>
        <w:t xml:space="preserve">杨</w:t>
      </w:r>
      <w:r>
        <w:rPr>
          <w:rFonts w:hint="eastAsia" w:ascii="宋体" w:hAnsi="宋体"/>
          <w:sz w:val="24"/>
        </w:rPr>
        <w:t xml:space="preserve">老师，收件地址：</w:t>
      </w:r>
      <w:r>
        <w:rPr>
          <w:rFonts w:ascii="宋体" w:hAnsi="宋体" w:cs="宋体"/>
          <w:sz w:val="24"/>
          <w:szCs w:val="24"/>
        </w:rPr>
        <w:t xml:space="preserve">南京市建邺区江东中路265号新城大厦D座</w:t>
      </w:r>
      <w:r>
        <w:rPr>
          <w:rFonts w:hint="eastAsia" w:ascii="宋体" w:hAnsi="宋体" w:cs="宋体"/>
          <w:sz w:val="24"/>
          <w:szCs w:val="24"/>
        </w:rPr>
        <w:t xml:space="preserve">，</w:t>
      </w:r>
      <w:r>
        <w:rPr>
          <w:rFonts w:hint="eastAsia" w:ascii="宋体" w:hAnsi="宋体"/>
          <w:sz w:val="24"/>
        </w:rPr>
        <w:t xml:space="preserve">联系电话：</w:t>
      </w:r>
      <w:r>
        <w:rPr>
          <w:rFonts w:ascii="宋体" w:hAnsi="宋体"/>
          <w:sz w:val="24"/>
        </w:rPr>
        <w:t xml:space="preserve">025-68789502</w:t>
      </w:r>
      <w:r>
        <w:rPr>
          <w:rFonts w:hint="eastAsia" w:ascii="宋体" w:hAnsi="宋体"/>
          <w:sz w:val="24"/>
        </w:rPr>
        <w:t xml:space="preserve">。</w:t>
      </w:r>
      <w:r>
        <w:rPr>
          <w:rFonts w:ascii="宋体" w:hAnsi="宋体"/>
          <w:sz w:val="24"/>
        </w:rPr>
      </w:r>
      <w:r/>
    </w:p>
    <w:p>
      <w:pPr>
        <w:pStyle w:val="860"/>
        <w:ind w:firstLine="480"/>
        <w:spacing w:line="252" w:lineRule="auto"/>
        <w:widowControl/>
        <w:rPr>
          <w:rFonts w:hint="eastAsia"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w:t>
      </w:r>
      <w:r>
        <w:rPr>
          <w:rFonts w:hint="eastAsia" w:ascii="宋体" w:hAnsi="宋体"/>
          <w:sz w:val="24"/>
        </w:rPr>
        <w:t xml:space="preserve">建邺区</w:t>
      </w:r>
      <w:r>
        <w:rPr>
          <w:rFonts w:hint="eastAsia" w:ascii="宋体" w:hAnsi="宋体"/>
          <w:sz w:val="24"/>
          <w:lang w:val="zh-CN"/>
        </w:rPr>
        <w:t xml:space="preserve">江东中路265号南京市公共资源交易中心北门，联系电话：025-68505926。</w:t>
      </w:r>
      <w:r/>
    </w:p>
    <w:p>
      <w:pPr>
        <w:pStyle w:val="86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r/>
    </w:p>
    <w:p>
      <w:pPr>
        <w:pStyle w:val="860"/>
        <w:ind w:firstLine="480"/>
        <w:spacing w:line="264" w:lineRule="auto"/>
        <w:rPr>
          <w:rFonts w:hint="eastAsia" w:ascii="宋体" w:hAnsi="宋体"/>
          <w:sz w:val="24"/>
          <w:szCs w:val="24"/>
        </w:rPr>
      </w:pPr>
      <w:r>
        <w:rPr>
          <w:rFonts w:hint="eastAsia" w:ascii="宋体" w:hAnsi="宋体"/>
          <w:sz w:val="24"/>
          <w:szCs w:val="24"/>
        </w:rPr>
        <w:t xml:space="preserve">1.采购人</w:t>
      </w:r>
      <w:r/>
    </w:p>
    <w:p>
      <w:pPr>
        <w:pStyle w:val="860"/>
        <w:ind w:firstLine="480"/>
        <w:spacing w:line="264" w:lineRule="auto"/>
        <w:rPr>
          <w:rFonts w:hint="eastAsia" w:ascii="宋体" w:hAnsi="宋体"/>
          <w:sz w:val="24"/>
          <w:szCs w:val="24"/>
        </w:rPr>
      </w:pPr>
      <w:r>
        <w:rPr>
          <w:rFonts w:hint="eastAsia" w:ascii="宋体" w:hAnsi="宋体"/>
          <w:sz w:val="24"/>
          <w:szCs w:val="24"/>
        </w:rPr>
        <w:t xml:space="preserve">名  称：</w:t>
      </w:r>
      <w:r>
        <w:rPr>
          <w:rFonts w:ascii="宋体" w:hAnsi="宋体"/>
          <w:sz w:val="24"/>
          <w:szCs w:val="24"/>
        </w:rPr>
        <w:t xml:space="preserve">南京市城市数字治理中心</w:t>
      </w:r>
      <w:r>
        <w:rPr>
          <w:rFonts w:hint="eastAsia" w:ascii="宋体" w:hAnsi="宋体"/>
          <w:sz w:val="24"/>
          <w:szCs w:val="24"/>
        </w:rPr>
        <w:t xml:space="preserve">          </w:t>
      </w:r>
      <w:r>
        <w:rPr>
          <w:rFonts w:hint="eastAsia" w:ascii="宋体" w:hAnsi="宋体"/>
          <w:sz w:val="24"/>
          <w:szCs w:val="24"/>
        </w:rPr>
      </w:r>
      <w:r/>
    </w:p>
    <w:p>
      <w:pPr>
        <w:pStyle w:val="860"/>
        <w:ind w:firstLine="480"/>
        <w:spacing w:line="264" w:lineRule="auto"/>
        <w:rPr>
          <w:rFonts w:hint="eastAsia" w:ascii="宋体" w:hAnsi="宋体"/>
          <w:sz w:val="24"/>
          <w:szCs w:val="24"/>
        </w:rPr>
      </w:pPr>
      <w:r>
        <w:rPr>
          <w:rFonts w:hint="eastAsia" w:ascii="宋体" w:hAnsi="宋体"/>
          <w:sz w:val="24"/>
          <w:szCs w:val="24"/>
        </w:rPr>
        <w:t xml:space="preserve">地  址：</w:t>
      </w:r>
      <w:bookmarkStart w:id="7" w:name="OLE_LINK6"/>
      <w:r>
        <w:rPr>
          <w:rFonts w:ascii="宋体" w:hAnsi="宋体" w:cs="宋体"/>
          <w:sz w:val="24"/>
          <w:szCs w:val="24"/>
        </w:rPr>
        <w:t xml:space="preserve">南京市建邺区江东中路265号新城大厦D座</w:t>
      </w:r>
      <w:bookmarkEnd w:id="7"/>
      <w:r>
        <w:rPr>
          <w:rFonts w:hint="eastAsia" w:ascii="宋体" w:hAnsi="宋体"/>
          <w:sz w:val="24"/>
          <w:szCs w:val="24"/>
        </w:rPr>
        <w:t xml:space="preserve"> </w:t>
      </w:r>
      <w:r>
        <w:rPr>
          <w:rFonts w:hint="eastAsia" w:ascii="宋体" w:hAnsi="宋体"/>
          <w:sz w:val="24"/>
          <w:szCs w:val="24"/>
        </w:rPr>
        <w:t xml:space="preserve">   </w:t>
      </w:r>
      <w:r/>
    </w:p>
    <w:p>
      <w:pPr>
        <w:pStyle w:val="860"/>
        <w:ind w:firstLine="480"/>
        <w:spacing w:line="264"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杨老师</w:t>
      </w:r>
      <w:r>
        <w:rPr>
          <w:rFonts w:hint="eastAsia" w:ascii="宋体" w:hAnsi="宋体"/>
          <w:sz w:val="24"/>
          <w:szCs w:val="24"/>
        </w:rPr>
      </w:r>
      <w:r/>
    </w:p>
    <w:p>
      <w:pPr>
        <w:pStyle w:val="860"/>
        <w:ind w:firstLine="480"/>
        <w:spacing w:line="264" w:lineRule="auto"/>
        <w:rPr>
          <w:rFonts w:hint="eastAsia" w:ascii="宋体" w:hAnsi="宋体"/>
          <w:sz w:val="24"/>
          <w:szCs w:val="24"/>
        </w:rPr>
      </w:pPr>
      <w:r>
        <w:rPr>
          <w:rFonts w:hint="eastAsia" w:ascii="宋体" w:hAnsi="宋体"/>
          <w:sz w:val="24"/>
          <w:szCs w:val="24"/>
        </w:rPr>
        <w:t xml:space="preserve">联系电话：</w:t>
      </w:r>
      <w:r>
        <w:rPr>
          <w:rFonts w:ascii="宋体" w:hAnsi="宋体"/>
          <w:sz w:val="24"/>
          <w:szCs w:val="24"/>
        </w:rPr>
        <w:t xml:space="preserve">025-68789502</w:t>
      </w:r>
      <w:r>
        <w:rPr>
          <w:rFonts w:hint="eastAsia" w:ascii="宋体" w:hAnsi="宋体"/>
          <w:sz w:val="24"/>
          <w:szCs w:val="24"/>
        </w:rPr>
        <w:t xml:space="preserve"> </w:t>
      </w:r>
      <w:bookmarkStart w:id="8" w:name="_Toc28359086"/>
      <w:r/>
      <w:bookmarkStart w:id="9" w:name="_Toc28359009"/>
      <w:r>
        <w:rPr>
          <w:rFonts w:hint="eastAsia" w:ascii="宋体" w:hAnsi="宋体"/>
          <w:sz w:val="24"/>
          <w:szCs w:val="24"/>
        </w:rPr>
      </w:r>
      <w:r/>
    </w:p>
    <w:p>
      <w:pPr>
        <w:pStyle w:val="860"/>
        <w:ind w:firstLine="480"/>
        <w:spacing w:line="264" w:lineRule="auto"/>
        <w:rPr>
          <w:rFonts w:hint="eastAsia" w:ascii="宋体" w:hAnsi="宋体"/>
          <w:sz w:val="24"/>
          <w:szCs w:val="24"/>
        </w:rPr>
      </w:pPr>
      <w:r>
        <w:rPr>
          <w:rFonts w:hint="eastAsia" w:ascii="宋体" w:hAnsi="宋体"/>
          <w:sz w:val="24"/>
          <w:szCs w:val="24"/>
        </w:rPr>
        <w:t xml:space="preserve">2.交易中心</w:t>
      </w:r>
      <w:bookmarkEnd w:id="8"/>
      <w:r/>
      <w:bookmarkEnd w:id="9"/>
      <w:r>
        <w:rPr>
          <w:rFonts w:hint="eastAsia" w:ascii="宋体" w:hAnsi="宋体"/>
          <w:sz w:val="24"/>
          <w:szCs w:val="24"/>
        </w:rPr>
      </w:r>
      <w:r/>
    </w:p>
    <w:p>
      <w:pPr>
        <w:pStyle w:val="860"/>
        <w:ind w:firstLine="480"/>
        <w:spacing w:line="264"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rPr>
        <w:t xml:space="preserve">：</w:t>
      </w:r>
      <w:r>
        <w:rPr>
          <w:rFonts w:ascii="宋体" w:hAnsi="宋体" w:cs="宋体"/>
          <w:sz w:val="24"/>
          <w:szCs w:val="24"/>
        </w:rPr>
        <w:t xml:space="preserve">南京市建邺区江东中路265号</w:t>
      </w:r>
      <w:r>
        <w:rPr>
          <w:rFonts w:hint="eastAsia" w:ascii="宋体" w:hAnsi="宋体"/>
          <w:sz w:val="24"/>
          <w:szCs w:val="24"/>
        </w:rPr>
        <w:t xml:space="preserve"> </w:t>
      </w:r>
      <w:r>
        <w:rPr>
          <w:rFonts w:hint="eastAsia" w:ascii="宋体" w:hAnsi="宋体"/>
          <w:sz w:val="24"/>
          <w:szCs w:val="24"/>
        </w:rPr>
        <w:t xml:space="preserve">   </w:t>
      </w:r>
      <w:r/>
    </w:p>
    <w:p>
      <w:pPr>
        <w:pStyle w:val="860"/>
        <w:ind w:firstLine="480"/>
        <w:spacing w:line="264"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李先生 </w:t>
      </w:r>
      <w:r/>
    </w:p>
    <w:p>
      <w:pPr>
        <w:pStyle w:val="860"/>
        <w:ind w:firstLine="480"/>
        <w:spacing w:line="264"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4"/>
        </w:rPr>
        <w:t xml:space="preserve">025-68505735</w:t>
      </w:r>
      <w:r/>
    </w:p>
    <w:p>
      <w:pPr>
        <w:pStyle w:val="860"/>
        <w:ind w:firstLine="720"/>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t xml:space="preserve">第二章  供应商须知</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10" w:name="_Toc120614214"/>
      <w:r/>
      <w:bookmarkStart w:id="11" w:name="_Toc20823275"/>
      <w:r/>
      <w:bookmarkStart w:id="12" w:name="_Toc513029203"/>
      <w:r/>
      <w:bookmarkStart w:id="13" w:name="_Toc16938519"/>
      <w:r>
        <w:rPr>
          <w:rFonts w:hint="eastAsia" w:ascii="方正黑体_GBK" w:hAnsi="方正黑体_GBK" w:eastAsia="方正黑体_GBK" w:cs="方正黑体_GBK"/>
          <w:b w:val="0"/>
          <w:bCs w:val="0"/>
          <w:sz w:val="30"/>
          <w:szCs w:val="30"/>
        </w:rPr>
        <w:t xml:space="preserve">一、总则</w:t>
      </w:r>
      <w:bookmarkEnd w:id="10"/>
      <w:r/>
      <w:bookmarkEnd w:id="11"/>
      <w:r/>
      <w:bookmarkEnd w:id="12"/>
      <w:r/>
      <w:bookmarkEnd w:id="13"/>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14" w:name="_Hlt16619475"/>
      <w:r/>
      <w:bookmarkEnd w:id="14"/>
      <w:r/>
      <w:bookmarkStart w:id="15" w:name="_Toc458694821"/>
      <w:r/>
      <w:bookmarkStart w:id="16" w:name="_Toc513029204"/>
      <w:r/>
      <w:bookmarkStart w:id="17" w:name="_Toc16938520"/>
      <w:r/>
      <w:bookmarkStart w:id="18" w:name="_Toc20823276"/>
      <w:r>
        <w:rPr>
          <w:rFonts w:hint="eastAsia" w:ascii="方正楷体_GBK" w:hAnsi="方正楷体_GBK" w:eastAsia="方正楷体_GBK" w:cs="方正楷体_GBK"/>
        </w:rPr>
        <w:t xml:space="preserve">1</w:t>
      </w:r>
      <w:bookmarkEnd w:id="15"/>
      <w:r>
        <w:rPr>
          <w:rFonts w:hint="eastAsia" w:ascii="方正楷体_GBK" w:hAnsi="方正楷体_GBK" w:eastAsia="方正楷体_GBK" w:cs="方正楷体_GBK"/>
        </w:rPr>
        <w:t xml:space="preserve">.采购方式</w:t>
      </w:r>
      <w:bookmarkEnd w:id="16"/>
      <w:r/>
      <w:bookmarkEnd w:id="17"/>
      <w:r/>
      <w:bookmarkEnd w:id="18"/>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864"/>
        <w:ind w:firstLine="422"/>
        <w:spacing w:before="0" w:after="0" w:line="240" w:lineRule="auto"/>
        <w:rPr>
          <w:rFonts w:hint="eastAsia" w:ascii="方正楷体_GBK" w:hAnsi="方正楷体_GBK" w:eastAsia="方正楷体_GBK" w:cs="方正楷体_GBK"/>
        </w:rPr>
      </w:pPr>
      <w:r/>
      <w:bookmarkStart w:id="19" w:name="_Toc513029205"/>
      <w:r/>
      <w:bookmarkStart w:id="20" w:name="_Toc16938521"/>
      <w:r/>
      <w:bookmarkStart w:id="21" w:name="_Toc20823277"/>
      <w:r>
        <w:rPr>
          <w:rFonts w:hint="eastAsia" w:ascii="方正楷体_GBK" w:hAnsi="方正楷体_GBK" w:eastAsia="方正楷体_GBK" w:cs="方正楷体_GBK"/>
        </w:rPr>
        <w:t xml:space="preserve">2.合格的</w:t>
      </w:r>
      <w:bookmarkEnd w:id="19"/>
      <w:r/>
      <w:bookmarkEnd w:id="20"/>
      <w:r/>
      <w:bookmarkEnd w:id="21"/>
      <w:r>
        <w:rPr>
          <w:rFonts w:hint="eastAsia" w:ascii="方正楷体_GBK" w:hAnsi="方正楷体_GBK" w:eastAsia="方正楷体_GBK" w:cs="方正楷体_GBK"/>
        </w:rPr>
        <w:t xml:space="preserve">供应商</w:t>
      </w:r>
      <w:r/>
    </w:p>
    <w:p>
      <w:pPr>
        <w:pStyle w:val="860"/>
        <w:ind w:firstLine="420"/>
        <w:rPr>
          <w:rFonts w:hint="eastAsia" w:ascii="宋体" w:hAnsi="宋体"/>
          <w:sz w:val="24"/>
          <w:szCs w:val="21"/>
        </w:rPr>
      </w:pPr>
      <w:r>
        <w:rPr>
          <w:rFonts w:hint="eastAsia" w:ascii="宋体" w:hAnsi="宋体"/>
          <w:sz w:val="24"/>
          <w:szCs w:val="21"/>
        </w:rPr>
        <w:t xml:space="preserve">2.1 满足采购公告对供应商资格要求。</w:t>
      </w:r>
      <w:r/>
    </w:p>
    <w:p>
      <w:pPr>
        <w:pStyle w:val="860"/>
        <w:ind w:firstLine="420"/>
        <w:rPr>
          <w:rFonts w:hint="eastAsia" w:ascii="宋体" w:hAnsi="宋体"/>
          <w:sz w:val="24"/>
          <w:szCs w:val="21"/>
        </w:rPr>
      </w:pPr>
      <w:r>
        <w:rPr>
          <w:rFonts w:hint="eastAsia" w:ascii="宋体" w:hAnsi="宋体"/>
          <w:sz w:val="24"/>
          <w:szCs w:val="21"/>
        </w:rPr>
        <w:t xml:space="preserve">2.2 满足磋商文件规定的实质性要求。</w:t>
      </w:r>
      <w:r/>
    </w:p>
    <w:p>
      <w:pPr>
        <w:pStyle w:val="864"/>
        <w:ind w:firstLine="422"/>
        <w:spacing w:before="0" w:after="0" w:line="240" w:lineRule="auto"/>
        <w:rPr>
          <w:rFonts w:hint="eastAsia" w:ascii="方正楷体_GBK" w:hAnsi="方正楷体_GBK" w:eastAsia="方正楷体_GBK" w:cs="方正楷体_GBK"/>
        </w:rPr>
      </w:pPr>
      <w:r/>
      <w:bookmarkStart w:id="22" w:name="_Toc16938522"/>
      <w:r/>
      <w:bookmarkStart w:id="23" w:name="_Toc513029206"/>
      <w:r/>
      <w:bookmarkStart w:id="24" w:name="_Toc20823278"/>
      <w:r>
        <w:rPr>
          <w:rFonts w:hint="eastAsia" w:ascii="方正楷体_GBK" w:hAnsi="方正楷体_GBK" w:eastAsia="方正楷体_GBK" w:cs="方正楷体_GBK"/>
        </w:rPr>
        <w:t xml:space="preserve">3.适用法律</w:t>
      </w:r>
      <w:bookmarkEnd w:id="22"/>
      <w:r/>
      <w:bookmarkEnd w:id="23"/>
      <w:r/>
      <w:bookmarkEnd w:id="24"/>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64"/>
        <w:ind w:firstLine="422"/>
        <w:spacing w:before="0" w:after="0" w:line="240" w:lineRule="auto"/>
        <w:rPr>
          <w:rFonts w:hint="eastAsia" w:ascii="方正楷体_GBK" w:hAnsi="方正楷体_GBK" w:eastAsia="方正楷体_GBK" w:cs="方正楷体_GBK"/>
        </w:rPr>
      </w:pPr>
      <w:r/>
      <w:bookmarkStart w:id="25" w:name="_Toc513029207"/>
      <w:r/>
      <w:bookmarkStart w:id="26" w:name="_Toc20823279"/>
      <w:r/>
      <w:bookmarkStart w:id="27" w:name="_Toc16938523"/>
      <w:r/>
      <w:bookmarkStart w:id="28" w:name="_Toc462564067"/>
      <w:r>
        <w:rPr>
          <w:rFonts w:hint="eastAsia" w:ascii="方正楷体_GBK" w:hAnsi="方正楷体_GBK" w:eastAsia="方正楷体_GBK" w:cs="方正楷体_GBK"/>
        </w:rPr>
        <w:t xml:space="preserve">4.磋商费用</w:t>
      </w:r>
      <w:bookmarkEnd w:id="25"/>
      <w:r/>
      <w:bookmarkEnd w:id="26"/>
      <w:r/>
      <w:bookmarkEnd w:id="27"/>
      <w:r/>
      <w:bookmarkEnd w:id="28"/>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4.1 供应商应自行承担所有与参加采购有关的费用，</w:t>
      </w:r>
      <w:r>
        <w:rPr>
          <w:rFonts w:hint="eastAsia" w:ascii="宋体" w:hAnsi="宋体"/>
          <w:sz w:val="24"/>
        </w:rPr>
        <w:t xml:space="preserve">交易中心</w:t>
      </w:r>
      <w:r>
        <w:rPr>
          <w:rFonts w:hint="eastAsia" w:ascii="宋体" w:hAnsi="宋体"/>
          <w:sz w:val="24"/>
          <w:szCs w:val="21"/>
        </w:rPr>
        <w:t xml:space="preserve">在任何情况下均无义务</w:t>
      </w:r>
      <w:r>
        <w:rPr>
          <w:rFonts w:hint="eastAsia" w:ascii="宋体" w:hAnsi="宋体"/>
          <w:sz w:val="24"/>
          <w:szCs w:val="21"/>
        </w:rPr>
        <w:t xml:space="preserve">和责任承担这些费用。</w:t>
      </w:r>
      <w:r/>
    </w:p>
    <w:p>
      <w:pPr>
        <w:pStyle w:val="860"/>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pStyle w:val="860"/>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29" w:name="_Toc20823281"/>
      <w:r/>
      <w:bookmarkStart w:id="30" w:name="_Toc513029209"/>
      <w:r/>
      <w:bookmarkStart w:id="31" w:name="_Toc16938525"/>
      <w:r/>
      <w:bookmarkStart w:id="32" w:name="_Toc120614215"/>
      <w:r>
        <w:rPr>
          <w:rFonts w:hint="eastAsia" w:ascii="方正黑体_GBK" w:hAnsi="方正黑体_GBK" w:eastAsia="方正黑体_GBK" w:cs="方正黑体_GBK"/>
          <w:b w:val="0"/>
          <w:bCs w:val="0"/>
          <w:sz w:val="30"/>
          <w:szCs w:val="30"/>
        </w:rPr>
        <w:t xml:space="preserve">二、</w:t>
      </w:r>
      <w:bookmarkEnd w:id="29"/>
      <w:r/>
      <w:bookmarkEnd w:id="30"/>
      <w:r/>
      <w:bookmarkEnd w:id="31"/>
      <w:r/>
      <w:bookmarkEnd w:id="32"/>
      <w:r>
        <w:rPr>
          <w:rFonts w:hint="eastAsia" w:ascii="方正黑体_GBK" w:hAnsi="方正黑体_GBK" w:eastAsia="方正黑体_GBK" w:cs="方正黑体_GBK"/>
          <w:b w:val="0"/>
          <w:bCs w:val="0"/>
          <w:sz w:val="30"/>
          <w:szCs w:val="30"/>
        </w:rPr>
        <w:t xml:space="preserve">磋商文件</w:t>
      </w:r>
      <w:r/>
    </w:p>
    <w:p>
      <w:pPr>
        <w:pStyle w:val="864"/>
        <w:ind w:firstLine="422"/>
        <w:spacing w:before="0" w:after="0" w:line="240" w:lineRule="auto"/>
        <w:rPr>
          <w:rFonts w:hint="eastAsia" w:ascii="方正楷体_GBK" w:hAnsi="方正楷体_GBK" w:eastAsia="方正楷体_GBK" w:cs="方正楷体_GBK"/>
        </w:rPr>
      </w:pPr>
      <w:r/>
      <w:bookmarkStart w:id="33" w:name="_Toc20823282"/>
      <w:r/>
      <w:bookmarkStart w:id="34" w:name="_Toc16938526"/>
      <w:r/>
      <w:bookmarkStart w:id="35" w:name="_Toc513029210"/>
      <w:r>
        <w:rPr>
          <w:rFonts w:hint="eastAsia" w:ascii="方正楷体_GBK" w:hAnsi="方正楷体_GBK" w:eastAsia="方正楷体_GBK" w:cs="方正楷体_GBK"/>
        </w:rPr>
        <w:t xml:space="preserve">6.磋商文件构成</w:t>
      </w:r>
      <w:bookmarkEnd w:id="33"/>
      <w:r/>
      <w:bookmarkEnd w:id="34"/>
      <w:r/>
      <w:bookmarkEnd w:id="35"/>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6.1 磋商文件由以下部分组成：</w:t>
      </w:r>
      <w:r/>
    </w:p>
    <w:p>
      <w:pPr>
        <w:pStyle w:val="860"/>
        <w:ind w:firstLine="420"/>
        <w:rPr>
          <w:rFonts w:hint="eastAsia" w:ascii="宋体" w:hAnsi="宋体"/>
          <w:sz w:val="24"/>
          <w:szCs w:val="21"/>
        </w:rPr>
      </w:pPr>
      <w:r>
        <w:rPr>
          <w:rFonts w:hint="eastAsia" w:ascii="宋体" w:hAnsi="宋体"/>
          <w:sz w:val="24"/>
          <w:szCs w:val="21"/>
        </w:rPr>
        <w:t xml:space="preserve">（1）磋商邀请</w:t>
      </w:r>
      <w:r/>
    </w:p>
    <w:p>
      <w:pPr>
        <w:pStyle w:val="860"/>
        <w:ind w:firstLine="420"/>
        <w:rPr>
          <w:rFonts w:hint="eastAsia" w:ascii="宋体" w:hAnsi="宋体"/>
          <w:sz w:val="24"/>
          <w:szCs w:val="21"/>
        </w:rPr>
      </w:pPr>
      <w:r>
        <w:rPr>
          <w:rFonts w:hint="eastAsia" w:ascii="宋体" w:hAnsi="宋体"/>
          <w:sz w:val="24"/>
          <w:szCs w:val="21"/>
        </w:rPr>
        <w:t xml:space="preserve">（2）供应商须知</w:t>
      </w:r>
      <w:r/>
    </w:p>
    <w:p>
      <w:pPr>
        <w:pStyle w:val="860"/>
        <w:ind w:firstLine="420"/>
        <w:rPr>
          <w:rFonts w:hint="eastAsia" w:ascii="宋体" w:hAnsi="宋体"/>
          <w:sz w:val="24"/>
          <w:szCs w:val="21"/>
        </w:rPr>
      </w:pPr>
      <w:r>
        <w:rPr>
          <w:rFonts w:hint="eastAsia" w:ascii="宋体" w:hAnsi="宋体"/>
          <w:sz w:val="24"/>
          <w:szCs w:val="21"/>
        </w:rPr>
        <w:t xml:space="preserve">（3）合同文本</w:t>
      </w:r>
      <w:r/>
    </w:p>
    <w:p>
      <w:pPr>
        <w:pStyle w:val="860"/>
        <w:ind w:firstLine="420"/>
        <w:rPr>
          <w:rFonts w:hint="eastAsia" w:ascii="宋体" w:hAnsi="宋体"/>
          <w:sz w:val="24"/>
          <w:szCs w:val="21"/>
        </w:rPr>
      </w:pPr>
      <w:r>
        <w:rPr>
          <w:rFonts w:hint="eastAsia" w:ascii="宋体" w:hAnsi="宋体"/>
          <w:sz w:val="24"/>
          <w:szCs w:val="21"/>
        </w:rPr>
        <w:t xml:space="preserve">（4）采购需求</w:t>
      </w:r>
      <w:r/>
    </w:p>
    <w:p>
      <w:pPr>
        <w:pStyle w:val="860"/>
        <w:ind w:firstLine="420"/>
        <w:rPr>
          <w:rFonts w:hint="eastAsia" w:ascii="宋体" w:hAnsi="宋体"/>
          <w:sz w:val="24"/>
          <w:szCs w:val="21"/>
        </w:rPr>
      </w:pPr>
      <w:r>
        <w:rPr>
          <w:rFonts w:hint="eastAsia" w:ascii="宋体" w:hAnsi="宋体"/>
          <w:sz w:val="24"/>
          <w:szCs w:val="21"/>
        </w:rPr>
        <w:t xml:space="preserve">（5）评审方法与评审标准</w:t>
      </w:r>
      <w:r/>
    </w:p>
    <w:p>
      <w:pPr>
        <w:pStyle w:val="860"/>
        <w:ind w:firstLine="420"/>
        <w:rPr>
          <w:rFonts w:hint="eastAsia" w:ascii="宋体" w:hAnsi="宋体"/>
          <w:sz w:val="24"/>
          <w:szCs w:val="21"/>
        </w:rPr>
      </w:pPr>
      <w:r>
        <w:rPr>
          <w:rFonts w:hint="eastAsia" w:ascii="宋体" w:hAnsi="宋体"/>
          <w:sz w:val="24"/>
          <w:szCs w:val="21"/>
        </w:rPr>
        <w:t xml:space="preserve">（6）响应文件格式</w:t>
      </w:r>
      <w:r/>
    </w:p>
    <w:p>
      <w:pPr>
        <w:pStyle w:val="860"/>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p>
    <w:p>
      <w:pPr>
        <w:pStyle w:val="860"/>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w:t>
      </w:r>
      <w:r>
        <w:rPr>
          <w:rFonts w:hint="eastAsia" w:ascii="宋体" w:hAnsi="宋体"/>
          <w:sz w:val="24"/>
          <w:szCs w:val="21"/>
        </w:rPr>
        <w:t xml:space="preserve">磋商文件要求和规定编制响应文件，并保证所提供的全部资料的真实性，以使其响应文件对磋商文件作出实质性响应，否则其风险由供应商自行承担。</w:t>
      </w:r>
      <w:r/>
    </w:p>
    <w:p>
      <w:pPr>
        <w:pStyle w:val="864"/>
        <w:ind w:firstLine="422"/>
        <w:spacing w:before="0" w:after="0" w:line="240" w:lineRule="auto"/>
        <w:rPr>
          <w:rFonts w:hint="eastAsia" w:ascii="方正楷体_GBK" w:hAnsi="方正楷体_GBK" w:eastAsia="方正楷体_GBK" w:cs="方正楷体_GBK"/>
        </w:rPr>
      </w:pPr>
      <w:r/>
      <w:bookmarkStart w:id="36" w:name="_Toc462564070"/>
      <w:r/>
      <w:bookmarkStart w:id="37" w:name="_Toc513029211"/>
      <w:r/>
      <w:bookmarkStart w:id="38" w:name="_Toc20823283"/>
      <w:r/>
      <w:bookmarkStart w:id="39" w:name="_Toc16938527"/>
      <w:r>
        <w:rPr>
          <w:rFonts w:hint="eastAsia" w:ascii="方正楷体_GBK" w:hAnsi="方正楷体_GBK" w:eastAsia="方正楷体_GBK" w:cs="方正楷体_GBK"/>
        </w:rPr>
        <w:t xml:space="preserve">7.磋商文件的澄清</w:t>
      </w:r>
      <w:bookmarkEnd w:id="36"/>
      <w:r/>
      <w:bookmarkEnd w:id="37"/>
      <w:r/>
      <w:bookmarkEnd w:id="38"/>
      <w:r/>
      <w:bookmarkEnd w:id="39"/>
      <w:r>
        <w:rPr>
          <w:rFonts w:hint="eastAsia" w:ascii="方正楷体_GBK" w:hAnsi="方正楷体_GBK" w:eastAsia="方正楷体_GBK" w:cs="方正楷体_GBK"/>
        </w:rPr>
        <w:t xml:space="preserve">或修改</w:t>
      </w:r>
      <w:r/>
    </w:p>
    <w:p>
      <w:pPr>
        <w:pStyle w:val="860"/>
        <w:ind w:firstLine="420"/>
        <w:rPr>
          <w:rFonts w:hint="eastAsia" w:ascii="宋体" w:hAnsi="宋体"/>
          <w:sz w:val="24"/>
          <w:szCs w:val="21"/>
        </w:rPr>
      </w:pPr>
      <w:r/>
      <w:bookmarkStart w:id="40" w:name="_Toc120614216"/>
      <w:r/>
      <w:bookmarkStart w:id="41" w:name="_Toc20823285"/>
      <w:r/>
      <w:bookmarkStart w:id="42" w:name="_Toc513029213"/>
      <w:r/>
      <w:bookmarkStart w:id="43" w:name="_Toc462564072"/>
      <w:r/>
      <w:bookmarkStart w:id="44" w:name="_Toc16938529"/>
      <w:r>
        <w:rPr>
          <w:rFonts w:hint="eastAsia" w:ascii="宋体" w:hAnsi="宋体"/>
          <w:sz w:val="24"/>
          <w:szCs w:val="21"/>
        </w:rPr>
        <w:t xml:space="preserve">7.1 在响应文件提交截止时间前，交易中心可以对已发出的磋商文件进行必要的澄清或者修改，并在原公告发布媒体发布更正公告，澄清或修改的内容将作为磋商文件的组成部分，并对供应商具有约束力。</w:t>
      </w:r>
      <w:r/>
    </w:p>
    <w:p>
      <w:pPr>
        <w:pStyle w:val="860"/>
        <w:ind w:firstLine="420"/>
        <w:rPr>
          <w:rFonts w:hint="eastAsia" w:ascii="宋体" w:hAnsi="宋体"/>
          <w:sz w:val="24"/>
          <w:szCs w:val="21"/>
        </w:rPr>
      </w:pPr>
      <w:r>
        <w:rPr>
          <w:rFonts w:hint="eastAsia" w:ascii="宋体" w:hAnsi="宋体"/>
          <w:sz w:val="24"/>
          <w:szCs w:val="21"/>
        </w:rPr>
        <w:t xml:space="preserve">7.2 供应商应在提交响应文件截止时间前，关注原公告发布媒体有关本项目的更正公告，根据更正公告内容自行决定是否需要重新制作和提交响应文件，并承担由此产生的相应责任。</w:t>
      </w:r>
      <w:r/>
    </w:p>
    <w:p>
      <w:pPr>
        <w:pStyle w:val="860"/>
        <w:ind w:firstLine="420"/>
        <w:rPr>
          <w:rFonts w:hint="eastAsia" w:ascii="宋体" w:hAnsi="宋体"/>
          <w:sz w:val="24"/>
          <w:szCs w:val="21"/>
        </w:rPr>
      </w:pPr>
      <w:r>
        <w:rPr>
          <w:rFonts w:hint="eastAsia" w:ascii="宋体" w:hAnsi="宋体"/>
          <w:sz w:val="24"/>
          <w:szCs w:val="21"/>
        </w:rPr>
        <w:t xml:space="preserve">7.3 交易中心有权按照法定的要求推迟提交响应文件截止时间，并在原公告发布媒体发布更正公告。</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bookmarkEnd w:id="40"/>
      <w:r/>
      <w:bookmarkEnd w:id="41"/>
      <w:r/>
      <w:bookmarkEnd w:id="42"/>
      <w:r/>
      <w:bookmarkEnd w:id="43"/>
      <w:r/>
      <w:bookmarkEnd w:id="44"/>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45" w:name="_Toc16938530"/>
      <w:r/>
      <w:bookmarkStart w:id="46" w:name="_Toc20823286"/>
      <w:r/>
      <w:bookmarkStart w:id="47" w:name="_Toc462564073"/>
      <w:r/>
      <w:bookmarkStart w:id="48" w:name="_Toc513029214"/>
      <w:r>
        <w:rPr>
          <w:rFonts w:hint="eastAsia" w:ascii="方正楷体_GBK" w:hAnsi="方正楷体_GBK" w:eastAsia="方正楷体_GBK" w:cs="方正楷体_GBK"/>
        </w:rPr>
        <w:t xml:space="preserve">8.响应文件的语言及度量衡单位</w:t>
      </w:r>
      <w:bookmarkEnd w:id="45"/>
      <w:r/>
      <w:bookmarkEnd w:id="46"/>
      <w:r/>
      <w:bookmarkEnd w:id="47"/>
      <w:r/>
      <w:bookmarkEnd w:id="48"/>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8.1 供应商提交的响应文件以及供应商与交易中心就有关磋商的所有来往通知、函件和文件均应使用简体中文。</w:t>
      </w:r>
      <w:r/>
    </w:p>
    <w:p>
      <w:pPr>
        <w:pStyle w:val="860"/>
        <w:ind w:firstLine="420"/>
        <w:rPr>
          <w:rFonts w:hint="eastAsia" w:ascii="宋体" w:hAnsi="宋体"/>
          <w:sz w:val="24"/>
          <w:szCs w:val="21"/>
        </w:rPr>
      </w:pPr>
      <w:r>
        <w:rPr>
          <w:rFonts w:hint="eastAsia" w:ascii="宋体" w:hAnsi="宋体"/>
          <w:sz w:val="24"/>
          <w:szCs w:val="21"/>
        </w:rPr>
        <w:t xml:space="preserve">8.2 除技术性能另有规定外，响应文件所使用的度量衡单位，均须采用国家法定计量单位。</w:t>
      </w:r>
      <w:r/>
    </w:p>
    <w:p>
      <w:pPr>
        <w:pStyle w:val="864"/>
        <w:ind w:firstLine="422"/>
        <w:spacing w:before="0" w:after="0" w:line="240" w:lineRule="auto"/>
        <w:rPr>
          <w:rFonts w:hint="eastAsia" w:ascii="方正楷体_GBK" w:hAnsi="方正楷体_GBK" w:eastAsia="方正楷体_GBK" w:cs="方正楷体_GBK"/>
        </w:rPr>
      </w:pPr>
      <w:r/>
      <w:bookmarkStart w:id="49" w:name="_Toc513029215"/>
      <w:r/>
      <w:bookmarkStart w:id="50" w:name="_Toc16938531"/>
      <w:r/>
      <w:bookmarkStart w:id="51" w:name="_Toc462564074"/>
      <w:r/>
      <w:bookmarkStart w:id="52" w:name="_Toc20823287"/>
      <w:r>
        <w:rPr>
          <w:rFonts w:hint="eastAsia" w:ascii="方正楷体_GBK" w:hAnsi="方正楷体_GBK" w:eastAsia="方正楷体_GBK" w:cs="方正楷体_GBK"/>
        </w:rPr>
        <w:t xml:space="preserve">9.响应文件构成</w:t>
      </w:r>
      <w:bookmarkEnd w:id="49"/>
      <w:r/>
      <w:bookmarkEnd w:id="50"/>
      <w:r/>
      <w:bookmarkEnd w:id="51"/>
      <w:r/>
      <w:bookmarkEnd w:id="52"/>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9.1 供应商编写的响应文件应包括资格证明文件、符合性证明文件、磋商报价表、分项报价表（如有）、响应及偏离表、磋商响应函、法定代表人授权委托书。</w:t>
      </w:r>
      <w:r/>
    </w:p>
    <w:p>
      <w:pPr>
        <w:pStyle w:val="860"/>
        <w:ind w:firstLine="420"/>
        <w:rPr>
          <w:rFonts w:hint="eastAsia" w:ascii="宋体" w:hAnsi="宋体"/>
          <w:sz w:val="24"/>
          <w:szCs w:val="21"/>
        </w:rPr>
      </w:pPr>
      <w:r>
        <w:rPr>
          <w:rFonts w:hint="eastAsia" w:ascii="宋体" w:hAnsi="宋体"/>
          <w:sz w:val="24"/>
          <w:szCs w:val="21"/>
        </w:rPr>
        <w:t xml:space="preserve">9.2 </w:t>
      </w:r>
      <w:r>
        <w:rPr>
          <w:rFonts w:hint="eastAsia" w:ascii="宋体" w:hAnsi="宋体"/>
          <w:b/>
          <w:bCs/>
          <w:sz w:val="24"/>
          <w:szCs w:val="21"/>
        </w:rPr>
        <w:t xml:space="preserve">如标</w:t>
      </w:r>
      <w:r>
        <w:rPr>
          <w:rFonts w:hint="eastAsia" w:ascii="宋体" w:hAnsi="宋体"/>
          <w:b/>
          <w:bCs/>
          <w:sz w:val="24"/>
          <w:szCs w:val="21"/>
        </w:rPr>
        <w:t xml:space="preserve">书制作工具与“江苏政府采购网”发布的磋商文件内容不一致，以“江苏政府采购网”发布的磋商文件为准。</w:t>
      </w:r>
      <w:r>
        <w:rPr>
          <w:rFonts w:hint="eastAsia" w:ascii="宋体" w:hAnsi="宋体"/>
          <w:sz w:val="24"/>
          <w:szCs w:val="21"/>
        </w:rPr>
      </w:r>
      <w:r/>
    </w:p>
    <w:p>
      <w:pPr>
        <w:pStyle w:val="864"/>
        <w:ind w:firstLine="422"/>
        <w:spacing w:before="0" w:after="0" w:line="240" w:lineRule="auto"/>
        <w:rPr>
          <w:rFonts w:hint="eastAsia" w:ascii="方正楷体_GBK" w:hAnsi="方正楷体_GBK" w:eastAsia="方正楷体_GBK" w:cs="方正楷体_GBK"/>
        </w:rPr>
      </w:pPr>
      <w:r/>
      <w:bookmarkStart w:id="53" w:name="_Hlt26668975"/>
      <w:r/>
      <w:bookmarkEnd w:id="53"/>
      <w:r/>
      <w:bookmarkStart w:id="54" w:name="_Hlt26670360"/>
      <w:r/>
      <w:bookmarkEnd w:id="54"/>
      <w:r/>
      <w:bookmarkStart w:id="55" w:name="_Hlt26954838"/>
      <w:r/>
      <w:bookmarkEnd w:id="55"/>
      <w:r/>
      <w:bookmarkStart w:id="56" w:name="_Toc49090507"/>
      <w:r/>
      <w:bookmarkStart w:id="57" w:name="_Toc49090509"/>
      <w:r/>
      <w:bookmarkStart w:id="58" w:name="_Toc14577357"/>
      <w:r/>
      <w:bookmarkStart w:id="59" w:name="_Toc49090508"/>
      <w:r/>
      <w:bookmarkStart w:id="60" w:name="_Toc14577355"/>
      <w:r/>
      <w:bookmarkStart w:id="61" w:name="_Toc513029216"/>
      <w:r/>
      <w:bookmarkStart w:id="62" w:name="_Toc513029219"/>
      <w:r/>
      <w:bookmarkStart w:id="63" w:name="_Toc14577354"/>
      <w:r>
        <w:rPr>
          <w:rFonts w:hint="eastAsia" w:ascii="方正楷体_GBK" w:hAnsi="方正楷体_GBK" w:eastAsia="方正楷体_GBK" w:cs="方正楷体_GBK"/>
        </w:rPr>
        <w:t xml:space="preserve">10.磋商报价</w:t>
      </w:r>
      <w:bookmarkEnd w:id="56"/>
      <w:r/>
      <w:bookmarkEnd w:id="57"/>
      <w:r/>
      <w:bookmarkEnd w:id="58"/>
      <w:r/>
      <w:bookmarkEnd w:id="59"/>
      <w:r/>
      <w:bookmarkEnd w:id="60"/>
      <w:r/>
      <w:bookmarkEnd w:id="61"/>
      <w:r/>
      <w:bookmarkEnd w:id="62"/>
      <w:r/>
      <w:bookmarkEnd w:id="63"/>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10.1 响应文件中的单价和总价无特殊规定的采用人民币报价，以元为单位标注。磋商文件另有规定的按规定执行。</w:t>
      </w:r>
      <w:r/>
    </w:p>
    <w:p>
      <w:pPr>
        <w:pStyle w:val="860"/>
        <w:ind w:firstLine="420"/>
        <w:rPr>
          <w:rFonts w:hint="eastAsia" w:ascii="宋体" w:hAnsi="宋体"/>
          <w:b/>
          <w:bCs/>
          <w:sz w:val="24"/>
          <w:szCs w:val="21"/>
        </w:rPr>
      </w:pPr>
      <w:r>
        <w:rPr>
          <w:rFonts w:hint="eastAsia" w:ascii="宋体" w:hAnsi="宋体"/>
          <w:sz w:val="24"/>
          <w:szCs w:val="21"/>
        </w:rPr>
        <w:t xml:space="preserve">10.2</w:t>
      </w:r>
      <w:r>
        <w:rPr>
          <w:rFonts w:hint="eastAsia" w:ascii="宋体" w:hAnsi="宋体"/>
          <w:b/>
          <w:bCs/>
          <w:sz w:val="24"/>
          <w:szCs w:val="21"/>
        </w:rPr>
        <w:t xml:space="preserve"> 供应商应按照磋商文件规定完整、准确填报磋商报价表和分项报价表（如有），否则作为无效响应。</w:t>
      </w:r>
      <w:r/>
    </w:p>
    <w:p>
      <w:pPr>
        <w:pStyle w:val="864"/>
        <w:ind w:firstLine="422"/>
        <w:spacing w:before="0" w:after="0" w:line="240" w:lineRule="auto"/>
        <w:rPr>
          <w:rFonts w:hint="eastAsia" w:ascii="方正楷体_GBK" w:hAnsi="方正楷体_GBK" w:eastAsia="方正楷体_GBK" w:cs="方正楷体_GBK"/>
        </w:rPr>
      </w:pPr>
      <w:r/>
      <w:bookmarkStart w:id="64" w:name="_Hlt26954848"/>
      <w:r/>
      <w:bookmarkEnd w:id="64"/>
      <w:r/>
      <w:bookmarkStart w:id="65" w:name="_Hlt26670482"/>
      <w:r/>
      <w:bookmarkEnd w:id="65"/>
      <w:r/>
      <w:bookmarkStart w:id="66" w:name="_Hlt26954731"/>
      <w:r/>
      <w:bookmarkEnd w:id="66"/>
      <w:r/>
      <w:bookmarkStart w:id="67" w:name="_Hlt26670486"/>
      <w:r/>
      <w:bookmarkEnd w:id="67"/>
      <w:r/>
      <w:bookmarkStart w:id="68" w:name="_Hlt26954846"/>
      <w:r/>
      <w:bookmarkEnd w:id="68"/>
      <w:r>
        <w:rPr>
          <w:rFonts w:hint="eastAsia" w:ascii="方正楷体_GBK" w:hAnsi="方正楷体_GBK" w:eastAsia="方正楷体_GBK" w:cs="方正楷体_GBK"/>
        </w:rPr>
        <w:t xml:space="preserve">11.响应及偏离表</w:t>
      </w:r>
      <w:r/>
    </w:p>
    <w:p>
      <w:pPr>
        <w:pStyle w:val="860"/>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pStyle w:val="860"/>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864"/>
        <w:ind w:firstLine="422"/>
        <w:spacing w:before="0" w:after="0" w:line="240" w:lineRule="auto"/>
        <w:rPr>
          <w:rFonts w:ascii="方正楷体_GBK" w:hAnsi="方正楷体_GBK" w:eastAsia="方正楷体_GBK" w:cs="方正楷体_GBK"/>
        </w:rPr>
      </w:pPr>
      <w:r/>
      <w:bookmarkStart w:id="69" w:name="_Toc49090510"/>
      <w:r/>
      <w:bookmarkStart w:id="70" w:name="_Toc14577359"/>
      <w:r>
        <w:rPr>
          <w:rFonts w:hint="eastAsia" w:ascii="方正楷体_GBK" w:hAnsi="方正楷体_GBK" w:eastAsia="方正楷体_GBK" w:cs="方正楷体_GBK"/>
        </w:rPr>
        <w:t xml:space="preserve">12.磋商响应函和授权委托书</w:t>
      </w:r>
      <w:r>
        <w:rPr>
          <w:rFonts w:ascii="方正楷体_GBK" w:hAnsi="方正楷体_GBK" w:eastAsia="方正楷体_GBK" w:cs="方正楷体_GBK"/>
        </w:rPr>
      </w:r>
      <w:r/>
    </w:p>
    <w:p>
      <w:pPr>
        <w:pStyle w:val="860"/>
        <w:ind w:firstLine="420"/>
        <w:rPr>
          <w:rFonts w:hint="eastAsia" w:ascii="宋体" w:hAnsi="宋体"/>
          <w:sz w:val="24"/>
          <w:szCs w:val="21"/>
          <w:lang w:val="zh-CN"/>
        </w:rPr>
      </w:pPr>
      <w:r>
        <w:rPr>
          <w:rFonts w:hint="eastAsia" w:ascii="宋体" w:hAnsi="宋体"/>
          <w:sz w:val="24"/>
          <w:szCs w:val="21"/>
          <w:lang w:val="zh-CN"/>
        </w:rPr>
        <w:t xml:space="preserve">12.1 </w:t>
      </w:r>
      <w:r>
        <w:rPr>
          <w:rFonts w:hint="eastAsia" w:ascii="宋体" w:hAnsi="宋体"/>
          <w:b/>
          <w:bCs/>
          <w:sz w:val="24"/>
          <w:szCs w:val="21"/>
        </w:rPr>
        <w:t xml:space="preserve">供应商</w:t>
      </w:r>
      <w:r>
        <w:rPr>
          <w:rFonts w:hint="eastAsia" w:ascii="宋体" w:hAnsi="宋体"/>
          <w:b/>
          <w:bCs/>
          <w:sz w:val="24"/>
          <w:szCs w:val="21"/>
          <w:lang w:val="zh-CN"/>
        </w:rPr>
        <w:t xml:space="preserve">应按照</w:t>
      </w:r>
      <w:r>
        <w:rPr>
          <w:rFonts w:hint="eastAsia" w:ascii="宋体" w:hAnsi="宋体"/>
          <w:b/>
          <w:bCs/>
          <w:sz w:val="24"/>
          <w:szCs w:val="21"/>
        </w:rPr>
        <w:t xml:space="preserve">磋商</w:t>
      </w:r>
      <w:r>
        <w:rPr>
          <w:rFonts w:hint="eastAsia" w:ascii="宋体" w:hAnsi="宋体"/>
          <w:b/>
          <w:bCs/>
          <w:sz w:val="24"/>
          <w:szCs w:val="21"/>
          <w:lang w:val="zh-CN"/>
        </w:rPr>
        <w:t xml:space="preserve">文件规定完整、正确填报</w:t>
      </w:r>
      <w:r>
        <w:rPr>
          <w:rFonts w:hint="eastAsia" w:ascii="宋体" w:hAnsi="宋体"/>
          <w:b/>
          <w:bCs/>
          <w:sz w:val="24"/>
          <w:szCs w:val="21"/>
        </w:rPr>
        <w:t xml:space="preserve">磋商响应</w:t>
      </w:r>
      <w:r>
        <w:rPr>
          <w:rFonts w:hint="eastAsia" w:ascii="宋体" w:hAnsi="宋体"/>
          <w:b/>
          <w:bCs/>
          <w:sz w:val="24"/>
          <w:szCs w:val="21"/>
          <w:lang w:val="zh-CN"/>
        </w:rPr>
        <w:t xml:space="preserve">函和法定代表人授权委托书，否则作为无效</w:t>
      </w:r>
      <w:r>
        <w:rPr>
          <w:rFonts w:hint="eastAsia" w:ascii="宋体" w:hAnsi="宋体"/>
          <w:b/>
          <w:bCs/>
          <w:sz w:val="24"/>
          <w:szCs w:val="21"/>
        </w:rPr>
        <w:t xml:space="preserve">响应</w:t>
      </w:r>
      <w:r>
        <w:rPr>
          <w:rFonts w:hint="eastAsia" w:ascii="宋体" w:hAnsi="宋体"/>
          <w:b/>
          <w:bCs/>
          <w:sz w:val="24"/>
          <w:szCs w:val="21"/>
          <w:lang w:val="zh-CN"/>
        </w:rPr>
        <w:t xml:space="preserve">。</w:t>
      </w:r>
      <w:r>
        <w:rPr>
          <w:rFonts w:hint="eastAsia" w:ascii="宋体" w:hAnsi="宋体"/>
          <w:sz w:val="24"/>
          <w:szCs w:val="21"/>
          <w:lang w:val="zh-CN"/>
        </w:rPr>
      </w:r>
      <w:r/>
    </w:p>
    <w:p>
      <w:pPr>
        <w:pStyle w:val="864"/>
        <w:ind w:firstLine="422"/>
        <w:spacing w:before="0" w:after="0" w:line="240" w:lineRule="auto"/>
        <w:rPr>
          <w:rFonts w:hint="eastAsia" w:ascii="方正楷体_GBK" w:hAnsi="方正楷体_GBK" w:eastAsia="方正楷体_GBK" w:cs="方正楷体_GBK"/>
        </w:rPr>
      </w:pPr>
      <w:r/>
      <w:bookmarkEnd w:id="69"/>
      <w:r/>
      <w:bookmarkEnd w:id="70"/>
      <w:r/>
      <w:bookmarkStart w:id="71" w:name="_Toc14577360"/>
      <w:r/>
      <w:bookmarkStart w:id="72" w:name="_Toc49090511"/>
      <w:r>
        <w:rPr>
          <w:rFonts w:hint="eastAsia" w:ascii="方正楷体_GBK" w:hAnsi="方正楷体_GBK" w:eastAsia="方正楷体_GBK" w:cs="方正楷体_GBK"/>
        </w:rPr>
        <w:t xml:space="preserve">13.磋商有效期</w:t>
      </w:r>
      <w:bookmarkEnd w:id="71"/>
      <w:r/>
      <w:bookmarkEnd w:id="72"/>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13.1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。磋商有效期比规定短的将被视为非实质性响应磋商文件，其磋商响应将被拒绝。</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14.磋商有效期的延长</w:t>
      </w:r>
      <w:r/>
    </w:p>
    <w:p>
      <w:pPr>
        <w:pStyle w:val="860"/>
        <w:ind w:firstLine="420"/>
        <w:rPr>
          <w:rFonts w:hint="eastAsia" w:ascii="宋体" w:hAnsi="宋体"/>
          <w:sz w:val="24"/>
          <w:szCs w:val="21"/>
        </w:rPr>
      </w:pPr>
      <w:r>
        <w:rPr>
          <w:rFonts w:hint="eastAsia" w:ascii="宋体" w:hAnsi="宋体"/>
          <w:sz w:val="24"/>
          <w:szCs w:val="21"/>
        </w:rPr>
        <w:t xml:space="preserve">14.1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w:t>
      </w:r>
      <w:r>
        <w:rPr>
          <w:rFonts w:hint="eastAsia" w:ascii="宋体" w:hAnsi="宋体"/>
          <w:sz w:val="24"/>
          <w:szCs w:val="21"/>
        </w:rPr>
        <w:t xml:space="preserve">时受磋商有效期约束的所有权利与义务均延长至新的有效期满。</w:t>
      </w:r>
      <w:r/>
    </w:p>
    <w:p>
      <w:pPr>
        <w:pStyle w:val="863"/>
        <w:ind w:firstLine="465"/>
        <w:spacing w:before="145" w:after="145" w:line="240" w:lineRule="auto"/>
        <w:rPr>
          <w:rFonts w:ascii="方正黑体_GBK" w:hAnsi="方正黑体_GBK" w:eastAsia="方正黑体_GBK" w:cs="方正黑体_GBK"/>
          <w:b w:val="0"/>
          <w:bCs w:val="0"/>
          <w:sz w:val="30"/>
          <w:szCs w:val="30"/>
        </w:rPr>
      </w:pPr>
      <w:r/>
      <w:bookmarkStart w:id="73" w:name="_Hlt26954739"/>
      <w:r/>
      <w:bookmarkEnd w:id="73"/>
      <w:r/>
      <w:bookmarkStart w:id="74" w:name="_Hlt26954852"/>
      <w:r/>
      <w:bookmarkEnd w:id="74"/>
      <w:r/>
      <w:bookmarkStart w:id="75" w:name="_Toc16938540"/>
      <w:r/>
      <w:bookmarkStart w:id="76" w:name="_Toc120614217"/>
      <w:r/>
      <w:bookmarkStart w:id="77" w:name="_Toc513029224"/>
      <w:r/>
      <w:bookmarkStart w:id="78" w:name="_Toc20823296"/>
      <w:r>
        <w:rPr>
          <w:rFonts w:hint="eastAsia" w:ascii="方正黑体_GBK" w:hAnsi="方正黑体_GBK" w:eastAsia="方正黑体_GBK" w:cs="方正黑体_GBK"/>
          <w:b w:val="0"/>
          <w:bCs w:val="0"/>
          <w:sz w:val="30"/>
          <w:szCs w:val="30"/>
        </w:rPr>
        <w:t xml:space="preserve">四、响应文件的递交</w:t>
      </w:r>
      <w:bookmarkEnd w:id="75"/>
      <w:r/>
      <w:bookmarkEnd w:id="76"/>
      <w:r/>
      <w:bookmarkEnd w:id="77"/>
      <w:r/>
      <w:bookmarkEnd w:id="78"/>
      <w:r>
        <w:rPr>
          <w:rFonts w:hint="eastAsia" w:ascii="方正黑体_GBK" w:hAnsi="方正黑体_GBK" w:eastAsia="方正黑体_GBK" w:cs="方正黑体_GBK"/>
          <w:b w:val="0"/>
          <w:bCs w:val="0"/>
          <w:sz w:val="30"/>
          <w:szCs w:val="30"/>
        </w:rPr>
        <w:t xml:space="preserve">、撤回和修改</w:t>
      </w:r>
      <w:r>
        <w:rPr>
          <w:rFonts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79" w:name="_Toc20823297"/>
      <w:r/>
      <w:bookmarkStart w:id="80" w:name="_Toc513029225"/>
      <w:r/>
      <w:bookmarkStart w:id="81" w:name="_Toc16938541"/>
      <w:r/>
      <w:bookmarkStart w:id="82" w:name="_Toc462564084"/>
      <w:r>
        <w:rPr>
          <w:rFonts w:hint="eastAsia" w:ascii="方正楷体_GBK" w:hAnsi="方正楷体_GBK" w:eastAsia="方正楷体_GBK" w:cs="方正楷体_GBK"/>
        </w:rPr>
        <w:t xml:space="preserve">15.</w:t>
      </w:r>
      <w:bookmarkEnd w:id="79"/>
      <w:r/>
      <w:bookmarkEnd w:id="80"/>
      <w:r/>
      <w:bookmarkEnd w:id="81"/>
      <w:r/>
      <w:bookmarkEnd w:id="82"/>
      <w:r>
        <w:rPr>
          <w:rFonts w:hint="eastAsia" w:ascii="方正楷体_GBK" w:hAnsi="方正楷体_GBK" w:eastAsia="方正楷体_GBK" w:cs="方正楷体_GBK"/>
        </w:rPr>
        <w:t xml:space="preserve">响应文件的递交</w:t>
      </w:r>
      <w:r/>
    </w:p>
    <w:p>
      <w:pPr>
        <w:pStyle w:val="860"/>
        <w:ind w:firstLine="420"/>
        <w:rPr>
          <w:rFonts w:hint="eastAsia" w:ascii="宋体" w:hAnsi="宋体"/>
          <w:sz w:val="24"/>
          <w:szCs w:val="21"/>
        </w:rPr>
      </w:pPr>
      <w:r>
        <w:rPr>
          <w:rFonts w:hint="eastAsia" w:ascii="宋体" w:hAnsi="宋体"/>
          <w:sz w:val="24"/>
          <w:szCs w:val="21"/>
        </w:rPr>
        <w:t xml:space="preserve">15.1 供应商应在采购公告规定的提交响应文件截止时间前制作并上传电子响应文件。</w:t>
      </w:r>
      <w:bookmarkStart w:id="83" w:name="_Toc513029226"/>
      <w:r/>
      <w:bookmarkStart w:id="84" w:name="_Toc20823298"/>
      <w:r/>
      <w:bookmarkStart w:id="85" w:name="_Toc16938542"/>
      <w:r>
        <w:rPr>
          <w:rFonts w:hint="eastAsia" w:ascii="宋体" w:hAnsi="宋体"/>
          <w:sz w:val="24"/>
          <w:szCs w:val="21"/>
        </w:rPr>
        <w:t xml:space="preserve">提交响应文件截止时间后上传的响应文件将被拒绝。</w:t>
      </w:r>
      <w:r/>
    </w:p>
    <w:p>
      <w:pPr>
        <w:pStyle w:val="860"/>
        <w:ind w:firstLine="420"/>
        <w:rPr>
          <w:rFonts w:hint="eastAsia" w:ascii="宋体" w:hAnsi="宋体"/>
          <w:sz w:val="24"/>
          <w:szCs w:val="21"/>
        </w:rPr>
      </w:pPr>
      <w:r/>
      <w:bookmarkEnd w:id="83"/>
      <w:r/>
      <w:bookmarkEnd w:id="84"/>
      <w:r/>
      <w:bookmarkEnd w:id="85"/>
      <w:r>
        <w:rPr>
          <w:rFonts w:hint="eastAsia" w:ascii="宋体" w:hAnsi="宋体"/>
          <w:sz w:val="24"/>
          <w:szCs w:val="21"/>
        </w:rPr>
        <w:t xml:space="preserve">15.2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，如因供应商自身原因造成的电子响应文件上传不成功的，按照本磋商文件第二章第22.1条规定做无效响应处理。</w:t>
      </w:r>
      <w:r/>
    </w:p>
    <w:p>
      <w:pPr>
        <w:pStyle w:val="860"/>
        <w:ind w:firstLine="420"/>
        <w:rPr>
          <w:rFonts w:hint="eastAsia" w:ascii="宋体" w:hAnsi="宋体"/>
          <w:sz w:val="24"/>
          <w:szCs w:val="21"/>
        </w:rPr>
      </w:pPr>
      <w:r>
        <w:rPr>
          <w:rFonts w:hint="eastAsia" w:ascii="宋体" w:hAnsi="宋体"/>
          <w:sz w:val="24"/>
          <w:szCs w:val="21"/>
        </w:rPr>
        <w:t xml:space="preserve">15.3 交易中心可以按照规定，通过修改磋商文件酌情延长提交响应文件截止日期，在此情况下，供应商的所有权利和义务均以延长后新的截止日期为准。</w:t>
      </w:r>
      <w:r/>
    </w:p>
    <w:p>
      <w:pPr>
        <w:pStyle w:val="864"/>
        <w:ind w:firstLine="422"/>
        <w:spacing w:before="0" w:after="0" w:line="240" w:lineRule="auto"/>
        <w:rPr>
          <w:rFonts w:hint="eastAsia" w:ascii="方正楷体_GBK" w:hAnsi="方正楷体_GBK" w:eastAsia="方正楷体_GBK" w:cs="方正楷体_GBK"/>
        </w:rPr>
      </w:pPr>
      <w:r/>
      <w:bookmarkStart w:id="86" w:name="_Toc16938544"/>
      <w:r/>
      <w:bookmarkStart w:id="87" w:name="_Toc20823300"/>
      <w:r/>
      <w:bookmarkStart w:id="88" w:name="_Toc513029228"/>
      <w:r>
        <w:rPr>
          <w:rFonts w:hint="eastAsia" w:ascii="方正楷体_GBK" w:hAnsi="方正楷体_GBK" w:eastAsia="方正楷体_GBK" w:cs="方正楷体_GBK"/>
        </w:rPr>
        <w:t xml:space="preserve">16.响应文件的撤回和修改</w:t>
      </w:r>
      <w:bookmarkEnd w:id="86"/>
      <w:r/>
      <w:bookmarkEnd w:id="87"/>
      <w:r/>
      <w:bookmarkEnd w:id="88"/>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16.1 响应文件的撤回</w:t>
      </w:r>
      <w:r/>
    </w:p>
    <w:p>
      <w:pPr>
        <w:pStyle w:val="860"/>
        <w:ind w:firstLine="420"/>
        <w:rPr>
          <w:rFonts w:hint="eastAsia" w:ascii="宋体" w:hAnsi="宋体"/>
          <w:sz w:val="24"/>
          <w:szCs w:val="21"/>
        </w:rPr>
      </w:pPr>
      <w:r>
        <w:rPr>
          <w:rFonts w:hint="eastAsia" w:ascii="宋体" w:hAnsi="宋体"/>
          <w:sz w:val="24"/>
          <w:szCs w:val="21"/>
        </w:rPr>
        <w:t xml:space="preserve">16.1.1 供应商可在提交响应文件截止时间前，撤回其电子响应文件。</w:t>
      </w:r>
      <w:r/>
    </w:p>
    <w:p>
      <w:pPr>
        <w:pStyle w:val="860"/>
        <w:ind w:firstLine="420"/>
        <w:rPr>
          <w:rFonts w:hint="eastAsia" w:ascii="宋体" w:hAnsi="宋体"/>
          <w:sz w:val="24"/>
          <w:szCs w:val="21"/>
        </w:rPr>
      </w:pPr>
      <w:r>
        <w:rPr>
          <w:rFonts w:hint="eastAsia" w:ascii="宋体" w:hAnsi="宋体"/>
          <w:sz w:val="24"/>
          <w:szCs w:val="21"/>
        </w:rPr>
        <w:t xml:space="preserve">16.1.2 供应商撤回电子响应文件，则认为其不再参与本项目磋商活动。</w:t>
      </w:r>
      <w:r/>
    </w:p>
    <w:p>
      <w:pPr>
        <w:pStyle w:val="860"/>
        <w:ind w:firstLine="420"/>
        <w:rPr>
          <w:rFonts w:hint="eastAsia" w:ascii="宋体" w:hAnsi="宋体"/>
          <w:sz w:val="24"/>
          <w:szCs w:val="21"/>
        </w:rPr>
      </w:pPr>
      <w:r>
        <w:rPr>
          <w:rFonts w:hint="eastAsia" w:ascii="宋体" w:hAnsi="宋体"/>
          <w:sz w:val="24"/>
          <w:szCs w:val="21"/>
        </w:rPr>
        <w:t xml:space="preserve">16.1.3 在提交响应文件截止时间至磋商文件中规定的磋商有效期满之间的这段时间内，供应商不得撤回其响应文件。</w:t>
      </w:r>
      <w:r/>
    </w:p>
    <w:p>
      <w:pPr>
        <w:pStyle w:val="860"/>
        <w:ind w:firstLine="420"/>
        <w:rPr>
          <w:rFonts w:hint="eastAsia" w:ascii="宋体" w:hAnsi="宋体"/>
          <w:sz w:val="24"/>
          <w:szCs w:val="21"/>
        </w:rPr>
      </w:pPr>
      <w:r>
        <w:rPr>
          <w:rFonts w:hint="eastAsia" w:ascii="宋体" w:hAnsi="宋体"/>
          <w:sz w:val="24"/>
          <w:szCs w:val="21"/>
        </w:rPr>
        <w:t xml:space="preserve">16.2 响应文件的修改</w:t>
      </w:r>
      <w:r/>
    </w:p>
    <w:p>
      <w:pPr>
        <w:pStyle w:val="860"/>
        <w:ind w:firstLine="420"/>
        <w:rPr>
          <w:rFonts w:hint="eastAsia" w:ascii="宋体" w:hAnsi="宋体"/>
          <w:sz w:val="24"/>
          <w:szCs w:val="21"/>
        </w:rPr>
      </w:pPr>
      <w:r>
        <w:rPr>
          <w:rFonts w:hint="eastAsia" w:ascii="宋体" w:hAnsi="宋体"/>
          <w:sz w:val="24"/>
          <w:szCs w:val="21"/>
        </w:rPr>
        <w:t xml:space="preserve">16.2.1 供应商可在提交响应文件截止时间前，对其电子响应文件进行修改。</w:t>
      </w:r>
      <w:r/>
    </w:p>
    <w:p>
      <w:pPr>
        <w:pStyle w:val="860"/>
        <w:ind w:firstLine="420"/>
        <w:rPr>
          <w:rFonts w:hint="eastAsia" w:ascii="宋体" w:hAnsi="宋体"/>
          <w:sz w:val="24"/>
          <w:szCs w:val="21"/>
        </w:rPr>
      </w:pPr>
      <w:r>
        <w:rPr>
          <w:rFonts w:hint="eastAsia" w:ascii="宋体" w:hAnsi="宋体"/>
          <w:sz w:val="24"/>
          <w:szCs w:val="21"/>
        </w:rPr>
        <w:t xml:space="preserve">16.2.2 提交响应文件截止时间之后，供应商不得对其电子响应</w:t>
      </w:r>
      <w:r>
        <w:rPr>
          <w:rFonts w:hint="eastAsia" w:ascii="宋体" w:hAnsi="宋体"/>
          <w:sz w:val="24"/>
          <w:szCs w:val="21"/>
        </w:rPr>
        <w:t xml:space="preserve">文件作任何修改。</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89" w:name="_Toc20823301"/>
      <w:r/>
      <w:bookmarkStart w:id="90" w:name="_Toc120614218"/>
      <w:r/>
      <w:bookmarkStart w:id="91" w:name="_Toc16938545"/>
      <w:r/>
      <w:bookmarkStart w:id="92" w:name="_Toc513029229"/>
      <w:r>
        <w:rPr>
          <w:rFonts w:hint="eastAsia" w:ascii="方正黑体_GBK" w:hAnsi="方正黑体_GBK" w:eastAsia="方正黑体_GBK" w:cs="方正黑体_GBK"/>
          <w:b w:val="0"/>
          <w:bCs w:val="0"/>
          <w:sz w:val="30"/>
          <w:szCs w:val="30"/>
        </w:rPr>
        <w:t xml:space="preserve">五、响应文件的解密与评审</w:t>
      </w:r>
      <w:bookmarkEnd w:id="89"/>
      <w:r/>
      <w:bookmarkEnd w:id="90"/>
      <w:r/>
      <w:bookmarkEnd w:id="91"/>
      <w:r/>
      <w:bookmarkEnd w:id="92"/>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17.响应文件解密</w:t>
      </w:r>
      <w:r/>
    </w:p>
    <w:p>
      <w:pPr>
        <w:pStyle w:val="860"/>
        <w:ind w:firstLine="420"/>
        <w:rPr>
          <w:rFonts w:hint="eastAsia" w:ascii="宋体" w:hAnsi="宋体"/>
          <w:sz w:val="24"/>
          <w:szCs w:val="21"/>
        </w:rPr>
      </w:pPr>
      <w:r>
        <w:rPr>
          <w:rFonts w:hint="eastAsia" w:ascii="宋体" w:hAnsi="宋体"/>
          <w:sz w:val="24"/>
          <w:szCs w:val="21"/>
        </w:rPr>
        <w:t xml:space="preserve">17.1 供应商应当在苏采云系统规定的时间内对响应文件进行解密。</w:t>
      </w:r>
      <w:r/>
    </w:p>
    <w:p>
      <w:pPr>
        <w:pStyle w:val="864"/>
        <w:ind w:firstLine="422"/>
        <w:spacing w:before="0" w:after="0" w:line="240" w:lineRule="auto"/>
        <w:rPr>
          <w:rFonts w:hint="eastAsia" w:ascii="方正楷体_GBK" w:hAnsi="方正楷体_GBK" w:eastAsia="方正楷体_GBK" w:cs="方正楷体_GBK"/>
        </w:rPr>
      </w:pPr>
      <w:r/>
      <w:bookmarkStart w:id="93" w:name="_Toc16938547"/>
      <w:r/>
      <w:bookmarkStart w:id="94" w:name="_Toc20823303"/>
      <w:r/>
      <w:bookmarkStart w:id="95" w:name="_Toc513029231"/>
      <w:r>
        <w:rPr>
          <w:rFonts w:hint="eastAsia" w:ascii="方正楷体_GBK" w:hAnsi="方正楷体_GBK" w:eastAsia="方正楷体_GBK" w:cs="方正楷体_GBK"/>
        </w:rPr>
        <w:t xml:space="preserve">18.评审</w:t>
      </w:r>
      <w:r/>
    </w:p>
    <w:p>
      <w:pPr>
        <w:pStyle w:val="860"/>
        <w:ind w:firstLine="420"/>
        <w:rPr>
          <w:rFonts w:hint="eastAsia" w:ascii="宋体" w:hAnsi="宋体"/>
          <w:sz w:val="24"/>
          <w:szCs w:val="21"/>
        </w:rPr>
      </w:pPr>
      <w:r>
        <w:rPr>
          <w:rFonts w:hint="eastAsia" w:ascii="宋体" w:hAnsi="宋体"/>
          <w:sz w:val="24"/>
          <w:szCs w:val="21"/>
        </w:rPr>
        <w:t xml:space="preserve">18.1 依法组建的磋商小组对响应文件进行评审。</w:t>
      </w:r>
      <w:r/>
    </w:p>
    <w:p>
      <w:pPr>
        <w:pStyle w:val="860"/>
        <w:ind w:firstLine="420"/>
        <w:rPr>
          <w:rFonts w:hint="eastAsia" w:ascii="宋体" w:hAnsi="宋体"/>
          <w:sz w:val="24"/>
          <w:szCs w:val="21"/>
        </w:rPr>
      </w:pPr>
      <w:r>
        <w:rPr>
          <w:rFonts w:hint="eastAsia" w:ascii="宋体" w:hAnsi="宋体"/>
          <w:sz w:val="24"/>
          <w:szCs w:val="21"/>
        </w:rPr>
        <w:t xml:space="preserve">18.2 磋商小组由采购人代表和有关方面的专家组成，人员构成符合政府采购有关规定。</w:t>
      </w:r>
      <w:r/>
    </w:p>
    <w:p>
      <w:pPr>
        <w:pStyle w:val="860"/>
        <w:ind w:firstLine="420"/>
        <w:rPr>
          <w:rFonts w:hint="eastAsia" w:ascii="宋体" w:hAnsi="宋体"/>
          <w:sz w:val="24"/>
          <w:szCs w:val="21"/>
        </w:rPr>
      </w:pPr>
      <w:r>
        <w:rPr>
          <w:rFonts w:hint="eastAsia" w:ascii="宋体" w:hAnsi="宋体"/>
          <w:sz w:val="24"/>
          <w:szCs w:val="21"/>
        </w:rPr>
        <w:t xml:space="preserve">18.3 磋商小组独立工作，负责评审所有响应文件并推荐成交候选人，或根据采购人授权直接确定成交供应商。</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19.评审过程的保密与公正</w:t>
      </w:r>
      <w:r/>
    </w:p>
    <w:p>
      <w:pPr>
        <w:pStyle w:val="860"/>
        <w:ind w:firstLine="420"/>
        <w:rPr>
          <w:rFonts w:hint="eastAsia" w:ascii="宋体" w:hAnsi="宋体"/>
          <w:sz w:val="24"/>
          <w:szCs w:val="21"/>
        </w:rPr>
      </w:pPr>
      <w:r/>
      <w:bookmarkEnd w:id="93"/>
      <w:r/>
      <w:bookmarkEnd w:id="94"/>
      <w:r/>
      <w:bookmarkEnd w:id="95"/>
      <w:r>
        <w:rPr>
          <w:rFonts w:hint="eastAsia" w:ascii="宋体" w:hAnsi="宋体"/>
          <w:sz w:val="24"/>
          <w:szCs w:val="21"/>
        </w:rPr>
        <w:t xml:space="preserve">19.1 磋商小组、采购人和交易中心工作人员、相关监督人员等与评审工作有关的人员，对评审情况以及在评审过程中获悉的国家秘密、商业秘密负有保密责任。</w:t>
      </w:r>
      <w:r/>
    </w:p>
    <w:p>
      <w:pPr>
        <w:pStyle w:val="860"/>
        <w:ind w:firstLine="420"/>
        <w:rPr>
          <w:rFonts w:hint="eastAsia" w:ascii="宋体" w:hAnsi="宋体"/>
          <w:sz w:val="24"/>
          <w:szCs w:val="21"/>
        </w:rPr>
      </w:pPr>
      <w:r>
        <w:rPr>
          <w:rFonts w:hint="eastAsia" w:ascii="宋体" w:hAnsi="宋体"/>
          <w:sz w:val="24"/>
          <w:szCs w:val="21"/>
        </w:rPr>
        <w:t xml:space="preserve">19.2 供应商不得以任何方式影响评审过程。</w:t>
      </w:r>
      <w:r/>
    </w:p>
    <w:p>
      <w:pPr>
        <w:pStyle w:val="860"/>
        <w:ind w:firstLine="420"/>
        <w:rPr>
          <w:rFonts w:hint="eastAsia" w:ascii="宋体" w:hAnsi="宋体"/>
          <w:sz w:val="24"/>
          <w:szCs w:val="21"/>
        </w:rPr>
      </w:pPr>
      <w:r>
        <w:rPr>
          <w:rFonts w:hint="eastAsia" w:ascii="宋体" w:hAnsi="宋体"/>
          <w:sz w:val="24"/>
          <w:szCs w:val="21"/>
        </w:rPr>
        <w:t xml:space="preserve">19.3 交易中心和磋商小组不向未成交的供应商解释未成交原因，也不公布评审过程中的相关细节。</w:t>
      </w:r>
      <w:r/>
    </w:p>
    <w:p>
      <w:pPr>
        <w:pStyle w:val="864"/>
        <w:ind w:firstLine="422"/>
        <w:spacing w:before="0" w:after="0" w:line="240" w:lineRule="auto"/>
        <w:rPr>
          <w:rFonts w:hint="eastAsia" w:ascii="方正楷体_GBK" w:hAnsi="方正楷体_GBK" w:eastAsia="方正楷体_GBK" w:cs="方正楷体_GBK"/>
        </w:rPr>
      </w:pPr>
      <w:r/>
      <w:bookmarkStart w:id="96" w:name="_Toc16938548"/>
      <w:r/>
      <w:bookmarkStart w:id="97" w:name="_Toc513029232"/>
      <w:r/>
      <w:bookmarkStart w:id="98" w:name="_Toc20823304"/>
      <w:r>
        <w:rPr>
          <w:rFonts w:hint="eastAsia" w:ascii="方正楷体_GBK" w:hAnsi="方正楷体_GBK" w:eastAsia="方正楷体_GBK" w:cs="方正楷体_GBK"/>
        </w:rPr>
        <w:t xml:space="preserve">20.评审过程中的澄清</w:t>
      </w:r>
      <w:bookmarkEnd w:id="96"/>
      <w:r/>
      <w:bookmarkEnd w:id="97"/>
      <w:r/>
      <w:bookmarkEnd w:id="98"/>
      <w:r>
        <w:rPr>
          <w:rFonts w:hint="eastAsia" w:ascii="方正楷体_GBK" w:hAnsi="方正楷体_GBK" w:eastAsia="方正楷体_GBK" w:cs="方正楷体_GBK"/>
        </w:rPr>
      </w:r>
      <w:r/>
    </w:p>
    <w:p>
      <w:pPr>
        <w:pStyle w:val="860"/>
        <w:ind w:firstLine="420"/>
        <w:rPr>
          <w:rFonts w:hint="eastAsia" w:ascii="宋体" w:hAnsi="宋体"/>
          <w:sz w:val="24"/>
          <w:szCs w:val="21"/>
        </w:rPr>
      </w:pPr>
      <w:r>
        <w:rPr>
          <w:rFonts w:hint="eastAsia" w:ascii="宋体" w:hAnsi="宋体"/>
          <w:sz w:val="24"/>
          <w:szCs w:val="21"/>
        </w:rPr>
        <w:t xml:space="preserve">20.1 项目评审期间，磋商小组有权要求供应商对响应文件中含义不明确、同类问题表述不一致或者有明显文字和计算错误的内容等作出必要的澄清、说明或者补正。</w:t>
      </w:r>
      <w:r/>
    </w:p>
    <w:p>
      <w:pPr>
        <w:pStyle w:val="860"/>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pStyle w:val="860"/>
        <w:ind w:firstLine="420"/>
        <w:rPr>
          <w:rFonts w:hint="eastAsia" w:ascii="宋体" w:hAnsi="宋体"/>
          <w:sz w:val="24"/>
          <w:szCs w:val="21"/>
        </w:rPr>
      </w:pPr>
      <w:r>
        <w:rPr>
          <w:rFonts w:hint="eastAsia" w:ascii="宋体" w:hAnsi="宋体"/>
          <w:sz w:val="24"/>
          <w:szCs w:val="21"/>
        </w:rPr>
        <w:t xml:space="preserve">磋商小组并非对每个供应商都做澄清要求。</w:t>
      </w:r>
      <w:r/>
    </w:p>
    <w:p>
      <w:pPr>
        <w:pStyle w:val="860"/>
        <w:ind w:firstLine="420"/>
        <w:rPr>
          <w:rFonts w:hint="eastAsia" w:ascii="宋体" w:hAnsi="宋体"/>
          <w:sz w:val="24"/>
          <w:szCs w:val="21"/>
        </w:rPr>
      </w:pPr>
      <w:r>
        <w:rPr>
          <w:rFonts w:hint="eastAsia" w:ascii="宋体" w:hAnsi="宋体"/>
          <w:sz w:val="24"/>
          <w:szCs w:val="21"/>
        </w:rPr>
        <w:t xml:space="preserve">20.2 需要供应商进行澄清、说</w:t>
      </w:r>
      <w:r>
        <w:rPr>
          <w:rFonts w:hint="eastAsia" w:ascii="宋体" w:hAnsi="宋体"/>
          <w:sz w:val="24"/>
          <w:szCs w:val="21"/>
        </w:rPr>
        <w:t xml:space="preserve">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w:t>
      </w:r>
      <w:r/>
    </w:p>
    <w:p>
      <w:pPr>
        <w:pStyle w:val="860"/>
        <w:ind w:firstLine="420"/>
        <w:rPr>
          <w:rFonts w:hint="eastAsia" w:ascii="宋体" w:hAnsi="宋体"/>
          <w:sz w:val="24"/>
          <w:szCs w:val="21"/>
        </w:rPr>
      </w:pPr>
      <w:r>
        <w:rPr>
          <w:rFonts w:hint="eastAsia" w:ascii="宋体" w:hAnsi="宋体"/>
          <w:sz w:val="24"/>
          <w:szCs w:val="21"/>
        </w:rPr>
        <w:t xml:space="preserve">20.3 接到磋商小组澄清、说明和补正要求的供应商如未按规定做出澄清、说明和补正，其风险由供应商自行承担。</w:t>
      </w:r>
      <w:r/>
    </w:p>
    <w:p>
      <w:pPr>
        <w:pStyle w:val="864"/>
        <w:ind w:firstLine="422"/>
        <w:spacing w:before="0" w:after="0" w:line="240" w:lineRule="auto"/>
        <w:rPr>
          <w:rFonts w:hint="eastAsia" w:ascii="方正楷体_GBK" w:hAnsi="方正楷体_GBK" w:eastAsia="方正楷体_GBK" w:cs="方正楷体_GBK"/>
        </w:rPr>
      </w:pPr>
      <w:r/>
      <w:bookmarkStart w:id="99" w:name="_Toc16938549"/>
      <w:r/>
      <w:bookmarkStart w:id="100" w:name="_Toc513029233"/>
      <w:r/>
      <w:bookmarkStart w:id="101" w:name="_Toc20823305"/>
      <w:r>
        <w:rPr>
          <w:rFonts w:hint="eastAsia" w:ascii="方正楷体_GBK" w:hAnsi="方正楷体_GBK" w:eastAsia="方正楷体_GBK" w:cs="方正楷体_GBK"/>
        </w:rPr>
        <w:t xml:space="preserve">21.响应文件的审</w:t>
      </w:r>
      <w:bookmarkEnd w:id="99"/>
      <w:r/>
      <w:bookmarkEnd w:id="100"/>
      <w:r/>
      <w:bookmarkEnd w:id="101"/>
      <w:r>
        <w:rPr>
          <w:rFonts w:hint="eastAsia" w:ascii="方正楷体_GBK" w:hAnsi="方正楷体_GBK" w:eastAsia="方正楷体_GBK" w:cs="方正楷体_GBK"/>
        </w:rPr>
        <w:t xml:space="preserve">查</w:t>
      </w:r>
      <w:r/>
    </w:p>
    <w:p>
      <w:pPr>
        <w:pStyle w:val="860"/>
        <w:ind w:firstLine="420"/>
        <w:rPr>
          <w:rFonts w:hint="eastAsia" w:ascii="宋体" w:hAnsi="宋体"/>
          <w:sz w:val="24"/>
          <w:szCs w:val="21"/>
        </w:rPr>
      </w:pPr>
      <w:r>
        <w:rPr>
          <w:rFonts w:hint="eastAsia" w:ascii="宋体" w:hAnsi="宋体"/>
          <w:sz w:val="24"/>
          <w:szCs w:val="21"/>
        </w:rPr>
        <w:t xml:space="preserve">21.1 响应文件审查分为资格审查和符合性审查。</w:t>
      </w:r>
      <w:r/>
    </w:p>
    <w:p>
      <w:pPr>
        <w:pStyle w:val="860"/>
        <w:ind w:firstLine="420"/>
        <w:rPr>
          <w:rFonts w:hint="eastAsia" w:ascii="宋体" w:hAnsi="宋体"/>
          <w:sz w:val="24"/>
          <w:szCs w:val="21"/>
        </w:rPr>
      </w:pPr>
      <w:r>
        <w:rPr>
          <w:rFonts w:hint="eastAsia" w:ascii="宋体" w:hAnsi="宋体"/>
          <w:sz w:val="24"/>
          <w:szCs w:val="21"/>
        </w:rPr>
        <w:t xml:space="preserve">21.1.1 资格审查。依据法律法规和磋商文件的规定，磋商小组对响应文件中的资格证明文件进行审查，以确定供应商是否具备参加磋商的资格。</w:t>
      </w:r>
      <w:r/>
    </w:p>
    <w:p>
      <w:pPr>
        <w:pStyle w:val="860"/>
        <w:ind w:firstLine="420"/>
        <w:rPr>
          <w:rFonts w:hint="eastAsia" w:ascii="宋体" w:hAnsi="宋体"/>
          <w:sz w:val="24"/>
          <w:szCs w:val="21"/>
        </w:rPr>
      </w:pPr>
      <w:r>
        <w:rPr>
          <w:rFonts w:hint="eastAsia" w:ascii="宋体" w:hAnsi="宋体"/>
          <w:sz w:val="24"/>
          <w:szCs w:val="21"/>
        </w:rPr>
        <w:t xml:space="preserve">磋商小组进行资格审查时，将在“信用中国”网站查询供应商的信用记录，以确定供应商是否具备磋商资格,查询结果留存并归档。</w:t>
      </w:r>
      <w:r/>
    </w:p>
    <w:p>
      <w:pPr>
        <w:pStyle w:val="860"/>
        <w:ind w:firstLine="420"/>
        <w:rPr>
          <w:rFonts w:hint="eastAsia" w:ascii="宋体" w:hAnsi="宋体"/>
          <w:sz w:val="24"/>
          <w:szCs w:val="21"/>
        </w:rPr>
      </w:pPr>
      <w:r>
        <w:rPr>
          <w:rFonts w:hint="eastAsia" w:ascii="宋体" w:hAnsi="宋体"/>
          <w:sz w:val="24"/>
          <w:szCs w:val="21"/>
        </w:rPr>
        <w:t xml:space="preserve">21.1.2 符合性审查。磋商小组</w:t>
      </w:r>
      <w:r>
        <w:rPr>
          <w:rFonts w:hint="eastAsia" w:ascii="宋体" w:hAnsi="宋体"/>
          <w:sz w:val="24"/>
          <w:szCs w:val="21"/>
          <w:lang w:val="zh-CN"/>
        </w:rPr>
        <w:t xml:space="preserve">对</w:t>
      </w:r>
      <w:r>
        <w:rPr>
          <w:rFonts w:hint="eastAsia" w:ascii="宋体" w:hAnsi="宋体"/>
          <w:sz w:val="24"/>
          <w:szCs w:val="21"/>
        </w:rPr>
        <w:t xml:space="preserve">通过</w:t>
      </w:r>
      <w:r>
        <w:rPr>
          <w:rFonts w:hint="eastAsia" w:ascii="宋体" w:hAnsi="宋体"/>
          <w:sz w:val="24"/>
          <w:szCs w:val="21"/>
          <w:lang w:val="zh-CN"/>
        </w:rPr>
        <w:t xml:space="preserve">资格</w:t>
      </w:r>
      <w:r>
        <w:rPr>
          <w:rFonts w:hint="eastAsia" w:ascii="宋体" w:hAnsi="宋体"/>
          <w:sz w:val="24"/>
          <w:szCs w:val="21"/>
        </w:rPr>
        <w:t xml:space="preserve">审查</w:t>
      </w:r>
      <w:r>
        <w:rPr>
          <w:rFonts w:hint="eastAsia" w:ascii="宋体" w:hAnsi="宋体"/>
          <w:sz w:val="24"/>
          <w:szCs w:val="21"/>
          <w:lang w:val="zh-CN"/>
        </w:rPr>
        <w:t xml:space="preserve">的</w:t>
      </w:r>
      <w:r>
        <w:rPr>
          <w:rFonts w:hint="eastAsia" w:ascii="宋体" w:hAnsi="宋体"/>
          <w:sz w:val="24"/>
          <w:szCs w:val="21"/>
        </w:rPr>
        <w:t xml:space="preserve">供应商</w:t>
      </w:r>
      <w:r>
        <w:rPr>
          <w:rFonts w:hint="eastAsia" w:ascii="宋体" w:hAnsi="宋体"/>
          <w:sz w:val="24"/>
          <w:szCs w:val="21"/>
          <w:lang w:val="zh-CN"/>
        </w:rPr>
        <w:t xml:space="preserve">的</w:t>
      </w:r>
      <w:r>
        <w:rPr>
          <w:rFonts w:hint="eastAsia" w:ascii="宋体" w:hAnsi="宋体"/>
          <w:sz w:val="24"/>
          <w:szCs w:val="21"/>
        </w:rPr>
        <w:t xml:space="preserve">响应文件进行符合性审查，以确定其是否满足磋商文件的实质性要求。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rPr>
          <w:rFonts w:hint="eastAsia" w:ascii="宋体" w:hAnsi="宋体"/>
          <w:sz w:val="24"/>
          <w:szCs w:val="21"/>
        </w:rPr>
      </w:r>
      <w:r/>
    </w:p>
    <w:p>
      <w:pPr>
        <w:pStyle w:val="860"/>
        <w:ind w:firstLine="420"/>
        <w:rPr>
          <w:rFonts w:hint="eastAsia" w:ascii="宋体" w:hAnsi="宋体"/>
          <w:sz w:val="24"/>
          <w:szCs w:val="21"/>
        </w:rPr>
      </w:pPr>
      <w:r>
        <w:rPr>
          <w:rFonts w:hint="eastAsia" w:ascii="宋体" w:hAnsi="宋体"/>
          <w:sz w:val="24"/>
          <w:szCs w:val="21"/>
        </w:rPr>
        <w:t xml:space="preserve">21.1.3 未通过资格审查或符合性审查的供应商，磋商小组将通过苏采云系统告知具体原因，评审结束后将不再接受有关询问。</w:t>
      </w:r>
      <w:r/>
    </w:p>
    <w:p>
      <w:pPr>
        <w:pStyle w:val="860"/>
        <w:ind w:firstLine="420"/>
        <w:rPr>
          <w:rFonts w:hint="eastAsia" w:ascii="宋体" w:hAnsi="宋体"/>
          <w:sz w:val="24"/>
          <w:lang w:val="zh-CN"/>
        </w:rPr>
      </w:pPr>
      <w:r>
        <w:rPr>
          <w:rFonts w:hint="eastAsia" w:ascii="宋体" w:hAnsi="宋体"/>
          <w:sz w:val="24"/>
          <w:szCs w:val="21"/>
        </w:rPr>
        <w:t xml:space="preserve">21.2 在详细评审之前，磋商小组将首先审查每份响应文件是否实质性响应了磋商文件的要求。实质性响应的响应文件应该是与</w:t>
      </w:r>
      <w:r>
        <w:rPr>
          <w:rFonts w:hint="eastAsia" w:ascii="宋体" w:hAnsi="宋体"/>
          <w:sz w:val="24"/>
          <w:szCs w:val="21"/>
        </w:rPr>
        <w:t xml:space="preserve">磋商文件要求的条款、条件和规格相符，没有重大偏离或保留的文件。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p>
    <w:p>
      <w:pPr>
        <w:pStyle w:val="860"/>
        <w:ind w:firstLine="420"/>
        <w:rPr>
          <w:rFonts w:hint="eastAsia" w:ascii="宋体" w:hAnsi="宋体"/>
          <w:sz w:val="24"/>
          <w:szCs w:val="21"/>
        </w:rPr>
      </w:pPr>
      <w:r>
        <w:rPr>
          <w:rFonts w:hint="eastAsia" w:ascii="宋体" w:hAnsi="宋体"/>
          <w:sz w:val="24"/>
          <w:szCs w:val="21"/>
        </w:rPr>
        <w:t xml:space="preserve">21.3 如果响应文件实质上没有响应磋商文件的要求，磋商小组将予以拒绝，供应商不得通过修改或撤销不符合要求的偏离或保留而使其成为实质性响应的文件。</w:t>
      </w:r>
      <w:r/>
    </w:p>
    <w:p>
      <w:pPr>
        <w:pStyle w:val="860"/>
        <w:ind w:firstLine="420"/>
        <w:rPr>
          <w:rFonts w:hint="eastAsia" w:ascii="宋体" w:hAnsi="宋体"/>
          <w:sz w:val="24"/>
          <w:szCs w:val="21"/>
        </w:rPr>
      </w:pPr>
      <w:r>
        <w:rPr>
          <w:rFonts w:hint="eastAsia" w:ascii="宋体" w:hAnsi="宋体"/>
          <w:sz w:val="24"/>
          <w:szCs w:val="21"/>
        </w:rPr>
        <w:t xml:space="preserve">21.4 供应商在项目评审全过程中应保持通讯畅通，</w:t>
      </w:r>
      <w:r>
        <w:rPr>
          <w:rFonts w:hint="eastAsia" w:ascii="宋体" w:hAnsi="宋体"/>
          <w:sz w:val="24"/>
          <w:lang w:val="zh-CN"/>
        </w:rPr>
        <w:t xml:space="preserve">及时登录苏采云系统查阅、答复相关信息。</w:t>
      </w:r>
      <w:r>
        <w:rPr>
          <w:rFonts w:hint="eastAsia" w:ascii="宋体" w:hAnsi="宋体"/>
          <w:sz w:val="24"/>
          <w:szCs w:val="21"/>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异常低价审查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应当启动异常低价审查程序：</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sz w:val="24"/>
          <w:u w:val="single"/>
          <w:lang w:val="zh-CN"/>
        </w:rPr>
        <w:t xml:space="preserve">50%</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sz w:val="24"/>
          <w:u w:val="single"/>
          <w:lang w:val="zh-CN"/>
        </w:rPr>
        <w:t xml:space="preserve">45%</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02"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02"/>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p>
    <w:p>
      <w:pPr>
        <w:pStyle w:val="860"/>
        <w:ind w:firstLine="457"/>
        <w:rPr>
          <w:rFonts w:hint="eastAsia" w:ascii="方正楷体_GBK" w:hAnsi="方正楷体_GBK" w:eastAsia="方正楷体_GBK" w:cs="方正楷体_GBK"/>
          <w:b/>
          <w:bCs/>
          <w:sz w:val="26"/>
          <w:szCs w:val="26"/>
        </w:rPr>
      </w:pPr>
      <w:r>
        <w:rPr>
          <w:rFonts w:hint="eastAsia" w:ascii="方正楷体_GBK" w:hAnsi="方正楷体_GBK" w:eastAsia="方正楷体_GBK" w:cs="方正楷体_GBK"/>
          <w:b/>
          <w:bCs/>
          <w:sz w:val="26"/>
          <w:szCs w:val="26"/>
        </w:rPr>
        <w:t xml:space="preserve">22.无效响应</w:t>
      </w:r>
      <w:r/>
    </w:p>
    <w:p>
      <w:pPr>
        <w:pStyle w:val="860"/>
        <w:ind w:firstLine="422"/>
        <w:rPr>
          <w:rFonts w:hint="eastAsia" w:ascii="宋体" w:hAnsi="宋体"/>
          <w:sz w:val="24"/>
          <w:szCs w:val="21"/>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w:t>
      </w:r>
      <w:r>
        <w:rPr>
          <w:rFonts w:hint="eastAsia" w:ascii="宋体" w:hAnsi="宋体"/>
          <w:b/>
          <w:bCs/>
          <w:sz w:val="24"/>
        </w:rPr>
        <w:t xml:space="preserve">响应</w:t>
      </w:r>
      <w:r>
        <w:rPr>
          <w:rFonts w:hint="eastAsia" w:ascii="宋体" w:hAnsi="宋体"/>
          <w:b/>
          <w:bCs/>
          <w:sz w:val="24"/>
          <w:lang w:val="zh-CN"/>
        </w:rPr>
        <w:t xml:space="preserve">情形</w:t>
      </w:r>
      <w:r>
        <w:rPr>
          <w:rFonts w:hint="eastAsia" w:ascii="宋体" w:hAnsi="宋体"/>
          <w:sz w:val="24"/>
          <w:szCs w:val="21"/>
        </w:rPr>
      </w:r>
      <w:r/>
    </w:p>
    <w:p>
      <w:pPr>
        <w:pStyle w:val="860"/>
        <w:ind w:firstLine="420"/>
        <w:rPr>
          <w:rFonts w:hint="eastAsia" w:ascii="宋体" w:hAnsi="宋体"/>
          <w:sz w:val="24"/>
          <w:lang w:val="zh-CN"/>
        </w:rPr>
      </w:pPr>
      <w:r>
        <w:rPr>
          <w:rFonts w:hint="eastAsia" w:ascii="宋体" w:hAnsi="宋体"/>
          <w:sz w:val="24"/>
          <w:szCs w:val="21"/>
        </w:rPr>
        <w:t xml:space="preserve">22.1.1 未在</w:t>
      </w:r>
      <w:r>
        <w:rPr>
          <w:rFonts w:hint="eastAsia" w:ascii="宋体" w:hAnsi="宋体"/>
          <w:sz w:val="24"/>
        </w:rPr>
        <w:t xml:space="preserve">磋商</w:t>
      </w:r>
      <w:r>
        <w:rPr>
          <w:rFonts w:hint="eastAsia" w:ascii="宋体" w:hAnsi="宋体"/>
          <w:sz w:val="24"/>
          <w:lang w:val="zh-CN"/>
        </w:rPr>
        <w:t xml:space="preserve">文件</w:t>
      </w:r>
      <w:r>
        <w:rPr>
          <w:rFonts w:hint="eastAsia" w:ascii="宋体" w:hAnsi="宋体"/>
          <w:sz w:val="24"/>
        </w:rPr>
        <w:t xml:space="preserve">规定时间内</w:t>
      </w:r>
      <w:r>
        <w:rPr>
          <w:rFonts w:hint="eastAsia" w:ascii="宋体" w:hAnsi="宋体"/>
          <w:sz w:val="24"/>
          <w:lang w:val="zh-CN"/>
        </w:rPr>
        <w:t xml:space="preserve">上传电子</w:t>
      </w:r>
      <w:r>
        <w:rPr>
          <w:rFonts w:hint="eastAsia" w:ascii="宋体" w:hAnsi="宋体"/>
          <w:sz w:val="24"/>
        </w:rPr>
        <w:t xml:space="preserve">响应</w:t>
      </w:r>
      <w:r>
        <w:rPr>
          <w:rFonts w:hint="eastAsia" w:ascii="宋体" w:hAnsi="宋体"/>
          <w:sz w:val="24"/>
          <w:lang w:val="zh-CN"/>
        </w:rPr>
        <w:t xml:space="preserve">文件。</w:t>
      </w:r>
      <w:r/>
    </w:p>
    <w:p>
      <w:pPr>
        <w:pStyle w:val="860"/>
        <w:ind w:firstLine="420"/>
        <w:rPr>
          <w:rFonts w:hint="eastAsia" w:ascii="宋体" w:hAnsi="宋体"/>
          <w:sz w:val="24"/>
          <w:szCs w:val="21"/>
        </w:rPr>
      </w:pPr>
      <w:r>
        <w:rPr>
          <w:rFonts w:hint="eastAsia" w:ascii="宋体" w:hAnsi="宋体"/>
          <w:sz w:val="24"/>
          <w:szCs w:val="21"/>
        </w:rPr>
        <w:t xml:space="preserve">22.1.2 未在苏采云系统规定的时间内成功解密电子响应文件。</w:t>
      </w:r>
      <w:r/>
    </w:p>
    <w:p>
      <w:pPr>
        <w:pStyle w:val="860"/>
        <w:ind w:firstLine="420"/>
        <w:rPr>
          <w:rFonts w:hint="eastAsia" w:ascii="宋体" w:hAnsi="宋体"/>
          <w:sz w:val="24"/>
          <w:szCs w:val="21"/>
        </w:rPr>
      </w:pPr>
      <w:r>
        <w:rPr>
          <w:rFonts w:hint="eastAsia" w:ascii="宋体" w:hAnsi="宋体"/>
          <w:sz w:val="24"/>
          <w:szCs w:val="21"/>
        </w:rPr>
        <w:t xml:space="preserve">22.1.3 同一供应商提交两个（含两个）以上不同的响应文件或者报</w:t>
      </w:r>
      <w:r>
        <w:rPr>
          <w:rFonts w:hint="eastAsia" w:ascii="宋体" w:hAnsi="宋体"/>
          <w:sz w:val="24"/>
          <w:szCs w:val="21"/>
        </w:rPr>
        <w:t xml:space="preserve">价</w:t>
      </w:r>
      <w:r>
        <w:rPr>
          <w:rFonts w:hint="eastAsia" w:ascii="宋体" w:hAnsi="宋体"/>
          <w:sz w:val="24"/>
          <w:lang w:val="zh-CN"/>
        </w:rPr>
        <w:t xml:space="preserve">（</w:t>
      </w:r>
      <w:r>
        <w:rPr>
          <w:rFonts w:hint="eastAsia" w:ascii="宋体" w:hAnsi="宋体"/>
          <w:sz w:val="24"/>
        </w:rPr>
        <w:t xml:space="preserve">磋商文件另有约定的除外</w:t>
      </w:r>
      <w:r>
        <w:rPr>
          <w:rFonts w:hint="eastAsia" w:ascii="宋体" w:hAnsi="宋体"/>
          <w:sz w:val="24"/>
          <w:lang w:val="zh-CN"/>
        </w:rPr>
        <w:t xml:space="preserve">）</w:t>
      </w:r>
      <w:r>
        <w:rPr>
          <w:rFonts w:hint="eastAsia" w:ascii="宋体" w:hAnsi="宋体"/>
          <w:sz w:val="24"/>
          <w:szCs w:val="21"/>
        </w:rPr>
        <w:t xml:space="preserve">。</w:t>
      </w:r>
      <w:r/>
    </w:p>
    <w:p>
      <w:pPr>
        <w:pStyle w:val="860"/>
        <w:ind w:firstLine="420"/>
        <w:rPr>
          <w:rFonts w:hint="eastAsia" w:ascii="宋体" w:hAnsi="宋体"/>
          <w:sz w:val="24"/>
          <w:szCs w:val="21"/>
        </w:rPr>
      </w:pPr>
      <w:r>
        <w:rPr>
          <w:rFonts w:hint="eastAsia" w:ascii="宋体" w:hAnsi="宋体"/>
          <w:sz w:val="24"/>
          <w:szCs w:val="21"/>
        </w:rPr>
        <w:t xml:space="preserve">22.1.4 供应商不具备磋商文件中规定的资格要求。</w:t>
      </w:r>
      <w:r/>
    </w:p>
    <w:p>
      <w:pPr>
        <w:pStyle w:val="860"/>
        <w:ind w:firstLine="420"/>
        <w:rPr>
          <w:rFonts w:hint="eastAsia" w:ascii="宋体" w:hAnsi="宋体"/>
          <w:sz w:val="24"/>
          <w:szCs w:val="21"/>
        </w:rPr>
      </w:pPr>
      <w:r>
        <w:rPr>
          <w:rFonts w:hint="eastAsia" w:ascii="宋体" w:hAnsi="宋体"/>
          <w:sz w:val="24"/>
          <w:szCs w:val="21"/>
        </w:rPr>
        <w:t xml:space="preserve">22.1.5 供应商的报价超过了采购预算或最高限价或单价上限。</w:t>
      </w:r>
      <w:r/>
    </w:p>
    <w:p>
      <w:pPr>
        <w:pStyle w:val="860"/>
        <w:ind w:firstLine="420"/>
        <w:rPr>
          <w:rFonts w:hint="eastAsia" w:ascii="宋体" w:hAnsi="宋体"/>
          <w:sz w:val="24"/>
          <w:szCs w:val="21"/>
        </w:rPr>
      </w:pPr>
      <w:r>
        <w:rPr>
          <w:rFonts w:hint="eastAsia" w:ascii="宋体" w:hAnsi="宋体"/>
          <w:sz w:val="24"/>
          <w:szCs w:val="21"/>
        </w:rPr>
        <w:t xml:space="preserve">22.1.6 未通过符合性审查。</w:t>
      </w:r>
      <w:r/>
    </w:p>
    <w:p>
      <w:pPr>
        <w:pStyle w:val="860"/>
        <w:ind w:firstLine="420"/>
        <w:rPr>
          <w:rFonts w:hint="eastAsia" w:ascii="宋体" w:hAnsi="宋体"/>
          <w:sz w:val="24"/>
          <w:szCs w:val="21"/>
        </w:rPr>
      </w:pPr>
      <w:r>
        <w:rPr>
          <w:rFonts w:hint="eastAsia" w:ascii="宋体" w:hAnsi="宋体"/>
          <w:sz w:val="24"/>
          <w:szCs w:val="21"/>
        </w:rPr>
        <w:t xml:space="preserve">22.1.7 响应文件含有采购人不能接受的附加条件。</w:t>
      </w:r>
      <w:r/>
    </w:p>
    <w:p>
      <w:pPr>
        <w:pStyle w:val="860"/>
        <w:ind w:firstLine="420"/>
        <w:rPr>
          <w:rFonts w:hint="eastAsia" w:ascii="宋体" w:hAnsi="宋体"/>
          <w:sz w:val="24"/>
          <w:szCs w:val="21"/>
        </w:rPr>
      </w:pPr>
      <w:r>
        <w:rPr>
          <w:rFonts w:hint="eastAsia" w:ascii="宋体" w:hAnsi="宋体"/>
          <w:sz w:val="24"/>
          <w:szCs w:val="21"/>
        </w:rPr>
        <w:t xml:space="preserve">22.1.8 磋商小组按照本磋商文件规定对供应商进行异常低价审查后，认为供应商不能证明其报价合理性的。</w:t>
      </w:r>
      <w:r/>
    </w:p>
    <w:p>
      <w:pPr>
        <w:pStyle w:val="860"/>
        <w:ind w:firstLine="420"/>
        <w:rPr>
          <w:rFonts w:hint="eastAsia" w:ascii="宋体" w:hAnsi="宋体"/>
          <w:sz w:val="24"/>
          <w:szCs w:val="21"/>
        </w:rPr>
      </w:pPr>
      <w:r>
        <w:rPr>
          <w:rFonts w:hint="eastAsia" w:ascii="宋体" w:hAnsi="宋体"/>
          <w:sz w:val="24"/>
          <w:szCs w:val="21"/>
        </w:rPr>
        <w:t xml:space="preserve">22.1.9 响应文件未按照磋商文件要求加盖电子公章。</w:t>
      </w:r>
      <w:r/>
    </w:p>
    <w:p>
      <w:pPr>
        <w:pStyle w:val="860"/>
        <w:ind w:firstLine="420"/>
        <w:rPr>
          <w:rFonts w:ascii="宋体" w:hAnsi="宋体"/>
          <w:sz w:val="24"/>
          <w:szCs w:val="21"/>
        </w:rPr>
      </w:pPr>
      <w:r>
        <w:rPr>
          <w:rFonts w:hint="eastAsia" w:ascii="宋体" w:hAnsi="宋体"/>
          <w:sz w:val="24"/>
          <w:szCs w:val="21"/>
        </w:rPr>
        <w:t xml:space="preserve">22.1.10 供应商串通响应。</w:t>
      </w:r>
      <w:r>
        <w:rPr>
          <w:rFonts w:ascii="宋体" w:hAnsi="宋体"/>
          <w:sz w:val="24"/>
          <w:szCs w:val="21"/>
        </w:rPr>
      </w:r>
      <w:r/>
    </w:p>
    <w:p>
      <w:pPr>
        <w:pStyle w:val="860"/>
        <w:ind w:firstLine="420"/>
        <w:rPr>
          <w:rFonts w:hint="eastAsia" w:ascii="宋体" w:hAnsi="宋体"/>
          <w:sz w:val="24"/>
          <w:szCs w:val="21"/>
        </w:rPr>
      </w:pPr>
      <w:r>
        <w:rPr>
          <w:rFonts w:hint="eastAsia" w:ascii="宋体" w:hAnsi="宋体"/>
          <w:sz w:val="24"/>
          <w:szCs w:val="21"/>
        </w:rPr>
        <w:t xml:space="preserve">22.1.11 法律法规及本磋商文件规定的其他无效响应的情形。</w:t>
      </w:r>
      <w:r/>
    </w:p>
    <w:p>
      <w:pPr>
        <w:pStyle w:val="860"/>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w:t>
      </w:r>
      <w:r>
        <w:rPr>
          <w:rFonts w:hint="eastAsia" w:ascii="宋体" w:hAnsi="宋体"/>
          <w:b/>
          <w:bCs/>
          <w:sz w:val="24"/>
          <w:lang w:val="zh-CN"/>
        </w:rPr>
        <w:t xml:space="preserve">一的视为供应商串通</w:t>
      </w:r>
      <w:r>
        <w:rPr>
          <w:rFonts w:hint="eastAsia" w:ascii="宋体" w:hAnsi="宋体"/>
          <w:b/>
          <w:bCs/>
          <w:sz w:val="24"/>
        </w:rPr>
        <w:t xml:space="preserve">响应</w:t>
      </w:r>
      <w:r>
        <w:rPr>
          <w:rFonts w:hint="eastAsia" w:ascii="宋体" w:hAnsi="宋体"/>
          <w:b/>
          <w:bCs/>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rPr>
        <w:t xml:space="preserve">响应</w:t>
      </w:r>
      <w:r>
        <w:rPr>
          <w:rFonts w:hint="eastAsia" w:ascii="宋体" w:hAnsi="宋体"/>
          <w:sz w:val="24"/>
          <w:lang w:val="zh-CN"/>
        </w:rPr>
        <w:t xml:space="preserve">文件由同一单位或者个人编制。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委托同一单位或者个人办理</w:t>
      </w:r>
      <w:r>
        <w:rPr>
          <w:rFonts w:hint="eastAsia" w:ascii="宋体" w:hAnsi="宋体"/>
          <w:sz w:val="24"/>
        </w:rPr>
        <w:t xml:space="preserve">响应</w:t>
      </w:r>
      <w:r>
        <w:rPr>
          <w:rFonts w:hint="eastAsia" w:ascii="宋体" w:hAnsi="宋体"/>
          <w:sz w:val="24"/>
          <w:lang w:val="zh-CN"/>
        </w:rPr>
        <w:t xml:space="preserve">事宜。</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文件载明的项目管理成员或者联系人员为同一人。</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文件异常一致或者</w:t>
      </w:r>
      <w:r>
        <w:rPr>
          <w:rFonts w:hint="eastAsia" w:ascii="宋体" w:hAnsi="宋体"/>
          <w:sz w:val="24"/>
        </w:rPr>
        <w:t xml:space="preserve">响应</w:t>
      </w:r>
      <w:r>
        <w:rPr>
          <w:rFonts w:hint="eastAsia" w:ascii="宋体" w:hAnsi="宋体"/>
          <w:sz w:val="24"/>
          <w:lang w:val="zh-CN"/>
        </w:rPr>
        <w:t xml:space="preserve">报价呈规律性差异。</w:t>
      </w:r>
      <w:r/>
    </w:p>
    <w:p>
      <w:pPr>
        <w:pStyle w:val="860"/>
        <w:ind w:firstLine="420"/>
        <w:rPr>
          <w:rFonts w:hint="eastAsia" w:ascii="宋体" w:hAnsi="宋体"/>
          <w:sz w:val="24"/>
          <w:szCs w:val="21"/>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w:t>
      </w:r>
      <w:r>
        <w:rPr>
          <w:rFonts w:hint="eastAsia" w:ascii="宋体" w:hAnsi="宋体"/>
          <w:sz w:val="24"/>
          <w:szCs w:val="21"/>
          <w:lang w:val="zh-CN"/>
        </w:rPr>
        <w:t xml:space="preserve"> 不同</w:t>
      </w:r>
      <w:r>
        <w:rPr>
          <w:rFonts w:hint="eastAsia" w:ascii="宋体" w:hAnsi="宋体"/>
          <w:sz w:val="24"/>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文件相互混装。</w:t>
      </w:r>
      <w:r/>
    </w:p>
    <w:p>
      <w:pPr>
        <w:pStyle w:val="860"/>
        <w:ind w:firstLine="420"/>
        <w:widowControl/>
        <w:rPr>
          <w:rFonts w:hint="eastAsia" w:ascii="宋体" w:hAnsi="宋体"/>
          <w:sz w:val="24"/>
          <w:szCs w:val="21"/>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w:t>
      </w:r>
      <w:r>
        <w:rPr>
          <w:rFonts w:hint="eastAsia" w:ascii="宋体" w:hAnsi="宋体"/>
          <w:sz w:val="24"/>
        </w:rPr>
        <w:t xml:space="preserve">供应商</w:t>
      </w:r>
      <w:r>
        <w:rPr>
          <w:rFonts w:hint="eastAsia" w:ascii="宋体" w:hAnsi="宋体"/>
          <w:sz w:val="24"/>
          <w:lang w:val="zh-CN"/>
        </w:rPr>
        <w:t xml:space="preserve">的MAC地址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hint="eastAsia" w:ascii="宋体" w:hAnsi="宋体"/>
          <w:sz w:val="24"/>
          <w:szCs w:val="21"/>
        </w:rPr>
      </w:r>
      <w:r/>
    </w:p>
    <w:p>
      <w:pPr>
        <w:pStyle w:val="864"/>
        <w:ind w:firstLine="422"/>
        <w:spacing w:before="0" w:after="0" w:line="240" w:lineRule="auto"/>
        <w:rPr>
          <w:rFonts w:ascii="方正楷体_GBK" w:hAnsi="方正楷体_GBK" w:eastAsia="方正楷体_GBK" w:cs="方正楷体_GBK"/>
        </w:rPr>
      </w:pPr>
      <w:r/>
      <w:bookmarkStart w:id="103" w:name="_Toc513029234"/>
      <w:r/>
      <w:bookmarkStart w:id="104" w:name="_Toc20823306"/>
      <w:r/>
      <w:bookmarkStart w:id="105" w:name="_Toc16938550"/>
      <w:r>
        <w:rPr>
          <w:rFonts w:hint="eastAsia" w:ascii="方正楷体_GBK" w:hAnsi="方正楷体_GBK" w:eastAsia="方正楷体_GBK" w:cs="方正楷体_GBK"/>
        </w:rPr>
        <w:t xml:space="preserve">2</w:t>
      </w:r>
      <w:bookmarkEnd w:id="103"/>
      <w:r/>
      <w:bookmarkEnd w:id="104"/>
      <w:r/>
      <w:bookmarkEnd w:id="105"/>
      <w:r>
        <w:rPr>
          <w:rFonts w:hint="eastAsia" w:ascii="方正楷体_GBK" w:hAnsi="方正楷体_GBK" w:eastAsia="方正楷体_GBK" w:cs="方正楷体_GBK"/>
        </w:rPr>
        <w:t xml:space="preserve">3.磋商程序及采购活动终止</w:t>
      </w:r>
      <w:r>
        <w:rPr>
          <w:rFonts w:ascii="方正楷体_GBK" w:hAnsi="方正楷体_GBK" w:eastAsia="方正楷体_GBK" w:cs="方正楷体_GBK"/>
        </w:rPr>
      </w:r>
      <w:r/>
    </w:p>
    <w:p>
      <w:pPr>
        <w:pStyle w:val="860"/>
        <w:ind w:firstLine="420"/>
        <w:rPr>
          <w:rFonts w:hint="eastAsia" w:ascii="宋体" w:hAnsi="宋体"/>
          <w:sz w:val="24"/>
          <w:szCs w:val="21"/>
        </w:rPr>
      </w:pPr>
      <w:r/>
      <w:bookmarkStart w:id="106" w:name="_Toc16938551"/>
      <w:r/>
      <w:bookmarkStart w:id="107" w:name="_Toc120614219"/>
      <w:r/>
      <w:bookmarkStart w:id="108" w:name="_Toc20823307"/>
      <w:r/>
      <w:bookmarkStart w:id="109" w:name="_Toc513029235"/>
      <w:r>
        <w:rPr>
          <w:rFonts w:hint="eastAsia" w:ascii="宋体" w:hAnsi="宋体"/>
          <w:sz w:val="24"/>
          <w:szCs w:val="21"/>
        </w:rPr>
        <w:t xml:space="preserve">23.1 磋商程序</w:t>
      </w:r>
      <w:r/>
    </w:p>
    <w:p>
      <w:pPr>
        <w:pStyle w:val="860"/>
        <w:ind w:firstLine="420"/>
        <w:rPr>
          <w:rFonts w:hint="eastAsia" w:ascii="宋体" w:hAnsi="宋体"/>
          <w:sz w:val="24"/>
          <w:szCs w:val="21"/>
        </w:rPr>
      </w:pPr>
      <w:r>
        <w:rPr>
          <w:rFonts w:hint="eastAsia" w:ascii="宋体" w:hAnsi="宋体"/>
          <w:sz w:val="24"/>
          <w:szCs w:val="21"/>
        </w:rPr>
        <w:t xml:space="preserve">23.1.1 磋商小组将与通过资格审查和符合性审</w:t>
      </w:r>
      <w:r>
        <w:rPr>
          <w:rFonts w:hint="eastAsia" w:ascii="宋体" w:hAnsi="宋体"/>
          <w:sz w:val="24"/>
          <w:szCs w:val="21"/>
        </w:rPr>
        <w:t xml:space="preserve">查的供应商分别进行磋商。磋商小组通过苏采云系统向供应商发出《磋商函》，供应商应当按照要求在苏采云系统提交《磋商响应函》并加盖电子公章。</w:t>
      </w:r>
      <w:r/>
    </w:p>
    <w:p>
      <w:pPr>
        <w:pStyle w:val="860"/>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860"/>
        <w:ind w:firstLine="420"/>
        <w:rPr>
          <w:rFonts w:hint="eastAsia" w:ascii="宋体" w:hAnsi="宋体"/>
          <w:sz w:val="24"/>
          <w:szCs w:val="21"/>
        </w:rPr>
      </w:pPr>
      <w:r>
        <w:rPr>
          <w:rFonts w:hint="eastAsia" w:ascii="宋体" w:hAnsi="宋体"/>
          <w:sz w:val="24"/>
          <w:szCs w:val="21"/>
        </w:rPr>
        <w:t xml:space="preserve">23.1.2 磋商文件能够详细列明采购标的的技术、服务要求的，磋商结束后，磋商小组将在苏采云系统向所有实质性响应的供</w:t>
      </w:r>
      <w:r>
        <w:rPr>
          <w:rFonts w:hint="eastAsia" w:ascii="宋体" w:hAnsi="宋体"/>
          <w:sz w:val="24"/>
          <w:szCs w:val="21"/>
        </w:rPr>
        <w:t xml:space="preserve">应商发出《最后报价要求函》及最后报价格式表，要求所有实质性响应的供应商在规定时间内提交最后报价。</w:t>
      </w:r>
      <w:r/>
    </w:p>
    <w:p>
      <w:pPr>
        <w:pStyle w:val="860"/>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860"/>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w:t>
      </w:r>
      <w:r>
        <w:rPr>
          <w:rFonts w:hint="eastAsia" w:ascii="宋体" w:hAnsi="宋体"/>
          <w:sz w:val="24"/>
          <w:szCs w:val="21"/>
        </w:rPr>
        <w:t xml:space="preserve">法》（财库〔2014〕214号）第三条第四项及《财政部关于竞争性磋商采购方式管理暂行办法有关问题的补充通知》（财库〔2015〕124号）规定情形的，提交最后报价的供应商可以为2家。</w:t>
      </w:r>
      <w:r/>
    </w:p>
    <w:p>
      <w:pPr>
        <w:pStyle w:val="860"/>
        <w:ind w:firstLine="420"/>
        <w:rPr>
          <w:rFonts w:hint="eastAsia" w:ascii="宋体" w:hAnsi="宋体"/>
          <w:sz w:val="24"/>
          <w:szCs w:val="21"/>
        </w:rPr>
      </w:pPr>
      <w:r>
        <w:rPr>
          <w:rFonts w:hint="eastAsia" w:ascii="宋体" w:hAnsi="宋体"/>
          <w:sz w:val="24"/>
          <w:szCs w:val="21"/>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860"/>
        <w:ind w:firstLine="422"/>
        <w:rPr>
          <w:rFonts w:hint="eastAsia" w:ascii="宋体" w:hAnsi="宋体"/>
          <w:b/>
          <w:bCs/>
          <w:sz w:val="24"/>
          <w:szCs w:val="21"/>
        </w:rPr>
      </w:pPr>
      <w:r>
        <w:rPr>
          <w:rFonts w:hint="eastAsia" w:ascii="宋体" w:hAnsi="宋体"/>
          <w:b/>
          <w:bCs/>
          <w:sz w:val="24"/>
          <w:szCs w:val="21"/>
        </w:rPr>
        <w:t xml:space="preserve">23.2 采购活动终止情形</w:t>
      </w:r>
      <w:r/>
    </w:p>
    <w:p>
      <w:pPr>
        <w:pStyle w:val="860"/>
        <w:ind w:firstLine="420"/>
        <w:rPr>
          <w:rFonts w:hint="eastAsia" w:ascii="宋体" w:hAnsi="宋体"/>
          <w:sz w:val="24"/>
          <w:szCs w:val="21"/>
        </w:rPr>
      </w:pPr>
      <w:r>
        <w:rPr>
          <w:rFonts w:hint="eastAsia" w:ascii="宋体" w:hAnsi="宋体"/>
          <w:sz w:val="24"/>
          <w:szCs w:val="21"/>
        </w:rPr>
        <w:t xml:space="preserve">23.2.1 因情况变化，不再符合竞争性磋商采购方式适用情形。</w:t>
      </w:r>
      <w:r/>
    </w:p>
    <w:p>
      <w:pPr>
        <w:pStyle w:val="860"/>
        <w:ind w:firstLine="420"/>
        <w:rPr>
          <w:rFonts w:hint="eastAsia" w:ascii="宋体" w:hAnsi="宋体"/>
          <w:sz w:val="24"/>
          <w:szCs w:val="21"/>
        </w:rPr>
      </w:pPr>
      <w:r>
        <w:rPr>
          <w:rFonts w:hint="eastAsia" w:ascii="宋体" w:hAnsi="宋体"/>
          <w:sz w:val="24"/>
          <w:szCs w:val="21"/>
        </w:rPr>
        <w:t xml:space="preserve">23.2.2 出现影响采购公正的违法、违规行为。</w:t>
      </w:r>
      <w:r/>
    </w:p>
    <w:p>
      <w:pPr>
        <w:pStyle w:val="860"/>
        <w:ind w:firstLine="420"/>
        <w:rPr>
          <w:rFonts w:hint="eastAsia" w:ascii="宋体" w:hAnsi="宋体"/>
          <w:sz w:val="24"/>
          <w:szCs w:val="21"/>
        </w:rPr>
      </w:pPr>
      <w:r>
        <w:rPr>
          <w:rFonts w:hint="eastAsia" w:ascii="宋体" w:hAnsi="宋体"/>
          <w:sz w:val="24"/>
          <w:szCs w:val="21"/>
        </w:rPr>
        <w:t xml:space="preserve">23.2.3 在苏采云系统规定时间内成功解密电子响应文件的供应商不足三家。</w:t>
      </w:r>
      <w:r/>
    </w:p>
    <w:p>
      <w:pPr>
        <w:pStyle w:val="860"/>
        <w:ind w:firstLine="420"/>
        <w:rPr>
          <w:rFonts w:hint="eastAsia" w:ascii="宋体" w:hAnsi="宋体"/>
          <w:sz w:val="24"/>
          <w:szCs w:val="21"/>
        </w:rPr>
      </w:pPr>
      <w:r>
        <w:rPr>
          <w:rFonts w:hint="eastAsia" w:ascii="宋体" w:hAnsi="宋体"/>
          <w:sz w:val="24"/>
          <w:szCs w:val="21"/>
        </w:rPr>
        <w:t xml:space="preserve">23.2.4 除本磋商文件第二章第25.1.2条第三款规定的情形外，磋商过程中符合要求的供应商或者提交最后报价且未超过采购预算或最高限价的供应商不足三家。</w:t>
      </w:r>
      <w:r/>
    </w:p>
    <w:p>
      <w:pPr>
        <w:pStyle w:val="860"/>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3</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06"/>
      <w:r/>
      <w:bookmarkEnd w:id="107"/>
      <w:r/>
      <w:bookmarkEnd w:id="108"/>
      <w:r/>
      <w:bookmarkEnd w:id="109"/>
      <w:r>
        <w:rPr>
          <w:rFonts w:hint="eastAsia" w:ascii="方正黑体_GBK" w:hAnsi="方正黑体_GBK" w:eastAsia="方正黑体_GBK" w:cs="方正黑体_GBK"/>
          <w:b w:val="0"/>
          <w:bCs w:val="0"/>
          <w:sz w:val="30"/>
          <w:szCs w:val="30"/>
        </w:rPr>
        <w:t xml:space="preserve">成交</w:t>
      </w:r>
      <w:r/>
    </w:p>
    <w:p>
      <w:pPr>
        <w:pStyle w:val="864"/>
        <w:ind w:firstLine="422"/>
        <w:spacing w:before="0" w:after="0" w:line="240" w:lineRule="auto"/>
        <w:rPr>
          <w:rFonts w:hint="eastAsia" w:ascii="方正楷体_GBK" w:hAnsi="方正楷体_GBK" w:eastAsia="方正楷体_GBK" w:cs="方正楷体_GBK"/>
        </w:rPr>
      </w:pPr>
      <w:r/>
      <w:bookmarkStart w:id="110" w:name="_Toc20823310"/>
      <w:r/>
      <w:bookmarkStart w:id="111" w:name="_Toc513029238"/>
      <w:r/>
      <w:bookmarkStart w:id="112" w:name="_Toc16938554"/>
      <w:r>
        <w:rPr>
          <w:rFonts w:hint="eastAsia" w:ascii="方正楷体_GBK" w:hAnsi="方正楷体_GBK" w:eastAsia="方正楷体_GBK" w:cs="方正楷体_GBK"/>
        </w:rPr>
        <w:t xml:space="preserve">2</w:t>
      </w:r>
      <w:bookmarkEnd w:id="111"/>
      <w:r>
        <w:rPr>
          <w:rFonts w:hint="eastAsia" w:ascii="方正楷体_GBK" w:hAnsi="方正楷体_GBK" w:eastAsia="方正楷体_GBK" w:cs="方正楷体_GBK"/>
        </w:rPr>
        <w:t xml:space="preserve">4.确定</w:t>
      </w:r>
      <w:bookmarkEnd w:id="110"/>
      <w:r/>
      <w:bookmarkEnd w:id="112"/>
      <w:r>
        <w:rPr>
          <w:rFonts w:hint="eastAsia" w:ascii="方正楷体_GBK" w:hAnsi="方正楷体_GBK" w:eastAsia="方正楷体_GBK" w:cs="方正楷体_GBK"/>
        </w:rPr>
        <w:t xml:space="preserve">成交单位</w:t>
      </w:r>
      <w:r/>
    </w:p>
    <w:p>
      <w:pPr>
        <w:pStyle w:val="860"/>
        <w:ind w:firstLine="420"/>
        <w:rPr>
          <w:rFonts w:hint="eastAsia" w:ascii="宋体" w:hAnsi="宋体"/>
          <w:sz w:val="24"/>
          <w:szCs w:val="21"/>
        </w:rPr>
      </w:pPr>
      <w:r>
        <w:rPr>
          <w:rFonts w:hint="eastAsia" w:ascii="宋体" w:hAnsi="宋体"/>
          <w:sz w:val="24"/>
          <w:szCs w:val="21"/>
        </w:rPr>
        <w:t xml:space="preserve">24.1 成交候选供应商的确定原则和数量见磋商文件第五章。</w:t>
      </w:r>
      <w:r/>
    </w:p>
    <w:p>
      <w:pPr>
        <w:pStyle w:val="860"/>
        <w:ind w:firstLine="420"/>
        <w:rPr>
          <w:rFonts w:ascii="宋体" w:hAnsi="宋体"/>
          <w:sz w:val="24"/>
          <w:szCs w:val="24"/>
        </w:rPr>
      </w:pPr>
      <w:r>
        <w:rPr>
          <w:rFonts w:hint="eastAsia" w:ascii="宋体" w:hAnsi="宋体"/>
          <w:sz w:val="24"/>
          <w:szCs w:val="21"/>
        </w:rPr>
        <w:t xml:space="preserve">24.2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w:t>
      </w:r>
      <w:r>
        <w:rPr>
          <w:rFonts w:hint="eastAsia" w:ascii="宋体" w:hAnsi="宋体"/>
          <w:sz w:val="24"/>
          <w:szCs w:val="21"/>
        </w:rPr>
        <w:t xml:space="preserve">商</w:t>
      </w:r>
      <w:r>
        <w:rPr>
          <w:rFonts w:ascii="宋体" w:hAnsi="宋体"/>
          <w:sz w:val="24"/>
          <w:szCs w:val="24"/>
        </w:rPr>
      </w:r>
      <w:r/>
    </w:p>
    <w:p>
      <w:pPr>
        <w:pStyle w:val="860"/>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860"/>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860"/>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860"/>
        <w:ind w:firstLine="420"/>
        <w:rPr>
          <w:rFonts w:hint="eastAsia" w:ascii="宋体" w:hAnsi="宋体"/>
          <w:sz w:val="24"/>
          <w:szCs w:val="21"/>
        </w:rPr>
      </w:pPr>
      <w:r>
        <w:rPr>
          <w:rFonts w:hint="eastAsia" w:ascii="宋体" w:hAnsi="宋体"/>
          <w:sz w:val="24"/>
          <w:szCs w:val="21"/>
        </w:rPr>
        <w:t xml:space="preserve">24.3 交易中心将在“江苏政府采购网”发布成交结果公告，公告期限为1个工作日。</w:t>
      </w:r>
      <w:r/>
    </w:p>
    <w:p>
      <w:pPr>
        <w:pStyle w:val="860"/>
        <w:ind w:firstLine="420"/>
        <w:rPr>
          <w:rFonts w:hint="eastAsia" w:ascii="宋体" w:hAnsi="宋体"/>
          <w:sz w:val="24"/>
          <w:szCs w:val="21"/>
        </w:rPr>
      </w:pPr>
      <w:r>
        <w:rPr>
          <w:rFonts w:hint="eastAsia" w:ascii="宋体" w:hAnsi="宋体"/>
          <w:sz w:val="24"/>
          <w:szCs w:val="21"/>
        </w:rPr>
        <w:t xml:space="preserve">24.4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860"/>
        <w:ind w:firstLine="420"/>
        <w:rPr>
          <w:rFonts w:hint="eastAsia" w:ascii="宋体" w:hAnsi="宋体"/>
          <w:sz w:val="24"/>
          <w:szCs w:val="21"/>
        </w:rPr>
      </w:pPr>
      <w:r>
        <w:rPr>
          <w:rFonts w:hint="eastAsia" w:ascii="宋体" w:hAnsi="宋体"/>
          <w:sz w:val="24"/>
          <w:szCs w:val="21"/>
        </w:rPr>
        <w:t xml:space="preserve">24.4.1 提供虚假材料谋取成交。</w:t>
      </w:r>
      <w:r/>
    </w:p>
    <w:p>
      <w:pPr>
        <w:pStyle w:val="860"/>
        <w:ind w:firstLine="420"/>
        <w:rPr>
          <w:rFonts w:hint="eastAsia" w:ascii="宋体" w:hAnsi="宋体"/>
          <w:sz w:val="24"/>
          <w:szCs w:val="21"/>
        </w:rPr>
      </w:pPr>
      <w:r>
        <w:rPr>
          <w:rFonts w:hint="eastAsia" w:ascii="宋体" w:hAnsi="宋体"/>
          <w:sz w:val="24"/>
          <w:szCs w:val="21"/>
        </w:rPr>
        <w:t xml:space="preserve">24.4.2 向评审专家、采购人或交易中心工作人员行贿或者提供其他不正当利益。</w:t>
      </w:r>
      <w:r/>
    </w:p>
    <w:p>
      <w:pPr>
        <w:pStyle w:val="860"/>
        <w:ind w:firstLine="420"/>
        <w:rPr>
          <w:rFonts w:hint="eastAsia" w:ascii="宋体" w:hAnsi="宋体"/>
          <w:sz w:val="24"/>
          <w:szCs w:val="21"/>
        </w:rPr>
      </w:pPr>
      <w:r>
        <w:rPr>
          <w:rFonts w:hint="eastAsia" w:ascii="宋体" w:hAnsi="宋体"/>
          <w:sz w:val="24"/>
          <w:szCs w:val="21"/>
        </w:rPr>
        <w:t xml:space="preserve">24.4.3 与其他供应商、评审专家、采购人或交易中心工作人员恶意串通。</w:t>
      </w:r>
      <w:r/>
    </w:p>
    <w:p>
      <w:pPr>
        <w:pStyle w:val="860"/>
        <w:ind w:firstLine="420"/>
        <w:rPr>
          <w:rFonts w:hint="eastAsia" w:ascii="宋体" w:hAnsi="宋体"/>
          <w:sz w:val="24"/>
          <w:szCs w:val="21"/>
        </w:rPr>
      </w:pPr>
      <w:r>
        <w:rPr>
          <w:rFonts w:hint="eastAsia" w:ascii="宋体" w:hAnsi="宋体"/>
          <w:sz w:val="24"/>
          <w:szCs w:val="21"/>
        </w:rPr>
        <w:t xml:space="preserve">24.4.4 不满足本磋商文件规定的实质性要求，但在评审过程中未被磋商小组发现。</w:t>
      </w:r>
      <w:r/>
    </w:p>
    <w:p>
      <w:pPr>
        <w:pStyle w:val="860"/>
        <w:ind w:firstLine="420"/>
        <w:rPr>
          <w:rFonts w:hint="eastAsia" w:ascii="宋体" w:hAnsi="宋体"/>
          <w:sz w:val="24"/>
          <w:szCs w:val="21"/>
        </w:rPr>
      </w:pPr>
      <w:r>
        <w:rPr>
          <w:rFonts w:hint="eastAsia" w:ascii="宋体" w:hAnsi="宋体"/>
          <w:sz w:val="24"/>
          <w:szCs w:val="21"/>
        </w:rPr>
        <w:t xml:space="preserve">24.4.5 采取不正当手段诋毁、排挤其他供应商。</w:t>
      </w:r>
      <w:r/>
    </w:p>
    <w:p>
      <w:pPr>
        <w:pStyle w:val="864"/>
        <w:ind w:firstLine="422"/>
        <w:spacing w:before="0" w:after="0" w:line="240" w:lineRule="auto"/>
        <w:rPr>
          <w:rFonts w:hint="eastAsia" w:ascii="方正楷体_GBK" w:hAnsi="方正楷体_GBK" w:eastAsia="方正楷体_GBK" w:cs="方正楷体_GBK"/>
        </w:rPr>
      </w:pPr>
      <w:r/>
      <w:bookmarkStart w:id="113" w:name="_Toc200451960"/>
      <w:r>
        <w:rPr>
          <w:rFonts w:hint="eastAsia" w:ascii="方正楷体_GBK" w:hAnsi="方正楷体_GBK" w:eastAsia="方正楷体_GBK" w:cs="方正楷体_GBK"/>
        </w:rPr>
        <w:t xml:space="preserve">25.成交通知书</w:t>
      </w:r>
      <w:r/>
    </w:p>
    <w:p>
      <w:pPr>
        <w:pStyle w:val="860"/>
        <w:ind w:firstLine="420"/>
        <w:rPr>
          <w:rFonts w:hint="eastAsia" w:ascii="宋体" w:hAnsi="宋体"/>
          <w:sz w:val="24"/>
          <w:szCs w:val="21"/>
        </w:rPr>
      </w:pPr>
      <w:r>
        <w:rPr>
          <w:rFonts w:hint="eastAsia" w:ascii="宋体" w:hAnsi="宋体"/>
          <w:sz w:val="24"/>
          <w:szCs w:val="21"/>
        </w:rPr>
        <w:t xml:space="preserve">25.1 成交结果确定后，交易中心将向成交供应商发出《成交通知书》。成交供应商可在成交结果公告届满之日起三十日内，登录苏采云系统下载。    </w:t>
      </w:r>
      <w:r/>
    </w:p>
    <w:p>
      <w:pPr>
        <w:pStyle w:val="860"/>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w:t>
      </w:r>
      <w:r>
        <w:rPr>
          <w:rFonts w:hint="eastAsia" w:ascii="宋体" w:hAnsi="宋体"/>
          <w:sz w:val="24"/>
          <w:szCs w:val="21"/>
        </w:rPr>
        <w:t xml:space="preserve">采云系统不再保证提供下载《成交通知书》服务，因未及时下载而造成的不利后果由成交供应商自行承担。</w:t>
      </w:r>
      <w:r/>
    </w:p>
    <w:p>
      <w:pPr>
        <w:pStyle w:val="860"/>
        <w:ind w:firstLine="420"/>
        <w:rPr>
          <w:rFonts w:hint="eastAsia" w:ascii="宋体" w:hAnsi="宋体"/>
          <w:sz w:val="24"/>
          <w:szCs w:val="21"/>
        </w:rPr>
      </w:pPr>
      <w:r>
        <w:rPr>
          <w:rFonts w:hint="eastAsia" w:ascii="宋体" w:hAnsi="宋体"/>
          <w:sz w:val="24"/>
          <w:szCs w:val="21"/>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26.签订合同</w:t>
      </w:r>
      <w:r/>
    </w:p>
    <w:p>
      <w:pPr>
        <w:pStyle w:val="860"/>
        <w:ind w:firstLine="420"/>
        <w:rPr>
          <w:rFonts w:ascii="宋体" w:hAnsi="宋体"/>
          <w:sz w:val="24"/>
        </w:rPr>
      </w:pPr>
      <w:r>
        <w:rPr>
          <w:rFonts w:hint="eastAsia" w:ascii="宋体" w:hAnsi="宋体"/>
          <w:sz w:val="24"/>
          <w:szCs w:val="21"/>
        </w:rPr>
        <w:t xml:space="preserve">26.1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rPr>
          <w:rFonts w:ascii="宋体" w:hAnsi="宋体"/>
          <w:sz w:val="24"/>
        </w:rPr>
      </w:r>
      <w:r/>
    </w:p>
    <w:p>
      <w:pPr>
        <w:pStyle w:val="860"/>
        <w:ind w:firstLine="420"/>
        <w:rPr>
          <w:rFonts w:hint="eastAsia" w:ascii="宋体" w:hAnsi="宋体"/>
          <w:sz w:val="24"/>
          <w:szCs w:val="21"/>
        </w:rPr>
      </w:pPr>
      <w:r>
        <w:rPr>
          <w:rFonts w:hint="eastAsia" w:ascii="宋体" w:hAnsi="宋体"/>
          <w:sz w:val="24"/>
          <w:szCs w:val="21"/>
        </w:rPr>
        <w:t xml:space="preserve">26.2 磋商文件、成交供应商的响应文件及磋商过程中有关澄清、承诺文件均作为合同附件</w:t>
      </w:r>
      <w:r>
        <w:rPr>
          <w:rFonts w:hint="eastAsia" w:ascii="宋体" w:hAnsi="宋体"/>
          <w:sz w:val="24"/>
          <w:szCs w:val="21"/>
        </w:rPr>
        <w:t xml:space="preserve">。</w:t>
      </w:r>
      <w:r/>
    </w:p>
    <w:p>
      <w:pPr>
        <w:pStyle w:val="860"/>
        <w:ind w:firstLine="420"/>
        <w:rPr>
          <w:rFonts w:hint="eastAsia" w:ascii="宋体" w:hAnsi="宋体"/>
          <w:sz w:val="24"/>
          <w:szCs w:val="21"/>
        </w:rPr>
      </w:pPr>
      <w:r>
        <w:rPr>
          <w:rFonts w:hint="eastAsia" w:ascii="宋体" w:hAnsi="宋体"/>
          <w:sz w:val="24"/>
          <w:szCs w:val="21"/>
        </w:rPr>
        <w:t xml:space="preserve">26.3 </w:t>
      </w:r>
      <w:r>
        <w:rPr>
          <w:rFonts w:hint="eastAsia" w:ascii="宋体" w:hAnsi="宋体"/>
          <w:sz w:val="24"/>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sz w:val="24"/>
          <w:szCs w:val="21"/>
        </w:rPr>
      </w:r>
      <w:r/>
    </w:p>
    <w:p>
      <w:pPr>
        <w:pStyle w:val="860"/>
        <w:ind w:firstLine="420"/>
        <w:rPr>
          <w:rFonts w:hint="eastAsia" w:ascii="宋体" w:hAnsi="宋体"/>
          <w:sz w:val="24"/>
        </w:rPr>
      </w:pPr>
      <w:r>
        <w:rPr>
          <w:rFonts w:hint="eastAsia" w:ascii="宋体" w:hAnsi="宋体"/>
          <w:sz w:val="24"/>
        </w:rPr>
        <w:t xml:space="preserve">26.4成交供应商不得将合同标的进行转包，否则采购人有权取消其成交资格或终止合同。转包造成采购人损失的，</w:t>
      </w:r>
      <w:r>
        <w:rPr>
          <w:rFonts w:hint="eastAsia" w:ascii="宋体" w:hAnsi="宋体"/>
          <w:sz w:val="24"/>
        </w:rPr>
        <w:t xml:space="preserve">成交供应商应承担相应赔偿责任。</w:t>
      </w:r>
      <w:r/>
    </w:p>
    <w:p>
      <w:pPr>
        <w:pStyle w:val="860"/>
        <w:ind w:firstLine="420"/>
        <w:rPr>
          <w:rFonts w:hint="eastAsia" w:ascii="宋体" w:hAnsi="宋体"/>
          <w:sz w:val="24"/>
          <w:szCs w:val="21"/>
        </w:rPr>
      </w:pPr>
      <w:r>
        <w:rPr>
          <w:rFonts w:hint="eastAsia" w:ascii="宋体" w:hAnsi="宋体"/>
          <w:sz w:val="24"/>
          <w:szCs w:val="21"/>
        </w:rPr>
        <w:t xml:space="preserve">26.5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27.标的物的追加</w:t>
      </w:r>
      <w:r/>
    </w:p>
    <w:p>
      <w:pPr>
        <w:pStyle w:val="860"/>
        <w:ind w:firstLine="420"/>
        <w:rPr>
          <w:rFonts w:hint="eastAsia" w:ascii="宋体" w:hAnsi="宋体"/>
          <w:sz w:val="24"/>
          <w:szCs w:val="21"/>
        </w:rPr>
      </w:pPr>
      <w:r>
        <w:rPr>
          <w:rFonts w:hint="eastAsia" w:ascii="宋体" w:hAnsi="宋体"/>
          <w:sz w:val="24"/>
          <w:szCs w:val="21"/>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28.政府采购履约资金扶持政策</w:t>
      </w:r>
      <w:r/>
    </w:p>
    <w:p>
      <w:pPr>
        <w:pStyle w:val="860"/>
        <w:ind w:firstLine="420"/>
        <w:rPr>
          <w:rFonts w:hint="eastAsia" w:ascii="宋体" w:hAnsi="宋体"/>
          <w:sz w:val="24"/>
          <w:lang w:val="zh-CN"/>
        </w:rPr>
      </w:pPr>
      <w:r>
        <w:rPr>
          <w:rFonts w:hint="eastAsia" w:ascii="宋体" w:hAnsi="宋体"/>
          <w:sz w:val="24"/>
          <w:szCs w:val="21"/>
        </w:rPr>
        <w:t xml:space="preserve">28.1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pStyle w:val="860"/>
        <w:ind w:firstLine="420"/>
        <w:rPr>
          <w:rFonts w:hint="eastAsia"/>
          <w:lang w:val="zh-CN"/>
        </w:rPr>
      </w:pPr>
      <w:r>
        <w:rPr>
          <w:rFonts w:hint="eastAsia" w:ascii="宋体" w:hAnsi="宋体"/>
          <w:sz w:val="24"/>
        </w:rPr>
        <w:t xml:space="preserve">28.2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pStyle w:val="860"/>
        <w:ind w:firstLine="420"/>
        <w:rPr>
          <w:rFonts w:hint="eastAsia" w:ascii="宋体" w:hAnsi="宋体"/>
          <w:sz w:val="24"/>
          <w:lang w:val="zh-CN"/>
        </w:rPr>
      </w:pPr>
      <w:r/>
      <w:bookmarkEnd w:id="113"/>
      <w:r>
        <w:rPr>
          <w:rFonts w:hint="eastAsia" w:ascii="宋体" w:hAnsi="宋体"/>
          <w:sz w:val="24"/>
        </w:rPr>
        <w:t xml:space="preserve">29</w:t>
      </w:r>
      <w:r>
        <w:rPr>
          <w:rFonts w:hint="eastAsia" w:ascii="宋体" w:hAnsi="宋体"/>
          <w:sz w:val="24"/>
          <w:lang w:val="zh-CN"/>
        </w:rPr>
        <w:t xml:space="preserve">.提出质疑的供应商应当是参与所质疑项目采购活动的供应商，潜在供应商依法获取其可质疑的磋商文件的，可以对磋商文件提出质疑。</w:t>
      </w:r>
      <w:r/>
    </w:p>
    <w:p>
      <w:pPr>
        <w:pStyle w:val="860"/>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.供应商认为磋商文件、采购过程和采购结果使自己的权益受到损害的，可以在知道或应知其权益受到损害之日起七个工作日内，</w:t>
      </w:r>
      <w:r>
        <w:rPr>
          <w:rFonts w:hint="eastAsia" w:ascii="宋体" w:hAnsi="宋体"/>
          <w:sz w:val="24"/>
        </w:rPr>
        <w:t xml:space="preserve">按照第32条</w:t>
      </w:r>
      <w:r>
        <w:rPr>
          <w:rFonts w:hint="eastAsia" w:ascii="宋体" w:hAnsi="宋体"/>
          <w:sz w:val="24"/>
          <w:lang w:val="zh-CN"/>
        </w:rPr>
        <w:t xml:space="preserve">、</w:t>
      </w:r>
      <w:r>
        <w:rPr>
          <w:rFonts w:hint="eastAsia" w:ascii="宋体" w:hAnsi="宋体"/>
          <w:sz w:val="24"/>
        </w:rPr>
        <w:t xml:space="preserve">第</w:t>
      </w:r>
      <w:r>
        <w:rPr>
          <w:rFonts w:hint="eastAsia" w:ascii="宋体" w:hAnsi="宋体"/>
          <w:sz w:val="24"/>
        </w:rPr>
        <w:t xml:space="preserve">33</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对磋商文件提出质疑的，为收到磋商文件之日或者磋商文件公告期限届满之日。</w:t>
      </w:r>
      <w:r/>
    </w:p>
    <w:p>
      <w:pPr>
        <w:pStyle w:val="860"/>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pStyle w:val="860"/>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pStyle w:val="860"/>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pStyle w:val="860"/>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供应商提出质疑应提交《质疑函》原件，且尽可能通过邮寄方式送达，交易中心和采购人不接受无运单的</w:t>
      </w:r>
      <w:r>
        <w:rPr>
          <w:rFonts w:hint="eastAsia" w:ascii="宋体" w:hAnsi="宋体"/>
          <w:sz w:val="24"/>
          <w:lang w:val="zh-CN"/>
        </w:rPr>
        <w:t xml:space="preserve">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860"/>
        <w:ind w:firstLine="420"/>
        <w:jc w:val="left"/>
        <w:rPr>
          <w:rFonts w:hint="eastAsia" w:ascii="宋体" w:hAnsi="宋体"/>
          <w:b/>
          <w:bCs/>
          <w:sz w:val="24"/>
          <w:lang w:val="zh-CN"/>
        </w:rPr>
      </w:pPr>
      <w:r>
        <w:rPr>
          <w:rFonts w:hint="eastAsia" w:ascii="宋体" w:hAnsi="宋体"/>
          <w:sz w:val="24"/>
        </w:rPr>
        <w:t xml:space="preserve">33.</w:t>
      </w:r>
      <w:r>
        <w:rPr>
          <w:rFonts w:hint="eastAsia" w:ascii="宋体" w:hAnsi="宋体"/>
          <w:b/>
          <w:bCs/>
          <w:sz w:val="24"/>
        </w:rPr>
        <w:t xml:space="preserve">供应商根据质疑事项向相应的质疑答复主体提出质疑，具体详见磋商文件第一章。由采购人负责答复的质疑，采购人将《质疑函》《质疑答复函》抄送交易中心。</w:t>
      </w:r>
      <w:r>
        <w:rPr>
          <w:rFonts w:hint="eastAsia" w:ascii="宋体" w:hAnsi="宋体"/>
          <w:b/>
          <w:bCs/>
          <w:sz w:val="24"/>
          <w:lang w:val="zh-CN"/>
        </w:rPr>
      </w:r>
      <w:r/>
    </w:p>
    <w:p>
      <w:pPr>
        <w:pStyle w:val="860"/>
        <w:ind w:firstLine="422"/>
        <w:rPr>
          <w:rFonts w:hint="eastAsia" w:ascii="宋体" w:hAnsi="宋体"/>
          <w:b/>
          <w:bCs/>
          <w:sz w:val="24"/>
        </w:rPr>
      </w:pPr>
      <w:r>
        <w:rPr>
          <w:rFonts w:hint="eastAsia" w:ascii="宋体" w:hAnsi="宋体"/>
          <w:b/>
          <w:bCs/>
          <w:sz w:val="24"/>
          <w:szCs w:val="21"/>
        </w:rPr>
        <w:t xml:space="preserve">供应商对采购人、交易中心的质疑答复不满意，或者</w:t>
      </w:r>
      <w:r>
        <w:rPr>
          <w:rFonts w:hint="eastAsia" w:ascii="宋体" w:hAnsi="宋体"/>
          <w:b/>
          <w:bCs/>
          <w:sz w:val="24"/>
          <w:szCs w:val="21"/>
        </w:rPr>
        <w:t xml:space="preserve">采购人、交易中心未在规定时间内作出质疑答复的，可以在答复期满后15个工作日内向</w:t>
      </w:r>
      <w:r>
        <w:rPr>
          <w:rFonts w:hint="eastAsia" w:ascii="宋体" w:hAnsi="宋体"/>
          <w:b/>
          <w:bCs/>
          <w:sz w:val="24"/>
          <w:szCs w:val="21"/>
        </w:rPr>
        <w:t xml:space="preserve">南京市财政局</w:t>
      </w:r>
      <w:r>
        <w:rPr>
          <w:rFonts w:hint="eastAsia" w:ascii="宋体" w:hAnsi="宋体"/>
          <w:b/>
          <w:bCs/>
          <w:sz w:val="24"/>
          <w:szCs w:val="21"/>
        </w:rPr>
        <w:t xml:space="preserve">提起投诉。</w:t>
      </w:r>
      <w:r>
        <w:rPr>
          <w:rFonts w:hint="eastAsia" w:ascii="宋体" w:hAnsi="宋体"/>
          <w:b/>
          <w:bCs/>
          <w:sz w:val="24"/>
        </w:rPr>
      </w:r>
      <w:r/>
    </w:p>
    <w:p>
      <w:pPr>
        <w:pStyle w:val="8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以下情形的质疑不予受理：</w:t>
      </w:r>
      <w:r/>
    </w:p>
    <w:p>
      <w:pPr>
        <w:pStyle w:val="8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.1 超出政府采购法定期限的质疑；</w:t>
      </w:r>
      <w:r/>
    </w:p>
    <w:p>
      <w:pPr>
        <w:pStyle w:val="8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.2 </w:t>
      </w:r>
      <w:r>
        <w:rPr>
          <w:rFonts w:hint="eastAsia" w:ascii="宋体" w:hAnsi="宋体"/>
          <w:sz w:val="24"/>
        </w:rPr>
        <w:t xml:space="preserve">属于第31条规定的对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8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860"/>
        <w:ind w:firstLine="420"/>
        <w:rPr>
          <w:rFonts w:hint="eastAsia" w:ascii="宋体" w:hAnsi="宋体"/>
          <w:sz w:val="24"/>
          <w:lang w:val="zh-CN"/>
        </w:rPr>
      </w:pPr>
      <w:r>
        <w:rPr>
          <w:rFonts w:hint="eastAsia" w:ascii="宋体" w:hAnsi="宋体"/>
          <w:sz w:val="24"/>
        </w:rPr>
        <w:t xml:space="preserve">35</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6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.促进中小企业发展</w:t>
      </w:r>
      <w:r/>
    </w:p>
    <w:p>
      <w:pPr>
        <w:pStyle w:val="860"/>
        <w:ind w:firstLine="420"/>
        <w:rPr>
          <w:rFonts w:hint="eastAsia" w:ascii="宋体" w:hAnsi="宋体"/>
          <w:sz w:val="24"/>
          <w:lang w:val="zh-CN"/>
        </w:rPr>
      </w:pPr>
      <w:r>
        <w:rPr>
          <w:rFonts w:hint="eastAsia" w:ascii="宋体" w:hAnsi="宋体"/>
          <w:sz w:val="24"/>
        </w:rPr>
        <w:t xml:space="preserve">36.1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rPr>
        <w:t xml:space="preserve">&lt;</w:t>
      </w:r>
      <w:r>
        <w:rPr>
          <w:rFonts w:hint="eastAsia" w:ascii="宋体" w:hAnsi="宋体"/>
          <w:sz w:val="24"/>
          <w:lang w:val="zh-CN"/>
        </w:rPr>
        <w:t xml:space="preserve">统计上大中小微型企业划分办法（2017）</w:t>
      </w:r>
      <w:r>
        <w:rPr>
          <w:rFonts w:hint="eastAsia" w:ascii="宋体" w:hAnsi="宋体"/>
          <w:sz w:val="24"/>
        </w:rPr>
        <w:t xml:space="preserve">&gt;</w:t>
      </w:r>
      <w:r>
        <w:rPr>
          <w:rFonts w:hint="eastAsia" w:ascii="宋体" w:hAnsi="宋体"/>
          <w:sz w:val="24"/>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60"/>
        <w:ind w:firstLine="420"/>
        <w:rPr>
          <w:rFonts w:hint="eastAsia" w:ascii="宋体" w:hAnsi="宋体"/>
          <w:sz w:val="24"/>
          <w:lang w:val="zh-CN"/>
        </w:rPr>
      </w:pPr>
      <w:r>
        <w:rPr>
          <w:rFonts w:hint="eastAsia" w:ascii="宋体" w:hAnsi="宋体"/>
          <w:sz w:val="24"/>
        </w:rPr>
        <w:t xml:space="preserve">36.2 </w:t>
      </w:r>
      <w:r>
        <w:rPr>
          <w:rFonts w:hint="eastAsia" w:ascii="宋体" w:hAnsi="宋体"/>
          <w:sz w:val="24"/>
          <w:lang w:val="zh-CN"/>
        </w:rPr>
        <w:t xml:space="preserve">中小企业参加政府采购活动，应当出</w:t>
      </w:r>
      <w:r>
        <w:rPr>
          <w:rFonts w:hint="eastAsia" w:ascii="宋体" w:hAnsi="宋体"/>
          <w:sz w:val="24"/>
          <w:lang w:val="zh-CN"/>
        </w:rPr>
        <w:t xml:space="preserve">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pStyle w:val="860"/>
        <w:ind w:firstLine="420"/>
        <w:rPr>
          <w:rFonts w:hint="eastAsia" w:ascii="宋体" w:hAnsi="宋体" w:cs="宋体"/>
          <w:b/>
          <w:bCs/>
          <w:sz w:val="24"/>
          <w:szCs w:val="24"/>
        </w:rPr>
      </w:pPr>
      <w:r>
        <w:rPr>
          <w:rFonts w:hint="eastAsia" w:ascii="宋体" w:hAnsi="宋体"/>
          <w:sz w:val="24"/>
        </w:rPr>
        <w:t xml:space="preserve">36.3 </w:t>
      </w:r>
      <w:r>
        <w:rPr>
          <w:rFonts w:hint="eastAsia" w:ascii="宋体" w:hAnsi="宋体" w:cs="宋体"/>
          <w:b/>
          <w:bCs/>
          <w:sz w:val="24"/>
          <w:szCs w:val="24"/>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pStyle w:val="860"/>
        <w:ind w:firstLine="420"/>
        <w:widowControl/>
        <w:rPr>
          <w:rFonts w:hint="eastAsia" w:ascii="宋体" w:hAnsi="宋体"/>
          <w:sz w:val="24"/>
        </w:rPr>
      </w:pPr>
      <w:r>
        <w:rPr>
          <w:rFonts w:hint="eastAsia" w:ascii="宋体" w:hAnsi="宋体" w:cs="宋体"/>
          <w:sz w:val="24"/>
          <w:szCs w:val="24"/>
        </w:rPr>
        <w:t xml:space="preserve">36.4 </w:t>
      </w:r>
      <w:r>
        <w:rPr>
          <w:rFonts w:hint="eastAsia" w:ascii="宋体" w:hAnsi="宋体"/>
          <w:b/>
          <w:bCs/>
          <w:sz w:val="24"/>
          <w:lang w:val="zh-CN"/>
        </w:rPr>
        <w:t xml:space="preserve">评审委员会评审中发现供应商提供的《中小企业声明函》内容含义不明确、同类事项与响应文件表述不一致或者有明显文字错误等情况的，应当以书面形式要求供应商作出必要的澄清、说明或者补正</w:t>
      </w:r>
      <w:r>
        <w:rPr>
          <w:rFonts w:hint="eastAsia" w:ascii="宋体" w:hAnsi="宋体"/>
          <w:sz w:val="24"/>
          <w:lang w:val="zh-CN"/>
        </w:rPr>
        <w:t xml:space="preserve">。</w:t>
      </w:r>
      <w:r>
        <w:rPr>
          <w:rFonts w:hint="eastAsia" w:ascii="宋体" w:hAnsi="宋体"/>
          <w:sz w:val="24"/>
        </w:rPr>
      </w:r>
      <w:r/>
    </w:p>
    <w:p>
      <w:pPr>
        <w:pStyle w:val="860"/>
        <w:ind w:firstLine="420"/>
        <w:rPr>
          <w:rFonts w:hint="eastAsia" w:ascii="宋体" w:hAnsi="宋体"/>
          <w:sz w:val="24"/>
          <w:lang w:val="zh-CN"/>
        </w:rPr>
      </w:pPr>
      <w:r>
        <w:rPr>
          <w:rFonts w:hint="eastAsia" w:ascii="宋体" w:hAnsi="宋体"/>
          <w:sz w:val="24"/>
        </w:rPr>
        <w:t xml:space="preserve">36.5 </w:t>
      </w:r>
      <w:r>
        <w:rPr>
          <w:rFonts w:hint="eastAsia" w:ascii="宋体" w:hAnsi="宋体"/>
          <w:sz w:val="24"/>
          <w:lang w:val="zh-CN"/>
        </w:rPr>
        <w:t xml:space="preserve">以联合体形式参加政府采购活动，联</w:t>
      </w:r>
      <w:r>
        <w:rPr>
          <w:rFonts w:hint="eastAsia" w:ascii="宋体" w:hAnsi="宋体"/>
          <w:sz w:val="24"/>
          <w:lang w:val="zh-CN"/>
        </w:rPr>
        <w:t xml:space="preserve">合体各方均为中小企业的，联合体视同中小企业。其中，联合体各方均为小微企业的，联合体视同小微企业。</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w:t>
      </w:r>
      <w:r>
        <w:rPr>
          <w:rFonts w:hint="eastAsia" w:ascii="宋体" w:hAnsi="宋体" w:cs="宋体"/>
          <w:sz w:val="24"/>
          <w:szCs w:val="24"/>
        </w:rPr>
        <w:t xml:space="preserve">监狱和戒毒企业（统称监狱企业）视同小型、微型企业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残疾人福利性单位</w:t>
      </w:r>
      <w:r>
        <w:rPr>
          <w:rFonts w:hint="eastAsia" w:ascii="宋体" w:hAnsi="宋体"/>
          <w:sz w:val="24"/>
        </w:rPr>
        <w:t xml:space="preserve">需</w:t>
      </w:r>
      <w:r>
        <w:rPr>
          <w:rFonts w:hint="eastAsia" w:ascii="宋体" w:hAnsi="宋体"/>
          <w:sz w:val="24"/>
          <w:lang w:val="zh-CN"/>
        </w:rPr>
        <w:t xml:space="preserve">提供《残疾人福</w:t>
      </w:r>
      <w:r>
        <w:rPr>
          <w:rFonts w:hint="eastAsia" w:ascii="宋体" w:hAnsi="宋体"/>
          <w:sz w:val="24"/>
          <w:lang w:val="zh-CN"/>
        </w:rPr>
        <w:t xml:space="preserve">利性单位声明函》。</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37.2 采购产品</w:t>
      </w:r>
      <w:r>
        <w:rPr>
          <w:rFonts w:hint="eastAsia" w:ascii="宋体" w:hAnsi="宋体"/>
          <w:sz w:val="24"/>
          <w:lang w:val="zh-CN"/>
        </w:rPr>
        <w:t xml:space="preserve">属于政府强制采购</w:t>
      </w:r>
      <w:r>
        <w:rPr>
          <w:rFonts w:hint="eastAsia" w:ascii="宋体" w:hAnsi="宋体"/>
          <w:sz w:val="24"/>
          <w:lang w:val="zh-CN"/>
        </w:rPr>
        <w:t xml:space="preserve">节能产品的，供应商应当选择依据国家能效标准中二级能效（水效）指标认证的节能产品投标，签订合同时提供国家确定的认证机构出具的、处于有效期之内的节能产品认证证书。 </w:t>
      </w:r>
      <w:r/>
    </w:p>
    <w:p>
      <w:pPr>
        <w:pStyle w:val="860"/>
        <w:ind w:firstLine="420"/>
        <w:rPr>
          <w:rFonts w:hint="eastAsia" w:ascii="宋体" w:hAnsi="宋体"/>
          <w:sz w:val="24"/>
          <w:lang w:val="zh-CN"/>
        </w:rPr>
      </w:pPr>
      <w:r>
        <w:rPr>
          <w:rFonts w:hint="eastAsia" w:ascii="宋体" w:hAnsi="宋体"/>
          <w:sz w:val="24"/>
        </w:rPr>
        <w:t xml:space="preserve">37.3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38.1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w:t>
      </w:r>
      <w:r>
        <w:rPr>
          <w:rFonts w:hint="eastAsia" w:ascii="宋体" w:hAnsi="宋体"/>
          <w:sz w:val="24"/>
        </w:rPr>
        <w:t xml:space="preserve">》（财办库〔2020〕123号）、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文件执行。磋商文件对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38.2 采购产品中涉及数据中心相关设备、运维服务的，应按照《关于印发&lt;绿色数据中心政府采购需求标准（试行）&gt;的通知》（财办库〔2023〕7号）、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860"/>
        <w:ind w:firstLine="420"/>
        <w:rPr>
          <w:rFonts w:hint="eastAsia" w:ascii="宋体" w:hAnsi="宋体"/>
          <w:sz w:val="24"/>
        </w:rPr>
      </w:pPr>
      <w:r>
        <w:rPr>
          <w:rFonts w:hint="eastAsia" w:ascii="宋体" w:hAnsi="宋体"/>
          <w:sz w:val="24"/>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w:t>
      </w:r>
      <w:r>
        <w:rPr>
          <w:rFonts w:hint="eastAsia" w:ascii="宋体" w:hAnsi="宋体"/>
          <w:sz w:val="24"/>
        </w:rPr>
        <w:t xml:space="preserve">剂等纳入政府采购合同条款的，供应商必须严格执行。</w:t>
      </w:r>
      <w:r/>
    </w:p>
    <w:p>
      <w:pPr>
        <w:pStyle w:val="860"/>
        <w:ind w:firstLine="420"/>
        <w:rPr>
          <w:rFonts w:hint="eastAsia" w:ascii="宋体" w:hAnsi="宋体"/>
          <w:sz w:val="24"/>
        </w:rPr>
      </w:pPr>
      <w:r>
        <w:rPr>
          <w:rFonts w:hint="eastAsia" w:ascii="宋体" w:hAnsi="宋体"/>
          <w:sz w:val="24"/>
        </w:rPr>
        <w:t xml:space="preserve">38.4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60"/>
        <w:ind w:firstLine="420"/>
        <w:widowControl/>
        <w:rPr>
          <w:rFonts w:hint="eastAsia" w:ascii="宋体" w:hAnsi="宋体"/>
          <w:sz w:val="24"/>
        </w:rPr>
      </w:pPr>
      <w:r>
        <w:rPr>
          <w:rFonts w:hint="eastAsia" w:ascii="宋体" w:hAnsi="宋体"/>
          <w:sz w:val="24"/>
        </w:rPr>
        <w:t xml:space="preserve">39.1 优先采购各级政府部门公开发布的有效期内的创新产品、首台套等《目录》内的创新产品。创新产品自进入《目录》起2年内视同具备相应销售业绩。</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40.1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w:t>
      </w:r>
      <w:r>
        <w:rPr>
          <w:rFonts w:hint="eastAsia" w:ascii="宋体" w:hAnsi="宋体"/>
          <w:sz w:val="24"/>
          <w:lang w:val="zh-CN"/>
        </w:rPr>
        <w:t xml:space="preserve">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pStyle w:val="860"/>
        <w:ind w:firstLine="420"/>
        <w:rPr>
          <w:rFonts w:hint="eastAsia" w:ascii="宋体" w:hAnsi="宋体"/>
          <w:sz w:val="24"/>
          <w:lang w:val="zh-CN"/>
        </w:rPr>
      </w:pPr>
      <w:r>
        <w:rPr>
          <w:rFonts w:hint="eastAsia" w:ascii="宋体" w:hAnsi="宋体"/>
          <w:sz w:val="24"/>
        </w:rPr>
        <w:t xml:space="preserve">40.2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zh-CN"/>
        </w:rPr>
        <w:t xml:space="preserve">.实施本国产品标准及相关政策</w:t>
      </w:r>
      <w:r/>
    </w:p>
    <w:p>
      <w:pPr>
        <w:pStyle w:val="860"/>
        <w:ind w:firstLine="420"/>
        <w:rPr>
          <w:rFonts w:hint="eastAsia" w:ascii="宋体" w:hAnsi="宋体"/>
          <w:sz w:val="24"/>
          <w:lang w:val="zh-CN"/>
        </w:rPr>
      </w:pPr>
      <w:r>
        <w:rPr>
          <w:rFonts w:hint="eastAsia" w:ascii="宋体" w:hAnsi="宋体"/>
          <w:sz w:val="24"/>
        </w:rPr>
        <w:t xml:space="preserve">41.</w:t>
      </w:r>
      <w:r>
        <w:rPr>
          <w:rFonts w:hint="eastAsia" w:ascii="宋体" w:hAnsi="宋体"/>
          <w:sz w:val="24"/>
          <w:lang w:val="zh-CN"/>
        </w:rPr>
        <w:t xml:space="preserve">1</w:t>
      </w:r>
      <w:r>
        <w:rPr>
          <w:rFonts w:hint="eastAsia" w:ascii="宋体" w:hAnsi="宋体"/>
          <w:sz w:val="24"/>
        </w:rPr>
        <w:t xml:space="preserve">根据《国务院办公厅关于在政府采购中实施本</w:t>
      </w:r>
      <w:r>
        <w:rPr>
          <w:rFonts w:hint="eastAsia" w:ascii="宋体" w:hAnsi="宋体"/>
          <w:sz w:val="24"/>
        </w:rPr>
        <w:t xml:space="preserve">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1</w:t>
      </w:r>
      <w:r>
        <w:rPr>
          <w:rFonts w:hint="eastAsia" w:ascii="宋体" w:hAnsi="宋体"/>
          <w:sz w:val="24"/>
          <w:lang w:val="zh-CN"/>
        </w:rPr>
        <w:t xml:space="preserve">.2本国产品应当符合以下条件：</w:t>
      </w:r>
      <w:r/>
    </w:p>
    <w:p>
      <w:pPr>
        <w:pStyle w:val="860"/>
        <w:ind w:firstLine="420"/>
        <w:rPr>
          <w:rFonts w:hint="eastAsia" w:ascii="宋体" w:hAnsi="宋体"/>
          <w:sz w:val="24"/>
          <w:lang w:val="zh-CN"/>
        </w:rPr>
      </w:pPr>
      <w:r>
        <w:rPr>
          <w:rFonts w:hint="eastAsia" w:ascii="宋体" w:hAnsi="宋体"/>
          <w:sz w:val="24"/>
          <w:lang w:val="zh-CN"/>
        </w:rPr>
        <w:t xml:space="preserve">（1）在中国境内生产</w:t>
      </w:r>
      <w:r/>
    </w:p>
    <w:p>
      <w:pPr>
        <w:pStyle w:val="860"/>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w:t>
      </w:r>
      <w:r>
        <w:rPr>
          <w:rFonts w:hint="eastAsia" w:ascii="宋体" w:hAnsi="宋体"/>
          <w:sz w:val="24"/>
          <w:lang w:val="zh-CN"/>
        </w:rPr>
        <w:t xml:space="preserve">厅关于在政府采购中实施本国产品标准及相关政策的通知》（国办发〔2025〕34号）规定。</w:t>
      </w:r>
      <w:r/>
    </w:p>
    <w:p>
      <w:pPr>
        <w:pStyle w:val="860"/>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60"/>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pStyle w:val="860"/>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w:t>
      </w:r>
      <w:r>
        <w:rPr>
          <w:rFonts w:hint="eastAsia" w:ascii="宋体" w:hAnsi="宋体"/>
          <w:sz w:val="24"/>
          <w:lang w:val="zh-CN"/>
        </w:rPr>
        <w:t xml:space="preserve">产”条件的产品在政府采购活动中视同本国产品。</w:t>
      </w:r>
      <w:r/>
    </w:p>
    <w:p>
      <w:pPr>
        <w:pStyle w:val="860"/>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pStyle w:val="860"/>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pStyle w:val="860"/>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1</w:t>
      </w:r>
      <w:r>
        <w:rPr>
          <w:rFonts w:hint="eastAsia" w:ascii="宋体" w:hAnsi="宋体"/>
          <w:sz w:val="24"/>
          <w:lang w:val="zh-CN"/>
        </w:rPr>
        <w:t xml:space="preserve">.3本国产品标准的适用范围</w:t>
      </w:r>
      <w:r/>
    </w:p>
    <w:p>
      <w:pPr>
        <w:pStyle w:val="860"/>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w:t>
      </w:r>
      <w:r>
        <w:rPr>
          <w:rFonts w:hint="eastAsia" w:ascii="宋体" w:hAnsi="宋体"/>
          <w:sz w:val="24"/>
          <w:lang w:val="zh-CN"/>
        </w:rPr>
        <w:t xml:space="preserve">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0"/>
        <w:ind w:firstLine="420"/>
        <w:rPr>
          <w:rFonts w:ascii="宋体" w:hAnsi="宋体"/>
          <w:sz w:val="24"/>
        </w:rPr>
      </w:pPr>
      <w:r>
        <w:rPr>
          <w:rFonts w:hint="eastAsia" w:ascii="宋体" w:hAnsi="宋体"/>
          <w:sz w:val="24"/>
        </w:rPr>
        <w:t xml:space="preserve">41.4对本国产品的支持政策</w:t>
      </w:r>
      <w:r>
        <w:rPr>
          <w:rFonts w:ascii="宋体" w:hAnsi="宋体"/>
          <w:sz w:val="24"/>
        </w:rPr>
      </w:r>
      <w:r/>
    </w:p>
    <w:p>
      <w:pPr>
        <w:pStyle w:val="860"/>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60"/>
        <w:ind w:firstLine="420"/>
        <w:rPr>
          <w:rFonts w:ascii="宋体" w:hAnsi="宋体"/>
          <w:sz w:val="24"/>
        </w:rPr>
      </w:pPr>
      <w:r>
        <w:rPr>
          <w:rFonts w:hint="eastAsia" w:ascii="宋体" w:hAnsi="宋体"/>
          <w:sz w:val="24"/>
        </w:rPr>
        <w:t xml:space="preserve">41.5政策执行要求</w:t>
      </w:r>
      <w:r>
        <w:rPr>
          <w:rFonts w:ascii="宋体" w:hAnsi="宋体"/>
          <w:sz w:val="24"/>
        </w:rPr>
      </w:r>
      <w:r/>
    </w:p>
    <w:p>
      <w:pPr>
        <w:pStyle w:val="860"/>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w:t>
      </w:r>
      <w:r>
        <w:rPr>
          <w:rFonts w:hint="eastAsia" w:ascii="宋体" w:hAnsi="宋体" w:cs="宋体"/>
          <w:sz w:val="24"/>
          <w:szCs w:val="24"/>
          <w:shd w:val="clear" w:color="auto" w:fill="ffffff"/>
        </w:rPr>
        <w:t xml:space="preserve">（国办发〔2025〕34号）规定。</w:t>
      </w:r>
      <w:r/>
    </w:p>
    <w:p>
      <w:pPr>
        <w:pStyle w:val="860"/>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p>
    <w:p>
      <w:pPr>
        <w:pStyle w:val="860"/>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w:t>
      </w:r>
      <w:r>
        <w:rPr>
          <w:rFonts w:hint="eastAsia" w:ascii="宋体" w:hAnsi="宋体"/>
          <w:sz w:val="24"/>
          <w:lang w:val="zh-CN"/>
        </w:rPr>
        <w:t xml:space="preserve">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42"/>
        <w:rPr>
          <w:rFonts w:hint="eastAsia" w:ascii="宋体" w:hAnsi="宋体" w:eastAsia="宋体" w:cs="Times New Roman"/>
          <w:sz w:val="24"/>
        </w:rPr>
      </w:pPr>
      <w:r>
        <w:rPr>
          <w:rFonts w:hint="eastAsia" w:ascii="宋体" w:hAnsi="宋体" w:eastAsia="宋体" w:cs="Times New Roman"/>
          <w:sz w:val="24"/>
        </w:rPr>
      </w:r>
      <w:r/>
    </w:p>
    <w:p>
      <w:pPr>
        <w:pStyle w:val="942"/>
        <w:rPr>
          <w:rFonts w:hint="eastAsia" w:ascii="方正小标宋简体" w:hAnsi="方正小标宋简体" w:eastAsia="方正小标宋简体" w:cs="方正小标宋简体"/>
          <w:sz w:val="36"/>
          <w:szCs w:val="36"/>
          <w:lang w:val="en-US"/>
        </w:rPr>
      </w:pPr>
      <w:r>
        <w:rPr>
          <w:rFonts w:hint="eastAsia" w:ascii="方正小标宋简体" w:hAnsi="方正小标宋简体" w:eastAsia="方正小标宋简体" w:cs="方正小标宋简体"/>
          <w:sz w:val="36"/>
          <w:szCs w:val="36"/>
          <w:lang w:val="en-US"/>
        </w:rPr>
      </w:r>
      <w:r/>
    </w:p>
    <w:p>
      <w:pPr>
        <w:pStyle w:val="860"/>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933"/>
        <w:ind w:firstLine="720"/>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60"/>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60"/>
        <w:rPr>
          <w:rFonts w:hint="eastAsia"/>
        </w:rPr>
      </w:pPr>
      <w:r>
        <w:rPr>
          <w:rFonts w:hint="eastAsia"/>
        </w:rPr>
      </w:r>
      <w:r/>
    </w:p>
    <w:p>
      <w:pPr>
        <w:pStyle w:val="933"/>
        <w:rPr>
          <w:rFonts w:hint="eastAsia"/>
        </w:rPr>
      </w:pPr>
      <w:r>
        <w:rPr>
          <w:rFonts w:hint="eastAsia"/>
        </w:rPr>
      </w:r>
      <w:r/>
    </w:p>
    <w:p>
      <w:pPr>
        <w:pStyle w:val="860"/>
        <w:rPr>
          <w:rFonts w:hint="eastAsia"/>
        </w:rPr>
      </w:pPr>
      <w:r>
        <w:rPr>
          <w:rFonts w:hint="eastAsia"/>
        </w:rPr>
      </w:r>
      <w:r/>
    </w:p>
    <w:p>
      <w:pPr>
        <w:pStyle w:val="933"/>
        <w:rPr>
          <w:rFonts w:hint="eastAsia"/>
        </w:rPr>
      </w:pPr>
      <w:r>
        <w:rPr>
          <w:rFonts w:hint="eastAsia"/>
        </w:rPr>
      </w:r>
      <w:r/>
    </w:p>
    <w:p>
      <w:pPr>
        <w:pStyle w:val="860"/>
        <w:rPr>
          <w:rFonts w:hint="eastAsia"/>
        </w:rPr>
      </w:pPr>
      <w:r>
        <w:rPr>
          <w:rFonts w:hint="eastAsia"/>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t xml:space="preserve">第三章  合同文本</w:t>
      </w:r>
      <w:r/>
    </w:p>
    <w:p>
      <w:pPr>
        <w:pStyle w:val="860"/>
        <w:jc w:val="center"/>
        <w:spacing w:before="145" w:after="145"/>
        <w:rPr>
          <w:rFonts w:hint="eastAsia" w:ascii="宋体" w:hAnsi="宋体"/>
          <w:bCs/>
          <w:sz w:val="24"/>
          <w:szCs w:val="21"/>
        </w:rPr>
      </w:pPr>
      <w:r>
        <w:rPr>
          <w:rFonts w:hint="eastAsia" w:ascii="宋体" w:hAnsi="宋体"/>
          <w:bCs/>
          <w:sz w:val="24"/>
          <w:szCs w:val="21"/>
        </w:rPr>
        <w:t xml:space="preserve">以下为本项目的合同条款，合同双方不得对磋商、响应文件内容作实质性修改。</w:t>
      </w:r>
      <w:r/>
    </w:p>
    <w:p>
      <w:pPr>
        <w:pStyle w:val="942"/>
        <w:ind w:left="0"/>
        <w:rPr>
          <w:rFonts w:hint="eastAsia"/>
        </w:rPr>
      </w:pPr>
      <w:r>
        <w:rPr>
          <w:rFonts w:hint="eastAsia"/>
        </w:rPr>
      </w:r>
      <w:r/>
    </w:p>
    <w:p>
      <w:pPr>
        <w:pStyle w:val="860"/>
        <w:jc w:val="center"/>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pStyle w:val="860"/>
        <w:jc w:val="left"/>
        <w:spacing w:before="145" w:after="145"/>
        <w:rPr>
          <w:rFonts w:ascii="宋体" w:hAnsi="宋体" w:cs="Courier New"/>
          <w:sz w:val="24"/>
          <w:szCs w:val="24"/>
        </w:rPr>
      </w:pPr>
      <w:r>
        <w:rPr>
          <w:rFonts w:ascii="宋体" w:hAnsi="宋体" w:cs="Courier New"/>
          <w:sz w:val="24"/>
          <w:szCs w:val="24"/>
        </w:rPr>
        <w:t xml:space="preserve">合同编号：</w:t>
      </w:r>
      <w:r/>
    </w:p>
    <w:p>
      <w:pPr>
        <w:pStyle w:val="860"/>
        <w:spacing w:before="145" w:after="145"/>
        <w:rPr>
          <w:rFonts w:ascii="宋体" w:hAnsi="宋体" w:cs="Courier New"/>
          <w:sz w:val="24"/>
          <w:szCs w:val="24"/>
        </w:rPr>
      </w:pPr>
      <w:r>
        <w:rPr>
          <w:rFonts w:ascii="宋体" w:hAnsi="宋体" w:cs="Courier New"/>
          <w:sz w:val="24"/>
          <w:szCs w:val="24"/>
        </w:rPr>
        <w:t xml:space="preserve">项目名称：                                       项目编号：</w:t>
      </w:r>
      <w:r/>
    </w:p>
    <w:p>
      <w:pPr>
        <w:pStyle w:val="860"/>
        <w:jc w:val="left"/>
        <w:spacing w:before="145" w:after="145"/>
        <w:rPr>
          <w:rFonts w:ascii="宋体" w:hAnsi="宋体" w:cs="Courier New"/>
          <w:sz w:val="24"/>
          <w:szCs w:val="24"/>
        </w:rPr>
      </w:pPr>
      <w:r>
        <w:rPr>
          <w:rFonts w:ascii="宋体" w:hAnsi="宋体" w:cs="Courier New"/>
          <w:sz w:val="24"/>
          <w:szCs w:val="24"/>
        </w:rPr>
        <w:t xml:space="preserve">甲方（买方）：</w:t>
      </w:r>
      <w:r/>
    </w:p>
    <w:p>
      <w:pPr>
        <w:pStyle w:val="860"/>
        <w:jc w:val="left"/>
        <w:spacing w:before="145" w:after="145"/>
        <w:rPr>
          <w:rFonts w:ascii="宋体" w:hAnsi="宋体" w:cs="Courier New"/>
          <w:sz w:val="24"/>
          <w:szCs w:val="24"/>
        </w:rPr>
      </w:pPr>
      <w:r>
        <w:rPr>
          <w:rFonts w:ascii="宋体" w:hAnsi="宋体" w:cs="Courier New"/>
          <w:sz w:val="24"/>
          <w:szCs w:val="24"/>
        </w:rPr>
        <w:t xml:space="preserve">乙方（卖方）：</w:t>
      </w:r>
      <w:r/>
    </w:p>
    <w:p>
      <w:pPr>
        <w:pStyle w:val="860"/>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结果</w:t>
      </w:r>
      <w:r>
        <w:rPr>
          <w:rFonts w:hint="eastAsia" w:ascii="宋体" w:hAnsi="宋体" w:cs="Courier New"/>
          <w:sz w:val="24"/>
          <w:szCs w:val="24"/>
        </w:rPr>
        <w:t xml:space="preserve">，</w:t>
      </w:r>
      <w:r>
        <w:rPr>
          <w:rFonts w:ascii="宋体" w:hAnsi="宋体" w:cs="Courier New"/>
          <w:sz w:val="24"/>
          <w:szCs w:val="24"/>
        </w:rPr>
        <w:t xml:space="preserve">签署本合同。</w:t>
      </w:r>
      <w:r>
        <w:rPr>
          <w:rFonts w:ascii="宋体" w:hAnsi="宋体" w:cs="Courier New"/>
          <w:b/>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86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t xml:space="preserve">南京市CIM空间底座建设（一期）</w:t>
      </w:r>
      <w:r>
        <w:rPr>
          <w:rFonts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rPr>
          <w:rFonts w:hint="eastAsia" w:ascii="宋体" w:hAnsi="宋体" w:cs="Courier New"/>
          <w:sz w:val="24"/>
          <w:szCs w:val="24"/>
        </w:rPr>
        <w:t xml:space="preserve">按磋商文件及响应文件执行。</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bookmarkStart w:id="114" w:name="OLE_LINK4"/>
      <w:r>
        <w:rPr>
          <w:rFonts w:hint="eastAsia" w:ascii="宋体" w:hAnsi="宋体" w:cs="Courier New"/>
          <w:sz w:val="24"/>
          <w:szCs w:val="24"/>
        </w:rPr>
        <w:t xml:space="preserve">按磋商文件及响应文件执行。</w:t>
      </w:r>
      <w:bookmarkEnd w:id="114"/>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ascii="宋体" w:hAnsi="宋体" w:cs="Courier New"/>
          <w:sz w:val="24"/>
          <w:szCs w:val="24"/>
        </w:rPr>
        <w:t xml:space="preserve">合同签订后1年内完成（维保时间为验收合格后2年）</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甲方指定地点。</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rPr>
        <w:t xml:space="preserve">按磋商文件及响应文件</w:t>
      </w:r>
      <w:r>
        <w:rPr>
          <w:rFonts w:hint="eastAsia" w:ascii="宋体" w:hAnsi="宋体" w:cs="Courier New"/>
          <w:sz w:val="24"/>
          <w:szCs w:val="24"/>
        </w:rPr>
        <w:t xml:space="preserve">执行。</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w:t>
      </w:r>
      <w:r>
        <w:rPr>
          <w:rFonts w:hint="eastAsia" w:ascii="宋体" w:hAnsi="宋体" w:cs="Courier New"/>
          <w:sz w:val="24"/>
          <w:szCs w:val="24"/>
        </w:rPr>
        <w:t xml:space="preserve">按磋商文件及响应文件执行。</w:t>
      </w:r>
      <w:r/>
    </w:p>
    <w:p>
      <w:pPr>
        <w:pStyle w:val="860"/>
        <w:rPr>
          <w:rFonts w:ascii="宋体" w:hAnsi="宋体" w:cs="Courier New"/>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ascii="宋体" w:hAnsi="宋体" w:cs="Courier New"/>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03"/>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860"/>
        <w:rPr>
          <w:rFonts w:hint="eastAsia" w:ascii="宋体" w:hAnsi="宋体" w:cs="Courier New"/>
          <w:sz w:val="24"/>
          <w:szCs w:val="24"/>
        </w:rPr>
      </w:pPr>
      <w:r>
        <w:rPr>
          <w:rFonts w:hint="eastAsia" w:ascii="宋体" w:hAnsi="宋体" w:cs="Courier New"/>
          <w:sz w:val="24"/>
          <w:szCs w:val="24"/>
        </w:rPr>
        <w:t xml:space="preserve">3.1 乙方应按磋商文件规定的时间向甲方提供服务（包含与服务相关的货物）的有关技术资料。</w:t>
      </w:r>
      <w:r/>
    </w:p>
    <w:p>
      <w:pPr>
        <w:pStyle w:val="860"/>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860"/>
        <w:rPr>
          <w:rFonts w:ascii="宋体" w:hAnsi="宋体" w:cs="Courier New"/>
          <w:sz w:val="24"/>
          <w:szCs w:val="24"/>
        </w:rPr>
      </w:pPr>
      <w:r>
        <w:rPr>
          <w:rFonts w:hint="eastAsia" w:ascii="宋体" w:hAnsi="宋体" w:cs="Courier New"/>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4.2</w:t>
      </w:r>
      <w:r>
        <w:rPr>
          <w:rFonts w:ascii="宋体" w:hAnsi="宋体" w:cs="Courier New"/>
          <w:sz w:val="24"/>
          <w:szCs w:val="24"/>
        </w:rPr>
        <w:t xml:space="preserve">本项目履行过程中形成的全部技术成果（包括但不限于源代码、软件系统、程序、技术方案等）以及相关文档的知识产权，全部归甲方（采购方）所有；本项目在开发、试运行以及后续使用过程中采集、分析、处理所产生的数据资源、数据产品的全部权利（包括但不限于知识产权、数据资产所有权、使用权、经营权）均归甲方（采购方）所有。乙方未经甲方书面许可，不得留存、复制、向第三方转让或授权使用上述技术成果及数据资源。</w:t>
      </w:r>
      <w:r>
        <w:rPr>
          <w:rFonts w:hint="eastAsia" w:ascii="宋体" w:hAnsi="宋体" w:cs="Courier New"/>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860"/>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860"/>
        <w:rPr>
          <w:rFonts w:hint="eastAsia" w:ascii="宋体" w:hAnsi="宋体" w:cs="Courier New"/>
          <w:sz w:val="24"/>
          <w:szCs w:val="24"/>
        </w:rPr>
        <w:outlineLvl w:val="3"/>
      </w:pPr>
      <w:r>
        <w:rPr>
          <w:rFonts w:hint="eastAsia" w:ascii="宋体" w:hAnsi="宋体" w:cs="Courier New"/>
          <w:sz w:val="24"/>
          <w:szCs w:val="24"/>
        </w:rPr>
        <w:t xml:space="preserve">6.1</w:t>
      </w:r>
      <w:r>
        <w:rPr>
          <w:rFonts w:hint="eastAsia" w:ascii="宋体" w:hAnsi="宋体" w:cs="Courier New"/>
          <w:sz w:val="24"/>
          <w:szCs w:val="24"/>
        </w:rPr>
        <w:t xml:space="preserve"> 本项目乙方无需缴纳履约保证金。</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乙方不得将合同标的转包给他人履行，否则甲方有权终止合同。</w:t>
      </w:r>
      <w:r/>
    </w:p>
    <w:p>
      <w:pPr>
        <w:pStyle w:val="860"/>
        <w:rPr>
          <w:rFonts w:hint="eastAsia" w:ascii="宋体" w:hAnsi="宋体" w:cs="Courier New"/>
          <w:sz w:val="24"/>
          <w:szCs w:val="24"/>
        </w:rPr>
      </w:pPr>
      <w:r>
        <w:rPr>
          <w:rFonts w:hint="eastAsia" w:ascii="宋体" w:hAnsi="宋体" w:cs="Courier New"/>
          <w:sz w:val="24"/>
          <w:szCs w:val="24"/>
        </w:rPr>
        <w:t xml:space="preserve">7.2 除磋商文件允许的分包情况外，乙方不得将合同标的分包给他人履行，否则甲方有权终止合同。</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03"/>
        <w:rPr>
          <w:rFonts w:hint="eastAsia" w:hAnsi="宋体"/>
          <w:sz w:val="24"/>
          <w:szCs w:val="24"/>
        </w:rPr>
        <w:outlineLvl w:val="3"/>
      </w:pPr>
      <w:r>
        <w:rPr>
          <w:rFonts w:hint="eastAsia" w:hAnsi="宋体"/>
          <w:sz w:val="24"/>
          <w:szCs w:val="24"/>
        </w:rPr>
        <w:t xml:space="preserve">8.1 合同款项的支付方式及时间</w:t>
      </w:r>
      <w:r/>
    </w:p>
    <w:p>
      <w:pPr>
        <w:pStyle w:val="903"/>
        <w:rPr>
          <w:rFonts w:hAnsi="宋体"/>
          <w:sz w:val="24"/>
          <w:szCs w:val="24"/>
        </w:rPr>
      </w:pPr>
      <w:r>
        <w:rPr>
          <w:rFonts w:hAnsi="宋体"/>
          <w:sz w:val="24"/>
          <w:szCs w:val="24"/>
        </w:rPr>
        <w:t xml:space="preserve">8.1.1.合同签订后，支付合同总金额的30%；</w:t>
      </w:r>
      <w:r/>
    </w:p>
    <w:p>
      <w:pPr>
        <w:pStyle w:val="903"/>
        <w:rPr>
          <w:rFonts w:hAnsi="宋体"/>
          <w:sz w:val="24"/>
          <w:szCs w:val="24"/>
        </w:rPr>
      </w:pPr>
      <w:r>
        <w:rPr>
          <w:rFonts w:hAnsi="宋体"/>
          <w:sz w:val="24"/>
          <w:szCs w:val="24"/>
        </w:rPr>
        <w:t xml:space="preserve">8.1.2.项目初验合格后，支付合同总金额的30%；</w:t>
      </w:r>
      <w:r/>
    </w:p>
    <w:p>
      <w:pPr>
        <w:pStyle w:val="903"/>
        <w:rPr>
          <w:rFonts w:hAnsi="宋体"/>
          <w:sz w:val="24"/>
          <w:szCs w:val="24"/>
        </w:rPr>
      </w:pPr>
      <w:r>
        <w:rPr>
          <w:rFonts w:hAnsi="宋体"/>
          <w:sz w:val="24"/>
          <w:szCs w:val="24"/>
        </w:rPr>
        <w:t xml:space="preserve">8.1.3.项目稳定试运行满3个月，且通过最终验收合格后，支付合同总金额的</w:t>
      </w:r>
      <w:r>
        <w:rPr>
          <w:rFonts w:hint="eastAsia" w:hAnsi="宋体"/>
          <w:sz w:val="24"/>
          <w:szCs w:val="24"/>
        </w:rPr>
        <w:t xml:space="preserve">3</w:t>
      </w:r>
      <w:r>
        <w:rPr>
          <w:rFonts w:hAnsi="宋体"/>
          <w:sz w:val="24"/>
          <w:szCs w:val="24"/>
        </w:rPr>
        <w:t xml:space="preserve">0%；</w:t>
      </w:r>
      <w:r/>
    </w:p>
    <w:p>
      <w:pPr>
        <w:pStyle w:val="903"/>
        <w:rPr>
          <w:rFonts w:hAnsi="宋体"/>
          <w:sz w:val="24"/>
          <w:szCs w:val="24"/>
        </w:rPr>
      </w:pPr>
      <w:r>
        <w:rPr>
          <w:rFonts w:hAnsi="宋体"/>
          <w:sz w:val="24"/>
          <w:szCs w:val="24"/>
        </w:rPr>
        <w:t xml:space="preserve">8.1.4.项目自终验合格之日起提</w:t>
      </w:r>
      <w:r>
        <w:rPr>
          <w:rFonts w:hAnsi="宋体"/>
          <w:sz w:val="24"/>
          <w:szCs w:val="24"/>
        </w:rPr>
        <w:t xml:space="preserve">供两年运维服务，运维期结束后支付合同总金额的10%。</w:t>
      </w:r>
      <w:r/>
    </w:p>
    <w:p>
      <w:pPr>
        <w:pStyle w:val="903"/>
        <w:rPr>
          <w:rFonts w:hint="eastAsia" w:hAnsi="宋体"/>
          <w:sz w:val="24"/>
          <w:szCs w:val="24"/>
        </w:rPr>
      </w:pPr>
      <w:r>
        <w:rPr>
          <w:rFonts w:hint="eastAsia" w:hAnsi="宋体"/>
          <w:sz w:val="24"/>
          <w:szCs w:val="24"/>
        </w:rPr>
        <w:t xml:space="preserve">8.1.5.</w:t>
      </w:r>
      <w:r>
        <w:rPr>
          <w:rFonts w:hAnsi="宋体"/>
          <w:sz w:val="24"/>
          <w:szCs w:val="24"/>
        </w:rPr>
        <w:t xml:space="preserve">满足合同约定支付条件且预算资金下达后，甲方收到乙方发票10个工作日内，将资金支付到合同约定的乙方账户。</w:t>
      </w:r>
      <w:r>
        <w:rPr>
          <w:rFonts w:hint="eastAsia" w:hAnsi="宋体"/>
          <w:sz w:val="24"/>
          <w:szCs w:val="24"/>
        </w:rPr>
        <w:t xml:space="preserve"> </w:t>
      </w:r>
      <w:r/>
    </w:p>
    <w:p>
      <w:pPr>
        <w:pStyle w:val="903"/>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860"/>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p>
    <w:p>
      <w:pPr>
        <w:pStyle w:val="86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86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86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860"/>
        <w:rPr>
          <w:rFonts w:hint="eastAsia" w:ascii="宋体" w:hAnsi="宋体" w:cs="Courier New"/>
          <w:sz w:val="24"/>
          <w:szCs w:val="24"/>
        </w:rPr>
      </w:pPr>
      <w:r>
        <w:rPr>
          <w:rFonts w:hint="eastAsia" w:ascii="宋体" w:hAnsi="宋体" w:cs="Courier New"/>
          <w:sz w:val="24"/>
          <w:szCs w:val="24"/>
        </w:rPr>
        <w:t xml:space="preserve">10.4 如有必要，甲方可邀请参加本项目磋商的其他供应商或第三方专业机构及专家参与验收，相关意见将作为验收结论的参考。</w:t>
      </w:r>
      <w:r/>
    </w:p>
    <w:p>
      <w:pPr>
        <w:pStyle w:val="860"/>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w:t>
      </w:r>
      <w:r>
        <w:rPr>
          <w:rFonts w:hint="eastAsia" w:ascii="宋体" w:hAnsi="宋体" w:cs="Courier New"/>
          <w:sz w:val="24"/>
          <w:szCs w:val="24"/>
        </w:rPr>
        <w:t xml:space="preserve">收双方共同签署。验收结果与采购合同约定的资金支付及履约保证金退还挂钩。履约验收的各项资料存档备查。</w:t>
      </w:r>
      <w:r/>
    </w:p>
    <w:p>
      <w:pPr>
        <w:pStyle w:val="860"/>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60"/>
        <w:spacing w:line="264" w:lineRule="auto"/>
      </w:pPr>
      <w:r>
        <w:rPr>
          <w:rFonts w:hint="eastAsia" w:ascii="宋体" w:hAnsi="宋体" w:cs="Courier New"/>
          <w:sz w:val="24"/>
          <w:szCs w:val="24"/>
        </w:rPr>
        <w:t xml:space="preserve">10.7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p>
    <w:p>
      <w:pPr>
        <w:pStyle w:val="860"/>
        <w:rPr>
          <w:rFonts w:ascii="宋体" w:hAnsi="宋体" w:cs="Courier New"/>
          <w:sz w:val="24"/>
          <w:szCs w:val="24"/>
        </w:rPr>
      </w:pPr>
      <w:r>
        <w:rPr>
          <w:rFonts w:ascii="宋体" w:hAnsi="宋体" w:cs="Courier New"/>
          <w:sz w:val="24"/>
          <w:szCs w:val="24"/>
        </w:rPr>
        <w:t xml:space="preserve">11.1 甲方无正当理由拒绝接受乙方提供服务的，应向乙方偿付拒绝接受服务合同总额</w:t>
      </w:r>
      <w:r>
        <w:rPr>
          <w:rFonts w:ascii="宋体" w:hAnsi="宋体" w:cs="Courier New"/>
          <w:sz w:val="24"/>
          <w:szCs w:val="24"/>
          <w:u w:val="single"/>
        </w:rPr>
        <w:t xml:space="preserve"> 5% </w:t>
      </w:r>
      <w:r>
        <w:rPr>
          <w:rFonts w:ascii="宋体" w:hAnsi="宋体" w:cs="Courier New"/>
          <w:sz w:val="24"/>
          <w:szCs w:val="24"/>
        </w:rPr>
        <w:t xml:space="preserve">的违约金。</w:t>
      </w:r>
      <w:r/>
    </w:p>
    <w:p>
      <w:pPr>
        <w:pStyle w:val="860"/>
        <w:rPr>
          <w:rFonts w:ascii="宋体" w:hAnsi="宋体" w:cs="Courier New"/>
          <w:sz w:val="24"/>
          <w:szCs w:val="24"/>
        </w:rPr>
      </w:pPr>
      <w:r>
        <w:rPr>
          <w:rFonts w:ascii="宋体" w:hAnsi="宋体" w:cs="Courier New"/>
          <w:sz w:val="24"/>
          <w:szCs w:val="24"/>
        </w:rPr>
        <w:t xml:space="preserve">11.2 甲方无故逾期验收和办理支付手续的，应按逾期付款总额每日万分之伍（0.05%）向乙方支付违约金，但累计总额不超过欠款总额的 5%</w:t>
      </w:r>
      <w:r>
        <w:rPr>
          <w:rFonts w:hint="eastAsia" w:ascii="宋体" w:hAnsi="宋体" w:cs="Courier New"/>
          <w:sz w:val="24"/>
          <w:szCs w:val="24"/>
        </w:rPr>
        <w:t xml:space="preserve">。</w:t>
      </w:r>
      <w:r>
        <w:rPr>
          <w:rFonts w:ascii="宋体" w:hAnsi="宋体" w:cs="Courier New"/>
          <w:sz w:val="24"/>
          <w:szCs w:val="24"/>
        </w:rPr>
      </w:r>
      <w:r/>
    </w:p>
    <w:p>
      <w:pPr>
        <w:pStyle w:val="860"/>
        <w:rPr>
          <w:rFonts w:ascii="宋体" w:hAnsi="宋体" w:cs="Courier New"/>
          <w:sz w:val="24"/>
          <w:szCs w:val="24"/>
        </w:rPr>
      </w:pPr>
      <w:r>
        <w:rPr>
          <w:rFonts w:ascii="宋体" w:hAnsi="宋体" w:cs="Courier New"/>
          <w:sz w:val="24"/>
          <w:szCs w:val="24"/>
        </w:rPr>
        <w:t xml:space="preserve">11.3 乙方逾期提供服务的，应按逾期提供服务合同总额每日</w:t>
      </w:r>
      <w:r>
        <w:rPr>
          <w:rFonts w:ascii="宋体" w:hAnsi="宋体" w:cs="Courier New"/>
          <w:sz w:val="24"/>
          <w:szCs w:val="24"/>
          <w:u w:val="single"/>
        </w:rPr>
        <w:t xml:space="preserve"> 5‰ </w:t>
      </w:r>
      <w:r>
        <w:rPr>
          <w:rFonts w:ascii="宋体" w:hAnsi="宋体" w:cs="Courier New"/>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ascii="宋体" w:hAnsi="宋体" w:cs="Courier New"/>
          <w:sz w:val="24"/>
          <w:szCs w:val="24"/>
          <w:u w:val="single"/>
        </w:rPr>
        <w:t xml:space="preserve"> 20% </w:t>
      </w:r>
      <w:r>
        <w:rPr>
          <w:rFonts w:ascii="宋体" w:hAnsi="宋体" w:cs="Courier New"/>
          <w:sz w:val="24"/>
          <w:szCs w:val="24"/>
        </w:rPr>
        <w:t xml:space="preserve">的违约金。</w:t>
      </w:r>
      <w:r/>
    </w:p>
    <w:p>
      <w:pPr>
        <w:pStyle w:val="860"/>
        <w:rPr>
          <w:rFonts w:ascii="宋体" w:hAnsi="宋体" w:cs="Courier New"/>
          <w:sz w:val="24"/>
          <w:szCs w:val="24"/>
        </w:rPr>
      </w:pPr>
      <w:r>
        <w:rPr>
          <w:rFonts w:ascii="宋体" w:hAnsi="宋体" w:cs="Courier New"/>
          <w:sz w:val="24"/>
          <w:szCs w:val="24"/>
        </w:rPr>
        <w:t xml:space="preserve">11.4 乙方所提供服务的标准不符合合同规定及招标文件规定标准的，甲方有权拒</w:t>
      </w:r>
      <w:r>
        <w:rPr>
          <w:rFonts w:ascii="宋体" w:hAnsi="宋体" w:cs="Courier New"/>
          <w:sz w:val="24"/>
          <w:szCs w:val="24"/>
        </w:rPr>
        <w:t xml:space="preserve">绝接受服务，并可单方面解除合同。</w:t>
      </w:r>
      <w:r/>
    </w:p>
    <w:p>
      <w:pPr>
        <w:pStyle w:val="860"/>
        <w:rPr>
          <w:rFonts w:ascii="宋体" w:hAnsi="宋体" w:cs="Courier New"/>
          <w:sz w:val="24"/>
          <w:szCs w:val="24"/>
        </w:rPr>
      </w:pPr>
      <w:r>
        <w:rPr>
          <w:rFonts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860"/>
        <w:rPr>
          <w:rFonts w:ascii="宋体" w:hAnsi="宋体" w:cs="Courier New"/>
          <w:sz w:val="24"/>
          <w:szCs w:val="24"/>
        </w:rPr>
      </w:pPr>
      <w:r>
        <w:rPr>
          <w:rFonts w:ascii="宋体" w:hAnsi="宋体" w:cs="Courier New"/>
          <w:sz w:val="24"/>
          <w:szCs w:val="24"/>
        </w:rPr>
        <w:t xml:space="preserve">11.6 乙方出现私自更换项目经理和技术负责人，以及驻场团队人员数量不满足要求，每次罚款1000元；在得到甲方允许情况下，项目经理以及驻场项目团队人员变更不超过3人次，如超过3人次后仍需变更的，每变更一次，则扣除合同总金额的1%。</w:t>
      </w:r>
      <w:r/>
    </w:p>
    <w:p>
      <w:pPr>
        <w:pStyle w:val="860"/>
        <w:rPr>
          <w:rFonts w:ascii="宋体" w:hAnsi="宋体" w:cs="Courier New"/>
          <w:sz w:val="24"/>
          <w:szCs w:val="24"/>
        </w:rPr>
      </w:pPr>
      <w:r>
        <w:rPr>
          <w:rFonts w:ascii="宋体" w:hAnsi="宋体" w:cs="Courier New"/>
          <w:sz w:val="24"/>
          <w:szCs w:val="24"/>
        </w:rPr>
        <w:t xml:space="preserve">11.7 在项目实施期间以及项目免费运维期间，针对甲方通知安排的开发、协调、应急保障等工作，要积极主动执行，乙方严禁出现推诿、责任不清现象，若有发生，每次处罚1000元；在项目实施期间以及项目免费运维期间，乙方驻场人员要严格按照驻场人员的相关规定，不得出现迟到、早退或缺勤等违规现象，若月度考勤统计违规占比10%以上的，每次处罚1000元。</w:t>
      </w:r>
      <w:r/>
    </w:p>
    <w:p>
      <w:pPr>
        <w:pStyle w:val="860"/>
        <w:rPr>
          <w:rFonts w:ascii="宋体" w:hAnsi="宋体" w:cs="Courier New"/>
          <w:sz w:val="24"/>
          <w:szCs w:val="24"/>
        </w:rPr>
      </w:pPr>
      <w:r>
        <w:rPr>
          <w:rFonts w:ascii="宋体" w:hAnsi="宋体" w:cs="Courier New"/>
          <w:sz w:val="24"/>
          <w:szCs w:val="24"/>
        </w:rPr>
        <w:t xml:space="preserve">11.8在合同期内，出现以下情况的： ①系统上线试运行以及正式运行以后，出现1次I级故障，扣除合同金额10000元，并由甲方口头警告或书面通报；</w:t>
      </w:r>
      <w:r>
        <w:rPr>
          <w:rFonts w:ascii="宋体" w:hAnsi="宋体" w:cs="Courier New"/>
          <w:sz w:val="24"/>
          <w:szCs w:val="24"/>
        </w:rPr>
        <w:t xml:space="preserve">出现1次II级故障，扣除合同金额5000元，并由甲方口头警告或书面通报；出现1次III级故障，扣除合同金额1000元系统上线试运行以及正式运行以后，连续三个月均出现I级故障，则扣除合同总金额的3%；连续三个月均出现II级故障，则扣除合同总金额的1%，若甲方应付的合同剩余款项不足以扣除，则甲方可以按照扣除标准要求乙方支付违约金。③系统上线试运行以及正式运行以</w:t>
      </w:r>
      <w:r>
        <w:rPr>
          <w:rFonts w:ascii="宋体" w:hAnsi="宋体" w:cs="Courier New"/>
          <w:sz w:val="24"/>
          <w:szCs w:val="24"/>
        </w:rPr>
        <w:t xml:space="preserve">后，故障解决时间未能达到“故障处置响应级别”的要求，每发生一次，按下列情况予以处罚：I级故障解决时间未达标，扣除合同金额3000元；II级故障解决时间未达标，扣除合同金额2000元；III级故障解决时间未达标，扣除合同金额1000元。（说明：I级故障为“系统崩溃导致业务停止、数据丢失”等情况，II级故障为“出现部分功能失效、系统性能下降但能正常运行，不影响正常业务运作”等情况，III级故障为“出现系统报错或警告，但业务系统能继续运行且性能不受影响”等情况，故障等级的定义权归甲方所有，其解释具有最终决定权。）</w:t>
      </w:r>
      <w:r/>
    </w:p>
    <w:p>
      <w:pPr>
        <w:pStyle w:val="860"/>
        <w:rPr>
          <w:rFonts w:ascii="宋体" w:hAnsi="宋体" w:cs="Courier New"/>
          <w:sz w:val="24"/>
          <w:szCs w:val="24"/>
        </w:rPr>
      </w:pPr>
      <w:r>
        <w:rPr>
          <w:rFonts w:ascii="宋体" w:hAnsi="宋体" w:cs="Courier New"/>
          <w:sz w:val="24"/>
          <w:szCs w:val="24"/>
        </w:rPr>
        <w:t xml:space="preserve">11.9 乙方应保证平台建设过程中的安全性，若因平台建设中导致数据安全泄露，乙方应承担全部违约责任。①一般数据泄露:一般数据遭到泄露、破坏或者非法获取、</w:t>
      </w:r>
      <w:r>
        <w:rPr>
          <w:rFonts w:ascii="宋体" w:hAnsi="宋体" w:cs="Courier New"/>
          <w:sz w:val="24"/>
          <w:szCs w:val="24"/>
        </w:rPr>
        <w:t xml:space="preserve">非法利用，泄露的规模较小，影响有限或影响少数用户或系统，持续时间较短，不会对组织造成重大损害，出现一次扣除项目合同总金额的1%；②重要数据泄露: 重要数据遭到泄露、破坏或者非法获取、非法利用，对经济运行秩序造成严重影响；敏感级及以上数据遭到泄露、破坏或者非法获取、非法利用，导致对公共利益造成严重危害，造成重大经济损失，或者产生重大社会群体性事件等泄露的规模较大，影响范围较广，出现一次扣除项目合同总金额的5%；或者出现3次及以上一般数据泄露事件的，也扣除项目合同总金额的5%。③核心数据泄露: 核心数据遭到泄露</w:t>
      </w:r>
      <w:r>
        <w:rPr>
          <w:rFonts w:ascii="宋体" w:hAnsi="宋体" w:cs="Courier New"/>
          <w:sz w:val="24"/>
          <w:szCs w:val="24"/>
        </w:rPr>
        <w:t xml:space="preserve">、破坏或者非法获取、非法利用；重要数据遭到泄露、破坏或者非法获取、非法利用，对经济运行秩序造成特别严重影响；敏感级及以上数据遭到大规模泄露、破坏或者非法获取、非法利用，导致对公共利益造成特别严重危害，造成特别重大经济损失，或者产生特别重大社会群体性事件等，出现一次扣除全部项目合同金额；或者出现3次及以上重要数据泄露事件的，也扣除全部项目合同金额。同时，造成的直接和间接损失全部由乙方承担。且采购人有一票否决权，有权立即中止后续合同执行。情节严重的，由公安机关追究相关人员民事或刑事责任。（说明：泄露程度具体标准</w:t>
      </w:r>
      <w:r>
        <w:rPr>
          <w:rFonts w:ascii="宋体" w:hAnsi="宋体" w:cs="Courier New"/>
          <w:sz w:val="24"/>
          <w:szCs w:val="24"/>
        </w:rPr>
        <w:t xml:space="preserve">的定义权归甲方所有，其解释具有最终决定权。）</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p>
    <w:p>
      <w:pPr>
        <w:pStyle w:val="860"/>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pStyle w:val="860"/>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pStyle w:val="860"/>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p>
    <w:p>
      <w:pPr>
        <w:pStyle w:val="860"/>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十四、合同生效及其他</w:t>
      </w:r>
      <w:r/>
    </w:p>
    <w:p>
      <w:pPr>
        <w:pStyle w:val="860"/>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p>
    <w:p>
      <w:pPr>
        <w:pStyle w:val="860"/>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p>
    <w:p>
      <w:pPr>
        <w:pStyle w:val="860"/>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p>
    <w:p>
      <w:pPr>
        <w:pStyle w:val="903"/>
        <w:spacing w:before="120" w:after="120"/>
        <w:rPr>
          <w:rFonts w:hint="eastAsia" w:hAnsi="宋体"/>
          <w:sz w:val="24"/>
          <w:szCs w:val="24"/>
        </w:rPr>
      </w:pPr>
      <w:r>
        <w:rPr>
          <w:rFonts w:hint="eastAsia" w:hAnsi="宋体"/>
          <w:sz w:val="24"/>
          <w:szCs w:val="24"/>
        </w:rPr>
        <w:t xml:space="preserve">  </w:t>
      </w:r>
      <w:r/>
    </w:p>
    <w:p>
      <w:pPr>
        <w:pStyle w:val="903"/>
        <w:ind w:firstLine="240"/>
        <w:spacing w:before="120" w:after="120"/>
        <w:rPr>
          <w:rFonts w:hint="eastAsia" w:hAnsi="宋体"/>
          <w:sz w:val="24"/>
          <w:szCs w:val="24"/>
        </w:rPr>
      </w:pPr>
      <w:r>
        <w:rPr>
          <w:rFonts w:hint="eastAsia" w:hAnsi="宋体"/>
          <w:sz w:val="24"/>
          <w:szCs w:val="24"/>
        </w:rPr>
        <w:t xml:space="preserve">甲方：（公章）                       乙方：（公章） </w:t>
      </w:r>
      <w:r/>
    </w:p>
    <w:p>
      <w:pPr>
        <w:pStyle w:val="903"/>
        <w:spacing w:before="120" w:after="120"/>
        <w:rPr>
          <w:rFonts w:hint="eastAsia" w:hAnsi="宋体"/>
          <w:sz w:val="24"/>
          <w:szCs w:val="24"/>
        </w:rPr>
      </w:pPr>
      <w:r>
        <w:rPr>
          <w:rFonts w:hint="eastAsia" w:hAnsi="宋体"/>
          <w:sz w:val="24"/>
          <w:szCs w:val="24"/>
        </w:rPr>
        <w:t xml:space="preserve">  地址：                               地址： </w:t>
      </w:r>
      <w:r/>
    </w:p>
    <w:p>
      <w:pPr>
        <w:pStyle w:val="903"/>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903"/>
        <w:ind w:firstLine="240"/>
        <w:spacing w:before="120" w:after="120"/>
        <w:rPr>
          <w:rFonts w:hint="eastAsia" w:hAnsi="宋体"/>
          <w:sz w:val="24"/>
          <w:szCs w:val="24"/>
        </w:rPr>
      </w:pPr>
      <w:r>
        <w:rPr>
          <w:rFonts w:hint="eastAsia" w:hAnsi="宋体"/>
          <w:sz w:val="24"/>
          <w:szCs w:val="24"/>
        </w:rPr>
        <w:t xml:space="preserve">联系电话：                           </w:t>
      </w:r>
      <w:r>
        <w:rPr>
          <w:rFonts w:hint="eastAsia" w:hAnsi="宋体"/>
          <w:sz w:val="24"/>
          <w:szCs w:val="24"/>
        </w:rPr>
        <w:t xml:space="preserve">联系电话：          </w:t>
      </w:r>
      <w:r/>
    </w:p>
    <w:p>
      <w:pPr>
        <w:pStyle w:val="903"/>
        <w:spacing w:before="120" w:after="120"/>
        <w:rPr>
          <w:rFonts w:hint="eastAsia" w:hAnsi="宋体"/>
          <w:sz w:val="24"/>
          <w:szCs w:val="24"/>
        </w:rPr>
      </w:pPr>
      <w:r>
        <w:rPr>
          <w:rFonts w:hint="eastAsia" w:hAnsi="宋体"/>
          <w:sz w:val="24"/>
          <w:szCs w:val="24"/>
        </w:rPr>
        <w:t xml:space="preserve">                                          </w:t>
      </w:r>
      <w:r/>
    </w:p>
    <w:p>
      <w:pPr>
        <w:pStyle w:val="903"/>
        <w:ind w:firstLine="5280"/>
        <w:spacing w:before="120" w:after="120"/>
        <w:rPr>
          <w:rFonts w:hint="eastAsia" w:hAnsi="宋体"/>
          <w:sz w:val="24"/>
          <w:szCs w:val="24"/>
        </w:rPr>
      </w:pPr>
      <w:r>
        <w:rPr>
          <w:rFonts w:hint="eastAsia" w:hAnsi="宋体"/>
          <w:sz w:val="24"/>
          <w:szCs w:val="24"/>
        </w:rPr>
        <w:t xml:space="preserve">签订日期：      年    月   日</w:t>
      </w:r>
      <w:r/>
    </w:p>
    <w:p>
      <w:pPr>
        <w:pStyle w:val="903"/>
        <w:ind w:firstLine="4800"/>
        <w:spacing w:before="120" w:after="120"/>
        <w:rPr>
          <w:rFonts w:hint="eastAsia" w:hAnsi="宋体"/>
          <w:sz w:val="24"/>
          <w:szCs w:val="24"/>
        </w:rPr>
      </w:pPr>
      <w:r>
        <w:rPr>
          <w:rFonts w:hint="eastAsia" w:hAnsi="宋体"/>
          <w:sz w:val="24"/>
          <w:szCs w:val="24"/>
        </w:rPr>
      </w:r>
      <w:r/>
    </w:p>
    <w:p>
      <w:pPr>
        <w:pStyle w:val="860"/>
        <w:jc w:val="center"/>
        <w:spacing w:before="145" w:after="145"/>
        <w:rPr>
          <w:rFonts w:hint="eastAsia" w:ascii="宋体" w:hAnsi="宋体"/>
          <w:b/>
          <w:sz w:val="30"/>
          <w:szCs w:val="21"/>
        </w:rPr>
        <w:outlineLvl w:val="1"/>
      </w:pPr>
      <w:r>
        <w:rPr>
          <w:rFonts w:hint="eastAsia" w:ascii="宋体" w:hAnsi="宋体"/>
          <w:b/>
          <w:sz w:val="30"/>
          <w:szCs w:val="21"/>
        </w:rPr>
        <w:t xml:space="preserve">《*******合同》补充协议（合同附件）</w:t>
      </w:r>
      <w:r/>
    </w:p>
    <w:p>
      <w:pPr>
        <w:pStyle w:val="903"/>
        <w:jc w:val="left"/>
        <w:spacing w:before="120" w:after="120"/>
        <w:rPr>
          <w:rFonts w:hint="eastAsia" w:hAnsi="宋体"/>
          <w:sz w:val="24"/>
          <w:szCs w:val="24"/>
        </w:rPr>
      </w:pPr>
      <w:r>
        <w:rPr>
          <w:rFonts w:hint="eastAsia" w:hAnsi="宋体"/>
          <w:sz w:val="24"/>
          <w:szCs w:val="24"/>
        </w:rPr>
        <w:t xml:space="preserve">    如遇磋商文件及合同未约定事项，双方可友好协商签订补充协议。</w:t>
      </w:r>
      <w:r/>
    </w:p>
    <w:p>
      <w:pPr>
        <w:pStyle w:val="903"/>
        <w:jc w:val="center"/>
        <w:rPr>
          <w:rFonts w:hint="eastAsia" w:ascii="方正小标宋简体" w:hAnsi="方正小标宋简体" w:eastAsia="方正小标宋简体" w:cs="方正小标宋简体"/>
          <w:sz w:val="36"/>
          <w:szCs w:val="36"/>
        </w:rPr>
      </w:pPr>
      <w:r>
        <w:rPr>
          <w:rFonts w:hint="eastAsia" w:hAnsi="宋体"/>
          <w:sz w:val="24"/>
          <w:szCs w:val="24"/>
        </w:rPr>
        <w:br w:type="page" w:clear="all"/>
      </w:r>
      <w:bookmarkEnd w:id="0"/>
      <w:r/>
      <w:bookmarkEnd w:id="1"/>
      <w:r/>
      <w:bookmarkEnd w:id="2"/>
      <w:r/>
      <w:bookmarkEnd w:id="3"/>
      <w:r/>
      <w:bookmarkEnd w:id="4"/>
      <w:r/>
      <w:bookmarkEnd w:id="5"/>
      <w:r/>
      <w:bookmarkStart w:id="115" w:name="_Toc26554093"/>
      <w:r/>
      <w:bookmarkStart w:id="116" w:name="_Toc49090575"/>
      <w:r/>
      <w:bookmarkStart w:id="117" w:name="_Toc462564139"/>
      <w:r/>
      <w:bookmarkStart w:id="118" w:name="_Toc479757211"/>
      <w:r>
        <w:rPr>
          <w:rFonts w:hint="eastAsia" w:ascii="方正小标宋简体" w:hAnsi="方正小标宋简体" w:eastAsia="方正小标宋简体" w:cs="方正小标宋简体"/>
          <w:sz w:val="36"/>
          <w:szCs w:val="36"/>
        </w:rPr>
        <w:t xml:space="preserve">第四章  采购需求</w:t>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黑体" w:hAnsi="黑体" w:eastAsia="黑体" w:cs="黑体"/>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860"/>
        <w:ind w:firstLine="480"/>
        <w:spacing w:line="264" w:lineRule="auto"/>
        <w:rPr>
          <w:rFonts w:hint="eastAsia" w:ascii="宋体" w:hAnsi="宋体"/>
          <w:sz w:val="24"/>
          <w:szCs w:val="24"/>
        </w:rPr>
      </w:pPr>
      <w:r>
        <w:rPr>
          <w:rFonts w:hint="eastAsia" w:ascii="宋体" w:hAnsi="宋体"/>
          <w:sz w:val="24"/>
          <w:szCs w:val="24"/>
        </w:rPr>
        <w:t xml:space="preserve">（一）项目背景</w:t>
      </w:r>
      <w:r/>
    </w:p>
    <w:p>
      <w:pPr>
        <w:pStyle w:val="860"/>
        <w:ind w:firstLine="480"/>
        <w:spacing w:line="264" w:lineRule="auto"/>
        <w:rPr>
          <w:rFonts w:ascii="宋体" w:hAnsi="宋体"/>
          <w:sz w:val="24"/>
          <w:szCs w:val="24"/>
        </w:rPr>
      </w:pPr>
      <w:r>
        <w:rPr>
          <w:rFonts w:ascii="宋体" w:hAnsi="宋体"/>
          <w:sz w:val="24"/>
          <w:szCs w:val="24"/>
        </w:rPr>
        <w:t xml:space="preserve">为深入贯彻《中共中央 国务院关于推动城市高</w:t>
      </w:r>
      <w:r>
        <w:rPr>
          <w:rFonts w:ascii="宋体" w:hAnsi="宋体"/>
          <w:sz w:val="24"/>
          <w:szCs w:val="24"/>
        </w:rPr>
        <w:t xml:space="preserve">质量发展的意见》、国家发展改革委等5部门《深化智慧城市发展推进全域数字化转型行动计划》和江苏省《关于印发江苏省深化智慧城市发展推进城市全域数字化转型的实施方案（2025-2027年）的通知（苏数发〔2025〕24号）》等相关文件要求，进一步强化城市数字基础设施建设，按照《南京市CIM底座建设（2026-2028年）工作方案》要求，南京亟需加快推进CIM应用平台建设，依托CIM应用平台整合技术与数据资源，构建AI+CIM融合应用生态，不断推动城市治理向“数据驱动、智能驱动”转型,持续提升南京智慧城市建设水平。</w:t>
      </w:r>
      <w:r/>
    </w:p>
    <w:p>
      <w:pPr>
        <w:pStyle w:val="860"/>
        <w:ind w:firstLine="480"/>
        <w:spacing w:line="264" w:lineRule="auto"/>
        <w:rPr>
          <w:rFonts w:ascii="宋体" w:hAnsi="宋体"/>
          <w:sz w:val="24"/>
          <w:szCs w:val="24"/>
        </w:rPr>
      </w:pPr>
      <w:r>
        <w:rPr>
          <w:rFonts w:ascii="宋体" w:hAnsi="宋体"/>
          <w:sz w:val="24"/>
          <w:szCs w:val="24"/>
        </w:rPr>
        <w:t xml:space="preserve">本项目以“充分利旧、场景驱动、循序渐进、持续运营、局部探索”为原则，打造全市统一、数据融通、技术先进、应用多元、</w:t>
      </w:r>
      <w:r>
        <w:rPr>
          <w:rFonts w:ascii="宋体" w:hAnsi="宋体"/>
          <w:sz w:val="24"/>
          <w:szCs w:val="24"/>
        </w:rPr>
        <w:t xml:space="preserve">运营可持续的城市信息模型（CIM）平台，构建城市数字化转型核心数字底座,实现多源空间数据汇聚治理、二三维一体化可视化、空间智能分析与跨平台协同联动，全面支撑城市规划、建设、管理、运行全流程数字化应用，为城市治理体系和治理能力现代化提供坚实的空间智能支撑。</w:t>
      </w:r>
      <w:r/>
    </w:p>
    <w:p>
      <w:pPr>
        <w:pStyle w:val="860"/>
        <w:ind w:firstLine="480"/>
        <w:spacing w:line="264" w:lineRule="auto"/>
        <w:rPr>
          <w:rFonts w:ascii="宋体" w:hAnsi="宋体"/>
          <w:sz w:val="24"/>
          <w:szCs w:val="24"/>
        </w:rPr>
      </w:pPr>
      <w:r>
        <w:rPr>
          <w:rFonts w:ascii="宋体" w:hAnsi="宋体"/>
          <w:sz w:val="24"/>
          <w:szCs w:val="24"/>
        </w:rPr>
        <w:t xml:space="preserve">纪检监察机构联系方式：025-68789930</w:t>
      </w:r>
      <w:r/>
    </w:p>
    <w:p>
      <w:pPr>
        <w:pStyle w:val="860"/>
        <w:ind w:firstLine="480"/>
        <w:spacing w:line="264" w:lineRule="auto"/>
        <w:rPr>
          <w:rFonts w:hint="eastAsia" w:ascii="宋体" w:hAnsi="宋体"/>
          <w:sz w:val="24"/>
          <w:szCs w:val="24"/>
        </w:rPr>
      </w:pPr>
      <w:r>
        <w:rPr>
          <w:rFonts w:hint="eastAsia" w:ascii="宋体" w:hAnsi="宋体"/>
          <w:sz w:val="24"/>
          <w:szCs w:val="24"/>
        </w:rPr>
        <w:t xml:space="preserve">（二）项目建设遵循标准</w:t>
      </w:r>
      <w:r/>
    </w:p>
    <w:p>
      <w:pPr>
        <w:pStyle w:val="860"/>
        <w:ind w:firstLine="480"/>
        <w:spacing w:line="264" w:lineRule="auto"/>
        <w:rPr>
          <w:rFonts w:ascii="宋体" w:hAnsi="宋体"/>
          <w:bCs/>
          <w:sz w:val="24"/>
          <w:szCs w:val="24"/>
        </w:rPr>
        <w:outlineLvl w:val="1"/>
      </w:pPr>
      <w:r>
        <w:rPr>
          <w:rFonts w:ascii="宋体" w:hAnsi="宋体"/>
          <w:bCs/>
          <w:sz w:val="24"/>
          <w:szCs w:val="24"/>
        </w:rPr>
        <w:t xml:space="preserve">1.政策标准：</w:t>
      </w:r>
      <w:r/>
    </w:p>
    <w:p>
      <w:pPr>
        <w:pStyle w:val="860"/>
        <w:ind w:firstLine="480"/>
        <w:spacing w:line="264" w:lineRule="auto"/>
        <w:rPr>
          <w:rFonts w:ascii="宋体" w:hAnsi="宋体"/>
          <w:bCs/>
          <w:sz w:val="24"/>
          <w:szCs w:val="24"/>
        </w:rPr>
        <w:outlineLvl w:val="1"/>
      </w:pPr>
      <w:r>
        <w:rPr>
          <w:rFonts w:ascii="宋体" w:hAnsi="宋体"/>
          <w:bCs/>
          <w:sz w:val="24"/>
          <w:szCs w:val="24"/>
        </w:rPr>
        <w:t xml:space="preserve">[1]《新一代人工智能发展规划》（国发〔2017〕35号）</w:t>
      </w:r>
      <w:r/>
    </w:p>
    <w:p>
      <w:pPr>
        <w:pStyle w:val="860"/>
        <w:ind w:firstLine="480"/>
        <w:spacing w:line="264" w:lineRule="auto"/>
        <w:rPr>
          <w:rFonts w:ascii="宋体" w:hAnsi="宋体"/>
          <w:bCs/>
          <w:sz w:val="24"/>
          <w:szCs w:val="24"/>
        </w:rPr>
        <w:outlineLvl w:val="1"/>
      </w:pPr>
      <w:r>
        <w:rPr>
          <w:rFonts w:ascii="宋体" w:hAnsi="宋体"/>
          <w:bCs/>
          <w:sz w:val="24"/>
          <w:szCs w:val="24"/>
        </w:rPr>
        <w:t xml:space="preserve">[2]《国家新一代人工智能标准体系建设指南》（国标委联〔2020〕35号）</w:t>
      </w:r>
      <w:r/>
    </w:p>
    <w:p>
      <w:pPr>
        <w:pStyle w:val="860"/>
        <w:ind w:firstLine="480"/>
        <w:spacing w:line="264" w:lineRule="auto"/>
        <w:rPr>
          <w:rFonts w:ascii="宋体" w:hAnsi="宋体"/>
          <w:bCs/>
          <w:sz w:val="24"/>
          <w:szCs w:val="24"/>
        </w:rPr>
        <w:outlineLvl w:val="1"/>
      </w:pPr>
      <w:r>
        <w:rPr>
          <w:rFonts w:ascii="宋体" w:hAnsi="宋体"/>
          <w:bCs/>
          <w:sz w:val="24"/>
          <w:szCs w:val="24"/>
        </w:rPr>
        <w:t xml:space="preserve">[3]《“十四五”推进国家政务信息化规划》（发改高技〔2021〕1898号）</w:t>
      </w:r>
      <w:r/>
    </w:p>
    <w:p>
      <w:pPr>
        <w:pStyle w:val="860"/>
        <w:ind w:firstLine="480"/>
        <w:spacing w:line="264" w:lineRule="auto"/>
        <w:rPr>
          <w:rFonts w:ascii="宋体" w:hAnsi="宋体"/>
          <w:bCs/>
          <w:sz w:val="24"/>
          <w:szCs w:val="24"/>
        </w:rPr>
        <w:outlineLvl w:val="1"/>
      </w:pPr>
      <w:r>
        <w:rPr>
          <w:rFonts w:ascii="宋体" w:hAnsi="宋体"/>
          <w:bCs/>
          <w:sz w:val="24"/>
          <w:szCs w:val="24"/>
        </w:rPr>
        <w:t xml:space="preserve">[4]《关于加快推进政务服务标准化规范化便利化的指导意见》（国发〔2022〕5号）</w:t>
      </w:r>
      <w:r/>
    </w:p>
    <w:p>
      <w:pPr>
        <w:pStyle w:val="860"/>
        <w:ind w:firstLine="480"/>
        <w:spacing w:line="264" w:lineRule="auto"/>
        <w:rPr>
          <w:rFonts w:ascii="宋体" w:hAnsi="宋体"/>
          <w:bCs/>
          <w:sz w:val="24"/>
          <w:szCs w:val="24"/>
        </w:rPr>
        <w:outlineLvl w:val="1"/>
      </w:pPr>
      <w:r>
        <w:rPr>
          <w:rFonts w:ascii="宋体" w:hAnsi="宋体"/>
          <w:bCs/>
          <w:sz w:val="24"/>
          <w:szCs w:val="24"/>
        </w:rPr>
        <w:t xml:space="preserve">[5]《国务院关于加强数字化建设的指导意见》（国发〔2022〕14 号）</w:t>
      </w:r>
      <w:r/>
    </w:p>
    <w:p>
      <w:pPr>
        <w:pStyle w:val="860"/>
        <w:ind w:firstLine="480"/>
        <w:spacing w:line="264" w:lineRule="auto"/>
        <w:rPr>
          <w:rFonts w:ascii="宋体" w:hAnsi="宋体"/>
          <w:bCs/>
          <w:sz w:val="24"/>
          <w:szCs w:val="24"/>
        </w:rPr>
        <w:outlineLvl w:val="1"/>
      </w:pPr>
      <w:r>
        <w:rPr>
          <w:rFonts w:ascii="宋体" w:hAnsi="宋体"/>
          <w:bCs/>
          <w:sz w:val="24"/>
          <w:szCs w:val="24"/>
        </w:rPr>
        <w:t xml:space="preserve">[6]《“数据要素×”三年行动计划（2024-2026）》（国数政策〔2023〕11 号）</w:t>
      </w:r>
      <w:r/>
    </w:p>
    <w:p>
      <w:pPr>
        <w:pStyle w:val="860"/>
        <w:ind w:firstLine="480"/>
        <w:spacing w:line="264" w:lineRule="auto"/>
        <w:rPr>
          <w:rFonts w:ascii="宋体" w:hAnsi="宋体"/>
          <w:bCs/>
          <w:sz w:val="24"/>
          <w:szCs w:val="24"/>
        </w:rPr>
        <w:outlineLvl w:val="1"/>
      </w:pPr>
      <w:r>
        <w:rPr>
          <w:rFonts w:ascii="宋体" w:hAnsi="宋体"/>
          <w:bCs/>
          <w:sz w:val="24"/>
          <w:szCs w:val="24"/>
        </w:rPr>
        <w:t xml:space="preserve">[7]《生成式人工智能服务管理暂行办法》（国家网信办等令第15号）</w:t>
      </w:r>
      <w:r/>
    </w:p>
    <w:p>
      <w:pPr>
        <w:pStyle w:val="860"/>
        <w:ind w:firstLine="480"/>
        <w:spacing w:line="264" w:lineRule="auto"/>
        <w:rPr>
          <w:rFonts w:ascii="宋体" w:hAnsi="宋体"/>
          <w:bCs/>
          <w:sz w:val="24"/>
          <w:szCs w:val="24"/>
        </w:rPr>
        <w:outlineLvl w:val="1"/>
      </w:pPr>
      <w:r>
        <w:rPr>
          <w:rFonts w:ascii="宋体" w:hAnsi="宋体"/>
          <w:bCs/>
          <w:sz w:val="24"/>
          <w:szCs w:val="24"/>
        </w:rPr>
        <w:t xml:space="preserve">[8]《人工智能生成合成内容标识办法》（国信办通字〔2025〕2号）</w:t>
      </w:r>
      <w:r/>
    </w:p>
    <w:p>
      <w:pPr>
        <w:pStyle w:val="860"/>
        <w:ind w:firstLine="480"/>
        <w:spacing w:line="264" w:lineRule="auto"/>
        <w:rPr>
          <w:rFonts w:ascii="宋体" w:hAnsi="宋体"/>
          <w:bCs/>
          <w:sz w:val="24"/>
          <w:szCs w:val="24"/>
        </w:rPr>
        <w:outlineLvl w:val="1"/>
      </w:pPr>
      <w:r>
        <w:rPr>
          <w:rFonts w:ascii="宋体" w:hAnsi="宋体"/>
          <w:bCs/>
          <w:sz w:val="24"/>
          <w:szCs w:val="24"/>
        </w:rPr>
        <w:t xml:space="preserve">[9]《中共中央 国务院关于推动城市高质量发展的意见》（2025年8月15日印</w:t>
      </w:r>
      <w:r>
        <w:rPr>
          <w:rFonts w:ascii="宋体" w:hAnsi="宋体"/>
          <w:bCs/>
          <w:sz w:val="24"/>
          <w:szCs w:val="24"/>
        </w:rPr>
        <w:t xml:space="preserve">发）</w:t>
      </w:r>
      <w:r/>
    </w:p>
    <w:p>
      <w:pPr>
        <w:pStyle w:val="860"/>
        <w:ind w:firstLine="480"/>
        <w:spacing w:line="264" w:lineRule="auto"/>
        <w:rPr>
          <w:rFonts w:ascii="宋体" w:hAnsi="宋体"/>
          <w:bCs/>
          <w:sz w:val="24"/>
          <w:szCs w:val="24"/>
        </w:rPr>
        <w:outlineLvl w:val="1"/>
      </w:pPr>
      <w:r>
        <w:rPr>
          <w:rFonts w:ascii="宋体" w:hAnsi="宋体"/>
          <w:bCs/>
          <w:sz w:val="24"/>
          <w:szCs w:val="24"/>
        </w:rPr>
        <w:t xml:space="preserve">[10]《关于推进服务业扩能提质的意见》（国发〔2026〕7 号）</w:t>
      </w:r>
      <w:r/>
    </w:p>
    <w:p>
      <w:pPr>
        <w:pStyle w:val="860"/>
        <w:ind w:firstLine="480"/>
        <w:spacing w:line="264" w:lineRule="auto"/>
        <w:rPr>
          <w:rFonts w:ascii="宋体" w:hAnsi="宋体"/>
          <w:bCs/>
          <w:sz w:val="24"/>
          <w:szCs w:val="24"/>
        </w:rPr>
        <w:outlineLvl w:val="1"/>
      </w:pPr>
      <w:r>
        <w:rPr>
          <w:rFonts w:ascii="宋体" w:hAnsi="宋体"/>
          <w:bCs/>
          <w:sz w:val="24"/>
          <w:szCs w:val="24"/>
        </w:rPr>
        <w:t xml:space="preserve">[11]《江苏省“十四五”大数据产业发展规划》（苏工信综合〔2021〕40 号）</w:t>
      </w:r>
      <w:r/>
    </w:p>
    <w:p>
      <w:pPr>
        <w:pStyle w:val="860"/>
        <w:ind w:firstLine="480"/>
        <w:spacing w:line="264" w:lineRule="auto"/>
        <w:rPr>
          <w:rFonts w:ascii="宋体" w:hAnsi="宋体"/>
          <w:bCs/>
          <w:sz w:val="24"/>
          <w:szCs w:val="24"/>
        </w:rPr>
        <w:outlineLvl w:val="1"/>
      </w:pPr>
      <w:r>
        <w:rPr>
          <w:rFonts w:ascii="宋体" w:hAnsi="宋体"/>
          <w:bCs/>
          <w:sz w:val="24"/>
          <w:szCs w:val="24"/>
        </w:rPr>
        <w:t xml:space="preserve">[12]《江苏省政务信息化项目建设管理办法》（苏政办发〔2021〕78 号）</w:t>
      </w:r>
      <w:r/>
    </w:p>
    <w:p>
      <w:pPr>
        <w:pStyle w:val="860"/>
        <w:ind w:firstLine="480"/>
        <w:spacing w:line="264" w:lineRule="auto"/>
        <w:rPr>
          <w:rFonts w:ascii="宋体" w:hAnsi="宋体"/>
          <w:bCs/>
          <w:sz w:val="24"/>
          <w:szCs w:val="24"/>
        </w:rPr>
        <w:outlineLvl w:val="1"/>
      </w:pPr>
      <w:r>
        <w:rPr>
          <w:rFonts w:ascii="宋体" w:hAnsi="宋体"/>
          <w:bCs/>
          <w:sz w:val="24"/>
          <w:szCs w:val="24"/>
        </w:rPr>
        <w:t xml:space="preserve">[13]《江苏省数字经济高质量发展三年行动计划（2025-2027年）》（苏政办发〔2025〕15号）</w:t>
      </w:r>
      <w:r/>
    </w:p>
    <w:p>
      <w:pPr>
        <w:pStyle w:val="860"/>
        <w:ind w:firstLine="480"/>
        <w:spacing w:line="264" w:lineRule="auto"/>
        <w:rPr>
          <w:rFonts w:ascii="宋体" w:hAnsi="宋体"/>
          <w:bCs/>
          <w:sz w:val="24"/>
          <w:szCs w:val="24"/>
        </w:rPr>
        <w:outlineLvl w:val="1"/>
      </w:pPr>
      <w:r>
        <w:rPr>
          <w:rFonts w:ascii="宋体" w:hAnsi="宋体"/>
          <w:bCs/>
          <w:sz w:val="24"/>
          <w:szCs w:val="24"/>
        </w:rPr>
        <w:t xml:space="preserve">[14]《江苏省深化智慧城市发展推进城市全域数字化转型实施方案（2025-2027年）》（苏数发〔2025〕24号）</w:t>
      </w:r>
      <w:r/>
    </w:p>
    <w:p>
      <w:pPr>
        <w:pStyle w:val="860"/>
        <w:ind w:firstLine="480"/>
        <w:spacing w:line="264" w:lineRule="auto"/>
        <w:rPr>
          <w:rFonts w:ascii="宋体" w:hAnsi="宋体"/>
          <w:bCs/>
          <w:sz w:val="24"/>
          <w:szCs w:val="24"/>
        </w:rPr>
        <w:outlineLvl w:val="1"/>
      </w:pPr>
      <w:r>
        <w:rPr>
          <w:rFonts w:ascii="宋体" w:hAnsi="宋体"/>
          <w:bCs/>
          <w:sz w:val="24"/>
          <w:szCs w:val="24"/>
        </w:rPr>
        <w:t xml:space="preserve">[15]《南京国家人工智能创新应用先导区建设实施方案》（宁政发〔2022〕133号）</w:t>
      </w:r>
      <w:r/>
    </w:p>
    <w:p>
      <w:pPr>
        <w:pStyle w:val="860"/>
        <w:ind w:firstLine="480"/>
        <w:spacing w:line="264" w:lineRule="auto"/>
        <w:rPr>
          <w:rFonts w:ascii="宋体" w:hAnsi="宋体"/>
          <w:bCs/>
          <w:sz w:val="24"/>
          <w:szCs w:val="24"/>
        </w:rPr>
        <w:outlineLvl w:val="1"/>
      </w:pPr>
      <w:r>
        <w:rPr>
          <w:rFonts w:ascii="宋体" w:hAnsi="宋体"/>
          <w:bCs/>
          <w:sz w:val="24"/>
          <w:szCs w:val="24"/>
        </w:rPr>
        <w:t xml:space="preserve">[16]《南京市政务云管理办法》（宁数政办发〔2023〕4号）</w:t>
      </w:r>
      <w:r/>
    </w:p>
    <w:p>
      <w:pPr>
        <w:pStyle w:val="860"/>
        <w:ind w:firstLine="480"/>
        <w:spacing w:line="264" w:lineRule="auto"/>
        <w:rPr>
          <w:rFonts w:ascii="宋体" w:hAnsi="宋体"/>
          <w:bCs/>
          <w:sz w:val="24"/>
          <w:szCs w:val="24"/>
        </w:rPr>
        <w:outlineLvl w:val="1"/>
      </w:pPr>
      <w:r>
        <w:rPr>
          <w:rFonts w:ascii="宋体" w:hAnsi="宋体"/>
          <w:bCs/>
          <w:sz w:val="24"/>
          <w:szCs w:val="24"/>
        </w:rPr>
        <w:t xml:space="preserve">[17]《南京市进一步促进人工智能创新发展行动计划（2024-2026 年）》（宁政办发〔2024〕28 号）</w:t>
      </w:r>
      <w:r/>
    </w:p>
    <w:p>
      <w:pPr>
        <w:pStyle w:val="860"/>
        <w:ind w:firstLine="480"/>
        <w:spacing w:line="264" w:lineRule="auto"/>
        <w:rPr>
          <w:rFonts w:ascii="宋体" w:hAnsi="宋体"/>
          <w:bCs/>
          <w:sz w:val="24"/>
          <w:szCs w:val="24"/>
        </w:rPr>
        <w:outlineLvl w:val="1"/>
      </w:pPr>
      <w:r>
        <w:rPr>
          <w:rFonts w:ascii="宋体" w:hAnsi="宋体"/>
          <w:bCs/>
          <w:sz w:val="24"/>
          <w:szCs w:val="24"/>
        </w:rPr>
        <w:t xml:space="preserve">[18]《关于进一步优化政务服务提升行政效能推动“高效办成一件事”的实施计划》（宁政办发〔2025〕1 号）</w:t>
      </w:r>
      <w:r/>
    </w:p>
    <w:p>
      <w:pPr>
        <w:pStyle w:val="860"/>
        <w:ind w:firstLine="480"/>
        <w:spacing w:line="264" w:lineRule="auto"/>
        <w:rPr>
          <w:rFonts w:ascii="宋体" w:hAnsi="宋体"/>
          <w:bCs/>
          <w:sz w:val="24"/>
          <w:szCs w:val="24"/>
        </w:rPr>
        <w:outlineLvl w:val="1"/>
      </w:pPr>
      <w:r>
        <w:rPr>
          <w:rFonts w:ascii="宋体" w:hAnsi="宋体"/>
          <w:bCs/>
          <w:sz w:val="24"/>
          <w:szCs w:val="24"/>
        </w:rPr>
        <w:t xml:space="preserve">[19]《南京市城市数字治理若干规定》（2025年5月1日施行）</w:t>
      </w:r>
      <w:r/>
    </w:p>
    <w:p>
      <w:pPr>
        <w:pStyle w:val="860"/>
        <w:ind w:firstLine="480"/>
        <w:spacing w:line="264" w:lineRule="auto"/>
        <w:rPr>
          <w:rFonts w:ascii="宋体" w:hAnsi="宋体"/>
          <w:bCs/>
          <w:sz w:val="24"/>
          <w:szCs w:val="24"/>
        </w:rPr>
        <w:outlineLvl w:val="1"/>
      </w:pPr>
      <w:r>
        <w:rPr>
          <w:rFonts w:ascii="宋体" w:hAnsi="宋体"/>
          <w:bCs/>
          <w:sz w:val="24"/>
          <w:szCs w:val="24"/>
        </w:rPr>
        <w:t xml:space="preserve">[20]《贯彻落实〈中共中央办公厅、国务院办公厅关于推进新型城市基础设施建设打造韧性城市的意见〉行动方案（2025—2027年）》</w:t>
      </w:r>
      <w:r>
        <w:rPr>
          <w:rFonts w:ascii="宋体" w:hAnsi="宋体"/>
          <w:bCs/>
          <w:sz w:val="24"/>
          <w:szCs w:val="24"/>
        </w:rPr>
      </w:r>
      <w:r/>
    </w:p>
    <w:p>
      <w:pPr>
        <w:pStyle w:val="860"/>
        <w:ind w:firstLine="480"/>
        <w:spacing w:line="264" w:lineRule="auto"/>
        <w:rPr>
          <w:rFonts w:ascii="宋体" w:hAnsi="宋体"/>
          <w:bCs/>
          <w:sz w:val="24"/>
          <w:szCs w:val="24"/>
        </w:rPr>
        <w:outlineLvl w:val="1"/>
      </w:pPr>
      <w:r>
        <w:rPr>
          <w:rFonts w:ascii="宋体" w:hAnsi="宋体"/>
          <w:bCs/>
          <w:sz w:val="24"/>
          <w:szCs w:val="24"/>
        </w:rPr>
        <w:t xml:space="preserve">[21]市政府办公厅关于印发运用建筑信息模型系统进行工程建设项目审查审批和城市信息模型平台建设试点工作方案的通知》（宁政办发〔2019〕44号）</w:t>
      </w:r>
      <w:r/>
    </w:p>
    <w:p>
      <w:pPr>
        <w:pStyle w:val="860"/>
        <w:ind w:firstLine="480"/>
        <w:spacing w:line="264" w:lineRule="auto"/>
        <w:rPr>
          <w:rFonts w:ascii="宋体" w:hAnsi="宋体"/>
          <w:bCs/>
          <w:sz w:val="24"/>
          <w:szCs w:val="24"/>
        </w:rPr>
        <w:outlineLvl w:val="1"/>
      </w:pPr>
      <w:r>
        <w:rPr>
          <w:rFonts w:ascii="宋体" w:hAnsi="宋体"/>
          <w:bCs/>
          <w:sz w:val="24"/>
          <w:szCs w:val="24"/>
        </w:rPr>
        <w:t xml:space="preserve">[22]关于联合印发《南京市CIM底座建设（2026-2028年）工作方案》等文件的通知（宁数发〔2026〕6号）</w:t>
      </w:r>
      <w:r/>
    </w:p>
    <w:p>
      <w:pPr>
        <w:pStyle w:val="860"/>
        <w:ind w:firstLine="480"/>
        <w:spacing w:line="264" w:lineRule="auto"/>
        <w:rPr>
          <w:rFonts w:ascii="宋体" w:hAnsi="宋体"/>
          <w:bCs/>
          <w:sz w:val="24"/>
          <w:szCs w:val="24"/>
        </w:rPr>
        <w:outlineLvl w:val="1"/>
      </w:pPr>
      <w:r>
        <w:rPr>
          <w:rFonts w:ascii="宋体" w:hAnsi="宋体"/>
          <w:bCs/>
          <w:sz w:val="24"/>
          <w:szCs w:val="24"/>
        </w:rPr>
        <w:t xml:space="preserve">[23]南京市首批高使用价值公共数据清单（基础地理信息库列为核心高价值数据）</w:t>
      </w:r>
      <w:r/>
    </w:p>
    <w:p>
      <w:pPr>
        <w:pStyle w:val="860"/>
        <w:ind w:firstLine="480"/>
        <w:spacing w:line="264" w:lineRule="auto"/>
        <w:rPr>
          <w:rFonts w:ascii="宋体" w:hAnsi="宋体"/>
          <w:bCs/>
          <w:sz w:val="24"/>
          <w:szCs w:val="24"/>
        </w:rPr>
        <w:outlineLvl w:val="1"/>
      </w:pPr>
      <w:r>
        <w:rPr>
          <w:rFonts w:ascii="宋体" w:hAnsi="宋体"/>
          <w:bCs/>
          <w:sz w:val="24"/>
          <w:szCs w:val="24"/>
        </w:rPr>
        <w:t xml:space="preserve">[24]《关于落实网络安全保护重点措施深入实施网络安全等级保护制度的指导意见》（公网安〔2022〕1058号）</w:t>
      </w:r>
      <w:r/>
    </w:p>
    <w:p>
      <w:pPr>
        <w:pStyle w:val="860"/>
        <w:ind w:firstLine="480"/>
        <w:spacing w:line="264" w:lineRule="auto"/>
        <w:rPr>
          <w:rFonts w:ascii="宋体" w:hAnsi="宋体"/>
          <w:bCs/>
          <w:sz w:val="24"/>
          <w:szCs w:val="24"/>
        </w:rPr>
        <w:outlineLvl w:val="1"/>
      </w:pPr>
      <w:r>
        <w:rPr>
          <w:rFonts w:ascii="宋体" w:hAnsi="宋体"/>
          <w:bCs/>
          <w:sz w:val="24"/>
          <w:szCs w:val="24"/>
        </w:rPr>
        <w:t xml:space="preserve">[25]《江苏省网络安全事件应急预案》（苏政办发〔2020〕84号）</w:t>
      </w:r>
      <w:r/>
    </w:p>
    <w:p>
      <w:pPr>
        <w:pStyle w:val="860"/>
        <w:ind w:firstLine="480"/>
        <w:spacing w:line="264" w:lineRule="auto"/>
        <w:rPr>
          <w:rFonts w:ascii="宋体" w:hAnsi="宋体"/>
          <w:bCs/>
          <w:sz w:val="24"/>
          <w:szCs w:val="24"/>
        </w:rPr>
        <w:outlineLvl w:val="1"/>
      </w:pPr>
      <w:r>
        <w:rPr>
          <w:rFonts w:ascii="宋体" w:hAnsi="宋体"/>
          <w:bCs/>
          <w:sz w:val="24"/>
          <w:szCs w:val="24"/>
        </w:rPr>
        <w:t xml:space="preserve">[26]《南京市政务数据安全管理实施细则》（宁政规字〔2022〕1号）</w:t>
      </w:r>
      <w:r/>
    </w:p>
    <w:p>
      <w:pPr>
        <w:pStyle w:val="860"/>
        <w:ind w:firstLine="480"/>
        <w:spacing w:line="264" w:lineRule="auto"/>
        <w:rPr>
          <w:rFonts w:ascii="宋体" w:hAnsi="宋体"/>
          <w:bCs/>
          <w:sz w:val="24"/>
          <w:szCs w:val="24"/>
        </w:rPr>
        <w:outlineLvl w:val="1"/>
      </w:pPr>
      <w:r>
        <w:rPr>
          <w:rFonts w:ascii="宋体" w:hAnsi="宋体"/>
          <w:bCs/>
          <w:sz w:val="24"/>
          <w:szCs w:val="24"/>
        </w:rPr>
        <w:t xml:space="preserve">[27]《南京市网络安全事件应急预案》（宁网信办发〔2021〕10号）。</w:t>
      </w:r>
      <w:r/>
    </w:p>
    <w:p>
      <w:pPr>
        <w:pStyle w:val="860"/>
        <w:ind w:firstLine="480"/>
        <w:spacing w:line="264" w:lineRule="auto"/>
        <w:rPr>
          <w:rFonts w:ascii="宋体" w:hAnsi="宋体"/>
          <w:bCs/>
          <w:sz w:val="24"/>
          <w:szCs w:val="24"/>
        </w:rPr>
        <w:outlineLvl w:val="1"/>
      </w:pPr>
      <w:r>
        <w:rPr>
          <w:rFonts w:ascii="宋体" w:hAnsi="宋体"/>
          <w:bCs/>
          <w:sz w:val="24"/>
          <w:szCs w:val="24"/>
        </w:rPr>
        <w:t xml:space="preserve">2.技术依据：</w:t>
      </w:r>
      <w:r/>
    </w:p>
    <w:p>
      <w:pPr>
        <w:pStyle w:val="860"/>
        <w:ind w:firstLine="480"/>
        <w:spacing w:line="264" w:lineRule="auto"/>
        <w:rPr>
          <w:rFonts w:ascii="宋体" w:hAnsi="宋体"/>
          <w:bCs/>
          <w:sz w:val="24"/>
          <w:szCs w:val="24"/>
        </w:rPr>
        <w:outlineLvl w:val="1"/>
      </w:pPr>
      <w:r>
        <w:rPr>
          <w:rFonts w:ascii="宋体" w:hAnsi="宋体"/>
          <w:bCs/>
          <w:sz w:val="24"/>
          <w:szCs w:val="24"/>
        </w:rPr>
        <w:t xml:space="preserve">[1]《信息安全技术网络安全等级保护基本要求》(GB/T 22239-2019)</w:t>
      </w:r>
      <w:r/>
    </w:p>
    <w:p>
      <w:pPr>
        <w:pStyle w:val="860"/>
        <w:ind w:firstLine="480"/>
        <w:spacing w:line="264" w:lineRule="auto"/>
        <w:rPr>
          <w:rFonts w:ascii="宋体" w:hAnsi="宋体"/>
          <w:bCs/>
          <w:sz w:val="24"/>
          <w:szCs w:val="24"/>
        </w:rPr>
        <w:outlineLvl w:val="1"/>
      </w:pPr>
      <w:r>
        <w:rPr>
          <w:rFonts w:ascii="宋体" w:hAnsi="宋体"/>
          <w:bCs/>
          <w:sz w:val="24"/>
          <w:szCs w:val="24"/>
        </w:rPr>
        <w:t xml:space="preserve">[2]《政务信息共享数据安全技术要求》(GB/T 39477-2020)</w:t>
      </w:r>
      <w:r/>
    </w:p>
    <w:p>
      <w:pPr>
        <w:pStyle w:val="860"/>
        <w:ind w:firstLine="480"/>
        <w:spacing w:line="264" w:lineRule="auto"/>
        <w:rPr>
          <w:rFonts w:ascii="宋体" w:hAnsi="宋体"/>
          <w:bCs/>
          <w:sz w:val="24"/>
          <w:szCs w:val="24"/>
        </w:rPr>
        <w:outlineLvl w:val="1"/>
      </w:pPr>
      <w:r>
        <w:rPr>
          <w:rFonts w:ascii="宋体" w:hAnsi="宋体"/>
          <w:bCs/>
          <w:sz w:val="24"/>
          <w:szCs w:val="24"/>
        </w:rPr>
        <w:t xml:space="preserve">[3]《人工智能机器学习系统技术要求》(GB/T 43782-2024)</w:t>
      </w:r>
      <w:r/>
    </w:p>
    <w:p>
      <w:pPr>
        <w:pStyle w:val="860"/>
        <w:ind w:firstLine="480"/>
        <w:spacing w:line="264" w:lineRule="auto"/>
        <w:rPr>
          <w:rFonts w:ascii="宋体" w:hAnsi="宋体"/>
          <w:bCs/>
          <w:sz w:val="24"/>
          <w:szCs w:val="24"/>
        </w:rPr>
        <w:outlineLvl w:val="1"/>
      </w:pPr>
      <w:r>
        <w:rPr>
          <w:rFonts w:ascii="宋体" w:hAnsi="宋体"/>
          <w:bCs/>
          <w:sz w:val="24"/>
          <w:szCs w:val="24"/>
        </w:rPr>
        <w:t xml:space="preserve">[4]《人工智能知识图谱技术框架》(GB/T 42131-2022)</w:t>
      </w:r>
      <w:r/>
    </w:p>
    <w:p>
      <w:pPr>
        <w:pStyle w:val="860"/>
        <w:ind w:firstLine="480"/>
        <w:spacing w:line="264" w:lineRule="auto"/>
        <w:rPr>
          <w:rFonts w:ascii="宋体" w:hAnsi="宋体"/>
          <w:bCs/>
          <w:sz w:val="24"/>
          <w:szCs w:val="24"/>
        </w:rPr>
        <w:outlineLvl w:val="1"/>
      </w:pPr>
      <w:r>
        <w:rPr>
          <w:rFonts w:ascii="宋体" w:hAnsi="宋体"/>
          <w:bCs/>
          <w:sz w:val="24"/>
          <w:szCs w:val="24"/>
        </w:rPr>
        <w:t xml:space="preserve">[5]《信息技术人工智能术语》(GB/</w:t>
      </w:r>
      <w:r>
        <w:rPr>
          <w:rFonts w:ascii="宋体" w:hAnsi="宋体"/>
          <w:bCs/>
          <w:sz w:val="24"/>
          <w:szCs w:val="24"/>
        </w:rPr>
        <w:t xml:space="preserve">T 41867-2022)</w:t>
      </w:r>
      <w:r/>
    </w:p>
    <w:p>
      <w:pPr>
        <w:pStyle w:val="860"/>
        <w:ind w:firstLine="480"/>
        <w:spacing w:line="264" w:lineRule="auto"/>
        <w:rPr>
          <w:rFonts w:ascii="宋体" w:hAnsi="宋体"/>
          <w:bCs/>
          <w:sz w:val="24"/>
          <w:szCs w:val="24"/>
        </w:rPr>
        <w:outlineLvl w:val="1"/>
      </w:pPr>
      <w:r>
        <w:rPr>
          <w:rFonts w:ascii="宋体" w:hAnsi="宋体"/>
          <w:bCs/>
          <w:sz w:val="24"/>
          <w:szCs w:val="24"/>
        </w:rPr>
        <w:t xml:space="preserve">[6]《信息技术人工智能平台计算资源规范》(GB/T 42018-2022)</w:t>
      </w:r>
      <w:r/>
    </w:p>
    <w:p>
      <w:pPr>
        <w:pStyle w:val="860"/>
        <w:ind w:firstLine="480"/>
        <w:spacing w:line="264" w:lineRule="auto"/>
        <w:rPr>
          <w:rFonts w:ascii="宋体" w:hAnsi="宋体"/>
          <w:bCs/>
          <w:sz w:val="24"/>
          <w:szCs w:val="24"/>
        </w:rPr>
        <w:outlineLvl w:val="1"/>
      </w:pPr>
      <w:r>
        <w:rPr>
          <w:rFonts w:ascii="宋体" w:hAnsi="宋体"/>
          <w:bCs/>
          <w:sz w:val="24"/>
          <w:szCs w:val="24"/>
        </w:rPr>
        <w:t xml:space="preserve">[7]《信息技术人工智能机器学习模型及系统质量评估》(GB/T 41864-2022)</w:t>
      </w:r>
      <w:r/>
    </w:p>
    <w:p>
      <w:pPr>
        <w:pStyle w:val="860"/>
        <w:ind w:firstLine="480"/>
        <w:spacing w:line="264" w:lineRule="auto"/>
        <w:rPr>
          <w:rFonts w:ascii="宋体" w:hAnsi="宋体"/>
          <w:bCs/>
          <w:sz w:val="24"/>
          <w:szCs w:val="24"/>
        </w:rPr>
        <w:outlineLvl w:val="1"/>
      </w:pPr>
      <w:r>
        <w:rPr>
          <w:rFonts w:ascii="宋体" w:hAnsi="宋体"/>
          <w:bCs/>
          <w:sz w:val="24"/>
          <w:szCs w:val="24"/>
        </w:rPr>
        <w:t xml:space="preserve">[8]《人工智能面向机器学习的数据标注规程》(GB/T 42755-2023)</w:t>
      </w:r>
      <w:r/>
    </w:p>
    <w:p>
      <w:pPr>
        <w:pStyle w:val="860"/>
        <w:ind w:firstLine="480"/>
        <w:spacing w:line="264" w:lineRule="auto"/>
        <w:rPr>
          <w:rFonts w:ascii="宋体" w:hAnsi="宋体"/>
          <w:bCs/>
          <w:sz w:val="24"/>
          <w:szCs w:val="24"/>
        </w:rPr>
        <w:outlineLvl w:val="1"/>
      </w:pPr>
      <w:r>
        <w:rPr>
          <w:rFonts w:ascii="宋体" w:hAnsi="宋体"/>
          <w:bCs/>
          <w:sz w:val="24"/>
          <w:szCs w:val="24"/>
        </w:rPr>
        <w:t xml:space="preserve">[9]《政务信息系统基本要求》(GB/T 44230-2024)</w:t>
      </w:r>
      <w:r/>
    </w:p>
    <w:p>
      <w:pPr>
        <w:pStyle w:val="860"/>
        <w:ind w:firstLine="480"/>
        <w:spacing w:line="264" w:lineRule="auto"/>
        <w:rPr>
          <w:rFonts w:ascii="宋体" w:hAnsi="宋体"/>
          <w:bCs/>
          <w:sz w:val="24"/>
          <w:szCs w:val="24"/>
        </w:rPr>
        <w:outlineLvl w:val="1"/>
      </w:pPr>
      <w:r>
        <w:rPr>
          <w:rFonts w:ascii="宋体" w:hAnsi="宋体"/>
          <w:bCs/>
          <w:sz w:val="24"/>
          <w:szCs w:val="24"/>
        </w:rPr>
        <w:t xml:space="preserve">[10]《人工智能大模型第 1 部分：通用要求》(GB/T 45288.1-2025)</w:t>
      </w:r>
      <w:r/>
    </w:p>
    <w:p>
      <w:pPr>
        <w:pStyle w:val="860"/>
        <w:ind w:firstLine="480"/>
        <w:spacing w:line="264" w:lineRule="auto"/>
        <w:rPr>
          <w:rFonts w:ascii="宋体" w:hAnsi="宋体"/>
          <w:bCs/>
          <w:sz w:val="24"/>
          <w:szCs w:val="24"/>
        </w:rPr>
        <w:outlineLvl w:val="1"/>
      </w:pPr>
      <w:r>
        <w:rPr>
          <w:rFonts w:ascii="宋体" w:hAnsi="宋体"/>
          <w:bCs/>
          <w:sz w:val="24"/>
          <w:szCs w:val="24"/>
        </w:rPr>
        <w:t xml:space="preserve">[11]《人工智能大模型第 2 部分：评测指标与方法》(GB/T 45288.2-2025)</w:t>
      </w:r>
      <w:r/>
    </w:p>
    <w:p>
      <w:pPr>
        <w:pStyle w:val="860"/>
        <w:ind w:firstLine="480"/>
        <w:spacing w:line="264" w:lineRule="auto"/>
        <w:rPr>
          <w:rFonts w:ascii="宋体" w:hAnsi="宋体"/>
          <w:bCs/>
          <w:sz w:val="24"/>
          <w:szCs w:val="24"/>
        </w:rPr>
        <w:outlineLvl w:val="1"/>
      </w:pPr>
      <w:r>
        <w:rPr>
          <w:rFonts w:ascii="宋体" w:hAnsi="宋体"/>
          <w:bCs/>
          <w:sz w:val="24"/>
          <w:szCs w:val="24"/>
        </w:rPr>
        <w:t xml:space="preserve">[12]《人工智能大模型第 3 部分：服务能力成熟度评估》(GB/T 45288.3-2025)</w:t>
      </w:r>
      <w:r/>
    </w:p>
    <w:p>
      <w:pPr>
        <w:pStyle w:val="860"/>
        <w:ind w:firstLine="480"/>
        <w:spacing w:line="264" w:lineRule="auto"/>
        <w:rPr>
          <w:rFonts w:ascii="宋体" w:hAnsi="宋体"/>
          <w:bCs/>
          <w:sz w:val="24"/>
          <w:szCs w:val="24"/>
        </w:rPr>
        <w:outlineLvl w:val="1"/>
      </w:pPr>
      <w:r>
        <w:rPr>
          <w:rFonts w:ascii="宋体" w:hAnsi="宋体"/>
          <w:bCs/>
          <w:sz w:val="24"/>
          <w:szCs w:val="24"/>
        </w:rPr>
        <w:t xml:space="preserve">[13]《网络安全技术人工智能生成合成内容标识方法》(GB 45438-2025)</w:t>
      </w:r>
      <w:r/>
    </w:p>
    <w:p>
      <w:pPr>
        <w:pStyle w:val="860"/>
        <w:ind w:firstLine="480"/>
        <w:spacing w:line="264" w:lineRule="auto"/>
        <w:rPr>
          <w:rFonts w:ascii="宋体" w:hAnsi="宋体"/>
          <w:bCs/>
          <w:sz w:val="24"/>
          <w:szCs w:val="24"/>
        </w:rPr>
        <w:outlineLvl w:val="1"/>
      </w:pPr>
      <w:r>
        <w:rPr>
          <w:rFonts w:ascii="宋体" w:hAnsi="宋体"/>
          <w:bCs/>
          <w:sz w:val="24"/>
          <w:szCs w:val="24"/>
        </w:rPr>
        <w:t xml:space="preserve">[14]《人工智能深度学习算法评估》(GB/T 45225-2025)</w:t>
      </w:r>
      <w:r/>
    </w:p>
    <w:p>
      <w:pPr>
        <w:pStyle w:val="860"/>
        <w:ind w:firstLine="480"/>
        <w:spacing w:line="264" w:lineRule="auto"/>
        <w:rPr>
          <w:rFonts w:ascii="宋体" w:hAnsi="宋体"/>
          <w:bCs/>
          <w:sz w:val="24"/>
          <w:szCs w:val="24"/>
        </w:rPr>
        <w:outlineLvl w:val="1"/>
      </w:pPr>
      <w:r>
        <w:rPr>
          <w:rFonts w:ascii="宋体" w:hAnsi="宋体"/>
          <w:bCs/>
          <w:sz w:val="24"/>
          <w:szCs w:val="24"/>
        </w:rPr>
        <w:t xml:space="preserve">[15]《生成式 AI 服务安全基本要求》(TC260-003)</w:t>
      </w:r>
      <w:r/>
    </w:p>
    <w:p>
      <w:pPr>
        <w:pStyle w:val="860"/>
        <w:ind w:firstLine="480"/>
        <w:spacing w:line="264" w:lineRule="auto"/>
        <w:rPr>
          <w:rFonts w:ascii="宋体" w:hAnsi="宋体"/>
          <w:bCs/>
          <w:sz w:val="24"/>
          <w:szCs w:val="24"/>
        </w:rPr>
        <w:outlineLvl w:val="1"/>
      </w:pPr>
      <w:r>
        <w:rPr>
          <w:rFonts w:ascii="宋体" w:hAnsi="宋体"/>
          <w:bCs/>
          <w:sz w:val="24"/>
          <w:szCs w:val="24"/>
        </w:rPr>
        <w:t xml:space="preserve">[16]《网络安全技术人工智能生成合成内容标识方法》(GB 45438-2025)</w:t>
      </w:r>
      <w:r/>
    </w:p>
    <w:p>
      <w:pPr>
        <w:pStyle w:val="860"/>
        <w:ind w:firstLine="480"/>
        <w:spacing w:line="264" w:lineRule="auto"/>
        <w:rPr>
          <w:rFonts w:ascii="宋体" w:hAnsi="宋体"/>
          <w:bCs/>
          <w:sz w:val="24"/>
          <w:szCs w:val="24"/>
        </w:rPr>
        <w:outlineLvl w:val="1"/>
      </w:pPr>
      <w:r>
        <w:rPr>
          <w:rFonts w:ascii="宋体" w:hAnsi="宋体"/>
          <w:bCs/>
          <w:sz w:val="24"/>
          <w:szCs w:val="24"/>
        </w:rPr>
        <w:t xml:space="preserve">[17]《城市信息模型（CIM）基础平台技术导则》</w:t>
      </w:r>
      <w:r/>
    </w:p>
    <w:p>
      <w:pPr>
        <w:pStyle w:val="860"/>
        <w:ind w:firstLine="480"/>
        <w:spacing w:line="264" w:lineRule="auto"/>
        <w:rPr>
          <w:rFonts w:ascii="宋体" w:hAnsi="宋体"/>
          <w:bCs/>
          <w:sz w:val="24"/>
          <w:szCs w:val="24"/>
        </w:rPr>
        <w:outlineLvl w:val="1"/>
      </w:pPr>
      <w:r>
        <w:rPr>
          <w:rFonts w:ascii="宋体" w:hAnsi="宋体"/>
          <w:bCs/>
          <w:sz w:val="24"/>
          <w:szCs w:val="24"/>
        </w:rPr>
        <w:t xml:space="preserve">[18]《城市信息模型基础平台技术标准》（CJ</w:t>
      </w:r>
      <w:r>
        <w:rPr>
          <w:rFonts w:ascii="宋体" w:hAnsi="宋体"/>
          <w:bCs/>
          <w:sz w:val="24"/>
          <w:szCs w:val="24"/>
        </w:rPr>
        <w:t xml:space="preserve">J/T 315-2022）</w:t>
      </w:r>
      <w:r/>
    </w:p>
    <w:p>
      <w:pPr>
        <w:pStyle w:val="860"/>
        <w:ind w:firstLine="480"/>
        <w:spacing w:line="264" w:lineRule="auto"/>
        <w:rPr>
          <w:rFonts w:ascii="宋体" w:hAnsi="宋体"/>
          <w:bCs/>
          <w:sz w:val="24"/>
          <w:szCs w:val="24"/>
        </w:rPr>
        <w:outlineLvl w:val="1"/>
      </w:pPr>
      <w:r>
        <w:rPr>
          <w:rFonts w:ascii="宋体" w:hAnsi="宋体"/>
          <w:bCs/>
          <w:sz w:val="24"/>
          <w:szCs w:val="24"/>
        </w:rPr>
        <w:t xml:space="preserve">[19]《建筑信息模型（BIM）应用统一标准》（GB/T 51212）</w:t>
      </w:r>
      <w:r/>
    </w:p>
    <w:p>
      <w:pPr>
        <w:pStyle w:val="860"/>
        <w:ind w:firstLine="480"/>
        <w:spacing w:line="264" w:lineRule="auto"/>
        <w:rPr>
          <w:rFonts w:ascii="宋体" w:hAnsi="宋体"/>
          <w:bCs/>
          <w:sz w:val="24"/>
          <w:szCs w:val="24"/>
        </w:rPr>
        <w:outlineLvl w:val="1"/>
      </w:pPr>
      <w:r>
        <w:rPr>
          <w:rFonts w:ascii="宋体" w:hAnsi="宋体"/>
          <w:bCs/>
          <w:sz w:val="24"/>
          <w:szCs w:val="24"/>
        </w:rPr>
        <w:t xml:space="preserve">[20]《城市三维建模技术规范》（CJJ/T 157）</w:t>
      </w:r>
      <w:r/>
    </w:p>
    <w:p>
      <w:pPr>
        <w:pStyle w:val="860"/>
        <w:ind w:firstLine="480"/>
        <w:spacing w:line="264" w:lineRule="auto"/>
        <w:rPr>
          <w:rFonts w:ascii="宋体" w:hAnsi="宋体"/>
          <w:bCs/>
          <w:sz w:val="24"/>
          <w:szCs w:val="24"/>
        </w:rPr>
        <w:outlineLvl w:val="1"/>
      </w:pPr>
      <w:r>
        <w:rPr>
          <w:rFonts w:ascii="宋体" w:hAnsi="宋体"/>
          <w:bCs/>
          <w:sz w:val="24"/>
          <w:szCs w:val="24"/>
        </w:rPr>
        <w:t xml:space="preserve">以上标准如有更新，按更新后的标准执行。</w:t>
      </w:r>
      <w:r/>
    </w:p>
    <w:p>
      <w:pPr>
        <w:pStyle w:val="860"/>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W w:w="4974" w:type="pct"/>
        <w:tblInd w:w="-6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82"/>
        <w:gridCol w:w="2017"/>
        <w:gridCol w:w="775"/>
        <w:gridCol w:w="750"/>
        <w:gridCol w:w="1119"/>
        <w:gridCol w:w="1119"/>
        <w:gridCol w:w="1358"/>
        <w:gridCol w:w="843"/>
        <w:gridCol w:w="1148"/>
      </w:tblGrid>
      <w:tr>
        <w:trPr>
          <w:trHeight w:val="1378"/>
        </w:trPr>
        <w:tc>
          <w:tcPr>
            <w:tcBorders>
              <w:top w:val="single" w:color="000000" w:sz="2" w:space="0"/>
              <w:bottom w:val="single" w:color="000000" w:sz="2" w:space="0"/>
            </w:tcBorders>
            <w:tcW w:w="300"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t xml:space="preserve">序号</w:t>
            </w:r>
            <w:r/>
          </w:p>
        </w:tc>
        <w:tc>
          <w:tcPr>
            <w:tcBorders>
              <w:top w:val="single" w:color="000000" w:sz="2" w:space="0"/>
              <w:bottom w:val="single" w:color="000000" w:sz="2" w:space="0"/>
            </w:tcBorders>
            <w:tcW w:w="1039"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t xml:space="preserve">分项名称</w:t>
            </w:r>
            <w:r/>
          </w:p>
        </w:tc>
        <w:tc>
          <w:tcPr>
            <w:tcBorders>
              <w:top w:val="single" w:color="000000" w:sz="2" w:space="0"/>
              <w:bottom w:val="single" w:color="000000" w:sz="2" w:space="0"/>
            </w:tcBorders>
            <w:tcW w:w="399"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t xml:space="preserve">数量</w:t>
            </w:r>
            <w:r/>
          </w:p>
        </w:tc>
        <w:tc>
          <w:tcPr>
            <w:tcBorders>
              <w:top w:val="single" w:color="000000" w:sz="2" w:space="0"/>
              <w:bottom w:val="single" w:color="000000" w:sz="2" w:space="0"/>
            </w:tcBorders>
            <w:tcW w:w="386"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t xml:space="preserve">单位</w:t>
            </w:r>
            <w:r/>
          </w:p>
        </w:tc>
        <w:tc>
          <w:tcPr>
            <w:tcBorders>
              <w:top w:val="single" w:color="000000" w:sz="2" w:space="0"/>
              <w:bottom w:val="single" w:color="000000" w:sz="2" w:space="0"/>
            </w:tcBorders>
            <w:tcW w:w="57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p>
          <w:p>
            <w:pPr>
              <w:pStyle w:val="860"/>
              <w:jc w:val="center"/>
              <w:rPr>
                <w:rFonts w:hint="eastAsia"/>
              </w:rPr>
            </w:pPr>
            <w:r>
              <w:rPr>
                <w:rFonts w:hint="eastAsia" w:ascii="宋体" w:hAnsi="宋体" w:cs="宋体"/>
                <w:bCs/>
                <w:sz w:val="24"/>
                <w:szCs w:val="24"/>
              </w:rPr>
              <w:t xml:space="preserve">（元）</w:t>
            </w:r>
            <w:r>
              <w:rPr>
                <w:rFonts w:hint="eastAsia"/>
              </w:rPr>
            </w:r>
            <w:r/>
          </w:p>
        </w:tc>
        <w:tc>
          <w:tcPr>
            <w:tcBorders>
              <w:top w:val="single" w:color="000000" w:sz="2" w:space="0"/>
              <w:bottom w:val="single" w:color="000000" w:sz="2" w:space="0"/>
            </w:tcBorders>
            <w:tcW w:w="57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Borders>
              <w:top w:val="single" w:color="000000" w:sz="2" w:space="0"/>
              <w:bottom w:val="single" w:color="000000" w:sz="2" w:space="0"/>
            </w:tcBorders>
            <w:tcW w:w="699"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cs="宋体"/>
                <w:bCs/>
                <w:sz w:val="24"/>
                <w:szCs w:val="24"/>
              </w:rPr>
              <w:t xml:space="preserve">中小企业划分标准</w:t>
            </w:r>
            <w:r>
              <w:rPr>
                <w:rFonts w:hint="eastAsia" w:ascii="宋体" w:hAnsi="宋体"/>
                <w:bCs/>
                <w:sz w:val="24"/>
                <w:szCs w:val="24"/>
              </w:rPr>
              <w:t xml:space="preserve">所属行业</w:t>
            </w:r>
            <w:r/>
          </w:p>
        </w:tc>
        <w:tc>
          <w:tcPr>
            <w:tcBorders>
              <w:top w:val="single" w:color="000000" w:sz="2" w:space="0"/>
              <w:bottom w:val="single" w:color="000000" w:sz="2" w:space="0"/>
            </w:tcBorders>
            <w:tcW w:w="434"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cs="宋体"/>
                <w:bCs/>
                <w:sz w:val="24"/>
                <w:szCs w:val="24"/>
              </w:rPr>
              <w:t xml:space="preserve">属性</w:t>
            </w:r>
            <w:r>
              <w:rPr>
                <w:rFonts w:hint="eastAsia" w:ascii="宋体" w:hAnsi="宋体"/>
                <w:bCs/>
                <w:sz w:val="24"/>
                <w:szCs w:val="24"/>
              </w:rPr>
            </w:r>
            <w:r/>
          </w:p>
        </w:tc>
        <w:tc>
          <w:tcPr>
            <w:tcBorders>
              <w:top w:val="single" w:color="000000" w:sz="2" w:space="0"/>
              <w:bottom w:val="single" w:color="000000" w:sz="2" w:space="0"/>
            </w:tcBorders>
            <w:tcW w:w="591"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cs="宋体"/>
                <w:bCs/>
                <w:sz w:val="24"/>
                <w:szCs w:val="24"/>
              </w:rPr>
              <w:t xml:space="preserve">备注</w:t>
            </w:r>
            <w:r>
              <w:rPr>
                <w:rFonts w:hint="eastAsia" w:ascii="宋体" w:hAnsi="宋体"/>
                <w:bCs/>
                <w:sz w:val="24"/>
                <w:szCs w:val="24"/>
              </w:rPr>
            </w:r>
            <w:r/>
          </w:p>
        </w:tc>
      </w:tr>
      <w:tr>
        <w:trPr>
          <w:trHeight w:val="616"/>
        </w:trPr>
        <w:tc>
          <w:tcPr>
            <w:tcBorders>
              <w:top w:val="single" w:color="000000" w:sz="2" w:space="0"/>
              <w:bottom w:val="single" w:color="000000" w:sz="2" w:space="0"/>
            </w:tcBorders>
            <w:tcW w:w="300"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Borders>
              <w:top w:val="single" w:color="000000" w:sz="2" w:space="0"/>
              <w:bottom w:val="single" w:color="000000" w:sz="2" w:space="0"/>
            </w:tcBorders>
            <w:tcW w:w="1039" w:type="pct"/>
            <w:vAlign w:val="center"/>
            <w:textDirection w:val="lrTb"/>
            <w:noWrap w:val="false"/>
          </w:tcPr>
          <w:p>
            <w:pPr>
              <w:pStyle w:val="860"/>
              <w:spacing w:line="264" w:lineRule="auto"/>
              <w:rPr>
                <w:rFonts w:hint="eastAsia" w:ascii="宋体" w:hAnsi="宋体"/>
                <w:bCs/>
                <w:sz w:val="24"/>
                <w:szCs w:val="24"/>
              </w:rPr>
            </w:pPr>
            <w:r>
              <w:rPr>
                <w:rFonts w:hint="eastAsia"/>
                <w:sz w:val="24"/>
                <w:szCs w:val="24"/>
              </w:rPr>
              <w:t xml:space="preserve">基础地理服务引擎</w:t>
            </w:r>
            <w:r>
              <w:rPr>
                <w:rFonts w:hint="eastAsia" w:ascii="宋体" w:hAnsi="宋体"/>
                <w:bCs/>
                <w:sz w:val="24"/>
                <w:szCs w:val="24"/>
              </w:rPr>
            </w:r>
            <w:r/>
          </w:p>
        </w:tc>
        <w:tc>
          <w:tcPr>
            <w:tcBorders>
              <w:top w:val="single" w:color="000000" w:sz="2" w:space="0"/>
              <w:bottom w:val="single" w:color="000000" w:sz="2" w:space="0"/>
            </w:tcBorders>
            <w:tcW w:w="399"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Borders>
              <w:top w:val="single" w:color="000000" w:sz="2" w:space="0"/>
              <w:bottom w:val="single" w:color="000000" w:sz="2" w:space="0"/>
            </w:tcBorders>
            <w:tcW w:w="386"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57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57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699" w:type="pct"/>
            <w:vAlign w:val="center"/>
            <w:textDirection w:val="lrTb"/>
            <w:noWrap w:val="false"/>
          </w:tcPr>
          <w:p>
            <w:pPr>
              <w:pStyle w:val="860"/>
              <w:jc w:val="center"/>
              <w:spacing w:line="264" w:lineRule="auto"/>
              <w:rPr>
                <w:rFonts w:hint="eastAsia" w:ascii="宋体" w:hAnsi="宋体"/>
                <w:bCs/>
                <w:sz w:val="24"/>
                <w:szCs w:val="24"/>
              </w:rPr>
            </w:pPr>
            <w:r>
              <w:rPr>
                <w:rFonts w:ascii="宋体" w:hAnsi="宋体" w:cs="宋体"/>
                <w:bCs/>
                <w:sz w:val="24"/>
                <w:szCs w:val="24"/>
              </w:rPr>
              <w:t xml:space="preserve">软件和信息技术服务业</w:t>
            </w:r>
            <w:r>
              <w:rPr>
                <w:rFonts w:hint="eastAsia" w:ascii="宋体" w:hAnsi="宋体"/>
                <w:bCs/>
                <w:sz w:val="24"/>
                <w:szCs w:val="24"/>
              </w:rPr>
            </w:r>
            <w:r/>
          </w:p>
        </w:tc>
        <w:tc>
          <w:tcPr>
            <w:tcBorders>
              <w:top w:val="single" w:color="000000" w:sz="2" w:space="0"/>
              <w:bottom w:val="single" w:color="000000" w:sz="2" w:space="0"/>
            </w:tcBorders>
            <w:tcW w:w="43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c>
          <w:tcPr>
            <w:tcBorders>
              <w:top w:val="single" w:color="000000" w:sz="2" w:space="0"/>
              <w:bottom w:val="single" w:color="000000" w:sz="2" w:space="0"/>
            </w:tcBorders>
            <w:tcW w:w="591"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r>
            <w:r/>
          </w:p>
        </w:tc>
      </w:tr>
      <w:tr>
        <w:trPr>
          <w:trHeight w:val="616"/>
        </w:trPr>
        <w:tc>
          <w:tcPr>
            <w:tcBorders>
              <w:top w:val="single" w:color="000000" w:sz="2" w:space="0"/>
              <w:bottom w:val="single" w:color="000000" w:sz="2" w:space="0"/>
            </w:tcBorders>
            <w:tcW w:w="300"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cs="宋体"/>
                <w:bCs/>
                <w:sz w:val="24"/>
                <w:szCs w:val="24"/>
              </w:rPr>
              <w:t xml:space="preserve">2</w:t>
            </w:r>
            <w:r>
              <w:rPr>
                <w:rFonts w:hint="eastAsia" w:ascii="宋体" w:hAnsi="宋体"/>
                <w:bCs/>
                <w:sz w:val="24"/>
                <w:szCs w:val="24"/>
              </w:rPr>
            </w:r>
            <w:r/>
          </w:p>
        </w:tc>
        <w:tc>
          <w:tcPr>
            <w:tcBorders>
              <w:top w:val="single" w:color="000000" w:sz="2" w:space="0"/>
              <w:bottom w:val="single" w:color="000000" w:sz="2" w:space="0"/>
            </w:tcBorders>
            <w:tcW w:w="1039" w:type="pct"/>
            <w:vAlign w:val="center"/>
            <w:textDirection w:val="lrTb"/>
            <w:noWrap w:val="false"/>
          </w:tcPr>
          <w:p>
            <w:pPr>
              <w:pStyle w:val="860"/>
              <w:spacing w:line="264" w:lineRule="auto"/>
              <w:rPr>
                <w:rFonts w:hint="eastAsia" w:ascii="宋体" w:hAnsi="宋体"/>
                <w:sz w:val="24"/>
                <w:szCs w:val="24"/>
              </w:rPr>
            </w:pPr>
            <w:r>
              <w:rPr>
                <w:rFonts w:hint="eastAsia"/>
                <w:sz w:val="24"/>
                <w:szCs w:val="24"/>
              </w:rPr>
              <w:t xml:space="preserve">地理空间一本账</w:t>
            </w:r>
            <w:r>
              <w:rPr>
                <w:rFonts w:hint="eastAsia" w:ascii="宋体" w:hAnsi="宋体"/>
                <w:sz w:val="24"/>
                <w:szCs w:val="24"/>
              </w:rPr>
            </w:r>
            <w:r/>
          </w:p>
        </w:tc>
        <w:tc>
          <w:tcPr>
            <w:tcBorders>
              <w:top w:val="single" w:color="000000" w:sz="2" w:space="0"/>
              <w:bottom w:val="single" w:color="000000" w:sz="2" w:space="0"/>
            </w:tcBorders>
            <w:tcW w:w="399"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Borders>
              <w:top w:val="single" w:color="000000" w:sz="2" w:space="0"/>
              <w:bottom w:val="single" w:color="000000" w:sz="2" w:space="0"/>
            </w:tcBorders>
            <w:tcW w:w="386"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57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57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p>
        </w:tc>
        <w:tc>
          <w:tcPr>
            <w:tcBorders>
              <w:top w:val="single" w:color="000000" w:sz="2" w:space="0"/>
              <w:bottom w:val="single" w:color="000000" w:sz="2" w:space="0"/>
            </w:tcBorders>
            <w:tcW w:w="699" w:type="pct"/>
            <w:vAlign w:val="center"/>
            <w:textDirection w:val="lrTb"/>
            <w:noWrap w:val="false"/>
          </w:tcPr>
          <w:p>
            <w:pPr>
              <w:pStyle w:val="860"/>
              <w:jc w:val="center"/>
              <w:spacing w:line="264" w:lineRule="auto"/>
              <w:rPr>
                <w:rFonts w:hint="eastAsia" w:ascii="宋体" w:hAnsi="宋体"/>
                <w:bCs/>
                <w:sz w:val="24"/>
                <w:szCs w:val="24"/>
              </w:rPr>
            </w:pPr>
            <w:r>
              <w:rPr>
                <w:rFonts w:ascii="宋体" w:hAnsi="宋体" w:cs="宋体"/>
                <w:bCs/>
                <w:sz w:val="24"/>
                <w:szCs w:val="24"/>
              </w:rPr>
              <w:t xml:space="preserve">软件和信息技术服务业</w:t>
            </w:r>
            <w:r>
              <w:rPr>
                <w:rFonts w:hint="eastAsia" w:ascii="宋体" w:hAnsi="宋体"/>
                <w:bCs/>
                <w:sz w:val="24"/>
                <w:szCs w:val="24"/>
              </w:rPr>
            </w:r>
            <w:r/>
          </w:p>
        </w:tc>
        <w:tc>
          <w:tcPr>
            <w:tcBorders>
              <w:top w:val="single" w:color="000000" w:sz="2" w:space="0"/>
              <w:bottom w:val="single" w:color="000000" w:sz="2" w:space="0"/>
            </w:tcBorders>
            <w:tcW w:w="43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c>
          <w:tcPr>
            <w:tcBorders>
              <w:top w:val="single" w:color="000000" w:sz="2" w:space="0"/>
              <w:bottom w:val="single" w:color="000000" w:sz="2" w:space="0"/>
            </w:tcBorders>
            <w:tcW w:w="591"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r>
            <w:r/>
          </w:p>
        </w:tc>
      </w:tr>
      <w:tr>
        <w:trPr>
          <w:trHeight w:val="616"/>
        </w:trPr>
        <w:tc>
          <w:tcPr>
            <w:tcBorders>
              <w:top w:val="single" w:color="000000" w:sz="2" w:space="0"/>
              <w:bottom w:val="single" w:color="000000" w:sz="2" w:space="0"/>
            </w:tcBorders>
            <w:tcW w:w="300"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cs="宋体"/>
                <w:bCs/>
                <w:sz w:val="24"/>
                <w:szCs w:val="24"/>
              </w:rPr>
              <w:t xml:space="preserve">3</w:t>
            </w:r>
            <w:r>
              <w:rPr>
                <w:rFonts w:hint="eastAsia" w:ascii="宋体" w:hAnsi="宋体"/>
                <w:bCs/>
                <w:sz w:val="24"/>
                <w:szCs w:val="24"/>
              </w:rPr>
            </w:r>
            <w:r/>
          </w:p>
        </w:tc>
        <w:tc>
          <w:tcPr>
            <w:tcBorders>
              <w:top w:val="single" w:color="000000" w:sz="2" w:space="0"/>
              <w:bottom w:val="single" w:color="000000" w:sz="2" w:space="0"/>
            </w:tcBorders>
            <w:tcW w:w="1039" w:type="pct"/>
            <w:vAlign w:val="center"/>
            <w:textDirection w:val="lrTb"/>
            <w:noWrap w:val="false"/>
          </w:tcPr>
          <w:p>
            <w:pPr>
              <w:pStyle w:val="860"/>
              <w:spacing w:line="264" w:lineRule="auto"/>
              <w:rPr>
                <w:rFonts w:hint="eastAsia" w:ascii="宋体" w:hAnsi="宋体"/>
                <w:sz w:val="24"/>
                <w:szCs w:val="24"/>
              </w:rPr>
            </w:pPr>
            <w:r>
              <w:rPr>
                <w:rFonts w:hint="eastAsia"/>
                <w:sz w:val="24"/>
                <w:szCs w:val="24"/>
              </w:rPr>
              <w:t xml:space="preserve">业务应用中心</w:t>
            </w:r>
            <w:r>
              <w:rPr>
                <w:rFonts w:hint="eastAsia" w:ascii="宋体" w:hAnsi="宋体"/>
                <w:sz w:val="24"/>
                <w:szCs w:val="24"/>
              </w:rPr>
            </w:r>
            <w:r/>
          </w:p>
        </w:tc>
        <w:tc>
          <w:tcPr>
            <w:tcBorders>
              <w:top w:val="single" w:color="000000" w:sz="2" w:space="0"/>
              <w:bottom w:val="single" w:color="000000" w:sz="2" w:space="0"/>
            </w:tcBorders>
            <w:tcW w:w="399"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Borders>
              <w:top w:val="single" w:color="000000" w:sz="2" w:space="0"/>
              <w:bottom w:val="single" w:color="000000" w:sz="2" w:space="0"/>
            </w:tcBorders>
            <w:tcW w:w="386"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57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57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p>
        </w:tc>
        <w:tc>
          <w:tcPr>
            <w:tcBorders>
              <w:top w:val="single" w:color="000000" w:sz="2" w:space="0"/>
              <w:bottom w:val="single" w:color="000000" w:sz="2" w:space="0"/>
            </w:tcBorders>
            <w:tcW w:w="699" w:type="pct"/>
            <w:vAlign w:val="center"/>
            <w:textDirection w:val="lrTb"/>
            <w:noWrap w:val="false"/>
          </w:tcPr>
          <w:p>
            <w:pPr>
              <w:pStyle w:val="860"/>
              <w:jc w:val="center"/>
              <w:spacing w:line="264" w:lineRule="auto"/>
              <w:rPr>
                <w:rFonts w:hint="eastAsia" w:ascii="宋体" w:hAnsi="宋体"/>
                <w:bCs/>
                <w:sz w:val="24"/>
                <w:szCs w:val="24"/>
              </w:rPr>
            </w:pPr>
            <w:r>
              <w:rPr>
                <w:rFonts w:ascii="宋体" w:hAnsi="宋体" w:cs="宋体"/>
                <w:bCs/>
                <w:sz w:val="24"/>
                <w:szCs w:val="24"/>
              </w:rPr>
              <w:t xml:space="preserve">软件和信息技术服务业</w:t>
            </w:r>
            <w:r>
              <w:rPr>
                <w:rFonts w:hint="eastAsia" w:ascii="宋体" w:hAnsi="宋体"/>
                <w:bCs/>
                <w:sz w:val="24"/>
                <w:szCs w:val="24"/>
              </w:rPr>
            </w:r>
            <w:r/>
          </w:p>
        </w:tc>
        <w:tc>
          <w:tcPr>
            <w:tcBorders>
              <w:top w:val="single" w:color="000000" w:sz="2" w:space="0"/>
              <w:bottom w:val="single" w:color="000000" w:sz="2" w:space="0"/>
            </w:tcBorders>
            <w:tcW w:w="43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c>
          <w:tcPr>
            <w:tcBorders>
              <w:top w:val="single" w:color="000000" w:sz="2" w:space="0"/>
              <w:bottom w:val="single" w:color="000000" w:sz="2" w:space="0"/>
            </w:tcBorders>
            <w:tcW w:w="591"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r>
            <w:r/>
          </w:p>
        </w:tc>
      </w:tr>
      <w:tr>
        <w:trPr>
          <w:trHeight w:val="616"/>
        </w:trPr>
        <w:tc>
          <w:tcPr>
            <w:tcBorders>
              <w:top w:val="single" w:color="000000" w:sz="2" w:space="0"/>
              <w:bottom w:val="single" w:color="000000" w:sz="2" w:space="0"/>
            </w:tcBorders>
            <w:tcW w:w="300"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cs="宋体"/>
                <w:bCs/>
                <w:sz w:val="24"/>
                <w:szCs w:val="24"/>
              </w:rPr>
              <w:t xml:space="preserve">4</w:t>
            </w:r>
            <w:r>
              <w:rPr>
                <w:rFonts w:hint="eastAsia" w:ascii="宋体" w:hAnsi="宋体"/>
                <w:bCs/>
                <w:sz w:val="24"/>
                <w:szCs w:val="24"/>
              </w:rPr>
            </w:r>
            <w:r/>
          </w:p>
        </w:tc>
        <w:tc>
          <w:tcPr>
            <w:tcBorders>
              <w:top w:val="single" w:color="000000" w:sz="2" w:space="0"/>
              <w:bottom w:val="single" w:color="000000" w:sz="2" w:space="0"/>
            </w:tcBorders>
            <w:tcW w:w="1039" w:type="pct"/>
            <w:vAlign w:val="center"/>
            <w:textDirection w:val="lrTb"/>
            <w:noWrap w:val="false"/>
          </w:tcPr>
          <w:p>
            <w:pPr>
              <w:pStyle w:val="860"/>
              <w:spacing w:line="264" w:lineRule="auto"/>
              <w:rPr>
                <w:rFonts w:hint="eastAsia" w:ascii="宋体" w:hAnsi="宋体"/>
                <w:sz w:val="24"/>
                <w:szCs w:val="24"/>
              </w:rPr>
            </w:pPr>
            <w:r>
              <w:rPr>
                <w:rFonts w:hint="eastAsia"/>
                <w:sz w:val="24"/>
                <w:szCs w:val="24"/>
              </w:rPr>
              <w:t xml:space="preserve">空间智能中心</w:t>
            </w:r>
            <w:r>
              <w:rPr>
                <w:rFonts w:hint="eastAsia" w:ascii="宋体" w:hAnsi="宋体"/>
                <w:sz w:val="24"/>
                <w:szCs w:val="24"/>
              </w:rPr>
            </w:r>
            <w:r/>
          </w:p>
        </w:tc>
        <w:tc>
          <w:tcPr>
            <w:tcBorders>
              <w:top w:val="single" w:color="000000" w:sz="2" w:space="0"/>
              <w:bottom w:val="single" w:color="000000" w:sz="2" w:space="0"/>
            </w:tcBorders>
            <w:tcW w:w="399"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Borders>
              <w:top w:val="single" w:color="000000" w:sz="2" w:space="0"/>
              <w:bottom w:val="single" w:color="000000" w:sz="2" w:space="0"/>
            </w:tcBorders>
            <w:tcW w:w="386"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57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57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699" w:type="pct"/>
            <w:vAlign w:val="center"/>
            <w:textDirection w:val="lrTb"/>
            <w:noWrap w:val="false"/>
          </w:tcPr>
          <w:p>
            <w:pPr>
              <w:pStyle w:val="860"/>
              <w:jc w:val="center"/>
              <w:spacing w:line="264" w:lineRule="auto"/>
              <w:rPr>
                <w:rFonts w:hint="eastAsia" w:ascii="宋体" w:hAnsi="宋体"/>
                <w:bCs/>
                <w:sz w:val="24"/>
                <w:szCs w:val="24"/>
              </w:rPr>
            </w:pPr>
            <w:r>
              <w:rPr>
                <w:rFonts w:ascii="宋体" w:hAnsi="宋体" w:cs="宋体"/>
                <w:bCs/>
                <w:sz w:val="24"/>
                <w:szCs w:val="24"/>
              </w:rPr>
              <w:t xml:space="preserve">软件和信息技术服务业</w:t>
            </w:r>
            <w:r>
              <w:rPr>
                <w:rFonts w:hint="eastAsia" w:ascii="宋体" w:hAnsi="宋体"/>
                <w:bCs/>
                <w:sz w:val="24"/>
                <w:szCs w:val="24"/>
              </w:rPr>
            </w:r>
            <w:r/>
          </w:p>
        </w:tc>
        <w:tc>
          <w:tcPr>
            <w:tcBorders>
              <w:top w:val="single" w:color="000000" w:sz="2" w:space="0"/>
              <w:bottom w:val="single" w:color="000000" w:sz="2" w:space="0"/>
            </w:tcBorders>
            <w:tcW w:w="434" w:type="pct"/>
            <w:vAlign w:val="center"/>
            <w:textDirection w:val="lrTb"/>
            <w:noWrap w:val="false"/>
          </w:tcPr>
          <w:p>
            <w:pPr>
              <w:pStyle w:val="860"/>
              <w:jc w:val="center"/>
              <w:spacing w:line="264" w:lineRule="auto"/>
              <w:rPr>
                <w:rFonts w:hint="eastAsia" w:ascii="宋体" w:hAnsi="宋体" w:cs="宋体"/>
                <w:bCs/>
                <w:sz w:val="24"/>
                <w:szCs w:val="24"/>
              </w:rPr>
            </w:pPr>
            <w:r/>
            <w:bookmarkStart w:id="119" w:name="OLE_LINK14"/>
            <w:r>
              <w:rPr>
                <w:rFonts w:hint="eastAsia" w:ascii="宋体" w:hAnsi="宋体" w:cs="宋体"/>
                <w:bCs/>
                <w:sz w:val="24"/>
                <w:szCs w:val="24"/>
              </w:rPr>
              <w:t xml:space="preserve">服务</w:t>
            </w:r>
            <w:bookmarkEnd w:id="119"/>
            <w:r>
              <w:rPr>
                <w:rFonts w:hint="eastAsia" w:ascii="宋体" w:hAnsi="宋体" w:cs="宋体"/>
                <w:bCs/>
                <w:sz w:val="24"/>
                <w:szCs w:val="24"/>
              </w:rPr>
            </w:r>
            <w:r/>
          </w:p>
        </w:tc>
        <w:tc>
          <w:tcPr>
            <w:tcBorders>
              <w:top w:val="single" w:color="000000" w:sz="2" w:space="0"/>
              <w:bottom w:val="single" w:color="000000" w:sz="2" w:space="0"/>
            </w:tcBorders>
            <w:tcW w:w="591"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r>
            <w:r/>
          </w:p>
        </w:tc>
      </w:tr>
      <w:tr>
        <w:trPr>
          <w:trHeight w:val="616"/>
        </w:trPr>
        <w:tc>
          <w:tcPr>
            <w:tcBorders>
              <w:top w:val="single" w:color="000000" w:sz="2" w:space="0"/>
              <w:bottom w:val="single" w:color="000000" w:sz="2" w:space="0"/>
            </w:tcBorders>
            <w:tcW w:w="300"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cs="宋体"/>
                <w:bCs/>
                <w:sz w:val="24"/>
                <w:szCs w:val="24"/>
              </w:rPr>
              <w:t xml:space="preserve">5</w:t>
            </w:r>
            <w:r>
              <w:rPr>
                <w:rFonts w:hint="eastAsia" w:ascii="宋体" w:hAnsi="宋体"/>
                <w:bCs/>
                <w:sz w:val="24"/>
                <w:szCs w:val="24"/>
              </w:rPr>
            </w:r>
            <w:r/>
          </w:p>
        </w:tc>
        <w:tc>
          <w:tcPr>
            <w:tcBorders>
              <w:top w:val="single" w:color="000000" w:sz="2" w:space="0"/>
              <w:bottom w:val="single" w:color="000000" w:sz="2" w:space="0"/>
            </w:tcBorders>
            <w:tcW w:w="1039" w:type="pct"/>
            <w:vAlign w:val="center"/>
            <w:textDirection w:val="lrTb"/>
            <w:noWrap w:val="false"/>
          </w:tcPr>
          <w:p>
            <w:pPr>
              <w:pStyle w:val="860"/>
              <w:spacing w:line="264" w:lineRule="auto"/>
              <w:rPr>
                <w:rFonts w:hint="eastAsia" w:ascii="宋体" w:hAnsi="宋体"/>
                <w:sz w:val="24"/>
                <w:szCs w:val="24"/>
              </w:rPr>
            </w:pPr>
            <w:r>
              <w:rPr>
                <w:rFonts w:hint="eastAsia"/>
                <w:sz w:val="24"/>
                <w:szCs w:val="24"/>
              </w:rPr>
              <w:t xml:space="preserve">大型活动安保场景应用</w:t>
            </w:r>
            <w:r>
              <w:rPr>
                <w:rFonts w:hint="eastAsia" w:ascii="宋体" w:hAnsi="宋体"/>
                <w:sz w:val="24"/>
                <w:szCs w:val="24"/>
              </w:rPr>
            </w:r>
            <w:r/>
          </w:p>
        </w:tc>
        <w:tc>
          <w:tcPr>
            <w:tcBorders>
              <w:top w:val="single" w:color="000000" w:sz="2" w:space="0"/>
              <w:bottom w:val="single" w:color="000000" w:sz="2" w:space="0"/>
            </w:tcBorders>
            <w:tcW w:w="399"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Borders>
              <w:top w:val="single" w:color="000000" w:sz="2" w:space="0"/>
              <w:bottom w:val="single" w:color="000000" w:sz="2" w:space="0"/>
            </w:tcBorders>
            <w:tcW w:w="386"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57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57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p>
        </w:tc>
        <w:tc>
          <w:tcPr>
            <w:tcBorders>
              <w:top w:val="single" w:color="000000" w:sz="2" w:space="0"/>
              <w:bottom w:val="single" w:color="000000" w:sz="2" w:space="0"/>
            </w:tcBorders>
            <w:tcW w:w="699" w:type="pct"/>
            <w:vAlign w:val="center"/>
            <w:textDirection w:val="lrTb"/>
            <w:noWrap w:val="false"/>
          </w:tcPr>
          <w:p>
            <w:pPr>
              <w:pStyle w:val="860"/>
              <w:jc w:val="center"/>
              <w:spacing w:line="264" w:lineRule="auto"/>
              <w:rPr>
                <w:rFonts w:hint="eastAsia" w:ascii="宋体" w:hAnsi="宋体"/>
                <w:bCs/>
                <w:sz w:val="24"/>
                <w:szCs w:val="24"/>
              </w:rPr>
            </w:pPr>
            <w:r>
              <w:rPr>
                <w:rFonts w:ascii="宋体" w:hAnsi="宋体" w:cs="宋体"/>
                <w:bCs/>
                <w:sz w:val="24"/>
                <w:szCs w:val="24"/>
              </w:rPr>
              <w:t xml:space="preserve">软件和信息技术服务业</w:t>
            </w:r>
            <w:r>
              <w:rPr>
                <w:rFonts w:hint="eastAsia" w:ascii="宋体" w:hAnsi="宋体"/>
                <w:bCs/>
                <w:sz w:val="24"/>
                <w:szCs w:val="24"/>
              </w:rPr>
            </w:r>
            <w:r/>
          </w:p>
        </w:tc>
        <w:tc>
          <w:tcPr>
            <w:tcBorders>
              <w:top w:val="single" w:color="000000" w:sz="2" w:space="0"/>
              <w:bottom w:val="single" w:color="000000" w:sz="2" w:space="0"/>
            </w:tcBorders>
            <w:tcW w:w="43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c>
          <w:tcPr>
            <w:tcBorders>
              <w:top w:val="single" w:color="000000" w:sz="2" w:space="0"/>
              <w:bottom w:val="single" w:color="000000" w:sz="2" w:space="0"/>
            </w:tcBorders>
            <w:tcW w:w="591"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r>
            <w:r/>
          </w:p>
        </w:tc>
      </w:tr>
      <w:tr>
        <w:trPr>
          <w:trHeight w:val="616"/>
        </w:trPr>
        <w:tc>
          <w:tcPr>
            <w:tcBorders>
              <w:top w:val="single" w:color="000000" w:sz="2" w:space="0"/>
              <w:bottom w:val="single" w:color="000000" w:sz="2" w:space="0"/>
            </w:tcBorders>
            <w:tcW w:w="300"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cs="宋体"/>
                <w:bCs/>
                <w:sz w:val="24"/>
                <w:szCs w:val="24"/>
              </w:rPr>
              <w:t xml:space="preserve">6</w:t>
            </w:r>
            <w:r>
              <w:rPr>
                <w:rFonts w:hint="eastAsia" w:ascii="宋体" w:hAnsi="宋体"/>
                <w:bCs/>
                <w:sz w:val="24"/>
                <w:szCs w:val="24"/>
              </w:rPr>
            </w:r>
            <w:r/>
          </w:p>
        </w:tc>
        <w:tc>
          <w:tcPr>
            <w:tcBorders>
              <w:top w:val="single" w:color="000000" w:sz="2" w:space="0"/>
              <w:bottom w:val="single" w:color="000000" w:sz="2" w:space="0"/>
            </w:tcBorders>
            <w:tcW w:w="1039" w:type="pct"/>
            <w:vAlign w:val="center"/>
            <w:textDirection w:val="lrTb"/>
            <w:noWrap w:val="false"/>
          </w:tcPr>
          <w:p>
            <w:pPr>
              <w:pStyle w:val="860"/>
              <w:spacing w:line="264" w:lineRule="auto"/>
              <w:rPr>
                <w:rFonts w:hint="eastAsia" w:ascii="宋体" w:hAnsi="宋体"/>
                <w:sz w:val="24"/>
                <w:szCs w:val="24"/>
              </w:rPr>
            </w:pPr>
            <w:r>
              <w:rPr>
                <w:rFonts w:hint="eastAsia"/>
                <w:sz w:val="24"/>
                <w:szCs w:val="24"/>
              </w:rPr>
              <w:t xml:space="preserve">系统对接</w:t>
            </w:r>
            <w:r>
              <w:rPr>
                <w:rFonts w:hint="eastAsia" w:ascii="宋体" w:hAnsi="宋体"/>
                <w:sz w:val="24"/>
                <w:szCs w:val="24"/>
              </w:rPr>
            </w:r>
            <w:r/>
          </w:p>
        </w:tc>
        <w:tc>
          <w:tcPr>
            <w:tcBorders>
              <w:top w:val="single" w:color="000000" w:sz="2" w:space="0"/>
              <w:bottom w:val="single" w:color="000000" w:sz="2" w:space="0"/>
            </w:tcBorders>
            <w:tcW w:w="399"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Borders>
              <w:top w:val="single" w:color="000000" w:sz="2" w:space="0"/>
              <w:bottom w:val="single" w:color="000000" w:sz="2" w:space="0"/>
            </w:tcBorders>
            <w:tcW w:w="386"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57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57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699" w:type="pct"/>
            <w:vAlign w:val="center"/>
            <w:textDirection w:val="lrTb"/>
            <w:noWrap w:val="false"/>
          </w:tcPr>
          <w:p>
            <w:pPr>
              <w:pStyle w:val="860"/>
              <w:jc w:val="center"/>
              <w:spacing w:line="264" w:lineRule="auto"/>
              <w:rPr>
                <w:rFonts w:hint="eastAsia" w:ascii="宋体" w:hAnsi="宋体"/>
                <w:bCs/>
                <w:sz w:val="24"/>
                <w:szCs w:val="24"/>
              </w:rPr>
            </w:pPr>
            <w:r>
              <w:rPr>
                <w:rFonts w:ascii="宋体" w:hAnsi="宋体" w:cs="宋体"/>
                <w:bCs/>
                <w:sz w:val="24"/>
                <w:szCs w:val="24"/>
              </w:rPr>
              <w:t xml:space="preserve">软件和信息技术服务业</w:t>
            </w:r>
            <w:r>
              <w:rPr>
                <w:rFonts w:hint="eastAsia" w:ascii="宋体" w:hAnsi="宋体"/>
                <w:bCs/>
                <w:sz w:val="24"/>
                <w:szCs w:val="24"/>
              </w:rPr>
            </w:r>
            <w:r/>
          </w:p>
        </w:tc>
        <w:tc>
          <w:tcPr>
            <w:tcBorders>
              <w:top w:val="single" w:color="000000" w:sz="2" w:space="0"/>
              <w:bottom w:val="single" w:color="000000" w:sz="2" w:space="0"/>
            </w:tcBorders>
            <w:tcW w:w="43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c>
          <w:tcPr>
            <w:tcBorders>
              <w:top w:val="single" w:color="000000" w:sz="2" w:space="0"/>
              <w:bottom w:val="single" w:color="000000" w:sz="2" w:space="0"/>
            </w:tcBorders>
            <w:tcW w:w="591"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r>
            <w:r/>
          </w:p>
        </w:tc>
      </w:tr>
      <w:tr>
        <w:trPr>
          <w:trHeight w:val="616"/>
        </w:trPr>
        <w:tc>
          <w:tcPr>
            <w:tcBorders>
              <w:top w:val="single" w:color="000000" w:sz="2" w:space="0"/>
              <w:bottom w:val="single" w:color="000000" w:sz="2" w:space="0"/>
            </w:tcBorders>
            <w:tcW w:w="300"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7</w:t>
            </w:r>
            <w:r/>
          </w:p>
        </w:tc>
        <w:tc>
          <w:tcPr>
            <w:tcBorders>
              <w:top w:val="single" w:color="000000" w:sz="2" w:space="0"/>
              <w:bottom w:val="single" w:color="000000" w:sz="2" w:space="0"/>
            </w:tcBorders>
            <w:tcW w:w="1039" w:type="pct"/>
            <w:vAlign w:val="center"/>
            <w:textDirection w:val="lrTb"/>
            <w:noWrap w:val="false"/>
          </w:tcPr>
          <w:p>
            <w:pPr>
              <w:pStyle w:val="860"/>
              <w:spacing w:line="264" w:lineRule="auto"/>
              <w:rPr>
                <w:rFonts w:hint="eastAsia" w:ascii="宋体" w:hAnsi="宋体" w:cs="宋体"/>
                <w:bCs/>
                <w:sz w:val="24"/>
                <w:szCs w:val="24"/>
              </w:rPr>
            </w:pPr>
            <w:r>
              <w:rPr>
                <w:rFonts w:hint="eastAsia"/>
                <w:sz w:val="24"/>
                <w:szCs w:val="24"/>
              </w:rPr>
              <w:t xml:space="preserve">数据采集治理</w:t>
            </w:r>
            <w:r>
              <w:rPr>
                <w:rFonts w:hint="eastAsia" w:ascii="宋体" w:hAnsi="宋体" w:cs="宋体"/>
                <w:bCs/>
                <w:sz w:val="24"/>
                <w:szCs w:val="24"/>
              </w:rPr>
            </w:r>
            <w:r/>
          </w:p>
        </w:tc>
        <w:tc>
          <w:tcPr>
            <w:tcBorders>
              <w:top w:val="single" w:color="000000" w:sz="2" w:space="0"/>
              <w:bottom w:val="single" w:color="000000" w:sz="2" w:space="0"/>
            </w:tcBorders>
            <w:tcW w:w="399"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386"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57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57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699" w:type="pct"/>
            <w:vAlign w:val="center"/>
            <w:textDirection w:val="lrTb"/>
            <w:noWrap w:val="false"/>
          </w:tcPr>
          <w:p>
            <w:pPr>
              <w:pStyle w:val="860"/>
              <w:jc w:val="center"/>
              <w:spacing w:line="264" w:lineRule="auto"/>
              <w:rPr>
                <w:rFonts w:hint="eastAsia" w:ascii="宋体" w:hAnsi="宋体" w:cs="宋体"/>
                <w:bCs/>
                <w:sz w:val="24"/>
                <w:szCs w:val="24"/>
              </w:rPr>
            </w:pPr>
            <w:r>
              <w:rPr>
                <w:rFonts w:ascii="宋体" w:hAnsi="宋体" w:cs="宋体"/>
                <w:bCs/>
                <w:sz w:val="24"/>
                <w:szCs w:val="24"/>
              </w:rPr>
              <w:t xml:space="preserve">软件和信息技术服务业</w:t>
            </w:r>
            <w:r>
              <w:rPr>
                <w:rFonts w:hint="eastAsia" w:ascii="宋体" w:hAnsi="宋体" w:cs="宋体"/>
                <w:bCs/>
                <w:sz w:val="24"/>
                <w:szCs w:val="24"/>
              </w:rPr>
            </w:r>
            <w:r/>
          </w:p>
        </w:tc>
        <w:tc>
          <w:tcPr>
            <w:tcBorders>
              <w:top w:val="single" w:color="000000" w:sz="2" w:space="0"/>
              <w:bottom w:val="single" w:color="000000" w:sz="2" w:space="0"/>
            </w:tcBorders>
            <w:tcW w:w="43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c>
          <w:tcPr>
            <w:tcBorders>
              <w:top w:val="single" w:color="000000" w:sz="2" w:space="0"/>
              <w:bottom w:val="single" w:color="000000" w:sz="2" w:space="0"/>
            </w:tcBorders>
            <w:tcW w:w="591"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r>
            <w:r/>
          </w:p>
        </w:tc>
      </w:tr>
      <w:tr>
        <w:trPr>
          <w:trHeight w:val="616"/>
        </w:trPr>
        <w:tc>
          <w:tcPr>
            <w:tcBorders>
              <w:top w:val="single" w:color="000000" w:sz="2" w:space="0"/>
              <w:bottom w:val="single" w:color="000000" w:sz="2" w:space="0"/>
            </w:tcBorders>
            <w:tcW w:w="300"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8</w:t>
            </w:r>
            <w:r/>
          </w:p>
        </w:tc>
        <w:tc>
          <w:tcPr>
            <w:tcBorders>
              <w:top w:val="single" w:color="000000" w:sz="2" w:space="0"/>
              <w:bottom w:val="single" w:color="000000" w:sz="2" w:space="0"/>
            </w:tcBorders>
            <w:tcW w:w="1039" w:type="pct"/>
            <w:vAlign w:val="center"/>
            <w:textDirection w:val="lrTb"/>
            <w:noWrap w:val="false"/>
          </w:tcPr>
          <w:p>
            <w:pPr>
              <w:pStyle w:val="860"/>
              <w:spacing w:line="264" w:lineRule="auto"/>
              <w:rPr>
                <w:rFonts w:hint="eastAsia" w:ascii="宋体" w:hAnsi="宋体" w:cs="宋体"/>
                <w:bCs/>
                <w:sz w:val="24"/>
                <w:szCs w:val="24"/>
              </w:rPr>
            </w:pPr>
            <w:r>
              <w:rPr>
                <w:rFonts w:hint="eastAsia"/>
                <w:sz w:val="24"/>
                <w:szCs w:val="24"/>
              </w:rPr>
              <w:t xml:space="preserve">标准规范和运维体系建设</w:t>
            </w:r>
            <w:r>
              <w:rPr>
                <w:rFonts w:hint="eastAsia" w:ascii="宋体" w:hAnsi="宋体" w:cs="宋体"/>
                <w:bCs/>
                <w:sz w:val="24"/>
                <w:szCs w:val="24"/>
              </w:rPr>
            </w:r>
            <w:r/>
          </w:p>
        </w:tc>
        <w:tc>
          <w:tcPr>
            <w:tcBorders>
              <w:top w:val="single" w:color="000000" w:sz="2" w:space="0"/>
              <w:bottom w:val="single" w:color="000000" w:sz="2" w:space="0"/>
            </w:tcBorders>
            <w:tcW w:w="399"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386"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57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57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699" w:type="pct"/>
            <w:vAlign w:val="center"/>
            <w:textDirection w:val="lrTb"/>
            <w:noWrap w:val="false"/>
          </w:tcPr>
          <w:p>
            <w:pPr>
              <w:pStyle w:val="860"/>
              <w:jc w:val="center"/>
              <w:spacing w:line="264" w:lineRule="auto"/>
              <w:rPr>
                <w:rFonts w:hint="eastAsia" w:ascii="宋体" w:hAnsi="宋体" w:cs="宋体"/>
                <w:bCs/>
                <w:sz w:val="24"/>
                <w:szCs w:val="24"/>
              </w:rPr>
            </w:pPr>
            <w:r>
              <w:rPr>
                <w:rFonts w:ascii="宋体" w:hAnsi="宋体" w:cs="宋体"/>
                <w:bCs/>
                <w:sz w:val="24"/>
                <w:szCs w:val="24"/>
              </w:rPr>
              <w:t xml:space="preserve">软件和信息技术服务业</w:t>
            </w:r>
            <w:r>
              <w:rPr>
                <w:rFonts w:hint="eastAsia" w:ascii="宋体" w:hAnsi="宋体" w:cs="宋体"/>
                <w:bCs/>
                <w:sz w:val="24"/>
                <w:szCs w:val="24"/>
              </w:rPr>
            </w:r>
            <w:r/>
          </w:p>
        </w:tc>
        <w:tc>
          <w:tcPr>
            <w:tcBorders>
              <w:top w:val="single" w:color="000000" w:sz="2" w:space="0"/>
              <w:bottom w:val="single" w:color="000000" w:sz="2" w:space="0"/>
            </w:tcBorders>
            <w:tcW w:w="43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c>
          <w:tcPr>
            <w:tcBorders>
              <w:top w:val="single" w:color="000000" w:sz="2" w:space="0"/>
              <w:bottom w:val="single" w:color="000000" w:sz="2" w:space="0"/>
            </w:tcBorders>
            <w:tcW w:w="591" w:type="pct"/>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r>
            <w:r/>
          </w:p>
        </w:tc>
      </w:tr>
    </w:tbl>
    <w:p>
      <w:pPr>
        <w:pStyle w:val="860"/>
        <w:ind w:firstLine="480"/>
        <w:spacing w:line="264" w:lineRule="auto"/>
        <w:rPr>
          <w:rFonts w:ascii="宋体" w:hAnsi="宋体" w:cs="宋体"/>
          <w:bCs/>
          <w:sz w:val="24"/>
          <w:szCs w:val="24"/>
          <w:lang w:val="zh-CN"/>
        </w:rPr>
        <w:outlineLvl w:val="1"/>
      </w:pPr>
      <w:r>
        <w:rPr>
          <w:rFonts w:ascii="宋体" w:hAnsi="宋体" w:cs="宋体"/>
          <w:bCs/>
          <w:sz w:val="24"/>
          <w:szCs w:val="24"/>
          <w:lang w:val="zh-CN"/>
        </w:rPr>
      </w:r>
      <w:r/>
    </w:p>
    <w:p>
      <w:pPr>
        <w:pStyle w:val="860"/>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60"/>
        <w:ind w:firstLine="480"/>
        <w:spacing w:line="264" w:lineRule="auto"/>
        <w:rPr>
          <w:rFonts w:hint="eastAsia" w:ascii="宋体" w:hAnsi="宋体" w:cs="宋体"/>
          <w:bCs/>
          <w:sz w:val="24"/>
          <w:szCs w:val="24"/>
        </w:rPr>
        <w:outlineLvl w:val="2"/>
      </w:pPr>
      <w:r>
        <w:rPr>
          <w:rFonts w:ascii="宋体" w:hAnsi="宋体" w:cs="宋体"/>
          <w:bCs/>
          <w:sz w:val="24"/>
          <w:szCs w:val="24"/>
        </w:rPr>
        <w:t xml:space="preserve">★</w:t>
      </w:r>
      <w:r>
        <w:rPr>
          <w:rFonts w:hint="eastAsia" w:ascii="宋体" w:hAnsi="宋体" w:cs="宋体"/>
          <w:bCs/>
          <w:sz w:val="24"/>
          <w:szCs w:val="24"/>
        </w:rPr>
        <w:t xml:space="preserve">（一）技术要求</w:t>
      </w:r>
      <w:r/>
    </w:p>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（1）基础地理服务引擎</w:t>
      </w:r>
      <w:r/>
    </w:p>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提供二维、三维专业化空间分析能力，同时支持网络拓扑相关分析能力，满足多行业各类业务场景应用，本</w:t>
      </w:r>
      <w:r>
        <w:rPr>
          <w:rFonts w:ascii="宋体" w:hAnsi="宋体" w:cs="宋体"/>
          <w:bCs/>
          <w:sz w:val="24"/>
          <w:szCs w:val="24"/>
        </w:rPr>
        <w:t xml:space="preserve">次内容在原有地图引擎能力基础上开展适配与功能拓展工作，须兼容原有地图引擎架构。</w:t>
      </w:r>
      <w:r/>
    </w:p>
    <w:tbl>
      <w:tblPr>
        <w:tblW w:w="4992" w:type="pct"/>
        <w:tblInd w:w="113" w:type="dxa"/>
        <w:tblLayout w:type="autofit"/>
        <w:tblCellMar>
          <w:left w:w="108" w:type="dxa"/>
          <w:top w:w="0" w:type="dxa"/>
          <w:right w:w="108" w:type="dxa"/>
          <w:bottom w:w="0" w:type="dxa"/>
        </w:tblCellMar>
        <w:tblLook w:val="04A0" w:firstRow="1" w:lastRow="0" w:firstColumn="1" w:lastColumn="0" w:noHBand="0" w:noVBand="1"/>
      </w:tblPr>
      <w:tblGrid>
        <w:gridCol w:w="1391"/>
        <w:gridCol w:w="3419"/>
        <w:gridCol w:w="5136"/>
      </w:tblGrid>
      <w:tr>
        <w:trPr>
          <w:trHeight w:val="283"/>
        </w:trPr>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pStyle w:val="860"/>
              <w:jc w:val="left"/>
              <w:spacing w:line="264" w:lineRule="auto"/>
              <w:rPr>
                <w:rFonts w:ascii="宋体" w:hAnsi="宋体" w:cs="宋体"/>
                <w:b/>
                <w:bCs/>
                <w:sz w:val="24"/>
                <w:szCs w:val="24"/>
              </w:rPr>
              <w:outlineLvl w:val="2"/>
            </w:pPr>
            <w:r>
              <w:rPr>
                <w:rFonts w:ascii="宋体" w:hAnsi="宋体" w:cs="宋体"/>
                <w:b/>
                <w:bCs/>
                <w:sz w:val="24"/>
                <w:szCs w:val="24"/>
              </w:rPr>
              <w:t xml:space="preserve">模块名称</w:t>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2"/>
              <w:jc w:val="left"/>
              <w:spacing w:line="264" w:lineRule="auto"/>
              <w:rPr>
                <w:rFonts w:ascii="宋体" w:hAnsi="宋体" w:cs="宋体"/>
                <w:b/>
                <w:bCs/>
                <w:sz w:val="24"/>
                <w:szCs w:val="24"/>
              </w:rPr>
              <w:outlineLvl w:val="2"/>
            </w:pPr>
            <w:r>
              <w:rPr>
                <w:rFonts w:ascii="宋体" w:hAnsi="宋体" w:cs="宋体"/>
                <w:b/>
                <w:bCs/>
                <w:sz w:val="24"/>
                <w:szCs w:val="24"/>
              </w:rPr>
              <w:t xml:space="preserve">主要建设内容</w:t>
            </w:r>
            <w:r/>
          </w:p>
        </w:tc>
        <w:tc>
          <w:tcPr>
            <w:tcBorders>
              <w:top w:val="single" w:color="000000" w:sz="4" w:space="0"/>
              <w:left w:val="single" w:color="000000" w:sz="4" w:space="0"/>
              <w:bottom w:val="single" w:color="000000" w:sz="4" w:space="0"/>
              <w:right w:val="single" w:color="000000" w:sz="4" w:space="0"/>
            </w:tcBorders>
            <w:tcW w:w="2581" w:type="pct"/>
            <w:vAlign w:val="center"/>
            <w:textDirection w:val="lrTb"/>
            <w:noWrap w:val="false"/>
          </w:tcPr>
          <w:p>
            <w:pPr>
              <w:pStyle w:val="860"/>
              <w:ind w:firstLine="482"/>
              <w:jc w:val="left"/>
              <w:spacing w:line="264" w:lineRule="auto"/>
              <w:rPr>
                <w:rFonts w:ascii="宋体" w:hAnsi="宋体" w:cs="宋体"/>
                <w:b/>
                <w:bCs/>
                <w:sz w:val="24"/>
                <w:szCs w:val="24"/>
              </w:rPr>
              <w:outlineLvl w:val="2"/>
            </w:pPr>
            <w:r>
              <w:rPr>
                <w:rFonts w:ascii="宋体" w:hAnsi="宋体" w:cs="宋体"/>
                <w:b/>
                <w:bCs/>
                <w:sz w:val="24"/>
                <w:szCs w:val="24"/>
              </w:rPr>
              <w:t xml:space="preserve">具体功能要求</w:t>
            </w:r>
            <w:r/>
          </w:p>
        </w:tc>
      </w:tr>
      <w:tr>
        <w:trPr>
          <w:cantSplit/>
          <w:trHeight w:val="849"/>
        </w:trPr>
        <w:tc>
          <w:tcPr>
            <w:tcBorders>
              <w:top w:val="single" w:color="000000" w:sz="4" w:space="0"/>
              <w:left w:val="single" w:color="000000" w:sz="4" w:space="0"/>
              <w:right w:val="single" w:color="000000" w:sz="4" w:space="0"/>
            </w:tcBorders>
            <w:tcW w:w="699" w:type="pct"/>
            <w:vAlign w:val="center"/>
            <w:vMerge w:val="restart"/>
            <w:textDirection w:val="lrTb"/>
            <w:noWrap w:val="false"/>
          </w:tcPr>
          <w:p>
            <w:pPr>
              <w:pStyle w:val="860"/>
              <w:jc w:val="left"/>
              <w:spacing w:line="264" w:lineRule="auto"/>
              <w:rPr>
                <w:rFonts w:ascii="宋体" w:hAnsi="宋体" w:cs="宋体"/>
                <w:bCs/>
                <w:sz w:val="24"/>
                <w:szCs w:val="24"/>
              </w:rPr>
              <w:outlineLvl w:val="2"/>
            </w:pPr>
            <w:r>
              <w:rPr>
                <w:rFonts w:ascii="宋体" w:hAnsi="宋体" w:cs="宋体"/>
                <w:bCs/>
                <w:sz w:val="24"/>
                <w:szCs w:val="24"/>
              </w:rPr>
              <w:t xml:space="preserve">基础地理服务引擎</w:t>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空间分析服务</w:t>
            </w:r>
            <w:r/>
          </w:p>
        </w:tc>
        <w:tc>
          <w:tcPr>
            <w:tcBorders>
              <w:top w:val="single" w:color="000000" w:sz="4" w:space="0"/>
              <w:left w:val="single" w:color="000000" w:sz="4" w:space="0"/>
              <w:bottom w:val="single" w:color="000000" w:sz="4" w:space="0"/>
              <w:right w:val="single" w:color="000000" w:sz="4" w:space="0"/>
            </w:tcBorders>
            <w:tcW w:w="2581"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提供通用二维空间分析、三维专业分析相关接口能力。包括不限于：缓冲区分析（二三维）、叠加分析、最近距离、日照分析、可视域分析等功能。</w:t>
            </w:r>
            <w:r/>
          </w:p>
        </w:tc>
      </w:tr>
      <w:tr>
        <w:trPr>
          <w:cantSplit/>
          <w:trHeight w:val="849"/>
        </w:trPr>
        <w:tc>
          <w:tcPr>
            <w:tcBorders>
              <w:left w:val="single" w:color="000000" w:sz="4" w:space="0"/>
              <w:bottom w:val="single" w:color="000000" w:sz="4" w:space="0"/>
              <w:right w:val="single" w:color="000000" w:sz="4" w:space="0"/>
            </w:tcBorders>
            <w:tcW w:w="699" w:type="pct"/>
            <w:vAlign w:val="center"/>
            <w:vMerge w:val="continue"/>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网络分析服务</w:t>
            </w:r>
            <w:r/>
          </w:p>
        </w:tc>
        <w:tc>
          <w:tcPr>
            <w:tcBorders>
              <w:top w:val="single" w:color="000000" w:sz="4" w:space="0"/>
              <w:left w:val="single" w:color="000000" w:sz="4" w:space="0"/>
              <w:bottom w:val="single" w:color="000000" w:sz="4" w:space="0"/>
              <w:right w:val="single" w:color="000000" w:sz="4" w:space="0"/>
            </w:tcBorders>
            <w:tcW w:w="2581"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实现最佳路径、最近设施等网络拓扑类分析能力，支撑多行业业务场景；支持主流的数据厂商公交数据格式。</w:t>
            </w:r>
            <w:r/>
          </w:p>
        </w:tc>
      </w:tr>
    </w:tbl>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（2）地理空间一本账</w:t>
      </w:r>
      <w:r/>
    </w:p>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建设数据资产一本账与空间资产一张图两大模块，实现城市空间资源全域可视化、一体化管理，达成空间数据底数清晰、空间资源一图统览的建设目标。</w:t>
      </w:r>
      <w:r/>
    </w:p>
    <w:tbl>
      <w:tblPr>
        <w:tblW w:w="4991" w:type="pct"/>
        <w:tblInd w:w="113" w:type="dxa"/>
        <w:tblLayout w:type="autofit"/>
        <w:tblCellMar>
          <w:left w:w="108" w:type="dxa"/>
          <w:top w:w="0" w:type="dxa"/>
          <w:right w:w="108" w:type="dxa"/>
          <w:bottom w:w="0" w:type="dxa"/>
        </w:tblCellMar>
        <w:tblLook w:val="04A0" w:firstRow="1" w:lastRow="0" w:firstColumn="1" w:lastColumn="0" w:noHBand="0" w:noVBand="1"/>
      </w:tblPr>
      <w:tblGrid>
        <w:gridCol w:w="1390"/>
        <w:gridCol w:w="3419"/>
        <w:gridCol w:w="5135"/>
      </w:tblGrid>
      <w:tr>
        <w:trPr>
          <w:trHeight w:val="283"/>
        </w:trPr>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pStyle w:val="860"/>
              <w:jc w:val="left"/>
              <w:spacing w:line="264" w:lineRule="auto"/>
              <w:rPr>
                <w:rFonts w:ascii="宋体" w:hAnsi="宋体" w:cs="宋体"/>
                <w:b/>
                <w:bCs/>
                <w:sz w:val="24"/>
                <w:szCs w:val="24"/>
              </w:rPr>
              <w:outlineLvl w:val="2"/>
            </w:pPr>
            <w:r>
              <w:rPr>
                <w:rFonts w:ascii="宋体" w:hAnsi="宋体" w:cs="宋体"/>
                <w:b/>
                <w:bCs/>
                <w:sz w:val="24"/>
                <w:szCs w:val="24"/>
              </w:rPr>
              <w:t xml:space="preserve">模块名称</w:t>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2"/>
              <w:jc w:val="left"/>
              <w:spacing w:line="264" w:lineRule="auto"/>
              <w:rPr>
                <w:rFonts w:ascii="宋体" w:hAnsi="宋体" w:cs="宋体"/>
                <w:b/>
                <w:bCs/>
                <w:sz w:val="24"/>
                <w:szCs w:val="24"/>
              </w:rPr>
              <w:outlineLvl w:val="2"/>
            </w:pPr>
            <w:r>
              <w:rPr>
                <w:rFonts w:ascii="宋体" w:hAnsi="宋体" w:cs="宋体"/>
                <w:b/>
                <w:bCs/>
                <w:sz w:val="24"/>
                <w:szCs w:val="24"/>
              </w:rPr>
              <w:t xml:space="preserve">主要建设内容</w:t>
            </w:r>
            <w:r/>
          </w:p>
        </w:tc>
        <w:tc>
          <w:tcPr>
            <w:tcBorders>
              <w:top w:val="single" w:color="000000" w:sz="4" w:space="0"/>
              <w:left w:val="single" w:color="000000" w:sz="4" w:space="0"/>
              <w:bottom w:val="single" w:color="000000" w:sz="4" w:space="0"/>
              <w:right w:val="single" w:color="000000" w:sz="4" w:space="0"/>
            </w:tcBorders>
            <w:tcW w:w="2581" w:type="pct"/>
            <w:vAlign w:val="center"/>
            <w:textDirection w:val="lrTb"/>
            <w:noWrap w:val="false"/>
          </w:tcPr>
          <w:p>
            <w:pPr>
              <w:pStyle w:val="860"/>
              <w:ind w:firstLine="482"/>
              <w:jc w:val="left"/>
              <w:spacing w:line="264" w:lineRule="auto"/>
              <w:rPr>
                <w:rFonts w:ascii="宋体" w:hAnsi="宋体" w:cs="宋体"/>
                <w:b/>
                <w:bCs/>
                <w:sz w:val="24"/>
                <w:szCs w:val="24"/>
              </w:rPr>
              <w:outlineLvl w:val="2"/>
            </w:pPr>
            <w:r>
              <w:rPr>
                <w:rFonts w:ascii="宋体" w:hAnsi="宋体" w:cs="宋体"/>
                <w:b/>
                <w:bCs/>
                <w:sz w:val="24"/>
                <w:szCs w:val="24"/>
              </w:rPr>
              <w:t xml:space="preserve">具体功能要求</w:t>
            </w:r>
            <w:r/>
          </w:p>
        </w:tc>
      </w:tr>
      <w:tr>
        <w:trPr>
          <w:cantSplit/>
          <w:trHeight w:val="849"/>
        </w:trPr>
        <w:tc>
          <w:tcPr>
            <w:tcBorders>
              <w:top w:val="single" w:color="000000" w:sz="4" w:space="0"/>
              <w:left w:val="single" w:color="000000" w:sz="4" w:space="0"/>
              <w:right w:val="single" w:color="000000" w:sz="4" w:space="0"/>
            </w:tcBorders>
            <w:tcW w:w="699" w:type="pct"/>
            <w:vAlign w:val="center"/>
            <w:vMerge w:val="restart"/>
            <w:textDirection w:val="lrTb"/>
            <w:noWrap w:val="false"/>
          </w:tcPr>
          <w:p>
            <w:pPr>
              <w:pStyle w:val="860"/>
              <w:jc w:val="left"/>
              <w:spacing w:line="264" w:lineRule="auto"/>
              <w:rPr>
                <w:rFonts w:ascii="宋体" w:hAnsi="宋体" w:cs="宋体"/>
                <w:bCs/>
                <w:sz w:val="24"/>
                <w:szCs w:val="24"/>
              </w:rPr>
              <w:outlineLvl w:val="2"/>
            </w:pPr>
            <w:r>
              <w:rPr>
                <w:rFonts w:ascii="宋体" w:hAnsi="宋体" w:cs="宋体"/>
                <w:bCs/>
                <w:sz w:val="24"/>
                <w:szCs w:val="24"/>
              </w:rPr>
              <w:t xml:space="preserve">地理空间“一本账”</w:t>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数据资产集成</w:t>
            </w:r>
            <w:r/>
          </w:p>
        </w:tc>
        <w:tc>
          <w:tcPr>
            <w:tcBorders>
              <w:top w:val="single" w:color="000000" w:sz="4" w:space="0"/>
              <w:left w:val="single" w:color="000000" w:sz="4" w:space="0"/>
              <w:bottom w:val="single" w:color="000000" w:sz="4" w:space="0"/>
              <w:right w:val="single" w:color="000000" w:sz="4" w:space="0"/>
            </w:tcBorders>
            <w:tcW w:w="2581"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完成数据发布库构建，实现基础、行业专题、融合类数据标准化汇聚与差异化展示。</w:t>
            </w:r>
            <w:r/>
          </w:p>
        </w:tc>
      </w:tr>
      <w:tr>
        <w:trPr>
          <w:cantSplit/>
          <w:trHeight w:val="849"/>
        </w:trPr>
        <w:tc>
          <w:tcPr>
            <w:tcBorders>
              <w:left w:val="single" w:color="000000" w:sz="4" w:space="0"/>
              <w:right w:val="single" w:color="000000" w:sz="4" w:space="0"/>
            </w:tcBorders>
            <w:tcW w:w="699" w:type="pct"/>
            <w:vAlign w:val="center"/>
            <w:vMerge w:val="continue"/>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数据服务发布与权限管控</w:t>
            </w:r>
            <w:r/>
          </w:p>
        </w:tc>
        <w:tc>
          <w:tcPr>
            <w:tcBorders>
              <w:top w:val="single" w:color="000000" w:sz="4" w:space="0"/>
              <w:left w:val="single" w:color="000000" w:sz="4" w:space="0"/>
              <w:bottom w:val="single" w:color="000000" w:sz="4" w:space="0"/>
              <w:right w:val="single" w:color="000000" w:sz="4" w:space="0"/>
            </w:tcBorders>
            <w:tcW w:w="2581"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实现地图、三维、要素类数据服务封装发布，落实分级权限管控及访问日志审计。</w:t>
            </w:r>
            <w:r/>
          </w:p>
        </w:tc>
      </w:tr>
      <w:tr>
        <w:trPr>
          <w:cantSplit/>
          <w:trHeight w:val="849"/>
        </w:trPr>
        <w:tc>
          <w:tcPr>
            <w:tcBorders>
              <w:left w:val="single" w:color="000000" w:sz="4" w:space="0"/>
              <w:right w:val="single" w:color="000000" w:sz="4" w:space="0"/>
            </w:tcBorders>
            <w:tcW w:w="699" w:type="pct"/>
            <w:vAlign w:val="center"/>
            <w:vMerge w:val="continue"/>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数据资产一本账</w:t>
            </w:r>
            <w:r/>
          </w:p>
        </w:tc>
        <w:tc>
          <w:tcPr>
            <w:tcBorders>
              <w:top w:val="single" w:color="000000" w:sz="4" w:space="0"/>
              <w:left w:val="single" w:color="000000" w:sz="4" w:space="0"/>
              <w:bottom w:val="single" w:color="000000" w:sz="4" w:space="0"/>
              <w:right w:val="single" w:color="000000" w:sz="4" w:space="0"/>
            </w:tcBorders>
            <w:tcW w:w="2581"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实现数据资产多维度统计可视化展示，支持明细下钻，指标跟随底板数据动态更新。</w:t>
            </w:r>
            <w:r/>
          </w:p>
        </w:tc>
      </w:tr>
      <w:tr>
        <w:trPr>
          <w:cantSplit/>
          <w:trHeight w:val="849"/>
        </w:trPr>
        <w:tc>
          <w:tcPr>
            <w:tcBorders>
              <w:left w:val="single" w:color="000000" w:sz="4" w:space="0"/>
              <w:bottom w:val="single" w:color="000000" w:sz="4" w:space="0"/>
              <w:right w:val="single" w:color="000000" w:sz="4" w:space="0"/>
            </w:tcBorders>
            <w:tcW w:w="699" w:type="pct"/>
            <w:vAlign w:val="center"/>
            <w:vMerge w:val="continue"/>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空间资产一张图</w:t>
            </w:r>
            <w:r/>
          </w:p>
        </w:tc>
        <w:tc>
          <w:tcPr>
            <w:tcBorders>
              <w:top w:val="single" w:color="000000" w:sz="4" w:space="0"/>
              <w:left w:val="single" w:color="000000" w:sz="4" w:space="0"/>
              <w:bottom w:val="single" w:color="000000" w:sz="4" w:space="0"/>
              <w:right w:val="single" w:color="000000" w:sz="4" w:space="0"/>
            </w:tcBorders>
            <w:tcW w:w="2581"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实现二三维一体化展示、多模式空间查询、图属联动，支持物联业务事件落图及业务协同研判，配套基础地图</w:t>
            </w:r>
            <w:r>
              <w:rPr>
                <w:rFonts w:ascii="宋体" w:hAnsi="宋体" w:cs="宋体"/>
                <w:bCs/>
                <w:sz w:val="24"/>
                <w:szCs w:val="24"/>
              </w:rPr>
              <w:t xml:space="preserve">工具集。</w:t>
            </w:r>
            <w:r/>
          </w:p>
        </w:tc>
      </w:tr>
    </w:tbl>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（3）业务应用中心</w:t>
      </w:r>
      <w:r/>
    </w:p>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构建一站式业务协同与应用创新平台，打造统一门户、资源共享、标签管理、应用主题、开发服务、统一运维等能力，降低CIM+应用开发门槛，培育开放协同的应用生态。</w:t>
      </w:r>
      <w:r/>
    </w:p>
    <w:tbl>
      <w:tblPr>
        <w:tblW w:w="4989" w:type="pct"/>
        <w:tblInd w:w="113" w:type="dxa"/>
        <w:tblLayout w:type="autofit"/>
        <w:tblCellMar>
          <w:left w:w="108" w:type="dxa"/>
          <w:top w:w="0" w:type="dxa"/>
          <w:right w:w="108" w:type="dxa"/>
          <w:bottom w:w="0" w:type="dxa"/>
        </w:tblCellMar>
        <w:tblLook w:val="04A0" w:firstRow="1" w:lastRow="0" w:firstColumn="1" w:lastColumn="0" w:noHBand="0" w:noVBand="1"/>
      </w:tblPr>
      <w:tblGrid>
        <w:gridCol w:w="1388"/>
        <w:gridCol w:w="3417"/>
        <w:gridCol w:w="5135"/>
      </w:tblGrid>
      <w:tr>
        <w:trPr>
          <w:trHeight w:val="283"/>
        </w:trPr>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pStyle w:val="860"/>
              <w:jc w:val="left"/>
              <w:spacing w:line="264" w:lineRule="auto"/>
              <w:rPr>
                <w:rFonts w:ascii="宋体" w:hAnsi="宋体" w:cs="宋体"/>
                <w:b/>
                <w:bCs/>
                <w:sz w:val="24"/>
                <w:szCs w:val="24"/>
              </w:rPr>
              <w:outlineLvl w:val="2"/>
            </w:pPr>
            <w:r>
              <w:rPr>
                <w:rFonts w:ascii="宋体" w:hAnsi="宋体" w:cs="宋体"/>
                <w:b/>
                <w:bCs/>
                <w:sz w:val="24"/>
                <w:szCs w:val="24"/>
              </w:rPr>
              <w:t xml:space="preserve">模块名称</w:t>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2"/>
              <w:jc w:val="left"/>
              <w:spacing w:line="264" w:lineRule="auto"/>
              <w:rPr>
                <w:rFonts w:ascii="宋体" w:hAnsi="宋体" w:cs="宋体"/>
                <w:b/>
                <w:bCs/>
                <w:sz w:val="24"/>
                <w:szCs w:val="24"/>
              </w:rPr>
              <w:outlineLvl w:val="2"/>
            </w:pPr>
            <w:r>
              <w:rPr>
                <w:rFonts w:ascii="宋体" w:hAnsi="宋体" w:cs="宋体"/>
                <w:b/>
                <w:bCs/>
                <w:sz w:val="24"/>
                <w:szCs w:val="24"/>
              </w:rPr>
              <w:t xml:space="preserve">主要建设内容</w:t>
            </w:r>
            <w:r/>
          </w:p>
        </w:tc>
        <w:tc>
          <w:tcPr>
            <w:tcBorders>
              <w:top w:val="single" w:color="000000" w:sz="4" w:space="0"/>
              <w:left w:val="single" w:color="000000" w:sz="4" w:space="0"/>
              <w:bottom w:val="single" w:color="000000" w:sz="4" w:space="0"/>
              <w:right w:val="single" w:color="000000" w:sz="4" w:space="0"/>
            </w:tcBorders>
            <w:tcW w:w="2582" w:type="pct"/>
            <w:vAlign w:val="center"/>
            <w:textDirection w:val="lrTb"/>
            <w:noWrap w:val="false"/>
          </w:tcPr>
          <w:p>
            <w:pPr>
              <w:pStyle w:val="860"/>
              <w:ind w:firstLine="482"/>
              <w:jc w:val="left"/>
              <w:spacing w:line="264" w:lineRule="auto"/>
              <w:rPr>
                <w:rFonts w:ascii="宋体" w:hAnsi="宋体" w:cs="宋体"/>
                <w:b/>
                <w:bCs/>
                <w:sz w:val="24"/>
                <w:szCs w:val="24"/>
              </w:rPr>
              <w:outlineLvl w:val="2"/>
            </w:pPr>
            <w:r>
              <w:rPr>
                <w:rFonts w:ascii="宋体" w:hAnsi="宋体" w:cs="宋体"/>
                <w:b/>
                <w:bCs/>
                <w:sz w:val="24"/>
                <w:szCs w:val="24"/>
              </w:rPr>
              <w:t xml:space="preserve">具体功能要求</w:t>
            </w:r>
            <w:r/>
          </w:p>
        </w:tc>
      </w:tr>
      <w:tr>
        <w:trPr>
          <w:cantSplit/>
          <w:trHeight w:val="849"/>
        </w:trPr>
        <w:tc>
          <w:tcPr>
            <w:tcBorders>
              <w:top w:val="single" w:color="000000" w:sz="4" w:space="0"/>
              <w:left w:val="single" w:color="000000" w:sz="4" w:space="0"/>
              <w:right w:val="single" w:color="000000" w:sz="4" w:space="0"/>
            </w:tcBorders>
            <w:tcW w:w="698" w:type="pct"/>
            <w:vAlign w:val="center"/>
            <w:vMerge w:val="restart"/>
            <w:textDirection w:val="lrTb"/>
            <w:noWrap w:val="false"/>
          </w:tcPr>
          <w:p>
            <w:pPr>
              <w:pStyle w:val="860"/>
              <w:jc w:val="left"/>
              <w:spacing w:line="264" w:lineRule="auto"/>
              <w:rPr>
                <w:rFonts w:ascii="宋体" w:hAnsi="宋体" w:cs="宋体"/>
                <w:bCs/>
                <w:sz w:val="24"/>
                <w:szCs w:val="24"/>
              </w:rPr>
              <w:outlineLvl w:val="2"/>
            </w:pPr>
            <w:r>
              <w:rPr>
                <w:rFonts w:ascii="宋体" w:hAnsi="宋体" w:cs="宋体"/>
                <w:bCs/>
                <w:sz w:val="24"/>
                <w:szCs w:val="24"/>
              </w:rPr>
              <w:t xml:space="preserve">业务应用中心</w:t>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统一门户中心</w:t>
            </w:r>
            <w:r/>
          </w:p>
        </w:tc>
        <w:tc>
          <w:tcPr>
            <w:tcBorders>
              <w:top w:val="single" w:color="000000" w:sz="4" w:space="0"/>
              <w:left w:val="single" w:color="000000" w:sz="4" w:space="0"/>
              <w:bottom w:val="single" w:color="000000" w:sz="4" w:space="0"/>
              <w:right w:val="single" w:color="000000" w:sz="4" w:space="0"/>
            </w:tcBorders>
            <w:tcW w:w="2582"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实现单点登录、综合态势驾驶舱、消息通知、任务督办、分权限菜单管理。</w:t>
            </w:r>
            <w:r/>
          </w:p>
        </w:tc>
      </w:tr>
      <w:tr>
        <w:trPr>
          <w:cantSplit/>
          <w:trHeight w:val="849"/>
        </w:trPr>
        <w:tc>
          <w:tcPr>
            <w:tcBorders>
              <w:left w:val="single" w:color="000000" w:sz="4" w:space="0"/>
              <w:right w:val="single" w:color="000000" w:sz="4" w:space="0"/>
            </w:tcBorders>
            <w:tcW w:w="698" w:type="pct"/>
            <w:vAlign w:val="center"/>
            <w:vMerge w:val="continue"/>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资源共享中心</w:t>
            </w:r>
            <w:r/>
          </w:p>
        </w:tc>
        <w:tc>
          <w:tcPr>
            <w:tcBorders>
              <w:top w:val="single" w:color="000000" w:sz="4" w:space="0"/>
              <w:left w:val="single" w:color="000000" w:sz="4" w:space="0"/>
              <w:bottom w:val="single" w:color="000000" w:sz="4" w:space="0"/>
              <w:right w:val="single" w:color="000000" w:sz="4" w:space="0"/>
            </w:tcBorders>
            <w:tcW w:w="2582"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完成二三维资源编目入库，实现资源检索、服务申请审批、访问记录统计。</w:t>
            </w:r>
            <w:r/>
          </w:p>
        </w:tc>
      </w:tr>
      <w:tr>
        <w:trPr>
          <w:cantSplit/>
          <w:trHeight w:val="849"/>
        </w:trPr>
        <w:tc>
          <w:tcPr>
            <w:tcBorders>
              <w:left w:val="single" w:color="000000" w:sz="4" w:space="0"/>
              <w:right w:val="single" w:color="000000" w:sz="4" w:space="0"/>
            </w:tcBorders>
            <w:tcW w:w="698" w:type="pct"/>
            <w:vAlign w:val="center"/>
            <w:vMerge w:val="continue"/>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数据资产标签管理中心</w:t>
            </w:r>
            <w:r/>
          </w:p>
        </w:tc>
        <w:tc>
          <w:tcPr>
            <w:tcBorders>
              <w:top w:val="single" w:color="000000" w:sz="4" w:space="0"/>
              <w:left w:val="single" w:color="000000" w:sz="4" w:space="0"/>
              <w:bottom w:val="single" w:color="000000" w:sz="4" w:space="0"/>
              <w:right w:val="single" w:color="000000" w:sz="4" w:space="0"/>
            </w:tcBorders>
            <w:tcW w:w="2582"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实现基础及自定义标签全流程管理，支持批量打标签、标签复合检索定位资源。</w:t>
            </w:r>
            <w:r/>
          </w:p>
        </w:tc>
      </w:tr>
      <w:tr>
        <w:trPr>
          <w:cantSplit/>
          <w:trHeight w:val="849"/>
        </w:trPr>
        <w:tc>
          <w:tcPr>
            <w:tcBorders>
              <w:left w:val="single" w:color="000000" w:sz="4" w:space="0"/>
              <w:right w:val="single" w:color="000000" w:sz="4" w:space="0"/>
            </w:tcBorders>
            <w:tcW w:w="698" w:type="pct"/>
            <w:vAlign w:val="center"/>
            <w:vMerge w:val="continue"/>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应用主题管理中心</w:t>
            </w:r>
            <w:r/>
          </w:p>
        </w:tc>
        <w:tc>
          <w:tcPr>
            <w:tcBorders>
              <w:top w:val="single" w:color="000000" w:sz="4" w:space="0"/>
              <w:left w:val="single" w:color="000000" w:sz="4" w:space="0"/>
              <w:bottom w:val="single" w:color="000000" w:sz="4" w:space="0"/>
              <w:right w:val="single" w:color="000000" w:sz="4" w:space="0"/>
            </w:tcBorders>
            <w:tcW w:w="2582"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提供零代码场景可视化编排，实现场景全生命周期管理，支持大模型驱动生成主题场景。</w:t>
            </w:r>
            <w:r/>
          </w:p>
        </w:tc>
      </w:tr>
      <w:tr>
        <w:trPr>
          <w:cantSplit/>
          <w:trHeight w:val="849"/>
        </w:trPr>
        <w:tc>
          <w:tcPr>
            <w:tcBorders>
              <w:left w:val="single" w:color="000000" w:sz="4" w:space="0"/>
              <w:right w:val="single" w:color="000000" w:sz="4" w:space="0"/>
            </w:tcBorders>
            <w:tcW w:w="698" w:type="pct"/>
            <w:vAlign w:val="center"/>
            <w:vMerge w:val="continue"/>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应用主题可视化中心</w:t>
            </w:r>
            <w:r/>
          </w:p>
        </w:tc>
        <w:tc>
          <w:tcPr>
            <w:tcBorders>
              <w:top w:val="single" w:color="000000" w:sz="4" w:space="0"/>
              <w:left w:val="single" w:color="000000" w:sz="4" w:space="0"/>
              <w:bottom w:val="single" w:color="000000" w:sz="4" w:space="0"/>
              <w:right w:val="single" w:color="000000" w:sz="4" w:space="0"/>
            </w:tcBorders>
            <w:tcW w:w="2582"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基于零代码场景可视化编排及原地图引擎能力、平台的数据资产，提供支持二三维无缝切换，实现定制业务场景可视化。</w:t>
            </w:r>
            <w:r/>
          </w:p>
        </w:tc>
      </w:tr>
      <w:tr>
        <w:trPr>
          <w:cantSplit/>
          <w:trHeight w:val="849"/>
        </w:trPr>
        <w:tc>
          <w:tcPr>
            <w:tcBorders>
              <w:left w:val="single" w:color="000000" w:sz="4" w:space="0"/>
              <w:right w:val="single" w:color="000000" w:sz="4" w:space="0"/>
            </w:tcBorders>
            <w:tcW w:w="698" w:type="pct"/>
            <w:vAlign w:val="center"/>
            <w:vMerge w:val="continue"/>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开发服务中心</w:t>
            </w:r>
            <w:r/>
          </w:p>
        </w:tc>
        <w:tc>
          <w:tcPr>
            <w:tcBorders>
              <w:top w:val="single" w:color="000000" w:sz="4" w:space="0"/>
              <w:left w:val="single" w:color="000000" w:sz="4" w:space="0"/>
              <w:bottom w:val="single" w:color="000000" w:sz="4" w:space="0"/>
              <w:right w:val="single" w:color="000000" w:sz="4" w:space="0"/>
            </w:tcBorders>
            <w:tcW w:w="2582"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提供标准化API文档、接口调试工具、开发示例及问题知识库。</w:t>
            </w:r>
            <w:r/>
          </w:p>
        </w:tc>
      </w:tr>
      <w:tr>
        <w:trPr>
          <w:cantSplit/>
          <w:trHeight w:val="849"/>
        </w:trPr>
        <w:tc>
          <w:tcPr>
            <w:tcBorders>
              <w:left w:val="single" w:color="000000" w:sz="4" w:space="0"/>
              <w:bottom w:val="single" w:color="000000" w:sz="4" w:space="0"/>
              <w:right w:val="single" w:color="000000" w:sz="4" w:space="0"/>
            </w:tcBorders>
            <w:tcW w:w="698" w:type="pct"/>
            <w:vAlign w:val="center"/>
            <w:vMerge w:val="continue"/>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统一运维中心</w:t>
            </w:r>
            <w:r/>
          </w:p>
        </w:tc>
        <w:tc>
          <w:tcPr>
            <w:tcBorders>
              <w:top w:val="single" w:color="000000" w:sz="4" w:space="0"/>
              <w:left w:val="single" w:color="000000" w:sz="4" w:space="0"/>
              <w:bottom w:val="single" w:color="000000" w:sz="4" w:space="0"/>
              <w:right w:val="single" w:color="000000" w:sz="4" w:space="0"/>
            </w:tcBorders>
            <w:tcW w:w="2582"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实现细粒度权限管理、单点登录、系统告警、页面水印防泄露。</w:t>
            </w:r>
            <w:r/>
          </w:p>
        </w:tc>
      </w:tr>
    </w:tbl>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（4）空间智能中心</w:t>
      </w:r>
      <w:r/>
    </w:p>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依托大模型与空间智能技术，采用MCP实现能力调用协议封装，通过Skill组件完成空间分析、数据处理等功能的</w:t>
      </w:r>
      <w:r>
        <w:rPr>
          <w:rFonts w:ascii="宋体" w:hAnsi="宋体" w:cs="宋体"/>
          <w:bCs/>
          <w:sz w:val="24"/>
          <w:szCs w:val="24"/>
        </w:rPr>
        <w:t xml:space="preserve">组合编排，搭建空间智能基座，落地多类实战业务智能体，提升城市治理智能化水平。</w:t>
      </w:r>
      <w:r/>
    </w:p>
    <w:tbl>
      <w:tblPr>
        <w:tblW w:w="4988" w:type="pct"/>
        <w:tblInd w:w="113" w:type="dxa"/>
        <w:tblLayout w:type="autofit"/>
        <w:tblCellMar>
          <w:left w:w="108" w:type="dxa"/>
          <w:top w:w="0" w:type="dxa"/>
          <w:right w:w="108" w:type="dxa"/>
          <w:bottom w:w="0" w:type="dxa"/>
        </w:tblCellMar>
        <w:tblLook w:val="04A0" w:firstRow="1" w:lastRow="0" w:firstColumn="1" w:lastColumn="0" w:noHBand="0" w:noVBand="1"/>
      </w:tblPr>
      <w:tblGrid>
        <w:gridCol w:w="1387"/>
        <w:gridCol w:w="3417"/>
        <w:gridCol w:w="5134"/>
      </w:tblGrid>
      <w:tr>
        <w:trPr>
          <w:trHeight w:val="283"/>
        </w:trPr>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pStyle w:val="860"/>
              <w:jc w:val="left"/>
              <w:spacing w:line="264" w:lineRule="auto"/>
              <w:rPr>
                <w:rFonts w:ascii="宋体" w:hAnsi="宋体" w:cs="宋体"/>
                <w:b/>
                <w:bCs/>
                <w:sz w:val="24"/>
                <w:szCs w:val="24"/>
              </w:rPr>
              <w:outlineLvl w:val="2"/>
            </w:pPr>
            <w:r>
              <w:rPr>
                <w:rFonts w:ascii="宋体" w:hAnsi="宋体" w:cs="宋体"/>
                <w:b/>
                <w:bCs/>
                <w:sz w:val="24"/>
                <w:szCs w:val="24"/>
              </w:rPr>
              <w:t xml:space="preserve">模块名称</w:t>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2"/>
              <w:jc w:val="left"/>
              <w:spacing w:line="264" w:lineRule="auto"/>
              <w:rPr>
                <w:rFonts w:ascii="宋体" w:hAnsi="宋体" w:cs="宋体"/>
                <w:b/>
                <w:bCs/>
                <w:sz w:val="24"/>
                <w:szCs w:val="24"/>
              </w:rPr>
              <w:outlineLvl w:val="2"/>
            </w:pPr>
            <w:r>
              <w:rPr>
                <w:rFonts w:ascii="宋体" w:hAnsi="宋体" w:cs="宋体"/>
                <w:b/>
                <w:bCs/>
                <w:sz w:val="24"/>
                <w:szCs w:val="24"/>
              </w:rPr>
              <w:t xml:space="preserve">主要建设内容</w:t>
            </w:r>
            <w:r/>
          </w:p>
        </w:tc>
        <w:tc>
          <w:tcPr>
            <w:tcBorders>
              <w:top w:val="single" w:color="000000" w:sz="4" w:space="0"/>
              <w:left w:val="single" w:color="000000" w:sz="4" w:space="0"/>
              <w:bottom w:val="single" w:color="000000" w:sz="4" w:space="0"/>
              <w:right w:val="single" w:color="000000" w:sz="4" w:space="0"/>
            </w:tcBorders>
            <w:tcW w:w="2582" w:type="pct"/>
            <w:vAlign w:val="center"/>
            <w:textDirection w:val="lrTb"/>
            <w:noWrap w:val="false"/>
          </w:tcPr>
          <w:p>
            <w:pPr>
              <w:pStyle w:val="860"/>
              <w:ind w:firstLine="482"/>
              <w:jc w:val="left"/>
              <w:spacing w:line="264" w:lineRule="auto"/>
              <w:rPr>
                <w:rFonts w:ascii="宋体" w:hAnsi="宋体" w:cs="宋体"/>
                <w:b/>
                <w:bCs/>
                <w:sz w:val="24"/>
                <w:szCs w:val="24"/>
              </w:rPr>
              <w:outlineLvl w:val="2"/>
            </w:pPr>
            <w:r>
              <w:rPr>
                <w:rFonts w:ascii="宋体" w:hAnsi="宋体" w:cs="宋体"/>
                <w:b/>
                <w:bCs/>
                <w:sz w:val="24"/>
                <w:szCs w:val="24"/>
              </w:rPr>
              <w:t xml:space="preserve">具体功能要求</w:t>
            </w:r>
            <w:r/>
          </w:p>
        </w:tc>
      </w:tr>
      <w:tr>
        <w:trPr>
          <w:cantSplit/>
          <w:trHeight w:val="849"/>
        </w:trPr>
        <w:tc>
          <w:tcPr>
            <w:tcBorders>
              <w:top w:val="single" w:color="000000" w:sz="4" w:space="0"/>
              <w:left w:val="single" w:color="000000" w:sz="4" w:space="0"/>
              <w:right w:val="single" w:color="000000" w:sz="4" w:space="0"/>
            </w:tcBorders>
            <w:tcW w:w="698" w:type="pct"/>
            <w:vAlign w:val="center"/>
            <w:vMerge w:val="restart"/>
            <w:textDirection w:val="lrTb"/>
            <w:noWrap w:val="false"/>
          </w:tcPr>
          <w:p>
            <w:pPr>
              <w:pStyle w:val="860"/>
              <w:jc w:val="left"/>
              <w:spacing w:line="264" w:lineRule="auto"/>
              <w:rPr>
                <w:rFonts w:ascii="宋体" w:hAnsi="宋体" w:cs="宋体"/>
                <w:bCs/>
                <w:sz w:val="24"/>
                <w:szCs w:val="24"/>
              </w:rPr>
              <w:outlineLvl w:val="2"/>
            </w:pPr>
            <w:r>
              <w:rPr>
                <w:rFonts w:ascii="宋体" w:hAnsi="宋体" w:cs="宋体"/>
                <w:bCs/>
                <w:sz w:val="24"/>
                <w:szCs w:val="24"/>
              </w:rPr>
              <w:t xml:space="preserve">空间智能中心</w:t>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空间智能体基座</w:t>
            </w:r>
            <w:r/>
          </w:p>
        </w:tc>
        <w:tc>
          <w:tcPr>
            <w:tcBorders>
              <w:top w:val="single" w:color="000000" w:sz="4" w:space="0"/>
              <w:left w:val="single" w:color="000000" w:sz="4" w:space="0"/>
              <w:bottom w:val="single" w:color="000000" w:sz="4" w:space="0"/>
              <w:right w:val="single" w:color="000000" w:sz="4" w:space="0"/>
            </w:tcBorders>
            <w:tcW w:w="2582"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整合AI、GIS、数据、接口权限，支持MCP服务接入、语义解析、自然语言调用空间工具，支撑多类型智能体调度运行。</w:t>
            </w:r>
            <w:r/>
          </w:p>
        </w:tc>
      </w:tr>
      <w:tr>
        <w:trPr>
          <w:cantSplit/>
          <w:trHeight w:val="849"/>
        </w:trPr>
        <w:tc>
          <w:tcPr>
            <w:tcBorders>
              <w:left w:val="single" w:color="000000" w:sz="4" w:space="0"/>
              <w:bottom w:val="single" w:color="000000" w:sz="4" w:space="0"/>
              <w:right w:val="single" w:color="000000" w:sz="4" w:space="0"/>
            </w:tcBorders>
            <w:tcW w:w="698" w:type="pct"/>
            <w:vAlign w:val="center"/>
            <w:vMerge w:val="continue"/>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场景空间智能体构建</w:t>
            </w:r>
            <w:r/>
          </w:p>
        </w:tc>
        <w:tc>
          <w:tcPr>
            <w:tcBorders>
              <w:top w:val="single" w:color="000000" w:sz="4" w:space="0"/>
              <w:left w:val="single" w:color="000000" w:sz="4" w:space="0"/>
              <w:bottom w:val="single" w:color="000000" w:sz="4" w:space="0"/>
              <w:right w:val="single" w:color="000000" w:sz="4" w:space="0"/>
            </w:tcBorders>
            <w:tcW w:w="2582"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落地多类实战智能体，实现数据治理、事件关联调阅、地理图像检索、空间要素查询定位能力。</w:t>
            </w:r>
            <w:r/>
          </w:p>
        </w:tc>
      </w:tr>
    </w:tbl>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（5）大型活动安保场景应用</w:t>
      </w:r>
      <w:r/>
    </w:p>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以CIM三维数字孪生底座为核心支撑，面向大型赛事、群众性活动安保实战，构建一体化安保应用体系，实现全景可视、精准布防，满足一场一策实战需求。</w:t>
      </w:r>
      <w:r/>
    </w:p>
    <w:tbl>
      <w:tblPr>
        <w:tblW w:w="4987" w:type="pct"/>
        <w:tblInd w:w="113" w:type="dxa"/>
        <w:tblLayout w:type="autofit"/>
        <w:tblCellMar>
          <w:left w:w="108" w:type="dxa"/>
          <w:top w:w="0" w:type="dxa"/>
          <w:right w:w="108" w:type="dxa"/>
          <w:bottom w:w="0" w:type="dxa"/>
        </w:tblCellMar>
        <w:tblLook w:val="04A0" w:firstRow="1" w:lastRow="0" w:firstColumn="1" w:lastColumn="0" w:noHBand="0" w:noVBand="1"/>
      </w:tblPr>
      <w:tblGrid>
        <w:gridCol w:w="1387"/>
        <w:gridCol w:w="3416"/>
        <w:gridCol w:w="5133"/>
      </w:tblGrid>
      <w:tr>
        <w:trPr>
          <w:trHeight w:val="283"/>
        </w:trPr>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pStyle w:val="860"/>
              <w:jc w:val="left"/>
              <w:spacing w:line="264" w:lineRule="auto"/>
              <w:rPr>
                <w:rFonts w:ascii="宋体" w:hAnsi="宋体" w:cs="宋体"/>
                <w:b/>
                <w:bCs/>
                <w:sz w:val="24"/>
                <w:szCs w:val="24"/>
              </w:rPr>
              <w:outlineLvl w:val="2"/>
            </w:pPr>
            <w:r>
              <w:rPr>
                <w:rFonts w:ascii="宋体" w:hAnsi="宋体" w:cs="宋体"/>
                <w:b/>
                <w:bCs/>
                <w:sz w:val="24"/>
                <w:szCs w:val="24"/>
              </w:rPr>
              <w:t xml:space="preserve">模块名称</w:t>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2"/>
              <w:jc w:val="left"/>
              <w:spacing w:line="264" w:lineRule="auto"/>
              <w:rPr>
                <w:rFonts w:ascii="宋体" w:hAnsi="宋体" w:cs="宋体"/>
                <w:b/>
                <w:bCs/>
                <w:sz w:val="24"/>
                <w:szCs w:val="24"/>
              </w:rPr>
              <w:outlineLvl w:val="2"/>
            </w:pPr>
            <w:r>
              <w:rPr>
                <w:rFonts w:ascii="宋体" w:hAnsi="宋体" w:cs="宋体"/>
                <w:b/>
                <w:bCs/>
                <w:sz w:val="24"/>
                <w:szCs w:val="24"/>
              </w:rPr>
              <w:t xml:space="preserve">主要建设内容</w:t>
            </w:r>
            <w:r/>
          </w:p>
        </w:tc>
        <w:tc>
          <w:tcPr>
            <w:tcBorders>
              <w:top w:val="single" w:color="000000" w:sz="4" w:space="0"/>
              <w:left w:val="single" w:color="000000" w:sz="4" w:space="0"/>
              <w:bottom w:val="single" w:color="000000" w:sz="4" w:space="0"/>
              <w:right w:val="single" w:color="000000" w:sz="4" w:space="0"/>
            </w:tcBorders>
            <w:tcW w:w="2582" w:type="pct"/>
            <w:vAlign w:val="center"/>
            <w:textDirection w:val="lrTb"/>
            <w:noWrap w:val="false"/>
          </w:tcPr>
          <w:p>
            <w:pPr>
              <w:pStyle w:val="860"/>
              <w:ind w:firstLine="482"/>
              <w:jc w:val="left"/>
              <w:spacing w:line="264" w:lineRule="auto"/>
              <w:rPr>
                <w:rFonts w:ascii="宋体" w:hAnsi="宋体" w:cs="宋体"/>
                <w:b/>
                <w:bCs/>
                <w:sz w:val="24"/>
                <w:szCs w:val="24"/>
              </w:rPr>
              <w:outlineLvl w:val="2"/>
            </w:pPr>
            <w:r>
              <w:rPr>
                <w:rFonts w:ascii="宋体" w:hAnsi="宋体" w:cs="宋体"/>
                <w:b/>
                <w:bCs/>
                <w:sz w:val="24"/>
                <w:szCs w:val="24"/>
              </w:rPr>
              <w:t xml:space="preserve">具体功能要求</w:t>
            </w:r>
            <w:r/>
          </w:p>
        </w:tc>
      </w:tr>
      <w:tr>
        <w:trPr>
          <w:cantSplit/>
          <w:trHeight w:val="849"/>
        </w:trPr>
        <w:tc>
          <w:tcPr>
            <w:tcBorders>
              <w:top w:val="single" w:color="000000" w:sz="4" w:space="0"/>
              <w:left w:val="single" w:color="000000" w:sz="4" w:space="0"/>
              <w:right w:val="single" w:color="000000" w:sz="4" w:space="0"/>
            </w:tcBorders>
            <w:tcW w:w="698" w:type="pct"/>
            <w:vAlign w:val="center"/>
            <w:vMerge w:val="restart"/>
            <w:textDirection w:val="lrTb"/>
            <w:noWrap w:val="false"/>
          </w:tcPr>
          <w:p>
            <w:pPr>
              <w:pStyle w:val="860"/>
              <w:jc w:val="left"/>
              <w:spacing w:line="264" w:lineRule="auto"/>
              <w:rPr>
                <w:rFonts w:ascii="宋体" w:hAnsi="宋体" w:cs="宋体"/>
                <w:bCs/>
                <w:sz w:val="24"/>
                <w:szCs w:val="24"/>
              </w:rPr>
              <w:outlineLvl w:val="2"/>
            </w:pPr>
            <w:r>
              <w:rPr>
                <w:rFonts w:ascii="宋体" w:hAnsi="宋体" w:cs="宋体"/>
                <w:bCs/>
                <w:sz w:val="24"/>
                <w:szCs w:val="24"/>
              </w:rPr>
              <w:t xml:space="preserve">大型活动安保场景应用</w:t>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安保资源三维融合管理</w:t>
            </w:r>
            <w:r/>
          </w:p>
        </w:tc>
        <w:tc>
          <w:tcPr>
            <w:tcBorders>
              <w:top w:val="single" w:color="000000" w:sz="4" w:space="0"/>
              <w:left w:val="single" w:color="000000" w:sz="4" w:space="0"/>
              <w:bottom w:val="single" w:color="000000" w:sz="4" w:space="0"/>
              <w:right w:val="single" w:color="000000" w:sz="4" w:space="0"/>
            </w:tcBorders>
            <w:tcW w:w="2582"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搭建高保真三维可视化场景，安保要素点位上图展示，支持多条件检索、图属双向联动，可调阅视频资源。</w:t>
            </w:r>
            <w:r/>
          </w:p>
        </w:tc>
      </w:tr>
      <w:tr>
        <w:trPr>
          <w:cantSplit/>
          <w:trHeight w:val="849"/>
        </w:trPr>
        <w:tc>
          <w:tcPr>
            <w:tcBorders>
              <w:left w:val="single" w:color="000000" w:sz="4" w:space="0"/>
              <w:right w:val="single" w:color="000000" w:sz="4" w:space="0"/>
            </w:tcBorders>
            <w:tcW w:w="698" w:type="pct"/>
            <w:vAlign w:val="center"/>
            <w:vMerge w:val="continue"/>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安保预案编制管理</w:t>
            </w:r>
            <w:r/>
          </w:p>
        </w:tc>
        <w:tc>
          <w:tcPr>
            <w:tcBorders>
              <w:top w:val="single" w:color="000000" w:sz="4" w:space="0"/>
              <w:left w:val="single" w:color="000000" w:sz="4" w:space="0"/>
              <w:bottom w:val="single" w:color="000000" w:sz="4" w:space="0"/>
              <w:right w:val="single" w:color="000000" w:sz="4" w:space="0"/>
            </w:tcBorders>
            <w:tcW w:w="2582"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支持三维场景可视化标绘、要素属性及视频挂接，集成空间智能分析工具，提供720全景方案标注编制能力。</w:t>
            </w:r>
            <w:r/>
          </w:p>
        </w:tc>
      </w:tr>
      <w:tr>
        <w:trPr>
          <w:cantSplit/>
          <w:trHeight w:val="849"/>
        </w:trPr>
        <w:tc>
          <w:tcPr>
            <w:tcBorders>
              <w:left w:val="single" w:color="000000" w:sz="4" w:space="0"/>
              <w:right w:val="single" w:color="000000" w:sz="4" w:space="0"/>
            </w:tcBorders>
            <w:tcW w:w="698" w:type="pct"/>
            <w:vAlign w:val="center"/>
            <w:vMerge w:val="continue"/>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实时监测与预警</w:t>
            </w:r>
            <w:r/>
          </w:p>
        </w:tc>
        <w:tc>
          <w:tcPr>
            <w:tcBorders>
              <w:top w:val="single" w:color="000000" w:sz="4" w:space="0"/>
              <w:left w:val="single" w:color="000000" w:sz="4" w:space="0"/>
              <w:bottom w:val="single" w:color="000000" w:sz="4" w:space="0"/>
              <w:right w:val="single" w:color="000000" w:sz="4" w:space="0"/>
            </w:tcBorders>
            <w:tcW w:w="2582"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接入多源实时业务数据流，实现人员态势可视化，支持重点人员监测预警，完成风险研判与处置闭环。</w:t>
            </w:r>
            <w:r/>
          </w:p>
        </w:tc>
      </w:tr>
      <w:tr>
        <w:trPr>
          <w:cantSplit/>
          <w:trHeight w:val="849"/>
        </w:trPr>
        <w:tc>
          <w:tcPr>
            <w:tcBorders>
              <w:left w:val="single" w:color="000000" w:sz="4" w:space="0"/>
              <w:bottom w:val="single" w:color="000000" w:sz="4" w:space="0"/>
              <w:right w:val="single" w:color="000000" w:sz="4" w:space="0"/>
            </w:tcBorders>
            <w:tcW w:w="698" w:type="pct"/>
            <w:vAlign w:val="center"/>
            <w:vMerge w:val="continue"/>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安保场景定制管理</w:t>
            </w:r>
            <w:r/>
          </w:p>
        </w:tc>
        <w:tc>
          <w:tcPr>
            <w:tcBorders>
              <w:top w:val="single" w:color="000000" w:sz="4" w:space="0"/>
              <w:left w:val="single" w:color="000000" w:sz="4" w:space="0"/>
              <w:bottom w:val="single" w:color="000000" w:sz="4" w:space="0"/>
              <w:right w:val="single" w:color="000000" w:sz="4" w:space="0"/>
            </w:tcBorders>
            <w:tcW w:w="2582"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支持安保场景自定义搭建、全生命周期管理，内置</w:t>
            </w:r>
            <w:r>
              <w:rPr>
                <w:rFonts w:ascii="宋体" w:hAnsi="宋体" w:cs="宋体"/>
                <w:bCs/>
                <w:sz w:val="24"/>
                <w:szCs w:val="24"/>
              </w:rPr>
              <w:t xml:space="preserve">场景模板，支持模板复用与自定义模板保存。</w:t>
            </w:r>
            <w:r/>
          </w:p>
        </w:tc>
      </w:tr>
    </w:tbl>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（6）系统对接</w:t>
      </w:r>
      <w:r/>
    </w:p>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完成与市级核心平台深度对接联动，避免信息孤岛，实现能力互通、数据双向交互，预留标准化接口支撑其他平台业务联动。</w:t>
      </w:r>
      <w:r/>
    </w:p>
    <w:tbl>
      <w:tblPr>
        <w:tblW w:w="4987" w:type="pct"/>
        <w:tblInd w:w="113" w:type="dxa"/>
        <w:tblLayout w:type="autofit"/>
        <w:tblCellMar>
          <w:left w:w="108" w:type="dxa"/>
          <w:top w:w="0" w:type="dxa"/>
          <w:right w:w="108" w:type="dxa"/>
          <w:bottom w:w="0" w:type="dxa"/>
        </w:tblCellMar>
        <w:tblLook w:val="04A0" w:firstRow="1" w:lastRow="0" w:firstColumn="1" w:lastColumn="0" w:noHBand="0" w:noVBand="1"/>
      </w:tblPr>
      <w:tblGrid>
        <w:gridCol w:w="1387"/>
        <w:gridCol w:w="3416"/>
        <w:gridCol w:w="5133"/>
      </w:tblGrid>
      <w:tr>
        <w:trPr>
          <w:trHeight w:val="283"/>
        </w:trPr>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pStyle w:val="860"/>
              <w:jc w:val="left"/>
              <w:spacing w:line="264" w:lineRule="auto"/>
              <w:rPr>
                <w:rFonts w:ascii="宋体" w:hAnsi="宋体" w:cs="宋体"/>
                <w:b/>
                <w:bCs/>
                <w:sz w:val="24"/>
                <w:szCs w:val="24"/>
              </w:rPr>
              <w:outlineLvl w:val="2"/>
            </w:pPr>
            <w:r>
              <w:rPr>
                <w:rFonts w:ascii="宋体" w:hAnsi="宋体" w:cs="宋体"/>
                <w:b/>
                <w:bCs/>
                <w:sz w:val="24"/>
                <w:szCs w:val="24"/>
              </w:rPr>
              <w:t xml:space="preserve">模块名称</w:t>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2"/>
              <w:jc w:val="left"/>
              <w:spacing w:line="264" w:lineRule="auto"/>
              <w:rPr>
                <w:rFonts w:ascii="宋体" w:hAnsi="宋体" w:cs="宋体"/>
                <w:b/>
                <w:bCs/>
                <w:sz w:val="24"/>
                <w:szCs w:val="24"/>
              </w:rPr>
              <w:outlineLvl w:val="2"/>
            </w:pPr>
            <w:r>
              <w:rPr>
                <w:rFonts w:ascii="宋体" w:hAnsi="宋体" w:cs="宋体"/>
                <w:b/>
                <w:bCs/>
                <w:sz w:val="24"/>
                <w:szCs w:val="24"/>
              </w:rPr>
              <w:t xml:space="preserve">主要建设内容</w:t>
            </w:r>
            <w:r/>
          </w:p>
        </w:tc>
        <w:tc>
          <w:tcPr>
            <w:tcBorders>
              <w:top w:val="single" w:color="000000" w:sz="4" w:space="0"/>
              <w:left w:val="single" w:color="000000" w:sz="4" w:space="0"/>
              <w:bottom w:val="single" w:color="000000" w:sz="4" w:space="0"/>
              <w:right w:val="single" w:color="000000" w:sz="4" w:space="0"/>
            </w:tcBorders>
            <w:tcW w:w="2582" w:type="pct"/>
            <w:vAlign w:val="center"/>
            <w:textDirection w:val="lrTb"/>
            <w:noWrap w:val="false"/>
          </w:tcPr>
          <w:p>
            <w:pPr>
              <w:pStyle w:val="860"/>
              <w:ind w:firstLine="482"/>
              <w:jc w:val="left"/>
              <w:spacing w:line="264" w:lineRule="auto"/>
              <w:rPr>
                <w:rFonts w:ascii="宋体" w:hAnsi="宋体" w:cs="宋体"/>
                <w:b/>
                <w:bCs/>
                <w:sz w:val="24"/>
                <w:szCs w:val="24"/>
              </w:rPr>
              <w:outlineLvl w:val="2"/>
            </w:pPr>
            <w:r>
              <w:rPr>
                <w:rFonts w:ascii="宋体" w:hAnsi="宋体" w:cs="宋体"/>
                <w:b/>
                <w:bCs/>
                <w:sz w:val="24"/>
                <w:szCs w:val="24"/>
              </w:rPr>
              <w:t xml:space="preserve">具体功能要求</w:t>
            </w:r>
            <w:r/>
          </w:p>
        </w:tc>
      </w:tr>
      <w:tr>
        <w:trPr>
          <w:cantSplit/>
          <w:trHeight w:val="849"/>
        </w:trPr>
        <w:tc>
          <w:tcPr>
            <w:tcBorders>
              <w:top w:val="single" w:color="000000" w:sz="4" w:space="0"/>
              <w:left w:val="single" w:color="000000" w:sz="4" w:space="0"/>
              <w:right w:val="single" w:color="000000" w:sz="4" w:space="0"/>
            </w:tcBorders>
            <w:tcW w:w="698" w:type="pct"/>
            <w:vAlign w:val="center"/>
            <w:vMerge w:val="restart"/>
            <w:textDirection w:val="lrTb"/>
            <w:noWrap w:val="false"/>
          </w:tcPr>
          <w:p>
            <w:pPr>
              <w:pStyle w:val="860"/>
              <w:jc w:val="left"/>
              <w:spacing w:line="264" w:lineRule="auto"/>
              <w:rPr>
                <w:rFonts w:ascii="宋体" w:hAnsi="宋体" w:cs="宋体"/>
                <w:bCs/>
                <w:sz w:val="24"/>
                <w:szCs w:val="24"/>
              </w:rPr>
              <w:outlineLvl w:val="2"/>
            </w:pPr>
            <w:r>
              <w:rPr>
                <w:rFonts w:ascii="宋体" w:hAnsi="宋体" w:cs="宋体"/>
                <w:bCs/>
                <w:sz w:val="24"/>
                <w:szCs w:val="24"/>
              </w:rPr>
              <w:t xml:space="preserve">系统对接</w:t>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政务大模型平台对接</w:t>
            </w:r>
            <w:r/>
          </w:p>
        </w:tc>
        <w:tc>
          <w:tcPr>
            <w:tcBorders>
              <w:top w:val="single" w:color="000000" w:sz="4" w:space="0"/>
              <w:left w:val="single" w:color="000000" w:sz="4" w:space="0"/>
              <w:bottom w:val="single" w:color="000000" w:sz="4" w:space="0"/>
              <w:right w:val="single" w:color="000000" w:sz="4" w:space="0"/>
            </w:tcBorders>
            <w:tcW w:w="2582"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实现双向能力互通，联合构建行业空间智能体，支持自然语言驱动CIM业务处理。</w:t>
            </w:r>
            <w:r/>
          </w:p>
        </w:tc>
      </w:tr>
      <w:tr>
        <w:trPr>
          <w:cantSplit/>
          <w:trHeight w:val="849"/>
        </w:trPr>
        <w:tc>
          <w:tcPr>
            <w:tcBorders>
              <w:left w:val="single" w:color="000000" w:sz="4" w:space="0"/>
              <w:right w:val="single" w:color="000000" w:sz="4" w:space="0"/>
            </w:tcBorders>
            <w:tcW w:w="698" w:type="pct"/>
            <w:vAlign w:val="center"/>
            <w:vMerge w:val="continue"/>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“城市之眼”感知系统融合平台对接</w:t>
            </w:r>
            <w:r/>
          </w:p>
        </w:tc>
        <w:tc>
          <w:tcPr>
            <w:tcBorders>
              <w:top w:val="single" w:color="000000" w:sz="4" w:space="0"/>
              <w:left w:val="single" w:color="000000" w:sz="4" w:space="0"/>
              <w:bottom w:val="single" w:color="000000" w:sz="4" w:space="0"/>
              <w:right w:val="single" w:color="000000" w:sz="4" w:space="0"/>
            </w:tcBorders>
            <w:tcW w:w="2582"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完成设备台账、实时数据流同步，实现感知资源三维场景融合展示。</w:t>
            </w:r>
            <w:r/>
          </w:p>
        </w:tc>
      </w:tr>
      <w:tr>
        <w:trPr>
          <w:cantSplit/>
          <w:trHeight w:val="849"/>
        </w:trPr>
        <w:tc>
          <w:tcPr>
            <w:tcBorders>
              <w:left w:val="single" w:color="000000" w:sz="4" w:space="0"/>
              <w:right w:val="single" w:color="000000" w:sz="4" w:space="0"/>
            </w:tcBorders>
            <w:tcW w:w="698" w:type="pct"/>
            <w:vAlign w:val="center"/>
            <w:vMerge w:val="continue"/>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数字资源一体化智能化平台对接</w:t>
            </w:r>
            <w:r/>
          </w:p>
        </w:tc>
        <w:tc>
          <w:tcPr>
            <w:tcBorders>
              <w:top w:val="single" w:color="000000" w:sz="4" w:space="0"/>
              <w:left w:val="single" w:color="000000" w:sz="4" w:space="0"/>
              <w:bottom w:val="single" w:color="000000" w:sz="4" w:space="0"/>
              <w:right w:val="single" w:color="000000" w:sz="4" w:space="0"/>
            </w:tcBorders>
            <w:tcW w:w="2582"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实现数据双向同步、资源编目上架，复用平台完成资源申请审批流转。</w:t>
            </w:r>
            <w:r/>
          </w:p>
        </w:tc>
      </w:tr>
      <w:tr>
        <w:trPr>
          <w:cantSplit/>
          <w:trHeight w:val="849"/>
        </w:trPr>
        <w:tc>
          <w:tcPr>
            <w:tcBorders>
              <w:left w:val="single" w:color="000000" w:sz="4" w:space="0"/>
              <w:bottom w:val="single" w:color="000000" w:sz="4" w:space="0"/>
              <w:right w:val="single" w:color="000000" w:sz="4" w:space="0"/>
            </w:tcBorders>
            <w:tcW w:w="698" w:type="pct"/>
            <w:vAlign w:val="center"/>
            <w:vMerge w:val="continue"/>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行业应用系统（平台）对接</w:t>
            </w:r>
            <w:r/>
          </w:p>
        </w:tc>
        <w:tc>
          <w:tcPr>
            <w:tcBorders>
              <w:top w:val="single" w:color="000000" w:sz="4" w:space="0"/>
              <w:left w:val="single" w:color="000000" w:sz="4" w:space="0"/>
              <w:bottom w:val="single" w:color="000000" w:sz="4" w:space="0"/>
              <w:right w:val="single" w:color="000000" w:sz="4" w:space="0"/>
            </w:tcBorders>
            <w:tcW w:w="2582"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输出标准化接口服务，支撑外部CIM+应用建设，支持成果回流入库。</w:t>
            </w:r>
            <w:r/>
          </w:p>
        </w:tc>
      </w:tr>
    </w:tbl>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（7）数据采集治理</w:t>
      </w:r>
      <w:r/>
    </w:p>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完成奥体中心主场馆、夫子庙片区三维模型采集构建；搭建数据全生命周期采集治理体系，开展多源数据归集、标准化治理，通过统一编码实现图属联动，建立动态更新机制，形成高质量CIM数据底板。</w:t>
      </w:r>
      <w:r/>
    </w:p>
    <w:tbl>
      <w:tblPr>
        <w:tblW w:w="4986" w:type="pct"/>
        <w:tblInd w:w="113" w:type="dxa"/>
        <w:tblLayout w:type="autofit"/>
        <w:tblCellMar>
          <w:left w:w="108" w:type="dxa"/>
          <w:top w:w="0" w:type="dxa"/>
          <w:right w:w="108" w:type="dxa"/>
          <w:bottom w:w="0" w:type="dxa"/>
        </w:tblCellMar>
        <w:tblLook w:val="04A0" w:firstRow="1" w:lastRow="0" w:firstColumn="1" w:lastColumn="0" w:noHBand="0" w:noVBand="1"/>
      </w:tblPr>
      <w:tblGrid>
        <w:gridCol w:w="1385"/>
        <w:gridCol w:w="3417"/>
        <w:gridCol w:w="5132"/>
      </w:tblGrid>
      <w:tr>
        <w:trPr>
          <w:trHeight w:val="283"/>
        </w:trPr>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pStyle w:val="860"/>
              <w:jc w:val="left"/>
              <w:spacing w:line="264" w:lineRule="auto"/>
              <w:rPr>
                <w:rFonts w:ascii="宋体" w:hAnsi="宋体" w:cs="宋体"/>
                <w:b/>
                <w:bCs/>
                <w:sz w:val="24"/>
                <w:szCs w:val="24"/>
              </w:rPr>
              <w:outlineLvl w:val="2"/>
            </w:pPr>
            <w:r>
              <w:rPr>
                <w:rFonts w:ascii="宋体" w:hAnsi="宋体" w:cs="宋体"/>
                <w:b/>
                <w:bCs/>
                <w:sz w:val="24"/>
                <w:szCs w:val="24"/>
              </w:rPr>
              <w:t xml:space="preserve">模块名称</w:t>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2"/>
              <w:jc w:val="left"/>
              <w:spacing w:line="264" w:lineRule="auto"/>
              <w:rPr>
                <w:rFonts w:ascii="宋体" w:hAnsi="宋体" w:cs="宋体"/>
                <w:b/>
                <w:bCs/>
                <w:sz w:val="24"/>
                <w:szCs w:val="24"/>
              </w:rPr>
              <w:outlineLvl w:val="2"/>
            </w:pPr>
            <w:r>
              <w:rPr>
                <w:rFonts w:ascii="宋体" w:hAnsi="宋体" w:cs="宋体"/>
                <w:b/>
                <w:bCs/>
                <w:sz w:val="24"/>
                <w:szCs w:val="24"/>
              </w:rPr>
              <w:t xml:space="preserve">主要建设内容</w:t>
            </w:r>
            <w:r/>
          </w:p>
        </w:tc>
        <w:tc>
          <w:tcPr>
            <w:tcBorders>
              <w:top w:val="single" w:color="000000" w:sz="4" w:space="0"/>
              <w:left w:val="single" w:color="000000" w:sz="4" w:space="0"/>
              <w:bottom w:val="single" w:color="000000" w:sz="4" w:space="0"/>
              <w:right w:val="single" w:color="000000" w:sz="4" w:space="0"/>
            </w:tcBorders>
            <w:tcW w:w="2582" w:type="pct"/>
            <w:vAlign w:val="center"/>
            <w:textDirection w:val="lrTb"/>
            <w:noWrap w:val="false"/>
          </w:tcPr>
          <w:p>
            <w:pPr>
              <w:pStyle w:val="860"/>
              <w:ind w:firstLine="482"/>
              <w:jc w:val="left"/>
              <w:spacing w:line="264" w:lineRule="auto"/>
              <w:rPr>
                <w:rFonts w:ascii="宋体" w:hAnsi="宋体" w:cs="宋体"/>
                <w:b/>
                <w:bCs/>
                <w:sz w:val="24"/>
                <w:szCs w:val="24"/>
              </w:rPr>
              <w:outlineLvl w:val="2"/>
            </w:pPr>
            <w:r>
              <w:rPr>
                <w:rFonts w:ascii="宋体" w:hAnsi="宋体" w:cs="宋体"/>
                <w:b/>
                <w:bCs/>
                <w:sz w:val="24"/>
                <w:szCs w:val="24"/>
              </w:rPr>
              <w:t xml:space="preserve">具体功能要求</w:t>
            </w:r>
            <w:r/>
          </w:p>
        </w:tc>
      </w:tr>
      <w:tr>
        <w:trPr>
          <w:cantSplit/>
          <w:trHeight w:val="849"/>
        </w:trPr>
        <w:tc>
          <w:tcPr>
            <w:tcBorders>
              <w:top w:val="single" w:color="000000" w:sz="4" w:space="0"/>
              <w:left w:val="single" w:color="000000" w:sz="4" w:space="0"/>
              <w:right w:val="single" w:color="000000" w:sz="4" w:space="0"/>
            </w:tcBorders>
            <w:tcW w:w="697" w:type="pct"/>
            <w:vAlign w:val="center"/>
            <w:vMerge w:val="restart"/>
            <w:textDirection w:val="lrTb"/>
            <w:noWrap w:val="false"/>
          </w:tcPr>
          <w:p>
            <w:pPr>
              <w:pStyle w:val="860"/>
              <w:jc w:val="left"/>
              <w:spacing w:line="264" w:lineRule="auto"/>
              <w:rPr>
                <w:rFonts w:ascii="宋体" w:hAnsi="宋体" w:cs="宋体"/>
                <w:bCs/>
                <w:sz w:val="24"/>
                <w:szCs w:val="24"/>
              </w:rPr>
              <w:outlineLvl w:val="2"/>
            </w:pPr>
            <w:r>
              <w:rPr>
                <w:rFonts w:ascii="宋体" w:hAnsi="宋体" w:cs="宋体"/>
                <w:bCs/>
                <w:sz w:val="24"/>
                <w:szCs w:val="24"/>
              </w:rPr>
              <w:t xml:space="preserve">数据采集治理</w:t>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三维数据采集</w:t>
            </w:r>
            <w:r/>
          </w:p>
        </w:tc>
        <w:tc>
          <w:tcPr>
            <w:tcBorders>
              <w:top w:val="single" w:color="000000" w:sz="4" w:space="0"/>
              <w:left w:val="single" w:color="000000" w:sz="4" w:space="0"/>
              <w:bottom w:val="single" w:color="000000" w:sz="4" w:space="0"/>
              <w:right w:val="single" w:color="000000" w:sz="4" w:space="0"/>
            </w:tcBorders>
            <w:tcW w:w="2582"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完成奥体中心主场馆、夫子庙片区精细三维模型采集构建，提供高精度孪生场景底座。</w:t>
            </w:r>
            <w:r/>
          </w:p>
        </w:tc>
      </w:tr>
      <w:tr>
        <w:trPr>
          <w:cantSplit/>
          <w:trHeight w:val="849"/>
        </w:trPr>
        <w:tc>
          <w:tcPr>
            <w:tcBorders>
              <w:left w:val="single" w:color="000000" w:sz="4" w:space="0"/>
              <w:bottom w:val="single" w:color="000000" w:sz="4" w:space="0"/>
              <w:right w:val="single" w:color="000000" w:sz="4" w:space="0"/>
            </w:tcBorders>
            <w:tcW w:w="697" w:type="pct"/>
            <w:vAlign w:val="center"/>
            <w:vMerge w:val="continue"/>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CIM数据治理</w:t>
            </w:r>
            <w:r/>
          </w:p>
        </w:tc>
        <w:tc>
          <w:tcPr>
            <w:tcBorders>
              <w:top w:val="single" w:color="000000" w:sz="4" w:space="0"/>
              <w:left w:val="single" w:color="000000" w:sz="4" w:space="0"/>
              <w:bottom w:val="single" w:color="000000" w:sz="4" w:space="0"/>
              <w:right w:val="single" w:color="000000" w:sz="4" w:space="0"/>
            </w:tcBorders>
            <w:tcW w:w="2582"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对多源异构数据开展标准化治理，完成基准统一</w:t>
            </w:r>
            <w:r>
              <w:rPr>
                <w:rFonts w:ascii="宋体" w:hAnsi="宋体" w:cs="宋体"/>
                <w:bCs/>
                <w:sz w:val="24"/>
                <w:szCs w:val="24"/>
              </w:rPr>
              <w:t xml:space="preserve">、质量核查纠错、字段规范化，解决跨部门数据语义不一致问题。</w:t>
            </w:r>
            <w:r/>
          </w:p>
        </w:tc>
      </w:tr>
    </w:tbl>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（8）标准规范和运维体系建设</w:t>
      </w:r>
      <w:r/>
    </w:p>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编制包括但不限于CIM数据技术、数据共享、数据更新类标准规范，覆盖数据全生命周期，明确技术基准、共享流程、更新机制，保障跨部门跨板块数据协同流通。</w:t>
      </w:r>
      <w:r/>
    </w:p>
    <w:tbl>
      <w:tblPr>
        <w:tblW w:w="4985" w:type="pct"/>
        <w:tblInd w:w="113" w:type="dxa"/>
        <w:tblLayout w:type="autofit"/>
        <w:tblCellMar>
          <w:left w:w="108" w:type="dxa"/>
          <w:top w:w="0" w:type="dxa"/>
          <w:right w:w="108" w:type="dxa"/>
          <w:bottom w:w="0" w:type="dxa"/>
        </w:tblCellMar>
        <w:tblLook w:val="04A0" w:firstRow="1" w:lastRow="0" w:firstColumn="1" w:lastColumn="0" w:noHBand="0" w:noVBand="1"/>
      </w:tblPr>
      <w:tblGrid>
        <w:gridCol w:w="1384"/>
        <w:gridCol w:w="3415"/>
        <w:gridCol w:w="5133"/>
      </w:tblGrid>
      <w:tr>
        <w:trPr>
          <w:trHeight w:val="283"/>
        </w:trPr>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pStyle w:val="860"/>
              <w:jc w:val="left"/>
              <w:spacing w:line="264" w:lineRule="auto"/>
              <w:rPr>
                <w:rFonts w:ascii="宋体" w:hAnsi="宋体" w:cs="宋体"/>
                <w:b/>
                <w:bCs/>
                <w:sz w:val="24"/>
                <w:szCs w:val="24"/>
              </w:rPr>
              <w:outlineLvl w:val="2"/>
            </w:pPr>
            <w:r>
              <w:rPr>
                <w:rFonts w:ascii="宋体" w:hAnsi="宋体" w:cs="宋体"/>
                <w:b/>
                <w:bCs/>
                <w:sz w:val="24"/>
                <w:szCs w:val="24"/>
              </w:rPr>
              <w:t xml:space="preserve">模块名称</w:t>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2"/>
              <w:jc w:val="left"/>
              <w:spacing w:line="264" w:lineRule="auto"/>
              <w:rPr>
                <w:rFonts w:ascii="宋体" w:hAnsi="宋体" w:cs="宋体"/>
                <w:b/>
                <w:bCs/>
                <w:sz w:val="24"/>
                <w:szCs w:val="24"/>
              </w:rPr>
              <w:outlineLvl w:val="2"/>
            </w:pPr>
            <w:r>
              <w:rPr>
                <w:rFonts w:ascii="宋体" w:hAnsi="宋体" w:cs="宋体"/>
                <w:b/>
                <w:bCs/>
                <w:sz w:val="24"/>
                <w:szCs w:val="24"/>
              </w:rPr>
              <w:t xml:space="preserve">主要建设内容</w:t>
            </w:r>
            <w:r/>
          </w:p>
        </w:tc>
        <w:tc>
          <w:tcPr>
            <w:tcBorders>
              <w:top w:val="single" w:color="000000" w:sz="4" w:space="0"/>
              <w:left w:val="single" w:color="000000" w:sz="4" w:space="0"/>
              <w:bottom w:val="single" w:color="000000" w:sz="4" w:space="0"/>
              <w:right w:val="single" w:color="000000" w:sz="4" w:space="0"/>
            </w:tcBorders>
            <w:tcW w:w="2583" w:type="pct"/>
            <w:vAlign w:val="center"/>
            <w:textDirection w:val="lrTb"/>
            <w:noWrap w:val="false"/>
          </w:tcPr>
          <w:p>
            <w:pPr>
              <w:pStyle w:val="860"/>
              <w:ind w:firstLine="482"/>
              <w:jc w:val="left"/>
              <w:spacing w:line="264" w:lineRule="auto"/>
              <w:rPr>
                <w:rFonts w:ascii="宋体" w:hAnsi="宋体" w:cs="宋体"/>
                <w:b/>
                <w:bCs/>
                <w:sz w:val="24"/>
                <w:szCs w:val="24"/>
              </w:rPr>
              <w:outlineLvl w:val="2"/>
            </w:pPr>
            <w:r>
              <w:rPr>
                <w:rFonts w:ascii="宋体" w:hAnsi="宋体" w:cs="宋体"/>
                <w:b/>
                <w:bCs/>
                <w:sz w:val="24"/>
                <w:szCs w:val="24"/>
              </w:rPr>
              <w:t xml:space="preserve">具体功能要求</w:t>
            </w:r>
            <w:r/>
          </w:p>
        </w:tc>
      </w:tr>
      <w:tr>
        <w:trPr>
          <w:cantSplit/>
          <w:trHeight w:val="849"/>
        </w:trPr>
        <w:tc>
          <w:tcPr>
            <w:tcBorders>
              <w:top w:val="single" w:color="000000" w:sz="4" w:space="0"/>
              <w:left w:val="single" w:color="000000" w:sz="4" w:space="0"/>
              <w:right w:val="single" w:color="000000" w:sz="4" w:space="0"/>
            </w:tcBorders>
            <w:tcW w:w="697" w:type="pct"/>
            <w:vAlign w:val="center"/>
            <w:textDirection w:val="lrTb"/>
            <w:noWrap w:val="false"/>
          </w:tcPr>
          <w:p>
            <w:pPr>
              <w:pStyle w:val="860"/>
              <w:jc w:val="left"/>
              <w:spacing w:line="264" w:lineRule="auto"/>
              <w:rPr>
                <w:rFonts w:ascii="宋体" w:hAnsi="宋体" w:cs="宋体"/>
                <w:bCs/>
                <w:sz w:val="24"/>
                <w:szCs w:val="24"/>
              </w:rPr>
              <w:outlineLvl w:val="2"/>
            </w:pPr>
            <w:r>
              <w:rPr>
                <w:rFonts w:ascii="宋体" w:hAnsi="宋体" w:cs="宋体"/>
                <w:bCs/>
                <w:sz w:val="24"/>
                <w:szCs w:val="24"/>
              </w:rPr>
              <w:t xml:space="preserve">标准规范和运维体系建设</w:t>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数据技术标准</w:t>
            </w:r>
            <w:r/>
          </w:p>
        </w:tc>
        <w:tc>
          <w:tcPr>
            <w:tcBorders>
              <w:top w:val="single" w:color="000000" w:sz="4" w:space="0"/>
              <w:left w:val="single" w:color="000000" w:sz="4" w:space="0"/>
              <w:bottom w:val="single" w:color="000000" w:sz="4" w:space="0"/>
              <w:right w:val="single" w:color="000000" w:sz="4" w:space="0"/>
            </w:tcBorders>
            <w:tcW w:w="2583"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规范CIM数据采集、治理、存储、建模、应用全流程技术要求，实现数据标准化管理应用。</w:t>
            </w:r>
            <w:r/>
          </w:p>
        </w:tc>
      </w:tr>
      <w:tr>
        <w:trPr>
          <w:cantSplit/>
          <w:trHeight w:val="1158"/>
        </w:trPr>
        <w:tc>
          <w:tcPr>
            <w:tcBorders>
              <w:left w:val="single" w:color="000000" w:sz="4" w:space="0"/>
              <w:right w:val="single" w:color="000000" w:sz="4" w:space="0"/>
            </w:tcBorders>
            <w:tcW w:w="697" w:type="pct"/>
            <w:vAlign w:val="center"/>
            <w:vMerge w:val="restart"/>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数据共享标准</w:t>
            </w:r>
            <w:r/>
          </w:p>
        </w:tc>
        <w:tc>
          <w:tcPr>
            <w:tcBorders>
              <w:top w:val="single" w:color="000000" w:sz="4" w:space="0"/>
              <w:left w:val="single" w:color="000000" w:sz="4" w:space="0"/>
              <w:bottom w:val="single" w:color="000000" w:sz="4" w:space="0"/>
              <w:right w:val="single" w:color="000000" w:sz="4" w:space="0"/>
            </w:tcBorders>
            <w:tcW w:w="2583"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明确时空数据共享范围、权限、流程及接口技术规范，规范共享交换全流程。</w:t>
            </w:r>
            <w:r/>
          </w:p>
        </w:tc>
      </w:tr>
      <w:tr>
        <w:trPr>
          <w:cantSplit/>
          <w:trHeight w:val="849"/>
        </w:trPr>
        <w:tc>
          <w:tcPr>
            <w:tcBorders>
              <w:left w:val="single" w:color="000000" w:sz="4" w:space="0"/>
              <w:bottom w:val="single" w:color="000000" w:sz="4" w:space="0"/>
              <w:right w:val="single" w:color="000000" w:sz="4" w:space="0"/>
            </w:tcBorders>
            <w:tcW w:w="697" w:type="pct"/>
            <w:vAlign w:val="center"/>
            <w:vMerge w:val="continue"/>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719"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数据更新标准</w:t>
            </w:r>
            <w:r/>
          </w:p>
        </w:tc>
        <w:tc>
          <w:tcPr>
            <w:tcBorders>
              <w:top w:val="single" w:color="000000" w:sz="4" w:space="0"/>
              <w:left w:val="single" w:color="000000" w:sz="4" w:space="0"/>
              <w:bottom w:val="single" w:color="000000" w:sz="4" w:space="0"/>
              <w:right w:val="single" w:color="000000" w:sz="4" w:space="0"/>
            </w:tcBorders>
            <w:tcW w:w="2583" w:type="pct"/>
            <w:vAlign w:val="center"/>
            <w:textDirection w:val="lrTb"/>
            <w:noWrap w:val="false"/>
          </w:tcPr>
          <w:p>
            <w:pPr>
              <w:pStyle w:val="860"/>
              <w:ind w:firstLine="480"/>
              <w:jc w:val="left"/>
              <w:spacing w:line="264" w:lineRule="auto"/>
              <w:rPr>
                <w:rFonts w:ascii="宋体" w:hAnsi="宋体" w:cs="宋体"/>
                <w:bCs/>
                <w:sz w:val="24"/>
                <w:szCs w:val="24"/>
              </w:rPr>
              <w:outlineLvl w:val="2"/>
            </w:pPr>
            <w:r>
              <w:rPr>
                <w:rFonts w:ascii="宋体" w:hAnsi="宋体" w:cs="宋体"/>
                <w:bCs/>
                <w:sz w:val="24"/>
                <w:szCs w:val="24"/>
              </w:rPr>
              <w:t xml:space="preserve">规范数据更新频率、方式、流程、质量校验及成果追溯，保障平台数据现势精准。</w:t>
            </w:r>
            <w:r/>
          </w:p>
        </w:tc>
      </w:tr>
    </w:tbl>
    <w:p>
      <w:pPr>
        <w:pStyle w:val="860"/>
        <w:ind w:firstLine="480"/>
        <w:jc w:val="left"/>
        <w:spacing w:line="264" w:lineRule="auto"/>
        <w:rPr>
          <w:rFonts w:hint="eastAsia" w:ascii="宋体" w:hAnsi="宋体" w:cs="宋体"/>
          <w:bCs/>
          <w:sz w:val="24"/>
          <w:szCs w:val="24"/>
          <w:lang w:eastAsia="en-US"/>
        </w:rPr>
        <w:outlineLvl w:val="2"/>
      </w:pPr>
      <w:r>
        <w:rPr>
          <w:rFonts w:hint="eastAsia" w:ascii="宋体" w:hAnsi="宋体" w:cs="宋体"/>
          <w:bCs/>
          <w:sz w:val="24"/>
          <w:szCs w:val="24"/>
          <w:lang w:eastAsia="en-US"/>
        </w:rPr>
      </w:r>
      <w:r/>
    </w:p>
    <w:p>
      <w:pPr>
        <w:pStyle w:val="860"/>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pStyle w:val="860"/>
        <w:ind w:firstLine="480"/>
        <w:spacing w:line="264"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报价要求</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pStyle w:val="860"/>
        <w:ind w:firstLine="480"/>
        <w:spacing w:line="264" w:lineRule="auto"/>
        <w:rPr>
          <w:rFonts w:hint="eastAsia" w:ascii="宋体" w:hAnsi="宋体" w:cs="宋体"/>
          <w:bCs/>
          <w:sz w:val="24"/>
          <w:szCs w:val="24"/>
        </w:rPr>
      </w:pPr>
      <w:r>
        <w:rPr>
          <w:rFonts w:hint="eastAsia" w:ascii="宋体" w:hAnsi="宋体" w:cs="宋体"/>
          <w:sz w:val="24"/>
          <w:szCs w:val="24"/>
        </w:rPr>
        <w:t xml:space="preserve">（3）供应商报价除包含磋商文件中列明的项目外，还应包括保障服务正常运行应当具有的物资和服务，对服</w:t>
      </w:r>
      <w:r>
        <w:rPr>
          <w:rFonts w:hint="eastAsia" w:ascii="宋体" w:hAnsi="宋体" w:cs="宋体"/>
          <w:sz w:val="24"/>
          <w:szCs w:val="24"/>
        </w:rPr>
        <w:t xml:space="preserve">务正常运行应当具有的物资和服务理解不一致的以采购人理解为准。</w:t>
      </w:r>
      <w:r>
        <w:rPr>
          <w:rFonts w:hint="eastAsia" w:ascii="宋体" w:hAnsi="宋体" w:cs="宋体"/>
          <w:bCs/>
          <w:sz w:val="24"/>
          <w:szCs w:val="24"/>
        </w:rPr>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实施要求</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（1）</w:t>
      </w:r>
      <w:r>
        <w:rPr>
          <w:rFonts w:ascii="宋体" w:hAnsi="宋体" w:cs="宋体"/>
          <w:bCs/>
          <w:sz w:val="24"/>
          <w:szCs w:val="24"/>
        </w:rPr>
        <w:t xml:space="preserve">总体要求</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①规范性要求。成交供应商须按照招标文件要求开</w:t>
      </w:r>
      <w:r>
        <w:rPr>
          <w:rFonts w:ascii="宋体" w:hAnsi="宋体" w:cs="宋体"/>
          <w:bCs/>
          <w:sz w:val="24"/>
          <w:szCs w:val="24"/>
        </w:rPr>
        <w:t xml:space="preserve">展本项目深化设计，编制项目实施方案，并采取合理技术措施保障项目实施质量、进度与安全；供应商须建立完善的项目管理体系，对项目进度、质量、变更实施全流程管控。项目建设期间，CIM数据标准制定、空间信息互操作规则编制、接口技术标准落地等工作，均须严格遵守国家、省、市信息化建设标准、国土空间数据规范、信息安全规范及相关指导性文件，保障项目建设合规、合格、安全。系统应具备异常处置与容错能力，保证系统安全稳定运行，运行状态可追溯、可管控。本项目全部总体架构、技术路线、实施路径等设计方案，均须经采购人审核同意后方可实施。</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②安全性要求。本项目建设须遵循《信息安全技术 网络安全等级保护基本要求》（GB/T 22239-2019）、《信息安全技术 网络安全等级保护安全设计技术要求》（GB/T 25070-2019）、《信息安全技术 网络安全等级保护测评要求》（GB/T 28448-2019）等国家标准，建成系统须通过网络安全等级保护三级测评。供应商未按时保质完成、服务质量不合格或弄虚作假的，采</w:t>
      </w:r>
      <w:r>
        <w:rPr>
          <w:rFonts w:ascii="宋体" w:hAnsi="宋体" w:cs="宋体"/>
          <w:bCs/>
          <w:sz w:val="24"/>
          <w:szCs w:val="24"/>
        </w:rPr>
        <w:t xml:space="preserve">购人有权依法解除合同，全部损失由供应商承担。</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③先进性要求。供应商须具备技术创新能力，依托前沿空间信息技术建设基础平台，紧跟城市信息模型技术发展趋势优化平台能力，架构具备良好可扩展性，保障平台先进性。</w:t>
      </w:r>
      <w:r/>
    </w:p>
    <w:p>
      <w:pPr>
        <w:pStyle w:val="860"/>
        <w:ind w:firstLine="480"/>
        <w:spacing w:line="264" w:lineRule="auto"/>
        <w:rPr>
          <w:rFonts w:hint="eastAsia"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质量要求</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成交供应商须严格按照国家、行业及地方现行的相关技术标准规范开展本项目建设，建立完善的项目质量管理体系,配合采购人及第三方监理机构开展质量检查工作，对发现的问题在规定时限内完成整改，项目全部交付成果须达到验收标准并通过采购人组织的最终验收。</w:t>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验收要求</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①软件完成部署和调试后，采购人将组织履约验收，验收结果应以采购人或实际使用人（最终用户）的验收报告为最终验收结果。验收时发现未完成安装部署的、未进行调试的，采购人有权要求供应商立即进行补充。</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③ 系统所有性能指标达到技术规范书的要求时，可进行最终</w:t>
      </w:r>
      <w:r>
        <w:rPr>
          <w:rFonts w:ascii="宋体" w:hAnsi="宋体" w:cs="宋体"/>
          <w:bCs/>
          <w:sz w:val="24"/>
          <w:szCs w:val="24"/>
        </w:rPr>
        <w:t xml:space="preserve">验收。终验中发现由于系统质量等造成某些指标达不到要求，允许供应商进行修复，终验顺延一个月，在全部达到要求时，双方签署最终验收文件；供应商应根据系统业务需求，实现提供自测文档，列明系统功能、流程、接口清单，供验收核对并提供采购人要求的完备的验收材料。</w:t>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维保要求</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①维保期为验收合格后2年，维保期内成交供应商负责本项目全部建设成果的维护，相关费用包含在报价内，采购人不再支付任何费用；因采购人使用人员人为操作不当或不可抗力造成的故障，成交供应商只收取维保成本费用，收费标准须提前书面告知采购人并经采购人确认。</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②维保期内，成交供应商须定期开展巡检，确保平台运行过程中出现的问题能够及时修复并妥善解决。</w:t>
      </w:r>
      <w:r/>
    </w:p>
    <w:p>
      <w:pPr>
        <w:pStyle w:val="860"/>
        <w:ind w:firstLine="480"/>
        <w:spacing w:line="264" w:lineRule="auto"/>
        <w:rPr>
          <w:rFonts w:ascii="宋体" w:hAnsi="宋体" w:cs="宋体"/>
          <w:bCs/>
          <w:sz w:val="24"/>
          <w:szCs w:val="24"/>
        </w:rPr>
      </w:pPr>
      <w:r>
        <w:rPr>
          <w:rFonts w:hint="eastAsia" w:ascii="宋体" w:hAnsi="宋体" w:cs="宋体"/>
          <w:bCs/>
          <w:sz w:val="24"/>
          <w:szCs w:val="24"/>
        </w:rPr>
        <w:t xml:space="preserve">（5）人员要求</w:t>
      </w:r>
      <w:r>
        <w:rPr>
          <w:rFonts w:ascii="宋体" w:hAnsi="宋体" w:cs="宋体"/>
          <w:bCs/>
          <w:sz w:val="24"/>
          <w:szCs w:val="24"/>
        </w:rPr>
      </w:r>
      <w:r/>
    </w:p>
    <w:p>
      <w:pPr>
        <w:pStyle w:val="860"/>
        <w:ind w:firstLine="480"/>
        <w:spacing w:line="264" w:lineRule="auto"/>
        <w:rPr>
          <w:rFonts w:ascii="宋体" w:hAnsi="宋体" w:cs="宋体"/>
          <w:bCs/>
          <w:sz w:val="24"/>
          <w:szCs w:val="24"/>
        </w:rPr>
      </w:pPr>
      <w:r>
        <w:rPr>
          <w:rFonts w:ascii="宋体" w:hAnsi="宋体" w:cs="宋体"/>
          <w:bCs/>
          <w:sz w:val="24"/>
          <w:szCs w:val="24"/>
        </w:rPr>
        <w:t xml:space="preserve">①项目经理：1人，具有至少3年以上信息化项目管理工作经验，须驻场服务，不得兼任其他岗位。本项目项目经理在项目实施期间应保持通讯7*24小时畅通，如遇到特殊情况需提前通知采购人。 </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②技术负责人1人，具有至少3年以上信息化技术管理工作经验，不得兼任其他岗位。  </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③开发实施人员：不少于6人，具有相关信息化工作经验。 </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④驻场要求：提供不少于</w:t>
      </w:r>
      <w:r>
        <w:rPr>
          <w:rFonts w:hint="eastAsia" w:ascii="宋体" w:hAnsi="宋体" w:cs="宋体"/>
          <w:bCs/>
          <w:sz w:val="24"/>
          <w:szCs w:val="24"/>
        </w:rPr>
        <w:t xml:space="preserve">2</w:t>
      </w:r>
      <w:r>
        <w:rPr>
          <w:rFonts w:ascii="宋体" w:hAnsi="宋体" w:cs="宋体"/>
          <w:bCs/>
          <w:sz w:val="24"/>
          <w:szCs w:val="24"/>
        </w:rPr>
        <w:t xml:space="preserve">人驻场服务。</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⑤运维期间，供应商必须为平台配置运维小组，安排1</w:t>
      </w:r>
      <w:r>
        <w:rPr>
          <w:rFonts w:ascii="宋体" w:hAnsi="宋体" w:cs="宋体"/>
          <w:bCs/>
          <w:sz w:val="24"/>
          <w:szCs w:val="24"/>
        </w:rPr>
        <w:t xml:space="preserve">名人员驻场。</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⑥项目组所有人员不得兼任其他项目工作，未经采购人同意，人员不得更换。</w:t>
      </w:r>
      <w:r/>
    </w:p>
    <w:p>
      <w:pPr>
        <w:pStyle w:val="860"/>
        <w:ind w:firstLine="480"/>
        <w:spacing w:line="264" w:lineRule="auto"/>
        <w:rPr>
          <w:rFonts w:ascii="宋体" w:hAnsi="宋体" w:cs="宋体"/>
          <w:bCs/>
          <w:sz w:val="24"/>
          <w:szCs w:val="24"/>
        </w:rPr>
      </w:pPr>
      <w:r/>
      <w:bookmarkStart w:id="120" w:name="OLE_LINK20"/>
      <w:r>
        <w:rPr>
          <w:rFonts w:ascii="宋体" w:hAnsi="宋体" w:cs="宋体"/>
          <w:bCs/>
          <w:sz w:val="24"/>
          <w:szCs w:val="24"/>
        </w:rPr>
        <w:t xml:space="preserve">（6）知识产权及保密要求</w:t>
      </w:r>
      <w:r/>
    </w:p>
    <w:p>
      <w:pPr>
        <w:pStyle w:val="860"/>
        <w:ind w:firstLine="480"/>
        <w:spacing w:line="264" w:lineRule="auto"/>
        <w:rPr>
          <w:rFonts w:ascii="宋体" w:hAnsi="宋体" w:cs="宋体"/>
          <w:bCs/>
          <w:sz w:val="24"/>
          <w:szCs w:val="24"/>
        </w:rPr>
      </w:pPr>
      <w:r/>
      <w:bookmarkEnd w:id="120"/>
      <w:r>
        <w:rPr>
          <w:rFonts w:hint="eastAsia" w:ascii="宋体" w:hAnsi="宋体" w:cs="宋体"/>
          <w:bCs/>
          <w:sz w:val="24"/>
          <w:szCs w:val="24"/>
        </w:rPr>
        <w:t xml:space="preserve">①乙方应保证甲方在使用、接受本合同服务（包含与服务相关的货物）或其任何一部分时不受第三方提出侵犯其专利权、版权、商标权和工业设计权等知识产权的起诉。一旦出现侵权，由乙方负全部责任。</w:t>
      </w:r>
      <w:r>
        <w:rPr>
          <w:rFonts w:ascii="宋体" w:hAnsi="宋体" w:cs="宋体"/>
          <w:bCs/>
          <w:sz w:val="24"/>
          <w:szCs w:val="24"/>
        </w:rPr>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②</w:t>
      </w:r>
      <w:r>
        <w:rPr>
          <w:rFonts w:ascii="宋体" w:hAnsi="宋体" w:cs="宋体"/>
          <w:bCs/>
          <w:sz w:val="24"/>
          <w:szCs w:val="24"/>
        </w:rPr>
        <w:t xml:space="preserve">本项目履行过程中形成的全部技术成果（包括但不限于源代码、软件系统、程序、技术方案等）以及相关文档的知识产权，全部归甲方（采购方）所有；本项目在开发、试运行以及后续使用过程中采集、分析、处理所产生的数据资源、数据产品的全部权利（包括但不限于知识产权、数据资产所有权、使用权、经营权）均归甲方（采购方）所有。乙方未经甲方书面许可，不得留存、复制、向第三方转让或授权使用上述技术成果及数据资源。</w:t>
      </w:r>
      <w:r>
        <w:rPr>
          <w:rFonts w:hint="eastAsia" w:ascii="宋体" w:hAnsi="宋体" w:cs="宋体"/>
          <w:bCs/>
          <w:sz w:val="24"/>
          <w:szCs w:val="24"/>
        </w:rPr>
      </w:r>
      <w:r/>
    </w:p>
    <w:p>
      <w:pPr>
        <w:pStyle w:val="860"/>
        <w:ind w:firstLine="480"/>
        <w:spacing w:line="264" w:lineRule="auto"/>
        <w:rPr>
          <w:rFonts w:ascii="宋体" w:hAnsi="宋体" w:cs="宋体"/>
          <w:bCs/>
          <w:sz w:val="24"/>
          <w:szCs w:val="24"/>
        </w:rPr>
      </w:pPr>
      <w:r>
        <w:rPr>
          <w:rFonts w:ascii="宋体" w:hAnsi="宋体" w:cs="宋体"/>
          <w:bCs/>
          <w:sz w:val="24"/>
          <w:szCs w:val="24"/>
        </w:rPr>
        <w:t xml:space="preserve">（</w:t>
      </w:r>
      <w:r>
        <w:rPr>
          <w:rFonts w:hint="eastAsia" w:ascii="宋体" w:hAnsi="宋体" w:cs="宋体"/>
          <w:bCs/>
          <w:sz w:val="24"/>
          <w:szCs w:val="24"/>
        </w:rPr>
        <w:t xml:space="preserve">7</w:t>
      </w:r>
      <w:r>
        <w:rPr>
          <w:rFonts w:ascii="宋体" w:hAnsi="宋体" w:cs="宋体"/>
          <w:bCs/>
          <w:sz w:val="24"/>
          <w:szCs w:val="24"/>
        </w:rPr>
        <w:t xml:space="preserve">）</w:t>
      </w:r>
      <w:r>
        <w:rPr>
          <w:rFonts w:hint="eastAsia" w:ascii="宋体" w:hAnsi="宋体" w:cs="宋体"/>
          <w:bCs/>
          <w:sz w:val="24"/>
          <w:szCs w:val="24"/>
        </w:rPr>
        <w:t xml:space="preserve">建设成果</w:t>
      </w:r>
      <w:r>
        <w:rPr>
          <w:rFonts w:ascii="宋体" w:hAnsi="宋体" w:cs="宋体"/>
          <w:bCs/>
          <w:sz w:val="24"/>
          <w:szCs w:val="24"/>
        </w:rPr>
        <w:t xml:space="preserve">要求</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供应商在项目建设的各个阶段及时提交建设成果，主要包括（但不限于）以下内容：</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①项目启动阶段：项目实施方案。 </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②业务需求分析阶段：需求调研方案；需求分析说明书。</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③系统设计、开发阶段：需求规格说明书；概要设计说明书；详细设计说明书；数据库设计说明书；系统接口说明书。 </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④系统实施阶段：系统上线部署方案；软件安装说明书；</w:t>
      </w:r>
      <w:r>
        <w:rPr>
          <w:rFonts w:ascii="宋体" w:hAnsi="宋体" w:cs="宋体"/>
          <w:bCs/>
          <w:sz w:val="24"/>
          <w:szCs w:val="24"/>
        </w:rPr>
        <w:t xml:space="preserve">软件使用说明书；系统安装光盘；系统培训方案；系统培训手册。 </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⑤项目验收阶段：测试报告；项目验收方案；系统运行报告；项目验收报告。 </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⑥运行维护阶段：系统维护方案；系统维护手册；系统运行维护记录。</w:t>
      </w:r>
      <w:r/>
    </w:p>
    <w:p>
      <w:pPr>
        <w:pStyle w:val="860"/>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pStyle w:val="860"/>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要求</w:t>
      </w:r>
      <w:r>
        <w:rPr>
          <w:rFonts w:ascii="宋体" w:hAnsi="宋体" w:cs="宋体"/>
          <w:sz w:val="24"/>
          <w:szCs w:val="24"/>
        </w:rPr>
        <w:t xml:space="preserve">为准。</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pStyle w:val="860"/>
        <w:ind w:firstLine="480"/>
        <w:spacing w:line="264" w:lineRule="auto"/>
        <w:rPr>
          <w:rFonts w:ascii="宋体" w:hAnsi="宋体" w:cs="宋体"/>
          <w:sz w:val="24"/>
          <w:szCs w:val="24"/>
        </w:rPr>
      </w:pPr>
      <w:r>
        <w:rPr>
          <w:rFonts w:ascii="宋体" w:hAnsi="宋体" w:cs="宋体"/>
          <w:sz w:val="24"/>
          <w:szCs w:val="24"/>
        </w:rPr>
        <w:t xml:space="preserve">（1）交付时间：</w:t>
      </w:r>
      <w:r>
        <w:rPr>
          <w:rFonts w:ascii="宋体" w:hAnsi="宋体" w:cs="宋体"/>
          <w:sz w:val="24"/>
          <w:szCs w:val="24"/>
        </w:rPr>
        <w:t xml:space="preserve">合同签订后1年内完成（维保时间为验收合格后2年）</w:t>
      </w:r>
      <w:r>
        <w:rPr>
          <w:rFonts w:hint="eastAsia" w:ascii="宋体" w:hAnsi="宋体" w:cs="宋体"/>
          <w:sz w:val="24"/>
          <w:szCs w:val="24"/>
        </w:rPr>
        <w:t xml:space="preserve">。</w:t>
      </w:r>
      <w:r>
        <w:rPr>
          <w:rFonts w:ascii="宋体" w:hAnsi="宋体" w:cs="宋体"/>
          <w:sz w:val="24"/>
          <w:szCs w:val="24"/>
        </w:rPr>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pStyle w:val="860"/>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60"/>
        <w:ind w:firstLine="480"/>
        <w:spacing w:line="264" w:lineRule="auto"/>
        <w:rPr>
          <w:rFonts w:hint="eastAsia" w:ascii="宋体" w:hAnsi="宋体" w:cs="宋体"/>
          <w:sz w:val="24"/>
          <w:szCs w:val="24"/>
        </w:rPr>
      </w:pPr>
      <w:r/>
      <w:bookmarkStart w:id="121" w:name="OLE_LINK1"/>
      <w:r>
        <w:rPr>
          <w:rFonts w:hint="eastAsia" w:ascii="宋体" w:hAnsi="宋体" w:cs="宋体"/>
          <w:sz w:val="24"/>
          <w:szCs w:val="24"/>
        </w:rPr>
        <w:t xml:space="preserve">6.其他要求</w:t>
      </w:r>
      <w:r/>
    </w:p>
    <w:p>
      <w:pPr>
        <w:pStyle w:val="860"/>
        <w:ind w:firstLine="480"/>
        <w:spacing w:line="264" w:lineRule="auto"/>
        <w:rPr>
          <w:rFonts w:hint="eastAsia" w:ascii="宋体" w:hAnsi="宋体" w:cs="宋体"/>
          <w:sz w:val="24"/>
          <w:szCs w:val="24"/>
        </w:rPr>
      </w:pPr>
      <w:r/>
      <w:bookmarkEnd w:id="121"/>
      <w:r>
        <w:rPr>
          <w:rFonts w:hint="eastAsia" w:ascii="宋体" w:hAnsi="宋体" w:cs="宋体"/>
          <w:sz w:val="24"/>
          <w:szCs w:val="24"/>
        </w:rPr>
        <w:t xml:space="preserve">磋商文件中要求提供证明材料的，签订合同时供应商应按磋商文件要求和响应文件响应内容提供相应证明材料原件供采购人核验，否则采购人将取消其成交资格。</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否则采购人将取消其成交资格。</w:t>
      </w:r>
      <w:r/>
    </w:p>
    <w:p>
      <w:pPr>
        <w:pStyle w:val="860"/>
        <w:ind w:firstLine="480"/>
        <w:spacing w:line="264" w:lineRule="auto"/>
        <w:rPr>
          <w:rFonts w:ascii="宋体" w:hAnsi="宋体" w:cs="宋体"/>
          <w:sz w:val="24"/>
          <w:szCs w:val="24"/>
        </w:rPr>
      </w:pPr>
      <w:r>
        <w:rPr>
          <w:rFonts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（三）</w:t>
      </w:r>
      <w:r>
        <w:rPr>
          <w:rFonts w:hint="eastAsia" w:ascii="宋体" w:hAnsi="宋体" w:cs="宋体"/>
          <w:sz w:val="24"/>
          <w:szCs w:val="24"/>
        </w:rPr>
        <w:t xml:space="preserve">演示要求</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1.视频文件的格式为*.mp4或*.avi，供应商须将视频文件压缩为*.zip文件上传（</w:t>
      </w:r>
      <w:r>
        <w:rPr>
          <w:rFonts w:hint="eastAsia" w:ascii="宋体" w:hAnsi="宋体"/>
          <w:sz w:val="24"/>
          <w:szCs w:val="24"/>
        </w:rPr>
        <w:t xml:space="preserve">单个文件不得大于50M，大于50M的需分段压缩，所有文件合计不得大于300M</w:t>
      </w:r>
      <w:r>
        <w:rPr>
          <w:rFonts w:hint="eastAsia" w:ascii="宋体" w:hAnsi="宋体" w:cs="宋体"/>
          <w:sz w:val="24"/>
          <w:szCs w:val="24"/>
        </w:rPr>
        <w:t xml:space="preserve">）。文件上传方式见苏采云系统操作指南，上传的演示视频将作为响应文</w:t>
      </w:r>
      <w:r>
        <w:rPr>
          <w:rFonts w:hint="eastAsia" w:ascii="宋体" w:hAnsi="宋体" w:cs="宋体"/>
          <w:sz w:val="24"/>
          <w:szCs w:val="24"/>
        </w:rPr>
        <w:t xml:space="preserve">件的组成部分。</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2.演示内容</w:t>
      </w:r>
      <w:r>
        <w:rPr>
          <w:rFonts w:hint="eastAsia" w:ascii="宋体" w:hAnsi="宋体"/>
          <w:sz w:val="24"/>
          <w:szCs w:val="24"/>
        </w:rPr>
        <w:t xml:space="preserve">及演示时长</w:t>
      </w:r>
      <w:r>
        <w:rPr>
          <w:rFonts w:hint="eastAsia" w:ascii="宋体" w:hAnsi="宋体" w:cs="宋体"/>
          <w:sz w:val="24"/>
          <w:szCs w:val="24"/>
        </w:rPr>
        <w:t xml:space="preserve">详见“第五章 评审方法与评审标准”。</w:t>
      </w:r>
      <w:r>
        <w:rPr>
          <w:rFonts w:hint="eastAsia" w:ascii="宋体" w:hAnsi="宋体" w:cs="宋体"/>
          <w:sz w:val="24"/>
          <w:szCs w:val="24"/>
        </w:rPr>
      </w:r>
      <w:r/>
    </w:p>
    <w:p>
      <w:pPr>
        <w:pStyle w:val="860"/>
        <w:spacing w:line="0" w:lineRule="atLeast"/>
        <w:rPr>
          <w:rFonts w:hint="eastAsia" w:ascii="宋体" w:hAnsi="宋体"/>
          <w:sz w:val="24"/>
          <w:szCs w:val="24"/>
        </w:rPr>
      </w:pPr>
      <w:r>
        <w:rPr>
          <w:rFonts w:hint="eastAsia" w:ascii="宋体" w:hAnsi="宋体"/>
          <w:sz w:val="24"/>
          <w:szCs w:val="24"/>
        </w:rPr>
      </w:r>
      <w:r/>
    </w:p>
    <w:p>
      <w:pPr>
        <w:pStyle w:val="860"/>
        <w:jc w:val="center"/>
        <w:keepNext/>
        <w:rPr>
          <w:rFonts w:hint="eastAsia" w:ascii="黑体" w:eastAsia="黑体"/>
          <w:bCs/>
          <w:sz w:val="44"/>
          <w:szCs w:val="28"/>
        </w:rPr>
        <w:outlineLvl w:val="0"/>
      </w:pPr>
      <w:r/>
      <w:bookmarkStart w:id="122" w:name="_Toc120614281"/>
      <w:r>
        <w:rPr>
          <w:rFonts w:hint="eastAsia" w:ascii="黑体" w:eastAsia="黑体"/>
          <w:bCs/>
          <w:sz w:val="44"/>
          <w:szCs w:val="28"/>
        </w:rPr>
        <w:br w:type="page" w:clear="all"/>
      </w:r>
      <w:r>
        <w:rPr>
          <w:rFonts w:hint="eastAsia" w:ascii="黑体" w:eastAsia="黑体"/>
          <w:sz w:val="44"/>
          <w:szCs w:val="44"/>
        </w:rPr>
        <w:t xml:space="preserve">第五章  评审方法与评审标准</w:t>
      </w:r>
      <w:r>
        <w:rPr>
          <w:rFonts w:hint="eastAsia" w:ascii="黑体" w:eastAsia="黑体"/>
          <w:bCs/>
          <w:sz w:val="44"/>
          <w:szCs w:val="28"/>
        </w:rPr>
      </w:r>
      <w:r/>
    </w:p>
    <w:p>
      <w:pPr>
        <w:pStyle w:val="860"/>
        <w:ind w:firstLine="420"/>
        <w:spacing w:line="264" w:lineRule="auto"/>
        <w:rPr>
          <w:rFonts w:hint="eastAsia"/>
          <w:szCs w:val="21"/>
        </w:rPr>
      </w:pPr>
      <w:r>
        <w:rPr>
          <w:rFonts w:hint="eastAsia"/>
          <w:szCs w:val="21"/>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一、评审方法</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w:t>
      </w:r>
      <w:r>
        <w:rPr>
          <w:rFonts w:hint="eastAsia" w:ascii="宋体" w:hAnsi="宋体" w:cs="宋体"/>
          <w:b/>
          <w:bCs/>
          <w:sz w:val="24"/>
          <w:szCs w:val="24"/>
        </w:rPr>
        <w:t xml:space="preserve">磋商小组按照评审总分由高到低顺序推荐</w:t>
      </w:r>
      <w:r>
        <w:rPr>
          <w:rFonts w:hint="eastAsia" w:ascii="宋体" w:hAnsi="宋体"/>
          <w:b/>
          <w:bCs/>
          <w:sz w:val="24"/>
          <w:szCs w:val="24"/>
        </w:rPr>
        <w:t xml:space="preserve">3名</w:t>
      </w:r>
      <w:r>
        <w:rPr>
          <w:rFonts w:hint="eastAsia" w:ascii="宋体" w:hAnsi="宋体" w:cs="宋体"/>
          <w:b/>
          <w:bCs/>
          <w:sz w:val="24"/>
          <w:szCs w:val="24"/>
        </w:rPr>
        <w:t xml:space="preserve">成交候选供应商，符合本磋商文件第二章第23.1.2条第三款情形的，可以推荐2名成交候选供应商。</w:t>
      </w:r>
      <w:r>
        <w:rPr>
          <w:rFonts w:hint="eastAsia" w:ascii="宋体" w:hAnsi="宋体" w:cs="宋体"/>
          <w:sz w:val="24"/>
          <w:szCs w:val="24"/>
        </w:rPr>
        <w:t xml:space="preserve">评审得分相同的，按照最后报价由低到高的顺序推荐。评审得分且最后报价相同的，按照“评审标准-</w:t>
      </w:r>
      <w:r>
        <w:rPr>
          <w:rFonts w:hint="eastAsia" w:ascii="宋体" w:hAnsi="宋体" w:cs="宋体"/>
          <w:sz w:val="24"/>
          <w:szCs w:val="24"/>
        </w:rPr>
        <w:t xml:space="preserve">2.服务</w:t>
      </w:r>
      <w:r>
        <w:rPr>
          <w:rFonts w:hint="eastAsia" w:ascii="宋体" w:hAnsi="宋体" w:cs="宋体"/>
          <w:sz w:val="24"/>
          <w:szCs w:val="24"/>
        </w:rPr>
        <w:t xml:space="preserve">”得分由高到低顺序推荐。</w:t>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w:t>
      </w:r>
      <w:r>
        <w:rPr>
          <w:rFonts w:hint="eastAsia" w:ascii="黑体" w:hAnsi="黑体" w:eastAsia="黑体" w:cs="黑体"/>
          <w:sz w:val="24"/>
          <w:szCs w:val="24"/>
        </w:rPr>
        <w:t xml:space="preserve">小微企业价格扣除</w:t>
      </w:r>
      <w:r/>
    </w:p>
    <w:p>
      <w:pPr>
        <w:pStyle w:val="860"/>
        <w:ind w:firstLine="48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的价格扣除，用扣除后的价格参与评审。残疾人福利性单位、监狱企业属于小型、微型企业的，不重复享受价格扣除。</w:t>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三、评审标准</w:t>
      </w:r>
      <w:r>
        <w:rPr>
          <w:rFonts w:hint="eastAsia" w:ascii="黑体" w:hAnsi="黑体" w:eastAsia="黑体" w:cs="黑体"/>
          <w:sz w:val="24"/>
          <w:szCs w:val="24"/>
        </w:rPr>
      </w:r>
      <w:r/>
    </w:p>
    <w:tbl>
      <w:tblPr>
        <w:tblW w:w="961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trHeight w:val="479"/>
          <w:tblHeader/>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b/>
                <w:bCs/>
                <w:spacing w:val="-3"/>
              </w:rPr>
            </w:pPr>
            <w:r>
              <w:rPr>
                <w:rFonts w:hint="eastAsia" w:ascii="宋体" w:hAnsi="宋体" w:cs="宋体"/>
                <w:b/>
                <w:bCs/>
                <w:spacing w:val="-3"/>
              </w:rPr>
              <w:t xml:space="preserve">序号</w:t>
            </w:r>
            <w:r/>
          </w:p>
        </w:tc>
        <w:tc>
          <w:tcPr>
            <w:tcBorders>
              <w:top w:val="single" w:color="000000" w:sz="2" w:space="0"/>
              <w:bottom w:val="single" w:color="000000" w:sz="2" w:space="0"/>
            </w:tcBorders>
            <w:tcW w:w="1179" w:type="dxa"/>
            <w:vAlign w:val="center"/>
            <w:textDirection w:val="lrTb"/>
            <w:noWrap w:val="false"/>
          </w:tcPr>
          <w:p>
            <w:pPr>
              <w:pStyle w:val="860"/>
              <w:jc w:val="center"/>
              <w:spacing w:before="68" w:line="264" w:lineRule="auto"/>
              <w:rPr>
                <w:rFonts w:hint="eastAsia" w:ascii="宋体" w:hAnsi="宋体" w:cs="宋体"/>
                <w:b/>
                <w:bCs/>
                <w:spacing w:val="-3"/>
              </w:rPr>
            </w:pPr>
            <w:r>
              <w:rPr>
                <w:rFonts w:hint="eastAsia" w:ascii="宋体" w:hAnsi="宋体" w:cs="宋体"/>
                <w:b/>
                <w:bCs/>
                <w:spacing w:val="-3"/>
              </w:rPr>
              <w:t xml:space="preserve">评审因素</w:t>
            </w:r>
            <w:r/>
          </w:p>
        </w:tc>
        <w:tc>
          <w:tcPr>
            <w:tcBorders>
              <w:top w:val="single" w:color="000000" w:sz="2" w:space="0"/>
              <w:bottom w:val="single" w:color="000000" w:sz="2" w:space="0"/>
            </w:tcBorders>
            <w:tcW w:w="6425" w:type="dxa"/>
            <w:vAlign w:val="center"/>
            <w:textDirection w:val="lrTb"/>
            <w:noWrap w:val="false"/>
          </w:tcPr>
          <w:p>
            <w:pPr>
              <w:pStyle w:val="860"/>
              <w:jc w:val="center"/>
              <w:spacing w:before="68" w:line="264" w:lineRule="auto"/>
              <w:rPr>
                <w:rFonts w:hint="eastAsia" w:ascii="宋体" w:hAnsi="宋体" w:cs="宋体"/>
                <w:b/>
                <w:bCs/>
                <w:spacing w:val="-3"/>
              </w:rPr>
            </w:pPr>
            <w:r>
              <w:rPr>
                <w:rFonts w:hint="eastAsia" w:ascii="宋体" w:hAnsi="宋体" w:cs="宋体"/>
                <w:b/>
                <w:bCs/>
                <w:spacing w:val="-3"/>
              </w:rPr>
              <w:t xml:space="preserve">评审细则</w:t>
            </w:r>
            <w:r/>
          </w:p>
        </w:tc>
        <w:tc>
          <w:tcPr>
            <w:tcBorders>
              <w:top w:val="single" w:color="000000" w:sz="2" w:space="0"/>
              <w:bottom w:val="single" w:color="000000" w:sz="2" w:space="0"/>
            </w:tcBorders>
            <w:tcW w:w="637" w:type="dxa"/>
            <w:vAlign w:val="center"/>
            <w:textDirection w:val="lrTb"/>
            <w:noWrap w:val="false"/>
          </w:tcPr>
          <w:p>
            <w:pPr>
              <w:pStyle w:val="860"/>
              <w:jc w:val="center"/>
              <w:spacing w:before="68" w:line="264" w:lineRule="auto"/>
              <w:rPr>
                <w:rFonts w:hint="eastAsia" w:ascii="宋体" w:hAnsi="宋体" w:cs="宋体"/>
                <w:b/>
                <w:bCs/>
                <w:spacing w:val="-3"/>
              </w:rPr>
            </w:pPr>
            <w:r>
              <w:rPr>
                <w:rFonts w:hint="eastAsia" w:ascii="宋体" w:hAnsi="宋体" w:cs="宋体"/>
                <w:b/>
                <w:bCs/>
                <w:spacing w:val="-3"/>
              </w:rPr>
              <w:t xml:space="preserve">分值</w:t>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b/>
                <w:bCs/>
                <w:spacing w:val="-3"/>
              </w:rPr>
            </w:pPr>
            <w:r>
              <w:rPr>
                <w:rFonts w:hint="eastAsia" w:ascii="宋体" w:hAnsi="宋体" w:cs="宋体"/>
                <w:b/>
                <w:bCs/>
                <w:spacing w:val="-3"/>
              </w:rPr>
              <w:t xml:space="preserve">类型</w:t>
            </w:r>
            <w:r/>
          </w:p>
        </w:tc>
      </w:tr>
      <w:tr>
        <w:trPr>
          <w:trHeight w:val="460"/>
        </w:trPr>
        <w:tc>
          <w:tcPr>
            <w:gridSpan w:val="5"/>
            <w:tcBorders>
              <w:top w:val="single" w:color="000000" w:sz="2" w:space="0"/>
              <w:bottom w:val="single" w:color="000000" w:sz="2" w:space="0"/>
            </w:tcBorders>
            <w:tcW w:w="9612" w:type="dxa"/>
            <w:vAlign w:val="top"/>
            <w:textDirection w:val="lrTb"/>
            <w:noWrap w:val="false"/>
          </w:tcPr>
          <w:p>
            <w:pPr>
              <w:pStyle w:val="860"/>
              <w:ind w:left="114"/>
              <w:spacing w:before="122" w:line="264" w:lineRule="auto"/>
              <w:rPr>
                <w:rFonts w:ascii="宋体" w:hAnsi="宋体" w:cs="宋体"/>
                <w:szCs w:val="21"/>
              </w:rPr>
            </w:pPr>
            <w:r>
              <w:rPr>
                <w:rFonts w:hint="eastAsia" w:ascii="宋体" w:hAnsi="宋体" w:cs="宋体"/>
                <w:b/>
                <w:bCs/>
                <w:spacing w:val="-3"/>
                <w:szCs w:val="21"/>
              </w:rPr>
              <w:t xml:space="preserve">1</w:t>
            </w:r>
            <w:r>
              <w:rPr>
                <w:rFonts w:hint="eastAsia" w:ascii="宋体" w:hAnsi="宋体" w:cs="宋体"/>
                <w:b/>
                <w:bCs/>
                <w:spacing w:val="-3"/>
                <w:szCs w:val="21"/>
              </w:rPr>
              <w:t xml:space="preserve">.</w:t>
            </w:r>
            <w:r>
              <w:rPr>
                <w:rFonts w:ascii="宋体" w:hAnsi="宋体" w:cs="宋体"/>
                <w:b/>
                <w:bCs/>
                <w:spacing w:val="-3"/>
                <w:szCs w:val="21"/>
              </w:rPr>
              <w:t xml:space="preserve">价</w:t>
            </w:r>
            <w:r>
              <w:rPr>
                <w:rFonts w:ascii="宋体" w:hAnsi="宋体" w:cs="宋体"/>
                <w:b/>
                <w:bCs/>
                <w:spacing w:val="-2"/>
                <w:szCs w:val="21"/>
              </w:rPr>
              <w:t xml:space="preserve">格</w:t>
            </w:r>
            <w:r>
              <w:rPr>
                <w:rFonts w:ascii="宋体" w:hAnsi="宋体" w:cs="宋体"/>
                <w:szCs w:val="21"/>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zCs w:val="21"/>
              </w:rPr>
            </w:pPr>
            <w:r>
              <w:rPr>
                <w:rFonts w:ascii="宋体" w:hAnsi="宋体" w:cs="宋体"/>
                <w:spacing w:val="-6"/>
                <w:szCs w:val="21"/>
              </w:rPr>
              <w:t xml:space="preserve">1</w:t>
            </w:r>
            <w:r>
              <w:rPr>
                <w:rFonts w:ascii="宋体" w:hAnsi="宋体" w:cs="宋体"/>
                <w:spacing w:val="-5"/>
                <w:szCs w:val="21"/>
              </w:rPr>
              <w:t xml:space="preserve">.1</w:t>
            </w:r>
            <w:r>
              <w:rPr>
                <w:rFonts w:ascii="宋体" w:hAnsi="宋体" w:cs="宋体"/>
                <w:szCs w:val="21"/>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zCs w:val="21"/>
              </w:rPr>
            </w:pPr>
            <w:r>
              <w:rPr>
                <w:rFonts w:ascii="宋体" w:hAnsi="宋体" w:cs="宋体"/>
                <w:spacing w:val="-2"/>
                <w:szCs w:val="21"/>
              </w:rPr>
              <w:t xml:space="preserve">价格分</w:t>
            </w:r>
            <w:r>
              <w:rPr>
                <w:rFonts w:ascii="宋体" w:hAnsi="宋体" w:cs="宋体"/>
                <w:szCs w:val="21"/>
              </w:rPr>
            </w:r>
            <w:r/>
          </w:p>
        </w:tc>
        <w:tc>
          <w:tcPr>
            <w:tcBorders>
              <w:top w:val="single" w:color="000000" w:sz="2" w:space="0"/>
              <w:bottom w:val="single" w:color="000000" w:sz="2" w:space="0"/>
            </w:tcBorders>
            <w:tcW w:w="6425" w:type="dxa"/>
            <w:vAlign w:val="center"/>
            <w:textDirection w:val="lrTb"/>
            <w:noWrap w:val="false"/>
          </w:tcPr>
          <w:p>
            <w:pPr>
              <w:pStyle w:val="860"/>
              <w:jc w:val="left"/>
              <w:spacing w:line="264" w:lineRule="auto"/>
              <w:rPr>
                <w:rFonts w:hint="eastAsia"/>
              </w:rPr>
            </w:pPr>
            <w:r>
              <w:t xml:space="preserve">采用低价优先法计算</w:t>
            </w:r>
            <w:r>
              <w:rPr>
                <w:rFonts w:hint="eastAsia"/>
              </w:rPr>
              <w:t xml:space="preserve">，</w:t>
            </w:r>
            <w:r>
              <w:t xml:space="preserve">即满足</w:t>
            </w:r>
            <w:r>
              <w:rPr>
                <w:rFonts w:hint="eastAsia"/>
              </w:rPr>
              <w:t xml:space="preserve">磋商文件</w:t>
            </w:r>
            <w:r>
              <w:t xml:space="preserve">要求且</w:t>
            </w:r>
            <w:r>
              <w:rPr>
                <w:rFonts w:hint="eastAsia"/>
              </w:rPr>
              <w:t xml:space="preserve">最终报价</w:t>
            </w:r>
            <w:r>
              <w:t xml:space="preserve">最低的</w:t>
            </w:r>
            <w:r>
              <w:rPr>
                <w:rFonts w:hint="eastAsia"/>
              </w:rPr>
              <w:t xml:space="preserve">供应商</w:t>
            </w:r>
            <w:r>
              <w:t xml:space="preserve">报价为评</w:t>
            </w:r>
            <w:r>
              <w:rPr>
                <w:rFonts w:hint="eastAsia"/>
              </w:rPr>
              <w:t xml:space="preserve">审</w:t>
            </w:r>
            <w:r>
              <w:t xml:space="preserve">基准价</w:t>
            </w:r>
            <w:r>
              <w:rPr>
                <w:rFonts w:hint="eastAsia"/>
              </w:rPr>
              <w:t xml:space="preserve">，</w:t>
            </w:r>
            <w:r>
              <w:t xml:space="preserve">其价格分为满分。其他</w:t>
            </w:r>
            <w:r>
              <w:rPr>
                <w:rFonts w:hint="eastAsia"/>
              </w:rPr>
              <w:t xml:space="preserve">供应商</w:t>
            </w:r>
            <w:r>
              <w:t xml:space="preserve">的价格分统一按照下列公式计算：报价得分=</w:t>
            </w:r>
            <w:r>
              <w:rPr>
                <w:rFonts w:hint="eastAsia"/>
              </w:rPr>
              <w:t xml:space="preserve">（</w:t>
            </w:r>
            <w:r>
              <w:t xml:space="preserve">评</w:t>
            </w:r>
            <w:r>
              <w:rPr>
                <w:rFonts w:hint="eastAsia"/>
              </w:rPr>
              <w:t xml:space="preserve">审</w:t>
            </w:r>
            <w:r>
              <w:t xml:space="preserve">基准价/</w:t>
            </w:r>
            <w:r>
              <w:rPr>
                <w:rFonts w:hint="eastAsia"/>
              </w:rPr>
              <w:t xml:space="preserve">最终</w:t>
            </w:r>
            <w:r>
              <w:t xml:space="preserve">报价</w:t>
            </w:r>
            <w:r>
              <w:rPr>
                <w:rFonts w:hint="eastAsia"/>
              </w:rPr>
              <w:t xml:space="preserve">）</w:t>
            </w:r>
            <w:r>
              <w:t xml:space="preserve">×</w:t>
            </w:r>
            <w:r>
              <w:rPr>
                <w:rFonts w:hint="eastAsia"/>
              </w:rPr>
              <w:t xml:space="preserve">价格分值（小数点保留两位）</w:t>
            </w:r>
            <w:r/>
          </w:p>
          <w:p>
            <w:pPr>
              <w:pStyle w:val="989"/>
              <w:ind w:left="0"/>
            </w:pPr>
            <w:r>
              <w:rPr>
                <w:rFonts w:hint="eastAsia" w:ascii="宋体" w:hAnsi="宋体" w:cs="宋体"/>
                <w:sz w:val="21"/>
                <w:szCs w:val="21"/>
              </w:rPr>
              <w:t xml:space="preserve">因落实政府采购政策进行价格调整的，以调整后的价格计算评</w:t>
            </w:r>
            <w:r>
              <w:rPr>
                <w:rFonts w:hint="eastAsia"/>
              </w:rPr>
              <w:t xml:space="preserve">审</w:t>
            </w:r>
            <w:r>
              <w:rPr>
                <w:rFonts w:hint="eastAsia" w:ascii="宋体" w:hAnsi="宋体" w:cs="宋体"/>
                <w:sz w:val="21"/>
                <w:szCs w:val="21"/>
              </w:rPr>
              <w:t xml:space="preserve">基准价和最终报价。</w:t>
            </w:r>
            <w:r/>
          </w:p>
        </w:tc>
        <w:tc>
          <w:tcPr>
            <w:tcBorders>
              <w:top w:val="single" w:color="000000" w:sz="2" w:space="0"/>
              <w:bottom w:val="single" w:color="000000" w:sz="2" w:space="0"/>
            </w:tcBorders>
            <w:tcW w:w="637" w:type="dxa"/>
            <w:vAlign w:val="center"/>
            <w:textDirection w:val="lrTb"/>
            <w:noWrap w:val="false"/>
          </w:tcPr>
          <w:p>
            <w:pPr>
              <w:pStyle w:val="860"/>
              <w:jc w:val="center"/>
              <w:spacing w:before="68" w:line="264" w:lineRule="auto"/>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价格分</w:t>
            </w:r>
            <w:r/>
          </w:p>
        </w:tc>
      </w:tr>
      <w:tr>
        <w:trPr>
          <w:trHeight w:val="460"/>
        </w:trPr>
        <w:tc>
          <w:tcPr>
            <w:gridSpan w:val="5"/>
            <w:tcBorders>
              <w:top w:val="single" w:color="000000" w:sz="2" w:space="0"/>
              <w:bottom w:val="single" w:color="000000" w:sz="2" w:space="0"/>
            </w:tcBorders>
            <w:tcW w:w="9612" w:type="dxa"/>
            <w:vAlign w:val="top"/>
            <w:textDirection w:val="lrTb"/>
            <w:noWrap w:val="false"/>
          </w:tcPr>
          <w:p>
            <w:pPr>
              <w:pStyle w:val="860"/>
              <w:ind w:left="114"/>
              <w:spacing w:before="123" w:line="264" w:lineRule="auto"/>
              <w:rPr>
                <w:rFonts w:ascii="宋体" w:hAnsi="宋体" w:cs="宋体"/>
                <w:szCs w:val="21"/>
              </w:rPr>
            </w:pPr>
            <w:r>
              <w:rPr>
                <w:rFonts w:hint="eastAsia" w:ascii="宋体" w:hAnsi="宋体" w:cs="宋体"/>
                <w:b/>
                <w:bCs/>
                <w:spacing w:val="-3"/>
                <w:szCs w:val="21"/>
              </w:rPr>
              <w:t xml:space="preserve">2.服务</w:t>
            </w:r>
            <w:r>
              <w:rPr>
                <w:rFonts w:ascii="宋体" w:hAnsi="宋体" w:cs="宋体"/>
                <w:szCs w:val="21"/>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w:t>
            </w:r>
            <w:r>
              <w:rPr>
                <w:rFonts w:ascii="宋体" w:hAnsi="宋体" w:cs="宋体"/>
                <w:spacing w:val="-2"/>
                <w:szCs w:val="21"/>
              </w:rPr>
              <w:t xml:space="preserve">.</w:t>
            </w:r>
            <w:r>
              <w:rPr>
                <w:rFonts w:hint="eastAsia" w:ascii="宋体" w:hAnsi="宋体" w:cs="宋体"/>
                <w:spacing w:val="-2"/>
                <w:szCs w:val="21"/>
              </w:rPr>
              <w:t xml:space="preserve">1</w:t>
            </w:r>
            <w:r/>
          </w:p>
        </w:tc>
        <w:tc>
          <w:tcPr>
            <w:tcBorders>
              <w:top w:val="single" w:color="000000" w:sz="2" w:space="0"/>
              <w:bottom w:val="single" w:color="000000" w:sz="2" w:space="0"/>
            </w:tcBorders>
            <w:tcW w:w="1179" w:type="dxa"/>
            <w:vAlign w:val="center"/>
            <w:textDirection w:val="lrTb"/>
            <w:noWrap w:val="false"/>
          </w:tcPr>
          <w:p>
            <w:pPr>
              <w:pStyle w:val="860"/>
              <w:ind w:right="108"/>
              <w:jc w:val="left"/>
              <w:spacing w:before="68" w:line="264" w:lineRule="auto"/>
              <w:rPr>
                <w:rFonts w:ascii="宋体" w:hAnsi="宋体" w:cs="宋体"/>
                <w:spacing w:val="-2"/>
                <w:szCs w:val="21"/>
              </w:rPr>
            </w:pPr>
            <w:r>
              <w:rPr>
                <w:rFonts w:hint="eastAsia" w:ascii="宋体" w:hAnsi="宋体" w:cs="宋体"/>
                <w:spacing w:val="-2"/>
              </w:rPr>
              <w:t xml:space="preserve">需求理解</w:t>
            </w:r>
            <w:r>
              <w:rPr>
                <w:rFonts w:ascii="宋体" w:hAnsi="宋体" w:cs="宋体"/>
                <w:spacing w:val="-2"/>
                <w:szCs w:val="21"/>
              </w:rPr>
            </w:r>
            <w:r/>
          </w:p>
        </w:tc>
        <w:tc>
          <w:tcPr>
            <w:tcBorders>
              <w:top w:val="single" w:color="000000" w:sz="2" w:space="0"/>
              <w:bottom w:val="single" w:color="000000" w:sz="2" w:space="0"/>
            </w:tcBorders>
            <w:tcW w:w="6425" w:type="dxa"/>
            <w:vAlign w:val="center"/>
            <w:textDirection w:val="lrTb"/>
            <w:noWrap w:val="false"/>
          </w:tcPr>
          <w:p>
            <w:pPr>
              <w:pStyle w:val="860"/>
              <w:rPr>
                <w:szCs w:val="21"/>
              </w:rPr>
            </w:pPr>
            <w:r/>
            <w:bookmarkStart w:id="123" w:name="OLE_LINK27"/>
            <w:r>
              <w:rPr>
                <w:rFonts w:hint="eastAsia"/>
                <w:szCs w:val="21"/>
              </w:rPr>
              <w:t xml:space="preserve">根据本项目采购需求编制需求理解，内容包含：1.</w:t>
            </w:r>
            <w:r>
              <w:rPr>
                <w:szCs w:val="21"/>
              </w:rPr>
              <w:t xml:space="preserve">项目背景现状</w:t>
            </w:r>
            <w:r>
              <w:rPr>
                <w:rFonts w:hint="eastAsia"/>
                <w:szCs w:val="21"/>
              </w:rPr>
              <w:t xml:space="preserve">；2.</w:t>
            </w:r>
            <w:r>
              <w:rPr>
                <w:szCs w:val="21"/>
              </w:rPr>
              <w:t xml:space="preserve">业务功能及流程分析</w:t>
            </w:r>
            <w:r>
              <w:rPr>
                <w:rFonts w:hint="eastAsia"/>
                <w:szCs w:val="21"/>
              </w:rPr>
              <w:t xml:space="preserve">；3.</w:t>
            </w:r>
            <w:r>
              <w:rPr>
                <w:szCs w:val="21"/>
              </w:rPr>
              <w:t xml:space="preserve">系统功能与性能分析</w:t>
            </w:r>
            <w:r>
              <w:rPr>
                <w:rFonts w:hint="eastAsia"/>
                <w:szCs w:val="21"/>
              </w:rPr>
              <w:t xml:space="preserve">；4.</w:t>
            </w:r>
            <w:r>
              <w:rPr>
                <w:szCs w:val="21"/>
              </w:rPr>
              <w:t xml:space="preserve">项目重点难点分析</w:t>
            </w:r>
            <w:r>
              <w:rPr>
                <w:rFonts w:hint="eastAsia"/>
                <w:szCs w:val="21"/>
              </w:rPr>
              <w:t xml:space="preserve">。以上每项内容逐项评分：</w:t>
            </w:r>
            <w:r>
              <w:rPr>
                <w:szCs w:val="21"/>
              </w:rPr>
            </w:r>
            <w:r/>
          </w:p>
          <w:p>
            <w:pPr>
              <w:pStyle w:val="860"/>
            </w:pPr>
            <w:r>
              <w:t xml:space="preserve">内容</w:t>
            </w:r>
            <w:r>
              <w:rPr>
                <w:rFonts w:hint="eastAsia"/>
                <w:szCs w:val="21"/>
              </w:rPr>
              <w:t xml:space="preserve">完整深刻，且</w:t>
            </w:r>
            <w:r>
              <w:t xml:space="preserve">专门针对本项目，</w:t>
            </w:r>
            <w:r>
              <w:rPr>
                <w:rFonts w:hint="eastAsia"/>
              </w:rPr>
              <w:t xml:space="preserve">契合</w:t>
            </w:r>
            <w:r>
              <w:t xml:space="preserve">采购需求视为符合；内容属于通用类，非专门针对本项目，部分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860"/>
              <w:rPr>
                <w:rFonts w:hint="eastAsia"/>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bookmarkEnd w:id="123"/>
            <w:r>
              <w:rPr>
                <w:rFonts w:hint="eastAsia"/>
              </w:rPr>
            </w:r>
            <w:r/>
          </w:p>
        </w:tc>
        <w:tc>
          <w:tcPr>
            <w:tcBorders>
              <w:top w:val="single" w:color="000000" w:sz="2" w:space="0"/>
              <w:bottom w:val="single" w:color="000000" w:sz="2" w:space="0"/>
            </w:tcBorders>
            <w:tcW w:w="637" w:type="dxa"/>
            <w:vAlign w:val="center"/>
            <w:textDirection w:val="lrTb"/>
            <w:noWrap w:val="false"/>
          </w:tcPr>
          <w:p>
            <w:pPr>
              <w:pStyle w:val="860"/>
              <w:jc w:val="center"/>
              <w:spacing w:before="68" w:line="264" w:lineRule="auto"/>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rPr>
                <w:rFonts w:ascii="宋体" w:hAnsi="宋体" w:cs="宋体"/>
                <w:szCs w:val="21"/>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2.2</w:t>
            </w:r>
            <w:r/>
          </w:p>
        </w:tc>
        <w:tc>
          <w:tcPr>
            <w:tcBorders>
              <w:top w:val="single" w:color="000000" w:sz="2" w:space="0"/>
              <w:bottom w:val="single" w:color="000000" w:sz="2" w:space="0"/>
            </w:tcBorders>
            <w:tcW w:w="1179" w:type="dxa"/>
            <w:vAlign w:val="center"/>
            <w:textDirection w:val="lrTb"/>
            <w:noWrap w:val="false"/>
          </w:tcPr>
          <w:p>
            <w:pPr>
              <w:pStyle w:val="860"/>
              <w:ind w:right="108"/>
              <w:jc w:val="left"/>
              <w:spacing w:before="68" w:line="264" w:lineRule="auto"/>
              <w:rPr>
                <w:rFonts w:hint="eastAsia" w:ascii="宋体" w:hAnsi="宋体" w:cs="宋体"/>
                <w:spacing w:val="-2"/>
              </w:rPr>
            </w:pPr>
            <w:r>
              <w:rPr>
                <w:rFonts w:ascii="宋体" w:hAnsi="宋体" w:cs="宋体"/>
                <w:spacing w:val="-2"/>
              </w:rPr>
              <w:t xml:space="preserve">总体技术方案</w:t>
            </w:r>
            <w:r>
              <w:rPr>
                <w:rFonts w:hint="eastAsia" w:ascii="宋体" w:hAnsi="宋体" w:cs="宋体"/>
                <w:spacing w:val="-2"/>
              </w:rPr>
            </w:r>
            <w:r/>
          </w:p>
        </w:tc>
        <w:tc>
          <w:tcPr>
            <w:tcBorders>
              <w:top w:val="single" w:color="000000" w:sz="2" w:space="0"/>
              <w:bottom w:val="single" w:color="000000" w:sz="2" w:space="0"/>
            </w:tcBorders>
            <w:tcW w:w="6425" w:type="dxa"/>
            <w:vAlign w:val="center"/>
            <w:textDirection w:val="lrTb"/>
            <w:noWrap w:val="false"/>
          </w:tcPr>
          <w:p>
            <w:pPr>
              <w:pStyle w:val="860"/>
              <w:rPr>
                <w:szCs w:val="21"/>
              </w:rPr>
            </w:pPr>
            <w:r>
              <w:rPr>
                <w:rFonts w:hint="eastAsia"/>
                <w:szCs w:val="21"/>
              </w:rPr>
              <w:t xml:space="preserve">根据本项目采购需求编制总体技术方案，内容包含：1.</w:t>
            </w:r>
            <w:r>
              <w:rPr>
                <w:szCs w:val="21"/>
              </w:rPr>
              <w:t xml:space="preserve">建设原则和思路</w:t>
            </w:r>
            <w:r>
              <w:rPr>
                <w:rFonts w:hint="eastAsia"/>
                <w:szCs w:val="21"/>
              </w:rPr>
              <w:t xml:space="preserve">；2.</w:t>
            </w:r>
            <w:r>
              <w:rPr>
                <w:szCs w:val="21"/>
              </w:rPr>
              <w:t xml:space="preserve">建设目标</w:t>
            </w:r>
            <w:r>
              <w:rPr>
                <w:rFonts w:hint="eastAsia"/>
                <w:szCs w:val="21"/>
              </w:rPr>
              <w:t xml:space="preserve">；3.</w:t>
            </w:r>
            <w:r>
              <w:rPr>
                <w:szCs w:val="21"/>
              </w:rPr>
              <w:t xml:space="preserve">建设任务</w:t>
            </w:r>
            <w:r>
              <w:rPr>
                <w:rFonts w:hint="eastAsia"/>
                <w:szCs w:val="21"/>
              </w:rPr>
              <w:t xml:space="preserve">；4.</w:t>
            </w:r>
            <w:r>
              <w:rPr>
                <w:szCs w:val="21"/>
              </w:rPr>
              <w:t xml:space="preserve">总体架构设计</w:t>
            </w:r>
            <w:r>
              <w:rPr>
                <w:rFonts w:hint="eastAsia"/>
                <w:szCs w:val="21"/>
              </w:rPr>
              <w:t xml:space="preserve">。以上每项内容逐项评分：</w:t>
            </w:r>
            <w:r>
              <w:rPr>
                <w:szCs w:val="21"/>
              </w:rPr>
            </w:r>
            <w:r/>
          </w:p>
          <w:p>
            <w:pPr>
              <w:pStyle w:val="860"/>
            </w:pPr>
            <w:r>
              <w:t xml:space="preserve">方案内容</w:t>
            </w:r>
            <w:r>
              <w:rPr>
                <w:rFonts w:hint="eastAsia"/>
                <w:szCs w:val="21"/>
              </w:rPr>
              <w:t xml:space="preserve">完整深刻，且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w:t>
            </w:r>
            <w:r>
              <w:t xml:space="preserve">分符合；方案内容非专门针对本项目</w:t>
            </w:r>
            <w:r>
              <w:rPr>
                <w:rFonts w:hint="eastAsia"/>
              </w:rPr>
              <w:t xml:space="preserve">，脱离</w:t>
            </w:r>
            <w:r>
              <w:t xml:space="preserve">采购需求视为不符合。</w:t>
            </w:r>
            <w:r/>
          </w:p>
          <w:p>
            <w:pPr>
              <w:pStyle w:val="860"/>
              <w:rPr>
                <w:rFonts w:hint="eastAsia"/>
                <w:szCs w:val="21"/>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rPr>
                <w:rFonts w:hint="eastAsia"/>
                <w:szCs w:val="21"/>
              </w:rPr>
            </w:r>
            <w:r/>
          </w:p>
        </w:tc>
        <w:tc>
          <w:tcPr>
            <w:tcBorders>
              <w:top w:val="single" w:color="000000" w:sz="2" w:space="0"/>
              <w:bottom w:val="single" w:color="000000" w:sz="2" w:space="0"/>
            </w:tcBorders>
            <w:tcW w:w="63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8</w:t>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2.3</w:t>
            </w:r>
            <w:r/>
          </w:p>
        </w:tc>
        <w:tc>
          <w:tcPr>
            <w:tcBorders>
              <w:top w:val="single" w:color="000000" w:sz="2" w:space="0"/>
              <w:bottom w:val="single" w:color="000000" w:sz="2" w:space="0"/>
            </w:tcBorders>
            <w:tcW w:w="1179" w:type="dxa"/>
            <w:vAlign w:val="center"/>
            <w:textDirection w:val="lrTb"/>
            <w:noWrap w:val="false"/>
          </w:tcPr>
          <w:p>
            <w:pPr>
              <w:pStyle w:val="860"/>
              <w:ind w:right="108"/>
              <w:jc w:val="left"/>
              <w:spacing w:before="68" w:line="264" w:lineRule="auto"/>
              <w:rPr>
                <w:rFonts w:hint="eastAsia" w:ascii="宋体" w:hAnsi="宋体" w:cs="宋体"/>
                <w:spacing w:val="-2"/>
              </w:rPr>
            </w:pPr>
            <w:r>
              <w:rPr>
                <w:rFonts w:ascii="宋体" w:hAnsi="宋体" w:cs="宋体"/>
                <w:spacing w:val="-2"/>
              </w:rPr>
              <w:t xml:space="preserve">项目实施方案</w:t>
            </w:r>
            <w:r>
              <w:rPr>
                <w:rFonts w:hint="eastAsia" w:ascii="宋体" w:hAnsi="宋体" w:cs="宋体"/>
                <w:spacing w:val="-2"/>
              </w:rPr>
            </w:r>
            <w:r/>
          </w:p>
        </w:tc>
        <w:tc>
          <w:tcPr>
            <w:tcBorders>
              <w:top w:val="single" w:color="000000" w:sz="2" w:space="0"/>
              <w:bottom w:val="single" w:color="000000" w:sz="2" w:space="0"/>
            </w:tcBorders>
            <w:tcW w:w="6425" w:type="dxa"/>
            <w:vAlign w:val="center"/>
            <w:textDirection w:val="lrTb"/>
            <w:noWrap w:val="false"/>
          </w:tcPr>
          <w:p>
            <w:pPr>
              <w:pStyle w:val="860"/>
              <w:rPr>
                <w:szCs w:val="21"/>
              </w:rPr>
            </w:pPr>
            <w:r>
              <w:rPr>
                <w:rFonts w:hint="eastAsia"/>
                <w:szCs w:val="21"/>
              </w:rPr>
              <w:t xml:space="preserve">根据本项目采购需求编制项目实施方案，内容包含：1.</w:t>
            </w:r>
            <w:r>
              <w:rPr>
                <w:szCs w:val="21"/>
              </w:rPr>
              <w:t xml:space="preserve">项目组织架构与人员配置</w:t>
            </w:r>
            <w:r>
              <w:rPr>
                <w:rFonts w:hint="eastAsia"/>
                <w:szCs w:val="21"/>
              </w:rPr>
              <w:t xml:space="preserve">；2.</w:t>
            </w:r>
            <w:r>
              <w:rPr>
                <w:szCs w:val="21"/>
              </w:rPr>
              <w:t xml:space="preserve">项目实施进度管理</w:t>
            </w:r>
            <w:r>
              <w:rPr>
                <w:rFonts w:hint="eastAsia"/>
                <w:szCs w:val="21"/>
              </w:rPr>
              <w:t xml:space="preserve">；3.</w:t>
            </w:r>
            <w:r>
              <w:rPr>
                <w:szCs w:val="21"/>
              </w:rPr>
              <w:t xml:space="preserve">项目质量管理</w:t>
            </w:r>
            <w:r>
              <w:rPr>
                <w:rFonts w:hint="eastAsia"/>
                <w:szCs w:val="21"/>
              </w:rPr>
              <w:t xml:space="preserve">；4.</w:t>
            </w:r>
            <w:r>
              <w:rPr>
                <w:szCs w:val="21"/>
              </w:rPr>
              <w:t xml:space="preserve">项目文档管理</w:t>
            </w:r>
            <w:r>
              <w:rPr>
                <w:rFonts w:hint="eastAsia"/>
                <w:szCs w:val="21"/>
              </w:rPr>
              <w:t xml:space="preserve">。以上每项内容逐项评分：</w:t>
            </w:r>
            <w:r>
              <w:rPr>
                <w:szCs w:val="21"/>
              </w:rPr>
            </w:r>
            <w:r/>
          </w:p>
          <w:p>
            <w:pPr>
              <w:pStyle w:val="860"/>
            </w:pPr>
            <w:r>
              <w:t xml:space="preserve">方案内容</w:t>
            </w:r>
            <w:r>
              <w:rPr>
                <w:rFonts w:hint="eastAsia"/>
                <w:szCs w:val="21"/>
              </w:rPr>
              <w:t xml:space="preserve">完整深刻，且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860"/>
              <w:rPr>
                <w:rFonts w:hint="eastAsia"/>
                <w:szCs w:val="21"/>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rPr>
                <w:rFonts w:hint="eastAsia"/>
                <w:szCs w:val="21"/>
              </w:rPr>
            </w:r>
            <w:r/>
          </w:p>
        </w:tc>
        <w:tc>
          <w:tcPr>
            <w:tcBorders>
              <w:top w:val="single" w:color="000000" w:sz="2" w:space="0"/>
              <w:bottom w:val="single" w:color="000000" w:sz="2" w:space="0"/>
            </w:tcBorders>
            <w:tcW w:w="63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8</w:t>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ascii="宋体" w:hAnsi="宋体" w:cs="宋体"/>
                <w:spacing w:val="-6"/>
                <w:szCs w:val="21"/>
              </w:rPr>
            </w:pPr>
            <w:r>
              <w:rPr>
                <w:rFonts w:hint="eastAsia" w:ascii="宋体" w:hAnsi="宋体" w:cs="宋体"/>
                <w:spacing w:val="-6"/>
                <w:szCs w:val="21"/>
              </w:rPr>
              <w:t xml:space="preserve">主观分</w:t>
            </w:r>
            <w:r>
              <w:rPr>
                <w:rFonts w:ascii="宋体" w:hAnsi="宋体" w:cs="宋体"/>
                <w:spacing w:val="-6"/>
                <w:szCs w:val="21"/>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2.4</w:t>
            </w:r>
            <w:r/>
          </w:p>
        </w:tc>
        <w:tc>
          <w:tcPr>
            <w:tcBorders>
              <w:top w:val="single" w:color="000000" w:sz="2" w:space="0"/>
              <w:bottom w:val="single" w:color="000000" w:sz="2" w:space="0"/>
            </w:tcBorders>
            <w:tcW w:w="1179" w:type="dxa"/>
            <w:vAlign w:val="center"/>
            <w:textDirection w:val="lrTb"/>
            <w:noWrap w:val="false"/>
          </w:tcPr>
          <w:p>
            <w:pPr>
              <w:pStyle w:val="860"/>
              <w:ind w:right="108"/>
              <w:jc w:val="left"/>
              <w:spacing w:before="68" w:line="264" w:lineRule="auto"/>
              <w:rPr>
                <w:rFonts w:hint="eastAsia" w:ascii="宋体" w:hAnsi="宋体" w:cs="宋体"/>
                <w:spacing w:val="-2"/>
              </w:rPr>
            </w:pPr>
            <w:r>
              <w:rPr>
                <w:rFonts w:ascii="宋体" w:hAnsi="宋体" w:cs="宋体"/>
                <w:spacing w:val="-2"/>
              </w:rPr>
              <w:t xml:space="preserve">系统对接方案</w:t>
            </w:r>
            <w:r>
              <w:rPr>
                <w:rFonts w:hint="eastAsia" w:ascii="宋体" w:hAnsi="宋体" w:cs="宋体"/>
                <w:spacing w:val="-2"/>
              </w:rPr>
            </w:r>
            <w:r/>
          </w:p>
        </w:tc>
        <w:tc>
          <w:tcPr>
            <w:tcBorders>
              <w:top w:val="single" w:color="000000" w:sz="2" w:space="0"/>
              <w:bottom w:val="single" w:color="000000" w:sz="2" w:space="0"/>
            </w:tcBorders>
            <w:tcW w:w="6425" w:type="dxa"/>
            <w:vAlign w:val="center"/>
            <w:textDirection w:val="lrTb"/>
            <w:noWrap w:val="false"/>
          </w:tcPr>
          <w:p>
            <w:pPr>
              <w:pStyle w:val="860"/>
              <w:rPr>
                <w:szCs w:val="21"/>
              </w:rPr>
            </w:pPr>
            <w:r/>
            <w:bookmarkStart w:id="124" w:name="OLE_LINK40"/>
            <w:r>
              <w:rPr>
                <w:rFonts w:hint="eastAsia"/>
                <w:szCs w:val="21"/>
              </w:rPr>
              <w:t xml:space="preserve">根据本项目采购需求编制系统对接方案，内容包含：</w:t>
            </w:r>
            <w:r>
              <w:rPr>
                <w:rFonts w:hint="eastAsia"/>
                <w:szCs w:val="21"/>
              </w:rPr>
              <w:t xml:space="preserve">1.</w:t>
            </w:r>
            <w:r>
              <w:rPr>
                <w:szCs w:val="21"/>
              </w:rPr>
              <w:t xml:space="preserve">政务大模型平台对接</w:t>
            </w:r>
            <w:r>
              <w:rPr>
                <w:rFonts w:hint="eastAsia"/>
                <w:szCs w:val="21"/>
              </w:rPr>
              <w:t xml:space="preserve">；2.</w:t>
            </w:r>
            <w:r>
              <w:rPr>
                <w:szCs w:val="21"/>
              </w:rPr>
              <w:t xml:space="preserve">“城市之眼”感知系统融合平台对接</w:t>
            </w:r>
            <w:r>
              <w:rPr>
                <w:rFonts w:hint="eastAsia"/>
                <w:szCs w:val="21"/>
              </w:rPr>
              <w:t xml:space="preserve">；3.</w:t>
            </w:r>
            <w:r>
              <w:rPr>
                <w:szCs w:val="21"/>
              </w:rPr>
              <w:t xml:space="preserve">数字资源一体化智能化平台对接</w:t>
            </w:r>
            <w:r>
              <w:rPr>
                <w:rFonts w:hint="eastAsia"/>
                <w:szCs w:val="21"/>
              </w:rPr>
              <w:t xml:space="preserve">、行业应用系统（</w:t>
            </w:r>
            <w:r>
              <w:rPr>
                <w:rFonts w:hint="eastAsia"/>
                <w:szCs w:val="21"/>
              </w:rPr>
              <w:t xml:space="preserve">平台</w:t>
            </w:r>
            <w:r>
              <w:rPr>
                <w:rFonts w:hint="eastAsia"/>
                <w:szCs w:val="21"/>
              </w:rPr>
              <w:t xml:space="preserve">）</w:t>
            </w:r>
            <w:r>
              <w:rPr>
                <w:rFonts w:hint="eastAsia"/>
                <w:szCs w:val="21"/>
              </w:rPr>
              <w:t xml:space="preserve">对接</w:t>
            </w:r>
            <w:r>
              <w:rPr>
                <w:rFonts w:hint="eastAsia"/>
                <w:szCs w:val="21"/>
              </w:rPr>
              <w:t xml:space="preserve">。以上每项内容逐项评分：</w:t>
            </w:r>
            <w:r>
              <w:rPr>
                <w:szCs w:val="21"/>
              </w:rPr>
            </w:r>
            <w:r/>
          </w:p>
          <w:p>
            <w:pPr>
              <w:pStyle w:val="860"/>
            </w:pPr>
            <w:r>
              <w:t xml:space="preserve">方案内容</w:t>
            </w:r>
            <w:r>
              <w:rPr>
                <w:rFonts w:hint="eastAsia"/>
                <w:szCs w:val="21"/>
              </w:rPr>
              <w:t xml:space="preserve">详</w:t>
            </w:r>
            <w:r>
              <w:rPr>
                <w:rFonts w:hint="eastAsia"/>
                <w:szCs w:val="21"/>
              </w:rPr>
              <w:t xml:space="preserve">尽、科学合理</w:t>
            </w:r>
            <w:r>
              <w:rPr>
                <w:rFonts w:hint="eastAsia"/>
                <w:szCs w:val="21"/>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860"/>
              <w:rPr>
                <w:rFonts w:hint="eastAsia"/>
                <w:szCs w:val="21"/>
              </w:rPr>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bookmarkEnd w:id="124"/>
            <w:r>
              <w:rPr>
                <w:rFonts w:hint="eastAsia"/>
                <w:szCs w:val="21"/>
              </w:rPr>
            </w:r>
            <w:r/>
          </w:p>
        </w:tc>
        <w:tc>
          <w:tcPr>
            <w:tcBorders>
              <w:top w:val="single" w:color="000000" w:sz="2" w:space="0"/>
              <w:bottom w:val="single" w:color="000000" w:sz="2" w:space="0"/>
            </w:tcBorders>
            <w:tcW w:w="63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ascii="宋体" w:hAnsi="宋体" w:cs="宋体"/>
                <w:spacing w:val="-6"/>
                <w:szCs w:val="21"/>
              </w:rPr>
            </w:pPr>
            <w:r>
              <w:rPr>
                <w:rFonts w:hint="eastAsia" w:ascii="宋体" w:hAnsi="宋体" w:cs="宋体"/>
                <w:spacing w:val="-6"/>
                <w:szCs w:val="21"/>
              </w:rPr>
              <w:t xml:space="preserve">主观分</w:t>
            </w:r>
            <w:r>
              <w:rPr>
                <w:rFonts w:ascii="宋体" w:hAnsi="宋体" w:cs="宋体"/>
                <w:spacing w:val="-6"/>
                <w:szCs w:val="21"/>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rPr>
              <w:t xml:space="preserve">5 </w:t>
            </w:r>
            <w:r/>
          </w:p>
        </w:tc>
        <w:tc>
          <w:tcPr>
            <w:tcBorders>
              <w:top w:val="single" w:color="000000" w:sz="2" w:space="0"/>
              <w:bottom w:val="single" w:color="000000" w:sz="2" w:space="0"/>
            </w:tcBorders>
            <w:tcW w:w="1179" w:type="dxa"/>
            <w:vAlign w:val="center"/>
            <w:textDirection w:val="lrTb"/>
            <w:noWrap w:val="false"/>
          </w:tcPr>
          <w:p>
            <w:pPr>
              <w:pStyle w:val="860"/>
              <w:ind w:right="108"/>
              <w:jc w:val="left"/>
              <w:spacing w:before="68" w:line="264" w:lineRule="auto"/>
              <w:rPr>
                <w:rFonts w:hint="eastAsia" w:ascii="宋体" w:hAnsi="宋体" w:cs="宋体"/>
                <w:spacing w:val="-2"/>
              </w:rPr>
            </w:pPr>
            <w:r>
              <w:rPr>
                <w:rFonts w:ascii="宋体" w:hAnsi="宋体" w:cs="宋体"/>
                <w:spacing w:val="-2"/>
              </w:rPr>
              <w:t xml:space="preserve">产品视频演示</w:t>
            </w:r>
            <w:r>
              <w:rPr>
                <w:rFonts w:hint="eastAsia" w:ascii="宋体" w:hAnsi="宋体" w:cs="宋体"/>
                <w:spacing w:val="-2"/>
              </w:rPr>
            </w:r>
            <w:r/>
          </w:p>
        </w:tc>
        <w:tc>
          <w:tcPr>
            <w:tcBorders>
              <w:top w:val="single" w:color="000000" w:sz="2" w:space="0"/>
              <w:bottom w:val="single" w:color="000000" w:sz="2" w:space="0"/>
            </w:tcBorders>
            <w:tcW w:w="6425" w:type="dxa"/>
            <w:vAlign w:val="center"/>
            <w:textDirection w:val="lrTb"/>
            <w:noWrap w:val="false"/>
          </w:tcPr>
          <w:p>
            <w:pPr>
              <w:pStyle w:val="860"/>
              <w:rPr>
                <w:szCs w:val="21"/>
              </w:rPr>
            </w:pPr>
            <w:r>
              <w:rPr>
                <w:szCs w:val="21"/>
              </w:rPr>
              <w:t xml:space="preserve">评委根据供应商提供的演示视频（总演示时间不超过</w:t>
            </w:r>
            <w:r>
              <w:rPr>
                <w:rFonts w:hint="eastAsia"/>
                <w:szCs w:val="21"/>
              </w:rPr>
              <w:t xml:space="preserve">10</w:t>
            </w:r>
            <w:r>
              <w:rPr>
                <w:szCs w:val="21"/>
              </w:rPr>
              <w:t xml:space="preserve">分钟）综合评分。演示视频包括以下内容： </w:t>
            </w:r>
            <w:r/>
          </w:p>
          <w:p>
            <w:pPr>
              <w:pStyle w:val="860"/>
              <w:rPr>
                <w:szCs w:val="21"/>
              </w:rPr>
            </w:pPr>
            <w:r>
              <w:rPr>
                <w:rFonts w:hint="eastAsia"/>
                <w:szCs w:val="21"/>
              </w:rPr>
              <w:t xml:space="preserve">1、</w:t>
            </w:r>
            <w:r>
              <w:rPr>
                <w:szCs w:val="21"/>
              </w:rPr>
              <w:t xml:space="preserve">空间数据资产一张图</w:t>
            </w:r>
            <w:r>
              <w:rPr>
                <w:rFonts w:hint="eastAsia"/>
                <w:szCs w:val="21"/>
              </w:rPr>
              <w:t xml:space="preserve">：</w:t>
            </w:r>
            <w:r>
              <w:rPr>
                <w:szCs w:val="21"/>
              </w:rPr>
            </w:r>
            <w:r/>
          </w:p>
          <w:p>
            <w:pPr>
              <w:pStyle w:val="860"/>
              <w:rPr>
                <w:szCs w:val="21"/>
              </w:rPr>
            </w:pPr>
            <w:r>
              <w:rPr>
                <w:rFonts w:hint="eastAsia"/>
                <w:szCs w:val="21"/>
              </w:rPr>
              <w:t xml:space="preserve">（1）</w:t>
            </w:r>
            <w:r>
              <w:rPr>
                <w:szCs w:val="21"/>
              </w:rPr>
              <w:t xml:space="preserve">服务图层管理：多类空间数据图层统一管理，多维度图层目录化展示； </w:t>
            </w:r>
            <w:r/>
          </w:p>
          <w:p>
            <w:pPr>
              <w:pStyle w:val="860"/>
              <w:rPr>
                <w:szCs w:val="21"/>
              </w:rPr>
            </w:pPr>
            <w:r>
              <w:rPr>
                <w:szCs w:val="21"/>
              </w:rPr>
              <w:t xml:space="preserve">（2）图层操作控制：支持图层勾选显隐、展开、重置操作；</w:t>
            </w:r>
            <w:r/>
          </w:p>
          <w:p>
            <w:pPr>
              <w:pStyle w:val="860"/>
              <w:rPr>
                <w:szCs w:val="21"/>
              </w:rPr>
            </w:pPr>
            <w:r>
              <w:rPr>
                <w:rFonts w:hint="eastAsia"/>
                <w:szCs w:val="21"/>
              </w:rPr>
              <w:t xml:space="preserve">（3）</w:t>
            </w:r>
            <w:r>
              <w:rPr>
                <w:szCs w:val="21"/>
              </w:rPr>
              <w:t xml:space="preserve">空间资产可视化总览：地图叠加展示点位地理分布，完成空间数据资产可视化总览。</w:t>
            </w:r>
            <w:r/>
          </w:p>
          <w:p>
            <w:pPr>
              <w:pStyle w:val="873"/>
              <w:ind w:firstLine="0"/>
              <w:rPr>
                <w:rFonts w:ascii="Times New Roman" w:hAnsi="Times New Roman"/>
                <w:sz w:val="21"/>
                <w:szCs w:val="21"/>
                <w:lang w:eastAsia="zh-CN"/>
              </w:rPr>
            </w:pPr>
            <w:r>
              <w:rPr>
                <w:rFonts w:hint="eastAsia" w:ascii="Times New Roman" w:hAnsi="Times New Roman"/>
                <w:sz w:val="21"/>
                <w:szCs w:val="21"/>
                <w:lang w:eastAsia="zh-CN"/>
              </w:rPr>
              <w:t xml:space="preserve">2、</w:t>
            </w:r>
            <w:r>
              <w:rPr>
                <w:rFonts w:ascii="Times New Roman" w:hAnsi="Times New Roman"/>
                <w:sz w:val="21"/>
                <w:szCs w:val="21"/>
                <w:lang w:eastAsia="zh-CN"/>
              </w:rPr>
              <w:t xml:space="preserve">零代码构建可视化查询及自定义图表配置</w:t>
            </w:r>
            <w:r>
              <w:rPr>
                <w:rFonts w:hint="eastAsia" w:ascii="Times New Roman" w:hAnsi="Times New Roman"/>
                <w:sz w:val="21"/>
                <w:szCs w:val="21"/>
                <w:lang w:eastAsia="zh-CN"/>
              </w:rPr>
              <w:t xml:space="preserve">：</w:t>
            </w:r>
            <w:r>
              <w:rPr>
                <w:rFonts w:ascii="Times New Roman" w:hAnsi="Times New Roman"/>
                <w:sz w:val="21"/>
                <w:szCs w:val="21"/>
                <w:lang w:eastAsia="zh-CN"/>
              </w:rPr>
            </w:r>
            <w:r/>
          </w:p>
          <w:p>
            <w:pPr>
              <w:pStyle w:val="860"/>
              <w:rPr>
                <w:szCs w:val="21"/>
              </w:rPr>
            </w:pPr>
            <w:r/>
            <w:bookmarkStart w:id="125" w:name="OLE_LINK34"/>
            <w:r>
              <w:rPr>
                <w:rFonts w:hint="eastAsia"/>
                <w:szCs w:val="21"/>
              </w:rPr>
              <w:t xml:space="preserve">（4）</w:t>
            </w:r>
            <w:r>
              <w:rPr>
                <w:szCs w:val="21"/>
              </w:rPr>
              <w:t xml:space="preserve">业务表单与时间配置：支持可选业务表单类型，支持灵活配置数据默认取值时间范围；</w:t>
            </w:r>
            <w:r/>
          </w:p>
          <w:p>
            <w:pPr>
              <w:pStyle w:val="860"/>
              <w:rPr>
                <w:szCs w:val="21"/>
              </w:rPr>
            </w:pPr>
            <w:r>
              <w:rPr>
                <w:rFonts w:hint="eastAsia"/>
                <w:szCs w:val="21"/>
              </w:rPr>
              <w:t xml:space="preserve">（5）</w:t>
            </w:r>
            <w:r>
              <w:rPr>
                <w:szCs w:val="21"/>
              </w:rPr>
              <w:t xml:space="preserve">图表指标配置：支持配置图表横轴维度、柱体、折线指标，提供图表实时预览效果。</w:t>
            </w:r>
            <w:r/>
          </w:p>
          <w:p>
            <w:pPr>
              <w:pStyle w:val="873"/>
              <w:ind w:firstLine="0"/>
              <w:rPr>
                <w:rFonts w:ascii="Times New Roman" w:hAnsi="Times New Roman"/>
                <w:sz w:val="21"/>
                <w:szCs w:val="21"/>
                <w:lang w:eastAsia="zh-CN"/>
              </w:rPr>
            </w:pPr>
            <w:r/>
            <w:bookmarkEnd w:id="125"/>
            <w:r>
              <w:rPr>
                <w:rFonts w:hint="eastAsia" w:ascii="Times New Roman" w:hAnsi="Times New Roman"/>
                <w:sz w:val="21"/>
                <w:szCs w:val="21"/>
                <w:lang w:eastAsia="zh-CN"/>
              </w:rPr>
              <w:t xml:space="preserve">3、</w:t>
            </w:r>
            <w:r>
              <w:rPr>
                <w:rFonts w:ascii="Times New Roman" w:hAnsi="Times New Roman"/>
                <w:sz w:val="21"/>
                <w:szCs w:val="21"/>
                <w:lang w:eastAsia="zh-CN"/>
              </w:rPr>
              <w:t xml:space="preserve">空间智能体交互演示</w:t>
            </w:r>
            <w:r>
              <w:rPr>
                <w:rFonts w:hint="eastAsia" w:ascii="Times New Roman" w:hAnsi="Times New Roman"/>
                <w:sz w:val="21"/>
                <w:szCs w:val="21"/>
                <w:lang w:eastAsia="zh-CN"/>
              </w:rPr>
              <w:t xml:space="preserve">：</w:t>
            </w:r>
            <w:r>
              <w:rPr>
                <w:rFonts w:ascii="Times New Roman" w:hAnsi="Times New Roman"/>
                <w:sz w:val="21"/>
                <w:szCs w:val="21"/>
                <w:lang w:eastAsia="zh-CN"/>
              </w:rPr>
            </w:r>
            <w:r/>
          </w:p>
          <w:p>
            <w:pPr>
              <w:pStyle w:val="860"/>
              <w:rPr>
                <w:szCs w:val="21"/>
              </w:rPr>
            </w:pPr>
            <w:r>
              <w:rPr>
                <w:rFonts w:hint="eastAsia"/>
                <w:szCs w:val="21"/>
              </w:rPr>
              <w:t xml:space="preserve">（6）</w:t>
            </w:r>
            <w:r>
              <w:rPr>
                <w:szCs w:val="21"/>
              </w:rPr>
              <w:t xml:space="preserve">支持通过自然语言解析方式调用空间分析工具，实现实时空间数据查询；</w:t>
            </w:r>
            <w:r/>
          </w:p>
          <w:p>
            <w:pPr>
              <w:pStyle w:val="860"/>
              <w:rPr>
                <w:szCs w:val="21"/>
              </w:rPr>
            </w:pPr>
            <w:r>
              <w:rPr>
                <w:rFonts w:hint="eastAsia"/>
                <w:szCs w:val="21"/>
              </w:rPr>
              <w:t xml:space="preserve">（7）</w:t>
            </w:r>
            <w:r>
              <w:rPr>
                <w:szCs w:val="21"/>
              </w:rPr>
              <w:t xml:space="preserve">支持通过业务事件自动关联周边空间数据资源，并将查询结果以地图分布图的形式进行展现。</w:t>
            </w:r>
            <w:r/>
          </w:p>
          <w:p>
            <w:pPr>
              <w:pStyle w:val="860"/>
              <w:rPr>
                <w:rFonts w:hint="eastAsia"/>
                <w:szCs w:val="21"/>
              </w:rPr>
            </w:pPr>
            <w:r>
              <w:rPr>
                <w:szCs w:val="21"/>
              </w:rPr>
              <w:t xml:space="preserve">采用类似真实系统演示，</w:t>
            </w:r>
            <w:bookmarkStart w:id="126" w:name="OLE_LINK36"/>
            <w:r>
              <w:rPr>
                <w:szCs w:val="21"/>
              </w:rPr>
              <w:t xml:space="preserve">每小项功能</w:t>
            </w:r>
            <w:r>
              <w:rPr>
                <w:rFonts w:hint="eastAsia"/>
                <w:szCs w:val="21"/>
              </w:rPr>
              <w:t xml:space="preserve">演示，</w:t>
            </w:r>
            <w:bookmarkEnd w:id="126"/>
            <w:r>
              <w:rPr>
                <w:szCs w:val="21"/>
              </w:rPr>
              <w:t xml:space="preserve">内容理解程度完整、覆盖程度方面准确、界面友好的，得3分；建设内容理解程度较完整、覆盖程度方面较准确、界面相对友好的，得1.5分；其他不得分；</w:t>
            </w:r>
            <w:r>
              <w:rPr>
                <w:rFonts w:hint="eastAsia"/>
                <w:szCs w:val="21"/>
              </w:rPr>
              <w:t xml:space="preserve">最多得21分。</w:t>
            </w:r>
            <w:r/>
          </w:p>
          <w:p>
            <w:pPr>
              <w:pStyle w:val="860"/>
              <w:rPr>
                <w:szCs w:val="21"/>
              </w:rPr>
            </w:pPr>
            <w:r>
              <w:rPr>
                <w:szCs w:val="21"/>
              </w:rPr>
              <w:t xml:space="preserve">采用系统原型（DEMO）演示，</w:t>
            </w:r>
            <w:bookmarkStart w:id="127" w:name="OLE_LINK37"/>
            <w:r>
              <w:rPr>
                <w:szCs w:val="21"/>
              </w:rPr>
              <w:t xml:space="preserve">每小项功能</w:t>
            </w:r>
            <w:r>
              <w:rPr>
                <w:rFonts w:hint="eastAsia"/>
                <w:szCs w:val="21"/>
              </w:rPr>
              <w:t xml:space="preserve">演示，</w:t>
            </w:r>
            <w:r>
              <w:rPr>
                <w:szCs w:val="21"/>
              </w:rPr>
              <w:t xml:space="preserve">内容理解程度完整、覆盖程度方面准确、界</w:t>
            </w:r>
            <w:r>
              <w:rPr>
                <w:szCs w:val="21"/>
              </w:rPr>
              <w:t xml:space="preserve">面友好的，得</w:t>
            </w:r>
            <w:r>
              <w:rPr>
                <w:rFonts w:hint="eastAsia"/>
                <w:szCs w:val="21"/>
              </w:rPr>
              <w:t xml:space="preserve">1</w:t>
            </w:r>
            <w:r>
              <w:rPr>
                <w:szCs w:val="21"/>
              </w:rPr>
              <w:t xml:space="preserve">分；建设内容理解程度较完整、覆盖程度方面较准确、界面相对友好的，得</w:t>
            </w:r>
            <w:r>
              <w:rPr>
                <w:rFonts w:hint="eastAsia"/>
                <w:szCs w:val="21"/>
              </w:rPr>
              <w:t xml:space="preserve">0.5</w:t>
            </w:r>
            <w:r>
              <w:rPr>
                <w:szCs w:val="21"/>
              </w:rPr>
              <w:t xml:space="preserve">分；其他不得分；</w:t>
            </w:r>
            <w:r>
              <w:rPr>
                <w:rFonts w:hint="eastAsia"/>
                <w:szCs w:val="21"/>
              </w:rPr>
              <w:t xml:space="preserve">最多得7分。</w:t>
            </w:r>
            <w:bookmarkEnd w:id="127"/>
            <w:r>
              <w:rPr>
                <w:szCs w:val="21"/>
              </w:rPr>
            </w:r>
            <w:r/>
          </w:p>
          <w:p>
            <w:pPr>
              <w:pStyle w:val="860"/>
              <w:rPr>
                <w:szCs w:val="21"/>
              </w:rPr>
            </w:pPr>
            <w:r>
              <w:rPr>
                <w:szCs w:val="21"/>
              </w:rPr>
              <w:t xml:space="preserve">采用PPT等方式演示，每小项功能</w:t>
            </w:r>
            <w:r>
              <w:rPr>
                <w:rFonts w:hint="eastAsia"/>
                <w:szCs w:val="21"/>
              </w:rPr>
              <w:t xml:space="preserve">演示，</w:t>
            </w:r>
            <w:r>
              <w:rPr>
                <w:szCs w:val="21"/>
              </w:rPr>
              <w:t xml:space="preserve">内容理解程度完整、覆盖程度方面准确、界面友好的，得</w:t>
            </w:r>
            <w:r>
              <w:rPr>
                <w:rFonts w:hint="eastAsia"/>
                <w:szCs w:val="21"/>
              </w:rPr>
              <w:t xml:space="preserve">0.5</w:t>
            </w:r>
            <w:r>
              <w:rPr>
                <w:szCs w:val="21"/>
              </w:rPr>
              <w:t xml:space="preserve">分；其他不得分；</w:t>
            </w:r>
            <w:r>
              <w:rPr>
                <w:rFonts w:hint="eastAsia"/>
                <w:szCs w:val="21"/>
              </w:rPr>
              <w:t xml:space="preserve">最多得3.5分。</w:t>
            </w:r>
            <w:r>
              <w:rPr>
                <w:szCs w:val="21"/>
              </w:rPr>
              <w:t xml:space="preserve"> </w:t>
            </w:r>
            <w:r/>
          </w:p>
          <w:p>
            <w:pPr>
              <w:pStyle w:val="860"/>
              <w:rPr>
                <w:rFonts w:hint="eastAsia"/>
                <w:szCs w:val="21"/>
              </w:rPr>
            </w:pPr>
            <w:r>
              <w:rPr>
                <w:szCs w:val="21"/>
              </w:rPr>
              <w:t xml:space="preserve">（未提供视频文件或因供应商自身原因视频文件无法打开或视频画面不清晰无法辨认的不得分。）</w:t>
            </w:r>
            <w:r>
              <w:rPr>
                <w:rFonts w:hint="eastAsia"/>
                <w:szCs w:val="21"/>
              </w:rPr>
            </w:r>
            <w:r/>
          </w:p>
        </w:tc>
        <w:tc>
          <w:tcPr>
            <w:tcBorders>
              <w:top w:val="single" w:color="000000" w:sz="2" w:space="0"/>
              <w:bottom w:val="single" w:color="000000" w:sz="2" w:space="0"/>
            </w:tcBorders>
            <w:tcW w:w="63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21</w:t>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ascii="宋体" w:hAnsi="宋体" w:cs="宋体"/>
                <w:spacing w:val="-6"/>
                <w:szCs w:val="21"/>
              </w:rPr>
            </w:pPr>
            <w:r>
              <w:rPr>
                <w:rFonts w:hint="eastAsia" w:ascii="宋体" w:hAnsi="宋体" w:cs="宋体"/>
                <w:spacing w:val="-6"/>
                <w:szCs w:val="21"/>
              </w:rPr>
              <w:t xml:space="preserve">主观分</w:t>
            </w:r>
            <w:r>
              <w:rPr>
                <w:rFonts w:ascii="宋体" w:hAnsi="宋体" w:cs="宋体"/>
                <w:spacing w:val="-6"/>
                <w:szCs w:val="21"/>
              </w:rPr>
            </w:r>
            <w:r/>
          </w:p>
        </w:tc>
      </w:tr>
      <w:tr>
        <w:trPr>
          <w:trHeight w:val="371"/>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2.6</w:t>
            </w:r>
            <w:r/>
          </w:p>
        </w:tc>
        <w:tc>
          <w:tcPr>
            <w:tcBorders>
              <w:top w:val="single" w:color="000000" w:sz="2" w:space="0"/>
              <w:bottom w:val="single" w:color="000000" w:sz="2" w:space="0"/>
            </w:tcBorders>
            <w:tcW w:w="1179" w:type="dxa"/>
            <w:vAlign w:val="center"/>
            <w:textDirection w:val="lrTb"/>
            <w:noWrap w:val="false"/>
          </w:tcPr>
          <w:p>
            <w:pPr>
              <w:pStyle w:val="860"/>
              <w:ind w:right="108"/>
              <w:jc w:val="left"/>
              <w:spacing w:before="68" w:line="264" w:lineRule="auto"/>
              <w:rPr>
                <w:rFonts w:ascii="宋体" w:hAnsi="宋体" w:cs="宋体"/>
                <w:spacing w:val="-2"/>
              </w:rPr>
            </w:pPr>
            <w:r>
              <w:rPr>
                <w:rFonts w:ascii="宋体" w:hAnsi="宋体" w:cs="宋体"/>
                <w:spacing w:val="-2"/>
              </w:rPr>
              <w:t xml:space="preserve">维保服务方案</w:t>
            </w:r>
            <w:r/>
          </w:p>
        </w:tc>
        <w:tc>
          <w:tcPr>
            <w:tcBorders>
              <w:top w:val="single" w:color="000000" w:sz="2" w:space="0"/>
              <w:bottom w:val="single" w:color="000000" w:sz="2" w:space="0"/>
            </w:tcBorders>
            <w:tcW w:w="6425" w:type="dxa"/>
            <w:vAlign w:val="center"/>
            <w:textDirection w:val="lrTb"/>
            <w:noWrap w:val="false"/>
          </w:tcPr>
          <w:p>
            <w:pPr>
              <w:pStyle w:val="860"/>
              <w:rPr>
                <w:szCs w:val="21"/>
              </w:rPr>
            </w:pPr>
            <w:r>
              <w:rPr>
                <w:rFonts w:hint="eastAsia"/>
                <w:szCs w:val="21"/>
              </w:rPr>
              <w:t xml:space="preserve">根据本项目采购需求编制维保服务方案，内容包含：1.</w:t>
            </w:r>
            <w:r>
              <w:rPr>
                <w:szCs w:val="21"/>
              </w:rPr>
              <w:t xml:space="preserve">服务措施</w:t>
            </w:r>
            <w:r>
              <w:rPr>
                <w:rFonts w:hint="eastAsia"/>
                <w:szCs w:val="21"/>
              </w:rPr>
              <w:t xml:space="preserve">；2、</w:t>
            </w:r>
            <w:r>
              <w:rPr>
                <w:szCs w:val="21"/>
              </w:rPr>
              <w:t xml:space="preserve">应急举措</w:t>
            </w:r>
            <w:r>
              <w:rPr>
                <w:rFonts w:hint="eastAsia"/>
                <w:szCs w:val="21"/>
              </w:rPr>
              <w:t xml:space="preserve">；3.</w:t>
            </w:r>
            <w:r>
              <w:rPr>
                <w:szCs w:val="21"/>
              </w:rPr>
              <w:t xml:space="preserve">服务流程及服务保障体系等</w:t>
            </w:r>
            <w:r>
              <w:rPr>
                <w:rFonts w:hint="eastAsia"/>
                <w:szCs w:val="21"/>
              </w:rPr>
              <w:t xml:space="preserve">。以上每项内容逐项评分：</w:t>
            </w:r>
            <w:r>
              <w:rPr>
                <w:szCs w:val="21"/>
              </w:rPr>
            </w:r>
            <w:r/>
          </w:p>
          <w:p>
            <w:pPr>
              <w:pStyle w:val="860"/>
            </w:pPr>
            <w:r>
              <w:t xml:space="preserve">方案内容</w:t>
            </w:r>
            <w:bookmarkStart w:id="128" w:name="OLE_LINK41"/>
            <w:r>
              <w:rPr>
                <w:rFonts w:hint="eastAsia"/>
                <w:szCs w:val="21"/>
              </w:rPr>
              <w:t xml:space="preserve">详尽合理、技术先进</w:t>
            </w:r>
            <w:bookmarkEnd w:id="128"/>
            <w:r>
              <w:rPr>
                <w:rFonts w:hint="eastAsia"/>
                <w:szCs w:val="21"/>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860"/>
              <w:rPr>
                <w:szCs w:val="21"/>
              </w:rPr>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r>
              <w:rPr>
                <w:szCs w:val="21"/>
              </w:rPr>
            </w:r>
            <w:r/>
          </w:p>
        </w:tc>
        <w:tc>
          <w:tcPr>
            <w:tcBorders>
              <w:top w:val="single" w:color="000000" w:sz="2" w:space="0"/>
              <w:bottom w:val="single" w:color="000000" w:sz="2" w:space="0"/>
            </w:tcBorders>
            <w:tcW w:w="63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2.7</w:t>
            </w:r>
            <w:r/>
          </w:p>
        </w:tc>
        <w:tc>
          <w:tcPr>
            <w:tcBorders>
              <w:top w:val="single" w:color="000000" w:sz="2" w:space="0"/>
              <w:bottom w:val="single" w:color="000000" w:sz="2" w:space="0"/>
            </w:tcBorders>
            <w:tcW w:w="1179" w:type="dxa"/>
            <w:vAlign w:val="center"/>
            <w:textDirection w:val="lrTb"/>
            <w:noWrap w:val="false"/>
          </w:tcPr>
          <w:p>
            <w:pPr>
              <w:pStyle w:val="860"/>
              <w:ind w:right="108"/>
              <w:jc w:val="left"/>
              <w:spacing w:before="68" w:line="264" w:lineRule="auto"/>
              <w:rPr>
                <w:rFonts w:ascii="宋体" w:hAnsi="宋体" w:cs="宋体"/>
                <w:spacing w:val="-2"/>
              </w:rPr>
            </w:pPr>
            <w:r>
              <w:rPr>
                <w:rFonts w:ascii="宋体" w:hAnsi="宋体" w:cs="宋体"/>
                <w:spacing w:val="-2"/>
              </w:rPr>
              <w:t xml:space="preserve">培训方案</w:t>
            </w:r>
            <w:r/>
          </w:p>
        </w:tc>
        <w:tc>
          <w:tcPr>
            <w:tcBorders>
              <w:top w:val="single" w:color="000000" w:sz="2" w:space="0"/>
              <w:bottom w:val="single" w:color="000000" w:sz="2" w:space="0"/>
            </w:tcBorders>
            <w:tcW w:w="6425" w:type="dxa"/>
            <w:vAlign w:val="center"/>
            <w:textDirection w:val="lrTb"/>
            <w:noWrap w:val="false"/>
          </w:tcPr>
          <w:p>
            <w:pPr>
              <w:pStyle w:val="860"/>
              <w:rPr>
                <w:szCs w:val="21"/>
              </w:rPr>
            </w:pPr>
            <w:r>
              <w:rPr>
                <w:rFonts w:hint="eastAsia"/>
                <w:szCs w:val="21"/>
              </w:rPr>
              <w:t xml:space="preserve">根据本项目采购需求编制培训方案，内容包含：1.培训计划；2、培训内容；3.师资力量。以上每项内容逐项评分：</w:t>
            </w:r>
            <w:r>
              <w:rPr>
                <w:szCs w:val="21"/>
              </w:rPr>
            </w:r>
            <w:r/>
          </w:p>
          <w:p>
            <w:pPr>
              <w:pStyle w:val="860"/>
            </w:pPr>
            <w:r>
              <w:t xml:space="preserve">方案内容</w:t>
            </w:r>
            <w:r>
              <w:rPr>
                <w:rFonts w:hint="eastAsia"/>
                <w:szCs w:val="21"/>
              </w:rPr>
              <w:t xml:space="preserve">详尽合理、技术先进，且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w:t>
            </w:r>
            <w:r>
              <w:t xml:space="preserve">分符合；方案内容非专门针对本项目</w:t>
            </w:r>
            <w:r>
              <w:rPr>
                <w:rFonts w:hint="eastAsia"/>
              </w:rPr>
              <w:t xml:space="preserve">，脱离</w:t>
            </w:r>
            <w:r>
              <w:t xml:space="preserve">采购需求视为不符合。</w:t>
            </w:r>
            <w:r/>
          </w:p>
          <w:p>
            <w:pPr>
              <w:pStyle w:val="860"/>
              <w:rPr>
                <w:szCs w:val="21"/>
              </w:rPr>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r>
              <w:rPr>
                <w:szCs w:val="21"/>
              </w:rPr>
            </w:r>
            <w:r/>
          </w:p>
        </w:tc>
        <w:tc>
          <w:tcPr>
            <w:tcBorders>
              <w:top w:val="single" w:color="000000" w:sz="2" w:space="0"/>
              <w:bottom w:val="single" w:color="000000" w:sz="2" w:space="0"/>
            </w:tcBorders>
            <w:tcW w:w="63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2.8</w:t>
            </w:r>
            <w:r/>
          </w:p>
        </w:tc>
        <w:tc>
          <w:tcPr>
            <w:tcBorders>
              <w:top w:val="single" w:color="000000" w:sz="2" w:space="0"/>
              <w:bottom w:val="single" w:color="000000" w:sz="2" w:space="0"/>
            </w:tcBorders>
            <w:tcW w:w="1179" w:type="dxa"/>
            <w:vAlign w:val="center"/>
            <w:textDirection w:val="lrTb"/>
            <w:noWrap w:val="false"/>
          </w:tcPr>
          <w:p>
            <w:pPr>
              <w:pStyle w:val="860"/>
              <w:ind w:right="108"/>
              <w:jc w:val="left"/>
              <w:spacing w:before="68" w:line="264" w:lineRule="auto"/>
              <w:rPr>
                <w:rFonts w:ascii="宋体" w:hAnsi="宋体" w:cs="宋体"/>
                <w:spacing w:val="-2"/>
              </w:rPr>
            </w:pPr>
            <w:r>
              <w:rPr>
                <w:rFonts w:ascii="宋体" w:hAnsi="宋体" w:cs="宋体"/>
                <w:spacing w:val="-2"/>
              </w:rPr>
              <w:t xml:space="preserve">本地化服务</w:t>
            </w:r>
            <w:r/>
          </w:p>
        </w:tc>
        <w:tc>
          <w:tcPr>
            <w:tcBorders>
              <w:top w:val="single" w:color="000000" w:sz="2" w:space="0"/>
              <w:bottom w:val="single" w:color="000000" w:sz="2" w:space="0"/>
            </w:tcBorders>
            <w:tcW w:w="6425" w:type="dxa"/>
            <w:vAlign w:val="center"/>
            <w:textDirection w:val="lrTb"/>
            <w:noWrap w:val="false"/>
          </w:tcPr>
          <w:p>
            <w:pPr>
              <w:pStyle w:val="860"/>
              <w:rPr>
                <w:rFonts w:hint="eastAsia"/>
                <w:szCs w:val="21"/>
              </w:rPr>
            </w:pPr>
            <w:r>
              <w:rPr>
                <w:rFonts w:hint="eastAsia"/>
                <w:szCs w:val="21"/>
              </w:rPr>
              <w:t xml:space="preserve">供应商</w:t>
            </w:r>
            <w:r>
              <w:rPr>
                <w:rFonts w:hint="eastAsia"/>
                <w:szCs w:val="21"/>
              </w:rPr>
              <w:t xml:space="preserve">成交后提供</w:t>
            </w:r>
            <w:r>
              <w:rPr>
                <w:szCs w:val="21"/>
              </w:rPr>
              <w:t xml:space="preserve">本地化服务的</w:t>
            </w:r>
            <w:r>
              <w:rPr>
                <w:rFonts w:hint="eastAsia"/>
                <w:szCs w:val="21"/>
              </w:rPr>
              <w:t xml:space="preserve">，</w:t>
            </w:r>
            <w:r>
              <w:rPr>
                <w:szCs w:val="21"/>
              </w:rPr>
              <w:t xml:space="preserve">得1分。（提供承诺书或有效证明材料）</w:t>
            </w:r>
            <w:r>
              <w:rPr>
                <w:rFonts w:hint="eastAsia"/>
                <w:szCs w:val="21"/>
              </w:rPr>
            </w:r>
            <w:r/>
          </w:p>
        </w:tc>
        <w:tc>
          <w:tcPr>
            <w:tcBorders>
              <w:top w:val="single" w:color="000000" w:sz="2" w:space="0"/>
              <w:bottom w:val="single" w:color="000000" w:sz="2" w:space="0"/>
            </w:tcBorders>
            <w:tcW w:w="63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1</w:t>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p>
        </w:tc>
      </w:tr>
      <w:tr>
        <w:trPr>
          <w:trHeight w:val="455"/>
        </w:trPr>
        <w:tc>
          <w:tcPr>
            <w:gridSpan w:val="5"/>
            <w:tcBorders>
              <w:top w:val="single" w:color="000000" w:sz="2" w:space="0"/>
              <w:bottom w:val="single" w:color="000000" w:sz="2" w:space="0"/>
            </w:tcBorders>
            <w:tcW w:w="9612" w:type="dxa"/>
            <w:vAlign w:val="center"/>
            <w:textDirection w:val="lrTb"/>
            <w:noWrap w:val="false"/>
          </w:tcPr>
          <w:p>
            <w:pPr>
              <w:pStyle w:val="860"/>
              <w:spacing w:line="264" w:lineRule="auto"/>
              <w:rPr>
                <w:rFonts w:ascii="宋体" w:hAnsi="宋体" w:cs="宋体"/>
                <w:szCs w:val="21"/>
              </w:rPr>
            </w:pPr>
            <w:r>
              <w:rPr>
                <w:rFonts w:hint="eastAsia" w:ascii="宋体" w:hAnsi="宋体" w:cs="宋体"/>
                <w:b/>
                <w:bCs/>
                <w:spacing w:val="-3"/>
                <w:szCs w:val="21"/>
              </w:rPr>
              <w:t xml:space="preserve">3.业绩</w:t>
            </w:r>
            <w:r>
              <w:rPr>
                <w:rFonts w:ascii="宋体" w:hAnsi="宋体" w:cs="宋体"/>
                <w:szCs w:val="21"/>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szCs w:val="21"/>
              </w:rPr>
            </w:pPr>
            <w:r>
              <w:rPr>
                <w:rFonts w:ascii="宋体" w:hAnsi="宋体" w:cs="宋体"/>
                <w:spacing w:val="-2"/>
                <w:szCs w:val="21"/>
              </w:rPr>
              <w:t xml:space="preserve">3.1</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ascii="宋体" w:hAnsi="宋体" w:cs="宋体"/>
                <w:spacing w:val="-2"/>
                <w:szCs w:val="21"/>
              </w:rPr>
            </w:pPr>
            <w:r>
              <w:rPr>
                <w:rFonts w:hint="eastAsia" w:ascii="宋体" w:hAnsi="宋体" w:cs="宋体"/>
                <w:spacing w:val="-1"/>
                <w:szCs w:val="21"/>
              </w:rPr>
              <w:t xml:space="preserve">供应商</w:t>
            </w:r>
            <w:r>
              <w:rPr>
                <w:rFonts w:ascii="宋体" w:hAnsi="宋体" w:cs="宋体"/>
                <w:spacing w:val="-1"/>
                <w:szCs w:val="21"/>
              </w:rPr>
              <w:t xml:space="preserve">业绩</w:t>
            </w:r>
            <w:r>
              <w:rPr>
                <w:rFonts w:ascii="宋体" w:hAnsi="宋体" w:cs="宋体"/>
                <w:spacing w:val="-2"/>
                <w:szCs w:val="21"/>
              </w:rPr>
            </w:r>
            <w:r/>
          </w:p>
        </w:tc>
        <w:tc>
          <w:tcPr>
            <w:tcBorders>
              <w:top w:val="single" w:color="000000" w:sz="2" w:space="0"/>
              <w:bottom w:val="single" w:color="000000" w:sz="2" w:space="0"/>
            </w:tcBorders>
            <w:tcW w:w="6425" w:type="dxa"/>
            <w:vAlign w:val="center"/>
            <w:textDirection w:val="lrTb"/>
            <w:noWrap w:val="false"/>
          </w:tcPr>
          <w:p>
            <w:pPr>
              <w:pStyle w:val="860"/>
              <w:spacing w:line="264" w:lineRule="auto"/>
              <w:rPr>
                <w:rFonts w:ascii="宋体" w:hAnsi="宋体" w:cs="宋体"/>
                <w:szCs w:val="21"/>
              </w:rPr>
            </w:pPr>
            <w:r>
              <w:rPr>
                <w:rFonts w:hint="eastAsia" w:ascii="宋体" w:hAnsi="宋体" w:cs="宋体"/>
                <w:szCs w:val="21"/>
              </w:rPr>
              <w:t xml:space="preserve">供应商提供</w:t>
            </w:r>
            <w:r>
              <w:rPr>
                <w:rFonts w:ascii="宋体" w:hAnsi="宋体" w:cs="宋体"/>
                <w:szCs w:val="21"/>
              </w:rPr>
              <w:t xml:space="preserve">20</w:t>
            </w:r>
            <w:r>
              <w:rPr>
                <w:rFonts w:hint="eastAsia" w:ascii="宋体" w:hAnsi="宋体" w:cs="宋体"/>
                <w:szCs w:val="21"/>
              </w:rPr>
              <w:t xml:space="preserve">24</w:t>
            </w:r>
            <w:r>
              <w:rPr>
                <w:rFonts w:ascii="宋体" w:hAnsi="宋体" w:cs="宋体"/>
                <w:szCs w:val="21"/>
              </w:rPr>
              <w:t xml:space="preserve">年</w:t>
            </w:r>
            <w:r>
              <w:rPr>
                <w:rFonts w:hint="eastAsia" w:ascii="宋体" w:hAnsi="宋体" w:cs="宋体"/>
                <w:szCs w:val="21"/>
              </w:rPr>
              <w:t xml:space="preserve">1</w:t>
            </w:r>
            <w:r>
              <w:rPr>
                <w:rFonts w:ascii="宋体" w:hAnsi="宋体" w:cs="宋体"/>
                <w:szCs w:val="21"/>
              </w:rPr>
              <w:t xml:space="preserve">月</w:t>
            </w:r>
            <w:r>
              <w:rPr>
                <w:rFonts w:hint="eastAsia" w:ascii="宋体" w:hAnsi="宋体" w:cs="宋体"/>
                <w:szCs w:val="21"/>
              </w:rPr>
              <w:t xml:space="preserve">1</w:t>
            </w:r>
            <w:r>
              <w:rPr>
                <w:rFonts w:ascii="宋体" w:hAnsi="宋体" w:cs="宋体"/>
                <w:szCs w:val="21"/>
              </w:rPr>
              <w:t xml:space="preserve">日（含）以来类似项目业绩</w:t>
            </w:r>
            <w:r>
              <w:rPr>
                <w:rFonts w:hint="eastAsia" w:ascii="宋体" w:hAnsi="宋体" w:cs="宋体"/>
                <w:szCs w:val="21"/>
              </w:rPr>
              <w:t xml:space="preserve">（至少包含CIM或GIS），</w:t>
            </w:r>
            <w:r>
              <w:rPr>
                <w:rFonts w:ascii="宋体" w:hAnsi="宋体" w:cs="宋体"/>
                <w:szCs w:val="21"/>
              </w:rPr>
              <w:t xml:space="preserve">每提供</w:t>
            </w:r>
            <w:r>
              <w:rPr>
                <w:rFonts w:hint="eastAsia" w:ascii="宋体" w:hAnsi="宋体" w:cs="宋体"/>
                <w:szCs w:val="21"/>
              </w:rPr>
              <w:t xml:space="preserve">1</w:t>
            </w:r>
            <w:r>
              <w:rPr>
                <w:rFonts w:ascii="宋体" w:hAnsi="宋体" w:cs="宋体"/>
                <w:szCs w:val="21"/>
              </w:rPr>
              <w:t xml:space="preserve">个得</w:t>
            </w:r>
            <w:r>
              <w:rPr>
                <w:rFonts w:hint="eastAsia" w:ascii="宋体" w:hAnsi="宋体" w:cs="宋体"/>
                <w:szCs w:val="21"/>
              </w:rPr>
              <w:t xml:space="preserve">2</w:t>
            </w:r>
            <w:r>
              <w:rPr>
                <w:rFonts w:ascii="宋体" w:hAnsi="宋体" w:cs="宋体"/>
                <w:szCs w:val="21"/>
              </w:rPr>
              <w:t xml:space="preserve">分</w:t>
            </w:r>
            <w:r>
              <w:rPr>
                <w:rFonts w:hint="eastAsia" w:ascii="宋体" w:hAnsi="宋体" w:cs="宋体"/>
                <w:szCs w:val="21"/>
              </w:rPr>
              <w:t xml:space="preserve">，</w:t>
            </w:r>
            <w:r>
              <w:rPr>
                <w:rFonts w:ascii="宋体" w:hAnsi="宋体" w:cs="宋体"/>
                <w:szCs w:val="21"/>
              </w:rPr>
              <w:t xml:space="preserve">最多得</w:t>
            </w:r>
            <w:r>
              <w:rPr>
                <w:rFonts w:hint="eastAsia" w:ascii="宋体" w:hAnsi="宋体" w:cs="宋体"/>
                <w:szCs w:val="21"/>
              </w:rPr>
              <w:t xml:space="preserve">6</w:t>
            </w:r>
            <w:r>
              <w:rPr>
                <w:rFonts w:ascii="宋体" w:hAnsi="宋体" w:cs="宋体"/>
                <w:szCs w:val="21"/>
              </w:rPr>
              <w:t xml:space="preserve">分。</w:t>
            </w:r>
            <w:r/>
          </w:p>
          <w:p>
            <w:pPr>
              <w:pStyle w:val="860"/>
              <w:spacing w:line="264"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时间以合同签订时间为准</w:t>
            </w:r>
            <w:r>
              <w:rPr>
                <w:rFonts w:hint="eastAsia" w:ascii="宋体" w:hAnsi="宋体" w:cs="宋体"/>
                <w:szCs w:val="21"/>
              </w:rPr>
              <w:t xml:space="preserve">，</w:t>
            </w:r>
            <w:r>
              <w:rPr>
                <w:rFonts w:ascii="宋体" w:hAnsi="宋体" w:cs="宋体"/>
                <w:szCs w:val="21"/>
              </w:rPr>
              <w:t xml:space="preserve">提供有效合同</w:t>
            </w:r>
            <w:r>
              <w:rPr>
                <w:rFonts w:hint="eastAsia" w:ascii="宋体" w:hAnsi="宋体" w:cs="宋体"/>
                <w:szCs w:val="21"/>
              </w:rPr>
              <w:t xml:space="preserve">，</w:t>
            </w:r>
            <w:r>
              <w:rPr>
                <w:rFonts w:ascii="宋体" w:hAnsi="宋体" w:cs="宋体"/>
                <w:szCs w:val="21"/>
              </w:rPr>
              <w:t xml:space="preserve">合同</w:t>
            </w:r>
            <w:r>
              <w:rPr>
                <w:rFonts w:hint="eastAsia" w:ascii="宋体" w:hAnsi="宋体" w:cs="宋体"/>
                <w:szCs w:val="21"/>
              </w:rPr>
              <w:t xml:space="preserve">页</w:t>
            </w:r>
            <w:r>
              <w:rPr>
                <w:rFonts w:ascii="宋体" w:hAnsi="宋体" w:cs="宋体"/>
                <w:szCs w:val="21"/>
              </w:rPr>
              <w:t xml:space="preserve">须清晰可见相应内容</w:t>
            </w:r>
            <w:r>
              <w:rPr>
                <w:rFonts w:hint="eastAsia" w:ascii="宋体" w:hAnsi="宋体" w:cs="宋体"/>
                <w:szCs w:val="21"/>
              </w:rPr>
              <w:t xml:space="preserve">）</w:t>
            </w:r>
            <w:r>
              <w:rPr>
                <w:rFonts w:ascii="宋体" w:hAnsi="宋体" w:cs="宋体"/>
                <w:szCs w:val="21"/>
              </w:rPr>
            </w:r>
            <w:r/>
          </w:p>
        </w:tc>
        <w:tc>
          <w:tcPr>
            <w:tcBorders>
              <w:top w:val="single" w:color="000000" w:sz="2" w:space="0"/>
              <w:bottom w:val="single" w:color="000000" w:sz="2" w:space="0"/>
            </w:tcBorders>
            <w:tcW w:w="637" w:type="dxa"/>
            <w:vAlign w:val="center"/>
            <w:textDirection w:val="lrTb"/>
            <w:noWrap w:val="false"/>
          </w:tcPr>
          <w:p>
            <w:pPr>
              <w:pStyle w:val="860"/>
              <w:jc w:val="center"/>
              <w:spacing w:line="264"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rPr>
                <w:rFonts w:hint="eastAsia" w:ascii="宋体" w:hAnsi="宋体" w:cs="宋体"/>
                <w:szCs w:val="21"/>
              </w:rPr>
            </w:r>
            <w:r/>
          </w:p>
        </w:tc>
      </w:tr>
      <w:tr>
        <w:trPr>
          <w:trHeight w:val="269"/>
        </w:trPr>
        <w:tc>
          <w:tcPr>
            <w:gridSpan w:val="5"/>
            <w:tcBorders>
              <w:top w:val="single" w:color="000000" w:sz="2" w:space="0"/>
              <w:bottom w:val="single" w:color="000000" w:sz="2" w:space="0"/>
            </w:tcBorders>
            <w:tcW w:w="9612" w:type="dxa"/>
            <w:vAlign w:val="top"/>
            <w:textDirection w:val="lrTb"/>
            <w:noWrap w:val="false"/>
          </w:tcPr>
          <w:p>
            <w:pPr>
              <w:pStyle w:val="860"/>
              <w:spacing w:before="123" w:line="264" w:lineRule="auto"/>
              <w:rPr>
                <w:rFonts w:ascii="宋体" w:hAnsi="宋体" w:cs="宋体"/>
                <w:szCs w:val="21"/>
              </w:rPr>
            </w:pPr>
            <w:r>
              <w:rPr>
                <w:rFonts w:hint="eastAsia" w:ascii="宋体" w:hAnsi="宋体" w:cs="宋体"/>
                <w:b/>
                <w:bCs/>
                <w:spacing w:val="-3"/>
                <w:szCs w:val="21"/>
              </w:rPr>
              <w:t xml:space="preserve">4.履约能力</w:t>
            </w:r>
            <w:r>
              <w:rPr>
                <w:rFonts w:ascii="宋体" w:hAnsi="宋体" w:cs="宋体"/>
                <w:szCs w:val="21"/>
              </w:rPr>
            </w:r>
            <w:r/>
          </w:p>
        </w:tc>
      </w:tr>
      <w:tr>
        <w:trPr>
          <w:trHeight w:val="792"/>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szCs w:val="21"/>
              </w:rPr>
            </w:pPr>
            <w:r>
              <w:rPr>
                <w:rFonts w:ascii="宋体" w:hAnsi="宋体" w:cs="宋体"/>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ascii="宋体" w:hAnsi="宋体" w:cs="宋体"/>
                <w:spacing w:val="-1"/>
                <w:szCs w:val="21"/>
              </w:rPr>
            </w:pPr>
            <w:r>
              <w:rPr>
                <w:rFonts w:hint="eastAsia" w:ascii="宋体" w:hAnsi="宋体" w:cs="宋体"/>
                <w:spacing w:val="-1"/>
                <w:szCs w:val="21"/>
              </w:rPr>
              <w:t xml:space="preserve">履约能力1</w:t>
            </w:r>
            <w:r/>
          </w:p>
        </w:tc>
        <w:tc>
          <w:tcPr>
            <w:tcBorders>
              <w:top w:val="single" w:color="000000" w:sz="2" w:space="0"/>
              <w:bottom w:val="single" w:color="000000" w:sz="2" w:space="0"/>
            </w:tcBorders>
            <w:tcW w:w="6425" w:type="dxa"/>
            <w:vAlign w:val="center"/>
            <w:textDirection w:val="lrTb"/>
            <w:noWrap w:val="false"/>
          </w:tcPr>
          <w:p>
            <w:pPr>
              <w:pStyle w:val="860"/>
              <w:spacing w:line="264" w:lineRule="auto"/>
              <w:rPr>
                <w:rFonts w:ascii="宋体" w:hAnsi="宋体" w:cs="宋体"/>
                <w:szCs w:val="21"/>
              </w:rPr>
            </w:pPr>
            <w:r>
              <w:rPr>
                <w:rFonts w:ascii="宋体" w:hAnsi="宋体" w:cs="宋体"/>
                <w:szCs w:val="21"/>
              </w:rPr>
              <w:t xml:space="preserve">（1）项目经理能力：</w:t>
            </w:r>
            <w:r/>
          </w:p>
          <w:p>
            <w:pPr>
              <w:pStyle w:val="860"/>
              <w:spacing w:line="264" w:lineRule="auto"/>
              <w:rPr>
                <w:rFonts w:ascii="宋体" w:hAnsi="宋体" w:cs="宋体"/>
                <w:szCs w:val="21"/>
              </w:rPr>
            </w:pPr>
            <w:r>
              <w:rPr>
                <w:rFonts w:ascii="宋体" w:hAnsi="宋体" w:cs="宋体"/>
                <w:szCs w:val="21"/>
              </w:rPr>
              <w:t xml:space="preserve">具有高级工程师（数字经济类）或以上职称证书</w:t>
            </w:r>
            <w:r>
              <w:rPr>
                <w:rFonts w:hint="eastAsia" w:ascii="宋体" w:hAnsi="宋体" w:cs="宋体"/>
                <w:szCs w:val="21"/>
              </w:rPr>
              <w:t xml:space="preserve">、</w:t>
            </w:r>
            <w:r>
              <w:rPr>
                <w:rFonts w:ascii="宋体" w:hAnsi="宋体" w:cs="宋体"/>
                <w:szCs w:val="21"/>
              </w:rPr>
              <w:t xml:space="preserve">信息系统项目管理师</w:t>
            </w:r>
            <w:r>
              <w:rPr>
                <w:rFonts w:hint="eastAsia" w:ascii="宋体" w:hAnsi="宋体" w:cs="宋体"/>
                <w:szCs w:val="21"/>
              </w:rPr>
              <w:t xml:space="preserve">证书</w:t>
            </w:r>
            <w:r>
              <w:rPr>
                <w:rFonts w:ascii="宋体" w:hAnsi="宋体" w:cs="宋体"/>
                <w:szCs w:val="21"/>
              </w:rPr>
              <w:t xml:space="preserve">、系统分析师</w:t>
            </w:r>
            <w:r>
              <w:rPr>
                <w:rFonts w:hint="eastAsia" w:ascii="宋体" w:hAnsi="宋体" w:cs="宋体"/>
                <w:szCs w:val="21"/>
              </w:rPr>
              <w:t xml:space="preserve">证书</w:t>
            </w:r>
            <w:r>
              <w:rPr>
                <w:rFonts w:ascii="宋体" w:hAnsi="宋体" w:cs="宋体"/>
                <w:szCs w:val="21"/>
              </w:rPr>
              <w:t xml:space="preserve">，每提供1个证书得</w:t>
            </w:r>
            <w:r>
              <w:rPr>
                <w:rFonts w:hint="eastAsia" w:ascii="宋体" w:hAnsi="宋体" w:cs="宋体"/>
                <w:szCs w:val="21"/>
              </w:rPr>
              <w:t xml:space="preserve">2</w:t>
            </w:r>
            <w:r>
              <w:rPr>
                <w:rFonts w:ascii="宋体" w:hAnsi="宋体" w:cs="宋体"/>
                <w:szCs w:val="21"/>
              </w:rPr>
              <w:t xml:space="preserve">分，最多得</w:t>
            </w:r>
            <w:r>
              <w:rPr>
                <w:rFonts w:hint="eastAsia" w:ascii="宋体" w:hAnsi="宋体" w:cs="宋体"/>
                <w:szCs w:val="21"/>
              </w:rPr>
              <w:t xml:space="preserve">6</w:t>
            </w:r>
            <w:r>
              <w:rPr>
                <w:rFonts w:ascii="宋体" w:hAnsi="宋体" w:cs="宋体"/>
                <w:szCs w:val="21"/>
              </w:rPr>
              <w:t xml:space="preserve">分。</w:t>
            </w:r>
            <w:r/>
          </w:p>
          <w:p>
            <w:pPr>
              <w:pStyle w:val="860"/>
              <w:spacing w:line="264" w:lineRule="auto"/>
              <w:rPr>
                <w:rFonts w:ascii="宋体" w:hAnsi="宋体" w:cs="宋体"/>
                <w:szCs w:val="21"/>
              </w:rPr>
            </w:pPr>
            <w:r>
              <w:rPr>
                <w:rFonts w:ascii="宋体" w:hAnsi="宋体" w:cs="宋体"/>
                <w:szCs w:val="21"/>
              </w:rPr>
              <w:t xml:space="preserve">（2）技术负责人能力：</w:t>
            </w:r>
            <w:r/>
          </w:p>
          <w:p>
            <w:pPr>
              <w:pStyle w:val="860"/>
              <w:spacing w:line="264" w:lineRule="auto"/>
              <w:rPr>
                <w:rFonts w:ascii="宋体" w:hAnsi="宋体" w:cs="宋体"/>
                <w:szCs w:val="21"/>
              </w:rPr>
            </w:pPr>
            <w:r>
              <w:rPr>
                <w:rFonts w:ascii="宋体" w:hAnsi="宋体" w:cs="宋体"/>
                <w:szCs w:val="21"/>
              </w:rPr>
              <w:t xml:space="preserve">具有息系统项目管理师</w:t>
            </w:r>
            <w:r>
              <w:rPr>
                <w:rFonts w:hint="eastAsia" w:ascii="宋体" w:hAnsi="宋体" w:cs="宋体"/>
                <w:szCs w:val="21"/>
              </w:rPr>
              <w:t xml:space="preserve">证书</w:t>
            </w:r>
            <w:r>
              <w:rPr>
                <w:rFonts w:ascii="宋体" w:hAnsi="宋体" w:cs="宋体"/>
                <w:szCs w:val="21"/>
              </w:rPr>
              <w:t xml:space="preserve">、系统架构设计师</w:t>
            </w:r>
            <w:r>
              <w:rPr>
                <w:rFonts w:hint="eastAsia" w:ascii="宋体" w:hAnsi="宋体" w:cs="宋体"/>
                <w:szCs w:val="21"/>
              </w:rPr>
              <w:t xml:space="preserve">证书</w:t>
            </w:r>
            <w:r>
              <w:rPr>
                <w:rFonts w:ascii="宋体" w:hAnsi="宋体" w:cs="宋体"/>
                <w:szCs w:val="21"/>
              </w:rPr>
              <w:t xml:space="preserve">、注册信息安全专业人员（CISP）证书，每提供1个证书得</w:t>
            </w:r>
            <w:r>
              <w:rPr>
                <w:rFonts w:hint="eastAsia" w:ascii="宋体" w:hAnsi="宋体" w:cs="宋体"/>
                <w:szCs w:val="21"/>
              </w:rPr>
              <w:t xml:space="preserve">2</w:t>
            </w:r>
            <w:r>
              <w:rPr>
                <w:rFonts w:ascii="宋体" w:hAnsi="宋体" w:cs="宋体"/>
                <w:szCs w:val="21"/>
              </w:rPr>
              <w:t xml:space="preserve">分，最多得</w:t>
            </w:r>
            <w:r>
              <w:rPr>
                <w:rFonts w:hint="eastAsia" w:ascii="宋体" w:hAnsi="宋体" w:cs="宋体"/>
                <w:szCs w:val="21"/>
              </w:rPr>
              <w:t xml:space="preserve">6</w:t>
            </w:r>
            <w:r>
              <w:rPr>
                <w:rFonts w:ascii="宋体" w:hAnsi="宋体" w:cs="宋体"/>
                <w:szCs w:val="21"/>
              </w:rPr>
              <w:t xml:space="preserve">分。</w:t>
            </w:r>
            <w:r/>
          </w:p>
          <w:p>
            <w:pPr>
              <w:pStyle w:val="860"/>
              <w:spacing w:line="264" w:lineRule="auto"/>
              <w:rPr>
                <w:rFonts w:ascii="宋体" w:hAnsi="宋体" w:cs="宋体"/>
                <w:spacing w:val="12"/>
                <w:szCs w:val="21"/>
              </w:rPr>
            </w:pPr>
            <w:r>
              <w:rPr>
                <w:rFonts w:ascii="宋体" w:hAnsi="宋体" w:cs="宋体"/>
                <w:szCs w:val="21"/>
                <w:lang w:val="zh-CN"/>
              </w:rPr>
              <w:t xml:space="preserve">（提供上述人员证书，</w:t>
            </w:r>
            <w:r>
              <w:rPr>
                <w:rFonts w:ascii="宋体" w:hAnsi="宋体" w:cs="宋体"/>
                <w:szCs w:val="21"/>
              </w:rPr>
              <w:t xml:space="preserve">供应商为其缴纳的20</w:t>
            </w:r>
            <w:r>
              <w:rPr>
                <w:rFonts w:hint="eastAsia" w:ascii="宋体" w:hAnsi="宋体" w:cs="宋体"/>
                <w:szCs w:val="21"/>
              </w:rPr>
              <w:t xml:space="preserve">26</w:t>
            </w:r>
            <w:r>
              <w:rPr>
                <w:rFonts w:ascii="宋体" w:hAnsi="宋体" w:cs="宋体"/>
                <w:szCs w:val="21"/>
              </w:rPr>
              <w:t xml:space="preserve">年</w:t>
            </w:r>
            <w:r>
              <w:rPr>
                <w:rFonts w:hint="eastAsia" w:ascii="宋体" w:hAnsi="宋体" w:cs="宋体"/>
                <w:szCs w:val="21"/>
              </w:rPr>
              <w:t xml:space="preserve">6</w:t>
            </w:r>
            <w:r>
              <w:rPr>
                <w:rFonts w:ascii="宋体" w:hAnsi="宋体" w:cs="宋体"/>
                <w:szCs w:val="21"/>
              </w:rPr>
              <w:t xml:space="preserve">月以来任意一个月的社保证明材料，缺一不可）</w:t>
            </w:r>
            <w:r>
              <w:rPr>
                <w:rFonts w:ascii="宋体" w:hAnsi="宋体" w:cs="宋体"/>
                <w:spacing w:val="12"/>
                <w:szCs w:val="21"/>
              </w:rPr>
            </w:r>
            <w:r/>
          </w:p>
        </w:tc>
        <w:tc>
          <w:tcPr>
            <w:tcBorders>
              <w:top w:val="single" w:color="000000" w:sz="2" w:space="0"/>
              <w:bottom w:val="single" w:color="000000" w:sz="2" w:space="0"/>
            </w:tcBorders>
            <w:tcW w:w="63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12</w:t>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rPr>
                <w:rFonts w:hint="eastAsia" w:ascii="宋体" w:hAnsi="宋体" w:cs="宋体"/>
                <w:spacing w:val="-6"/>
                <w:szCs w:val="21"/>
              </w:rPr>
            </w:r>
            <w:r/>
          </w:p>
        </w:tc>
      </w:tr>
      <w:tr>
        <w:trPr>
          <w:trHeight w:val="792"/>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4.2</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ascii="宋体" w:hAnsi="宋体" w:cs="宋体"/>
                <w:spacing w:val="-1"/>
                <w:szCs w:val="21"/>
              </w:rPr>
            </w:pPr>
            <w:r>
              <w:rPr>
                <w:rFonts w:hint="eastAsia" w:ascii="宋体" w:hAnsi="宋体" w:cs="宋体"/>
                <w:spacing w:val="-1"/>
                <w:szCs w:val="21"/>
              </w:rPr>
              <w:t xml:space="preserve">履约能力2</w:t>
            </w:r>
            <w:r/>
          </w:p>
        </w:tc>
        <w:tc>
          <w:tcPr>
            <w:tcBorders>
              <w:top w:val="single" w:color="000000" w:sz="2" w:space="0"/>
              <w:bottom w:val="single" w:color="000000" w:sz="2" w:space="0"/>
            </w:tcBorders>
            <w:tcW w:w="6425" w:type="dxa"/>
            <w:vAlign w:val="center"/>
            <w:textDirection w:val="lrTb"/>
            <w:noWrap w:val="false"/>
          </w:tcPr>
          <w:p>
            <w:pPr>
              <w:pStyle w:val="860"/>
              <w:spacing w:line="264" w:lineRule="auto"/>
              <w:rPr>
                <w:rFonts w:ascii="宋体" w:hAnsi="宋体" w:cs="宋体"/>
                <w:szCs w:val="21"/>
              </w:rPr>
            </w:pPr>
            <w:r>
              <w:rPr>
                <w:rFonts w:ascii="宋体" w:hAnsi="宋体" w:cs="宋体"/>
                <w:szCs w:val="21"/>
              </w:rPr>
              <w:t xml:space="preserve">项目实施团队能力（不含项目经理和技术负责人）：</w:t>
            </w:r>
            <w:r/>
          </w:p>
          <w:p>
            <w:pPr>
              <w:pStyle w:val="860"/>
              <w:spacing w:line="264" w:lineRule="auto"/>
              <w:rPr>
                <w:rFonts w:ascii="宋体" w:hAnsi="宋体" w:cs="宋体"/>
                <w:szCs w:val="21"/>
              </w:rPr>
            </w:pPr>
            <w:r>
              <w:rPr>
                <w:rFonts w:ascii="宋体" w:hAnsi="宋体" w:cs="宋体"/>
                <w:szCs w:val="21"/>
              </w:rPr>
              <w:t xml:space="preserve">团队成员具有系统规划与管理师</w:t>
            </w:r>
            <w:r>
              <w:rPr>
                <w:rFonts w:hint="eastAsia" w:ascii="宋体" w:hAnsi="宋体" w:cs="宋体"/>
                <w:szCs w:val="21"/>
              </w:rPr>
              <w:t xml:space="preserve">证书</w:t>
            </w:r>
            <w:r>
              <w:rPr>
                <w:rFonts w:ascii="宋体" w:hAnsi="宋体" w:cs="宋体"/>
                <w:szCs w:val="21"/>
              </w:rPr>
              <w:t xml:space="preserve">、系统架构设计师</w:t>
            </w:r>
            <w:r>
              <w:rPr>
                <w:rFonts w:hint="eastAsia" w:ascii="宋体" w:hAnsi="宋体" w:cs="宋体"/>
                <w:szCs w:val="21"/>
              </w:rPr>
              <w:t xml:space="preserve">证书</w:t>
            </w:r>
            <w:r>
              <w:rPr>
                <w:rFonts w:ascii="宋体" w:hAnsi="宋体" w:cs="宋体"/>
                <w:szCs w:val="21"/>
              </w:rPr>
              <w:t xml:space="preserve">、网络规</w:t>
            </w:r>
            <w:r>
              <w:rPr>
                <w:rFonts w:ascii="宋体" w:hAnsi="宋体" w:cs="宋体"/>
                <w:szCs w:val="21"/>
              </w:rPr>
              <w:t xml:space="preserve">划设计师</w:t>
            </w:r>
            <w:r>
              <w:rPr>
                <w:rFonts w:hint="eastAsia" w:ascii="宋体" w:hAnsi="宋体" w:cs="宋体"/>
                <w:szCs w:val="21"/>
              </w:rPr>
              <w:t xml:space="preserve">证书</w:t>
            </w:r>
            <w:r>
              <w:rPr>
                <w:rFonts w:ascii="宋体" w:hAnsi="宋体" w:cs="宋体"/>
                <w:szCs w:val="21"/>
              </w:rPr>
              <w:t xml:space="preserve">、注册信息安全专业人员（CISP）证书，每提供1个证书得2分，最高得8分。</w:t>
            </w:r>
            <w:r/>
          </w:p>
          <w:p>
            <w:pPr>
              <w:pStyle w:val="860"/>
              <w:spacing w:line="264" w:lineRule="auto"/>
              <w:rPr>
                <w:rFonts w:hint="eastAsia" w:ascii="宋体" w:hAnsi="宋体" w:cs="宋体"/>
                <w:szCs w:val="21"/>
              </w:rPr>
            </w:pPr>
            <w:r>
              <w:rPr>
                <w:rFonts w:ascii="宋体" w:hAnsi="宋体" w:cs="宋体"/>
                <w:szCs w:val="21"/>
              </w:rPr>
              <w:t xml:space="preserve">（多人一证、一人多证不重复计分，提供团队成员证书，供应商为其缴纳的20</w:t>
            </w:r>
            <w:r>
              <w:rPr>
                <w:rFonts w:hint="eastAsia" w:ascii="宋体" w:hAnsi="宋体" w:cs="宋体"/>
                <w:szCs w:val="21"/>
              </w:rPr>
              <w:t xml:space="preserve">26</w:t>
            </w:r>
            <w:r>
              <w:rPr>
                <w:rFonts w:ascii="宋体" w:hAnsi="宋体" w:cs="宋体"/>
                <w:szCs w:val="21"/>
              </w:rPr>
              <w:t xml:space="preserve">年</w:t>
            </w:r>
            <w:r>
              <w:rPr>
                <w:rFonts w:hint="eastAsia" w:ascii="宋体" w:hAnsi="宋体" w:cs="宋体"/>
                <w:szCs w:val="21"/>
              </w:rPr>
              <w:t xml:space="preserve">6</w:t>
            </w:r>
            <w:r>
              <w:rPr>
                <w:rFonts w:ascii="宋体" w:hAnsi="宋体" w:cs="宋体"/>
                <w:szCs w:val="21"/>
              </w:rPr>
              <w:t xml:space="preserve">月以来任意一个月的社保证明材料，缺一不可）</w:t>
            </w:r>
            <w:r>
              <w:rPr>
                <w:rFonts w:hint="eastAsia" w:ascii="宋体" w:hAnsi="宋体" w:cs="宋体"/>
                <w:szCs w:val="21"/>
              </w:rPr>
            </w:r>
            <w:r/>
          </w:p>
        </w:tc>
        <w:tc>
          <w:tcPr>
            <w:tcBorders>
              <w:top w:val="single" w:color="000000" w:sz="2" w:space="0"/>
              <w:bottom w:val="single" w:color="000000" w:sz="2" w:space="0"/>
            </w:tcBorders>
            <w:tcW w:w="63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8</w:t>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p>
        </w:tc>
      </w:tr>
      <w:tr>
        <w:trPr>
          <w:trHeight w:val="792"/>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4.3</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ascii="宋体" w:hAnsi="宋体" w:cs="宋体"/>
                <w:spacing w:val="-1"/>
                <w:szCs w:val="21"/>
              </w:rPr>
            </w:pPr>
            <w:r/>
            <w:bookmarkStart w:id="129" w:name="OLE_LINK50"/>
            <w:r>
              <w:rPr>
                <w:rFonts w:hint="eastAsia" w:ascii="宋体" w:hAnsi="宋体" w:cs="宋体"/>
                <w:spacing w:val="-1"/>
                <w:szCs w:val="21"/>
              </w:rPr>
              <w:t xml:space="preserve">履约能力3</w:t>
            </w:r>
            <w:bookmarkEnd w:id="129"/>
            <w:r>
              <w:rPr>
                <w:rFonts w:hint="eastAsia" w:ascii="宋体" w:hAnsi="宋体" w:cs="宋体"/>
                <w:spacing w:val="-1"/>
                <w:szCs w:val="21"/>
              </w:rPr>
            </w:r>
            <w:r/>
          </w:p>
        </w:tc>
        <w:tc>
          <w:tcPr>
            <w:tcBorders>
              <w:top w:val="single" w:color="000000" w:sz="2" w:space="0"/>
              <w:bottom w:val="single" w:color="000000" w:sz="2" w:space="0"/>
            </w:tcBorders>
            <w:tcW w:w="6425" w:type="dxa"/>
            <w:vAlign w:val="center"/>
            <w:textDirection w:val="lrTb"/>
            <w:noWrap w:val="false"/>
          </w:tcPr>
          <w:p>
            <w:pPr>
              <w:pStyle w:val="860"/>
              <w:spacing w:line="264" w:lineRule="auto"/>
              <w:rPr>
                <w:rFonts w:ascii="宋体" w:hAnsi="宋体" w:cs="宋体"/>
                <w:szCs w:val="21"/>
              </w:rPr>
            </w:pPr>
            <w:r>
              <w:rPr>
                <w:rFonts w:ascii="宋体" w:hAnsi="宋体" w:cs="宋体"/>
                <w:szCs w:val="21"/>
              </w:rPr>
              <w:t xml:space="preserve">供应商具有本项目相关的软件著作权证书，包括视频流量分析、智能多轮对话、地图指标展现等，每提供1个证书得</w:t>
            </w:r>
            <w:r>
              <w:rPr>
                <w:rFonts w:hint="eastAsia" w:ascii="宋体" w:hAnsi="宋体" w:cs="宋体"/>
                <w:szCs w:val="21"/>
              </w:rPr>
              <w:t xml:space="preserve">2</w:t>
            </w:r>
            <w:r>
              <w:rPr>
                <w:rFonts w:ascii="宋体" w:hAnsi="宋体" w:cs="宋体"/>
                <w:szCs w:val="21"/>
              </w:rPr>
              <w:t xml:space="preserve">分</w:t>
            </w:r>
            <w:r>
              <w:rPr>
                <w:rFonts w:hint="eastAsia" w:ascii="宋体" w:hAnsi="宋体" w:cs="宋体"/>
                <w:szCs w:val="21"/>
              </w:rPr>
              <w:t xml:space="preserve">，最多得6分</w:t>
            </w:r>
            <w:r>
              <w:rPr>
                <w:rFonts w:ascii="宋体" w:hAnsi="宋体" w:cs="宋体"/>
                <w:szCs w:val="21"/>
              </w:rPr>
              <w:t xml:space="preserve">。 </w:t>
            </w:r>
            <w:r/>
          </w:p>
          <w:p>
            <w:pPr>
              <w:pStyle w:val="860"/>
              <w:spacing w:line="264" w:lineRule="auto"/>
              <w:rPr>
                <w:rFonts w:hint="eastAsia" w:ascii="宋体" w:hAnsi="宋体" w:cs="宋体"/>
                <w:szCs w:val="21"/>
              </w:rPr>
            </w:pPr>
            <w:r>
              <w:rPr>
                <w:rFonts w:ascii="宋体" w:hAnsi="宋体" w:cs="宋体"/>
                <w:szCs w:val="21"/>
              </w:rPr>
              <w:t xml:space="preserve">（所提供证书“软件名称”与评分细则规定不同时，应提供符合上述要求的内容（功能）说明及关键信息，否则不予认可。）</w:t>
            </w:r>
            <w:r>
              <w:rPr>
                <w:rFonts w:hint="eastAsia" w:ascii="宋体" w:hAnsi="宋体" w:cs="宋体"/>
                <w:szCs w:val="21"/>
              </w:rPr>
            </w:r>
            <w:r/>
          </w:p>
        </w:tc>
        <w:tc>
          <w:tcPr>
            <w:tcBorders>
              <w:top w:val="single" w:color="000000" w:sz="2" w:space="0"/>
              <w:bottom w:val="single" w:color="000000" w:sz="2" w:space="0"/>
            </w:tcBorders>
            <w:tcW w:w="63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p>
        </w:tc>
      </w:tr>
      <w:tr>
        <w:trPr>
          <w:trHeight w:val="792"/>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4.4</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ascii="宋体" w:hAnsi="宋体" w:cs="宋体"/>
                <w:spacing w:val="-1"/>
                <w:szCs w:val="21"/>
              </w:rPr>
            </w:pPr>
            <w:r>
              <w:rPr>
                <w:rFonts w:hint="eastAsia" w:ascii="宋体" w:hAnsi="宋体" w:cs="宋体"/>
                <w:spacing w:val="-1"/>
                <w:szCs w:val="21"/>
              </w:rPr>
              <w:t xml:space="preserve">履约能力4</w:t>
            </w:r>
            <w:r/>
          </w:p>
        </w:tc>
        <w:tc>
          <w:tcPr>
            <w:tcBorders>
              <w:top w:val="single" w:color="000000" w:sz="2" w:space="0"/>
              <w:bottom w:val="single" w:color="000000" w:sz="2" w:space="0"/>
            </w:tcBorders>
            <w:tcW w:w="6425" w:type="dxa"/>
            <w:vAlign w:val="center"/>
            <w:textDirection w:val="lrTb"/>
            <w:noWrap w:val="false"/>
          </w:tcPr>
          <w:p>
            <w:pPr>
              <w:pStyle w:val="860"/>
              <w:spacing w:line="264" w:lineRule="auto"/>
              <w:rPr>
                <w:rFonts w:ascii="宋体" w:hAnsi="宋体" w:cs="宋体"/>
                <w:szCs w:val="21"/>
              </w:rPr>
            </w:pPr>
            <w:r>
              <w:rPr>
                <w:rFonts w:hint="eastAsia" w:ascii="宋体" w:hAnsi="宋体" w:cs="宋体"/>
                <w:szCs w:val="21"/>
              </w:rPr>
              <w:t xml:space="preserve">供应商</w:t>
            </w:r>
            <w:r>
              <w:rPr>
                <w:rFonts w:ascii="宋体" w:hAnsi="宋体" w:cs="宋体"/>
                <w:szCs w:val="21"/>
              </w:rPr>
              <w:t xml:space="preserve">需具有由国家知识产权局颁发的相关发明专利登记证书，包含电子地图坐标</w:t>
            </w:r>
            <w:r>
              <w:rPr>
                <w:rFonts w:hint="eastAsia" w:ascii="宋体" w:hAnsi="宋体" w:cs="宋体"/>
                <w:szCs w:val="21"/>
              </w:rPr>
              <w:t xml:space="preserve">、</w:t>
            </w:r>
            <w:r>
              <w:rPr>
                <w:rFonts w:ascii="宋体" w:hAnsi="宋体" w:cs="宋体"/>
                <w:szCs w:val="21"/>
              </w:rPr>
              <w:t xml:space="preserve">知识图谱问答等</w:t>
            </w:r>
            <w:r>
              <w:rPr>
                <w:rFonts w:hint="eastAsia" w:ascii="宋体" w:hAnsi="宋体" w:cs="宋体"/>
                <w:szCs w:val="21"/>
              </w:rPr>
              <w:t xml:space="preserve">相关内容</w:t>
            </w:r>
            <w:r>
              <w:rPr>
                <w:rFonts w:ascii="宋体" w:hAnsi="宋体" w:cs="宋体"/>
                <w:szCs w:val="21"/>
              </w:rPr>
              <w:t xml:space="preserve">，每提供1类证书得1.5分，最多得3分。</w:t>
            </w:r>
            <w:r/>
          </w:p>
          <w:p>
            <w:pPr>
              <w:pStyle w:val="860"/>
              <w:spacing w:line="264" w:lineRule="auto"/>
              <w:rPr>
                <w:rFonts w:hint="eastAsia"/>
              </w:rPr>
            </w:pPr>
            <w:r>
              <w:rPr>
                <w:rFonts w:ascii="宋体" w:hAnsi="宋体" w:cs="宋体"/>
                <w:szCs w:val="21"/>
              </w:rPr>
              <w:t xml:space="preserve">（所提供</w:t>
            </w:r>
            <w:r>
              <w:rPr>
                <w:rFonts w:hint="eastAsia" w:ascii="宋体" w:hAnsi="宋体" w:cs="宋体"/>
                <w:szCs w:val="21"/>
              </w:rPr>
              <w:t xml:space="preserve">证书“专利名称”</w:t>
            </w:r>
            <w:r>
              <w:rPr>
                <w:rFonts w:ascii="宋体" w:hAnsi="宋体" w:cs="宋体"/>
                <w:szCs w:val="21"/>
              </w:rPr>
              <w:t xml:space="preserve">与评分细则规定不同时，应提供符合上述要求的内容（功能）说明及关键信息，否则不予认可。）</w:t>
            </w:r>
            <w:r>
              <w:rPr>
                <w:rFonts w:hint="eastAsia"/>
              </w:rPr>
            </w:r>
            <w:r/>
          </w:p>
        </w:tc>
        <w:tc>
          <w:tcPr>
            <w:tcBorders>
              <w:top w:val="single" w:color="000000" w:sz="2" w:space="0"/>
              <w:bottom w:val="single" w:color="000000" w:sz="2" w:space="0"/>
            </w:tcBorders>
            <w:tcW w:w="63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852"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p>
        </w:tc>
      </w:tr>
      <w:tr>
        <w:trPr>
          <w:trHeight w:val="464"/>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szCs w:val="21"/>
              </w:rPr>
            </w:pPr>
            <w:r>
              <w:rPr>
                <w:rFonts w:ascii="宋体" w:hAnsi="宋体" w:cs="宋体"/>
                <w:spacing w:val="-3"/>
                <w:szCs w:val="21"/>
              </w:rPr>
              <w:t xml:space="preserve">合</w:t>
            </w:r>
            <w:r>
              <w:rPr>
                <w:rFonts w:ascii="宋体" w:hAnsi="宋体" w:cs="宋体"/>
                <w:spacing w:val="-2"/>
                <w:szCs w:val="21"/>
              </w:rPr>
              <w:t xml:space="preserve">计</w:t>
            </w:r>
            <w:r>
              <w:rPr>
                <w:szCs w:val="21"/>
              </w:rPr>
            </w:r>
            <w:r/>
          </w:p>
        </w:tc>
        <w:tc>
          <w:tcPr>
            <w:gridSpan w:val="2"/>
            <w:tcBorders>
              <w:top w:val="single" w:color="000000" w:sz="2" w:space="0"/>
              <w:bottom w:val="single" w:color="000000" w:sz="2" w:space="0"/>
            </w:tcBorders>
            <w:tcW w:w="7604" w:type="dxa"/>
            <w:vAlign w:val="center"/>
            <w:textDirection w:val="lrTb"/>
            <w:noWrap w:val="false"/>
          </w:tcPr>
          <w:p>
            <w:pPr>
              <w:pStyle w:val="860"/>
              <w:ind w:left="172"/>
              <w:jc w:val="center"/>
              <w:spacing w:before="123" w:line="264" w:lineRule="auto"/>
              <w:rPr>
                <w:rFonts w:ascii="宋体" w:hAnsi="宋体" w:cs="宋体"/>
                <w:spacing w:val="-2"/>
                <w:szCs w:val="21"/>
              </w:rPr>
            </w:pPr>
            <w:r>
              <w:rPr>
                <w:rFonts w:ascii="宋体" w:hAnsi="宋体" w:cs="宋体"/>
                <w:spacing w:val="-2"/>
                <w:szCs w:val="21"/>
              </w:rPr>
            </w:r>
            <w:r/>
          </w:p>
        </w:tc>
        <w:tc>
          <w:tcPr>
            <w:gridSpan w:val="2"/>
            <w:tcBorders>
              <w:top w:val="single" w:color="000000" w:sz="2" w:space="0"/>
              <w:bottom w:val="single" w:color="000000" w:sz="2" w:space="0"/>
            </w:tcBorders>
            <w:tcW w:w="1489" w:type="dxa"/>
            <w:vAlign w:val="center"/>
            <w:textDirection w:val="lrTb"/>
            <w:noWrap w:val="false"/>
          </w:tcPr>
          <w:p>
            <w:pPr>
              <w:pStyle w:val="860"/>
              <w:jc w:val="center"/>
              <w:spacing w:line="264" w:lineRule="auto"/>
              <w:rPr>
                <w:szCs w:val="21"/>
              </w:rPr>
            </w:pPr>
            <w:r>
              <w:rPr>
                <w:rFonts w:ascii="宋体" w:hAnsi="宋体" w:cs="宋体"/>
                <w:spacing w:val="-11"/>
                <w:szCs w:val="21"/>
              </w:rPr>
              <w:t xml:space="preserve">100分</w:t>
            </w:r>
            <w:r>
              <w:rPr>
                <w:szCs w:val="21"/>
              </w:rPr>
            </w:r>
            <w:r/>
          </w:p>
        </w:tc>
      </w:tr>
    </w:tbl>
    <w:p>
      <w:pPr>
        <w:pStyle w:val="860"/>
        <w:spacing w:line="264" w:lineRule="auto"/>
        <w:rPr>
          <w:rFonts w:hint="eastAsia" w:ascii="宋体" w:hAnsi="宋体" w:cs="宋体"/>
          <w:b/>
          <w:bCs/>
          <w:sz w:val="24"/>
          <w:szCs w:val="24"/>
        </w:rPr>
      </w:pPr>
      <w:r>
        <w:rPr>
          <w:rFonts w:hint="eastAsia" w:ascii="宋体" w:hAnsi="宋体" w:cs="宋体"/>
          <w:b/>
          <w:bCs/>
          <w:sz w:val="24"/>
          <w:szCs w:val="24"/>
        </w:rPr>
      </w:r>
      <w:r/>
    </w:p>
    <w:p>
      <w:pPr>
        <w:pStyle w:val="860"/>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860"/>
        <w:jc w:val="center"/>
        <w:keepNext/>
        <w:rPr>
          <w:rFonts w:hint="eastAsia" w:ascii="黑体" w:eastAsia="黑体"/>
          <w:bCs/>
          <w:sz w:val="44"/>
          <w:szCs w:val="28"/>
        </w:rPr>
        <w:outlineLvl w:val="0"/>
      </w:pPr>
      <w:r>
        <w:rPr>
          <w:rFonts w:hint="eastAsia" w:ascii="黑体" w:eastAsia="黑体"/>
          <w:bCs/>
          <w:sz w:val="44"/>
          <w:szCs w:val="28"/>
        </w:rPr>
        <w:br w:type="page" w:clear="all"/>
      </w:r>
      <w:r>
        <w:rPr>
          <w:rFonts w:hint="eastAsia" w:ascii="黑体" w:eastAsia="黑体"/>
          <w:sz w:val="44"/>
          <w:szCs w:val="44"/>
        </w:rPr>
        <w:t xml:space="preserve">第六章  </w:t>
      </w:r>
      <w:bookmarkEnd w:id="115"/>
      <w:r/>
      <w:bookmarkEnd w:id="116"/>
      <w:r/>
      <w:bookmarkEnd w:id="122"/>
      <w:r>
        <w:rPr>
          <w:rFonts w:hint="eastAsia" w:ascii="黑体" w:eastAsia="黑体"/>
          <w:sz w:val="44"/>
          <w:szCs w:val="44"/>
        </w:rPr>
        <w:t xml:space="preserve">响应文件格式 </w:t>
      </w:r>
      <w:r>
        <w:rPr>
          <w:rFonts w:hint="eastAsia" w:ascii="黑体" w:eastAsia="黑体"/>
          <w:bCs/>
          <w:sz w:val="44"/>
          <w:szCs w:val="28"/>
        </w:rPr>
      </w:r>
      <w:r/>
    </w:p>
    <w:p>
      <w:pPr>
        <w:pStyle w:val="860"/>
        <w:jc w:val="center"/>
        <w:rPr>
          <w:rFonts w:hint="eastAsia" w:ascii="宋体" w:hAnsi="宋体"/>
          <w:b/>
          <w:sz w:val="72"/>
          <w:szCs w:val="21"/>
        </w:rPr>
      </w:pPr>
      <w:r/>
      <w:bookmarkStart w:id="130" w:name="_Hlt26955039"/>
      <w:r/>
      <w:bookmarkEnd w:id="130"/>
      <w:r/>
      <w:bookmarkStart w:id="131" w:name="_Hlt26671244"/>
      <w:r/>
      <w:bookmarkEnd w:id="131"/>
      <w:r/>
      <w:bookmarkStart w:id="132" w:name="_Toc49090576"/>
      <w:r/>
      <w:bookmarkStart w:id="133" w:name="_Toc26554094"/>
      <w:r/>
      <w:bookmarkStart w:id="134" w:name="_Toc120614282"/>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t xml:space="preserve">响  应  文  件</w:t>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60"/>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60"/>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860"/>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60"/>
        <w:jc w:val="center"/>
        <w:spacing w:line="440" w:lineRule="exact"/>
        <w:rPr>
          <w:rFonts w:hint="eastAsia" w:ascii="宋体" w:hAnsi="宋体"/>
          <w:b/>
          <w:bCs/>
          <w:sz w:val="32"/>
          <w:szCs w:val="32"/>
        </w:rPr>
      </w:pPr>
      <w:r>
        <w:rPr>
          <w:rFonts w:hint="eastAsia" w:ascii="宋体" w:hAnsi="宋体"/>
          <w:b/>
          <w:bCs/>
          <w:sz w:val="32"/>
          <w:szCs w:val="32"/>
        </w:rPr>
      </w:r>
      <w:r/>
    </w:p>
    <w:p>
      <w:pPr>
        <w:pStyle w:val="860"/>
        <w:spacing w:line="440" w:lineRule="exact"/>
        <w:rPr>
          <w:rFonts w:ascii="宋体" w:hAnsi="宋体"/>
          <w:szCs w:val="21"/>
        </w:rPr>
      </w:pPr>
      <w:r>
        <w:rPr>
          <w:rFonts w:ascii="宋体" w:hAnsi="宋体"/>
          <w:szCs w:val="21"/>
        </w:rPr>
      </w:r>
      <w:r/>
    </w:p>
    <w:p>
      <w:pPr>
        <w:pStyle w:val="860"/>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三、磋商响应函</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四、磋商报价表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五、分项报价表（如有）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六、技术要求响应及偏离表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七、商务要求响应及偏离表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r>
      <w:r/>
    </w:p>
    <w:p>
      <w:pPr>
        <w:pStyle w:val="860"/>
        <w:jc w:val="left"/>
        <w:spacing w:line="360" w:lineRule="auto"/>
        <w:rPr>
          <w:rFonts w:hint="eastAsia" w:ascii="黑体" w:hAnsi="黑体" w:eastAsia="黑体"/>
          <w:sz w:val="32"/>
          <w:szCs w:val="32"/>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一、信用承诺函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信用承诺函</w:t>
      </w:r>
      <w:r/>
    </w:p>
    <w:p>
      <w:pPr>
        <w:pStyle w:val="860"/>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（供应商名称）郑重承诺，我公司（单位）符合下列要求：</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860"/>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860"/>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pStyle w:val="860"/>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pStyle w:val="860"/>
        <w:ind w:firstLine="492"/>
        <w:spacing w:line="460" w:lineRule="exact"/>
        <w:rPr>
          <w:rFonts w:hint="eastAsia" w:ascii="宋体" w:hAnsi="宋体"/>
          <w:sz w:val="24"/>
          <w:szCs w:val="24"/>
        </w:rPr>
      </w:pPr>
      <w:r>
        <w:rPr>
          <w:rFonts w:hint="eastAsia" w:ascii="宋体" w:hAnsi="宋体"/>
          <w:sz w:val="24"/>
          <w:szCs w:val="24"/>
        </w:rPr>
        <w:t xml:space="preserve">如果我公司（单位）成交，将在成交结果公示后七个工作日内向采购人提供下列材料核验：</w:t>
      </w:r>
      <w:r/>
    </w:p>
    <w:p>
      <w:pPr>
        <w:pStyle w:val="860"/>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w:t>
      </w:r>
      <w:r>
        <w:rPr>
          <w:rFonts w:hint="eastAsia" w:ascii="宋体" w:hAnsi="宋体"/>
          <w:sz w:val="24"/>
          <w:szCs w:val="24"/>
        </w:rPr>
        <w:t xml:space="preserve">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860"/>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p>
    <w:p>
      <w:pPr>
        <w:pStyle w:val="860"/>
        <w:ind w:firstLine="492"/>
        <w:spacing w:line="460" w:lineRule="exact"/>
        <w:rPr>
          <w:sz w:val="24"/>
          <w:szCs w:val="24"/>
        </w:rPr>
      </w:pPr>
      <w:r>
        <w:rPr>
          <w:sz w:val="24"/>
          <w:szCs w:val="24"/>
        </w:rPr>
      </w:r>
      <w:r/>
    </w:p>
    <w:p>
      <w:pPr>
        <w:pStyle w:val="980"/>
        <w:rPr>
          <w:sz w:val="24"/>
          <w:szCs w:val="24"/>
        </w:rPr>
      </w:pPr>
      <w:r>
        <w:rPr>
          <w:sz w:val="24"/>
          <w:szCs w:val="24"/>
        </w:rPr>
      </w:r>
      <w:r/>
    </w:p>
    <w:p>
      <w:pPr>
        <w:pStyle w:val="860"/>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0"/>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rPr>
          <w:sz w:val="24"/>
          <w:szCs w:val="24"/>
        </w:rPr>
      </w:pPr>
      <w:r>
        <w:rPr>
          <w:sz w:val="24"/>
          <w:szCs w:val="24"/>
        </w:rPr>
      </w:r>
      <w:r/>
    </w:p>
    <w:p>
      <w:pPr>
        <w:pStyle w:val="860"/>
        <w:jc w:val="left"/>
        <w:spacing w:line="360" w:lineRule="auto"/>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二、法定代表人授权委托书</w:t>
      </w:r>
      <w:r/>
    </w:p>
    <w:p>
      <w:pPr>
        <w:pStyle w:val="860"/>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法定代表人授权委托书</w:t>
      </w:r>
      <w:r/>
    </w:p>
    <w:p>
      <w:pPr>
        <w:pStyle w:val="951"/>
        <w:ind w:firstLine="480"/>
        <w:spacing w:line="420" w:lineRule="exact"/>
        <w:rPr>
          <w:rFonts w:hint="eastAsia"/>
          <w:sz w:val="24"/>
          <w:szCs w:val="24"/>
        </w:rPr>
      </w:pPr>
      <w:r>
        <w:rPr>
          <w:rFonts w:hint="eastAsia"/>
          <w:sz w:val="24"/>
          <w:szCs w:val="24"/>
        </w:rPr>
      </w:r>
      <w:r/>
    </w:p>
    <w:p>
      <w:pPr>
        <w:pStyle w:val="951"/>
        <w:ind w:firstLine="480"/>
        <w:spacing w:line="480" w:lineRule="exact"/>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（供应商名称）的法定代表人（单位负责人），现代表我单位授权委托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（项目名称）的政府采购活动，由其代表我方办理上述项目在响应、磋商、澄清确认过程中的相关事宜，其法律后果由我方承担。</w:t>
      </w:r>
      <w:r/>
    </w:p>
    <w:p>
      <w:pPr>
        <w:pStyle w:val="951"/>
        <w:ind w:firstLine="480"/>
        <w:spacing w:line="480" w:lineRule="exact"/>
        <w:rPr>
          <w:rFonts w:hint="eastAsia"/>
          <w:sz w:val="24"/>
          <w:szCs w:val="24"/>
        </w:rPr>
      </w:pPr>
      <w:r>
        <w:rPr>
          <w:rFonts w:hint="eastAsia"/>
          <w:sz w:val="24"/>
          <w:szCs w:val="24"/>
        </w:rPr>
        <w:t xml:space="preserve">委托期限：自本授权委托书签署之日起至磋商有效期届满之日止。</w:t>
      </w:r>
      <w:r/>
    </w:p>
    <w:p>
      <w:pPr>
        <w:pStyle w:val="951"/>
        <w:ind w:firstLine="480"/>
        <w:spacing w:line="480" w:lineRule="exact"/>
        <w:rPr>
          <w:sz w:val="24"/>
          <w:szCs w:val="24"/>
        </w:rPr>
      </w:pPr>
      <w:r>
        <w:rPr>
          <w:rFonts w:hint="eastAsia"/>
          <w:sz w:val="24"/>
          <w:szCs w:val="24"/>
        </w:rPr>
        <w:t xml:space="preserve">代理人无转委托权。</w:t>
      </w:r>
      <w:r>
        <w:rPr>
          <w:sz w:val="24"/>
          <w:szCs w:val="24"/>
        </w:rPr>
      </w:r>
      <w:r/>
    </w:p>
    <w:p>
      <w:pPr>
        <w:pStyle w:val="951"/>
        <w:ind w:firstLine="480"/>
        <w:spacing w:line="480" w:lineRule="exact"/>
        <w:rPr>
          <w:rFonts w:hint="eastAsia"/>
          <w:sz w:val="24"/>
          <w:szCs w:val="24"/>
        </w:rPr>
      </w:pPr>
      <w:r>
        <w:rPr>
          <w:rFonts w:hint="eastAsia"/>
          <w:sz w:val="24"/>
          <w:szCs w:val="24"/>
        </w:rPr>
        <w:t xml:space="preserve">供应商名称（加盖公章）：________________</w:t>
      </w:r>
      <w:r/>
    </w:p>
    <w:p>
      <w:pPr>
        <w:pStyle w:val="951"/>
        <w:ind w:firstLine="480"/>
        <w:spacing w:line="480" w:lineRule="exact"/>
        <w:rPr>
          <w:rFonts w:hint="eastAsia"/>
          <w:sz w:val="24"/>
          <w:szCs w:val="24"/>
        </w:rPr>
      </w:pPr>
      <w:r>
        <w:rPr>
          <w:rFonts w:hint="eastAsia"/>
          <w:sz w:val="24"/>
          <w:szCs w:val="24"/>
        </w:rPr>
        <w:t xml:space="preserve">法定代表人（单位负责人）（签字或签章）：________________</w:t>
      </w:r>
      <w:r/>
    </w:p>
    <w:p>
      <w:pPr>
        <w:pStyle w:val="951"/>
        <w:ind w:firstLine="480"/>
        <w:spacing w:line="480" w:lineRule="exact"/>
        <w:rPr>
          <w:rFonts w:hint="eastAsia"/>
          <w:sz w:val="24"/>
          <w:szCs w:val="24"/>
        </w:rPr>
      </w:pPr>
      <w:r>
        <w:rPr>
          <w:rFonts w:hint="eastAsia"/>
          <w:sz w:val="24"/>
          <w:szCs w:val="24"/>
        </w:rPr>
        <w:t xml:space="preserve">代理人（</w:t>
      </w:r>
      <w:r>
        <w:rPr>
          <w:rFonts w:hint="eastAsia"/>
          <w:sz w:val="24"/>
          <w:szCs w:val="24"/>
        </w:rPr>
        <w:t xml:space="preserve">签字或签章）：________________ </w:t>
      </w:r>
      <w:r/>
    </w:p>
    <w:p>
      <w:pPr>
        <w:pStyle w:val="951"/>
        <w:ind w:firstLine="480"/>
        <w:spacing w:line="480" w:lineRule="exact"/>
        <w:rPr>
          <w:rFonts w:hint="eastAsia"/>
          <w:sz w:val="24"/>
          <w:szCs w:val="24"/>
        </w:rPr>
      </w:pPr>
      <w:r>
        <w:rPr>
          <w:rFonts w:hint="eastAsia"/>
          <w:sz w:val="24"/>
          <w:szCs w:val="24"/>
        </w:rPr>
        <w:t xml:space="preserve">日期：_____年______月______日</w:t>
      </w:r>
      <w:r/>
    </w:p>
    <w:p>
      <w:pPr>
        <w:pStyle w:val="951"/>
        <w:ind w:firstLine="480"/>
        <w:spacing w:line="480" w:lineRule="exact"/>
        <w:rPr>
          <w:sz w:val="24"/>
          <w:szCs w:val="24"/>
        </w:rPr>
      </w:pPr>
      <w:r>
        <w:rPr>
          <w:rFonts w:hint="eastAsia"/>
          <w:sz w:val="24"/>
          <w:szCs w:val="24"/>
        </w:rPr>
        <w:t xml:space="preserve">附：法定代表人（单位负责人）及代理人有效身份证明文件</w:t>
      </w:r>
      <w:r>
        <w:rPr>
          <w:sz w:val="24"/>
          <w:szCs w:val="24"/>
        </w:rPr>
      </w:r>
      <w:r/>
    </w:p>
    <w:p>
      <w:pPr>
        <w:pStyle w:val="877"/>
        <w:ind w:firstLine="0"/>
        <w:rPr>
          <w:rFonts w:hint="eastAsia"/>
        </w:rPr>
      </w:pPr>
      <w:r>
        <w:rPr>
          <w:rFonts w:hint="eastAsia"/>
        </w:rPr>
      </w:r>
      <w:r/>
    </w:p>
    <w:p>
      <w:pPr>
        <w:pStyle w:val="951"/>
        <w:ind w:firstLine="480"/>
        <w:spacing w:line="480" w:lineRule="exact"/>
        <w:rPr>
          <w:rFonts w:hint="eastAsia"/>
          <w:sz w:val="24"/>
          <w:szCs w:val="24"/>
        </w:rPr>
      </w:pPr>
      <w:r>
        <w:rPr>
          <w:rFonts w:hint="eastAsia"/>
          <w:sz w:val="24"/>
          <w:szCs w:val="24"/>
        </w:rPr>
      </w:r>
      <w:r/>
    </w:p>
    <w:p>
      <w:pPr>
        <w:pStyle w:val="951"/>
        <w:ind w:firstLine="480"/>
        <w:spacing w:line="480" w:lineRule="exact"/>
        <w:rPr>
          <w:rFonts w:hint="eastAsia"/>
          <w:sz w:val="24"/>
          <w:szCs w:val="24"/>
        </w:rPr>
      </w:pPr>
      <w:r>
        <w:rPr>
          <w:rFonts w:hint="eastAsia"/>
          <w:sz w:val="24"/>
          <w:szCs w:val="24"/>
        </w:rPr>
        <w:t xml:space="preserve">说明：</w:t>
      </w:r>
      <w:r/>
    </w:p>
    <w:p>
      <w:pPr>
        <w:pStyle w:val="951"/>
        <w:ind w:firstLine="480"/>
        <w:spacing w:line="480" w:lineRule="exact"/>
        <w:rPr>
          <w:rFonts w:hint="eastAsia"/>
          <w:sz w:val="24"/>
          <w:szCs w:val="24"/>
        </w:rPr>
      </w:pPr>
      <w:r>
        <w:rPr>
          <w:rFonts w:hint="eastAsia"/>
          <w:sz w:val="24"/>
          <w:szCs w:val="24"/>
        </w:rPr>
        <w:t xml:space="preserve">1.若供应商为事业单位或其他组织或分支机构（仅限磋商文件注明允许分支机构投标情形），则法定代表人（单位负责人）处的签署人可为单位负责人。</w:t>
      </w:r>
      <w:r/>
    </w:p>
    <w:p>
      <w:pPr>
        <w:pStyle w:val="951"/>
        <w:ind w:firstLine="480"/>
        <w:spacing w:line="480" w:lineRule="exact"/>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951"/>
        <w:ind w:firstLine="480"/>
        <w:spacing w:line="480" w:lineRule="exact"/>
        <w:rPr>
          <w:rFonts w:hint="eastAsia"/>
          <w:sz w:val="24"/>
          <w:szCs w:val="24"/>
        </w:rPr>
      </w:pPr>
      <w:r>
        <w:rPr>
          <w:rFonts w:hint="eastAsia"/>
          <w:sz w:val="24"/>
          <w:szCs w:val="24"/>
        </w:rPr>
        <w:t xml:space="preserve">3.供应商为自然人的，可不提供本《法定代表人授权委托书》。</w:t>
      </w:r>
      <w:r/>
    </w:p>
    <w:p>
      <w:pPr>
        <w:pStyle w:val="951"/>
        <w:ind w:firstLine="480"/>
        <w:spacing w:line="480" w:lineRule="exact"/>
        <w:rPr>
          <w:rFonts w:hint="eastAsia"/>
          <w:sz w:val="24"/>
          <w:szCs w:val="24"/>
        </w:rPr>
      </w:pPr>
      <w:r>
        <w:rPr>
          <w:rFonts w:hint="eastAsia"/>
          <w:sz w:val="24"/>
          <w:szCs w:val="24"/>
        </w:rPr>
        <w:t xml:space="preserve">4.供应商应同时提供法定代表人（单位负责人）及代理人的身份证或护照等有效身份证明文件（彩色复印件或者彩色扫描件）。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951"/>
        <w:ind w:firstLine="482"/>
        <w:spacing w:line="480" w:lineRule="exact"/>
        <w:rPr>
          <w:rFonts w:hint="eastAsia"/>
          <w:b/>
          <w:bCs/>
          <w:sz w:val="24"/>
          <w:szCs w:val="24"/>
        </w:rPr>
      </w:pPr>
      <w:r>
        <w:rPr>
          <w:rFonts w:hint="eastAsia"/>
          <w:b/>
          <w:bCs/>
          <w:sz w:val="24"/>
          <w:szCs w:val="24"/>
        </w:rPr>
        <w:t xml:space="preserve">5.未按磋商文件要求和格式提供《法定代表人授权委托书》的，将作为无效响应处理。</w:t>
      </w:r>
      <w:r/>
    </w:p>
    <w:p>
      <w:pPr>
        <w:pStyle w:val="860"/>
        <w:rPr>
          <w:rFonts w:hint="eastAsia" w:ascii="黑体" w:hAnsi="黑体" w:eastAsia="黑体"/>
          <w:sz w:val="32"/>
          <w:szCs w:val="32"/>
        </w:rPr>
      </w:pPr>
      <w:r>
        <w:rPr>
          <w:rFonts w:hint="eastAsia" w:ascii="楷体" w:hAnsi="楷体" w:eastAsia="楷体"/>
          <w:bCs/>
          <w:sz w:val="24"/>
          <w:szCs w:val="24"/>
        </w:rPr>
        <w:br w:type="page" w:clear="all"/>
      </w:r>
      <w:bookmarkEnd w:id="132"/>
      <w:r/>
      <w:bookmarkEnd w:id="133"/>
      <w:r/>
      <w:bookmarkEnd w:id="134"/>
      <w:r/>
      <w:bookmarkStart w:id="135" w:name="_Toc120614284"/>
      <w:r>
        <w:rPr>
          <w:rFonts w:hint="eastAsia" w:ascii="黑体" w:hAnsi="黑体" w:eastAsia="黑体"/>
          <w:sz w:val="32"/>
          <w:szCs w:val="32"/>
        </w:rPr>
        <w:t xml:space="preserve">三、磋商响应函</w:t>
      </w:r>
      <w:r/>
    </w:p>
    <w:p>
      <w:pPr>
        <w:pStyle w:val="860"/>
        <w:jc w:val="center"/>
        <w:spacing w:line="360" w:lineRule="auto"/>
        <w:rPr>
          <w:rFonts w:hint="eastAsia" w:ascii="方正小标宋简体" w:hAnsi="方正小标宋简体" w:eastAsia="方正小标宋简体" w:cs="方正小标宋简体"/>
          <w:sz w:val="32"/>
          <w:szCs w:val="32"/>
          <w:lang w:val="zh-CN"/>
        </w:rPr>
        <w:outlineLvl w:val="2"/>
      </w:pPr>
      <w:r>
        <w:rPr>
          <w:rFonts w:hint="eastAsia" w:ascii="方正小标宋简体" w:hAnsi="方正小标宋简体" w:eastAsia="方正小标宋简体" w:cs="方正小标宋简体"/>
          <w:sz w:val="32"/>
          <w:szCs w:val="32"/>
        </w:rPr>
        <w:t xml:space="preserve">磋商响应函</w:t>
      </w:r>
      <w:r>
        <w:rPr>
          <w:rFonts w:hint="eastAsia" w:ascii="方正小标宋简体" w:hAnsi="方正小标宋简体" w:eastAsia="方正小标宋简体" w:cs="方正小标宋简体"/>
          <w:sz w:val="32"/>
          <w:szCs w:val="32"/>
          <w:lang w:val="zh-CN"/>
        </w:rPr>
      </w:r>
      <w:r/>
    </w:p>
    <w:p>
      <w:pPr>
        <w:pStyle w:val="953"/>
        <w:ind w:firstLine="0"/>
        <w:spacing w:before="0" w:after="0"/>
        <w:rPr>
          <w:rFonts w:hint="eastAsia" w:ascii="宋体" w:hAnsi="宋体"/>
          <w:szCs w:val="21"/>
        </w:rPr>
      </w:pPr>
      <w:r>
        <w:rPr>
          <w:rFonts w:hint="eastAsia" w:ascii="宋体" w:hAnsi="宋体"/>
          <w:szCs w:val="21"/>
        </w:rPr>
        <w:t xml:space="preserve">致：                    （采购人名称）</w:t>
      </w:r>
      <w:r/>
    </w:p>
    <w:p>
      <w:pPr>
        <w:pStyle w:val="953"/>
        <w:spacing w:before="0" w:after="0"/>
        <w:rPr>
          <w:rFonts w:hint="eastAsia" w:ascii="宋体" w:hAnsi="宋体"/>
          <w:szCs w:val="21"/>
        </w:rPr>
      </w:pPr>
      <w:r>
        <w:rPr>
          <w:rFonts w:hint="eastAsia" w:ascii="宋体" w:hAnsi="宋体"/>
          <w:szCs w:val="21"/>
        </w:rPr>
        <w:t xml:space="preserve">根据贵方</w:t>
      </w:r>
      <w:r>
        <w:rPr>
          <w:rFonts w:hint="eastAsia" w:ascii="宋体" w:hAnsi="宋体"/>
          <w:u w:val="single"/>
        </w:rPr>
        <w:t xml:space="preserve">            </w:t>
      </w:r>
      <w:r>
        <w:rPr>
          <w:rFonts w:hint="eastAsia" w:ascii="宋体" w:hAnsi="宋体"/>
        </w:rPr>
        <w:t xml:space="preserve">（项目编号）</w:t>
      </w:r>
      <w:r>
        <w:rPr>
          <w:rFonts w:hint="eastAsia" w:ascii="宋体" w:hAnsi="宋体"/>
          <w:u w:val="single"/>
        </w:rPr>
        <w:t xml:space="preserve">                </w:t>
      </w:r>
      <w:r>
        <w:rPr>
          <w:rFonts w:hint="eastAsia" w:ascii="宋体" w:hAnsi="宋体"/>
        </w:rPr>
        <w:t xml:space="preserve">（项目名称）</w:t>
      </w:r>
      <w:r>
        <w:rPr>
          <w:rFonts w:hint="eastAsia" w:ascii="宋体" w:hAnsi="宋体"/>
        </w:rPr>
        <w:t xml:space="preserve">的</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pStyle w:val="860"/>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w:t>
      </w:r>
      <w:r>
        <w:rPr>
          <w:rFonts w:hint="eastAsia" w:ascii="宋体" w:hAnsi="宋体"/>
          <w:sz w:val="24"/>
          <w:szCs w:val="21"/>
        </w:rPr>
        <w:t xml:space="preserve">求，向贵方提供所需服务（包含与服务相关的货物）。</w:t>
      </w:r>
      <w:r/>
    </w:p>
    <w:p>
      <w:pPr>
        <w:pStyle w:val="860"/>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pStyle w:val="860"/>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pStyle w:val="860"/>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pStyle w:val="860"/>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pStyle w:val="860"/>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6.一旦我方成交，我方将根据磋商文件的规定，严格履行合同的责任和义务,并保证在磋商文件规定的时间完成项目，交付贵方验收、使用。</w:t>
      </w:r>
      <w:r/>
    </w:p>
    <w:p>
      <w:pPr>
        <w:pStyle w:val="860"/>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33"/>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860"/>
        <w:ind w:firstLine="480"/>
        <w:jc w:val="left"/>
        <w:spacing w:line="360" w:lineRule="auto"/>
        <w:rPr>
          <w:rFonts w:hint="eastAsia"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p>
    <w:p>
      <w:pPr>
        <w:pStyle w:val="953"/>
        <w:spacing w:before="0" w:after="0"/>
        <w:rPr>
          <w:rFonts w:hint="eastAsia" w:ascii="宋体" w:hAnsi="宋体"/>
          <w:szCs w:val="21"/>
        </w:rPr>
      </w:pPr>
      <w:r>
        <w:rPr>
          <w:rFonts w:hint="eastAsia" w:ascii="宋体" w:hAnsi="宋体"/>
          <w:szCs w:val="21"/>
        </w:rPr>
        <w:t xml:space="preserve">地  址：</w:t>
      </w:r>
      <w:r/>
    </w:p>
    <w:p>
      <w:pPr>
        <w:pStyle w:val="953"/>
        <w:spacing w:before="0" w:after="0"/>
        <w:rPr>
          <w:rFonts w:hint="eastAsia" w:ascii="宋体" w:hAnsi="宋体"/>
          <w:szCs w:val="21"/>
        </w:rPr>
      </w:pPr>
      <w:r>
        <w:rPr>
          <w:rFonts w:hint="eastAsia" w:ascii="宋体" w:hAnsi="宋体"/>
          <w:szCs w:val="21"/>
        </w:rPr>
        <w:t xml:space="preserve">邮  编：</w:t>
      </w:r>
      <w:r/>
    </w:p>
    <w:p>
      <w:pPr>
        <w:pStyle w:val="953"/>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53"/>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53"/>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53"/>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0"/>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53"/>
        <w:spacing w:before="0" w:after="0"/>
        <w:rPr>
          <w:rFonts w:hint="eastAsia" w:ascii="宋体" w:hAnsi="宋体"/>
          <w:szCs w:val="21"/>
        </w:rPr>
      </w:pPr>
      <w:r>
        <w:rPr>
          <w:rFonts w:hint="eastAsia" w:ascii="宋体" w:hAnsi="宋体"/>
          <w:szCs w:val="21"/>
        </w:rPr>
        <w:t xml:space="preserve">日  期：</w:t>
      </w:r>
      <w:r/>
    </w:p>
    <w:p>
      <w:pPr>
        <w:pStyle w:val="860"/>
        <w:rPr>
          <w:rFonts w:hint="eastAsia" w:ascii="宋体" w:hAnsi="宋体"/>
          <w:szCs w:val="21"/>
        </w:rPr>
      </w:pPr>
      <w:r>
        <w:rPr>
          <w:rFonts w:hint="eastAsia" w:ascii="宋体" w:hAnsi="宋体"/>
          <w:szCs w:val="21"/>
        </w:rPr>
      </w:r>
      <w:r/>
    </w:p>
    <w:p>
      <w:pPr>
        <w:pStyle w:val="860"/>
        <w:jc w:val="left"/>
        <w:spacing w:line="360" w:lineRule="auto"/>
        <w:rPr>
          <w:rFonts w:hint="eastAsia" w:ascii="黑体" w:hAnsi="黑体" w:eastAsia="黑体"/>
          <w:sz w:val="32"/>
          <w:szCs w:val="32"/>
        </w:rPr>
      </w:pPr>
      <w:r>
        <w:rPr>
          <w:rFonts w:hint="eastAsia" w:ascii="宋体" w:hAnsi="宋体"/>
          <w:szCs w:val="21"/>
        </w:rPr>
        <w:br w:type="page" w:clear="all"/>
      </w:r>
      <w:r>
        <w:rPr>
          <w:rFonts w:hint="eastAsia" w:ascii="黑体" w:hAnsi="黑体" w:eastAsia="黑体"/>
          <w:sz w:val="32"/>
          <w:szCs w:val="32"/>
        </w:rPr>
        <w:t xml:space="preserve">四、磋商报价表</w:t>
      </w:r>
      <w:r/>
    </w:p>
    <w:p>
      <w:pPr>
        <w:pStyle w:val="860"/>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磋商报价表</w:t>
      </w:r>
      <w:r/>
    </w:p>
    <w:p>
      <w:pPr>
        <w:pStyle w:val="860"/>
        <w:rPr>
          <w:rFonts w:hint="eastAsia" w:ascii="宋体" w:hAnsi="宋体"/>
          <w:sz w:val="24"/>
          <w:szCs w:val="24"/>
        </w:rPr>
      </w:pPr>
      <w:r>
        <w:rPr>
          <w:rFonts w:hint="eastAsia" w:ascii="宋体" w:hAnsi="宋体"/>
          <w:sz w:val="24"/>
          <w:szCs w:val="24"/>
        </w:rPr>
        <w:t xml:space="preserve">供应商名称：（加盖电子公章） </w:t>
      </w:r>
      <w:r/>
    </w:p>
    <w:p>
      <w:pPr>
        <w:pStyle w:val="860"/>
        <w:widowControl/>
        <w:rPr>
          <w:rFonts w:hint="eastAsia" w:ascii="宋体" w:hAnsi="宋体"/>
          <w:sz w:val="24"/>
          <w:szCs w:val="24"/>
        </w:rPr>
      </w:pPr>
      <w:r>
        <w:rPr>
          <w:rFonts w:hint="eastAsia" w:ascii="宋体" w:hAnsi="宋体"/>
          <w:sz w:val="24"/>
          <w:szCs w:val="24"/>
        </w:rPr>
        <w:t xml:space="preserve">项目名称：</w:t>
      </w:r>
      <w:r/>
    </w:p>
    <w:p>
      <w:pPr>
        <w:pStyle w:val="860"/>
        <w:widowControl/>
        <w:rPr>
          <w:rFonts w:hint="eastAsia" w:ascii="宋体" w:hAnsi="宋体"/>
          <w:sz w:val="24"/>
          <w:szCs w:val="24"/>
        </w:rPr>
      </w:pPr>
      <w:r>
        <w:rPr>
          <w:rFonts w:hint="eastAsia" w:ascii="宋体" w:hAnsi="宋体"/>
          <w:sz w:val="24"/>
          <w:szCs w:val="24"/>
        </w:rPr>
        <w:t xml:space="preserve">项目编号：                            </w:t>
      </w:r>
      <w:r>
        <w:rPr>
          <w:rFonts w:hint="eastAsia" w:ascii="宋体" w:hAnsi="宋体"/>
          <w:sz w:val="24"/>
          <w:szCs w:val="24"/>
        </w:rPr>
        <w:t xml:space="preserve">       采购包号：</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0"/>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53"/>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0"/>
        <w:spacing w:line="480" w:lineRule="auto"/>
        <w:rPr>
          <w:rFonts w:ascii="宋体" w:hAnsi="宋体"/>
          <w:sz w:val="24"/>
          <w:szCs w:val="24"/>
        </w:rPr>
      </w:pPr>
      <w:r>
        <w:rPr>
          <w:rFonts w:ascii="宋体" w:hAnsi="宋体"/>
          <w:sz w:val="24"/>
          <w:szCs w:val="24"/>
        </w:rPr>
      </w:r>
      <w:r/>
    </w:p>
    <w:p>
      <w:pPr>
        <w:pStyle w:val="860"/>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0"/>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60"/>
        <w:rPr>
          <w:rFonts w:hint="eastAsia"/>
        </w:rPr>
      </w:pPr>
      <w:r>
        <w:rPr>
          <w:rFonts w:hint="eastAsia"/>
        </w:rPr>
      </w:r>
      <w:r/>
    </w:p>
    <w:p>
      <w:pPr>
        <w:pStyle w:val="933"/>
        <w:rPr>
          <w:rFonts w:hint="eastAsia"/>
        </w:rPr>
      </w:pPr>
      <w:r>
        <w:rPr>
          <w:rFonts w:hint="eastAsia"/>
        </w:rPr>
      </w:r>
      <w:r/>
    </w:p>
    <w:p>
      <w:pPr>
        <w:pStyle w:val="860"/>
        <w:rPr>
          <w:rFonts w:hint="eastAsia"/>
        </w:rPr>
      </w:pPr>
      <w:r>
        <w:rPr>
          <w:rFonts w:hint="eastAsia"/>
        </w:rPr>
      </w:r>
      <w:r/>
    </w:p>
    <w:p>
      <w:pPr>
        <w:pStyle w:val="933"/>
        <w:rPr>
          <w:rFonts w:hint="eastAsia"/>
        </w:rPr>
      </w:pPr>
      <w:r>
        <w:rPr>
          <w:rFonts w:hint="eastAsia"/>
        </w:rPr>
      </w:r>
      <w:r/>
    </w:p>
    <w:p>
      <w:pPr>
        <w:pStyle w:val="860"/>
        <w:rPr>
          <w:rFonts w:hint="eastAsia"/>
        </w:rPr>
      </w:pPr>
      <w:r>
        <w:rPr>
          <w:rFonts w:hint="eastAsia"/>
        </w:rPr>
      </w:r>
      <w:r/>
    </w:p>
    <w:p>
      <w:pPr>
        <w:pStyle w:val="933"/>
        <w:rPr>
          <w:rFonts w:hint="eastAsia"/>
        </w:rPr>
      </w:pPr>
      <w:r>
        <w:rPr>
          <w:rFonts w:hint="eastAsia"/>
        </w:rPr>
      </w:r>
      <w:r/>
    </w:p>
    <w:p>
      <w:pPr>
        <w:pStyle w:val="860"/>
        <w:rPr>
          <w:rFonts w:hint="eastAsia"/>
        </w:rPr>
      </w:pPr>
      <w:r>
        <w:rPr>
          <w:rFonts w:hint="eastAsia"/>
        </w:rPr>
      </w:r>
      <w:r/>
    </w:p>
    <w:p>
      <w:pPr>
        <w:pStyle w:val="933"/>
        <w:rPr>
          <w:rFonts w:hint="eastAsia"/>
        </w:rPr>
      </w:pPr>
      <w:r>
        <w:rPr>
          <w:rFonts w:hint="eastAsia"/>
        </w:rPr>
      </w:r>
      <w:r/>
    </w:p>
    <w:p>
      <w:pPr>
        <w:pStyle w:val="860"/>
        <w:jc w:val="center"/>
        <w:spacing w:line="48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0"/>
        <w:jc w:val="center"/>
        <w:spacing w:line="48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0"/>
        <w:jc w:val="center"/>
        <w:spacing w:line="48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0"/>
        <w:jc w:val="center"/>
        <w:spacing w:line="48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0"/>
        <w:jc w:val="left"/>
        <w:spacing w:line="360" w:lineRule="auto"/>
        <w:rPr>
          <w:rFonts w:ascii="黑体" w:hAnsi="黑体" w:eastAsia="黑体"/>
          <w:sz w:val="32"/>
          <w:szCs w:val="32"/>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五、分项报价表</w:t>
      </w:r>
      <w:r>
        <w:rPr>
          <w:rFonts w:ascii="黑体" w:hAnsi="黑体" w:eastAsia="黑体"/>
          <w:sz w:val="32"/>
          <w:szCs w:val="32"/>
        </w:rPr>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分项报价表</w:t>
      </w:r>
      <w:r/>
    </w:p>
    <w:p>
      <w:pPr>
        <w:pStyle w:val="860"/>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860"/>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60"/>
        <w:ind w:right="180" w:firstLine="480"/>
        <w:rPr>
          <w:rFonts w:hint="eastAsia" w:ascii="宋体" w:hAnsi="宋体"/>
          <w:sz w:val="24"/>
          <w:szCs w:val="24"/>
        </w:rPr>
      </w:pPr>
      <w:r>
        <w:rPr>
          <w:rFonts w:hint="eastAsia" w:ascii="宋体" w:hAnsi="宋体"/>
          <w:sz w:val="24"/>
          <w:szCs w:val="24"/>
        </w:rPr>
        <w:t xml:space="preserve">项目编号：                                   采购包号：</w:t>
      </w:r>
      <w:r/>
    </w:p>
    <w:tbl>
      <w:tblPr>
        <w:tblW w:w="99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60"/>
              <w:ind w:right="180" w:firstLine="480"/>
              <w:jc w:val="left"/>
              <w:spacing w:line="360" w:lineRule="auto"/>
              <w:rPr>
                <w:rFonts w:hint="eastAsia" w:ascii="宋体" w:hAnsi="宋体"/>
                <w:sz w:val="24"/>
                <w:szCs w:val="24"/>
              </w:rPr>
            </w:pPr>
            <w:r>
              <w:rPr>
                <w:rFonts w:hint="eastAsia" w:ascii="宋体" w:hAnsi="宋体"/>
                <w:sz w:val="24"/>
                <w:szCs w:val="24"/>
              </w:rPr>
              <w:t xml:space="preserve">序序号</w:t>
            </w:r>
            <w:r/>
          </w:p>
        </w:tc>
        <w:tc>
          <w:tcPr>
            <w:tcW w:w="1240" w:type="dxa"/>
            <w:vAlign w:val="center"/>
            <w:textDirection w:val="lrTb"/>
            <w:noWrap w:val="false"/>
          </w:tcPr>
          <w:p>
            <w:pPr>
              <w:pStyle w:val="860"/>
              <w:ind w:right="180" w:firstLine="480"/>
              <w:jc w:val="left"/>
              <w:spacing w:line="360" w:lineRule="auto"/>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pStyle w:val="860"/>
              <w:ind w:right="180" w:firstLine="480"/>
              <w:jc w:val="left"/>
              <w:spacing w:line="360" w:lineRule="auto"/>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pStyle w:val="860"/>
              <w:ind w:right="180" w:firstLine="480"/>
              <w:jc w:val="left"/>
              <w:spacing w:line="360" w:lineRule="auto"/>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pStyle w:val="860"/>
              <w:ind w:right="180" w:firstLine="480"/>
              <w:jc w:val="left"/>
              <w:spacing w:line="360" w:lineRule="auto"/>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pStyle w:val="860"/>
              <w:ind w:right="180" w:firstLine="480"/>
              <w:jc w:val="left"/>
              <w:spacing w:line="360" w:lineRule="auto"/>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pStyle w:val="860"/>
              <w:ind w:right="180" w:firstLine="480"/>
              <w:jc w:val="left"/>
              <w:spacing w:line="360" w:lineRule="auto"/>
              <w:rPr>
                <w:rFonts w:hint="eastAsia" w:ascii="宋体" w:hAnsi="宋体"/>
                <w:sz w:val="24"/>
                <w:szCs w:val="24"/>
              </w:rPr>
            </w:pPr>
            <w:r>
              <w:rPr>
                <w:rFonts w:hint="eastAsia" w:ascii="宋体" w:hAnsi="宋体"/>
                <w:sz w:val="24"/>
                <w:szCs w:val="24"/>
              </w:rPr>
              <w:t xml:space="preserve">6</w:t>
            </w:r>
            <w:r/>
          </w:p>
        </w:tc>
        <w:tc>
          <w:tcPr>
            <w:tcW w:w="826" w:type="dxa"/>
            <w:vAlign w:val="center"/>
            <w:textDirection w:val="lrTb"/>
            <w:noWrap w:val="false"/>
          </w:tcPr>
          <w:p>
            <w:pPr>
              <w:pStyle w:val="860"/>
              <w:ind w:right="180" w:firstLine="480"/>
              <w:jc w:val="left"/>
              <w:spacing w:line="360" w:lineRule="auto"/>
              <w:rPr>
                <w:rFonts w:hint="eastAsia" w:ascii="宋体" w:hAnsi="宋体"/>
                <w:sz w:val="24"/>
                <w:szCs w:val="24"/>
              </w:rPr>
            </w:pPr>
            <w:r>
              <w:rPr>
                <w:rFonts w:hint="eastAsia" w:ascii="宋体" w:hAnsi="宋体"/>
                <w:sz w:val="24"/>
                <w:szCs w:val="24"/>
              </w:rPr>
              <w:t xml:space="preserve">7</w:t>
            </w:r>
            <w:r/>
          </w:p>
        </w:tc>
        <w:tc>
          <w:tcPr>
            <w:tcW w:w="1434" w:type="dxa"/>
            <w:vAlign w:val="center"/>
            <w:textDirection w:val="lrTb"/>
            <w:noWrap w:val="false"/>
          </w:tcPr>
          <w:p>
            <w:pPr>
              <w:pStyle w:val="860"/>
              <w:ind w:right="180" w:firstLine="480"/>
              <w:jc w:val="left"/>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294"/>
        </w:trPr>
        <w:tc>
          <w:tcPr>
            <w:tcW w:w="581" w:type="dxa"/>
            <w:vAlign w:val="center"/>
            <w:vMerge w:val="continue"/>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26"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434"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60"/>
              <w:spacing w:line="0" w:lineRule="atLeast"/>
              <w:rPr>
                <w:rFonts w:hint="eastAsia" w:ascii="宋体" w:hAnsi="宋体"/>
                <w:sz w:val="24"/>
                <w:szCs w:val="24"/>
              </w:rPr>
            </w:pPr>
            <w:r>
              <w:rPr>
                <w:rFonts w:hint="eastAsia" w:ascii="宋体" w:hAnsi="宋体"/>
                <w:sz w:val="24"/>
                <w:szCs w:val="24"/>
              </w:rPr>
              <w:t xml:space="preserve">总报价（元）：</w:t>
            </w:r>
            <w:r/>
          </w:p>
        </w:tc>
      </w:tr>
    </w:tbl>
    <w:p>
      <w:pPr>
        <w:pStyle w:val="860"/>
        <w:spacing w:line="360" w:lineRule="auto"/>
        <w:rPr>
          <w:rFonts w:ascii="宋体" w:hAnsi="宋体"/>
          <w:sz w:val="24"/>
        </w:rPr>
      </w:pPr>
      <w:r>
        <w:rPr>
          <w:rFonts w:ascii="宋体" w:hAnsi="宋体"/>
          <w:sz w:val="24"/>
        </w:rPr>
      </w:r>
      <w:r/>
    </w:p>
    <w:p>
      <w:pPr>
        <w:pStyle w:val="927"/>
        <w:ind w:firstLine="480"/>
        <w:jc w:val="both"/>
        <w:spacing w:before="0" w:beforeAutospacing="0" w:after="0" w:afterAutospacing="0" w:line="360" w:lineRule="auto"/>
      </w:pPr>
      <w:r>
        <w:t xml:space="preserve">备注： </w:t>
      </w:r>
      <w:r/>
    </w:p>
    <w:p>
      <w:pPr>
        <w:pStyle w:val="927"/>
        <w:ind w:firstLine="480"/>
        <w:jc w:val="both"/>
        <w:spacing w:before="0" w:beforeAutospacing="0" w:after="0" w:afterAutospacing="0" w:line="360" w:lineRule="auto"/>
        <w:rPr>
          <w:rFonts w:hint="eastAsia"/>
        </w:rPr>
      </w:pPr>
      <w:r>
        <w:rPr>
          <w:rFonts w:hint="eastAsia"/>
        </w:rPr>
        <w:t xml:space="preserve">1.“总报价”应包括为完成整个项目所产生的所有费用，磋商文件另有规定的除外。</w:t>
      </w:r>
      <w:r/>
    </w:p>
    <w:p>
      <w:pPr>
        <w:pStyle w:val="927"/>
        <w:ind w:firstLine="480"/>
        <w:jc w:val="both"/>
        <w:spacing w:before="0" w:beforeAutospacing="0" w:after="0" w:afterAutospacing="0" w:line="360" w:lineRule="auto"/>
        <w:rPr>
          <w:rFonts w:hint="eastAsia"/>
        </w:rPr>
      </w:pPr>
      <w:r>
        <w:rPr>
          <w:rFonts w:hint="eastAsia"/>
        </w:rPr>
        <w:t xml:space="preserve">2.《分项报价表》中“总报价”应当与《磋商报价表》中“总报价”一致。</w:t>
      </w:r>
      <w:r/>
    </w:p>
    <w:p>
      <w:pPr>
        <w:pStyle w:val="927"/>
        <w:ind w:firstLine="480"/>
        <w:jc w:val="both"/>
        <w:spacing w:before="0" w:beforeAutospacing="0" w:after="0" w:afterAutospacing="0" w:line="360" w:lineRule="auto"/>
        <w:rPr>
          <w:rFonts w:hint="eastAsia"/>
        </w:rPr>
      </w:pPr>
      <w:r>
        <w:rPr>
          <w:rFonts w:hint="eastAsia"/>
        </w:rPr>
        <w:t xml:space="preserve">3.</w:t>
      </w:r>
      <w:r>
        <w:rPr>
          <w:rFonts w:hint="eastAsia"/>
          <w:b/>
          <w:bCs/>
        </w:rPr>
        <w:t xml:space="preserve">《分项报价表》中的分项名称须与“第四章采购需求-项目清单”中的分项名称一一对应，如有缺项、漏项，视为无效响应。</w:t>
      </w:r>
      <w:r>
        <w:rPr>
          <w:rFonts w:hint="eastAsia"/>
        </w:rPr>
      </w:r>
      <w:r/>
    </w:p>
    <w:p>
      <w:pPr>
        <w:pStyle w:val="927"/>
        <w:ind w:firstLine="480"/>
        <w:jc w:val="both"/>
        <w:spacing w:before="0" w:beforeAutospacing="0" w:after="0" w:afterAutospacing="0" w:line="360" w:lineRule="auto"/>
      </w:pPr>
      <w:r/>
      <w:r/>
    </w:p>
    <w:p>
      <w:pPr>
        <w:pStyle w:val="927"/>
        <w:jc w:val="both"/>
        <w:spacing w:before="0" w:beforeAutospacing="0" w:after="0" w:afterAutospacing="0" w:line="360" w:lineRule="auto"/>
        <w:rPr>
          <w:rFonts w:hint="eastAsia" w:ascii="黑体" w:hAnsi="黑体" w:eastAsia="黑体" w:cs="Times New Roman"/>
          <w:iCs/>
          <w:sz w:val="32"/>
          <w:szCs w:val="32"/>
        </w:rPr>
      </w:pPr>
      <w:r>
        <w:rPr>
          <w:rFonts w:hint="eastAsia" w:ascii="黑体" w:hAnsi="黑体" w:eastAsia="黑体" w:cs="Times New Roman"/>
          <w:i/>
          <w:sz w:val="32"/>
          <w:szCs w:val="32"/>
          <w:u w:val="single"/>
        </w:rPr>
        <w:br w:type="page" w:clear="all"/>
      </w:r>
      <w:bookmarkEnd w:id="117"/>
      <w:r/>
      <w:bookmarkEnd w:id="118"/>
      <w:r/>
      <w:bookmarkEnd w:id="135"/>
      <w:r>
        <w:rPr>
          <w:rFonts w:hint="eastAsia" w:ascii="黑体" w:hAnsi="黑体" w:eastAsia="黑体" w:cs="Times New Roman"/>
          <w:sz w:val="32"/>
          <w:szCs w:val="32"/>
        </w:rPr>
        <w:t xml:space="preserve">六、</w:t>
      </w:r>
      <w:r>
        <w:rPr>
          <w:rFonts w:hint="eastAsia" w:ascii="黑体" w:hAnsi="黑体" w:eastAsia="黑体" w:cs="Times New Roman"/>
          <w:iCs/>
          <w:sz w:val="32"/>
          <w:szCs w:val="32"/>
        </w:rPr>
        <w:t xml:space="preserve">技术要求响应及偏离表</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pStyle w:val="860"/>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860"/>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60"/>
        <w:ind w:right="180" w:firstLine="480"/>
        <w:rPr>
          <w:rFonts w:hint="eastAsia"/>
        </w:rPr>
      </w:pPr>
      <w:r>
        <w:rPr>
          <w:rFonts w:hint="eastAsia" w:ascii="宋体" w:hAnsi="宋体"/>
          <w:sz w:val="24"/>
          <w:szCs w:val="24"/>
        </w:rPr>
        <w:t xml:space="preserve">项目编号：             </w:t>
      </w:r>
      <w:r>
        <w:rPr>
          <w:rFonts w:hint="eastAsia" w:ascii="宋体" w:hAnsi="宋体"/>
          <w:sz w:val="24"/>
          <w:szCs w:val="24"/>
        </w:rPr>
        <w:t xml:space="preserve">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响应情况</w:t>
            </w:r>
            <w:r/>
          </w:p>
        </w:tc>
        <w:tc>
          <w:tcPr>
            <w:tcW w:w="3375" w:type="dxa"/>
            <w:vAlign w:val="center"/>
            <w:textDirection w:val="lrTb"/>
            <w:noWrap w:val="false"/>
          </w:tcPr>
          <w:p>
            <w:pPr>
              <w:pStyle w:val="860"/>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rPr>
          <w:rFonts w:hint="eastAsia" w:ascii="宋体" w:hAnsi="宋体"/>
          <w:sz w:val="24"/>
          <w:szCs w:val="24"/>
        </w:rPr>
      </w:pPr>
      <w:r>
        <w:rPr>
          <w:rFonts w:hint="eastAsia" w:ascii="宋体" w:hAnsi="宋体"/>
          <w:sz w:val="24"/>
          <w:szCs w:val="24"/>
        </w:rPr>
      </w:r>
      <w:r/>
    </w:p>
    <w:p>
      <w:pPr>
        <w:pStyle w:val="927"/>
        <w:ind w:firstLine="480"/>
        <w:jc w:val="both"/>
        <w:spacing w:before="0" w:beforeAutospacing="0" w:after="0" w:afterAutospacing="0" w:line="360" w:lineRule="auto"/>
      </w:pPr>
      <w:r>
        <w:t xml:space="preserve">备注： </w:t>
      </w:r>
      <w:r/>
    </w:p>
    <w:p>
      <w:pPr>
        <w:pStyle w:val="927"/>
        <w:ind w:firstLine="482"/>
        <w:jc w:val="both"/>
        <w:spacing w:before="0" w:beforeAutospacing="0" w:after="0" w:afterAutospacing="0" w:line="360" w:lineRule="auto"/>
        <w:rPr>
          <w:rFonts w:hint="eastAsia"/>
          <w:b/>
          <w:bCs/>
        </w:rPr>
      </w:pPr>
      <w:r>
        <w:rPr>
          <w:rFonts w:hint="eastAsia"/>
          <w:b/>
          <w:bCs/>
        </w:rPr>
        <w:t xml:space="preserve">1.供应商须对磋商文件技术要求中的实质性要求（打“★”内容）作出明确响应，否则视为无效响应。</w:t>
      </w:r>
      <w:r/>
    </w:p>
    <w:p>
      <w:pPr>
        <w:pStyle w:val="927"/>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2.技术要求中实质性要求及其他要求明确需要提供证明材料的，签订合同时成交供应商应按磋商文件要求和响应文件内容提供相应证明材料供采购人核验，否则采购人将取消其成交资格。</w:t>
      </w:r>
      <w:r/>
    </w:p>
    <w:p>
      <w:pPr>
        <w:pStyle w:val="927"/>
        <w:ind w:firstLine="480"/>
        <w:jc w:val="both"/>
        <w:spacing w:before="0" w:beforeAutospacing="0" w:after="0" w:afterAutospacing="0" w:line="360" w:lineRule="auto"/>
        <w:rPr>
          <w:rFonts w:hint="eastAsia"/>
        </w:rPr>
      </w:pPr>
      <w:r>
        <w:rPr>
          <w:rFonts w:hint="eastAsia"/>
        </w:rPr>
        <w:t xml:space="preserve">3.行数不够，可自行添加。</w:t>
      </w:r>
      <w:r/>
    </w:p>
    <w:p>
      <w:pPr>
        <w:pStyle w:val="927"/>
        <w:jc w:val="both"/>
        <w:spacing w:before="0" w:beforeAutospacing="0" w:after="0" w:afterAutospacing="0" w:line="360" w:lineRule="auto"/>
        <w:rPr>
          <w:rFonts w:hint="eastAsia" w:ascii="黑体" w:hAnsi="黑体" w:eastAsia="黑体" w:cs="Times New Roman"/>
          <w:iCs/>
          <w:sz w:val="32"/>
          <w:szCs w:val="32"/>
        </w:rPr>
      </w:pPr>
      <w:r>
        <w:rPr>
          <w:rFonts w:hint="eastAsia"/>
        </w:rPr>
        <w:br w:type="page" w:clear="all"/>
      </w:r>
      <w:r>
        <w:rPr>
          <w:rFonts w:hint="eastAsia" w:ascii="黑体" w:hAnsi="黑体" w:eastAsia="黑体" w:cs="Times New Roman"/>
          <w:iCs/>
          <w:sz w:val="32"/>
          <w:szCs w:val="32"/>
        </w:rPr>
        <w:t xml:space="preserve">七、商务要求响应及偏离表</w:t>
      </w:r>
      <w:r/>
    </w:p>
    <w:p>
      <w:pPr>
        <w:pStyle w:val="860"/>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pStyle w:val="860"/>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860"/>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60"/>
        <w:ind w:right="180" w:firstLine="480"/>
        <w:rPr>
          <w:rFonts w:hint="eastAsia"/>
        </w:rPr>
      </w:pPr>
      <w:r>
        <w:rPr>
          <w:rFonts w:hint="eastAsia" w:ascii="宋体" w:hAnsi="宋体"/>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响应情况</w:t>
            </w:r>
            <w:r/>
          </w:p>
        </w:tc>
        <w:tc>
          <w:tcPr>
            <w:tcW w:w="3346" w:type="dxa"/>
            <w:vAlign w:val="center"/>
            <w:textDirection w:val="lrTb"/>
            <w:noWrap w:val="false"/>
          </w:tcPr>
          <w:p>
            <w:pPr>
              <w:pStyle w:val="860"/>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ind w:firstLine="480"/>
        <w:rPr>
          <w:rFonts w:hint="eastAsia" w:ascii="宋体" w:hAnsi="宋体"/>
          <w:sz w:val="24"/>
          <w:szCs w:val="24"/>
        </w:rPr>
      </w:pPr>
      <w:r>
        <w:rPr>
          <w:rFonts w:hint="eastAsia" w:ascii="宋体" w:hAnsi="宋体"/>
          <w:sz w:val="24"/>
          <w:szCs w:val="24"/>
        </w:rPr>
      </w:r>
      <w:r/>
    </w:p>
    <w:p>
      <w:pPr>
        <w:pStyle w:val="927"/>
        <w:ind w:firstLine="480"/>
        <w:jc w:val="both"/>
        <w:spacing w:before="0" w:beforeAutospacing="0" w:after="0" w:afterAutospacing="0" w:line="360" w:lineRule="auto"/>
        <w:rPr>
          <w:rFonts w:hint="eastAsia"/>
        </w:rPr>
      </w:pPr>
      <w:r>
        <w:rPr>
          <w:rFonts w:hint="eastAsia"/>
        </w:rPr>
        <w:t xml:space="preserve">备注： </w:t>
      </w:r>
      <w:r/>
    </w:p>
    <w:p>
      <w:pPr>
        <w:pStyle w:val="927"/>
        <w:ind w:firstLine="482"/>
        <w:jc w:val="both"/>
        <w:spacing w:before="0" w:beforeAutospacing="0" w:after="0" w:afterAutospacing="0" w:line="360" w:lineRule="auto"/>
        <w:rPr>
          <w:b/>
          <w:bCs/>
        </w:rPr>
      </w:pPr>
      <w:r>
        <w:rPr>
          <w:rFonts w:hint="eastAsia"/>
          <w:b/>
          <w:bCs/>
        </w:rPr>
        <w:t xml:space="preserve">1.供应商须对磋商文件商务要求中的实质性要求（打“★”内容）做出明确响应，否则视为无效响应。</w:t>
      </w:r>
      <w:r>
        <w:rPr>
          <w:b/>
          <w:bCs/>
        </w:rPr>
      </w:r>
      <w:r/>
    </w:p>
    <w:p>
      <w:pPr>
        <w:pStyle w:val="927"/>
        <w:ind w:firstLine="480"/>
        <w:jc w:val="both"/>
        <w:spacing w:before="0" w:beforeAutospacing="0" w:after="0" w:afterAutospacing="0" w:line="360" w:lineRule="auto"/>
        <w:rPr>
          <w:rFonts w:hint="eastAsia"/>
        </w:rPr>
      </w:pPr>
      <w:r>
        <w:rPr>
          <w:rFonts w:hint="eastAsia"/>
        </w:rPr>
        <w:t xml:space="preserve">2.行数不够，可自行添加。</w:t>
      </w:r>
      <w:r/>
    </w:p>
    <w:p>
      <w:pPr>
        <w:pStyle w:val="860"/>
      </w:pPr>
      <w:r/>
      <w:r/>
    </w:p>
    <w:p>
      <w:pPr>
        <w:pStyle w:val="860"/>
        <w:rPr>
          <w:rFonts w:hint="eastAsia" w:ascii="黑体" w:hAnsi="黑体" w:eastAsia="黑体"/>
          <w:iCs/>
          <w:sz w:val="32"/>
          <w:szCs w:val="32"/>
        </w:rPr>
      </w:pPr>
      <w:r>
        <w:rPr>
          <w:rFonts w:hint="eastAsia" w:ascii="宋体" w:hAnsi="宋体" w:cs="仿宋"/>
          <w:b/>
          <w:bCs/>
          <w:sz w:val="32"/>
          <w:szCs w:val="32"/>
        </w:rPr>
        <w:br w:type="page" w:clear="all"/>
      </w:r>
      <w:r>
        <w:rPr>
          <w:rFonts w:hint="eastAsia" w:ascii="黑体" w:hAnsi="黑体" w:eastAsia="黑体"/>
          <w:iCs/>
          <w:sz w:val="32"/>
          <w:szCs w:val="32"/>
        </w:rPr>
        <w:t xml:space="preserve">八、中小企业声明函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860"/>
        <w:ind w:firstLine="480"/>
        <w:spacing w:line="360" w:lineRule="auto"/>
        <w:rPr>
          <w:rFonts w:hint="eastAsia" w:ascii="宋体" w:hAnsi="宋体"/>
          <w:sz w:val="24"/>
          <w:szCs w:val="24"/>
        </w:rPr>
      </w:pPr>
      <w:r>
        <w:rPr>
          <w:rFonts w:hint="eastAsia" w:ascii="宋体" w:hAnsi="宋体"/>
          <w:sz w:val="24"/>
          <w:szCs w:val="24"/>
        </w:rPr>
        <w:t xml:space="preserve">本公司（联合体）郑重声明，根</w:t>
      </w:r>
      <w:r>
        <w:rPr>
          <w:rFonts w:hint="eastAsia" w:ascii="宋体" w:hAnsi="宋体"/>
          <w:sz w:val="24"/>
          <w:szCs w:val="24"/>
        </w:rPr>
        <w:t xml:space="preserve">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860"/>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0"/>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0"/>
        <w:ind w:firstLine="360"/>
        <w:spacing w:line="360" w:lineRule="auto"/>
        <w:rPr>
          <w:rFonts w:hint="eastAsia" w:ascii="宋体" w:hAnsi="宋体"/>
          <w:sz w:val="24"/>
          <w:szCs w:val="24"/>
        </w:rPr>
      </w:pPr>
      <w:r>
        <w:rPr>
          <w:rFonts w:hint="eastAsia" w:ascii="宋体" w:hAnsi="宋体"/>
          <w:sz w:val="24"/>
          <w:szCs w:val="24"/>
        </w:rPr>
        <w:t xml:space="preserve">……</w:t>
      </w:r>
      <w:r/>
    </w:p>
    <w:p>
      <w:pPr>
        <w:pStyle w:val="860"/>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w:t>
      </w:r>
      <w:r>
        <w:rPr>
          <w:rFonts w:hint="eastAsia" w:ascii="宋体" w:hAnsi="宋体"/>
          <w:sz w:val="24"/>
          <w:szCs w:val="24"/>
        </w:rPr>
        <w:t xml:space="preserve">在控股股东为大企业的情形，也不存在与大企业的负责人为同一人的情形。</w:t>
      </w:r>
      <w:r/>
    </w:p>
    <w:p>
      <w:pPr>
        <w:pStyle w:val="860"/>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42"/>
        <w:spacing w:line="360" w:lineRule="auto"/>
        <w:rPr>
          <w:rFonts w:hint="eastAsia" w:ascii="宋体" w:hAnsi="宋体"/>
          <w:sz w:val="24"/>
          <w:szCs w:val="24"/>
        </w:rPr>
      </w:pPr>
      <w:r>
        <w:rPr>
          <w:rFonts w:hint="eastAsia" w:ascii="宋体" w:hAnsi="宋体"/>
          <w:sz w:val="24"/>
          <w:szCs w:val="24"/>
        </w:rPr>
      </w:r>
      <w:r/>
    </w:p>
    <w:p>
      <w:pPr>
        <w:pStyle w:val="860"/>
        <w:spacing w:line="360" w:lineRule="auto"/>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860"/>
        <w:ind w:firstLine="6000"/>
        <w:spacing w:line="360" w:lineRule="auto"/>
        <w:widowControl/>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jc w:val="left"/>
        <w:spacing w:line="360" w:lineRule="auto"/>
        <w:rPr>
          <w:rFonts w:hint="eastAsia" w:ascii="宋体" w:hAnsi="宋体"/>
          <w:sz w:val="24"/>
          <w:szCs w:val="24"/>
        </w:rPr>
      </w:pPr>
      <w:r>
        <w:rPr>
          <w:rFonts w:hint="eastAsia" w:ascii="宋体" w:hAnsi="宋体"/>
          <w:sz w:val="24"/>
          <w:szCs w:val="24"/>
        </w:rPr>
        <w:t xml:space="preserve">备注：</w:t>
      </w:r>
      <w:r/>
    </w:p>
    <w:p>
      <w:pPr>
        <w:pStyle w:val="860"/>
        <w:ind w:firstLine="480"/>
        <w:jc w:val="left"/>
        <w:spacing w:line="360" w:lineRule="auto"/>
        <w:widowControl/>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60"/>
        <w:ind w:firstLine="482"/>
        <w:jc w:val="left"/>
        <w:spacing w:line="360" w:lineRule="auto"/>
        <w:widowControl/>
        <w:rPr>
          <w:rFonts w:hint="eastAsia" w:ascii="宋体" w:hAnsi="宋体"/>
          <w:b/>
          <w:bCs/>
          <w:sz w:val="24"/>
          <w:szCs w:val="24"/>
        </w:rPr>
      </w:pPr>
      <w:r>
        <w:rPr>
          <w:rFonts w:hint="eastAsia" w:ascii="宋体" w:hAnsi="宋体"/>
          <w:b/>
          <w:bCs/>
          <w:sz w:val="24"/>
          <w:szCs w:val="24"/>
        </w:rPr>
        <w:t xml:space="preserve">2.服务采购项目中，服务全部由符合政策的中小企业承接，享受相应的中小企业扶持政策，不对其中涉及的货物的制造商、工程的承建商作出要求。磋商文件第四章采购需求“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p>
    <w:p>
      <w:pPr>
        <w:pStyle w:val="860"/>
        <w:jc w:val="left"/>
        <w:spacing w:line="360" w:lineRule="auto"/>
        <w:widowControl/>
        <w:rPr>
          <w:rFonts w:hint="eastAsia" w:ascii="黑体" w:hAnsi="黑体" w:eastAsia="黑体"/>
          <w:sz w:val="32"/>
          <w:szCs w:val="32"/>
        </w:rPr>
      </w:pPr>
      <w:r>
        <w:rPr>
          <w:rFonts w:hint="eastAsia" w:ascii="宋体" w:hAnsi="宋体"/>
          <w:b/>
          <w:bCs/>
          <w:sz w:val="24"/>
          <w:szCs w:val="24"/>
        </w:rPr>
        <w:br w:type="page" w:clear="all"/>
      </w:r>
      <w:r>
        <w:rPr>
          <w:rFonts w:hint="eastAsia" w:ascii="黑体" w:hAnsi="黑体" w:eastAsia="黑体"/>
          <w:iCs/>
          <w:sz w:val="32"/>
          <w:szCs w:val="32"/>
        </w:rPr>
        <w:t xml:space="preserve">九、</w:t>
      </w:r>
      <w:r>
        <w:rPr>
          <w:rFonts w:hint="eastAsia" w:ascii="黑体" w:hAnsi="黑体" w:eastAsia="黑体"/>
          <w:sz w:val="32"/>
          <w:szCs w:val="32"/>
        </w:rPr>
        <w:t xml:space="preserve">残疾人福利性单位声明函</w:t>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860"/>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pStyle w:val="860"/>
        <w:ind w:firstLine="480"/>
        <w:spacing w:line="360" w:lineRule="auto"/>
        <w:rPr>
          <w:rFonts w:hint="eastAsia" w:ascii="宋体" w:hAnsi="宋体"/>
          <w:sz w:val="24"/>
        </w:rPr>
      </w:pPr>
      <w:r>
        <w:rPr>
          <w:rFonts w:hint="eastAsia" w:ascii="宋体" w:hAnsi="宋体"/>
          <w:sz w:val="24"/>
        </w:rPr>
        <w:t xml:space="preserve">本单位</w:t>
      </w:r>
      <w:r>
        <w:rPr>
          <w:rFonts w:hint="eastAsia" w:ascii="宋体" w:hAnsi="宋体"/>
          <w:sz w:val="24"/>
        </w:rPr>
        <w:t xml:space="preserve">对上述声明的真实性负责，如有虚假，将依法承担相应责任。</w:t>
      </w:r>
      <w:r/>
    </w:p>
    <w:p>
      <w:pPr>
        <w:pStyle w:val="942"/>
        <w:spacing w:line="360" w:lineRule="auto"/>
        <w:rPr>
          <w:rFonts w:hint="eastAsia" w:ascii="宋体" w:hAnsi="宋体"/>
          <w:sz w:val="24"/>
          <w:szCs w:val="24"/>
        </w:rPr>
      </w:pPr>
      <w:r>
        <w:rPr>
          <w:rFonts w:hint="eastAsia" w:ascii="宋体" w:hAnsi="宋体"/>
          <w:sz w:val="24"/>
          <w:szCs w:val="24"/>
        </w:rPr>
      </w:r>
      <w:r/>
    </w:p>
    <w:p>
      <w:pPr>
        <w:pStyle w:val="860"/>
        <w:spacing w:line="360" w:lineRule="auto"/>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860"/>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360" w:lineRule="auto"/>
        <w:rPr>
          <w:rFonts w:hint="eastAsia" w:ascii="宋体" w:hAnsi="宋体"/>
          <w:sz w:val="24"/>
        </w:rPr>
      </w:pPr>
      <w:r>
        <w:rPr>
          <w:rFonts w:hint="eastAsia" w:ascii="宋体" w:hAnsi="宋体"/>
          <w:sz w:val="24"/>
        </w:rPr>
      </w:r>
      <w:r/>
    </w:p>
    <w:p>
      <w:pPr>
        <w:pStyle w:val="860"/>
        <w:ind w:firstLine="480"/>
        <w:spacing w:line="480" w:lineRule="exact"/>
        <w:rPr>
          <w:rFonts w:ascii="宋体" w:hAnsi="宋体"/>
          <w:sz w:val="24"/>
        </w:rPr>
      </w:pPr>
      <w:r>
        <w:rPr>
          <w:rFonts w:ascii="宋体" w:hAnsi="宋体"/>
          <w:sz w:val="24"/>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rPr>
          <w:rFonts w:hint="eastAsia" w:ascii="方正小标宋简体" w:hAnsi="方正小标宋简体" w:eastAsia="方正小标宋简体" w:cs="方正小标宋简体"/>
          <w:sz w:val="32"/>
          <w:szCs w:val="32"/>
        </w:rPr>
      </w:pPr>
      <w:r>
        <w:rPr>
          <w:rFonts w:hint="eastAsia" w:ascii="黑体" w:hAnsi="黑体" w:eastAsia="黑体"/>
          <w:b/>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860"/>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860"/>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采购人</w:t>
      </w:r>
      <w:r>
        <w:rPr>
          <w:rFonts w:hint="eastAsia" w:ascii="宋体" w:hAnsi="宋体" w:cs="仿宋"/>
          <w:sz w:val="24"/>
          <w:szCs w:val="24"/>
        </w:rPr>
        <w:t xml:space="preserve">名称：</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w:t>
      </w:r>
      <w:r>
        <w:rPr>
          <w:rFonts w:hint="eastAsia" w:ascii="方正黑体_GBK" w:hAnsi="方正黑体_GBK" w:eastAsia="方正黑体_GBK" w:cs="方正黑体_GBK"/>
          <w:bCs/>
          <w:sz w:val="24"/>
          <w:szCs w:val="24"/>
        </w:rPr>
        <w:t xml:space="preserve">质疑事项相关请求</w:t>
      </w:r>
      <w:r/>
    </w:p>
    <w:p>
      <w:pPr>
        <w:pStyle w:val="86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0"/>
        <w:rPr>
          <w:rFonts w:hint="eastAsia" w:ascii="宋体" w:hAnsi="宋体"/>
          <w:sz w:val="24"/>
          <w:szCs w:val="24"/>
        </w:rPr>
      </w:pPr>
      <w:r>
        <w:rPr>
          <w:rFonts w:hint="eastAsia" w:ascii="宋体" w:hAnsi="宋体"/>
          <w:sz w:val="24"/>
          <w:szCs w:val="24"/>
        </w:rPr>
      </w:r>
      <w:r/>
    </w:p>
    <w:p>
      <w:pPr>
        <w:pStyle w:val="860"/>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0"/>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0"/>
        <w:ind w:firstLine="48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7"/>
        <w:rFonts w:ascii="宋体" w:hAnsi="宋体"/>
      </w:rPr>
      <w:framePr w:wrap="around" w:vAnchor="text" w:hAnchor="margin" w:xAlign="center" w:y="1"/>
    </w:pPr>
    <w:r>
      <w:rPr>
        <w:rFonts w:ascii="宋体" w:hAnsi="宋体"/>
      </w:rPr>
      <w:fldChar w:fldCharType="begin"/>
    </w:r>
    <w:r>
      <w:rPr>
        <w:rStyle w:val="937"/>
        <w:rFonts w:ascii="宋体" w:hAnsi="宋体"/>
      </w:rPr>
      <w:instrText xml:space="preserve">PAGE  </w:instrText>
    </w:r>
    <w:r>
      <w:rPr>
        <w:rFonts w:ascii="宋体" w:hAnsi="宋体"/>
      </w:rPr>
      <w:fldChar w:fldCharType="separate"/>
    </w:r>
    <w:r>
      <w:rPr>
        <w:rStyle w:val="937"/>
        <w:rFonts w:ascii="宋体" w:hAnsi="宋体"/>
      </w:rPr>
      <w:t xml:space="preserve">３９</w:t>
    </w:r>
    <w:r>
      <w:rPr>
        <w:rFonts w:ascii="宋体" w:hAnsi="宋体"/>
      </w:rPr>
      <w:fldChar w:fldCharType="end"/>
    </w:r>
    <w:r>
      <w:rPr>
        <w:rStyle w:val="937"/>
        <w:rFonts w:ascii="宋体" w:hAnsi="宋体"/>
      </w:rPr>
    </w:r>
    <w:r/>
  </w:p>
  <w:p>
    <w:pPr>
      <w:pStyle w:val="912"/>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7"/>
      </w:rPr>
      <w:framePr w:wrap="around" w:vAnchor="text" w:hAnchor="margin" w:xAlign="center" w:y="1"/>
    </w:pPr>
    <w:r>
      <w:fldChar w:fldCharType="begin"/>
    </w:r>
    <w:r>
      <w:rPr>
        <w:rStyle w:val="937"/>
      </w:rPr>
      <w:instrText xml:space="preserve">PAGE  </w:instrText>
    </w:r>
    <w:r>
      <w:fldChar w:fldCharType="separate"/>
    </w:r>
    <w:r>
      <w:rPr>
        <w:rStyle w:val="937"/>
      </w:rPr>
      <w:t xml:space="preserve">1</w:t>
    </w:r>
    <w:r>
      <w:fldChar w:fldCharType="end"/>
    </w:r>
    <w:r>
      <w:rPr>
        <w:rStyle w:val="937"/>
      </w:rPr>
    </w:r>
    <w:r/>
  </w:p>
  <w:p>
    <w:pPr>
      <w:pStyle w:val="9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
    <w:multiLevelType w:val="hybridMultilevel"/>
    <w:lvl w:ilvl="0">
      <w:start w:val="1"/>
      <w:numFmt w:val="upperLetter"/>
      <w:pStyle w:val="945"/>
      <w:isLgl w:val="false"/>
      <w:suff w:val="tab"/>
      <w:lvlText w:val="附录%1."/>
      <w:lvlJc w:val="left"/>
      <w:pPr>
        <w:pStyle w:val="8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2"/>
      <w:isLgl w:val="false"/>
      <w:suff w:val="tab"/>
      <w:lvlText w:val="%1."/>
      <w:lvlJc w:val="left"/>
      <w:pPr>
        <w:pStyle w:val="860"/>
        <w:ind w:left="709" w:hanging="709"/>
        <w:tabs>
          <w:tab w:val="num" w:pos="709" w:leader="none"/>
        </w:tabs>
      </w:pPr>
      <w:rPr>
        <w:rFonts w:hint="eastAsia"/>
      </w:rPr>
    </w:lvl>
    <w:lvl w:ilvl="1">
      <w:start w:val="1"/>
      <w:numFmt w:val="decimal"/>
      <w:isLgl w:val="false"/>
      <w:suff w:val="tab"/>
      <w:lvlText w:val="%1.%2"/>
      <w:lvlJc w:val="left"/>
      <w:pPr>
        <w:pStyle w:val="860"/>
        <w:ind w:left="709" w:hanging="709"/>
        <w:tabs>
          <w:tab w:val="num" w:pos="709" w:leader="none"/>
        </w:tabs>
      </w:pPr>
      <w:rPr>
        <w:rFonts w:hint="eastAsia"/>
      </w:rPr>
    </w:lvl>
    <w:lvl w:ilvl="2">
      <w:start w:val="1"/>
      <w:numFmt w:val="decimal"/>
      <w:isLgl w:val="false"/>
      <w:suff w:val="tab"/>
      <w:lvlText w:val="%1.%2.%3."/>
      <w:lvlJc w:val="left"/>
      <w:pPr>
        <w:pStyle w:val="860"/>
        <w:ind w:left="425" w:hanging="425"/>
        <w:tabs>
          <w:tab w:val="num" w:pos="425" w:leader="none"/>
        </w:tabs>
      </w:pPr>
      <w:rPr>
        <w:rFonts w:hint="eastAsia"/>
      </w:rPr>
    </w:lvl>
    <w:lvl w:ilvl="3">
      <w:start w:val="1"/>
      <w:numFmt w:val="decimal"/>
      <w:isLgl w:val="false"/>
      <w:suff w:val="tab"/>
      <w:lvlText w:val="%1.%2.%3.%4."/>
      <w:lvlJc w:val="left"/>
      <w:pPr>
        <w:pStyle w:val="860"/>
        <w:ind w:left="851" w:hanging="851"/>
        <w:tabs>
          <w:tab w:val="num" w:pos="851" w:leader="none"/>
        </w:tabs>
      </w:pPr>
      <w:rPr>
        <w:rFonts w:hint="eastAsia"/>
      </w:rPr>
    </w:lvl>
    <w:lvl w:ilvl="4">
      <w:start w:val="1"/>
      <w:numFmt w:val="decimal"/>
      <w:isLgl w:val="false"/>
      <w:suff w:val="tab"/>
      <w:lvlText w:val="%1.%2.%3.%4.%5."/>
      <w:lvlJc w:val="left"/>
      <w:pPr>
        <w:pStyle w:val="860"/>
        <w:ind w:left="992" w:hanging="992"/>
        <w:tabs>
          <w:tab w:val="num" w:pos="992" w:leader="none"/>
        </w:tabs>
      </w:pPr>
      <w:rPr>
        <w:rFonts w:hint="eastAsia"/>
      </w:rPr>
    </w:lvl>
    <w:lvl w:ilvl="5">
      <w:start w:val="1"/>
      <w:numFmt w:val="decimal"/>
      <w:isLgl w:val="false"/>
      <w:suff w:val="tab"/>
      <w:lvlText w:val="%1.%2.%3.%4.%5.%6."/>
      <w:lvlJc w:val="left"/>
      <w:pPr>
        <w:pStyle w:val="860"/>
        <w:ind w:left="1134" w:hanging="1134"/>
        <w:tabs>
          <w:tab w:val="num" w:pos="1134" w:leader="none"/>
        </w:tabs>
      </w:pPr>
      <w:rPr>
        <w:rFonts w:hint="eastAsia"/>
      </w:rPr>
    </w:lvl>
    <w:lvl w:ilvl="6">
      <w:start w:val="1"/>
      <w:numFmt w:val="decimal"/>
      <w:isLgl w:val="false"/>
      <w:suff w:val="tab"/>
      <w:lvlText w:val="%1.%2.%3.%4.%5.%6.%7."/>
      <w:lvlJc w:val="left"/>
      <w:pPr>
        <w:pStyle w:val="860"/>
        <w:ind w:left="1276" w:hanging="1276"/>
        <w:tabs>
          <w:tab w:val="num" w:pos="1276" w:leader="none"/>
        </w:tabs>
      </w:pPr>
      <w:rPr>
        <w:rFonts w:hint="eastAsia"/>
      </w:rPr>
    </w:lvl>
    <w:lvl w:ilvl="7">
      <w:start w:val="1"/>
      <w:numFmt w:val="decimal"/>
      <w:isLgl w:val="false"/>
      <w:suff w:val="tab"/>
      <w:lvlText w:val="%1.%2.%3.%4.%5.%6.%7.%8."/>
      <w:lvlJc w:val="left"/>
      <w:pPr>
        <w:pStyle w:val="860"/>
        <w:ind w:left="1418" w:hanging="1418"/>
        <w:tabs>
          <w:tab w:val="num" w:pos="1418" w:leader="none"/>
        </w:tabs>
      </w:pPr>
      <w:rPr>
        <w:rFonts w:hint="eastAsia"/>
      </w:rPr>
    </w:lvl>
    <w:lvl w:ilvl="8">
      <w:start w:val="1"/>
      <w:numFmt w:val="decimal"/>
      <w:isLgl w:val="false"/>
      <w:suff w:val="tab"/>
      <w:lvlText w:val="%1.%2.%3.%4.%5.%6.%7.%8.%9."/>
      <w:lvlJc w:val="left"/>
      <w:pPr>
        <w:pStyle w:val="86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0"/>
        <w:ind w:left="0" w:firstLine="0"/>
      </w:pPr>
      <w:rPr>
        <w:rFonts w:hint="eastAsia"/>
      </w:rPr>
    </w:lvl>
    <w:lvl w:ilvl="1">
      <w:start w:val="1"/>
      <w:numFmt w:val="decimal"/>
      <w:isLgl w:val="false"/>
      <w:suff w:val="nothing"/>
      <w:lvlText w:val="%2、"/>
      <w:lvlJc w:val="left"/>
      <w:pPr>
        <w:pStyle w:val="860"/>
        <w:ind w:left="0" w:firstLine="0"/>
      </w:pPr>
      <w:rPr>
        <w:rFonts w:hint="eastAsia"/>
      </w:rPr>
    </w:lvl>
    <w:lvl w:ilvl="2">
      <w:start w:val="1"/>
      <w:numFmt w:val="decimal"/>
      <w:isLgl w:val="false"/>
      <w:suff w:val="nothing"/>
      <w:lvlText w:val="%2.%3 "/>
      <w:lvlJc w:val="left"/>
      <w:pPr>
        <w:pStyle w:val="860"/>
        <w:ind w:left="0" w:firstLine="0"/>
      </w:pPr>
      <w:rPr>
        <w:rFonts w:hint="eastAsia"/>
      </w:rPr>
    </w:lvl>
    <w:lvl w:ilvl="3">
      <w:start w:val="1"/>
      <w:numFmt w:val="decimal"/>
      <w:isLgl w:val="false"/>
      <w:suff w:val="nothing"/>
      <w:lvlText w:val="%2.%3.%4 "/>
      <w:lvlJc w:val="left"/>
      <w:pPr>
        <w:pStyle w:val="860"/>
        <w:ind w:left="0" w:firstLine="0"/>
      </w:pPr>
      <w:rPr>
        <w:rFonts w:hint="eastAsia"/>
      </w:rPr>
    </w:lvl>
    <w:lvl w:ilvl="4">
      <w:start w:val="1"/>
      <w:numFmt w:val="decimal"/>
      <w:isLgl w:val="false"/>
      <w:suff w:val="nothing"/>
      <w:lvlText w:val="%2.%3.%4.%5 "/>
      <w:lvlJc w:val="left"/>
      <w:pPr>
        <w:pStyle w:val="860"/>
        <w:ind w:left="0" w:firstLine="0"/>
      </w:pPr>
      <w:rPr>
        <w:rFonts w:hint="eastAsia"/>
      </w:rPr>
    </w:lvl>
    <w:lvl w:ilvl="5">
      <w:start w:val="1"/>
      <w:numFmt w:val="decimal"/>
      <w:pStyle w:val="866"/>
      <w:isLgl w:val="false"/>
      <w:suff w:val="nothing"/>
      <w:lvlText w:val=""/>
      <w:lvlJc w:val="left"/>
      <w:pPr>
        <w:pStyle w:val="860"/>
        <w:ind w:left="0" w:firstLine="0"/>
      </w:pPr>
      <w:rPr>
        <w:rFonts w:hint="eastAsia"/>
      </w:rPr>
    </w:lvl>
    <w:lvl w:ilvl="6">
      <w:start w:val="1"/>
      <w:numFmt w:val="decimal"/>
      <w:pStyle w:val="867"/>
      <w:isLgl w:val="false"/>
      <w:suff w:val="nothing"/>
      <w:lvlText w:val=""/>
      <w:lvlJc w:val="left"/>
      <w:pPr>
        <w:pStyle w:val="860"/>
        <w:ind w:left="0" w:firstLine="0"/>
      </w:pPr>
      <w:rPr>
        <w:rFonts w:hint="eastAsia"/>
      </w:rPr>
    </w:lvl>
    <w:lvl w:ilvl="7">
      <w:start w:val="1"/>
      <w:numFmt w:val="decimal"/>
      <w:pStyle w:val="868"/>
      <w:isLgl w:val="false"/>
      <w:suff w:val="nothing"/>
      <w:lvlText w:val=""/>
      <w:lvlJc w:val="left"/>
      <w:pPr>
        <w:pStyle w:val="860"/>
        <w:ind w:left="0" w:firstLine="0"/>
      </w:pPr>
      <w:rPr>
        <w:rFonts w:hint="eastAsia"/>
      </w:rPr>
    </w:lvl>
    <w:lvl w:ilvl="8">
      <w:start w:val="1"/>
      <w:numFmt w:val="decimal"/>
      <w:pStyle w:val="869"/>
      <w:isLgl w:val="false"/>
      <w:suff w:val="nothing"/>
      <w:lvlText w:val=""/>
      <w:lvlJc w:val="left"/>
      <w:pPr>
        <w:pStyle w:val="860"/>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0"/>
    <w:next w:val="860"/>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0"/>
    <w:next w:val="860"/>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0"/>
    <w:next w:val="860"/>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0"/>
    <w:next w:val="860"/>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0"/>
    <w:next w:val="860"/>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0"/>
    <w:next w:val="860"/>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0"/>
    <w:next w:val="860"/>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0"/>
    <w:next w:val="860"/>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0"/>
    <w:next w:val="860"/>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0"/>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0"/>
    <w:next w:val="860"/>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0"/>
    <w:next w:val="860"/>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0"/>
    <w:next w:val="860"/>
    <w:link w:val="716"/>
    <w:uiPriority w:val="29"/>
    <w:qFormat/>
    <w:pPr>
      <w:ind w:left="720" w:right="720"/>
    </w:pPr>
    <w:rPr>
      <w:i/>
    </w:rPr>
  </w:style>
  <w:style w:type="character" w:styleId="716">
    <w:name w:val="Quote Char"/>
    <w:link w:val="715"/>
    <w:uiPriority w:val="29"/>
    <w:rPr>
      <w:i/>
    </w:rPr>
  </w:style>
  <w:style w:type="paragraph" w:styleId="717">
    <w:name w:val="Intense Quote"/>
    <w:basedOn w:val="860"/>
    <w:next w:val="860"/>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0"/>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0"/>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0"/>
    <w:next w:val="860"/>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0"/>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0"/>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73"/>
    <w:link w:val="860"/>
    <w:qFormat/>
    <w:pPr>
      <w:jc w:val="both"/>
      <w:widowControl w:val="off"/>
    </w:pPr>
    <w:rPr>
      <w:sz w:val="21"/>
      <w:szCs w:val="22"/>
      <w:lang w:val="en-US" w:eastAsia="zh-CN" w:bidi="ar-SA"/>
    </w:rPr>
  </w:style>
  <w:style w:type="paragraph" w:styleId="861">
    <w:name w:val="标题 1"/>
    <w:basedOn w:val="860"/>
    <w:next w:val="860"/>
    <w:link w:val="875"/>
    <w:qFormat/>
    <w:pPr>
      <w:jc w:val="center"/>
      <w:keepNext/>
      <w:outlineLvl w:val="0"/>
    </w:pPr>
    <w:rPr>
      <w:rFonts w:ascii="楷体_GB2312" w:hAnsi="Times New Roman" w:eastAsia="楷体_GB2312" w:cs="Times New Roman"/>
      <w:sz w:val="28"/>
      <w:szCs w:val="28"/>
    </w:rPr>
  </w:style>
  <w:style w:type="paragraph" w:styleId="862">
    <w:name w:val="标题 2"/>
    <w:basedOn w:val="860"/>
    <w:next w:val="877"/>
    <w:link w:val="876"/>
    <w:qFormat/>
    <w:pPr>
      <w:jc w:val="center"/>
      <w:keepLines/>
      <w:keepNext/>
      <w:spacing w:before="260" w:after="260" w:line="416" w:lineRule="auto"/>
      <w:outlineLvl w:val="1"/>
    </w:pPr>
    <w:rPr>
      <w:rFonts w:ascii="Arial" w:hAnsi="Arial" w:eastAsia="幼圆" w:cs="Arial"/>
      <w:b/>
      <w:bCs/>
      <w:sz w:val="44"/>
      <w:szCs w:val="44"/>
    </w:rPr>
  </w:style>
  <w:style w:type="paragraph" w:styleId="863">
    <w:name w:val="标题 3"/>
    <w:basedOn w:val="860"/>
    <w:next w:val="877"/>
    <w:link w:val="879"/>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4">
    <w:name w:val="标题 4"/>
    <w:basedOn w:val="860"/>
    <w:next w:val="877"/>
    <w:link w:val="880"/>
    <w:qFormat/>
    <w:pPr>
      <w:keepLines/>
      <w:keepNext/>
      <w:spacing w:before="280" w:after="290" w:line="376" w:lineRule="auto"/>
      <w:outlineLvl w:val="3"/>
    </w:pPr>
    <w:rPr>
      <w:rFonts w:ascii="Arial" w:hAnsi="Arial" w:eastAsia="黑体" w:cs="Arial"/>
      <w:b/>
      <w:bCs/>
      <w:sz w:val="28"/>
      <w:szCs w:val="28"/>
    </w:rPr>
  </w:style>
  <w:style w:type="paragraph" w:styleId="865">
    <w:name w:val="标题 5"/>
    <w:basedOn w:val="860"/>
    <w:next w:val="877"/>
    <w:link w:val="881"/>
    <w:qFormat/>
    <w:pPr>
      <w:keepNext/>
      <w:outlineLvl w:val="4"/>
    </w:pPr>
    <w:rPr>
      <w:rFonts w:ascii="宋体" w:hAnsi="Times New Roman" w:eastAsia="宋体" w:cs="Times New Roman"/>
      <w:color w:val="000000"/>
      <w:sz w:val="28"/>
      <w:szCs w:val="28"/>
    </w:rPr>
  </w:style>
  <w:style w:type="paragraph" w:styleId="866">
    <w:name w:val="标题 6"/>
    <w:basedOn w:val="860"/>
    <w:next w:val="860"/>
    <w:link w:val="88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7">
    <w:name w:val="标题 7"/>
    <w:basedOn w:val="860"/>
    <w:next w:val="860"/>
    <w:link w:val="88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8">
    <w:name w:val="标题 8"/>
    <w:basedOn w:val="860"/>
    <w:next w:val="860"/>
    <w:link w:val="88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9">
    <w:name w:val="标题 9"/>
    <w:basedOn w:val="860"/>
    <w:next w:val="860"/>
    <w:link w:val="885"/>
    <w:qFormat/>
    <w:pPr>
      <w:numPr>
        <w:ilvl w:val="8"/>
        <w:numId w:val="1"/>
      </w:numPr>
      <w:keepLines/>
      <w:keepNext/>
      <w:spacing w:before="240" w:after="64" w:line="320" w:lineRule="auto"/>
      <w:outlineLvl w:val="8"/>
    </w:pPr>
    <w:rPr>
      <w:rFonts w:ascii="Arial" w:hAnsi="Arial" w:eastAsia="黑体" w:cs="Times New Roman"/>
      <w:szCs w:val="21"/>
    </w:rPr>
  </w:style>
  <w:style w:type="character" w:styleId="870">
    <w:name w:val="默认段落字体"/>
    <w:next w:val="870"/>
    <w:link w:val="860"/>
    <w:uiPriority w:val="1"/>
    <w:unhideWhenUsed/>
  </w:style>
  <w:style w:type="table" w:styleId="871">
    <w:name w:val="普通表格"/>
    <w:next w:val="871"/>
    <w:link w:val="860"/>
    <w:uiPriority w:val="99"/>
    <w:unhideWhenUsed/>
    <w:tblPr/>
  </w:style>
  <w:style w:type="numbering" w:styleId="872">
    <w:name w:val="无列表"/>
    <w:next w:val="872"/>
    <w:link w:val="860"/>
    <w:uiPriority w:val="99"/>
    <w:semiHidden/>
    <w:unhideWhenUsed/>
  </w:style>
  <w:style w:type="paragraph" w:styleId="873">
    <w:name w:val="正文首行缩进 21"/>
    <w:basedOn w:val="874"/>
    <w:next w:val="873"/>
    <w:link w:val="860"/>
    <w:qFormat/>
    <w:pPr>
      <w:ind w:left="0" w:firstLine="420"/>
      <w:spacing w:after="0" w:line="360" w:lineRule="auto"/>
    </w:pPr>
    <w:rPr>
      <w:rFonts w:ascii="宋体" w:hAnsi="宋体"/>
      <w:sz w:val="20"/>
      <w:szCs w:val="20"/>
      <w:lang w:val="en-US" w:eastAsia="en-US"/>
    </w:rPr>
  </w:style>
  <w:style w:type="paragraph" w:styleId="874">
    <w:name w:val="正文文本缩进1"/>
    <w:basedOn w:val="860"/>
    <w:next w:val="873"/>
    <w:link w:val="860"/>
    <w:unhideWhenUsed/>
    <w:qFormat/>
    <w:pPr>
      <w:ind w:left="420"/>
      <w:spacing w:after="120"/>
    </w:pPr>
  </w:style>
  <w:style w:type="character" w:styleId="875">
    <w:name w:val="标题 1 字符"/>
    <w:next w:val="875"/>
    <w:link w:val="861"/>
    <w:rPr>
      <w:rFonts w:ascii="楷体_GB2312" w:hAnsi="Times New Roman" w:eastAsia="楷体_GB2312" w:cs="Times New Roman"/>
      <w:sz w:val="28"/>
      <w:szCs w:val="28"/>
    </w:rPr>
  </w:style>
  <w:style w:type="character" w:styleId="876">
    <w:name w:val="标题 2 字符"/>
    <w:next w:val="876"/>
    <w:link w:val="862"/>
    <w:rPr>
      <w:rFonts w:ascii="Arial" w:hAnsi="Arial" w:eastAsia="幼圆" w:cs="Arial"/>
      <w:b/>
      <w:bCs/>
      <w:sz w:val="44"/>
      <w:szCs w:val="44"/>
    </w:rPr>
  </w:style>
  <w:style w:type="paragraph" w:styleId="877">
    <w:name w:val="正文缩进"/>
    <w:basedOn w:val="860"/>
    <w:next w:val="877"/>
    <w:link w:val="878"/>
    <w:pPr>
      <w:ind w:firstLine="420"/>
    </w:pPr>
    <w:rPr>
      <w:szCs w:val="21"/>
    </w:rPr>
  </w:style>
  <w:style w:type="character" w:styleId="878">
    <w:name w:val="正文缩进 字符"/>
    <w:next w:val="878"/>
    <w:link w:val="877"/>
    <w:rPr>
      <w:szCs w:val="21"/>
    </w:rPr>
  </w:style>
  <w:style w:type="character" w:styleId="879">
    <w:name w:val="标题 3 字符"/>
    <w:next w:val="879"/>
    <w:link w:val="863"/>
    <w:rPr>
      <w:rFonts w:ascii="Times New Roman" w:hAnsi="Times New Roman" w:eastAsia="宋体" w:cs="Times New Roman"/>
      <w:b/>
      <w:bCs/>
      <w:sz w:val="32"/>
      <w:szCs w:val="32"/>
    </w:rPr>
  </w:style>
  <w:style w:type="character" w:styleId="880">
    <w:name w:val="标题 4 字符"/>
    <w:next w:val="880"/>
    <w:link w:val="864"/>
    <w:rPr>
      <w:rFonts w:ascii="Arial" w:hAnsi="Arial" w:eastAsia="黑体" w:cs="Arial"/>
      <w:b/>
      <w:bCs/>
      <w:sz w:val="28"/>
      <w:szCs w:val="28"/>
    </w:rPr>
  </w:style>
  <w:style w:type="character" w:styleId="881">
    <w:name w:val="标题 5 字符"/>
    <w:next w:val="881"/>
    <w:link w:val="865"/>
    <w:rPr>
      <w:rFonts w:ascii="宋体" w:hAnsi="Times New Roman" w:eastAsia="宋体" w:cs="Times New Roman"/>
      <w:color w:val="000000"/>
      <w:sz w:val="28"/>
      <w:szCs w:val="28"/>
    </w:rPr>
  </w:style>
  <w:style w:type="character" w:styleId="882">
    <w:name w:val="标题 6 字符"/>
    <w:next w:val="882"/>
    <w:link w:val="866"/>
    <w:rPr>
      <w:rFonts w:ascii="Arial" w:hAnsi="Arial" w:eastAsia="黑体" w:cs="Times New Roman"/>
      <w:b/>
      <w:bCs/>
      <w:sz w:val="24"/>
      <w:szCs w:val="24"/>
    </w:rPr>
  </w:style>
  <w:style w:type="character" w:styleId="883">
    <w:name w:val="标题 7 字符"/>
    <w:next w:val="883"/>
    <w:link w:val="867"/>
    <w:rPr>
      <w:rFonts w:ascii="Times New Roman" w:hAnsi="Times New Roman" w:eastAsia="宋体" w:cs="Times New Roman"/>
      <w:b/>
      <w:bCs/>
      <w:sz w:val="24"/>
      <w:szCs w:val="24"/>
    </w:rPr>
  </w:style>
  <w:style w:type="character" w:styleId="884">
    <w:name w:val="标题 8 字符"/>
    <w:next w:val="884"/>
    <w:link w:val="868"/>
    <w:rPr>
      <w:rFonts w:ascii="Arial" w:hAnsi="Arial" w:eastAsia="黑体" w:cs="Times New Roman"/>
      <w:sz w:val="24"/>
      <w:szCs w:val="24"/>
    </w:rPr>
  </w:style>
  <w:style w:type="character" w:styleId="885">
    <w:name w:val="标题 9 字符"/>
    <w:next w:val="885"/>
    <w:link w:val="869"/>
    <w:rPr>
      <w:rFonts w:ascii="Arial" w:hAnsi="Arial" w:eastAsia="黑体" w:cs="Times New Roman"/>
      <w:szCs w:val="21"/>
    </w:rPr>
  </w:style>
  <w:style w:type="paragraph" w:styleId="886">
    <w:name w:val="列表 3"/>
    <w:basedOn w:val="860"/>
    <w:next w:val="886"/>
    <w:link w:val="860"/>
    <w:pPr>
      <w:ind w:left="100" w:hanging="200"/>
    </w:pPr>
    <w:rPr>
      <w:rFonts w:ascii="Times New Roman" w:hAnsi="Times New Roman" w:eastAsia="宋体" w:cs="Times New Roman"/>
      <w:szCs w:val="21"/>
    </w:rPr>
  </w:style>
  <w:style w:type="paragraph" w:styleId="887">
    <w:name w:val="toc 7"/>
    <w:basedOn w:val="860"/>
    <w:next w:val="860"/>
    <w:link w:val="860"/>
    <w:semiHidden/>
    <w:pPr>
      <w:ind w:left="1260"/>
      <w:jc w:val="left"/>
    </w:pPr>
    <w:rPr>
      <w:rFonts w:ascii="Times New Roman" w:hAnsi="Times New Roman" w:eastAsia="宋体" w:cs="Times New Roman"/>
      <w:szCs w:val="21"/>
    </w:rPr>
  </w:style>
  <w:style w:type="paragraph" w:styleId="888">
    <w:name w:val="文档结构图"/>
    <w:basedOn w:val="860"/>
    <w:next w:val="888"/>
    <w:link w:val="889"/>
    <w:semiHidden/>
    <w:pPr>
      <w:shd w:val="clear" w:color="auto" w:fill="000080"/>
    </w:pPr>
    <w:rPr>
      <w:rFonts w:ascii="Times New Roman" w:hAnsi="Times New Roman" w:eastAsia="宋体" w:cs="Times New Roman"/>
      <w:szCs w:val="21"/>
    </w:rPr>
  </w:style>
  <w:style w:type="character" w:styleId="889">
    <w:name w:val="文档结构图 字符"/>
    <w:next w:val="889"/>
    <w:link w:val="888"/>
    <w:semiHidden/>
    <w:rPr>
      <w:rFonts w:ascii="Times New Roman" w:hAnsi="Times New Roman" w:eastAsia="宋体" w:cs="Times New Roman"/>
      <w:szCs w:val="21"/>
      <w:shd w:val="clear" w:color="auto" w:fill="000080"/>
    </w:rPr>
  </w:style>
  <w:style w:type="paragraph" w:styleId="890">
    <w:name w:val="批注文字"/>
    <w:basedOn w:val="860"/>
    <w:next w:val="890"/>
    <w:link w:val="891"/>
    <w:unhideWhenUsed/>
    <w:pPr>
      <w:jc w:val="left"/>
    </w:pPr>
  </w:style>
  <w:style w:type="character" w:styleId="891">
    <w:name w:val="批注文字 字符"/>
    <w:next w:val="891"/>
    <w:link w:val="890"/>
    <w:uiPriority w:val="99"/>
    <w:semiHidden/>
  </w:style>
  <w:style w:type="paragraph" w:styleId="892">
    <w:name w:val="正文文本 3"/>
    <w:basedOn w:val="860"/>
    <w:next w:val="892"/>
    <w:link w:val="893"/>
    <w:rPr>
      <w:rFonts w:ascii="仿宋_GB2312" w:hAnsi="Arial" w:eastAsia="仿宋_GB2312" w:cs="Times New Roman"/>
      <w:sz w:val="32"/>
      <w:szCs w:val="32"/>
    </w:rPr>
  </w:style>
  <w:style w:type="character" w:styleId="893">
    <w:name w:val="正文文本 3 字符"/>
    <w:next w:val="893"/>
    <w:link w:val="892"/>
    <w:rPr>
      <w:rFonts w:ascii="仿宋_GB2312" w:hAnsi="Arial" w:eastAsia="仿宋_GB2312" w:cs="Times New Roman"/>
      <w:sz w:val="32"/>
      <w:szCs w:val="32"/>
    </w:rPr>
  </w:style>
  <w:style w:type="paragraph" w:styleId="894">
    <w:name w:val="正文文本"/>
    <w:basedOn w:val="860"/>
    <w:next w:val="894"/>
    <w:link w:val="895"/>
    <w:rPr>
      <w:rFonts w:ascii="楷体_GB2312" w:hAnsi="Arial" w:eastAsia="楷体_GB2312" w:cs="Times New Roman"/>
      <w:sz w:val="28"/>
      <w:szCs w:val="28"/>
    </w:rPr>
  </w:style>
  <w:style w:type="character" w:styleId="895">
    <w:name w:val="正文文本 字符"/>
    <w:next w:val="895"/>
    <w:link w:val="894"/>
    <w:rPr>
      <w:rFonts w:ascii="楷体_GB2312" w:hAnsi="Arial" w:eastAsia="楷体_GB2312" w:cs="Times New Roman"/>
      <w:sz w:val="28"/>
      <w:szCs w:val="28"/>
    </w:rPr>
  </w:style>
  <w:style w:type="paragraph" w:styleId="896">
    <w:name w:val="正文文本缩进"/>
    <w:basedOn w:val="860"/>
    <w:next w:val="898"/>
    <w:link w:val="897"/>
    <w:unhideWhenUsed/>
    <w:pPr>
      <w:ind w:left="420"/>
      <w:spacing w:after="120"/>
    </w:pPr>
  </w:style>
  <w:style w:type="character" w:styleId="897">
    <w:name w:val="正文文本缩进 字符"/>
    <w:next w:val="897"/>
    <w:link w:val="896"/>
    <w:uiPriority w:val="99"/>
    <w:semiHidden/>
  </w:style>
  <w:style w:type="paragraph" w:styleId="898">
    <w:name w:val="寄信人地址"/>
    <w:basedOn w:val="860"/>
    <w:next w:val="898"/>
    <w:link w:val="860"/>
    <w:qFormat/>
    <w:rPr>
      <w:rFonts w:ascii="Arial" w:hAnsi="Arial" w:eastAsia="宋体" w:cs="宋体"/>
    </w:rPr>
  </w:style>
  <w:style w:type="paragraph" w:styleId="899">
    <w:name w:val="列表 2"/>
    <w:basedOn w:val="860"/>
    <w:next w:val="899"/>
    <w:link w:val="860"/>
    <w:pPr>
      <w:ind w:left="100" w:hanging="200"/>
    </w:pPr>
    <w:rPr>
      <w:rFonts w:ascii="Times New Roman" w:hAnsi="Times New Roman" w:eastAsia="宋体" w:cs="Times New Roman"/>
      <w:szCs w:val="21"/>
    </w:rPr>
  </w:style>
  <w:style w:type="paragraph" w:styleId="900">
    <w:name w:val="索引 4"/>
    <w:basedOn w:val="860"/>
    <w:next w:val="860"/>
    <w:link w:val="860"/>
    <w:semiHidden/>
    <w:qFormat/>
    <w:pPr>
      <w:ind w:left="1260"/>
    </w:pPr>
    <w:rPr>
      <w:rFonts w:ascii="Calibri" w:hAnsi="Calibri" w:eastAsia="Calibri" w:cs="宋体"/>
      <w:sz w:val="20"/>
      <w:lang w:val="zh-CN"/>
    </w:rPr>
  </w:style>
  <w:style w:type="paragraph" w:styleId="901">
    <w:name w:val="toc 5"/>
    <w:basedOn w:val="860"/>
    <w:next w:val="860"/>
    <w:link w:val="860"/>
    <w:semiHidden/>
    <w:pPr>
      <w:ind w:left="840"/>
      <w:jc w:val="left"/>
    </w:pPr>
    <w:rPr>
      <w:rFonts w:ascii="Times New Roman" w:hAnsi="Times New Roman" w:eastAsia="宋体" w:cs="Times New Roman"/>
      <w:szCs w:val="21"/>
    </w:rPr>
  </w:style>
  <w:style w:type="paragraph" w:styleId="902">
    <w:name w:val="toc 3"/>
    <w:basedOn w:val="860"/>
    <w:next w:val="860"/>
    <w:link w:val="860"/>
    <w:semiHidden/>
    <w:pPr>
      <w:ind w:left="420"/>
      <w:jc w:val="left"/>
    </w:pPr>
    <w:rPr>
      <w:rFonts w:ascii="Times New Roman" w:hAnsi="Times New Roman" w:eastAsia="宋体" w:cs="Times New Roman"/>
      <w:i/>
      <w:iCs/>
      <w:szCs w:val="24"/>
    </w:rPr>
  </w:style>
  <w:style w:type="paragraph" w:styleId="903">
    <w:name w:val="纯文本"/>
    <w:basedOn w:val="860"/>
    <w:next w:val="903"/>
    <w:link w:val="904"/>
    <w:rPr>
      <w:rFonts w:ascii="宋体" w:hAnsi="Courier New" w:eastAsia="宋体" w:cs="Courier New"/>
      <w:szCs w:val="21"/>
    </w:rPr>
  </w:style>
  <w:style w:type="character" w:styleId="904">
    <w:name w:val="纯文本 字符"/>
    <w:next w:val="904"/>
    <w:link w:val="903"/>
    <w:rPr>
      <w:rFonts w:ascii="宋体" w:hAnsi="Courier New" w:eastAsia="宋体" w:cs="Courier New"/>
      <w:szCs w:val="21"/>
    </w:rPr>
  </w:style>
  <w:style w:type="paragraph" w:styleId="905">
    <w:name w:val="toc 8"/>
    <w:basedOn w:val="860"/>
    <w:next w:val="860"/>
    <w:link w:val="860"/>
    <w:semiHidden/>
    <w:pPr>
      <w:ind w:left="1470"/>
      <w:jc w:val="left"/>
    </w:pPr>
    <w:rPr>
      <w:rFonts w:ascii="Times New Roman" w:hAnsi="Times New Roman" w:eastAsia="宋体" w:cs="Times New Roman"/>
      <w:szCs w:val="21"/>
    </w:rPr>
  </w:style>
  <w:style w:type="paragraph" w:styleId="906">
    <w:name w:val="日期"/>
    <w:basedOn w:val="860"/>
    <w:next w:val="860"/>
    <w:link w:val="907"/>
    <w:rPr>
      <w:rFonts w:ascii="Times New Roman" w:hAnsi="Times New Roman" w:eastAsia="宋体" w:cs="Times New Roman"/>
      <w:sz w:val="24"/>
      <w:szCs w:val="24"/>
    </w:rPr>
  </w:style>
  <w:style w:type="character" w:styleId="907">
    <w:name w:val="日期 字符"/>
    <w:next w:val="907"/>
    <w:link w:val="906"/>
    <w:rPr>
      <w:rFonts w:ascii="Times New Roman" w:hAnsi="Times New Roman" w:eastAsia="宋体" w:cs="Times New Roman"/>
      <w:sz w:val="24"/>
      <w:szCs w:val="24"/>
    </w:rPr>
  </w:style>
  <w:style w:type="paragraph" w:styleId="908">
    <w:name w:val="正文文本缩进 2"/>
    <w:basedOn w:val="860"/>
    <w:next w:val="908"/>
    <w:link w:val="909"/>
    <w:pPr>
      <w:ind w:left="630" w:firstLine="645"/>
    </w:pPr>
    <w:rPr>
      <w:rFonts w:ascii="Arial" w:hAnsi="Arial" w:eastAsia="仿宋_GB2312" w:cs="Arial"/>
      <w:sz w:val="32"/>
      <w:szCs w:val="32"/>
    </w:rPr>
  </w:style>
  <w:style w:type="character" w:styleId="909">
    <w:name w:val="正文文本缩进 2 字符"/>
    <w:next w:val="909"/>
    <w:link w:val="908"/>
    <w:rPr>
      <w:rFonts w:ascii="Arial" w:hAnsi="Arial" w:eastAsia="仿宋_GB2312" w:cs="Arial"/>
      <w:sz w:val="32"/>
      <w:szCs w:val="32"/>
    </w:rPr>
  </w:style>
  <w:style w:type="paragraph" w:styleId="910">
    <w:name w:val="批注框文本"/>
    <w:basedOn w:val="860"/>
    <w:next w:val="910"/>
    <w:link w:val="911"/>
    <w:semiHidden/>
    <w:rPr>
      <w:rFonts w:ascii="Times New Roman" w:hAnsi="Times New Roman" w:eastAsia="宋体" w:cs="Times New Roman"/>
      <w:sz w:val="18"/>
      <w:szCs w:val="18"/>
    </w:rPr>
  </w:style>
  <w:style w:type="character" w:styleId="911">
    <w:name w:val="批注框文本 字符"/>
    <w:next w:val="911"/>
    <w:link w:val="910"/>
    <w:semiHidden/>
    <w:rPr>
      <w:rFonts w:ascii="Times New Roman" w:hAnsi="Times New Roman" w:eastAsia="宋体" w:cs="Times New Roman"/>
      <w:sz w:val="18"/>
      <w:szCs w:val="18"/>
    </w:rPr>
  </w:style>
  <w:style w:type="paragraph" w:styleId="912">
    <w:name w:val="页脚"/>
    <w:basedOn w:val="860"/>
    <w:next w:val="912"/>
    <w:link w:val="913"/>
    <w:pPr>
      <w:jc w:val="left"/>
      <w:tabs>
        <w:tab w:val="center" w:pos="4153" w:leader="none"/>
        <w:tab w:val="right" w:pos="8306" w:leader="none"/>
      </w:tabs>
    </w:pPr>
    <w:rPr>
      <w:rFonts w:ascii="Times New Roman" w:hAnsi="Times New Roman" w:eastAsia="宋体" w:cs="Times New Roman"/>
      <w:sz w:val="18"/>
      <w:szCs w:val="18"/>
    </w:rPr>
  </w:style>
  <w:style w:type="character" w:styleId="913">
    <w:name w:val="页脚 字符"/>
    <w:next w:val="913"/>
    <w:link w:val="912"/>
    <w:rPr>
      <w:rFonts w:ascii="Times New Roman" w:hAnsi="Times New Roman" w:eastAsia="宋体" w:cs="Times New Roman"/>
      <w:sz w:val="18"/>
      <w:szCs w:val="18"/>
    </w:rPr>
  </w:style>
  <w:style w:type="paragraph" w:styleId="914">
    <w:name w:val="页眉"/>
    <w:basedOn w:val="860"/>
    <w:next w:val="914"/>
    <w:link w:val="91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5">
    <w:name w:val="页眉 字符"/>
    <w:next w:val="915"/>
    <w:link w:val="914"/>
    <w:rPr>
      <w:rFonts w:ascii="Times New Roman" w:hAnsi="Times New Roman" w:eastAsia="宋体" w:cs="Times New Roman"/>
      <w:sz w:val="18"/>
      <w:szCs w:val="18"/>
    </w:rPr>
  </w:style>
  <w:style w:type="paragraph" w:styleId="916">
    <w:name w:val="toc 1"/>
    <w:basedOn w:val="860"/>
    <w:next w:val="860"/>
    <w:link w:val="86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17">
    <w:name w:val="toc 4"/>
    <w:basedOn w:val="860"/>
    <w:next w:val="860"/>
    <w:link w:val="860"/>
    <w:semiHidden/>
    <w:pPr>
      <w:ind w:left="630"/>
      <w:jc w:val="left"/>
    </w:pPr>
    <w:rPr>
      <w:rFonts w:ascii="Times New Roman" w:hAnsi="Times New Roman" w:eastAsia="宋体" w:cs="Times New Roman"/>
      <w:szCs w:val="21"/>
    </w:rPr>
  </w:style>
  <w:style w:type="paragraph" w:styleId="918">
    <w:name w:val="列表"/>
    <w:basedOn w:val="860"/>
    <w:next w:val="918"/>
    <w:link w:val="860"/>
    <w:pPr>
      <w:ind w:left="200" w:hanging="200"/>
    </w:pPr>
    <w:rPr>
      <w:rFonts w:ascii="Times New Roman" w:hAnsi="Times New Roman" w:eastAsia="宋体" w:cs="Times New Roman"/>
      <w:szCs w:val="21"/>
    </w:rPr>
  </w:style>
  <w:style w:type="paragraph" w:styleId="919">
    <w:name w:val="toc 6"/>
    <w:basedOn w:val="860"/>
    <w:next w:val="860"/>
    <w:link w:val="860"/>
    <w:semiHidden/>
    <w:pPr>
      <w:ind w:left="1050"/>
      <w:jc w:val="left"/>
    </w:pPr>
    <w:rPr>
      <w:rFonts w:ascii="Times New Roman" w:hAnsi="Times New Roman" w:eastAsia="宋体" w:cs="Times New Roman"/>
      <w:szCs w:val="21"/>
    </w:rPr>
  </w:style>
  <w:style w:type="paragraph" w:styleId="920">
    <w:name w:val="正文文本缩进 3"/>
    <w:basedOn w:val="860"/>
    <w:next w:val="920"/>
    <w:link w:val="921"/>
    <w:pPr>
      <w:ind w:left="645" w:firstLine="645"/>
    </w:pPr>
    <w:rPr>
      <w:rFonts w:ascii="Arial" w:hAnsi="Arial" w:eastAsia="仿宋_GB2312" w:cs="Arial"/>
      <w:color w:val="ffff00"/>
      <w:sz w:val="32"/>
      <w:szCs w:val="32"/>
    </w:rPr>
  </w:style>
  <w:style w:type="character" w:styleId="921">
    <w:name w:val="正文文本缩进 3 字符"/>
    <w:next w:val="921"/>
    <w:link w:val="920"/>
    <w:rPr>
      <w:rFonts w:ascii="Arial" w:hAnsi="Arial" w:eastAsia="仿宋_GB2312" w:cs="Arial"/>
      <w:color w:val="ffff00"/>
      <w:sz w:val="32"/>
      <w:szCs w:val="32"/>
    </w:rPr>
  </w:style>
  <w:style w:type="paragraph" w:styleId="922">
    <w:name w:val="图表目录"/>
    <w:basedOn w:val="860"/>
    <w:next w:val="860"/>
    <w:link w:val="860"/>
    <w:semiHidden/>
    <w:pPr>
      <w:ind w:left="840" w:hanging="420"/>
    </w:pPr>
    <w:rPr>
      <w:rFonts w:ascii="Times New Roman" w:hAnsi="Times New Roman" w:eastAsia="宋体" w:cs="Times New Roman"/>
      <w:szCs w:val="21"/>
    </w:rPr>
  </w:style>
  <w:style w:type="paragraph" w:styleId="923">
    <w:name w:val="toc 2"/>
    <w:basedOn w:val="860"/>
    <w:next w:val="860"/>
    <w:link w:val="860"/>
    <w:semiHidden/>
    <w:pPr>
      <w:ind w:left="210"/>
      <w:jc w:val="left"/>
    </w:pPr>
    <w:rPr>
      <w:rFonts w:ascii="Times New Roman" w:hAnsi="Times New Roman" w:eastAsia="宋体" w:cs="Times New Roman"/>
      <w:smallCaps/>
      <w:szCs w:val="24"/>
    </w:rPr>
  </w:style>
  <w:style w:type="paragraph" w:styleId="924">
    <w:name w:val="toc 9"/>
    <w:basedOn w:val="860"/>
    <w:next w:val="860"/>
    <w:link w:val="860"/>
    <w:semiHidden/>
    <w:pPr>
      <w:ind w:left="1680"/>
      <w:jc w:val="left"/>
    </w:pPr>
    <w:rPr>
      <w:rFonts w:ascii="Times New Roman" w:hAnsi="Times New Roman" w:eastAsia="宋体" w:cs="Times New Roman"/>
      <w:szCs w:val="21"/>
    </w:rPr>
  </w:style>
  <w:style w:type="paragraph" w:styleId="925">
    <w:name w:val="正文文本 2"/>
    <w:basedOn w:val="860"/>
    <w:next w:val="925"/>
    <w:link w:val="926"/>
    <w:pPr>
      <w:jc w:val="center"/>
      <w:widowControl/>
    </w:pPr>
    <w:rPr>
      <w:rFonts w:ascii="楷体_GB2312" w:hAnsi="Times New Roman" w:eastAsia="楷体_GB2312" w:cs="Times New Roman"/>
      <w:sz w:val="28"/>
      <w:szCs w:val="28"/>
    </w:rPr>
  </w:style>
  <w:style w:type="character" w:styleId="926">
    <w:name w:val="正文文本 2 字符"/>
    <w:next w:val="926"/>
    <w:link w:val="925"/>
    <w:rPr>
      <w:rFonts w:ascii="楷体_GB2312" w:hAnsi="Times New Roman" w:eastAsia="楷体_GB2312" w:cs="Times New Roman"/>
      <w:sz w:val="28"/>
      <w:szCs w:val="28"/>
    </w:rPr>
  </w:style>
  <w:style w:type="paragraph" w:styleId="927">
    <w:name w:val="普通(网站)"/>
    <w:basedOn w:val="860"/>
    <w:next w:val="927"/>
    <w:link w:val="860"/>
    <w:uiPriority w:val="99"/>
    <w:pPr>
      <w:jc w:val="left"/>
      <w:spacing w:before="100" w:beforeAutospacing="1" w:after="100" w:afterAutospacing="1"/>
      <w:widowControl/>
    </w:pPr>
    <w:rPr>
      <w:rFonts w:ascii="宋体" w:hAnsi="宋体" w:eastAsia="宋体" w:cs="宋体"/>
      <w:sz w:val="24"/>
      <w:szCs w:val="24"/>
    </w:rPr>
  </w:style>
  <w:style w:type="paragraph" w:styleId="928">
    <w:name w:val="索引 1"/>
    <w:basedOn w:val="860"/>
    <w:next w:val="860"/>
    <w:link w:val="860"/>
    <w:semiHidden/>
    <w:pPr>
      <w:spacing w:line="240" w:lineRule="atLeast"/>
    </w:pPr>
    <w:rPr>
      <w:rFonts w:ascii="Times New Roman" w:hAnsi="Times New Roman" w:eastAsia="宋体" w:cs="Times New Roman"/>
      <w:b/>
      <w:bCs/>
      <w:szCs w:val="21"/>
    </w:rPr>
  </w:style>
  <w:style w:type="paragraph" w:styleId="929">
    <w:name w:val="批注主题"/>
    <w:basedOn w:val="890"/>
    <w:next w:val="890"/>
    <w:link w:val="930"/>
    <w:semiHidden/>
    <w:rPr>
      <w:rFonts w:ascii="Times New Roman" w:hAnsi="Times New Roman" w:eastAsia="宋体" w:cs="Times New Roman"/>
      <w:b/>
      <w:bCs/>
      <w:szCs w:val="21"/>
    </w:rPr>
  </w:style>
  <w:style w:type="character" w:styleId="930">
    <w:name w:val="批注主题 字符"/>
    <w:next w:val="930"/>
    <w:link w:val="929"/>
    <w:semiHidden/>
    <w:rPr>
      <w:rFonts w:ascii="Times New Roman" w:hAnsi="Times New Roman" w:eastAsia="宋体" w:cs="Times New Roman"/>
      <w:b/>
      <w:bCs/>
      <w:szCs w:val="21"/>
    </w:rPr>
  </w:style>
  <w:style w:type="paragraph" w:styleId="931">
    <w:name w:val="正文文本首行缩进"/>
    <w:basedOn w:val="860"/>
    <w:next w:val="931"/>
    <w:link w:val="932"/>
    <w:pPr>
      <w:ind w:firstLine="200"/>
      <w:spacing w:line="360" w:lineRule="auto"/>
    </w:pPr>
    <w:rPr>
      <w:rFonts w:ascii="仿宋_GB2312" w:hAnsi="Times New Roman" w:eastAsia="仿宋_GB2312" w:cs="Times New Roman"/>
      <w:sz w:val="30"/>
      <w:szCs w:val="30"/>
    </w:rPr>
  </w:style>
  <w:style w:type="character" w:styleId="932">
    <w:name w:val="正文文本首行缩进 字符"/>
    <w:next w:val="932"/>
    <w:link w:val="931"/>
    <w:rPr>
      <w:rFonts w:ascii="仿宋_GB2312" w:hAnsi="Times New Roman" w:eastAsia="仿宋_GB2312" w:cs="Times New Roman"/>
      <w:sz w:val="30"/>
      <w:szCs w:val="30"/>
    </w:rPr>
  </w:style>
  <w:style w:type="paragraph" w:styleId="933">
    <w:name w:val="正文文本首行缩进 2"/>
    <w:basedOn w:val="896"/>
    <w:next w:val="860"/>
    <w:link w:val="934"/>
    <w:pPr>
      <w:ind w:left="0" w:firstLine="420"/>
      <w:spacing w:after="0" w:line="360" w:lineRule="auto"/>
    </w:pPr>
    <w:rPr>
      <w:rFonts w:ascii="宋体" w:hAnsi="宋体" w:eastAsia="宋体" w:cs="Times New Roman"/>
      <w:szCs w:val="20"/>
    </w:rPr>
  </w:style>
  <w:style w:type="character" w:styleId="934">
    <w:name w:val="正文文本首行缩进 2 字符"/>
    <w:next w:val="934"/>
    <w:link w:val="933"/>
    <w:rPr>
      <w:rFonts w:ascii="宋体" w:hAnsi="宋体" w:eastAsia="宋体" w:cs="Times New Roman"/>
      <w:szCs w:val="20"/>
    </w:rPr>
  </w:style>
  <w:style w:type="table" w:styleId="935">
    <w:name w:val="网格型"/>
    <w:basedOn w:val="871"/>
    <w:next w:val="935"/>
    <w:link w:val="860"/>
    <w:pPr>
      <w:jc w:val="both"/>
      <w:widowControl w:val="off"/>
    </w:pPr>
    <w:rPr>
      <w:rFonts w:ascii="Times New Roman" w:hAnsi="Times New Roman" w:eastAsia="宋体" w:cs="Times New Roman"/>
      <w:sz w:val="20"/>
      <w:szCs w:val="20"/>
    </w:rPr>
    <w:tblPr/>
  </w:style>
  <w:style w:type="character" w:styleId="936">
    <w:name w:val="要点"/>
    <w:next w:val="936"/>
    <w:link w:val="860"/>
    <w:qFormat/>
    <w:rPr>
      <w:b/>
      <w:bCs/>
    </w:rPr>
  </w:style>
  <w:style w:type="character" w:styleId="937">
    <w:name w:val="页码"/>
    <w:next w:val="937"/>
    <w:link w:val="860"/>
  </w:style>
  <w:style w:type="character" w:styleId="938">
    <w:name w:val="访问过的超链接"/>
    <w:next w:val="938"/>
    <w:link w:val="860"/>
    <w:rPr>
      <w:color w:val="800080"/>
      <w:u w:val="single"/>
    </w:rPr>
  </w:style>
  <w:style w:type="character" w:styleId="939">
    <w:name w:val="强调"/>
    <w:next w:val="939"/>
    <w:link w:val="860"/>
    <w:qFormat/>
    <w:rPr>
      <w:i/>
    </w:rPr>
  </w:style>
  <w:style w:type="character" w:styleId="940">
    <w:name w:val="超链接"/>
    <w:next w:val="940"/>
    <w:link w:val="860"/>
    <w:rPr>
      <w:color w:val="0000ff"/>
      <w:u w:val="single"/>
    </w:rPr>
  </w:style>
  <w:style w:type="character" w:styleId="941">
    <w:name w:val="批注引用"/>
    <w:next w:val="941"/>
    <w:link w:val="860"/>
    <w:semiHidden/>
    <w:rPr>
      <w:sz w:val="21"/>
      <w:szCs w:val="21"/>
    </w:rPr>
  </w:style>
  <w:style w:type="paragraph" w:styleId="942">
    <w:name w:val="索引 41"/>
    <w:basedOn w:val="860"/>
    <w:next w:val="860"/>
    <w:link w:val="860"/>
    <w:semiHidden/>
    <w:qFormat/>
    <w:pPr>
      <w:ind w:left="1260"/>
    </w:pPr>
    <w:rPr>
      <w:rFonts w:ascii="Calibri" w:hAnsi="Calibri" w:eastAsia="Calibri" w:cs="宋体"/>
      <w:sz w:val="20"/>
      <w:lang w:val="zh-CN"/>
    </w:rPr>
  </w:style>
  <w:style w:type="character" w:styleId="943">
    <w:name w:val="font5 Char"/>
    <w:next w:val="943"/>
    <w:link w:val="860"/>
    <w:rPr>
      <w:rFonts w:ascii="宋体" w:hAnsi="宋体" w:eastAsia="宋体"/>
      <w:sz w:val="28"/>
      <w:szCs w:val="28"/>
      <w:lang w:val="en-US" w:eastAsia="zh-CN" w:bidi="ar-SA"/>
    </w:rPr>
  </w:style>
  <w:style w:type="character" w:styleId="944">
    <w:name w:val="二级目录 Char"/>
    <w:next w:val="944"/>
    <w:link w:val="945"/>
    <w:rPr>
      <w:b/>
      <w:sz w:val="30"/>
      <w:szCs w:val="28"/>
    </w:rPr>
  </w:style>
  <w:style w:type="paragraph" w:styleId="945">
    <w:name w:val="二级目录"/>
    <w:next w:val="860"/>
    <w:link w:val="944"/>
    <w:pPr>
      <w:numPr>
        <w:ilvl w:val="0"/>
        <w:numId w:val="2"/>
      </w:numPr>
      <w:tabs>
        <w:tab w:val="left" w:pos="907" w:leader="none"/>
        <w:tab w:val="left" w:pos="1145" w:leader="none"/>
      </w:tabs>
      <w:outlineLvl w:val="1"/>
    </w:pPr>
    <w:rPr>
      <w:b/>
      <w:sz w:val="30"/>
      <w:szCs w:val="28"/>
      <w:lang w:val="en-US" w:eastAsia="zh-CN" w:bidi="ar-SA"/>
    </w:rPr>
  </w:style>
  <w:style w:type="character" w:styleId="946">
    <w:name w:val="列出段落 Char,Bullet List Char,numbered Char,FooterText Char,List Paragraph1 Char,Paragraphe de liste1 Char"/>
    <w:next w:val="946"/>
    <w:link w:val="947"/>
    <w:rPr>
      <w:rFonts w:ascii="Calibri" w:hAnsi="Calibri"/>
      <w:sz w:val="24"/>
      <w:szCs w:val="24"/>
      <w:lang w:eastAsia="en-US" w:bidi="en-US"/>
    </w:rPr>
  </w:style>
  <w:style w:type="paragraph" w:styleId="947">
    <w:name w:val="列出段落1"/>
    <w:basedOn w:val="860"/>
    <w:next w:val="947"/>
    <w:link w:val="946"/>
    <w:qFormat/>
    <w:pPr>
      <w:contextualSpacing/>
      <w:ind w:left="720"/>
      <w:jc w:val="left"/>
      <w:widowControl/>
    </w:pPr>
    <w:rPr>
      <w:rFonts w:ascii="Calibri" w:hAnsi="Calibri"/>
      <w:sz w:val="24"/>
      <w:szCs w:val="24"/>
      <w:lang w:eastAsia="en-US" w:bidi="en-US"/>
    </w:rPr>
  </w:style>
  <w:style w:type="paragraph" w:styleId="948">
    <w:name w:val="Body Text(ch)"/>
    <w:basedOn w:val="860"/>
    <w:next w:val="894"/>
    <w:link w:val="860"/>
    <w:pPr>
      <w:spacing w:after="120"/>
    </w:pPr>
    <w:rPr>
      <w:rFonts w:ascii="宋体" w:hAnsi="Arial" w:eastAsia="宋体" w:cs="Times New Roman"/>
      <w:bCs/>
      <w:iCs/>
      <w:szCs w:val="24"/>
    </w:rPr>
  </w:style>
  <w:style w:type="paragraph" w:styleId="949">
    <w:name w:val="xl27"/>
    <w:basedOn w:val="860"/>
    <w:next w:val="949"/>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0">
    <w:name w:val="xl26"/>
    <w:basedOn w:val="860"/>
    <w:next w:val="950"/>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1">
    <w:name w:val="Char"/>
    <w:basedOn w:val="860"/>
    <w:next w:val="951"/>
    <w:link w:val="860"/>
    <w:pPr>
      <w:ind w:firstLine="200"/>
      <w:tabs>
        <w:tab w:val="left" w:pos="360" w:leader="none"/>
      </w:tabs>
    </w:pPr>
    <w:rPr>
      <w:rFonts w:ascii="Times New Roman" w:hAnsi="Times New Roman" w:eastAsia="宋体" w:cs="Times New Roman"/>
      <w:sz w:val="28"/>
      <w:szCs w:val="30"/>
    </w:rPr>
  </w:style>
  <w:style w:type="paragraph" w:styleId="952">
    <w:name w:val=" Char"/>
    <w:basedOn w:val="888"/>
    <w:next w:val="952"/>
    <w:link w:val="860"/>
    <w:rPr>
      <w:rFonts w:ascii="Tahoma" w:hAnsi="Tahoma"/>
      <w:sz w:val="24"/>
      <w:szCs w:val="24"/>
    </w:rPr>
  </w:style>
  <w:style w:type="paragraph" w:styleId="953">
    <w:name w:val="普通正文"/>
    <w:basedOn w:val="860"/>
    <w:next w:val="953"/>
    <w:link w:val="860"/>
    <w:pPr>
      <w:ind w:firstLine="480"/>
      <w:jc w:val="left"/>
      <w:spacing w:before="120" w:after="120" w:line="360" w:lineRule="auto"/>
    </w:pPr>
    <w:rPr>
      <w:rFonts w:ascii="Arial" w:hAnsi="Arial" w:eastAsia="宋体" w:cs="Times New Roman"/>
      <w:sz w:val="24"/>
      <w:szCs w:val="24"/>
    </w:rPr>
  </w:style>
  <w:style w:type="paragraph" w:styleId="954">
    <w:name w:val="table_lines"/>
    <w:basedOn w:val="860"/>
    <w:next w:val="954"/>
    <w:link w:val="860"/>
    <w:pPr>
      <w:jc w:val="left"/>
      <w:widowControl/>
    </w:pPr>
    <w:rPr>
      <w:rFonts w:ascii="Times New Roman" w:hAnsi="Times New Roman" w:eastAsia="宋体" w:cs="Times New Roman"/>
      <w:sz w:val="20"/>
      <w:szCs w:val="20"/>
      <w:lang w:val="de-DE" w:eastAsia="de-DE"/>
    </w:rPr>
  </w:style>
  <w:style w:type="paragraph" w:styleId="955">
    <w:name w:val="附录1"/>
    <w:next w:val="955"/>
    <w:link w:val="860"/>
    <w:pPr>
      <w:numPr>
        <w:ilvl w:val="0"/>
        <w:numId w:val="2"/>
      </w:numPr>
      <w:spacing w:before="240" w:line="600" w:lineRule="atLeast"/>
      <w:tabs>
        <w:tab w:val="left" w:pos="907" w:leader="none"/>
      </w:tabs>
    </w:pPr>
    <w:rPr>
      <w:b/>
      <w:i/>
      <w:sz w:val="28"/>
      <w:lang w:val="en-US" w:eastAsia="zh-CN" w:bidi="ar-SA"/>
    </w:rPr>
  </w:style>
  <w:style w:type="paragraph" w:styleId="956">
    <w:name w:val="font7"/>
    <w:basedOn w:val="860"/>
    <w:next w:val="956"/>
    <w:link w:val="860"/>
    <w:pPr>
      <w:jc w:val="left"/>
      <w:spacing w:before="100" w:beforeAutospacing="1" w:after="100" w:afterAutospacing="1"/>
      <w:widowControl/>
    </w:pPr>
    <w:rPr>
      <w:rFonts w:hint="eastAsia" w:ascii="宋体" w:hAnsi="宋体" w:eastAsia="宋体" w:cs="Times New Roman"/>
      <w:sz w:val="18"/>
      <w:szCs w:val="18"/>
    </w:rPr>
  </w:style>
  <w:style w:type="paragraph" w:styleId="957">
    <w:name w:val=" Char Char Char Char"/>
    <w:basedOn w:val="888"/>
    <w:next w:val="957"/>
    <w:link w:val="860"/>
    <w:pPr>
      <w:spacing w:line="360" w:lineRule="auto"/>
    </w:pPr>
    <w:rPr>
      <w:rFonts w:ascii="Tahoma" w:hAnsi="Tahoma"/>
      <w:sz w:val="24"/>
      <w:szCs w:val="24"/>
    </w:rPr>
  </w:style>
  <w:style w:type="paragraph" w:styleId="958">
    <w:name w:val="列表段落"/>
    <w:basedOn w:val="860"/>
    <w:next w:val="958"/>
    <w:link w:val="860"/>
    <w:qFormat/>
    <w:pPr>
      <w:contextualSpacing/>
      <w:ind w:left="720"/>
      <w:jc w:val="left"/>
      <w:widowControl/>
    </w:pPr>
    <w:rPr>
      <w:rFonts w:ascii="Calibri" w:hAnsi="Calibri" w:eastAsia="宋体" w:cs="Times New Roman"/>
      <w:sz w:val="24"/>
      <w:szCs w:val="24"/>
      <w:lang w:eastAsia="en-US" w:bidi="en-US"/>
    </w:rPr>
  </w:style>
  <w:style w:type="paragraph" w:styleId="959">
    <w:name w:val="4"/>
    <w:basedOn w:val="860"/>
    <w:next w:val="920"/>
    <w:link w:val="860"/>
    <w:pPr>
      <w:ind w:firstLine="420"/>
      <w:spacing w:line="360" w:lineRule="auto"/>
    </w:pPr>
    <w:rPr>
      <w:rFonts w:ascii="Times New Roman" w:hAnsi="Times New Roman" w:eastAsia="宋体" w:cs="Times New Roman"/>
      <w:color w:val="ff0000"/>
      <w:sz w:val="24"/>
      <w:szCs w:val="24"/>
    </w:rPr>
  </w:style>
  <w:style w:type="paragraph" w:styleId="960">
    <w:name w:val="普通 (Web)"/>
    <w:basedOn w:val="860"/>
    <w:next w:val="960"/>
    <w:link w:val="860"/>
    <w:pPr>
      <w:jc w:val="left"/>
      <w:spacing w:before="100" w:beforeAutospacing="1" w:after="100" w:afterAutospacing="1"/>
      <w:widowControl/>
    </w:pPr>
    <w:rPr>
      <w:rFonts w:ascii="宋体" w:hAnsi="宋体" w:eastAsia="宋体" w:cs="Times New Roman"/>
      <w:sz w:val="24"/>
      <w:szCs w:val="24"/>
    </w:rPr>
  </w:style>
  <w:style w:type="paragraph" w:styleId="961">
    <w:name w:val=" Char Char Char Char Char Char Char Char Char Char"/>
    <w:basedOn w:val="860"/>
    <w:next w:val="961"/>
    <w:link w:val="860"/>
    <w:pPr>
      <w:spacing w:line="360" w:lineRule="auto"/>
    </w:pPr>
    <w:rPr>
      <w:rFonts w:ascii="Times New Roman" w:hAnsi="Times New Roman" w:eastAsia="宋体" w:cs="Times New Roman"/>
      <w:sz w:val="24"/>
      <w:szCs w:val="20"/>
    </w:rPr>
  </w:style>
  <w:style w:type="paragraph" w:styleId="962">
    <w:name w:val="样式1"/>
    <w:basedOn w:val="860"/>
    <w:next w:val="962"/>
    <w:link w:val="860"/>
    <w:pPr>
      <w:numPr>
        <w:ilvl w:val="0"/>
        <w:numId w:val="3"/>
      </w:numPr>
      <w:tabs>
        <w:tab w:val="left" w:pos="709" w:leader="none"/>
      </w:tabs>
    </w:pPr>
    <w:rPr>
      <w:rFonts w:ascii="宋体" w:hAnsi="宋体" w:eastAsia="宋体" w:cs="Times New Roman"/>
      <w:szCs w:val="21"/>
    </w:rPr>
  </w:style>
  <w:style w:type="paragraph" w:styleId="963">
    <w:name w:val="font6"/>
    <w:basedOn w:val="860"/>
    <w:next w:val="963"/>
    <w:link w:val="860"/>
    <w:pPr>
      <w:jc w:val="left"/>
      <w:spacing w:before="100" w:beforeAutospacing="1" w:after="100" w:afterAutospacing="1"/>
      <w:widowControl/>
    </w:pPr>
    <w:rPr>
      <w:rFonts w:hint="eastAsia" w:ascii="宋体" w:hAnsi="宋体" w:eastAsia="宋体" w:cs="Times New Roman"/>
      <w:sz w:val="28"/>
      <w:szCs w:val="28"/>
      <w:u w:val="single"/>
    </w:rPr>
  </w:style>
  <w:style w:type="paragraph" w:styleId="964">
    <w:name w:val="xl25"/>
    <w:basedOn w:val="860"/>
    <w:next w:val="964"/>
    <w:link w:val="8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5">
    <w:name w:val="图标"/>
    <w:basedOn w:val="860"/>
    <w:next w:val="860"/>
    <w:link w:val="86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6">
    <w:name w:val="标题3"/>
    <w:basedOn w:val="860"/>
    <w:next w:val="860"/>
    <w:link w:val="860"/>
    <w:pPr>
      <w:ind w:firstLine="624"/>
      <w:spacing w:line="590" w:lineRule="atLeast"/>
    </w:pPr>
    <w:rPr>
      <w:rFonts w:ascii="方正黑体_GBK" w:hAnsi="Times New Roman" w:eastAsia="方正黑体_GBK" w:cs="Times New Roman"/>
      <w:sz w:val="32"/>
      <w:szCs w:val="32"/>
    </w:rPr>
  </w:style>
  <w:style w:type="paragraph" w:styleId="967">
    <w:name w:val="xl24"/>
    <w:basedOn w:val="860"/>
    <w:next w:val="967"/>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8">
    <w:name w:val="xl29"/>
    <w:basedOn w:val="860"/>
    <w:next w:val="968"/>
    <w:link w:val="86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9">
    <w:name w:val="Char Char Char Char Char Char Char Char"/>
    <w:basedOn w:val="860"/>
    <w:next w:val="969"/>
    <w:link w:val="860"/>
    <w:pPr>
      <w:jc w:val="left"/>
      <w:spacing w:after="160" w:line="240" w:lineRule="exact"/>
      <w:widowControl/>
    </w:pPr>
    <w:rPr>
      <w:rFonts w:ascii="Verdana" w:hAnsi="Verdana" w:eastAsia="宋体" w:cs="Times New Roman"/>
      <w:sz w:val="20"/>
      <w:szCs w:val="20"/>
      <w:lang w:eastAsia="en-US"/>
    </w:rPr>
  </w:style>
  <w:style w:type="paragraph" w:styleId="970">
    <w:name w:val="xl28"/>
    <w:basedOn w:val="860"/>
    <w:next w:val="970"/>
    <w:link w:val="8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1">
    <w:name w:val=" Char Char Char Char Char Char Char Char"/>
    <w:basedOn w:val="860"/>
    <w:next w:val="971"/>
    <w:link w:val="860"/>
    <w:pPr>
      <w:jc w:val="left"/>
      <w:spacing w:after="160" w:line="240" w:lineRule="exact"/>
      <w:widowControl/>
    </w:pPr>
    <w:rPr>
      <w:rFonts w:ascii="Verdana" w:hAnsi="Verdana" w:eastAsia="宋体" w:cs="Times New Roman"/>
      <w:sz w:val="20"/>
      <w:szCs w:val="20"/>
      <w:lang w:eastAsia="en-US"/>
    </w:rPr>
  </w:style>
  <w:style w:type="paragraph" w:styleId="972">
    <w:name w:val="xl30"/>
    <w:basedOn w:val="860"/>
    <w:next w:val="972"/>
    <w:link w:val="860"/>
    <w:pPr>
      <w:jc w:val="center"/>
      <w:spacing w:before="100" w:beforeAutospacing="1" w:after="100" w:afterAutospacing="1"/>
      <w:widowControl/>
    </w:pPr>
    <w:rPr>
      <w:rFonts w:ascii="宋体" w:hAnsi="宋体" w:eastAsia="宋体" w:cs="Times New Roman"/>
      <w:b/>
      <w:bCs/>
      <w:sz w:val="36"/>
      <w:szCs w:val="36"/>
    </w:rPr>
  </w:style>
  <w:style w:type="paragraph" w:styleId="973">
    <w:name w:val="Char Char Char Char"/>
    <w:basedOn w:val="888"/>
    <w:next w:val="973"/>
    <w:link w:val="860"/>
    <w:pPr>
      <w:spacing w:line="360" w:lineRule="auto"/>
    </w:pPr>
    <w:rPr>
      <w:rFonts w:ascii="Tahoma" w:hAnsi="Tahoma"/>
      <w:sz w:val="24"/>
      <w:szCs w:val="24"/>
    </w:rPr>
  </w:style>
  <w:style w:type="paragraph" w:styleId="974">
    <w:name w:val="table_1stline"/>
    <w:basedOn w:val="860"/>
    <w:next w:val="974"/>
    <w:link w:val="860"/>
    <w:pPr>
      <w:jc w:val="left"/>
      <w:spacing w:before="120"/>
      <w:widowControl/>
    </w:pPr>
    <w:rPr>
      <w:rFonts w:ascii="Times New Roman" w:hAnsi="Times New Roman" w:eastAsia="宋体" w:cs="Times New Roman"/>
      <w:bCs/>
      <w:sz w:val="20"/>
      <w:szCs w:val="20"/>
      <w:lang w:val="de-DE" w:eastAsia="de-DE"/>
    </w:rPr>
  </w:style>
  <w:style w:type="paragraph" w:styleId="975">
    <w:name w:val="font5"/>
    <w:basedOn w:val="860"/>
    <w:next w:val="975"/>
    <w:link w:val="860"/>
    <w:pPr>
      <w:jc w:val="left"/>
      <w:spacing w:before="100" w:beforeAutospacing="1" w:after="100" w:afterAutospacing="1"/>
      <w:widowControl/>
    </w:pPr>
    <w:rPr>
      <w:rFonts w:hint="eastAsia" w:ascii="宋体" w:hAnsi="宋体" w:eastAsia="宋体" w:cs="Times New Roman"/>
      <w:sz w:val="28"/>
      <w:szCs w:val="28"/>
    </w:rPr>
  </w:style>
  <w:style w:type="paragraph" w:styleId="976">
    <w:name w:val="标题1"/>
    <w:basedOn w:val="860"/>
    <w:next w:val="860"/>
    <w:link w:val="86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7">
    <w:name w:val="修订"/>
    <w:next w:val="977"/>
    <w:link w:val="860"/>
    <w:uiPriority w:val="99"/>
    <w:semiHidden/>
    <w:rPr>
      <w:sz w:val="21"/>
      <w:szCs w:val="21"/>
      <w:lang w:val="en-US" w:eastAsia="zh-CN" w:bidi="ar-SA"/>
    </w:rPr>
  </w:style>
  <w:style w:type="paragraph" w:styleId="978">
    <w:name w:val="无间隔"/>
    <w:next w:val="978"/>
    <w:link w:val="860"/>
    <w:uiPriority w:val="99"/>
    <w:qFormat/>
    <w:pPr>
      <w:jc w:val="both"/>
      <w:widowControl w:val="off"/>
    </w:pPr>
    <w:rPr>
      <w:sz w:val="21"/>
      <w:szCs w:val="21"/>
      <w:lang w:val="en-US" w:eastAsia="zh-CN" w:bidi="ar-SA"/>
    </w:rPr>
  </w:style>
  <w:style w:type="table" w:styleId="979">
    <w:name w:val="Table Normal"/>
    <w:next w:val="979"/>
    <w:link w:val="860"/>
    <w:qFormat/>
    <w:rPr>
      <w:lang w:val="en-US" w:eastAsia="zh-CN" w:bidi="ar-SA"/>
    </w:rPr>
    <w:tblPr/>
  </w:style>
  <w:style w:type="paragraph" w:styleId="980">
    <w:name w:val="正文文本 211"/>
    <w:basedOn w:val="860"/>
    <w:next w:val="980"/>
    <w:link w:val="860"/>
    <w:uiPriority w:val="99"/>
    <w:qFormat/>
    <w:pPr>
      <w:jc w:val="center"/>
    </w:pPr>
    <w:rPr>
      <w:b/>
      <w:bCs/>
      <w:sz w:val="20"/>
      <w:szCs w:val="20"/>
    </w:rPr>
  </w:style>
  <w:style w:type="paragraph" w:styleId="981">
    <w:name w:val="正文文本1"/>
    <w:basedOn w:val="860"/>
    <w:next w:val="860"/>
    <w:link w:val="860"/>
    <w:semiHidden/>
    <w:qFormat/>
    <w:rPr>
      <w:rFonts w:ascii="Arial" w:hAnsi="Arial" w:eastAsia="Arial" w:cs="Arial"/>
      <w:sz w:val="21"/>
      <w:szCs w:val="21"/>
      <w:lang w:val="en-US" w:eastAsia="en-US" w:bidi="ar-SA"/>
    </w:rPr>
  </w:style>
  <w:style w:type="paragraph" w:styleId="982">
    <w:name w:val="正文文本12"/>
    <w:basedOn w:val="860"/>
    <w:next w:val="982"/>
    <w:link w:val="860"/>
    <w:uiPriority w:val="1"/>
    <w:qFormat/>
    <w:pPr>
      <w:ind w:left="120"/>
    </w:pPr>
    <w:rPr>
      <w:rFonts w:ascii="宋体" w:hAnsi="宋体" w:eastAsia="宋体" w:cs="宋体"/>
      <w:sz w:val="21"/>
      <w:szCs w:val="21"/>
      <w:lang w:val="zh-CN" w:eastAsia="zh-CN" w:bidi="zh-CN"/>
    </w:rPr>
  </w:style>
  <w:style w:type="paragraph" w:styleId="983">
    <w:name w:val="纯文本1"/>
    <w:basedOn w:val="860"/>
    <w:next w:val="983"/>
    <w:link w:val="860"/>
    <w:qFormat/>
    <w:rPr>
      <w:rFonts w:ascii="宋体" w:hAnsi="Courier New" w:cs="Courier New"/>
    </w:rPr>
  </w:style>
  <w:style w:type="table" w:styleId="984">
    <w:name w:val="网格型1"/>
    <w:basedOn w:val="985"/>
    <w:next w:val="984"/>
    <w:link w:val="860"/>
    <w:qFormat/>
    <w:pPr>
      <w:jc w:val="both"/>
      <w:widowControl w:val="off"/>
    </w:pPr>
    <w:tblPr/>
  </w:style>
  <w:style w:type="table" w:styleId="985">
    <w:name w:val="普通表格1"/>
    <w:next w:val="985"/>
    <w:link w:val="860"/>
    <w:uiPriority w:val="99"/>
    <w:unhideWhenUsed/>
    <w:qFormat/>
    <w:rPr>
      <w:lang w:val="en-US" w:eastAsia="zh-CN" w:bidi="ar-SA"/>
    </w:rPr>
    <w:tblPr/>
  </w:style>
  <w:style w:type="paragraph" w:styleId="986">
    <w:name w:val="正文首行缩进 211"/>
    <w:basedOn w:val="987"/>
    <w:next w:val="860"/>
    <w:link w:val="860"/>
    <w:qFormat/>
    <w:pPr>
      <w:ind w:left="0" w:firstLine="420"/>
      <w:spacing w:after="0" w:line="360" w:lineRule="auto"/>
    </w:pPr>
    <w:rPr>
      <w:rFonts w:ascii="宋体" w:hAnsi="宋体" w:eastAsia="宋体" w:cs="Times New Roman"/>
      <w:szCs w:val="20"/>
    </w:rPr>
  </w:style>
  <w:style w:type="paragraph" w:styleId="987">
    <w:name w:val="正文文本缩进11"/>
    <w:basedOn w:val="860"/>
    <w:next w:val="988"/>
    <w:link w:val="860"/>
    <w:unhideWhenUsed/>
    <w:qFormat/>
    <w:pPr>
      <w:ind w:left="420"/>
      <w:spacing w:after="120"/>
    </w:pPr>
  </w:style>
  <w:style w:type="paragraph" w:styleId="988">
    <w:name w:val="寄信人地址1"/>
    <w:basedOn w:val="860"/>
    <w:next w:val="988"/>
    <w:link w:val="860"/>
    <w:qFormat/>
    <w:rPr>
      <w:rFonts w:ascii="Arial" w:hAnsi="Arial" w:eastAsia="宋体" w:cs="宋体"/>
    </w:rPr>
  </w:style>
  <w:style w:type="paragraph" w:styleId="989">
    <w:name w:val="正文1"/>
    <w:basedOn w:val="860"/>
    <w:next w:val="989"/>
    <w:link w:val="860"/>
    <w:qFormat/>
    <w:pPr>
      <w:ind w:left="350" w:firstLine="0"/>
    </w:pPr>
    <w:rPr>
      <w:rFonts w:cs="Times New Roman"/>
      <w:sz w:val="20"/>
      <w:szCs w:val="24"/>
    </w:rPr>
  </w:style>
  <w:style w:type="character" w:styleId="990" w:default="1">
    <w:name w:val="Default Paragraph Font"/>
    <w:uiPriority w:val="1"/>
    <w:semiHidden/>
    <w:unhideWhenUsed/>
  </w:style>
  <w:style w:type="numbering" w:styleId="991" w:default="1">
    <w:name w:val="No List"/>
    <w:uiPriority w:val="99"/>
    <w:semiHidden/>
    <w:unhideWhenUsed/>
  </w:style>
  <w:style w:type="table" w:styleId="9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9</cp:revision>
  <dcterms:created xsi:type="dcterms:W3CDTF">2023-03-27T07:28:00Z</dcterms:created>
  <dcterms:modified xsi:type="dcterms:W3CDTF">2026-10-22T08:39:56Z</dcterms:modified>
  <cp:version>1048576</cp:version>
</cp:coreProperties>
</file>