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300"/>
        <w:spacing w:line="360" w:lineRule="auto"/>
        <w:rPr>
          <w:rFonts w:hint="eastAsia" w:ascii="宋体" w:hAnsi="宋体" w:eastAsia="宋体" w:cs="宋体"/>
          <w:color w:val="auto"/>
          <w:sz w:val="60"/>
          <w:szCs w:val="60"/>
          <w:highlight w:val="none"/>
        </w:rPr>
      </w:pPr>
      <w:r>
        <w:rPr>
          <w:rFonts w:hint="eastAsia" w:ascii="宋体" w:hAnsi="宋体" w:eastAsia="宋体" w:cs="宋体"/>
          <w:color w:val="auto"/>
          <w:sz w:val="60"/>
          <w:szCs w:val="60"/>
          <w:highlight w:val="none"/>
        </w:rPr>
      </w:r>
      <w:r/>
    </w:p>
    <w:p>
      <w:pPr>
        <w:jc w:val="center"/>
        <w:spacing w:line="480" w:lineRule="auto"/>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 xml:space="preserve">常州市政府采购项目</w:t>
      </w:r>
      <w:r/>
    </w:p>
    <w:p>
      <w:pPr>
        <w:jc w:val="center"/>
        <w:spacing w:line="480" w:lineRule="auto"/>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 xml:space="preserve">公开招标文件</w:t>
      </w:r>
      <w:r/>
    </w:p>
    <w:p>
      <w:pPr>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r>
      <w:r/>
    </w:p>
    <w:p>
      <w:pPr>
        <w:jc w:val="center"/>
        <w:spacing w:line="360" w:lineRule="auto"/>
        <w:rPr>
          <w:rFonts w:hint="eastAsia" w:ascii="宋体" w:hAnsi="宋体" w:eastAsia="宋体" w:cs="宋体"/>
          <w:color w:val="auto"/>
          <w:sz w:val="60"/>
          <w:szCs w:val="60"/>
          <w:highlight w:val="none"/>
        </w:rPr>
      </w:pPr>
      <w:r>
        <w:rPr>
          <w:rFonts w:hint="eastAsia" w:ascii="宋体" w:hAnsi="宋体" w:eastAsia="宋体" w:cs="宋体"/>
          <w:color w:val="auto"/>
          <w:sz w:val="60"/>
          <w:szCs w:val="60"/>
          <w:highlight w:val="none"/>
        </w:rPr>
      </w:r>
      <w:r/>
    </w:p>
    <w:p>
      <w:pPr>
        <w:jc w:val="left"/>
        <w:spacing w:line="360" w:lineRule="auto"/>
        <w:tabs>
          <w:tab w:val="left" w:pos="5609" w:leader="none"/>
        </w:tabs>
        <w:rPr>
          <w:rFonts w:hint="eastAsia" w:ascii="Times New Roman" w:hAnsi="Times New Roman" w:eastAsia="宋体" w:cs="Times New Roman"/>
          <w:bCs/>
          <w:color w:val="auto"/>
          <w:sz w:val="36"/>
          <w:szCs w:val="36"/>
          <w:highlight w:val="none"/>
          <w:lang w:eastAsia="zh-CN"/>
        </w:rPr>
      </w:pPr>
      <w:r/>
      <w:bookmarkStart w:id="0" w:name="_Hlk107438019"/>
      <w:r>
        <w:rPr>
          <w:rFonts w:ascii="Times New Roman" w:hAnsi="Times New Roman" w:cs="Times New Roman"/>
          <w:bCs/>
          <w:color w:val="auto"/>
          <w:sz w:val="36"/>
          <w:szCs w:val="36"/>
          <w:highlight w:val="none"/>
        </w:rPr>
        <w:t xml:space="preserve">项目名称：</w:t>
      </w:r>
      <w:r>
        <w:rPr>
          <w:rFonts w:hint="eastAsia" w:cs="Times New Roman"/>
          <w:bCs/>
          <w:color w:val="auto"/>
          <w:sz w:val="36"/>
          <w:szCs w:val="36"/>
          <w:highlight w:val="none"/>
          <w:lang w:eastAsia="zh-CN"/>
        </w:rPr>
        <w:t xml:space="preserve">大明北路东侧，东青和平路北侧（QQ020205-01）地块固废混合物合规处置项目</w:t>
      </w:r>
      <w:r/>
    </w:p>
    <w:p>
      <w:pPr>
        <w:jc w:val="left"/>
        <w:spacing w:line="360" w:lineRule="auto"/>
        <w:tabs>
          <w:tab w:val="left" w:pos="3240" w:leader="none"/>
          <w:tab w:val="left" w:pos="3420" w:leader="none"/>
        </w:tabs>
        <w:rPr>
          <w:rFonts w:hint="eastAsia" w:ascii="Times New Roman" w:hAnsi="Times New Roman" w:eastAsia="宋体" w:cs="Times New Roman"/>
          <w:bCs/>
          <w:color w:val="auto"/>
          <w:sz w:val="36"/>
          <w:szCs w:val="36"/>
          <w:highlight w:val="none"/>
          <w:lang w:eastAsia="zh-CN"/>
        </w:rPr>
      </w:pPr>
      <w:r>
        <w:rPr>
          <w:rFonts w:ascii="Times New Roman" w:hAnsi="Times New Roman" w:cs="Times New Roman"/>
          <w:bCs/>
          <w:color w:val="auto"/>
          <w:sz w:val="36"/>
          <w:szCs w:val="36"/>
          <w:highlight w:val="none"/>
        </w:rPr>
        <w:t xml:space="preserve">项目编号：</w:t>
      </w:r>
      <w:r>
        <w:rPr>
          <w:rFonts w:hint="eastAsia" w:cs="Times New Roman"/>
          <w:bCs/>
          <w:color w:val="auto"/>
          <w:sz w:val="36"/>
          <w:szCs w:val="36"/>
          <w:highlight w:val="none"/>
          <w:lang w:eastAsia="zh-CN"/>
        </w:rPr>
        <w:t xml:space="preserve">JSZC-320402022-ZHWF-G2026-0007</w:t>
      </w:r>
      <w:r>
        <w:rPr>
          <w:rFonts w:hint="eastAsia" w:ascii="Times New Roman" w:hAnsi="Times New Roman" w:cs="Times New Roman"/>
          <w:bCs/>
          <w:color w:val="auto"/>
          <w:sz w:val="36"/>
          <w:szCs w:val="36"/>
          <w:highlight w:val="none"/>
          <w:lang w:eastAsia="zh-CN"/>
        </w:rPr>
        <w:t xml:space="preserve"> </w:t>
      </w:r>
      <w:r/>
    </w:p>
    <w:p>
      <w:pPr>
        <w:jc w:val="left"/>
        <w:spacing w:line="360" w:lineRule="auto"/>
        <w:tabs>
          <w:tab w:val="left" w:pos="3240" w:leader="none"/>
          <w:tab w:val="left" w:pos="3420" w:leader="none"/>
        </w:tabs>
        <w:rPr>
          <w:rFonts w:hint="eastAsia" w:ascii="Times New Roman" w:hAnsi="Times New Roman" w:eastAsia="宋体" w:cs="Times New Roman"/>
          <w:bCs/>
          <w:color w:val="auto"/>
          <w:sz w:val="36"/>
          <w:szCs w:val="36"/>
          <w:highlight w:val="none"/>
          <w:lang w:eastAsia="zh-CN"/>
        </w:rPr>
      </w:pPr>
      <w:r>
        <w:rPr>
          <w:rFonts w:ascii="Times New Roman" w:hAnsi="Times New Roman" w:cs="Times New Roman"/>
          <w:bCs/>
          <w:color w:val="auto"/>
          <w:sz w:val="36"/>
          <w:szCs w:val="36"/>
          <w:highlight w:val="none"/>
        </w:rPr>
        <w:t xml:space="preserve">采 购 人：</w:t>
      </w:r>
      <w:r>
        <w:rPr>
          <w:rFonts w:hint="eastAsia" w:cs="Times New Roman"/>
          <w:bCs/>
          <w:color w:val="auto"/>
          <w:sz w:val="36"/>
          <w:szCs w:val="36"/>
          <w:highlight w:val="none"/>
          <w:lang w:eastAsia="zh-CN"/>
        </w:rPr>
        <w:t xml:space="preserve">江苏常州天宁经济开发区管理委员会</w:t>
      </w:r>
      <w:r/>
    </w:p>
    <w:p>
      <w:pPr>
        <w:jc w:val="left"/>
        <w:spacing w:line="360" w:lineRule="auto"/>
        <w:tabs>
          <w:tab w:val="left" w:pos="3240" w:leader="none"/>
          <w:tab w:val="left" w:pos="3420" w:leader="none"/>
        </w:tabs>
        <w:rPr>
          <w:rFonts w:hint="eastAsia" w:ascii="Times New Roman" w:hAnsi="Times New Roman" w:eastAsia="宋体" w:cs="Times New Roman"/>
          <w:bCs/>
          <w:color w:val="auto"/>
          <w:sz w:val="36"/>
          <w:szCs w:val="36"/>
          <w:highlight w:val="none"/>
          <w:lang w:eastAsia="zh-CN"/>
        </w:rPr>
      </w:pPr>
      <w:r>
        <w:rPr>
          <w:rFonts w:hint="eastAsia" w:ascii="Times New Roman" w:hAnsi="Times New Roman" w:cs="Times New Roman"/>
          <w:bCs/>
          <w:color w:val="auto"/>
          <w:sz w:val="36"/>
          <w:szCs w:val="36"/>
          <w:highlight w:val="none"/>
        </w:rPr>
        <w:t xml:space="preserve">采购</w:t>
      </w:r>
      <w:r>
        <w:rPr>
          <w:rFonts w:ascii="Times New Roman" w:hAnsi="Times New Roman" w:cs="Times New Roman"/>
          <w:bCs/>
          <w:color w:val="auto"/>
          <w:sz w:val="36"/>
          <w:szCs w:val="36"/>
          <w:highlight w:val="none"/>
        </w:rPr>
        <w:t xml:space="preserve">代理机构：</w:t>
      </w:r>
      <w:r>
        <w:rPr>
          <w:rFonts w:hint="eastAsia" w:ascii="Times New Roman" w:hAnsi="Times New Roman" w:cs="Times New Roman"/>
          <w:bCs/>
          <w:color w:val="auto"/>
          <w:sz w:val="36"/>
          <w:szCs w:val="36"/>
          <w:highlight w:val="none"/>
          <w:lang w:eastAsia="zh-CN"/>
        </w:rPr>
        <w:t xml:space="preserve">江苏正誉项目管理有限公司</w:t>
      </w:r>
      <w:r/>
    </w:p>
    <w:p>
      <w:pPr>
        <w:jc w:val="both"/>
        <w:spacing w:line="720" w:lineRule="auto"/>
        <w:rPr>
          <w:rFonts w:hint="eastAsia" w:ascii="宋体" w:hAnsi="宋体" w:eastAsia="宋体" w:cs="宋体"/>
          <w:b/>
          <w:color w:val="auto"/>
          <w:sz w:val="32"/>
          <w:szCs w:val="32"/>
          <w:highlight w:val="none"/>
        </w:rPr>
      </w:pPr>
      <w:r>
        <w:rPr>
          <w:rFonts w:hint="eastAsia" w:ascii="宋体" w:hAnsi="宋体" w:cs="宋体"/>
          <w:bCs/>
          <w:color w:val="auto"/>
          <w:sz w:val="36"/>
          <w:szCs w:val="36"/>
          <w:highlight w:val="none"/>
        </w:rPr>
        <w:t xml:space="preserve">采购时间：</w:t>
      </w:r>
      <w:r>
        <w:rPr>
          <w:rFonts w:hint="eastAsia" w:ascii="宋体" w:hAnsi="宋体" w:cs="宋体"/>
          <w:bCs/>
          <w:color w:val="auto"/>
          <w:sz w:val="36"/>
          <w:szCs w:val="36"/>
          <w:highlight w:val="none"/>
          <w:u w:val="none"/>
        </w:rPr>
        <w:t xml:space="preserve">二〇二</w:t>
      </w:r>
      <w:r>
        <w:rPr>
          <w:rFonts w:hint="eastAsia" w:ascii="宋体" w:hAnsi="宋体" w:cs="宋体"/>
          <w:bCs/>
          <w:color w:val="auto"/>
          <w:sz w:val="36"/>
          <w:szCs w:val="36"/>
          <w:highlight w:val="none"/>
          <w:u w:val="none"/>
          <w:lang w:val="en-US" w:eastAsia="zh-CN"/>
        </w:rPr>
        <w:t xml:space="preserve">六</w:t>
      </w:r>
      <w:r>
        <w:rPr>
          <w:rFonts w:hint="eastAsia" w:ascii="宋体" w:hAnsi="宋体" w:cs="宋体"/>
          <w:bCs/>
          <w:color w:val="auto"/>
          <w:sz w:val="36"/>
          <w:szCs w:val="36"/>
          <w:highlight w:val="none"/>
          <w:u w:val="none"/>
        </w:rPr>
        <w:t xml:space="preserve">年</w:t>
      </w:r>
      <w:r>
        <w:rPr>
          <w:rFonts w:hint="eastAsia" w:ascii="宋体" w:hAnsi="宋体" w:cs="宋体"/>
          <w:bCs/>
          <w:color w:val="auto"/>
          <w:sz w:val="36"/>
          <w:szCs w:val="36"/>
          <w:highlight w:val="none"/>
          <w:u w:val="none"/>
          <w:lang w:val="en-US" w:eastAsia="zh-CN"/>
        </w:rPr>
        <w:t xml:space="preserve">十一</w:t>
      </w:r>
      <w:r>
        <w:rPr>
          <w:rFonts w:hint="eastAsia" w:ascii="宋体" w:hAnsi="宋体" w:cs="宋体"/>
          <w:bCs/>
          <w:color w:val="auto"/>
          <w:sz w:val="36"/>
          <w:szCs w:val="36"/>
          <w:highlight w:val="none"/>
          <w:u w:val="none"/>
        </w:rPr>
        <w:t xml:space="preserve">月</w:t>
      </w:r>
      <w:bookmarkEnd w:id="0"/>
      <w:r/>
      <w:r/>
    </w:p>
    <w:p>
      <w:pPr>
        <w:jc w:val="left"/>
        <w:widowControl/>
        <w:rPr>
          <w:rFonts w:hint="eastAsia" w:ascii="宋体" w:hAnsi="宋体" w:eastAsia="宋体" w:cs="宋体"/>
          <w:b/>
          <w:bCs/>
          <w:color w:val="auto"/>
          <w:sz w:val="4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eastAsia="宋体" w:cs="宋体"/>
          <w:b/>
          <w:bCs/>
          <w:color w:val="auto"/>
          <w:sz w:val="44"/>
          <w:highlight w:val="none"/>
        </w:rPr>
        <w:br w:type="page" w:clear="all"/>
      </w:r>
      <w:r/>
    </w:p>
    <w:p>
      <w:pPr>
        <w:jc w:val="left"/>
        <w:widowControl/>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jc w:val="center"/>
        <w:spacing w:line="360" w:lineRule="auto"/>
        <w:rPr>
          <w:rFonts w:hint="eastAsia" w:ascii="宋体" w:hAnsi="宋体" w:eastAsia="宋体" w:cs="宋体"/>
          <w:b/>
          <w:color w:val="auto"/>
          <w:sz w:val="44"/>
          <w:szCs w:val="44"/>
          <w:highlight w:val="none"/>
        </w:rPr>
        <w:outlineLvl w:val="0"/>
      </w:pPr>
      <w:r/>
      <w:bookmarkStart w:id="1" w:name="_Toc99301418"/>
      <w:r>
        <w:rPr>
          <w:rFonts w:hint="eastAsia" w:ascii="宋体" w:hAnsi="宋体" w:eastAsia="宋体" w:cs="宋体"/>
          <w:b/>
          <w:color w:val="auto"/>
          <w:sz w:val="44"/>
          <w:szCs w:val="44"/>
          <w:highlight w:val="none"/>
        </w:rPr>
        <w:t xml:space="preserve">目      录</w:t>
      </w:r>
      <w:bookmarkEnd w:id="1"/>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96"/>
        <w:rPr>
          <w:rFonts w:hint="eastAsia" w:ascii="宋体" w:hAnsi="宋体" w:eastAsia="宋体" w:cs="宋体"/>
          <w:b w:val="0"/>
          <w:color w:val="auto"/>
          <w:sz w:val="21"/>
          <w:szCs w:val="22"/>
          <w:highlight w:val="none"/>
        </w:rPr>
      </w:pPr>
      <w:r>
        <w:rPr>
          <w:rFonts w:hint="eastAsia" w:ascii="宋体" w:hAnsi="宋体" w:eastAsia="宋体" w:cs="宋体"/>
          <w:b w:val="0"/>
          <w:color w:val="auto"/>
          <w:highlight w:val="none"/>
        </w:rPr>
        <w:fldChar w:fldCharType="begin"/>
      </w:r>
      <w:r>
        <w:rPr>
          <w:rFonts w:hint="eastAsia" w:ascii="宋体" w:hAnsi="宋体" w:eastAsia="宋体" w:cs="宋体"/>
          <w:b w:val="0"/>
          <w:color w:val="auto"/>
          <w:highlight w:val="none"/>
        </w:rPr>
        <w:instrText xml:space="preserve"> TOC \o "1-1" \h \z \u </w:instrText>
      </w:r>
      <w:r>
        <w:rPr>
          <w:rFonts w:hint="eastAsia" w:ascii="宋体" w:hAnsi="宋体" w:eastAsia="宋体" w:cs="宋体"/>
          <w:b w:val="0"/>
          <w:color w:val="auto"/>
          <w:highlight w:val="none"/>
        </w:rPr>
        <w:fldChar w:fldCharType="separate"/>
      </w:r>
      <w:r/>
    </w:p>
    <w:p>
      <w:pPr>
        <w:pStyle w:val="1196"/>
        <w:spacing w:line="48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"_Toc99301419" </w:instrText>
      </w:r>
      <w:r>
        <w:rPr>
          <w:rFonts w:hint="eastAsia" w:ascii="宋体" w:hAnsi="宋体" w:eastAsia="宋体" w:cs="宋体"/>
          <w:color w:val="auto"/>
          <w:sz w:val="28"/>
          <w:szCs w:val="28"/>
          <w:highlight w:val="none"/>
        </w:rPr>
        <w:fldChar w:fldCharType="separate"/>
      </w:r>
      <w:r>
        <w:rPr>
          <w:rStyle w:val="1223"/>
          <w:rFonts w:hint="eastAsia" w:ascii="宋体" w:hAnsi="宋体" w:eastAsia="宋体" w:cs="宋体"/>
          <w:color w:val="auto"/>
          <w:sz w:val="28"/>
          <w:szCs w:val="28"/>
          <w:highlight w:val="none"/>
        </w:rPr>
        <w:t xml:space="preserve">第一章   投标邀请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_Toc99301419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196"/>
        <w:spacing w:line="48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"_Toc99301420" </w:instrText>
      </w:r>
      <w:r>
        <w:rPr>
          <w:rFonts w:hint="eastAsia" w:ascii="宋体" w:hAnsi="宋体" w:eastAsia="宋体" w:cs="宋体"/>
          <w:color w:val="auto"/>
          <w:sz w:val="28"/>
          <w:szCs w:val="28"/>
          <w:highlight w:val="none"/>
        </w:rPr>
        <w:fldChar w:fldCharType="separate"/>
      </w:r>
      <w:r>
        <w:rPr>
          <w:rStyle w:val="1223"/>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_Toc99301420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196"/>
        <w:spacing w:line="48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"_Toc99301421" </w:instrText>
      </w:r>
      <w:r>
        <w:rPr>
          <w:rFonts w:hint="eastAsia" w:ascii="宋体" w:hAnsi="宋体" w:eastAsia="宋体" w:cs="宋体"/>
          <w:color w:val="auto"/>
          <w:sz w:val="28"/>
          <w:szCs w:val="28"/>
          <w:highlight w:val="none"/>
        </w:rPr>
        <w:fldChar w:fldCharType="separate"/>
      </w:r>
      <w:r>
        <w:rPr>
          <w:rStyle w:val="1223"/>
          <w:rFonts w:hint="eastAsia" w:ascii="宋体" w:hAnsi="宋体" w:eastAsia="宋体" w:cs="宋体"/>
          <w:color w:val="auto"/>
          <w:sz w:val="28"/>
          <w:szCs w:val="28"/>
          <w:highlight w:val="none"/>
        </w:rPr>
        <w:t xml:space="preserve">第三章   资</w:t>
      </w:r>
      <w:bookmarkStart w:id="2" w:name="_Hlt100754117"/>
      <w:r>
        <w:rPr>
          <w:rStyle w:val="1223"/>
          <w:rFonts w:hint="eastAsia" w:ascii="宋体" w:hAnsi="宋体" w:eastAsia="宋体" w:cs="宋体"/>
          <w:color w:val="auto"/>
          <w:sz w:val="28"/>
          <w:szCs w:val="28"/>
          <w:highlight w:val="none"/>
        </w:rPr>
        <w:t xml:space="preserve">格</w:t>
      </w:r>
      <w:bookmarkEnd w:id="2"/>
      <w:r>
        <w:rPr>
          <w:rStyle w:val="1223"/>
          <w:rFonts w:hint="eastAsia" w:ascii="宋体" w:hAnsi="宋体" w:eastAsia="宋体" w:cs="宋体"/>
          <w:color w:val="auto"/>
          <w:sz w:val="28"/>
          <w:szCs w:val="28"/>
          <w:highlight w:val="none"/>
        </w:rPr>
        <w:t xml:space="preserve">审查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_Toc99301421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196"/>
        <w:spacing w:line="48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"_Toc99301423" </w:instrText>
      </w:r>
      <w:r>
        <w:rPr>
          <w:rFonts w:hint="eastAsia" w:ascii="宋体" w:hAnsi="宋体" w:eastAsia="宋体" w:cs="宋体"/>
          <w:color w:val="auto"/>
          <w:sz w:val="28"/>
          <w:szCs w:val="28"/>
          <w:highlight w:val="none"/>
        </w:rPr>
        <w:fldChar w:fldCharType="separate"/>
      </w:r>
      <w:r>
        <w:rPr>
          <w:rStyle w:val="1223"/>
          <w:rFonts w:hint="eastAsia" w:ascii="宋体" w:hAnsi="宋体" w:eastAsia="宋体" w:cs="宋体"/>
          <w:color w:val="auto"/>
          <w:sz w:val="28"/>
          <w:szCs w:val="28"/>
          <w:highlight w:val="none"/>
        </w:rPr>
        <w:t xml:space="preserve">第四章   评标程序、评标方法和评标标准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_Toc99301423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196"/>
        <w:spacing w:line="48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"_Toc99301424" </w:instrText>
      </w:r>
      <w:r>
        <w:rPr>
          <w:rFonts w:hint="eastAsia" w:ascii="宋体" w:hAnsi="宋体" w:eastAsia="宋体" w:cs="宋体"/>
          <w:color w:val="auto"/>
          <w:sz w:val="28"/>
          <w:szCs w:val="28"/>
          <w:highlight w:val="none"/>
        </w:rPr>
        <w:fldChar w:fldCharType="separate"/>
      </w:r>
      <w:r>
        <w:rPr>
          <w:rStyle w:val="1223"/>
          <w:rFonts w:hint="eastAsia" w:ascii="宋体" w:hAnsi="宋体" w:eastAsia="宋体" w:cs="宋体"/>
          <w:color w:val="auto"/>
          <w:sz w:val="28"/>
          <w:szCs w:val="28"/>
          <w:highlight w:val="none"/>
        </w:rPr>
        <w:t xml:space="preserve">第五章   采购</w:t>
      </w:r>
      <w:bookmarkStart w:id="3" w:name="_Hlt100754103"/>
      <w:r/>
      <w:bookmarkStart w:id="4" w:name="_Hlt100754102"/>
      <w:r>
        <w:rPr>
          <w:rStyle w:val="1223"/>
          <w:rFonts w:hint="eastAsia" w:ascii="宋体" w:hAnsi="宋体" w:eastAsia="宋体" w:cs="宋体"/>
          <w:color w:val="auto"/>
          <w:sz w:val="28"/>
          <w:szCs w:val="28"/>
          <w:highlight w:val="none"/>
        </w:rPr>
        <w:t xml:space="preserve">需</w:t>
      </w:r>
      <w:bookmarkEnd w:id="3"/>
      <w:r/>
      <w:bookmarkEnd w:id="4"/>
      <w:r>
        <w:rPr>
          <w:rStyle w:val="1223"/>
          <w:rFonts w:hint="eastAsia" w:ascii="宋体" w:hAnsi="宋体" w:eastAsia="宋体" w:cs="宋体"/>
          <w:color w:val="auto"/>
          <w:sz w:val="28"/>
          <w:szCs w:val="28"/>
          <w:highlight w:val="none"/>
        </w:rPr>
        <w:t xml:space="preserve">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_Toc99301424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196"/>
        <w:spacing w:line="48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"_Toc99301425" </w:instrText>
      </w:r>
      <w:r>
        <w:rPr>
          <w:rFonts w:hint="eastAsia" w:ascii="宋体" w:hAnsi="宋体" w:eastAsia="宋体" w:cs="宋体"/>
          <w:color w:val="auto"/>
          <w:sz w:val="28"/>
          <w:szCs w:val="28"/>
          <w:highlight w:val="none"/>
        </w:rPr>
        <w:fldChar w:fldCharType="separate"/>
      </w:r>
      <w:r>
        <w:rPr>
          <w:rStyle w:val="1223"/>
          <w:rFonts w:hint="eastAsia" w:ascii="宋体" w:hAnsi="宋体" w:eastAsia="宋体" w:cs="宋体"/>
          <w:color w:val="auto"/>
          <w:sz w:val="28"/>
          <w:szCs w:val="28"/>
          <w:highlight w:val="none"/>
        </w:rPr>
        <w:t xml:space="preserve">第六章   拟签订的合同文本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_Toc99301425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196"/>
        <w:spacing w:line="48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"_Toc99301426" </w:instrText>
      </w:r>
      <w:r>
        <w:rPr>
          <w:rFonts w:hint="eastAsia" w:ascii="宋体" w:hAnsi="宋体" w:eastAsia="宋体" w:cs="宋体"/>
          <w:color w:val="auto"/>
          <w:sz w:val="28"/>
          <w:szCs w:val="28"/>
          <w:highlight w:val="none"/>
        </w:rPr>
        <w:fldChar w:fldCharType="separate"/>
      </w:r>
      <w:r>
        <w:rPr>
          <w:rStyle w:val="1223"/>
          <w:rFonts w:hint="eastAsia" w:ascii="宋体" w:hAnsi="宋体" w:eastAsia="宋体" w:cs="宋体"/>
          <w:color w:val="auto"/>
          <w:sz w:val="28"/>
          <w:szCs w:val="28"/>
          <w:highlight w:val="none"/>
        </w:rPr>
        <w:t xml:space="preserve">第七章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_Toc99301426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196"/>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fldChar w:fldCharType="end"/>
      </w:r>
      <w:r/>
    </w:p>
    <w:p>
      <w:pPr>
        <w:jc w:val="center"/>
        <w:spacing w:line="360" w:lineRule="auto"/>
        <w:rPr>
          <w:rFonts w:hint="eastAsia" w:ascii="宋体" w:hAnsi="宋体" w:eastAsia="宋体" w:cs="宋体"/>
          <w:b/>
          <w:color w:val="auto"/>
          <w:sz w:val="36"/>
          <w:szCs w:val="36"/>
          <w:highlight w:val="none"/>
        </w:rPr>
        <w:sectPr>
          <w:footerReference w:type="default" r:id="rId15"/>
          <w:footerReference w:type="first" r:id="rId16"/>
          <w:footnotePr/>
          <w:endnotePr/>
          <w:type w:val="nextPage"/>
          <w:pgSz w:w="11907" w:h="16840" w:orient="portrait"/>
          <w:pgMar w:top="1418" w:right="1134" w:bottom="1418" w:left="1701" w:header="851" w:footer="851" w:gutter="0"/>
          <w:pgNumType w:start="1"/>
          <w:cols w:num="1" w:sep="0" w:space="1701" w:equalWidth="1"/>
          <w:docGrid w:linePitch="360"/>
          <w:titlePg/>
        </w:sectPr>
        <w:outlineLvl w:val="0"/>
      </w:pPr>
      <w:r/>
      <w:bookmarkStart w:id="5" w:name="_Toc99301419"/>
      <w:r/>
      <w:r/>
    </w:p>
    <w:p>
      <w:pPr>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第一章   投标邀请</w:t>
      </w:r>
      <w:bookmarkEnd w:id="5"/>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145"/>
        <w:jc w:val="left"/>
        <w:spacing w:before="0" w:line="360" w:lineRule="auto"/>
        <w:rPr>
          <w:rFonts w:hint="eastAsia" w:ascii="宋体" w:hAnsi="宋体" w:eastAsia="宋体" w:cs="宋体"/>
          <w:color w:val="auto"/>
          <w:sz w:val="24"/>
          <w:szCs w:val="24"/>
          <w:highlight w:val="none"/>
        </w:rPr>
      </w:pPr>
      <w:r/>
      <w:bookmarkStart w:id="6" w:name="_Toc28359079"/>
      <w:r/>
      <w:bookmarkStart w:id="7" w:name="_Toc35393790"/>
      <w:r/>
      <w:bookmarkStart w:id="8" w:name="_Toc35393621"/>
      <w:r/>
      <w:bookmarkStart w:id="9" w:name="_Toc28359002"/>
      <w:r/>
      <w:bookmarkStart w:id="10" w:name="_Hlk24379207"/>
      <w:r>
        <w:rPr>
          <w:rFonts w:hint="eastAsia" w:ascii="宋体" w:hAnsi="宋体" w:eastAsia="宋体" w:cs="宋体"/>
          <w:color w:val="auto"/>
          <w:sz w:val="24"/>
          <w:szCs w:val="24"/>
          <w:highlight w:val="none"/>
        </w:rPr>
        <w:t xml:space="preserve">一、项目基本情况</w:t>
      </w:r>
      <w:bookmarkEnd w:id="6"/>
      <w:r/>
      <w:bookmarkEnd w:id="7"/>
      <w:r/>
      <w:bookmarkEnd w:id="8"/>
      <w:r/>
      <w:bookmarkEnd w:id="9"/>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1.项目编号/包号：</w:t>
      </w:r>
      <w:r>
        <w:rPr>
          <w:rFonts w:hint="eastAsia" w:ascii="宋体" w:hAnsi="宋体" w:cs="宋体"/>
          <w:color w:val="auto"/>
          <w:sz w:val="24"/>
          <w:highlight w:val="none"/>
          <w:u w:val="single"/>
          <w:lang w:eastAsia="zh-CN"/>
        </w:rPr>
        <w:t xml:space="preserve">JSZC-320402022-ZHWF-G2026-0007</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2.项目名称：</w:t>
      </w:r>
      <w:r>
        <w:rPr>
          <w:rFonts w:hint="eastAsia" w:ascii="宋体" w:hAnsi="宋体" w:cs="宋体"/>
          <w:color w:val="auto"/>
          <w:sz w:val="24"/>
          <w:highlight w:val="none"/>
          <w:u w:val="single"/>
          <w:lang w:eastAsia="zh-CN"/>
        </w:rPr>
        <w:t xml:space="preserve">大明北路东侧，东青和平路北侧（QQ020205-01）地块固废混合物合规处置项目</w:t>
      </w:r>
      <w:bookmarkEnd w:id="1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3.采购方式：</w:t>
      </w:r>
      <w:r>
        <w:rPr>
          <w:rFonts w:hint="eastAsia" w:ascii="宋体" w:hAnsi="宋体" w:eastAsia="宋体" w:cs="宋体"/>
          <w:color w:val="auto"/>
          <w:sz w:val="24"/>
          <w:highlight w:val="none"/>
          <w:u w:val="single"/>
        </w:rPr>
        <w:t xml:space="preserve">公开招标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4.项目预算金额：</w:t>
      </w:r>
      <w:r>
        <w:rPr>
          <w:rFonts w:hint="eastAsia" w:ascii="宋体" w:hAnsi="宋体" w:cs="宋体"/>
          <w:color w:val="auto"/>
          <w:sz w:val="24"/>
          <w:highlight w:val="none"/>
          <w:lang w:val="en-US" w:eastAsia="zh-CN"/>
        </w:rPr>
        <w:t xml:space="preserve">670</w:t>
      </w:r>
      <w:r>
        <w:rPr>
          <w:rFonts w:hint="eastAsia" w:ascii="宋体" w:hAnsi="宋体" w:eastAsia="宋体" w:cs="宋体"/>
          <w:color w:val="auto"/>
          <w:sz w:val="24"/>
          <w:highlight w:val="none"/>
        </w:rPr>
        <w:t xml:space="preserve">万元</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项目最高限价：</w:t>
      </w:r>
      <w:r>
        <w:rPr>
          <w:rFonts w:hint="eastAsia" w:ascii="宋体" w:hAnsi="宋体" w:cs="宋体"/>
          <w:color w:val="auto"/>
          <w:sz w:val="24"/>
          <w:highlight w:val="none"/>
          <w:lang w:val="en-US" w:eastAsia="zh-CN"/>
        </w:rPr>
        <w:t xml:space="preserve">661.83</w:t>
      </w:r>
      <w:r>
        <w:rPr>
          <w:rFonts w:hint="eastAsia" w:ascii="宋体" w:hAnsi="宋体" w:eastAsia="宋体" w:cs="宋体"/>
          <w:color w:val="auto"/>
          <w:sz w:val="24"/>
          <w:highlight w:val="none"/>
        </w:rPr>
        <w:t xml:space="preserve">万元</w:t>
      </w:r>
      <w:r/>
    </w:p>
    <w:p>
      <w:pPr>
        <w:numPr>
          <w:ilvl w:val="0"/>
          <w:numId w:val="8"/>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采购需求：</w:t>
      </w:r>
      <w:bookmarkStart w:id="11" w:name="OLE_LINK3"/>
      <w:r>
        <w:rPr>
          <w:rFonts w:hint="eastAsia"/>
          <w:color w:val="auto"/>
          <w:sz w:val="24"/>
          <w:highlight w:val="none"/>
        </w:rPr>
        <w:t xml:space="preserve">本项目为</w:t>
      </w:r>
      <w:r>
        <w:rPr>
          <w:rFonts w:hint="eastAsia"/>
          <w:color w:val="auto"/>
          <w:sz w:val="24"/>
          <w:highlight w:val="none"/>
          <w:lang w:eastAsia="zh-CN"/>
        </w:rPr>
        <w:t xml:space="preserve">江苏常州天宁经济开发区管理委员会大明北路东侧，东青和平路北侧（QQ020205-01）地块固废混合物合规处置项目</w:t>
      </w:r>
      <w:r>
        <w:rPr>
          <w:rFonts w:hint="eastAsia"/>
          <w:color w:val="auto"/>
          <w:sz w:val="24"/>
          <w:highlight w:val="none"/>
        </w:rPr>
        <w:t xml:space="preserve">。具体要求详见</w:t>
      </w:r>
      <w:bookmarkEnd w:id="11"/>
      <w:r>
        <w:rPr>
          <w:rFonts w:hint="eastAsia"/>
          <w:color w:val="auto"/>
          <w:sz w:val="24"/>
          <w:highlight w:val="none"/>
          <w:lang w:val="en-US" w:eastAsia="zh-CN"/>
        </w:rPr>
        <w:t xml:space="preserve">第五章采购需求</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6.合同履行期限：</w:t>
      </w:r>
      <w:r>
        <w:rPr>
          <w:rFonts w:hint="eastAsia" w:ascii="宋体" w:hAnsi="宋体" w:cs="宋体"/>
          <w:color w:val="auto"/>
          <w:sz w:val="24"/>
          <w:highlight w:val="none"/>
          <w:lang w:val="en-US" w:eastAsia="zh-CN"/>
        </w:rPr>
        <w:t xml:space="preserve">15</w:t>
      </w:r>
      <w:r>
        <w:rPr>
          <w:rFonts w:hint="eastAsia" w:ascii="Calibri" w:hAnsi="Calibri" w:cs="Times New Roman"/>
          <w:color w:val="auto"/>
          <w:sz w:val="24"/>
          <w:szCs w:val="22"/>
          <w:highlight w:val="none"/>
          <w:lang w:val="en-US" w:eastAsia="zh-CN"/>
        </w:rPr>
        <w:t xml:space="preserve">日历天，起算时间以采购人通知时间为准。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7.本项目是否接受联合体投标：□是  ■否。</w:t>
      </w:r>
      <w:r/>
    </w:p>
    <w:p>
      <w:pPr>
        <w:pStyle w:val="1145"/>
        <w:jc w:val="left"/>
        <w:spacing w:before="0" w:line="360" w:lineRule="auto"/>
        <w:rPr>
          <w:rFonts w:hint="eastAsia" w:ascii="宋体" w:hAnsi="宋体" w:eastAsia="宋体" w:cs="宋体"/>
          <w:color w:val="auto"/>
          <w:sz w:val="24"/>
          <w:szCs w:val="24"/>
          <w:highlight w:val="none"/>
        </w:rPr>
      </w:pPr>
      <w:r/>
      <w:bookmarkStart w:id="12" w:name="_Toc35393791"/>
      <w:r/>
      <w:bookmarkStart w:id="13" w:name="_Toc35393622"/>
      <w:r/>
      <w:bookmarkStart w:id="14" w:name="_Toc28359080"/>
      <w:r/>
      <w:bookmarkStart w:id="15" w:name="_Toc28359003"/>
      <w:r>
        <w:rPr>
          <w:rFonts w:hint="eastAsia" w:ascii="宋体" w:hAnsi="宋体" w:eastAsia="宋体" w:cs="宋体"/>
          <w:color w:val="auto"/>
          <w:sz w:val="24"/>
          <w:szCs w:val="24"/>
          <w:highlight w:val="none"/>
        </w:rPr>
        <w:t xml:space="preserve">二、申请人的资格要求（须同时满足）</w:t>
      </w:r>
      <w:bookmarkEnd w:id="12"/>
      <w:r/>
      <w:bookmarkEnd w:id="13"/>
      <w:r/>
      <w:bookmarkEnd w:id="14"/>
      <w:r/>
      <w:bookmarkEnd w:id="15"/>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1.满足《中华人民共和国政府采购法》第二十二条规定以及下列情形：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1.1未被“信用中国”网站（</w:t>
      </w:r>
      <w:r>
        <w:rPr>
          <w:rFonts w:hint="eastAsia" w:ascii="宋体" w:hAnsi="宋体" w:eastAsia="宋体" w:cs="宋体"/>
          <w:color w:val="auto"/>
          <w:sz w:val="24"/>
          <w:highlight w:val="none"/>
          <w:lang w:val="en-US" w:eastAsia="zh-CN"/>
        </w:rPr>
        <w:t xml:space="preserve">www</w:t>
      </w:r>
      <w:r>
        <w:rPr>
          <w:rFonts w:hint="eastAsia" w:ascii="宋体" w:hAnsi="宋体" w:eastAsia="宋体" w:cs="宋体"/>
          <w:color w:val="auto"/>
          <w:sz w:val="24"/>
          <w:highlight w:val="none"/>
        </w:rPr>
        <w:t xml:space="preserve">.creditchina.gov.cn）或“中国政府采购网”网站（www.ccgp.gov.cn）列入失信被执行人、重大税收违法案件当事人名单、政府采购严重失信行为记录名单；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color w:val="auto"/>
          <w:sz w:val="24"/>
          <w:highlight w:val="none"/>
        </w:rPr>
      </w:pPr>
      <w:r/>
      <w:bookmarkStart w:id="16" w:name="_Toc28359004"/>
      <w:r/>
      <w:bookmarkStart w:id="17" w:name="_Toc28359081"/>
      <w:r>
        <w:rPr>
          <w:rFonts w:hint="eastAsia" w:ascii="宋体" w:hAnsi="宋体" w:eastAsia="宋体" w:cs="宋体"/>
          <w:color w:val="auto"/>
          <w:sz w:val="24"/>
          <w:highlight w:val="none"/>
        </w:rPr>
        <w:t xml:space="preserve">2.落实政府采购政策需满足的资格要求：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2.1中小企业政策（说明：中小企业包含中型、小型、微型企业，小微企业包含小型、微型企业）</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□本项目不专门面向中小企业预留采购份额。</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■本项目专门面向 ■中小 □小微企业采购。即：提供的货物全部由符合政策要求的中小/小微企业制造、服务全部由符合政策要求的中小/小微企业承接。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其它落实政府采购政策的资格要求：无。</w:t>
      </w:r>
      <w:r/>
    </w:p>
    <w:p>
      <w:pPr>
        <w:ind w:firstLine="480"/>
        <w:spacing w:line="360" w:lineRule="auto"/>
        <w:rPr>
          <w:rFonts w:hint="eastAsia" w:ascii="宋体" w:hAnsi="宋体" w:eastAsia="宋体" w:cs="宋体"/>
          <w:i/>
          <w:iCs/>
          <w:color w:val="auto"/>
          <w:sz w:val="24"/>
          <w:highlight w:val="none"/>
          <w:u w:val="single"/>
        </w:rPr>
      </w:pPr>
      <w:r>
        <w:rPr>
          <w:rFonts w:hint="eastAsia" w:ascii="宋体" w:hAnsi="宋体" w:eastAsia="宋体" w:cs="宋体"/>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3.1本项目是否接受分支机构参与投标：否；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3.2本项目是否属于政府购买服务：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■是，公益一类事业单位、使用事业编制且由财政拨款保障的群团组织，不得作为承接主体；</w:t>
      </w:r>
      <w:r/>
    </w:p>
    <w:p>
      <w:pPr>
        <w:ind w:firstLine="482"/>
        <w:spacing w:line="360" w:lineRule="auto"/>
        <w:tabs>
          <w:tab w:val="left" w:pos="900" w:leader="none"/>
          <w:tab w:val="left" w:pos="1134" w:leader="none"/>
          <w:tab w:val="left" w:pos="1589" w:leader="none"/>
          <w:tab w:val="left" w:pos="5521" w:leader="none"/>
        </w:tabs>
        <w:rPr>
          <w:rFonts w:hint="eastAsia" w:ascii="宋体" w:hAnsi="宋体" w:eastAsia="宋体" w:cs="宋体"/>
          <w:b/>
          <w:bCs/>
          <w:color w:val="auto"/>
          <w:sz w:val="24"/>
          <w:highlight w:val="white"/>
          <w:u w:val="single"/>
        </w:rPr>
      </w:pPr>
      <w:r>
        <w:rPr>
          <w:rFonts w:hint="eastAsia" w:ascii="宋体" w:hAnsi="宋体" w:eastAsia="宋体" w:cs="宋体"/>
          <w:b/>
          <w:bCs/>
          <w:color w:val="auto"/>
          <w:sz w:val="24"/>
          <w:highlight w:val="none"/>
        </w:rPr>
        <w:t xml:space="preserve">3.3其他特定资格要求：</w:t>
      </w:r>
      <w:r>
        <w:rPr>
          <w:rFonts w:hint="eastAsia" w:ascii="宋体" w:hAnsi="宋体" w:cs="宋体"/>
          <w:b/>
          <w:bCs/>
          <w:color w:val="auto"/>
          <w:sz w:val="24"/>
          <w:highlight w:val="white"/>
          <w:u w:val="single"/>
          <w:lang w:val="en-US" w:eastAsia="zh-CN"/>
        </w:rPr>
        <w:t xml:space="preserve">投标人须具备道路运输经营许可证，或提供与具备该资质单位的合作协议 。</w:t>
      </w:r>
      <w:bookmarkEnd w:id="16"/>
      <w:r>
        <w:rPr>
          <w:highlight w:val="white"/>
        </w:rPr>
      </w:r>
      <w:bookmarkEnd w:id="17"/>
      <w:r>
        <w:rPr>
          <w:highlight w:val="white"/>
        </w:rPr>
      </w:r>
      <w:r/>
    </w:p>
    <w:p>
      <w:pPr>
        <w:pStyle w:val="1145"/>
        <w:jc w:val="left"/>
        <w:spacing w:before="0" w:line="360" w:lineRule="auto"/>
        <w:widowControl/>
        <w:rPr>
          <w:rFonts w:hint="eastAsia" w:ascii="宋体" w:hAnsi="宋体" w:eastAsia="宋体" w:cs="宋体"/>
          <w:color w:val="auto"/>
          <w:sz w:val="24"/>
          <w:szCs w:val="24"/>
          <w:highlight w:val="none"/>
        </w:rPr>
      </w:pPr>
      <w:r/>
      <w:bookmarkStart w:id="18" w:name="_Toc35393623"/>
      <w:r/>
      <w:bookmarkStart w:id="19" w:name="_Toc35393792"/>
      <w:r>
        <w:rPr>
          <w:rFonts w:hint="eastAsia" w:ascii="宋体" w:hAnsi="宋体" w:eastAsia="宋体" w:cs="宋体"/>
          <w:color w:val="auto"/>
          <w:sz w:val="24"/>
          <w:szCs w:val="24"/>
          <w:highlight w:val="none"/>
        </w:rPr>
        <w:t xml:space="preserve">三、获取招标文件</w:t>
      </w:r>
      <w:bookmarkEnd w:id="18"/>
      <w:r/>
      <w:bookmarkEnd w:id="19"/>
      <w:r/>
      <w:r/>
    </w:p>
    <w:p>
      <w:pPr>
        <w:ind w:firstLine="480"/>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1.时间：自</w:t>
      </w:r>
      <w:r>
        <w:rPr>
          <w:rFonts w:hint="eastAsia" w:ascii="宋体" w:hAnsi="宋体" w:cs="宋体"/>
          <w:color w:val="auto"/>
          <w:sz w:val="24"/>
          <w:highlight w:val="none"/>
          <w:lang w:eastAsia="zh-CN"/>
        </w:rPr>
        <w:t xml:space="preserve">招标</w:t>
      </w:r>
      <w:r>
        <w:rPr>
          <w:rFonts w:hint="eastAsia" w:ascii="宋体" w:hAnsi="宋体" w:eastAsia="宋体" w:cs="宋体"/>
          <w:color w:val="auto"/>
          <w:sz w:val="24"/>
          <w:highlight w:val="none"/>
        </w:rPr>
        <w:t xml:space="preserve">文件公告发布之日起5个工作日</w:t>
      </w:r>
      <w:r/>
    </w:p>
    <w:p>
      <w:pPr>
        <w:ind w:firstLine="480"/>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2.地点：“苏采云”政府采购一体化平台。</w:t>
      </w:r>
      <w:r/>
    </w:p>
    <w:p>
      <w:pPr>
        <w:ind w:firstLine="480"/>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3.方式：供应商持CA数字认证证书登录政府采购一体化平台“苏采云”（http://jszfcg.jscz.gov.cn/jszc/login）获取电子版</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w:t>
      </w:r>
      <w:r/>
    </w:p>
    <w:p>
      <w:pPr>
        <w:ind w:firstLine="480"/>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4.售价：0元。</w:t>
      </w:r>
      <w:r/>
    </w:p>
    <w:p>
      <w:pPr>
        <w:pStyle w:val="1145"/>
        <w:jc w:val="left"/>
        <w:spacing w:before="0" w:line="360" w:lineRule="auto"/>
        <w:widowControl/>
        <w:rPr>
          <w:rFonts w:hint="eastAsia" w:ascii="宋体" w:hAnsi="宋体" w:eastAsia="宋体" w:cs="宋体"/>
          <w:color w:val="auto"/>
          <w:sz w:val="24"/>
          <w:szCs w:val="24"/>
          <w:highlight w:val="none"/>
        </w:rPr>
      </w:pPr>
      <w:r/>
      <w:bookmarkStart w:id="20" w:name="_Toc28359082"/>
      <w:r/>
      <w:bookmarkStart w:id="21" w:name="_Toc28359005"/>
      <w:r/>
      <w:bookmarkStart w:id="22" w:name="_Toc35393624"/>
      <w:r/>
      <w:bookmarkStart w:id="23" w:name="_Toc35393793"/>
      <w:r>
        <w:rPr>
          <w:rFonts w:hint="eastAsia" w:ascii="宋体" w:hAnsi="宋体" w:eastAsia="宋体" w:cs="宋体"/>
          <w:color w:val="auto"/>
          <w:sz w:val="24"/>
          <w:szCs w:val="24"/>
          <w:highlight w:val="none"/>
        </w:rPr>
        <w:t xml:space="preserve">四、提交投标文件</w:t>
      </w:r>
      <w:bookmarkEnd w:id="20"/>
      <w:r/>
      <w:bookmarkEnd w:id="21"/>
      <w:r>
        <w:rPr>
          <w:rFonts w:hint="eastAsia" w:ascii="宋体" w:hAnsi="宋体" w:eastAsia="宋体" w:cs="宋体"/>
          <w:color w:val="auto"/>
          <w:sz w:val="24"/>
          <w:szCs w:val="24"/>
          <w:highlight w:val="none"/>
        </w:rPr>
        <w:t xml:space="preserve">截止时间、开标时间和地点</w:t>
      </w:r>
      <w:bookmarkEnd w:id="22"/>
      <w:r/>
      <w:bookmarkEnd w:id="23"/>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lang w:bidi="ar"/>
        </w:rPr>
        <w:t xml:space="preserve">投标截止时间、开标时间：202</w:t>
      </w:r>
      <w:r>
        <w:rPr>
          <w:rFonts w:hint="eastAsia" w:ascii="宋体" w:hAnsi="宋体" w:cs="宋体"/>
          <w:color w:val="auto"/>
          <w:sz w:val="24"/>
          <w:highlight w:val="none"/>
          <w:lang w:val="en-US" w:eastAsia="zh-CN" w:bidi="ar"/>
        </w:rPr>
        <w:t xml:space="preserve">6</w:t>
      </w:r>
      <w:r>
        <w:rPr>
          <w:rFonts w:hint="eastAsia" w:ascii="宋体" w:hAnsi="宋体" w:eastAsia="宋体" w:cs="宋体"/>
          <w:color w:val="auto"/>
          <w:sz w:val="24"/>
          <w:highlight w:val="none"/>
          <w:lang w:bidi="ar"/>
        </w:rPr>
        <w:t xml:space="preserve">年</w:t>
      </w:r>
      <w:r>
        <w:rPr>
          <w:rFonts w:hint="eastAsia" w:ascii="宋体" w:hAnsi="宋体" w:cs="宋体"/>
          <w:color w:val="auto"/>
          <w:sz w:val="24"/>
          <w:highlight w:val="none"/>
          <w:lang w:val="en-US" w:eastAsia="zh-CN" w:bidi="ar"/>
        </w:rPr>
        <w:t xml:space="preserve">11</w:t>
      </w:r>
      <w:r>
        <w:rPr>
          <w:rFonts w:hint="eastAsia" w:ascii="宋体" w:hAnsi="宋体" w:eastAsia="宋体" w:cs="宋体"/>
          <w:color w:val="auto"/>
          <w:sz w:val="24"/>
          <w:highlight w:val="none"/>
          <w:lang w:bidi="ar"/>
        </w:rPr>
        <w:t xml:space="preserve">月</w:t>
      </w:r>
      <w:r>
        <w:rPr>
          <w:rFonts w:hint="eastAsia" w:ascii="宋体" w:hAnsi="宋体" w:cs="宋体"/>
          <w:color w:val="auto"/>
          <w:sz w:val="24"/>
          <w:highlight w:val="none"/>
          <w:lang w:val="en-US" w:eastAsia="zh-CN" w:bidi="ar"/>
        </w:rPr>
        <w:t xml:space="preserve">24</w:t>
      </w:r>
      <w:r>
        <w:rPr>
          <w:rFonts w:hint="eastAsia" w:ascii="宋体" w:hAnsi="宋体" w:eastAsia="宋体" w:cs="宋体"/>
          <w:color w:val="auto"/>
          <w:sz w:val="24"/>
          <w:highlight w:val="none"/>
          <w:lang w:bidi="ar"/>
        </w:rPr>
        <w:t xml:space="preserve">日</w:t>
      </w:r>
      <w:r>
        <w:rPr>
          <w:rFonts w:hint="eastAsia" w:ascii="宋体" w:hAnsi="宋体" w:cs="宋体"/>
          <w:color w:val="auto"/>
          <w:sz w:val="24"/>
          <w:highlight w:val="none"/>
          <w:lang w:val="en-US" w:eastAsia="zh-CN" w:bidi="ar"/>
        </w:rPr>
        <w:t xml:space="preserve">上</w:t>
      </w:r>
      <w:r>
        <w:rPr>
          <w:rFonts w:hint="eastAsia" w:ascii="宋体" w:hAnsi="宋体" w:eastAsia="宋体" w:cs="宋体"/>
          <w:color w:val="auto"/>
          <w:sz w:val="24"/>
          <w:highlight w:val="none"/>
          <w:lang w:val="en-US" w:eastAsia="zh-CN" w:bidi="ar"/>
        </w:rPr>
        <w:t xml:space="preserve">午</w:t>
      </w:r>
      <w:r>
        <w:rPr>
          <w:rFonts w:hint="eastAsia" w:ascii="宋体" w:hAnsi="宋体" w:cs="宋体"/>
          <w:color w:val="auto"/>
          <w:sz w:val="24"/>
          <w:highlight w:val="none"/>
          <w:lang w:val="en-US" w:eastAsia="zh-CN" w:bidi="ar"/>
        </w:rPr>
        <w:t xml:space="preserve">9</w:t>
      </w:r>
      <w:r>
        <w:rPr>
          <w:rFonts w:hint="eastAsia" w:ascii="宋体" w:hAnsi="宋体" w:eastAsia="宋体" w:cs="宋体"/>
          <w:color w:val="auto"/>
          <w:sz w:val="24"/>
          <w:highlight w:val="none"/>
          <w:lang w:bidi="ar"/>
        </w:rPr>
        <w:t xml:space="preserve">点</w:t>
      </w:r>
      <w:r>
        <w:rPr>
          <w:rFonts w:hint="eastAsia" w:ascii="宋体" w:hAnsi="宋体" w:cs="宋体"/>
          <w:color w:val="auto"/>
          <w:sz w:val="24"/>
          <w:highlight w:val="none"/>
          <w:lang w:val="en-US" w:eastAsia="zh-CN" w:bidi="ar"/>
        </w:rPr>
        <w:t xml:space="preserve">0</w:t>
      </w:r>
      <w:r>
        <w:rPr>
          <w:rFonts w:hint="eastAsia" w:ascii="宋体" w:hAnsi="宋体" w:eastAsia="宋体" w:cs="宋体"/>
          <w:color w:val="auto"/>
          <w:sz w:val="24"/>
          <w:highlight w:val="none"/>
          <w:lang w:bidi="ar"/>
        </w:rPr>
        <w:t xml:space="preserve">0分（北京时间）</w:t>
      </w:r>
      <w:r>
        <w:rPr>
          <w:rFonts w:hint="eastAsia" w:ascii="宋体" w:hAnsi="宋体" w:eastAsia="宋体" w:cs="宋体"/>
          <w:iCs/>
          <w:color w:val="auto"/>
          <w:sz w:val="24"/>
          <w:highlight w:val="none"/>
          <w:lang w:bidi="ar"/>
        </w:rPr>
        <w:t xml:space="preserve">。</w:t>
      </w:r>
      <w:r/>
    </w:p>
    <w:p>
      <w:pPr>
        <w:ind w:firstLine="480"/>
        <w:spacing w:line="360" w:lineRule="auto"/>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bidi="ar"/>
        </w:rPr>
        <w:t xml:space="preserve">地点：本项目采用不见面交易方式，无需到现场提交，供应商登录”苏采云”系统供应商端，通过系统在线提交电子响应文件</w:t>
      </w:r>
      <w:r>
        <w:rPr>
          <w:rFonts w:hint="eastAsia" w:ascii="宋体" w:hAnsi="宋体" w:eastAsia="宋体" w:cs="宋体"/>
          <w:color w:val="auto"/>
          <w:sz w:val="24"/>
          <w:highlight w:val="none"/>
          <w:lang w:val="zh-TW" w:bidi="ar"/>
        </w:rPr>
        <w:t xml:space="preserve">。</w:t>
      </w:r>
      <w:r/>
    </w:p>
    <w:p>
      <w:pPr>
        <w:pStyle w:val="1145"/>
        <w:jc w:val="left"/>
        <w:spacing w:before="0" w:line="360" w:lineRule="auto"/>
        <w:rPr>
          <w:rFonts w:hint="eastAsia" w:ascii="宋体" w:hAnsi="宋体" w:eastAsia="宋体" w:cs="宋体"/>
          <w:color w:val="auto"/>
          <w:sz w:val="24"/>
          <w:szCs w:val="24"/>
          <w:highlight w:val="none"/>
        </w:rPr>
      </w:pPr>
      <w:r/>
      <w:bookmarkStart w:id="24" w:name="_Toc28359007"/>
      <w:r/>
      <w:bookmarkStart w:id="25" w:name="_Toc35393794"/>
      <w:r/>
      <w:bookmarkStart w:id="26" w:name="_Toc35393625"/>
      <w:r/>
      <w:bookmarkStart w:id="27" w:name="_Toc28359084"/>
      <w:r>
        <w:rPr>
          <w:rFonts w:hint="eastAsia" w:ascii="宋体" w:hAnsi="宋体" w:eastAsia="宋体" w:cs="宋体"/>
          <w:color w:val="auto"/>
          <w:sz w:val="24"/>
          <w:szCs w:val="24"/>
          <w:highlight w:val="none"/>
        </w:rPr>
        <w:t xml:space="preserve">五、公告期限</w:t>
      </w:r>
      <w:bookmarkEnd w:id="24"/>
      <w:r/>
      <w:bookmarkEnd w:id="25"/>
      <w:r/>
      <w:bookmarkEnd w:id="26"/>
      <w:r/>
      <w:bookmarkEnd w:id="2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pStyle w:val="1145"/>
        <w:jc w:val="left"/>
        <w:spacing w:before="0" w:line="360" w:lineRule="auto"/>
        <w:rPr>
          <w:rFonts w:hint="eastAsia" w:ascii="宋体" w:hAnsi="宋体" w:eastAsia="宋体" w:cs="宋体"/>
          <w:color w:val="auto"/>
          <w:sz w:val="24"/>
          <w:szCs w:val="24"/>
          <w:highlight w:val="none"/>
        </w:rPr>
      </w:pPr>
      <w:r/>
      <w:bookmarkStart w:id="28" w:name="_Toc35393795"/>
      <w:r/>
      <w:bookmarkStart w:id="29" w:name="_Toc35393626"/>
      <w:r>
        <w:rPr>
          <w:rFonts w:hint="eastAsia" w:ascii="宋体" w:hAnsi="宋体" w:eastAsia="宋体" w:cs="宋体"/>
          <w:color w:val="auto"/>
          <w:sz w:val="24"/>
          <w:szCs w:val="24"/>
          <w:highlight w:val="none"/>
        </w:rPr>
        <w:t xml:space="preserve">六、其他补充事宜</w:t>
      </w:r>
      <w:bookmarkEnd w:id="28"/>
      <w:r/>
      <w:bookmarkEnd w:id="29"/>
      <w:r/>
      <w:r/>
    </w:p>
    <w:p>
      <w:pPr>
        <w:pStyle w:val="1183"/>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bookmarkStart w:id="30" w:name="_Toc35393627"/>
      <w:r/>
      <w:bookmarkStart w:id="31" w:name="_Toc35393796"/>
      <w:r/>
      <w:bookmarkStart w:id="32" w:name="_Toc140670456"/>
      <w:r/>
      <w:bookmarkStart w:id="33" w:name="_Toc28359085"/>
      <w:r/>
      <w:bookmarkStart w:id="34" w:name="_Toc28359008"/>
      <w:r/>
      <w:bookmarkStart w:id="35" w:name="_Toc128435092"/>
      <w:r/>
      <w:bookmarkStart w:id="36" w:name="_Toc140670320"/>
      <w:r>
        <w:rPr>
          <w:rFonts w:hint="eastAsia" w:ascii="宋体" w:hAnsi="宋体" w:eastAsia="宋体" w:cs="宋体"/>
          <w:color w:val="auto"/>
          <w:sz w:val="24"/>
          <w:highlight w:val="none"/>
        </w:rPr>
        <w:t xml:space="preserve">1.本项目需要落实的政府采购政策：无</w:t>
      </w:r>
      <w:r/>
    </w:p>
    <w:p>
      <w:pPr>
        <w:pStyle w:val="1183"/>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2.本项目采用全流程电子化采购方式，请供应商认真学习政府采购一体化平台“苏采云”发布的相关操作手册，办理CA认证证书、进行政府采购一体化平台“苏采云”注册绑定，并认真核实数字认证证书情况确认是否符合本项目电子化采购流程要求。</w:t>
      </w:r>
      <w:r/>
    </w:p>
    <w:p>
      <w:pPr>
        <w:pStyle w:val="1183"/>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技术支持服务热线    0519-8558 8210</w:t>
      </w:r>
      <w:r/>
    </w:p>
    <w:p>
      <w:pPr>
        <w:pStyle w:val="1183"/>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CA认证证书办理（现场办理）联系电话   0519-8558 8120</w:t>
      </w:r>
      <w:r/>
    </w:p>
    <w:p>
      <w:pPr>
        <w:pStyle w:val="1183"/>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2.1办理CA认证证书</w:t>
      </w:r>
      <w:r/>
    </w:p>
    <w:p>
      <w:pPr>
        <w:pStyle w:val="1183"/>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供应商登录政府采购一体化平台“苏采云”“新CA办理指南”，按照程序要求办理。</w:t>
      </w:r>
      <w:r/>
    </w:p>
    <w:p>
      <w:pPr>
        <w:pStyle w:val="1183"/>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2.2注册</w:t>
      </w:r>
      <w:r/>
    </w:p>
    <w:p>
      <w:pPr>
        <w:pStyle w:val="1183"/>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供应商登录政府采购一体化平台“苏采云” 下载“ 用户注册”查阅后进行自助注册。</w:t>
      </w:r>
      <w:r/>
    </w:p>
    <w:p>
      <w:pPr>
        <w:pStyle w:val="1183"/>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2.3控件、客户端下载</w:t>
      </w:r>
      <w:r/>
    </w:p>
    <w:p>
      <w:pPr>
        <w:pStyle w:val="1183"/>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供应商登录政府采购一体化平台“苏采云” 下载“驱动下载”，安装驱动。</w:t>
      </w:r>
      <w:r/>
    </w:p>
    <w:p>
      <w:pPr>
        <w:pStyle w:val="1183"/>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2.4 获取电子</w:t>
      </w:r>
      <w:r>
        <w:rPr>
          <w:rFonts w:hint="eastAsia" w:hAnsi="宋体" w:cs="宋体"/>
          <w:color w:val="auto"/>
          <w:sz w:val="24"/>
          <w:highlight w:val="none"/>
          <w:lang w:eastAsia="zh-CN"/>
        </w:rPr>
        <w:t xml:space="preserve">招标</w:t>
      </w:r>
      <w:r>
        <w:rPr>
          <w:rFonts w:hint="eastAsia" w:ascii="宋体" w:hAnsi="宋体" w:eastAsia="宋体" w:cs="宋体"/>
          <w:color w:val="auto"/>
          <w:sz w:val="24"/>
          <w:highlight w:val="none"/>
        </w:rPr>
        <w:t xml:space="preserve">文件</w:t>
      </w:r>
      <w:r/>
    </w:p>
    <w:p>
      <w:pPr>
        <w:pStyle w:val="1183"/>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供应商持CA数字认证证书登录政府采购一体化平台“苏采云”获取电子</w:t>
      </w:r>
      <w:r>
        <w:rPr>
          <w:rFonts w:hint="eastAsia" w:hAnsi="宋体" w:cs="宋体"/>
          <w:color w:val="auto"/>
          <w:sz w:val="24"/>
          <w:highlight w:val="none"/>
          <w:lang w:eastAsia="zh-CN"/>
        </w:rPr>
        <w:t xml:space="preserve">招标</w:t>
      </w:r>
      <w:r>
        <w:rPr>
          <w:rFonts w:hint="eastAsia" w:ascii="宋体" w:hAnsi="宋体" w:eastAsia="宋体" w:cs="宋体"/>
          <w:color w:val="auto"/>
          <w:sz w:val="24"/>
          <w:highlight w:val="none"/>
        </w:rPr>
        <w:t xml:space="preserve">文件。未在规定期限内通过政府采购一体化平台“苏采云”获取</w:t>
      </w:r>
      <w:r>
        <w:rPr>
          <w:rFonts w:hint="eastAsia" w:hAnsi="宋体" w:cs="宋体"/>
          <w:color w:val="auto"/>
          <w:sz w:val="24"/>
          <w:highlight w:val="none"/>
          <w:lang w:eastAsia="zh-CN"/>
        </w:rPr>
        <w:t xml:space="preserve">招标</w:t>
      </w:r>
      <w:r>
        <w:rPr>
          <w:rFonts w:hint="eastAsia" w:ascii="宋体" w:hAnsi="宋体" w:eastAsia="宋体" w:cs="宋体"/>
          <w:color w:val="auto"/>
          <w:sz w:val="24"/>
          <w:highlight w:val="none"/>
        </w:rPr>
        <w:t xml:space="preserve">文件的响应无效。</w:t>
      </w:r>
      <w:r/>
    </w:p>
    <w:p>
      <w:pPr>
        <w:pStyle w:val="1183"/>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2.5编制电子响应文件</w:t>
      </w:r>
      <w:r/>
    </w:p>
    <w:p>
      <w:pPr>
        <w:pStyle w:val="1183"/>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pStyle w:val="1183"/>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2.6提交电子响应文件</w:t>
      </w:r>
      <w:r/>
    </w:p>
    <w:p>
      <w:pPr>
        <w:pStyle w:val="1183"/>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供应商应于响应截止时间前在政府采购一体化平台“苏采云”提交电子响应文件，上传电子响应文件过程中请保持与互联网的连接畅通。</w:t>
      </w:r>
      <w:r/>
    </w:p>
    <w:p>
      <w:pPr>
        <w:pStyle w:val="1183"/>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2.7电子开标</w:t>
      </w:r>
      <w:r/>
    </w:p>
    <w:p>
      <w:pPr>
        <w:pStyle w:val="1183"/>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供应商使用CA认证证书登录政府采购一体化平台“苏采云”进行电子化不见面开标。</w:t>
      </w:r>
      <w:r/>
    </w:p>
    <w:p>
      <w:pPr>
        <w:pStyle w:val="1183"/>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2.8注意事项</w:t>
      </w:r>
      <w:r/>
    </w:p>
    <w:p>
      <w:pPr>
        <w:pStyle w:val="1183"/>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pStyle w:val="1183"/>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3.关于常州市中小企业政府采购信用融资：</w:t>
      </w:r>
      <w:r/>
    </w:p>
    <w:p>
      <w:pPr>
        <w:pStyle w:val="1183"/>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成交通知书或成交合同，为成交中小企业供应商提供相应额度贷款的融资模式。申请条件及操作流程等事项详见该文件相关内容或者常州市政府采购网--政采融资平台栏目。</w:t>
      </w:r>
      <w:r/>
    </w:p>
    <w:p>
      <w:pPr>
        <w:pStyle w:val="1183"/>
        <w:ind w:firstLine="482"/>
        <w:keepLines w:val="0"/>
        <w:keepNext w:val="0"/>
        <w:pageBreakBefore w:val="0"/>
        <w:spacing w:line="360" w:lineRule="auto"/>
        <w:widowControl w:val="off"/>
        <w:rPr>
          <w:rFonts w:hint="eastAsia" w:ascii="宋体" w:hAnsi="宋体" w:eastAsia="宋体" w:cs="宋体"/>
          <w:b/>
          <w:bCs/>
          <w:color w:val="auto"/>
          <w:highlight w:val="none"/>
        </w:rPr>
        <w:outlineLvl w:val="1"/>
      </w:pPr>
      <w:r>
        <w:rPr>
          <w:rFonts w:hint="eastAsia" w:ascii="宋体" w:hAnsi="宋体" w:eastAsia="宋体" w:cs="宋体"/>
          <w:b/>
          <w:bCs/>
          <w:color w:val="auto"/>
          <w:highlight w:val="none"/>
        </w:rPr>
        <w:t xml:space="preserve">七、对本项目提出询问，请按以下方式联系。</w:t>
      </w:r>
      <w:bookmarkEnd w:id="30"/>
      <w:r/>
      <w:bookmarkEnd w:id="31"/>
      <w:r/>
      <w:bookmarkEnd w:id="32"/>
      <w:r/>
      <w:bookmarkEnd w:id="33"/>
      <w:r/>
      <w:bookmarkEnd w:id="34"/>
      <w:r/>
      <w:bookmarkEnd w:id="35"/>
      <w:r/>
      <w:bookmarkEnd w:id="36"/>
      <w:r/>
      <w:r/>
    </w:p>
    <w:p>
      <w:pPr>
        <w:pStyle w:val="1183"/>
        <w:spacing w:line="360" w:lineRule="auto"/>
        <w:rPr>
          <w:rFonts w:hint="eastAsia" w:ascii="宋体" w:hAnsi="宋体" w:eastAsia="宋体" w:cs="宋体"/>
          <w:bCs/>
          <w:color w:val="auto"/>
          <w:highlight w:val="none"/>
        </w:rPr>
      </w:pPr>
      <w:r/>
      <w:bookmarkStart w:id="37" w:name="_Hlk118382401"/>
      <w:r/>
      <w:bookmarkStart w:id="38" w:name="_Toc45235309"/>
      <w:r/>
      <w:bookmarkStart w:id="39" w:name="_Toc63761645"/>
      <w:r/>
      <w:bookmarkStart w:id="40" w:name="_Toc28359020"/>
      <w:r/>
      <w:bookmarkStart w:id="41" w:name="_Toc35393638"/>
      <w:r/>
      <w:bookmarkStart w:id="42" w:name="_Toc35393807"/>
      <w:r/>
      <w:bookmarkStart w:id="43" w:name="_Toc63761584"/>
      <w:r/>
      <w:bookmarkStart w:id="44" w:name="_Toc28359097"/>
      <w:r/>
      <w:bookmarkStart w:id="45" w:name="_Toc45235155"/>
      <w:r>
        <w:rPr>
          <w:rFonts w:hint="eastAsia" w:ascii="宋体" w:hAnsi="宋体" w:eastAsia="宋体" w:cs="宋体"/>
          <w:bCs/>
          <w:color w:val="auto"/>
          <w:highlight w:val="none"/>
        </w:rPr>
        <w:t xml:space="preserve">1.采购人信息</w:t>
      </w:r>
      <w:bookmarkEnd w:id="37"/>
      <w:r/>
      <w:r/>
    </w:p>
    <w:p>
      <w:pPr>
        <w:pStyle w:val="1183"/>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 xml:space="preserve">名    称：</w:t>
      </w:r>
      <w:r>
        <w:rPr>
          <w:rFonts w:hint="eastAsia" w:hAnsi="宋体" w:cs="宋体"/>
          <w:bCs/>
          <w:color w:val="auto"/>
          <w:highlight w:val="none"/>
          <w:lang w:eastAsia="zh-CN"/>
        </w:rPr>
        <w:t xml:space="preserve">江苏常州天宁经济开发区管理委员会</w:t>
      </w:r>
      <w:r/>
    </w:p>
    <w:p>
      <w:pPr>
        <w:pStyle w:val="1183"/>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 xml:space="preserve">地    址：</w:t>
      </w:r>
      <w:r>
        <w:rPr>
          <w:rFonts w:hint="eastAsia" w:ascii="Times New Roman" w:hAnsi="Times New Roman" w:eastAsia="宋体" w:cs="Times New Roman"/>
          <w:color w:val="auto"/>
          <w:sz w:val="24"/>
          <w:szCs w:val="22"/>
          <w:highlight w:val="none"/>
          <w:lang w:val="en-US" w:eastAsia="zh-CN" w:bidi="ar"/>
        </w:rPr>
        <w:t xml:space="preserve">江苏省常州市天宁区河海东路9号</w:t>
      </w:r>
      <w:r/>
    </w:p>
    <w:p>
      <w:pPr>
        <w:pStyle w:val="1183"/>
        <w:spacing w:line="360" w:lineRule="auto"/>
        <w:rPr>
          <w:rFonts w:hint="eastAsia" w:ascii="宋体" w:hAnsi="宋体" w:cs="宋体"/>
          <w:color w:val="auto"/>
          <w:sz w:val="24"/>
          <w:highlight w:val="none"/>
          <w:u w:val="none"/>
          <w:lang w:val="en-US" w:eastAsia="zh-CN" w:bidi="ar"/>
        </w:rPr>
      </w:pPr>
      <w:r>
        <w:rPr>
          <w:rFonts w:hint="eastAsia" w:ascii="宋体" w:hAnsi="宋体" w:eastAsia="宋体" w:cs="宋体"/>
          <w:bCs/>
          <w:color w:val="auto"/>
          <w:highlight w:val="none"/>
        </w:rPr>
        <w:t xml:space="preserve">联 系 人：</w:t>
      </w:r>
      <w:r>
        <w:rPr>
          <w:rFonts w:hint="eastAsia" w:cs="Times New Roman"/>
          <w:color w:val="auto"/>
          <w:sz w:val="24"/>
          <w:highlight w:val="none"/>
          <w:u w:val="none"/>
          <w:lang w:val="en-US" w:eastAsia="zh-CN"/>
        </w:rPr>
        <w:t xml:space="preserve">刘先生</w:t>
      </w:r>
      <w:r>
        <w:rPr>
          <w:rFonts w:hint="eastAsia" w:ascii="宋体" w:hAnsi="宋体" w:cs="宋体"/>
          <w:color w:val="auto"/>
          <w:sz w:val="24"/>
          <w:highlight w:val="none"/>
          <w:u w:val="none"/>
          <w:lang w:val="en-US" w:eastAsia="zh-CN" w:bidi="ar"/>
        </w:rPr>
        <w:t xml:space="preserve"> </w:t>
      </w:r>
      <w:r/>
    </w:p>
    <w:p>
      <w:pPr>
        <w:pStyle w:val="1183"/>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 xml:space="preserve">联系方式：</w:t>
      </w:r>
      <w:r>
        <w:rPr>
          <w:rFonts w:hint="eastAsia" w:ascii="宋体" w:hAnsi="宋体" w:cs="宋体"/>
          <w:color w:val="auto"/>
          <w:sz w:val="24"/>
          <w:highlight w:val="none"/>
          <w:u w:val="none"/>
          <w:lang w:val="en-US" w:eastAsia="zh-CN" w:bidi="ar"/>
        </w:rPr>
        <w:t xml:space="preserve">0519-85500890</w:t>
      </w:r>
      <w:r/>
    </w:p>
    <w:p>
      <w:pPr>
        <w:pStyle w:val="1183"/>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2.采购代理机构信息</w:t>
      </w:r>
      <w:bookmarkEnd w:id="38"/>
      <w:r/>
      <w:bookmarkEnd w:id="39"/>
      <w:r/>
      <w:bookmarkEnd w:id="40"/>
      <w:r/>
      <w:bookmarkEnd w:id="41"/>
      <w:r/>
      <w:bookmarkEnd w:id="42"/>
      <w:r/>
      <w:bookmarkEnd w:id="43"/>
      <w:r/>
      <w:bookmarkEnd w:id="44"/>
      <w:r/>
      <w:bookmarkEnd w:id="45"/>
      <w:r/>
      <w:r/>
    </w:p>
    <w:p>
      <w:pPr>
        <w:pStyle w:val="1183"/>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 xml:space="preserve">名   称：</w:t>
      </w:r>
      <w:r>
        <w:rPr>
          <w:rFonts w:hint="eastAsia" w:hAnsi="宋体" w:cs="宋体"/>
          <w:bCs/>
          <w:color w:val="auto"/>
          <w:highlight w:val="none"/>
          <w:lang w:eastAsia="zh-CN"/>
        </w:rPr>
        <w:t xml:space="preserve">江苏正誉项目管理有限公司</w:t>
      </w:r>
      <w:r/>
    </w:p>
    <w:p>
      <w:pPr>
        <w:pStyle w:val="1183"/>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 xml:space="preserve">地　 址：</w:t>
      </w:r>
      <w:r>
        <w:rPr>
          <w:rFonts w:hint="eastAsia" w:hAnsi="宋体" w:cs="宋体"/>
          <w:bCs/>
          <w:color w:val="auto"/>
          <w:highlight w:val="none"/>
          <w:lang w:eastAsia="zh-CN"/>
        </w:rPr>
        <w:t xml:space="preserve">常州市新北区顺园路15号4楼</w:t>
      </w:r>
      <w:r/>
    </w:p>
    <w:p>
      <w:pPr>
        <w:pStyle w:val="1183"/>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 xml:space="preserve">联系方式：</w:t>
      </w:r>
      <w:r>
        <w:rPr>
          <w:rFonts w:hint="eastAsia" w:hAnsi="宋体" w:cs="宋体"/>
          <w:bCs/>
          <w:color w:val="auto"/>
          <w:highlight w:val="none"/>
          <w:lang w:eastAsia="zh-CN"/>
        </w:rPr>
        <w:t xml:space="preserve">15861135830</w:t>
      </w:r>
      <w:r/>
    </w:p>
    <w:p>
      <w:pPr>
        <w:pStyle w:val="1183"/>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邮   箱：</w:t>
      </w:r>
      <w:r>
        <w:rPr>
          <w:rFonts w:hint="eastAsia" w:hAnsi="宋体" w:cs="宋体"/>
          <w:bCs/>
          <w:color w:val="auto"/>
          <w:highlight w:val="none"/>
          <w:lang w:eastAsia="zh-CN"/>
        </w:rPr>
        <w:t xml:space="preserve">252541026@qq.com</w:t>
      </w:r>
      <w:r>
        <w:rPr>
          <w:rFonts w:hint="eastAsia" w:ascii="宋体" w:hAnsi="宋体" w:eastAsia="宋体" w:cs="宋体"/>
          <w:bCs/>
          <w:color w:val="auto"/>
          <w:highlight w:val="none"/>
        </w:rPr>
        <w:t xml:space="preserve">  　</w:t>
      </w:r>
      <w:r/>
    </w:p>
    <w:p>
      <w:pPr>
        <w:pStyle w:val="1183"/>
        <w:spacing w:line="360" w:lineRule="auto"/>
        <w:rPr>
          <w:rFonts w:hint="eastAsia" w:ascii="宋体" w:hAnsi="宋体" w:eastAsia="宋体" w:cs="宋体"/>
          <w:bCs/>
          <w:color w:val="auto"/>
          <w:highlight w:val="none"/>
        </w:rPr>
      </w:pPr>
      <w:r/>
      <w:bookmarkStart w:id="46" w:name="_Toc63761585"/>
      <w:r/>
      <w:bookmarkStart w:id="47" w:name="_Toc28359098"/>
      <w:r/>
      <w:bookmarkStart w:id="48" w:name="_Toc63761646"/>
      <w:r/>
      <w:bookmarkStart w:id="49" w:name="_Toc35393639"/>
      <w:r/>
      <w:bookmarkStart w:id="50" w:name="_Toc28359021"/>
      <w:r/>
      <w:bookmarkStart w:id="51" w:name="_Toc45235310"/>
      <w:r/>
      <w:bookmarkStart w:id="52" w:name="_Toc35393808"/>
      <w:r/>
      <w:bookmarkStart w:id="53" w:name="_Toc45235156"/>
      <w:r>
        <w:rPr>
          <w:rFonts w:hint="eastAsia" w:ascii="宋体" w:hAnsi="宋体" w:eastAsia="宋体" w:cs="宋体"/>
          <w:bCs/>
          <w:color w:val="auto"/>
          <w:highlight w:val="none"/>
        </w:rPr>
        <w:t xml:space="preserve">3.项目联系方式</w:t>
      </w:r>
      <w:bookmarkEnd w:id="46"/>
      <w:r/>
      <w:bookmarkEnd w:id="47"/>
      <w:r/>
      <w:bookmarkEnd w:id="48"/>
      <w:r/>
      <w:bookmarkEnd w:id="49"/>
      <w:r/>
      <w:bookmarkEnd w:id="50"/>
      <w:r/>
      <w:bookmarkEnd w:id="51"/>
      <w:r/>
      <w:bookmarkEnd w:id="52"/>
      <w:r/>
      <w:bookmarkEnd w:id="53"/>
      <w:r/>
      <w:r/>
    </w:p>
    <w:p>
      <w:pPr>
        <w:pStyle w:val="1183"/>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 xml:space="preserve">项目联系人：</w:t>
      </w:r>
      <w:r>
        <w:rPr>
          <w:rFonts w:hint="eastAsia" w:hAnsi="宋体" w:cs="宋体"/>
          <w:bCs/>
          <w:color w:val="auto"/>
          <w:highlight w:val="none"/>
          <w:lang w:eastAsia="zh-CN"/>
        </w:rPr>
        <w:t xml:space="preserve">赵工</w:t>
      </w:r>
      <w:r/>
    </w:p>
    <w:p>
      <w:pPr>
        <w:pStyle w:val="1183"/>
        <w:spacing w:line="360" w:lineRule="auto"/>
        <w:rPr>
          <w:rFonts w:hint="eastAsia" w:hAnsi="宋体" w:cs="宋体"/>
          <w:bCs/>
          <w:color w:val="auto"/>
          <w:highlight w:val="none"/>
          <w:lang w:eastAsia="zh-CN"/>
        </w:rPr>
      </w:pPr>
      <w:r>
        <w:rPr>
          <w:rFonts w:hint="eastAsia" w:ascii="宋体" w:hAnsi="宋体" w:eastAsia="宋体" w:cs="宋体"/>
          <w:bCs/>
          <w:color w:val="auto"/>
          <w:highlight w:val="none"/>
        </w:rPr>
        <w:t xml:space="preserve">电　 话：</w:t>
      </w:r>
      <w:r>
        <w:rPr>
          <w:rFonts w:hint="eastAsia" w:hAnsi="宋体" w:cs="宋体"/>
          <w:bCs/>
          <w:color w:val="auto"/>
          <w:highlight w:val="none"/>
          <w:lang w:eastAsia="zh-CN"/>
        </w:rPr>
        <w:t xml:space="preserve">15861135830</w:t>
      </w:r>
      <w:r/>
    </w:p>
    <w:p>
      <w:pPr>
        <w:pStyle w:val="1183"/>
        <w:spacing w:line="360" w:lineRule="auto"/>
        <w:rPr>
          <w:rFonts w:hint="eastAsia" w:hAnsi="宋体" w:cs="宋体"/>
          <w:bCs/>
          <w:color w:val="auto"/>
          <w:highlight w:val="none"/>
          <w:lang w:eastAsia="zh-CN"/>
        </w:rPr>
      </w:pPr>
      <w:r>
        <w:rPr>
          <w:rFonts w:hint="eastAsia" w:hAnsi="宋体" w:cs="宋体"/>
          <w:bCs/>
          <w:color w:val="auto"/>
          <w:highlight w:val="none"/>
          <w:lang w:eastAsia="zh-CN"/>
        </w:rPr>
        <w:t xml:space="preserve">注:上述个人信息由于工作需要经机构或本人同意对外公布。</w:t>
      </w:r>
      <w:r/>
    </w:p>
    <w:p>
      <w:pPr>
        <w:ind w:firstLine="58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color w:val="auto"/>
          <w:sz w:val="24"/>
          <w:highlight w:val="none"/>
        </w:rPr>
        <w:br w:type="page" w:clear="all"/>
      </w:r>
      <w:bookmarkStart w:id="54" w:name="_Toc264969275"/>
      <w:r/>
      <w:bookmarkStart w:id="55" w:name="_Toc195842950"/>
      <w:r/>
      <w:bookmarkStart w:id="56" w:name="_Toc99301420"/>
      <w:r/>
      <w:bookmarkStart w:id="57" w:name="_Toc127161488"/>
      <w:r/>
      <w:bookmarkStart w:id="58" w:name="_Toc305158928"/>
      <w:r/>
      <w:bookmarkStart w:id="59" w:name="_Toc265228423"/>
      <w:r/>
      <w:bookmarkStart w:id="60" w:name="_Toc353873938"/>
      <w:r/>
      <w:bookmarkStart w:id="61" w:name="_Toc226965856"/>
      <w:r/>
      <w:bookmarkStart w:id="62" w:name="_Toc150774783"/>
      <w:r/>
      <w:bookmarkStart w:id="63" w:name="_Toc305158854"/>
      <w:r/>
      <w:bookmarkStart w:id="64" w:name="_Toc512937850"/>
      <w:r/>
      <w:bookmarkStart w:id="65" w:name="_Toc127151777"/>
      <w:r/>
      <w:bookmarkStart w:id="66" w:name="_Toc353825548"/>
      <w:r>
        <w:rPr>
          <w:rFonts w:hint="eastAsia" w:ascii="宋体" w:hAnsi="宋体" w:eastAsia="宋体" w:cs="宋体"/>
          <w:b/>
          <w:color w:val="auto"/>
          <w:sz w:val="36"/>
          <w:szCs w:val="36"/>
          <w:highlight w:val="none"/>
        </w:rPr>
        <w:t xml:space="preserve">第二章   投标人须知</w:t>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r/>
    </w:p>
    <w:p>
      <w:pPr>
        <w:pStyle w:val="1145"/>
        <w:spacing w:before="0" w:line="240" w:lineRule="auto"/>
        <w:tabs>
          <w:tab w:val="center" w:pos="4592" w:leader="none"/>
          <w:tab w:val="left" w:pos="7860" w:leader="none"/>
        </w:tabs>
        <w:rPr>
          <w:rFonts w:hint="eastAsia" w:ascii="宋体" w:hAnsi="宋体" w:eastAsia="宋体" w:cs="宋体"/>
          <w:color w:val="auto"/>
          <w:sz w:val="28"/>
          <w:highlight w:val="none"/>
        </w:rPr>
      </w:pPr>
      <w:r/>
      <w:bookmarkStart w:id="67" w:name="_Toc164229214"/>
      <w:r/>
      <w:bookmarkStart w:id="68" w:name="_Toc520356144"/>
      <w:r/>
      <w:bookmarkStart w:id="69" w:name="_Toc151190146"/>
      <w:r/>
      <w:bookmarkStart w:id="70" w:name="_Toc149720812"/>
      <w:r/>
      <w:bookmarkStart w:id="71" w:name="_Toc151193907"/>
      <w:r/>
      <w:bookmarkStart w:id="72" w:name="_Toc127151519"/>
      <w:r/>
      <w:bookmarkStart w:id="73" w:name="_Toc150509270"/>
      <w:r/>
      <w:bookmarkStart w:id="74" w:name="_Toc142311021"/>
      <w:r/>
      <w:bookmarkStart w:id="75" w:name="_Toc164229360"/>
      <w:r/>
      <w:bookmarkStart w:id="76" w:name="_Toc150774724"/>
      <w:r/>
      <w:bookmarkStart w:id="77" w:name="_Toc127161433"/>
      <w:r/>
      <w:bookmarkStart w:id="78" w:name="_Toc151193761"/>
      <w:r/>
      <w:bookmarkStart w:id="79" w:name="_Toc164608788"/>
      <w:r/>
      <w:bookmarkStart w:id="80" w:name="_Toc164351613"/>
      <w:r/>
      <w:bookmarkStart w:id="81" w:name="_Toc226965709"/>
      <w:r/>
      <w:bookmarkStart w:id="82" w:name="_Toc150480757"/>
      <w:r/>
      <w:bookmarkStart w:id="83" w:name="_Toc195842884"/>
      <w:r/>
      <w:bookmarkStart w:id="84" w:name="_Toc151193617"/>
      <w:r/>
      <w:bookmarkStart w:id="85" w:name="_Toc151193833"/>
      <w:r/>
      <w:bookmarkStart w:id="86" w:name="_Toc151193689"/>
      <w:r/>
      <w:bookmarkStart w:id="87" w:name="_Toc150774619"/>
      <w:r/>
      <w:bookmarkStart w:id="88" w:name="_Toc226309763"/>
      <w:r/>
      <w:bookmarkStart w:id="89" w:name="_Toc226965792"/>
      <w:r/>
      <w:bookmarkStart w:id="90" w:name="_Toc164608633"/>
      <w:r/>
      <w:bookmarkStart w:id="91" w:name="_Toc127151720"/>
      <w:r/>
      <w:bookmarkStart w:id="92" w:name="_Toc226337215"/>
      <w:r>
        <w:rPr>
          <w:rFonts w:hint="eastAsia" w:ascii="宋体" w:hAnsi="宋体" w:eastAsia="宋体" w:cs="宋体"/>
          <w:color w:val="auto"/>
          <w:sz w:val="28"/>
          <w:highlight w:val="none"/>
        </w:rPr>
        <w:t xml:space="preserve">投标人须知资料表</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本表是对投标人须知的具体补充和修改，如有矛盾，均以本资料表为准。</w:t>
      </w:r>
      <w:r/>
    </w:p>
    <w:tbl>
      <w:tblPr>
        <w:tblStyle w:val="971"/>
        <w:tblW w:w="98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179"/>
      </w:tblGrid>
      <w:tr>
        <w:trPr>
          <w:jc w:val="center"/>
          <w:trHeight w:val="594"/>
          <w:tblHeader/>
        </w:trPr>
        <w:tc>
          <w:tcPr>
            <w:tcW w:w="988" w:type="dxa"/>
            <w:vAlign w:val="center"/>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color w:val="auto"/>
                <w:sz w:val="22"/>
                <w:szCs w:val="22"/>
                <w:highlight w:val="none"/>
              </w:rPr>
              <w:t xml:space="preserve">条款号</w:t>
            </w:r>
            <w:r/>
          </w:p>
        </w:tc>
        <w:tc>
          <w:tcPr>
            <w:tcW w:w="1701" w:type="dxa"/>
            <w:vAlign w:val="center"/>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条目</w:t>
            </w:r>
            <w:r/>
          </w:p>
        </w:tc>
        <w:tc>
          <w:tcPr>
            <w:tcW w:w="7179" w:type="dxa"/>
            <w:vAlign w:val="center"/>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内容</w:t>
            </w:r>
            <w:r/>
          </w:p>
        </w:tc>
      </w:tr>
      <w:tr>
        <w:trPr>
          <w:jc w:val="center"/>
          <w:trHeight w:val="510"/>
        </w:trPr>
        <w:tc>
          <w:tcPr>
            <w:tcW w:w="988" w:type="dxa"/>
            <w:vAlign w:val="center"/>
            <w:textDirection w:val="lrTb"/>
            <w:noWrap w:val="false"/>
          </w:tcPr>
          <w:p>
            <w:pPr>
              <w:pStyle w:val="1182"/>
              <w:jc w:val="center"/>
              <w:rPr>
                <w:rFonts w:hint="eastAsia" w:ascii="宋体" w:hAnsi="宋体" w:eastAsia="宋体" w:cs="宋体"/>
                <w:color w:val="auto"/>
                <w:sz w:val="22"/>
                <w:szCs w:val="22"/>
                <w:highlight w:val="none"/>
                <w:lang w:eastAsia="zh-CN"/>
              </w:rPr>
            </w:pPr>
            <w:r>
              <w:rPr>
                <w:rFonts w:hint="eastAsia" w:hAnsi="宋体" w:cs="宋体"/>
                <w:color w:val="auto"/>
                <w:sz w:val="22"/>
                <w:szCs w:val="22"/>
                <w:highlight w:val="none"/>
                <w:lang w:val="en-US" w:eastAsia="zh-CN"/>
              </w:rPr>
              <w:t xml:space="preserve">1</w:t>
            </w:r>
            <w:r/>
          </w:p>
        </w:tc>
        <w:tc>
          <w:tcPr>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项目属性</w:t>
            </w:r>
            <w:r/>
          </w:p>
        </w:tc>
        <w:tc>
          <w:tcPr>
            <w:tcW w:w="7179" w:type="dxa"/>
            <w:vAlign w:val="center"/>
            <w:textDirection w:val="lrTb"/>
            <w:noWrap w:val="false"/>
          </w:tcPr>
          <w:p>
            <w:pPr>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项目属性：服务</w:t>
            </w:r>
            <w:r/>
          </w:p>
        </w:tc>
      </w:tr>
      <w:tr>
        <w:trPr>
          <w:jc w:val="center"/>
          <w:trHeight w:val="510"/>
        </w:trPr>
        <w:tc>
          <w:tcPr>
            <w:tcW w:w="988" w:type="dxa"/>
            <w:vAlign w:val="center"/>
            <w:textDirection w:val="lrTb"/>
            <w:noWrap w:val="false"/>
          </w:tcPr>
          <w:p>
            <w:pPr>
              <w:pStyle w:val="1182"/>
              <w:jc w:val="center"/>
              <w:rPr>
                <w:rFonts w:hint="eastAsia" w:ascii="宋体" w:hAnsi="宋体" w:eastAsia="宋体" w:cs="宋体"/>
                <w:color w:val="auto"/>
                <w:sz w:val="22"/>
                <w:szCs w:val="22"/>
                <w:highlight w:val="none"/>
                <w:lang w:eastAsia="zh-CN"/>
              </w:rPr>
            </w:pPr>
            <w:r>
              <w:rPr>
                <w:rFonts w:hint="eastAsia" w:hAnsi="宋体" w:cs="宋体"/>
                <w:color w:val="auto"/>
                <w:sz w:val="22"/>
                <w:szCs w:val="22"/>
                <w:highlight w:val="none"/>
                <w:lang w:val="en-US" w:eastAsia="zh-CN"/>
              </w:rPr>
              <w:t xml:space="preserve">2</w:t>
            </w:r>
            <w:r/>
          </w:p>
        </w:tc>
        <w:tc>
          <w:tcPr>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科研仪器设备</w:t>
            </w:r>
            <w:r/>
          </w:p>
        </w:tc>
        <w:tc>
          <w:tcPr>
            <w:tcW w:w="7179" w:type="dxa"/>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是否属于科研仪器设备采购项目：否</w:t>
            </w:r>
            <w:r/>
          </w:p>
        </w:tc>
      </w:tr>
      <w:tr>
        <w:trPr>
          <w:jc w:val="center"/>
          <w:trHeight w:val="510"/>
        </w:trPr>
        <w:tc>
          <w:tcPr>
            <w:tcW w:w="988" w:type="dxa"/>
            <w:vAlign w:val="center"/>
            <w:textDirection w:val="lrTb"/>
            <w:noWrap w:val="false"/>
          </w:tcPr>
          <w:p>
            <w:pPr>
              <w:pStyle w:val="1182"/>
              <w:jc w:val="center"/>
              <w:rPr>
                <w:rFonts w:hint="eastAsia" w:ascii="宋体" w:hAnsi="宋体" w:eastAsia="宋体" w:cs="宋体"/>
                <w:color w:val="auto"/>
                <w:szCs w:val="21"/>
                <w:highlight w:val="none"/>
                <w:lang w:eastAsia="zh-CN"/>
              </w:rPr>
            </w:pPr>
            <w:r>
              <w:rPr>
                <w:rFonts w:hint="eastAsia" w:hAnsi="宋体" w:cs="宋体"/>
                <w:color w:val="auto"/>
                <w:szCs w:val="21"/>
                <w:highlight w:val="none"/>
                <w:lang w:val="en-US" w:eastAsia="zh-CN"/>
              </w:rPr>
              <w:t xml:space="preserve">3</w:t>
            </w:r>
            <w:r/>
          </w:p>
        </w:tc>
        <w:tc>
          <w:tcPr>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核心产品</w:t>
            </w:r>
            <w:r/>
          </w:p>
        </w:tc>
        <w:tc>
          <w:tcPr>
            <w:tcW w:w="7179" w:type="dxa"/>
            <w:vAlign w:val="center"/>
            <w:textDirection w:val="lrTb"/>
            <w:noWrap w:val="false"/>
          </w:tcPr>
          <w:p>
            <w:pPr>
              <w:pStyle w:val="118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r>
      <w:tr>
        <w:trPr>
          <w:jc w:val="center"/>
          <w:trHeight w:val="510"/>
        </w:trPr>
        <w:tc>
          <w:tcPr>
            <w:tcW w:w="988" w:type="dxa"/>
            <w:vAlign w:val="center"/>
            <w:vMerge w:val="restart"/>
            <w:textDirection w:val="lrTb"/>
            <w:noWrap w:val="false"/>
          </w:tcPr>
          <w:p>
            <w:pPr>
              <w:pStyle w:val="1182"/>
              <w:jc w:val="center"/>
              <w:rPr>
                <w:rFonts w:hint="eastAsia" w:ascii="宋体" w:hAnsi="宋体" w:eastAsia="宋体" w:cs="宋体"/>
                <w:color w:val="auto"/>
                <w:sz w:val="22"/>
                <w:szCs w:val="22"/>
                <w:highlight w:val="none"/>
                <w:lang w:eastAsia="zh-CN"/>
              </w:rPr>
            </w:pPr>
            <w:r>
              <w:rPr>
                <w:rFonts w:hint="eastAsia" w:hAnsi="宋体" w:cs="宋体"/>
                <w:color w:val="auto"/>
                <w:sz w:val="22"/>
                <w:szCs w:val="22"/>
                <w:highlight w:val="none"/>
                <w:lang w:val="en-US" w:eastAsia="zh-CN"/>
              </w:rPr>
              <w:t xml:space="preserve">4</w:t>
            </w:r>
            <w:r/>
          </w:p>
        </w:tc>
        <w:tc>
          <w:tcPr>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现场考察</w:t>
            </w:r>
            <w:r/>
          </w:p>
        </w:tc>
        <w:tc>
          <w:tcPr>
            <w:tcW w:w="7179" w:type="dxa"/>
            <w:vAlign w:val="center"/>
            <w:textDirection w:val="lrTb"/>
            <w:noWrap w:val="false"/>
          </w:tcPr>
          <w:p>
            <w:pPr>
              <w:jc w:val="left"/>
              <w:spacing w:line="3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w:t>
            </w:r>
            <w:r>
              <w:rPr>
                <w:rFonts w:ascii="Times New Roman" w:hAnsi="Times New Roman" w:eastAsia="宋体" w:cs="Times New Roman"/>
                <w:color w:val="auto"/>
                <w:sz w:val="24"/>
                <w:szCs w:val="22"/>
                <w:highlight w:val="none"/>
              </w:rPr>
              <w:t xml:space="preserve">不组织</w:t>
            </w:r>
            <w:r/>
          </w:p>
          <w:p>
            <w:pPr>
              <w:jc w:val="left"/>
              <w:rPr>
                <w:rFonts w:hint="eastAsia" w:ascii="宋体" w:hAnsi="宋体" w:eastAsia="宋体" w:cs="宋体"/>
                <w:color w:val="auto"/>
                <w:sz w:val="22"/>
                <w:szCs w:val="22"/>
                <w:highlight w:val="none"/>
              </w:rPr>
            </w:pPr>
            <w:r>
              <w:rPr>
                <w:rFonts w:hint="eastAsia" w:ascii="Times New Roman" w:hAnsi="Times New Roman" w:eastAsia="宋体" w:cs="Times New Roman"/>
                <w:color w:val="auto"/>
                <w:sz w:val="24"/>
                <w:szCs w:val="22"/>
                <w:highlight w:val="none"/>
              </w:rPr>
              <w:t xml:space="preserve">□</w:t>
            </w:r>
            <w:r>
              <w:rPr>
                <w:rFonts w:ascii="Times New Roman" w:hAnsi="Times New Roman" w:eastAsia="宋体" w:cs="Times New Roman"/>
                <w:color w:val="auto"/>
                <w:sz w:val="24"/>
                <w:szCs w:val="22"/>
                <w:highlight w:val="none"/>
              </w:rPr>
              <w:t xml:space="preserve">组织</w:t>
            </w:r>
            <w:r>
              <w:rPr>
                <w:rFonts w:hint="eastAsia" w:ascii="Times New Roman" w:hAnsi="Times New Roman" w:eastAsia="宋体" w:cs="Times New Roman"/>
                <w:color w:val="auto"/>
                <w:sz w:val="24"/>
                <w:szCs w:val="22"/>
                <w:highlight w:val="none"/>
              </w:rPr>
              <w:t xml:space="preserve">（</w:t>
            </w:r>
            <w:r>
              <w:rPr>
                <w:rFonts w:ascii="Times New Roman" w:hAnsi="Times New Roman" w:eastAsia="宋体" w:cs="Times New Roman"/>
                <w:color w:val="auto"/>
                <w:sz w:val="24"/>
                <w:szCs w:val="22"/>
                <w:highlight w:val="none"/>
              </w:rPr>
              <w:t xml:space="preserve">考察时间：__年_月_日_</w:t>
            </w:r>
            <w:r>
              <w:rPr>
                <w:rFonts w:hint="eastAsia" w:ascii="Times New Roman" w:hAnsi="Times New Roman" w:eastAsia="宋体" w:cs="Times New Roman"/>
                <w:color w:val="auto"/>
                <w:sz w:val="24"/>
                <w:szCs w:val="22"/>
                <w:highlight w:val="none"/>
              </w:rPr>
              <w:t xml:space="preserve">时</w:t>
            </w:r>
            <w:r>
              <w:rPr>
                <w:rFonts w:ascii="Times New Roman" w:hAnsi="Times New Roman" w:eastAsia="宋体" w:cs="Times New Roman"/>
                <w:color w:val="auto"/>
                <w:sz w:val="24"/>
                <w:szCs w:val="22"/>
                <w:highlight w:val="none"/>
              </w:rPr>
              <w:t xml:space="preserve">_</w:t>
            </w:r>
            <w:r>
              <w:rPr>
                <w:rFonts w:ascii="Times New Roman" w:hAnsi="Times New Roman" w:eastAsia="宋体" w:cs="Times New Roman"/>
                <w:bCs/>
                <w:color w:val="auto"/>
                <w:sz w:val="24"/>
                <w:szCs w:val="22"/>
                <w:highlight w:val="none"/>
              </w:rPr>
              <w:t xml:space="preserve">分</w:t>
            </w:r>
            <w:r>
              <w:rPr>
                <w:rFonts w:hint="eastAsia" w:ascii="Times New Roman" w:hAnsi="Times New Roman" w:eastAsia="宋体" w:cs="Times New Roman"/>
                <w:bCs/>
                <w:color w:val="auto"/>
                <w:sz w:val="24"/>
                <w:szCs w:val="22"/>
                <w:highlight w:val="none"/>
              </w:rPr>
              <w:t xml:space="preserve">，</w:t>
            </w:r>
            <w:r>
              <w:rPr>
                <w:rFonts w:ascii="Times New Roman" w:hAnsi="Times New Roman" w:eastAsia="宋体" w:cs="Times New Roman"/>
                <w:color w:val="auto"/>
                <w:sz w:val="24"/>
                <w:szCs w:val="22"/>
                <w:highlight w:val="none"/>
              </w:rPr>
              <w:t xml:space="preserve">考察地点：____________。</w:t>
            </w:r>
            <w:r>
              <w:rPr>
                <w:rFonts w:hint="eastAsia" w:ascii="Times New Roman" w:hAnsi="Times New Roman" w:eastAsia="宋体" w:cs="Times New Roman"/>
                <w:color w:val="auto"/>
                <w:sz w:val="24"/>
                <w:szCs w:val="22"/>
                <w:highlight w:val="none"/>
              </w:rPr>
              <w:t xml:space="preserve">）</w:t>
            </w:r>
            <w:r/>
          </w:p>
        </w:tc>
      </w:tr>
      <w:tr>
        <w:trPr>
          <w:jc w:val="center"/>
          <w:trHeight w:val="510"/>
        </w:trPr>
        <w:tc>
          <w:tcPr>
            <w:tcW w:w="988" w:type="dxa"/>
            <w:vAlign w:val="center"/>
            <w:vMerge w:val="continue"/>
            <w:textDirection w:val="lrTb"/>
            <w:noWrap w:val="false"/>
          </w:tcPr>
          <w:p>
            <w:pPr>
              <w:pStyle w:val="1182"/>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开标前答疑会</w:t>
            </w:r>
            <w:r/>
          </w:p>
        </w:tc>
        <w:tc>
          <w:tcPr>
            <w:tcW w:w="7179" w:type="dxa"/>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不召开</w:t>
            </w:r>
            <w:r/>
          </w:p>
        </w:tc>
      </w:tr>
      <w:tr>
        <w:trPr>
          <w:jc w:val="center"/>
          <w:trHeight w:val="510"/>
        </w:trPr>
        <w:tc>
          <w:tcPr>
            <w:tcW w:w="988" w:type="dxa"/>
            <w:vAlign w:val="center"/>
            <w:textDirection w:val="lrTb"/>
            <w:noWrap w:val="false"/>
          </w:tcPr>
          <w:p>
            <w:pPr>
              <w:pStyle w:val="1182"/>
              <w:jc w:val="center"/>
              <w:rPr>
                <w:rFonts w:hint="eastAsia" w:ascii="宋体" w:hAnsi="宋体" w:eastAsia="宋体" w:cs="宋体"/>
                <w:color w:val="auto"/>
                <w:sz w:val="22"/>
                <w:szCs w:val="22"/>
                <w:highlight w:val="none"/>
                <w:lang w:eastAsia="zh-CN"/>
              </w:rPr>
            </w:pPr>
            <w:r>
              <w:rPr>
                <w:rFonts w:hint="eastAsia" w:hAnsi="宋体" w:cs="宋体"/>
                <w:color w:val="auto"/>
                <w:sz w:val="22"/>
                <w:szCs w:val="22"/>
                <w:highlight w:val="none"/>
                <w:lang w:val="en-US" w:eastAsia="zh-CN"/>
              </w:rPr>
              <w:t xml:space="preserve">5</w:t>
            </w:r>
            <w:r/>
          </w:p>
        </w:tc>
        <w:tc>
          <w:tcPr>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标的所属行业</w:t>
            </w:r>
            <w:r/>
          </w:p>
        </w:tc>
        <w:tc>
          <w:tcPr>
            <w:tcW w:w="7179" w:type="dxa"/>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本项目采购标的对应的中小企业划分标准所属行业：</w:t>
            </w:r>
            <w:r>
              <w:rPr>
                <w:rFonts w:hint="eastAsia" w:ascii="宋体" w:hAnsi="宋体" w:eastAsia="宋体" w:cs="宋体"/>
                <w:b/>
                <w:bCs/>
                <w:color w:val="auto"/>
                <w:sz w:val="22"/>
                <w:szCs w:val="22"/>
                <w:highlight w:val="none"/>
                <w:u w:val="single"/>
              </w:rPr>
              <w:t xml:space="preserve">其他未列明行业</w:t>
            </w:r>
            <w:r>
              <w:rPr>
                <w:rFonts w:hint="eastAsia" w:ascii="宋体" w:hAnsi="宋体" w:eastAsia="宋体" w:cs="宋体"/>
                <w:b/>
                <w:bCs/>
                <w:color w:val="auto"/>
                <w:sz w:val="22"/>
                <w:szCs w:val="22"/>
                <w:highlight w:val="none"/>
              </w:rPr>
              <w:t xml:space="preserve">。</w:t>
            </w:r>
            <w:r/>
          </w:p>
        </w:tc>
      </w:tr>
      <w:tr>
        <w:trPr>
          <w:jc w:val="center"/>
          <w:trHeight w:val="510"/>
        </w:trPr>
        <w:tc>
          <w:tcPr>
            <w:tcW w:w="988" w:type="dxa"/>
            <w:vAlign w:val="center"/>
            <w:textDirection w:val="lrTb"/>
            <w:noWrap w:val="false"/>
          </w:tcPr>
          <w:p>
            <w:pPr>
              <w:pStyle w:val="1182"/>
              <w:jc w:val="center"/>
              <w:rPr>
                <w:rFonts w:hint="eastAsia" w:ascii="宋体" w:hAnsi="宋体" w:eastAsia="宋体" w:cs="宋体"/>
                <w:color w:val="auto"/>
                <w:sz w:val="22"/>
                <w:szCs w:val="22"/>
                <w:highlight w:val="none"/>
                <w:lang w:eastAsia="zh-CN"/>
              </w:rPr>
            </w:pPr>
            <w:r>
              <w:rPr>
                <w:rFonts w:hint="eastAsia" w:hAnsi="宋体" w:cs="宋体"/>
                <w:color w:val="auto"/>
                <w:sz w:val="22"/>
                <w:szCs w:val="22"/>
                <w:highlight w:val="none"/>
                <w:lang w:val="en-US" w:eastAsia="zh-CN"/>
              </w:rPr>
              <w:t xml:space="preserve">6</w:t>
            </w:r>
            <w:r/>
          </w:p>
        </w:tc>
        <w:tc>
          <w:tcPr>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投标报价</w:t>
            </w:r>
            <w:r/>
          </w:p>
        </w:tc>
        <w:tc>
          <w:tcPr>
            <w:tcW w:w="7179" w:type="dxa"/>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投标报价的特殊规定：无</w:t>
            </w:r>
            <w:r/>
          </w:p>
        </w:tc>
      </w:tr>
      <w:tr>
        <w:trPr>
          <w:jc w:val="center"/>
          <w:trHeight w:val="510"/>
        </w:trPr>
        <w:tc>
          <w:tcPr>
            <w:tcW w:w="988" w:type="dxa"/>
            <w:vAlign w:val="center"/>
            <w:textDirection w:val="lrTb"/>
            <w:noWrap w:val="false"/>
          </w:tcPr>
          <w:p>
            <w:pPr>
              <w:pStyle w:val="1182"/>
              <w:jc w:val="center"/>
              <w:rPr>
                <w:rFonts w:hint="eastAsia" w:ascii="宋体" w:hAnsi="宋体" w:eastAsia="宋体" w:cs="宋体"/>
                <w:color w:val="auto"/>
                <w:sz w:val="22"/>
                <w:szCs w:val="22"/>
                <w:highlight w:val="none"/>
                <w:lang w:eastAsia="zh-CN"/>
              </w:rPr>
            </w:pPr>
            <w:r>
              <w:rPr>
                <w:rFonts w:hint="eastAsia" w:hAnsi="宋体" w:cs="宋体"/>
                <w:color w:val="auto"/>
                <w:sz w:val="22"/>
                <w:szCs w:val="22"/>
                <w:highlight w:val="none"/>
                <w:lang w:val="en-US" w:eastAsia="zh-CN"/>
              </w:rPr>
              <w:t xml:space="preserve">7</w:t>
            </w:r>
            <w:r/>
          </w:p>
        </w:tc>
        <w:tc>
          <w:tcPr>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投标保证金</w:t>
            </w:r>
            <w:r/>
          </w:p>
        </w:tc>
        <w:tc>
          <w:tcPr>
            <w:tcW w:w="7179" w:type="dxa"/>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免收</w:t>
            </w:r>
            <w:r/>
          </w:p>
        </w:tc>
      </w:tr>
      <w:tr>
        <w:trPr>
          <w:jc w:val="center"/>
          <w:trHeight w:val="510"/>
        </w:trPr>
        <w:tc>
          <w:tcPr>
            <w:tcW w:w="988" w:type="dxa"/>
            <w:vAlign w:val="center"/>
            <w:textDirection w:val="lrTb"/>
            <w:noWrap w:val="false"/>
          </w:tcPr>
          <w:p>
            <w:pPr>
              <w:pStyle w:val="1182"/>
              <w:jc w:val="center"/>
              <w:rPr>
                <w:rFonts w:hint="eastAsia" w:ascii="宋体" w:hAnsi="宋体" w:eastAsia="宋体" w:cs="宋体"/>
                <w:color w:val="auto"/>
                <w:sz w:val="22"/>
                <w:szCs w:val="22"/>
                <w:highlight w:val="none"/>
                <w:lang w:eastAsia="zh-CN"/>
              </w:rPr>
            </w:pPr>
            <w:r>
              <w:rPr>
                <w:rFonts w:hint="eastAsia" w:hAnsi="宋体" w:cs="宋体"/>
                <w:color w:val="auto"/>
                <w:sz w:val="22"/>
                <w:szCs w:val="22"/>
                <w:highlight w:val="none"/>
                <w:lang w:val="en-US" w:eastAsia="zh-CN"/>
              </w:rPr>
              <w:t xml:space="preserve">8</w:t>
            </w:r>
            <w:r/>
          </w:p>
        </w:tc>
        <w:tc>
          <w:tcPr>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投标有效期</w:t>
            </w:r>
            <w:r/>
          </w:p>
        </w:tc>
        <w:tc>
          <w:tcPr>
            <w:tcW w:w="7179" w:type="dxa"/>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自提交投标文件的截止之日起算</w:t>
            </w:r>
            <w:r>
              <w:rPr>
                <w:rFonts w:hint="eastAsia" w:ascii="宋体" w:hAnsi="宋体" w:cs="宋体"/>
                <w:color w:val="auto"/>
                <w:sz w:val="22"/>
                <w:szCs w:val="22"/>
                <w:highlight w:val="none"/>
                <w:u w:val="single"/>
                <w:lang w:val="en-US" w:eastAsia="zh-CN"/>
              </w:rPr>
              <w:t xml:space="preserve">60</w:t>
            </w:r>
            <w:r>
              <w:rPr>
                <w:rFonts w:hint="eastAsia" w:ascii="宋体" w:hAnsi="宋体" w:eastAsia="宋体" w:cs="宋体"/>
                <w:color w:val="auto"/>
                <w:sz w:val="22"/>
                <w:szCs w:val="22"/>
                <w:highlight w:val="none"/>
              </w:rPr>
              <w:t xml:space="preserve">日历天。</w:t>
            </w:r>
            <w:r/>
          </w:p>
        </w:tc>
      </w:tr>
      <w:tr>
        <w:trPr>
          <w:jc w:val="center"/>
          <w:trHeight w:val="510"/>
        </w:trPr>
        <w:tc>
          <w:tcPr>
            <w:tcW w:w="988" w:type="dxa"/>
            <w:vAlign w:val="center"/>
            <w:textDirection w:val="lrTb"/>
            <w:noWrap w:val="false"/>
          </w:tcPr>
          <w:p>
            <w:pPr>
              <w:pStyle w:val="1182"/>
              <w:jc w:val="center"/>
              <w:rPr>
                <w:rFonts w:hint="eastAsia" w:ascii="宋体" w:hAnsi="宋体" w:eastAsia="宋体" w:cs="宋体"/>
                <w:color w:val="auto"/>
                <w:sz w:val="22"/>
                <w:szCs w:val="22"/>
                <w:highlight w:val="none"/>
                <w:lang w:eastAsia="zh-CN"/>
              </w:rPr>
            </w:pPr>
            <w:r>
              <w:rPr>
                <w:rFonts w:hint="eastAsia" w:hAnsi="宋体" w:cs="宋体"/>
                <w:color w:val="auto"/>
                <w:sz w:val="22"/>
                <w:szCs w:val="22"/>
                <w:highlight w:val="none"/>
                <w:lang w:val="en-US" w:eastAsia="zh-CN"/>
              </w:rPr>
              <w:t xml:space="preserve">9</w:t>
            </w:r>
            <w:r/>
          </w:p>
        </w:tc>
        <w:tc>
          <w:tcPr>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分包</w:t>
            </w:r>
            <w:r/>
          </w:p>
        </w:tc>
        <w:tc>
          <w:tcPr>
            <w:tcW w:w="7179" w:type="dxa"/>
            <w:vAlign w:val="center"/>
            <w:textDirection w:val="lrTb"/>
            <w:noWrap w:val="false"/>
          </w:tcPr>
          <w:p>
            <w:pPr>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本项目的非主体、非关键性工作是否允许分包： 不允许</w:t>
            </w:r>
            <w:r/>
          </w:p>
        </w:tc>
      </w:tr>
      <w:tr>
        <w:trPr>
          <w:jc w:val="center"/>
          <w:trHeight w:val="984"/>
        </w:trPr>
        <w:tc>
          <w:tcPr>
            <w:tcW w:w="988" w:type="dxa"/>
            <w:vAlign w:val="center"/>
            <w:textDirection w:val="lrTb"/>
            <w:noWrap w:val="false"/>
          </w:tcPr>
          <w:p>
            <w:pPr>
              <w:pStyle w:val="1182"/>
              <w:jc w:val="center"/>
              <w:rPr>
                <w:rFonts w:hint="default" w:ascii="宋体" w:hAnsi="宋体" w:eastAsia="宋体" w:cs="宋体"/>
                <w:color w:val="auto"/>
                <w:sz w:val="22"/>
                <w:szCs w:val="22"/>
                <w:highlight w:val="none"/>
                <w:lang w:val="en-US" w:eastAsia="zh-CN"/>
              </w:rPr>
            </w:pPr>
            <w:r>
              <w:rPr>
                <w:rFonts w:hint="eastAsia" w:hAnsi="宋体" w:cs="宋体"/>
                <w:color w:val="auto"/>
                <w:sz w:val="22"/>
                <w:szCs w:val="22"/>
                <w:highlight w:val="none"/>
                <w:lang w:val="en-US" w:eastAsia="zh-CN"/>
              </w:rPr>
              <w:t xml:space="preserve">10</w:t>
            </w:r>
            <w:r/>
          </w:p>
        </w:tc>
        <w:tc>
          <w:tcPr>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询问</w:t>
            </w:r>
            <w:r/>
          </w:p>
        </w:tc>
        <w:tc>
          <w:tcPr>
            <w:tcW w:w="7179" w:type="dxa"/>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询问送达形式：于202</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年</w:t>
            </w:r>
            <w:r>
              <w:rPr>
                <w:rFonts w:hint="eastAsia" w:ascii="宋体" w:hAnsi="宋体" w:cs="宋体"/>
                <w:color w:val="auto"/>
                <w:sz w:val="22"/>
                <w:szCs w:val="22"/>
                <w:highlight w:val="none"/>
                <w:lang w:val="en-US" w:eastAsia="zh-CN"/>
              </w:rPr>
              <w:t xml:space="preserve">11</w:t>
            </w:r>
            <w:r>
              <w:rPr>
                <w:rFonts w:hint="eastAsia" w:ascii="宋体" w:hAnsi="宋体" w:eastAsia="宋体" w:cs="宋体"/>
                <w:color w:val="auto"/>
                <w:sz w:val="22"/>
                <w:szCs w:val="22"/>
                <w:highlight w:val="none"/>
              </w:rPr>
              <w:t xml:space="preserve">月</w:t>
            </w:r>
            <w:r>
              <w:rPr>
                <w:rFonts w:hint="eastAsia" w:ascii="宋体" w:hAnsi="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日1</w:t>
            </w:r>
            <w:r>
              <w:rPr>
                <w:rFonts w:hint="eastAsia" w:ascii="宋体" w:hAnsi="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:00（北京时间）前以书面形式递交至</w:t>
            </w:r>
            <w:r>
              <w:rPr>
                <w:rFonts w:hint="eastAsia" w:ascii="宋体" w:hAnsi="宋体" w:cs="宋体"/>
                <w:color w:val="auto"/>
                <w:sz w:val="22"/>
                <w:szCs w:val="22"/>
                <w:highlight w:val="none"/>
                <w:lang w:val="en-US" w:eastAsia="zh-CN"/>
              </w:rPr>
              <w:t xml:space="preserve">江苏正誉项目管理有限公司</w:t>
            </w:r>
            <w:r>
              <w:rPr>
                <w:rFonts w:hint="eastAsia" w:ascii="宋体" w:hAnsi="宋体" w:eastAsia="宋体" w:cs="宋体"/>
                <w:color w:val="auto"/>
                <w:sz w:val="22"/>
                <w:szCs w:val="22"/>
                <w:highlight w:val="none"/>
              </w:rPr>
              <w:t xml:space="preserve">。（注：① 质疑文件须由投标单位法定代表人亲自签署并加盖投标单位公章。</w:t>
            </w:r>
            <w:r/>
          </w:p>
        </w:tc>
      </w:tr>
      <w:tr>
        <w:trPr>
          <w:jc w:val="center"/>
          <w:trHeight w:val="984"/>
        </w:trPr>
        <w:tc>
          <w:tcPr>
            <w:tcW w:w="988" w:type="dxa"/>
            <w:vAlign w:val="center"/>
            <w:textDirection w:val="lrTb"/>
            <w:noWrap w:val="false"/>
          </w:tcPr>
          <w:p>
            <w:pPr>
              <w:pStyle w:val="1182"/>
              <w:jc w:val="center"/>
              <w:spacing w:line="276" w:lineRule="auto"/>
              <w:rPr>
                <w:rFonts w:hint="default" w:ascii="宋体" w:hAnsi="宋体" w:eastAsia="宋体" w:cs="宋体"/>
                <w:color w:val="auto"/>
                <w:sz w:val="22"/>
                <w:szCs w:val="22"/>
                <w:highlight w:val="none"/>
                <w:lang w:val="en-US" w:eastAsia="zh-CN"/>
              </w:rPr>
            </w:pPr>
            <w:r>
              <w:rPr>
                <w:rFonts w:hint="eastAsia" w:hAnsi="宋体" w:cs="宋体"/>
                <w:color w:val="auto"/>
                <w:sz w:val="22"/>
                <w:szCs w:val="22"/>
                <w:highlight w:val="none"/>
                <w:lang w:val="en-US" w:eastAsia="zh-CN"/>
              </w:rPr>
              <w:t xml:space="preserve">11</w:t>
            </w:r>
            <w:r/>
          </w:p>
        </w:tc>
        <w:tc>
          <w:tcPr>
            <w:tcW w:w="1701" w:type="dxa"/>
            <w:vAlign w:val="center"/>
            <w:textDirection w:val="lrTb"/>
            <w:noWrap w:val="false"/>
          </w:tcPr>
          <w:p>
            <w:pPr>
              <w:jc w:val="cente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质疑</w:t>
            </w:r>
            <w:r/>
          </w:p>
        </w:tc>
        <w:tc>
          <w:tcPr>
            <w:tcW w:w="7179" w:type="dxa"/>
            <w:vAlign w:val="center"/>
            <w:textDirection w:val="lrTb"/>
            <w:noWrap w:val="false"/>
          </w:tcPr>
          <w:p>
            <w:pPr>
              <w:jc w:val="left"/>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质疑送达形式：</w:t>
            </w:r>
            <w:r/>
          </w:p>
          <w:p>
            <w:pPr>
              <w:jc w:val="left"/>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一、供应商认为自己的权益受到损害的，可以在知道或者应知其权益受到损害之日起七个工作日内，向采购代理机构提出质疑。</w:t>
            </w:r>
            <w:r/>
          </w:p>
          <w:p>
            <w:pPr>
              <w:jc w:val="left"/>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1.接收质疑函的方式：接收加盖单位公章的书面质疑函</w:t>
            </w:r>
            <w:r/>
          </w:p>
          <w:p>
            <w:pPr>
              <w:jc w:val="left"/>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2.质疑函的内容、格式：应符合《政府采购质疑和投诉办法》相关规定和财政部门制定的《政府采购质疑函范本》格式。</w:t>
            </w:r>
            <w:r/>
          </w:p>
          <w:p>
            <w:pPr>
              <w:jc w:val="left"/>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二、供应商应在法定质疑期内一次性针对同一采购程序环节提出质疑，否则针对再次提出的质疑将不予接收。（采购程序环节分为：采购公告、招标文件、采购过程、成交结果）</w:t>
            </w:r>
            <w:r/>
          </w:p>
        </w:tc>
      </w:tr>
      <w:tr>
        <w:trPr>
          <w:jc w:val="center"/>
          <w:trHeight w:val="1566"/>
        </w:trPr>
        <w:tc>
          <w:tcPr>
            <w:tcW w:w="988" w:type="dxa"/>
            <w:vAlign w:val="center"/>
            <w:textDirection w:val="lrTb"/>
            <w:noWrap w:val="false"/>
          </w:tcPr>
          <w:p>
            <w:pPr>
              <w:pStyle w:val="1182"/>
              <w:jc w:val="center"/>
              <w:rPr>
                <w:rFonts w:hint="default" w:ascii="宋体" w:hAnsi="宋体" w:eastAsia="宋体" w:cs="宋体"/>
                <w:color w:val="auto"/>
                <w:sz w:val="22"/>
                <w:szCs w:val="22"/>
                <w:highlight w:val="none"/>
                <w:lang w:val="en-US" w:eastAsia="zh-CN"/>
              </w:rPr>
            </w:pPr>
            <w:r>
              <w:rPr>
                <w:rFonts w:hint="eastAsia" w:hAnsi="宋体" w:cs="宋体"/>
                <w:color w:val="auto"/>
                <w:sz w:val="22"/>
                <w:szCs w:val="22"/>
                <w:highlight w:val="none"/>
                <w:lang w:val="en-US" w:eastAsia="zh-CN"/>
              </w:rPr>
              <w:t xml:space="preserve">12</w:t>
            </w:r>
            <w:r/>
          </w:p>
        </w:tc>
        <w:tc>
          <w:tcPr>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联系方式</w:t>
            </w:r>
            <w:r/>
          </w:p>
        </w:tc>
        <w:tc>
          <w:tcPr>
            <w:tcW w:w="7179" w:type="dxa"/>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接收询问和质疑的联系方式</w:t>
            </w:r>
            <w:r/>
          </w:p>
          <w:p>
            <w:pPr>
              <w:jc w:val="lef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联系单位：</w:t>
            </w:r>
            <w:r>
              <w:rPr>
                <w:rFonts w:hint="eastAsia" w:ascii="宋体" w:hAnsi="宋体" w:cs="宋体"/>
                <w:color w:val="auto"/>
                <w:sz w:val="22"/>
                <w:szCs w:val="22"/>
                <w:highlight w:val="none"/>
                <w:lang w:eastAsia="zh-CN"/>
              </w:rPr>
              <w:t xml:space="preserve">江苏正誉项目管理有限公司</w:t>
            </w:r>
            <w:r/>
          </w:p>
          <w:p>
            <w:pPr>
              <w:jc w:val="lef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联 系 人：</w:t>
            </w:r>
            <w:r>
              <w:rPr>
                <w:rFonts w:hint="eastAsia" w:ascii="宋体" w:hAnsi="宋体" w:cs="宋体"/>
                <w:color w:val="auto"/>
                <w:sz w:val="22"/>
                <w:szCs w:val="22"/>
                <w:highlight w:val="none"/>
                <w:lang w:eastAsia="zh-CN"/>
              </w:rPr>
              <w:t xml:space="preserve">赵工</w:t>
            </w:r>
            <w:r/>
          </w:p>
          <w:p>
            <w:pPr>
              <w:jc w:val="lef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联系电话：</w:t>
            </w:r>
            <w:r>
              <w:rPr>
                <w:rFonts w:hint="eastAsia" w:ascii="宋体" w:hAnsi="宋体" w:cs="宋体"/>
                <w:color w:val="auto"/>
                <w:sz w:val="22"/>
                <w:szCs w:val="22"/>
                <w:highlight w:val="none"/>
                <w:lang w:eastAsia="zh-CN"/>
              </w:rPr>
              <w:t xml:space="preserve">15861135830</w:t>
            </w:r>
            <w:r/>
          </w:p>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通讯地址：常州市新北区顺园路15号办公楼4楼</w:t>
            </w:r>
            <w:r/>
          </w:p>
        </w:tc>
      </w:tr>
      <w:tr>
        <w:trPr>
          <w:jc w:val="center"/>
          <w:trHeight w:val="770"/>
        </w:trPr>
        <w:tc>
          <w:tcPr>
            <w:tcW w:w="988" w:type="dxa"/>
            <w:vAlign w:val="center"/>
            <w:textDirection w:val="lrTb"/>
            <w:noWrap w:val="false"/>
          </w:tcPr>
          <w:p>
            <w:pPr>
              <w:pStyle w:val="1182"/>
              <w:jc w:val="center"/>
              <w:rPr>
                <w:rFonts w:hint="default" w:ascii="宋体" w:hAnsi="宋体" w:eastAsia="宋体" w:cs="宋体"/>
                <w:color w:val="auto"/>
                <w:sz w:val="22"/>
                <w:szCs w:val="22"/>
                <w:highlight w:val="none"/>
                <w:lang w:val="en-US" w:eastAsia="zh-CN"/>
              </w:rPr>
            </w:pPr>
            <w:r>
              <w:rPr>
                <w:rFonts w:hint="eastAsia" w:hAnsi="宋体" w:cs="宋体"/>
                <w:color w:val="auto"/>
                <w:sz w:val="22"/>
                <w:szCs w:val="22"/>
                <w:highlight w:val="none"/>
                <w:lang w:val="en-US" w:eastAsia="zh-CN"/>
              </w:rPr>
              <w:t xml:space="preserve">13</w:t>
            </w:r>
            <w:r/>
          </w:p>
        </w:tc>
        <w:tc>
          <w:tcPr>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代理费</w:t>
            </w:r>
            <w:r/>
          </w:p>
        </w:tc>
        <w:tc>
          <w:tcPr>
            <w:tcW w:w="7179" w:type="dxa"/>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收费对象：</w:t>
            </w:r>
            <w:r/>
          </w:p>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w:t>
            </w:r>
            <w:r/>
          </w:p>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■成交供应商</w:t>
            </w:r>
            <w:r/>
          </w:p>
          <w:p>
            <w:pPr>
              <w:jc w:val="left"/>
              <w:rPr>
                <w:rFonts w:hint="eastAsia" w:ascii="Times New Roman" w:hAnsi="Times New Roman" w:eastAsia="宋体" w:cs="Times New Roman"/>
                <w:sz w:val="24"/>
              </w:rPr>
            </w:pPr>
            <w:r>
              <w:rPr>
                <w:rFonts w:hint="eastAsia" w:ascii="Times New Roman" w:hAnsi="Times New Roman" w:eastAsia="宋体" w:cs="Times New Roman"/>
                <w:b/>
                <w:bCs/>
                <w:sz w:val="24"/>
              </w:rPr>
              <w:t xml:space="preserve">代理服务费支付说明及原因：</w:t>
            </w:r>
            <w:r>
              <w:rPr>
                <w:rFonts w:hint="eastAsia" w:ascii="Times New Roman" w:hAnsi="Times New Roman" w:eastAsia="宋体" w:cs="Times New Roman"/>
                <w:sz w:val="24"/>
              </w:rPr>
              <w:t xml:space="preserve"> </w:t>
            </w:r>
            <w:r/>
          </w:p>
          <w:p>
            <w:pPr>
              <w:jc w:val="left"/>
              <w:rPr>
                <w:rFonts w:hint="eastAsia" w:ascii="宋体" w:hAnsi="宋体" w:eastAsia="宋体" w:cs="宋体"/>
                <w:color w:val="auto"/>
                <w:sz w:val="22"/>
                <w:szCs w:val="22"/>
                <w:highlight w:val="none"/>
              </w:rPr>
            </w:pPr>
            <w:r>
              <w:rPr>
                <w:rFonts w:hint="eastAsia" w:ascii="Times New Roman" w:hAnsi="Times New Roman" w:eastAsia="宋体" w:cs="Times New Roman"/>
                <w:sz w:val="24"/>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应当在响应报价中包含代理服务费，并在领取中标（成交）通知书时向采购代理机构一次性付清。</w:t>
            </w:r>
            <w:r/>
          </w:p>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收费标准：以中标（成交）金额为基数，收费比例按差额定率累进法计算：100万元以下1.5%，</w:t>
            </w:r>
            <w:r>
              <w:rPr>
                <w:rFonts w:hint="eastAsia" w:ascii="宋体" w:hAnsi="宋体" w:eastAsia="宋体" w:cs="宋体"/>
                <w:color w:val="auto"/>
                <w:sz w:val="22"/>
                <w:szCs w:val="22"/>
                <w:highlight w:val="none"/>
                <w:lang w:val="en-US" w:eastAsia="zh-CN"/>
              </w:rPr>
              <w:t xml:space="preserve">100-500万元按0.8%，500-1000万元按</w:t>
            </w:r>
            <w:r>
              <w:rPr>
                <w:rFonts w:hint="eastAsia" w:ascii="宋体" w:hAnsi="宋体" w:cs="宋体"/>
                <w:color w:val="auto"/>
                <w:sz w:val="22"/>
                <w:szCs w:val="22"/>
                <w:highlight w:val="none"/>
                <w:lang w:val="en-US" w:eastAsia="zh-CN"/>
              </w:rPr>
              <w:t xml:space="preserve">0.</w:t>
            </w:r>
            <w:r>
              <w:rPr>
                <w:rFonts w:hint="eastAsia" w:ascii="宋体" w:hAnsi="宋体" w:eastAsia="宋体" w:cs="宋体"/>
                <w:color w:val="auto"/>
                <w:sz w:val="22"/>
                <w:szCs w:val="22"/>
                <w:highlight w:val="none"/>
                <w:lang w:val="en-US" w:eastAsia="zh-CN"/>
              </w:rPr>
              <w:t xml:space="preserve">45%，</w:t>
            </w:r>
            <w:r>
              <w:rPr>
                <w:rFonts w:hint="eastAsia" w:ascii="宋体" w:hAnsi="宋体" w:eastAsia="宋体" w:cs="宋体"/>
                <w:color w:val="auto"/>
                <w:sz w:val="22"/>
                <w:szCs w:val="22"/>
                <w:highlight w:val="none"/>
              </w:rPr>
              <w:t xml:space="preserve">低于叁仟按叁仟计取</w:t>
            </w:r>
            <w:r>
              <w:rPr>
                <w:rFonts w:hint="eastAsia" w:ascii="宋体" w:hAnsi="宋体" w:eastAsia="宋体" w:cs="宋体"/>
                <w:color w:val="auto"/>
                <w:sz w:val="22"/>
                <w:szCs w:val="22"/>
                <w:highlight w:val="none"/>
                <w:lang w:eastAsia="zh-CN"/>
              </w:rPr>
              <w:t xml:space="preserve">。</w:t>
            </w:r>
            <w:r/>
          </w:p>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缴纳时间：成交供应商在中标（成交）通知书发出之日起五个工作日内向采购代理机构缴纳。</w:t>
            </w:r>
            <w:r/>
          </w:p>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户名：江苏正誉项目管理有限公司</w:t>
            </w:r>
            <w:r/>
          </w:p>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开户银行：江苏江南农村商业银行常州市钟楼支行</w:t>
            </w:r>
            <w:r/>
          </w:p>
          <w:p>
            <w:pPr>
              <w:jc w:val="left"/>
              <w:rPr>
                <w:rFonts w:hint="eastAsia" w:ascii="宋体" w:hAnsi="宋体" w:eastAsia="宋体" w:cs="宋体"/>
                <w:color w:val="auto"/>
                <w:szCs w:val="21"/>
                <w:highlight w:val="none"/>
              </w:rPr>
            </w:pPr>
            <w:r>
              <w:rPr>
                <w:rFonts w:hint="eastAsia" w:ascii="宋体" w:hAnsi="宋体" w:eastAsia="宋体" w:cs="宋体"/>
                <w:color w:val="auto"/>
                <w:sz w:val="22"/>
                <w:szCs w:val="22"/>
                <w:highlight w:val="none"/>
              </w:rPr>
              <w:t xml:space="preserve">银行账号：1142 9000 0000 5520</w:t>
            </w:r>
            <w:r/>
          </w:p>
        </w:tc>
      </w:tr>
    </w:tbl>
    <w:p>
      <w:pPr>
        <w:jc w:val="both"/>
        <w:spacing w:line="360" w:lineRule="auto"/>
        <w:tabs>
          <w:tab w:val="left" w:pos="5580" w:leader="none"/>
        </w:tabs>
        <w:rPr>
          <w:rFonts w:hint="eastAsia" w:ascii="宋体" w:hAnsi="宋体" w:eastAsia="宋体" w:cs="宋体"/>
          <w:color w:val="auto"/>
          <w:sz w:val="24"/>
          <w:highlight w:val="none"/>
        </w:rPr>
        <w:sectPr>
          <w:footerReference w:type="default" r:id="rId17"/>
          <w:footerReference w:type="first" r:id="rId18"/>
          <w:footnotePr/>
          <w:endnotePr/>
          <w:type w:val="nextPage"/>
          <w:pgSz w:w="11907" w:h="16840" w:orient="portrait"/>
          <w:pgMar w:top="1440" w:right="1083" w:bottom="1440" w:left="1083" w:header="851" w:footer="851" w:gutter="0"/>
          <w:pgNumType w:start="1"/>
          <w:cols w:num="1" w:sep="0" w:space="1701" w:equalWidth="1"/>
          <w:docGrid w:linePitch="360"/>
          <w:titlePg/>
        </w:sectPr>
      </w:pPr>
      <w:r>
        <w:rPr>
          <w:rFonts w:hint="eastAsia" w:ascii="宋体" w:hAnsi="宋体" w:eastAsia="宋体" w:cs="宋体"/>
          <w:color w:val="auto"/>
          <w:sz w:val="24"/>
          <w:highlight w:val="none"/>
        </w:rPr>
      </w:r>
      <w:r/>
    </w:p>
    <w:p>
      <w:pPr>
        <w:jc w:val="center"/>
        <w:keepLines/>
        <w:keepNext/>
        <w:spacing w:before="0" w:line="360" w:lineRule="auto"/>
        <w:widowControl w:val="off"/>
        <w:tabs>
          <w:tab w:val="center" w:pos="4592" w:leader="none"/>
          <w:tab w:val="left" w:pos="7860" w:leader="none"/>
        </w:tabs>
        <w:rPr>
          <w:rFonts w:hint="default" w:ascii="Times New Roman" w:hAnsi="Times New Roman" w:eastAsia="宋体" w:cs="Times New Roman"/>
          <w:b/>
          <w:color w:val="auto"/>
          <w:sz w:val="28"/>
          <w:szCs w:val="20"/>
          <w:highlight w:val="none"/>
          <w:lang w:val="en-US" w:eastAsia="zh-CN" w:bidi="ar-SA"/>
        </w:rPr>
        <w:outlineLvl w:val="1"/>
      </w:pPr>
      <w:r/>
      <w:bookmarkStart w:id="93" w:name="_Toc142311019"/>
      <w:r/>
      <w:bookmarkStart w:id="94" w:name="_Toc150774722"/>
      <w:r/>
      <w:bookmarkStart w:id="95" w:name="_Toc127151517"/>
      <w:r/>
      <w:bookmarkStart w:id="96" w:name="_Toc353825542"/>
      <w:r/>
      <w:bookmarkStart w:id="97" w:name="_Toc353873662"/>
      <w:r/>
      <w:bookmarkStart w:id="98" w:name="_Toc150480755"/>
      <w:r/>
      <w:bookmarkStart w:id="99" w:name="_Toc265228355"/>
      <w:r/>
      <w:bookmarkStart w:id="100" w:name="_Toc353873932"/>
      <w:r/>
      <w:bookmarkStart w:id="101" w:name="_Toc305158785"/>
      <w:r/>
      <w:bookmarkStart w:id="102" w:name="_Toc264969207"/>
      <w:r/>
      <w:bookmarkStart w:id="103" w:name="_Toc305158859"/>
      <w:r/>
      <w:bookmarkStart w:id="104" w:name="_Toc226337213"/>
      <w:r/>
      <w:bookmarkStart w:id="105" w:name="_Toc195842882"/>
      <w:r/>
      <w:bookmarkStart w:id="106" w:name="_Toc226965790"/>
      <w:r>
        <w:rPr>
          <w:rFonts w:hint="default" w:ascii="Times New Roman" w:hAnsi="Times New Roman" w:eastAsia="宋体" w:cs="Times New Roman"/>
          <w:b/>
          <w:color w:val="auto"/>
          <w:sz w:val="28"/>
          <w:szCs w:val="20"/>
          <w:highlight w:val="none"/>
          <w:lang w:val="en-US" w:eastAsia="zh-CN" w:bidi="ar-SA"/>
        </w:rPr>
        <w:t xml:space="preserve">投标人须知</w:t>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
    </w:p>
    <w:p>
      <w:pPr>
        <w:jc w:val="left"/>
        <w:keepLines/>
        <w:keepNext/>
        <w:spacing w:before="0" w:line="360" w:lineRule="auto"/>
        <w:widowControl w:val="off"/>
        <w:tabs>
          <w:tab w:val="center" w:pos="4592" w:leader="none"/>
          <w:tab w:val="left" w:pos="7860" w:leader="none"/>
        </w:tabs>
        <w:rPr>
          <w:rFonts w:hint="default" w:ascii="Times New Roman" w:hAnsi="Times New Roman" w:eastAsia="宋体" w:cs="Times New Roman"/>
          <w:b/>
          <w:color w:val="auto"/>
          <w:sz w:val="28"/>
          <w:szCs w:val="20"/>
          <w:highlight w:val="none"/>
          <w:lang w:val="en-US" w:eastAsia="zh-CN" w:bidi="ar-SA"/>
        </w:rPr>
        <w:outlineLvl w:val="1"/>
      </w:pPr>
      <w:r/>
      <w:bookmarkStart w:id="107" w:name="_Toc127151518"/>
      <w:r/>
      <w:bookmarkStart w:id="108" w:name="_Toc520356143"/>
      <w:r>
        <w:rPr>
          <w:rFonts w:hint="default" w:ascii="Times New Roman" w:hAnsi="Times New Roman" w:eastAsia="宋体" w:cs="Times New Roman"/>
          <w:b/>
          <w:color w:val="auto"/>
          <w:sz w:val="28"/>
          <w:szCs w:val="20"/>
          <w:highlight w:val="none"/>
          <w:lang w:val="en-US" w:eastAsia="zh-CN" w:bidi="ar-SA"/>
        </w:rPr>
        <w:tab/>
      </w:r>
      <w:bookmarkStart w:id="109" w:name="_Toc150774618"/>
      <w:r/>
      <w:bookmarkStart w:id="110" w:name="_Toc226309762"/>
      <w:r/>
      <w:bookmarkStart w:id="111" w:name="_Toc226965791"/>
      <w:r/>
      <w:bookmarkStart w:id="112" w:name="_Toc151190145"/>
      <w:r/>
      <w:bookmarkStart w:id="113" w:name="_Toc151193616"/>
      <w:r/>
      <w:bookmarkStart w:id="114" w:name="_Toc265228356"/>
      <w:r/>
      <w:bookmarkStart w:id="115" w:name="_Toc264969208"/>
      <w:r/>
      <w:bookmarkStart w:id="116" w:name="_Toc305158786"/>
      <w:r/>
      <w:bookmarkStart w:id="117" w:name="_Toc226337214"/>
      <w:r/>
      <w:bookmarkStart w:id="118" w:name="_Toc151193906"/>
      <w:r/>
      <w:bookmarkStart w:id="119" w:name="_Toc150509269"/>
      <w:r/>
      <w:bookmarkStart w:id="120" w:name="_Toc151193760"/>
      <w:r/>
      <w:bookmarkStart w:id="121" w:name="_Toc142311020"/>
      <w:r/>
      <w:bookmarkStart w:id="122" w:name="_Toc151193688"/>
      <w:r/>
      <w:bookmarkStart w:id="123" w:name="_Toc150774723"/>
      <w:r/>
      <w:bookmarkStart w:id="124" w:name="_Toc151193832"/>
      <w:r/>
      <w:bookmarkStart w:id="125" w:name="_Toc150480756"/>
      <w:r/>
      <w:bookmarkStart w:id="126" w:name="_Toc305158860"/>
      <w:r/>
      <w:bookmarkStart w:id="127" w:name="_Toc226965708"/>
      <w:r/>
      <w:bookmarkStart w:id="128" w:name="_Toc195842883"/>
      <w:r>
        <w:rPr>
          <w:rFonts w:hint="default" w:ascii="Times New Roman" w:hAnsi="Times New Roman" w:eastAsia="宋体" w:cs="Times New Roman"/>
          <w:b/>
          <w:color w:val="auto"/>
          <w:sz w:val="28"/>
          <w:szCs w:val="20"/>
          <w:highlight w:val="none"/>
          <w:lang w:val="en-US" w:eastAsia="zh-CN" w:bidi="ar-SA"/>
        </w:rPr>
        <w:t xml:space="preserve">一   说  明</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default" w:ascii="Times New Roman" w:hAnsi="Times New Roman" w:eastAsia="宋体" w:cs="Times New Roman"/>
          <w:b/>
          <w:color w:val="auto"/>
          <w:sz w:val="28"/>
          <w:szCs w:val="20"/>
          <w:highlight w:val="none"/>
          <w:lang w:val="en-US" w:eastAsia="zh-CN" w:bidi="ar-SA"/>
        </w:rPr>
        <w:tab/>
      </w:r>
      <w:r/>
    </w:p>
    <w:p>
      <w:pPr>
        <w:spacing w:line="360" w:lineRule="auto"/>
        <w:tabs>
          <w:tab w:val="left" w:pos="360" w:leader="none"/>
        </w:tabs>
        <w:rPr>
          <w:rFonts w:hint="eastAsia" w:ascii="宋体" w:hAnsi="宋体" w:eastAsia="宋体" w:cs="宋体"/>
          <w:b/>
          <w:bCs/>
          <w:color w:val="auto"/>
          <w:szCs w:val="21"/>
          <w:highlight w:val="none"/>
        </w:rPr>
        <w:outlineLvl w:val="1"/>
      </w:pPr>
      <w:r/>
      <w:bookmarkStart w:id="129" w:name="_Toc305158861"/>
      <w:r/>
      <w:bookmarkStart w:id="130" w:name="_Toc264969209"/>
      <w:r/>
      <w:bookmarkStart w:id="131" w:name="_Toc305158787"/>
      <w:r/>
      <w:bookmarkStart w:id="132" w:name="_Toc265228357"/>
      <w:r>
        <w:rPr>
          <w:rFonts w:hint="eastAsia" w:ascii="宋体" w:hAnsi="宋体" w:eastAsia="宋体" w:cs="宋体"/>
          <w:b/>
          <w:bCs/>
          <w:color w:val="auto"/>
          <w:szCs w:val="21"/>
          <w:highlight w:val="none"/>
        </w:rPr>
        <w:t xml:space="preserve">1.采购人、采购代理机构、投标人</w:t>
      </w:r>
      <w:bookmarkEnd w:id="129"/>
      <w:r/>
      <w:bookmarkEnd w:id="130"/>
      <w:r/>
      <w:bookmarkEnd w:id="131"/>
      <w:r/>
      <w:bookmarkEnd w:id="132"/>
      <w:r>
        <w:rPr>
          <w:rFonts w:hint="eastAsia" w:ascii="宋体" w:hAnsi="宋体" w:eastAsia="宋体" w:cs="宋体"/>
          <w:b/>
          <w:bCs/>
          <w:color w:val="auto"/>
          <w:szCs w:val="21"/>
          <w:highlight w:val="none"/>
        </w:rPr>
        <w:t xml:space="preserve">、联合体</w:t>
      </w:r>
      <w:r/>
    </w:p>
    <w:p>
      <w:pPr>
        <w:ind w:firstLine="420"/>
        <w:spacing w:line="360" w:lineRule="auto"/>
        <w:tabs>
          <w:tab w:val="left" w:pos="1080" w:leader="none"/>
          <w:tab w:val="left" w:pos="2014" w:leader="none"/>
          <w:tab w:val="left" w:pos="552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1.1采购人、采购代理机构：指依法进行政府采购的国家机关、事业单位、团体组织，及其委托的采购代理机构。本项目采购人、采购代理机构见第一章《投标邀请》。</w:t>
      </w:r>
      <w:r/>
    </w:p>
    <w:p>
      <w:pPr>
        <w:ind w:firstLine="420"/>
        <w:spacing w:line="360" w:lineRule="auto"/>
        <w:tabs>
          <w:tab w:val="left" w:pos="1080" w:leader="none"/>
          <w:tab w:val="left" w:pos="2014" w:leader="none"/>
          <w:tab w:val="left" w:pos="552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1.2投标人（也称“供应商”、“申请人”）：指向采购人提供货物、工程或者服务的法人、其他组织或者自然人。</w:t>
      </w:r>
      <w:r/>
    </w:p>
    <w:p>
      <w:pPr>
        <w:ind w:firstLine="420"/>
        <w:spacing w:line="360" w:lineRule="auto"/>
        <w:tabs>
          <w:tab w:val="left" w:pos="1080" w:leader="none"/>
          <w:tab w:val="left" w:pos="2014" w:leader="none"/>
          <w:tab w:val="left" w:pos="552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1.3联合体：指两个以上的自然人、法人或者其他组织组成一个联合体，以一个供应商的身份共同参加政府采购。</w:t>
      </w:r>
      <w:r/>
    </w:p>
    <w:p>
      <w:pPr>
        <w:spacing w:line="360" w:lineRule="auto"/>
        <w:tabs>
          <w:tab w:val="left" w:pos="360" w:leader="none"/>
        </w:tabs>
        <w:rPr>
          <w:rFonts w:hint="eastAsia" w:ascii="宋体" w:hAnsi="宋体" w:eastAsia="宋体" w:cs="宋体"/>
          <w:b/>
          <w:bCs/>
          <w:color w:val="auto"/>
          <w:szCs w:val="21"/>
          <w:highlight w:val="none"/>
        </w:rPr>
        <w:outlineLvl w:val="1"/>
      </w:pPr>
      <w:r/>
      <w:bookmarkStart w:id="133" w:name="_Toc127161434"/>
      <w:r/>
      <w:bookmarkStart w:id="134" w:name="_Toc151193690"/>
      <w:r/>
      <w:bookmarkStart w:id="135" w:name="_Toc164229361"/>
      <w:r/>
      <w:bookmarkStart w:id="136" w:name="_Toc164608789"/>
      <w:r/>
      <w:bookmarkStart w:id="137" w:name="_Toc151193762"/>
      <w:r/>
      <w:bookmarkStart w:id="138" w:name="_Toc150480758"/>
      <w:r/>
      <w:bookmarkStart w:id="139" w:name="_Toc142311022"/>
      <w:r/>
      <w:bookmarkStart w:id="140" w:name="_Toc305158862"/>
      <w:r/>
      <w:bookmarkStart w:id="141" w:name="_Toc305158788"/>
      <w:r/>
      <w:bookmarkStart w:id="142" w:name="_Toc127151520"/>
      <w:r/>
      <w:bookmarkStart w:id="143" w:name="_Toc226965793"/>
      <w:r/>
      <w:bookmarkStart w:id="144" w:name="_Toc150774620"/>
      <w:r/>
      <w:bookmarkStart w:id="145" w:name="_Toc151193618"/>
      <w:r/>
      <w:bookmarkStart w:id="146" w:name="_Toc151193908"/>
      <w:r/>
      <w:bookmarkStart w:id="147" w:name="_Toc226965710"/>
      <w:r/>
      <w:bookmarkStart w:id="148" w:name="_Toc151190147"/>
      <w:r/>
      <w:bookmarkStart w:id="149" w:name="_Toc265228358"/>
      <w:r/>
      <w:bookmarkStart w:id="150" w:name="_Toc151193834"/>
      <w:r/>
      <w:bookmarkStart w:id="151" w:name="_Toc150774725"/>
      <w:r/>
      <w:bookmarkStart w:id="152" w:name="_Toc164229215"/>
      <w:r/>
      <w:bookmarkStart w:id="153" w:name="_Toc127151721"/>
      <w:r/>
      <w:bookmarkStart w:id="154" w:name="_Toc226337216"/>
      <w:r/>
      <w:bookmarkStart w:id="155" w:name="_Toc164608634"/>
      <w:r/>
      <w:bookmarkStart w:id="156" w:name="_Toc226309764"/>
      <w:r/>
      <w:bookmarkStart w:id="157" w:name="_Toc149720813"/>
      <w:r/>
      <w:bookmarkStart w:id="158" w:name="_Toc164351614"/>
      <w:r/>
      <w:bookmarkStart w:id="159" w:name="_Toc264969210"/>
      <w:r/>
      <w:bookmarkStart w:id="160" w:name="_Toc150509271"/>
      <w:r/>
      <w:bookmarkStart w:id="161" w:name="_Toc195842885"/>
      <w:r>
        <w:rPr>
          <w:rFonts w:hint="eastAsia" w:ascii="宋体" w:hAnsi="宋体" w:eastAsia="宋体" w:cs="宋体"/>
          <w:b/>
          <w:bCs/>
          <w:color w:val="auto"/>
          <w:szCs w:val="21"/>
          <w:highlight w:val="none"/>
        </w:rPr>
        <w:t xml:space="preserve">2.资金来源</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hint="eastAsia" w:ascii="宋体" w:hAnsi="宋体" w:eastAsia="宋体" w:cs="宋体"/>
          <w:b/>
          <w:bCs/>
          <w:color w:val="auto"/>
          <w:szCs w:val="21"/>
          <w:highlight w:val="none"/>
        </w:rPr>
        <w:t xml:space="preserve">、项目属性、科研仪器设备采购、核心产品</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2.1资金来源为财政性资金和/或本项目采购中无法与财政性资金分割的非财政性资金。</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2.2项目属性见《投标人须知资料表》。</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2.3是否属于科研仪器设备采购见《投标人须知资料表》。</w:t>
      </w:r>
      <w:r/>
    </w:p>
    <w:p>
      <w:pPr>
        <w:ind w:firstLine="420"/>
        <w:spacing w:line="360" w:lineRule="auto"/>
        <w:tabs>
          <w:tab w:val="left" w:pos="1080" w:leader="none"/>
          <w:tab w:val="left" w:pos="2014" w:leader="none"/>
          <w:tab w:val="left" w:pos="552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2.4核心产品见《投标人须知资料表》。</w:t>
      </w:r>
      <w:r/>
    </w:p>
    <w:p>
      <w:pPr>
        <w:spacing w:line="360" w:lineRule="auto"/>
        <w:tabs>
          <w:tab w:val="left" w:pos="360" w:leader="none"/>
        </w:tabs>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3.现场考察、开标前答疑会</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3.1若《投标人须知资料表》中规定了组织现场考察、召开开标前答疑会，则投标人应按要求在规定的时间和地点参加。</w:t>
      </w:r>
      <w:bookmarkStart w:id="162" w:name="_Toc150774727"/>
      <w:r/>
      <w:bookmarkStart w:id="163" w:name="_Toc151193692"/>
      <w:r/>
      <w:bookmarkStart w:id="164" w:name="_Toc150480760"/>
      <w:r/>
      <w:bookmarkStart w:id="165" w:name="_Toc151193910"/>
      <w:r/>
      <w:bookmarkStart w:id="166" w:name="_Toc150509273"/>
      <w:r/>
      <w:bookmarkStart w:id="167" w:name="_Toc151193620"/>
      <w:r/>
      <w:bookmarkStart w:id="168" w:name="_Toc127151522"/>
      <w:r/>
      <w:bookmarkStart w:id="169" w:name="_Toc265228360"/>
      <w:r/>
      <w:bookmarkStart w:id="170" w:name="_Toc151193836"/>
      <w:r/>
      <w:bookmarkStart w:id="171" w:name="_Toc142311024"/>
      <w:r/>
      <w:bookmarkStart w:id="172" w:name="_Toc226337218"/>
      <w:r/>
      <w:bookmarkStart w:id="173" w:name="_Toc305158864"/>
      <w:r/>
      <w:bookmarkStart w:id="174" w:name="_Toc226965712"/>
      <w:r/>
      <w:bookmarkStart w:id="175" w:name="_Toc151190149"/>
      <w:r/>
      <w:bookmarkStart w:id="176" w:name="_Toc520356146"/>
      <w:r/>
      <w:bookmarkStart w:id="177" w:name="_Toc226309766"/>
      <w:r/>
      <w:bookmarkStart w:id="178" w:name="_Toc226965795"/>
      <w:r/>
      <w:bookmarkStart w:id="179" w:name="_Toc195842887"/>
      <w:r/>
      <w:bookmarkStart w:id="180" w:name="_Toc264969212"/>
      <w:r/>
      <w:bookmarkStart w:id="181" w:name="_Toc150774622"/>
      <w:r/>
      <w:bookmarkStart w:id="182" w:name="_Toc151193764"/>
      <w:r/>
      <w:bookmarkStart w:id="183" w:name="_Toc305158790"/>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3.2由于未参加现场考察或开标前答疑会而导致对项目实际情况不了解，影响投标文件编制、投标报价准确性、综合因素响应不全面等问题的，由投标人自行承担不利评审后果。</w:t>
      </w:r>
      <w:r/>
    </w:p>
    <w:p>
      <w:pPr>
        <w:spacing w:line="360" w:lineRule="auto"/>
        <w:tabs>
          <w:tab w:val="left" w:pos="360" w:leader="none"/>
        </w:tabs>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4.样品</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4.1本项目是否要求投标人提供样品，以及样品制作的标准和要求、是否需要随样品提交相关检测报告、样品的递交与退还等要求见《投标人须知资料表》。</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4.2样品的评审方法以及评审标准等内容见第四章《评标方法和评标标准》。</w:t>
      </w:r>
      <w:r/>
    </w:p>
    <w:p>
      <w:pPr>
        <w:spacing w:line="360" w:lineRule="auto"/>
        <w:tabs>
          <w:tab w:val="left" w:pos="360" w:leader="none"/>
        </w:tabs>
        <w:rPr>
          <w:rFonts w:hint="eastAsia" w:ascii="Times New Roman" w:hAnsi="Times New Roman" w:eastAsia="宋体" w:cs="Times New Roman"/>
          <w:color w:val="auto"/>
          <w:highlight w:val="none"/>
        </w:rPr>
        <w:outlineLvl w:val="1"/>
      </w:pPr>
      <w:r>
        <w:rPr>
          <w:rFonts w:hint="eastAsia" w:ascii="宋体" w:hAnsi="宋体" w:eastAsia="宋体" w:cs="宋体"/>
          <w:b/>
          <w:bCs/>
          <w:color w:val="auto"/>
          <w:szCs w:val="21"/>
          <w:highlight w:val="none"/>
        </w:rPr>
        <w:t xml:space="preserve">5.政府采购政策（包括但不限于下列具体政策要求）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5.1进口产品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5.2中小企业、监狱企业及残疾人福利性单位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5.2.1中小企业定义：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5.2.1.1中小企业</w:t>
      </w:r>
      <w:r>
        <w:rPr>
          <w:rFonts w:hint="eastAsia" w:ascii="宋体" w:hAnsi="宋体" w:eastAsia="宋体" w:cs="宋体"/>
          <w:color w:val="auto"/>
          <w:szCs w:val="21"/>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5.2.1.2供应商提供的货物、工程或者服务符合下列情形的，享受中小企业扶持政策：</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（1）在货物采购项目中，货物由中小企业制造，即货物由中小企业生产且使用该中小企业商号或者注册商标；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（2）在工程采购项目中，工程由中小企业承建，即工程施工单位为中小企业；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5.2.1.3在货物采购项目中，供应商提供的货物既有中小企业制造货物，也有大型企业制造货物的，不享受中小企业扶持政策。</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5.2.3残疾人福利单位定义：享受政府采购支持政策的残疾人福利性单位应当同时满足以下条件：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5.2.3.1安置的残疾人占本单位在职职工人数的比例不低于25%（含25%），并且安置的残疾人人数不少于10人（含10人）；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5.2.3.2依法与安置的每位残疾人签订了一年以上（含一年）的劳动合同或服务协议；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5.2.3.3为安置的每位残疾人按月足额缴纳了基本养老保险、基本医疗保险、失业保险、工伤保险和生育保险等社会保险费；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5.2.3.4通过银行等金融机构向安置的每位残疾人，按月支付了不低于单位所在区县适用的经省级人民政府批准的月最低工资标准的工资；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5.2.3.5提供本单位制造的货物、承担的工程或者服务（以下简称产品），或者提供其他残疾人福利性单位制造的货物（不包括使用非残疾人福利性单位注册商标的货物）；</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5.2.4本项目是否专门面向中小企业预留采购份额见第一章《投标邀请》。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5.2.5采购标的对应的中小企业划分标准所属行业见《投标人须知资料表》。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5.2.6小微企业价格评审优惠的政策调整：见第四章《评标方法和评标标准》。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5.3政府采购节能产品、环境标志产品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5.3.3如本项目采购产品属于实施政府强制采购品目清单范围的节能产品，则投标人所报产品必须获得国家确定的认证机构出具的、处于有效期之内的节能产品认证证书，否则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b/>
          <w:bCs/>
          <w:color w:val="auto"/>
          <w:szCs w:val="21"/>
          <w:highlight w:val="none"/>
        </w:rPr>
        <w:t xml:space="preserve">投标无效</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5.3.4非政府强制采购的节能产品或环境标志产品，依据品目清单和认证证书实施政府优先采购。优先采购的具体规定见第四章《评标方法和评标标准》（如涉及）。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5.4支持乡村产业振兴管理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5.5正版软件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eastAsia="宋体" w:cs="宋体"/>
          <w:b/>
          <w:bCs/>
          <w:color w:val="auto"/>
          <w:szCs w:val="21"/>
          <w:highlight w:val="none"/>
        </w:rPr>
        <w:t xml:space="preserve">投标无效</w:t>
      </w:r>
      <w:r>
        <w:rPr>
          <w:rFonts w:hint="eastAsia" w:ascii="宋体" w:hAnsi="宋体" w:eastAsia="宋体" w:cs="宋体"/>
          <w:color w:val="auto"/>
          <w:szCs w:val="21"/>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5.6信息安全产品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5.6.1所投产品属于《关于调整信息安全产品强制性认证实施要求的公告》（2009年第33号）范围的，采购经国家认证的信息安全产品，否则</w:t>
      </w:r>
      <w:r>
        <w:rPr>
          <w:rFonts w:hint="eastAsia" w:ascii="宋体" w:hAnsi="宋体" w:eastAsia="宋体" w:cs="宋体"/>
          <w:b/>
          <w:bCs/>
          <w:color w:val="auto"/>
          <w:szCs w:val="21"/>
          <w:highlight w:val="none"/>
        </w:rPr>
        <w:t xml:space="preserve">投标无效</w:t>
      </w:r>
      <w:r>
        <w:rPr>
          <w:rFonts w:hint="eastAsia" w:ascii="宋体" w:hAnsi="宋体" w:eastAsia="宋体" w:cs="宋体"/>
          <w:color w:val="auto"/>
          <w:szCs w:val="21"/>
          <w:highlight w:val="none"/>
        </w:rPr>
        <w:t xml:space="preserve">。关于信息安全相关规定依据《关于信息安全产品实施政府采购的通知》（财库〔2010〕48号）。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5.7政府采购创新产品政策</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绿色采购政策</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5.8.1依据《绿色数据中心政府采购需求标准（试行）》（财办库〔2023〕7 号）文件精神，采购</w:t>
      </w:r>
      <w:r>
        <w:rPr>
          <w:rFonts w:hint="eastAsia" w:ascii="宋体" w:hAnsi="宋体" w:eastAsia="宋体" w:cs="宋体"/>
          <w:color w:val="auto"/>
          <w:szCs w:val="21"/>
          <w:highlight w:val="none"/>
          <w:lang w:val="en-US" w:eastAsia="zh-CN"/>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5.8.2</w:t>
      </w:r>
      <w:r>
        <w:rPr>
          <w:rFonts w:hint="eastAsia" w:ascii="宋体" w:hAnsi="宋体" w:eastAsia="宋体" w:cs="宋体"/>
          <w:color w:val="auto"/>
          <w:szCs w:val="21"/>
          <w:highlight w:val="none"/>
          <w:lang w:val="en-US" w:eastAsia="zh-CN"/>
        </w:rPr>
        <w:tab/>
      </w:r>
      <w:r>
        <w:rPr>
          <w:rFonts w:hint="eastAsia" w:ascii="宋体" w:hAnsi="宋体" w:eastAsia="宋体" w:cs="宋体"/>
          <w:color w:val="auto"/>
          <w:szCs w:val="21"/>
          <w:highlight w:val="none"/>
          <w:lang w:val="en-US" w:eastAsia="zh-CN"/>
        </w:rPr>
        <w:t xml:space="preserve">推广应用绿色建材</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号）,依据相关需求标准确定采购需求，在招标文件和采购合同中载明具体需求、履约验收条款和违约责任。</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5.8.3</w:t>
      </w:r>
      <w:r>
        <w:rPr>
          <w:rFonts w:hint="eastAsia" w:ascii="宋体" w:hAnsi="宋体" w:eastAsia="宋体" w:cs="宋体"/>
          <w:color w:val="auto"/>
          <w:szCs w:val="21"/>
          <w:highlight w:val="none"/>
          <w:lang w:val="en-US" w:eastAsia="zh-CN"/>
        </w:rPr>
        <w:tab/>
      </w:r>
      <w:r>
        <w:rPr>
          <w:rFonts w:hint="eastAsia" w:ascii="宋体" w:hAnsi="宋体" w:eastAsia="宋体" w:cs="宋体"/>
          <w:color w:val="auto"/>
          <w:szCs w:val="21"/>
          <w:highlight w:val="none"/>
          <w:lang w:val="en-US" w:eastAsia="zh-CN"/>
        </w:rPr>
        <w:t xml:space="preserve">优先使用低挥发性有机化合物产品</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5.9采购本国产品的支持政策</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5.9.1根据《国务院办公厅关于在政府采购中实施本国产品标准及相关政策的通知》（国办发〔2025〕34号）文件要求，在政府采购中实施本国产品标准及相关支持政策。</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5.10履约保证金相关政策</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5.10.1根据国家、省、市相关规定，如果采购人根据项目实际情况，确实需要要求中标或者成交人提交履约保证金的，中标人应当以支票、汇票、本票或者金融机构、担保机构出具的保函（保险）等非现金形式提交，鼓励优先采用电子履约保函（保险）的形式。</w:t>
      </w:r>
      <w:r/>
    </w:p>
    <w:p>
      <w:pPr>
        <w:ind w:firstLine="420"/>
        <w:spacing w:line="360" w:lineRule="auto"/>
        <w:rPr>
          <w:rFonts w:hint="eastAsia"/>
        </w:rPr>
      </w:pPr>
      <w:r>
        <w:rPr>
          <w:rFonts w:hint="eastAsia" w:ascii="宋体" w:hAnsi="宋体" w:eastAsia="宋体" w:cs="宋体"/>
          <w:color w:val="auto"/>
          <w:szCs w:val="21"/>
          <w:highlight w:val="none"/>
          <w:lang w:val="en-US" w:eastAsia="zh-CN"/>
        </w:rPr>
        <w:t xml:space="preserve">5.1</w:t>
      </w:r>
      <w:r>
        <w:rPr>
          <w:rFonts w:hint="eastAsia" w:ascii="宋体" w:hAnsi="宋体" w:eastAsia="宋体" w:cs="宋体"/>
          <w:color w:val="auto"/>
          <w:szCs w:val="21"/>
          <w:highlight w:val="none"/>
          <w:lang w:val="en-US" w:eastAsia="zh-CN"/>
        </w:rPr>
        <w:t xml:space="preserve">0.2电子履约保函（保险）办理业务流程：江苏省 “政府采购电子履约保函（保险）平台”可通过江苏省政府采购网、“苏采云”系统链接访问（首次使用需注册，网址：https://jsdzbh.com/webSite/bHIndex）。在签订政府采购合同后，登录“政府采购电子履约保函（保险）平台”，选择第三方机构并提交保函（保险）申请，经审核通过后支付相关费用即可。投标人可通过上述平台查询相关保函（保单）信息、理赔信息和开具发票。投标人可登录江苏政府采购网“资料下载”栏目下载“政府采购电子履约保函（保险）操作手册”。</w:t>
      </w:r>
      <w:r/>
    </w:p>
    <w:p>
      <w:pPr>
        <w:spacing w:line="360" w:lineRule="auto"/>
        <w:tabs>
          <w:tab w:val="left" w:pos="360" w:leader="none"/>
        </w:tabs>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6.投标费用</w:t>
      </w:r>
      <w:r/>
    </w:p>
    <w:p>
      <w:pPr>
        <w:ind w:firstLine="420"/>
        <w:spacing w:line="360" w:lineRule="auto"/>
        <w:tabs>
          <w:tab w:val="left" w:pos="1080" w:leader="none"/>
          <w:tab w:val="left" w:pos="2014" w:leader="none"/>
        </w:tabs>
        <w:rPr>
          <w:rFonts w:ascii="Times New Roman" w:hAnsi="Times New Roman" w:eastAsia="宋体" w:cs="Times New Roman"/>
          <w:color w:val="auto"/>
          <w:sz w:val="28"/>
          <w:highlight w:val="none"/>
        </w:rPr>
      </w:pPr>
      <w:r>
        <w:rPr>
          <w:rFonts w:hint="eastAsia" w:ascii="宋体" w:hAnsi="宋体" w:eastAsia="宋体" w:cs="宋体"/>
          <w:color w:val="auto"/>
          <w:szCs w:val="21"/>
          <w:highlight w:val="none"/>
        </w:rPr>
        <w:t xml:space="preserve">6.1投标人应自行承担所有与准备和参加投标有关的费用，无论投标的结果如何，采购人或采购代理机构在任何情况下均无承担这些费用的义务和责任。</w:t>
      </w:r>
      <w:bookmarkStart w:id="184" w:name="_1.8_计量单位"/>
      <w:r/>
      <w:bookmarkEnd w:id="184"/>
      <w:r/>
      <w:r/>
    </w:p>
    <w:p>
      <w:pPr>
        <w:jc w:val="center"/>
        <w:keepLines/>
        <w:keepNext/>
        <w:spacing w:before="0" w:line="360" w:lineRule="auto"/>
        <w:widowControl w:val="off"/>
        <w:rPr>
          <w:rFonts w:hint="default" w:ascii="Times New Roman" w:hAnsi="Times New Roman" w:eastAsia="宋体" w:cs="Times New Roman"/>
          <w:b/>
          <w:color w:val="auto"/>
          <w:sz w:val="28"/>
          <w:szCs w:val="20"/>
          <w:highlight w:val="none"/>
          <w:lang w:val="en-US" w:eastAsia="zh-CN" w:bidi="ar-SA"/>
        </w:rPr>
        <w:outlineLvl w:val="1"/>
      </w:pPr>
      <w:r>
        <w:rPr>
          <w:rFonts w:hint="default" w:ascii="Times New Roman" w:hAnsi="Times New Roman" w:eastAsia="宋体" w:cs="Times New Roman"/>
          <w:b/>
          <w:color w:val="auto"/>
          <w:sz w:val="28"/>
          <w:szCs w:val="20"/>
          <w:highlight w:val="none"/>
          <w:lang w:val="en-US" w:eastAsia="zh-CN" w:bidi="ar-SA"/>
        </w:rPr>
        <w:t xml:space="preserve">二   招标文件</w:t>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r/>
    </w:p>
    <w:p>
      <w:pPr>
        <w:spacing w:line="360" w:lineRule="auto"/>
        <w:tabs>
          <w:tab w:val="left" w:pos="360" w:leader="none"/>
        </w:tabs>
        <w:rPr>
          <w:rFonts w:hint="eastAsia" w:ascii="宋体" w:hAnsi="宋体" w:eastAsia="宋体" w:cs="宋体"/>
          <w:b/>
          <w:bCs/>
          <w:color w:val="auto"/>
          <w:szCs w:val="21"/>
          <w:highlight w:val="none"/>
        </w:rPr>
        <w:outlineLvl w:val="1"/>
      </w:pPr>
      <w:r/>
      <w:bookmarkStart w:id="185" w:name="_Toc305158865"/>
      <w:r/>
      <w:bookmarkStart w:id="186" w:name="_Toc150480761"/>
      <w:r/>
      <w:bookmarkStart w:id="187" w:name="_Toc151193693"/>
      <w:r/>
      <w:bookmarkStart w:id="188" w:name="_Toc150774728"/>
      <w:r/>
      <w:bookmarkStart w:id="189" w:name="_Toc226309767"/>
      <w:r/>
      <w:bookmarkStart w:id="190" w:name="_Toc164608792"/>
      <w:r/>
      <w:bookmarkStart w:id="191" w:name="_Toc151193621"/>
      <w:r/>
      <w:bookmarkStart w:id="192" w:name="_Toc520356147"/>
      <w:r/>
      <w:bookmarkStart w:id="193" w:name="_Toc226965713"/>
      <w:r/>
      <w:bookmarkStart w:id="194" w:name="_Toc226965796"/>
      <w:r/>
      <w:bookmarkStart w:id="195" w:name="_Toc305158791"/>
      <w:r/>
      <w:bookmarkStart w:id="196" w:name="_Toc164608637"/>
      <w:r/>
      <w:bookmarkStart w:id="197" w:name="_Toc151193911"/>
      <w:r/>
      <w:bookmarkStart w:id="198" w:name="_Toc127151523"/>
      <w:r/>
      <w:bookmarkStart w:id="199" w:name="_Toc127161437"/>
      <w:r/>
      <w:bookmarkStart w:id="200" w:name="_Toc149720816"/>
      <w:r/>
      <w:bookmarkStart w:id="201" w:name="_Toc226337219"/>
      <w:r/>
      <w:bookmarkStart w:id="202" w:name="_Toc151193837"/>
      <w:r/>
      <w:bookmarkStart w:id="203" w:name="_Toc195842888"/>
      <w:r/>
      <w:bookmarkStart w:id="204" w:name="_Toc164351617"/>
      <w:r/>
      <w:bookmarkStart w:id="205" w:name="_Toc127151724"/>
      <w:r/>
      <w:bookmarkStart w:id="206" w:name="_Toc142311025"/>
      <w:r/>
      <w:bookmarkStart w:id="207" w:name="_Toc164229364"/>
      <w:r/>
      <w:bookmarkStart w:id="208" w:name="_Toc150774623"/>
      <w:r/>
      <w:bookmarkStart w:id="209" w:name="_Toc151190150"/>
      <w:r/>
      <w:bookmarkStart w:id="210" w:name="_Toc265228361"/>
      <w:r/>
      <w:bookmarkStart w:id="211" w:name="_Toc264969213"/>
      <w:r/>
      <w:bookmarkStart w:id="212" w:name="_Toc151193765"/>
      <w:r/>
      <w:bookmarkStart w:id="213" w:name="_Toc164229218"/>
      <w:r/>
      <w:bookmarkStart w:id="214" w:name="_Toc150509274"/>
      <w:r>
        <w:rPr>
          <w:rFonts w:hint="eastAsia" w:ascii="宋体" w:hAnsi="宋体" w:eastAsia="宋体" w:cs="宋体"/>
          <w:b/>
          <w:bCs/>
          <w:color w:val="auto"/>
          <w:szCs w:val="21"/>
          <w:highlight w:val="none"/>
        </w:rPr>
        <w:t xml:space="preserve">7.招标文件构</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Pr>
          <w:rFonts w:hint="eastAsia" w:ascii="宋体" w:hAnsi="宋体" w:eastAsia="宋体" w:cs="宋体"/>
          <w:b/>
          <w:bCs/>
          <w:color w:val="auto"/>
          <w:szCs w:val="21"/>
          <w:highlight w:val="none"/>
        </w:rPr>
        <w:t xml:space="preserve">成</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7.1招标文件包括以下部分：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第一章 投标邀请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第二章 投标人须知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第三章 资格审查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第四章 评标程序、评标方法和评标标准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第五章 采购需求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第六章 拟签订的合同文本</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第七章 投标文件格式</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color w:val="auto"/>
          <w:szCs w:val="21"/>
          <w:highlight w:val="none"/>
        </w:rPr>
        <w:t xml:space="preserve">投标无效</w:t>
      </w:r>
      <w:r>
        <w:rPr>
          <w:rFonts w:hint="eastAsia" w:ascii="宋体" w:hAnsi="宋体" w:eastAsia="宋体" w:cs="宋体"/>
          <w:color w:val="auto"/>
          <w:szCs w:val="21"/>
          <w:highlight w:val="none"/>
        </w:rPr>
        <w:t xml:space="preserve">。</w:t>
      </w:r>
      <w:r/>
    </w:p>
    <w:p>
      <w:pPr>
        <w:spacing w:line="360" w:lineRule="auto"/>
        <w:tabs>
          <w:tab w:val="left" w:pos="360" w:leader="none"/>
        </w:tabs>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8.对招标文件的澄清或修改</w:t>
      </w:r>
      <w:r/>
    </w:p>
    <w:p>
      <w:pPr>
        <w:ind w:firstLine="420"/>
        <w:spacing w:line="360" w:lineRule="auto"/>
        <w:tabs>
          <w:tab w:val="left" w:pos="1080" w:leader="none"/>
          <w:tab w:val="left" w:pos="1561"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8.1采购人或采购代理机构对已发出的招标文件进行必要澄清或者修改的，将在原公告发布媒体上以发布更正公告的形式通知所有获取招标文件的潜在投标人。</w:t>
      </w:r>
      <w:r/>
    </w:p>
    <w:p>
      <w:pPr>
        <w:ind w:firstLine="420"/>
        <w:spacing w:line="360" w:lineRule="auto"/>
        <w:tabs>
          <w:tab w:val="left" w:pos="1080" w:leader="none"/>
          <w:tab w:val="left" w:pos="1561"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rFonts w:ascii="Times New Roman" w:hAnsi="Times New Roman" w:eastAsia="宋体" w:cs="Times New Roman"/>
          <w:color w:val="auto"/>
          <w:sz w:val="28"/>
          <w:highlight w:val="none"/>
        </w:rPr>
      </w:pPr>
      <w:r/>
      <w:bookmarkStart w:id="215" w:name="_Toc516367020"/>
      <w:r/>
      <w:bookmarkStart w:id="216" w:name="_Toc151193696"/>
      <w:r/>
      <w:bookmarkStart w:id="217" w:name="_Toc195842891"/>
      <w:r/>
      <w:bookmarkStart w:id="218" w:name="_Toc226965716"/>
      <w:r/>
      <w:bookmarkStart w:id="219" w:name="_Toc226337222"/>
      <w:r/>
      <w:bookmarkStart w:id="220" w:name="_Toc151193840"/>
      <w:r/>
      <w:bookmarkStart w:id="221" w:name="_Toc142311028"/>
      <w:r/>
      <w:bookmarkStart w:id="222" w:name="_Toc305158868"/>
      <w:r/>
      <w:bookmarkStart w:id="223" w:name="_Toc265228364"/>
      <w:r/>
      <w:bookmarkStart w:id="224" w:name="_Toc151190153"/>
      <w:r/>
      <w:bookmarkStart w:id="225" w:name="_Toc305158794"/>
      <w:r/>
      <w:bookmarkStart w:id="226" w:name="_Toc150509277"/>
      <w:r/>
      <w:bookmarkStart w:id="227" w:name="_Toc150774731"/>
      <w:r/>
      <w:bookmarkStart w:id="228" w:name="_Toc226309770"/>
      <w:r/>
      <w:bookmarkStart w:id="229" w:name="_Toc151193768"/>
      <w:r/>
      <w:bookmarkStart w:id="230" w:name="_Toc520356150"/>
      <w:r/>
      <w:bookmarkStart w:id="231" w:name="_Toc226965799"/>
      <w:r/>
      <w:bookmarkStart w:id="232" w:name="_Toc151193624"/>
      <w:r/>
      <w:bookmarkStart w:id="233" w:name="_Toc264969216"/>
      <w:r/>
      <w:bookmarkStart w:id="234" w:name="_Toc151193914"/>
      <w:r/>
      <w:bookmarkStart w:id="235" w:name="_Toc150774626"/>
      <w:r/>
      <w:bookmarkStart w:id="236" w:name="_Toc127151526"/>
      <w:r/>
      <w:bookmarkStart w:id="237" w:name="_Toc150480764"/>
      <w:r/>
      <w:r/>
    </w:p>
    <w:p>
      <w:pPr>
        <w:jc w:val="center"/>
        <w:keepLines/>
        <w:keepNext/>
        <w:spacing w:before="0" w:line="360" w:lineRule="auto"/>
        <w:widowControl w:val="off"/>
        <w:rPr>
          <w:rFonts w:hint="default" w:ascii="Times New Roman" w:hAnsi="Times New Roman" w:eastAsia="宋体" w:cs="Times New Roman"/>
          <w:b/>
          <w:color w:val="auto"/>
          <w:sz w:val="28"/>
          <w:szCs w:val="20"/>
          <w:highlight w:val="none"/>
          <w:lang w:val="en-US" w:eastAsia="zh-CN" w:bidi="ar-SA"/>
        </w:rPr>
        <w:outlineLvl w:val="1"/>
      </w:pPr>
      <w:r>
        <w:rPr>
          <w:rFonts w:hint="default" w:ascii="Times New Roman" w:hAnsi="Times New Roman" w:eastAsia="宋体" w:cs="Times New Roman"/>
          <w:b/>
          <w:color w:val="auto"/>
          <w:sz w:val="28"/>
          <w:szCs w:val="20"/>
          <w:highlight w:val="none"/>
          <w:lang w:val="en-US" w:eastAsia="zh-CN" w:bidi="ar-SA"/>
        </w:rPr>
        <w:t xml:space="preserve">三   投标文件</w:t>
      </w:r>
      <w:bookmarkEnd w:id="215"/>
      <w:r>
        <w:rPr>
          <w:rFonts w:hint="default" w:ascii="Times New Roman" w:hAnsi="Times New Roman" w:eastAsia="宋体" w:cs="Times New Roman"/>
          <w:b/>
          <w:color w:val="auto"/>
          <w:sz w:val="28"/>
          <w:szCs w:val="20"/>
          <w:highlight w:val="none"/>
          <w:lang w:val="en-US" w:eastAsia="zh-CN" w:bidi="ar-SA"/>
        </w:rPr>
        <w:t xml:space="preserve">的编制</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
    </w:p>
    <w:p>
      <w:pPr>
        <w:spacing w:line="360" w:lineRule="auto"/>
        <w:tabs>
          <w:tab w:val="left" w:pos="360" w:leader="none"/>
        </w:tabs>
        <w:rPr>
          <w:rFonts w:hint="eastAsia" w:ascii="宋体" w:hAnsi="宋体" w:eastAsia="宋体" w:cs="宋体"/>
          <w:b/>
          <w:bCs/>
          <w:color w:val="auto"/>
          <w:szCs w:val="21"/>
          <w:highlight w:val="none"/>
        </w:rPr>
        <w:outlineLvl w:val="1"/>
      </w:pPr>
      <w:r/>
      <w:bookmarkStart w:id="238" w:name="_Toc150509278"/>
      <w:r/>
      <w:bookmarkStart w:id="239" w:name="_Toc150480765"/>
      <w:r/>
      <w:bookmarkStart w:id="240" w:name="_Toc164608796"/>
      <w:r/>
      <w:bookmarkStart w:id="241" w:name="_Toc226965800"/>
      <w:r/>
      <w:bookmarkStart w:id="242" w:name="_Toc151193841"/>
      <w:r/>
      <w:bookmarkStart w:id="243" w:name="_Toc226965717"/>
      <w:r/>
      <w:bookmarkStart w:id="244" w:name="_Toc149720820"/>
      <w:r/>
      <w:bookmarkStart w:id="245" w:name="_Toc150774732"/>
      <w:r/>
      <w:bookmarkStart w:id="246" w:name="_Toc226337223"/>
      <w:r/>
      <w:bookmarkStart w:id="247" w:name="_Toc226309771"/>
      <w:r/>
      <w:bookmarkStart w:id="248" w:name="_Toc195842892"/>
      <w:r/>
      <w:bookmarkStart w:id="249" w:name="_Toc151193769"/>
      <w:r/>
      <w:bookmarkStart w:id="250" w:name="_Toc151193915"/>
      <w:r/>
      <w:bookmarkStart w:id="251" w:name="_Toc265228365"/>
      <w:r/>
      <w:bookmarkStart w:id="252" w:name="_Toc142311029"/>
      <w:r/>
      <w:bookmarkStart w:id="253" w:name="_Toc264969217"/>
      <w:r/>
      <w:bookmarkStart w:id="254" w:name="_Toc305158869"/>
      <w:r/>
      <w:bookmarkStart w:id="255" w:name="_Toc150774627"/>
      <w:r/>
      <w:bookmarkStart w:id="256" w:name="_Toc164351621"/>
      <w:r/>
      <w:bookmarkStart w:id="257" w:name="_Toc127151728"/>
      <w:r/>
      <w:bookmarkStart w:id="258" w:name="_Toc151190154"/>
      <w:r/>
      <w:bookmarkStart w:id="259" w:name="_Toc164229222"/>
      <w:r/>
      <w:bookmarkStart w:id="260" w:name="_Toc516367021"/>
      <w:r/>
      <w:bookmarkStart w:id="261" w:name="_Toc151193625"/>
      <w:r/>
      <w:bookmarkStart w:id="262" w:name="_Toc127151527"/>
      <w:r/>
      <w:bookmarkStart w:id="263" w:name="_Toc305158795"/>
      <w:r/>
      <w:bookmarkStart w:id="264" w:name="_Toc151193697"/>
      <w:r/>
      <w:bookmarkStart w:id="265" w:name="_Toc164229368"/>
      <w:r/>
      <w:bookmarkStart w:id="266" w:name="_Toc127161441"/>
      <w:r/>
      <w:bookmarkStart w:id="267" w:name="_Toc520356151"/>
      <w:r/>
      <w:bookmarkStart w:id="268" w:name="_Toc164608641"/>
      <w:r>
        <w:rPr>
          <w:rFonts w:hint="eastAsia" w:ascii="宋体" w:hAnsi="宋体" w:eastAsia="宋体" w:cs="宋体"/>
          <w:b/>
          <w:bCs/>
          <w:color w:val="auto"/>
          <w:szCs w:val="21"/>
          <w:highlight w:val="none"/>
        </w:rPr>
        <w:t xml:space="preserve">9.投标范围、投标文件中计量单位的使用</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rPr>
          <w:rFonts w:hint="eastAsia" w:ascii="宋体" w:hAnsi="宋体" w:eastAsia="宋体" w:cs="宋体"/>
          <w:b/>
          <w:bCs/>
          <w:color w:val="auto"/>
          <w:szCs w:val="21"/>
          <w:highlight w:val="none"/>
        </w:rPr>
        <w:t xml:space="preserve">及投标语言</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color w:val="auto"/>
          <w:szCs w:val="21"/>
          <w:highlight w:val="none"/>
        </w:rPr>
        <w:t xml:space="preserve">无效投标</w:t>
      </w:r>
      <w:r>
        <w:rPr>
          <w:rFonts w:hint="eastAsia" w:ascii="宋体" w:hAnsi="宋体" w:eastAsia="宋体" w:cs="宋体"/>
          <w:color w:val="auto"/>
          <w:szCs w:val="21"/>
          <w:highlight w:val="none"/>
        </w:rPr>
        <w:t xml:space="preserve">。</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9.2除招标文件有特殊要求外，本项目投标所使用的计量单位，应采用中华人民共和国法定计量单位。</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spacing w:line="360" w:lineRule="auto"/>
        <w:tabs>
          <w:tab w:val="left" w:pos="360" w:leader="none"/>
        </w:tabs>
        <w:rPr>
          <w:rFonts w:hint="eastAsia" w:ascii="宋体" w:hAnsi="宋体" w:eastAsia="宋体" w:cs="宋体"/>
          <w:b/>
          <w:bCs/>
          <w:color w:val="auto"/>
          <w:szCs w:val="21"/>
          <w:highlight w:val="none"/>
        </w:rPr>
        <w:outlineLvl w:val="1"/>
      </w:pPr>
      <w:r/>
      <w:bookmarkStart w:id="269" w:name="_Ref467306676"/>
      <w:r/>
      <w:bookmarkStart w:id="270" w:name="_Toc516367022"/>
      <w:r/>
      <w:bookmarkStart w:id="271" w:name="_Ref467306195"/>
      <w:r/>
      <w:bookmarkStart w:id="272" w:name="_Toc151193842"/>
      <w:r/>
      <w:bookmarkStart w:id="273" w:name="_Toc226309772"/>
      <w:r/>
      <w:bookmarkStart w:id="274" w:name="_Toc150774628"/>
      <w:r/>
      <w:bookmarkStart w:id="275" w:name="_Toc151193916"/>
      <w:r/>
      <w:bookmarkStart w:id="276" w:name="_Toc305158870"/>
      <w:r/>
      <w:bookmarkStart w:id="277" w:name="_Toc149720821"/>
      <w:r/>
      <w:bookmarkStart w:id="278" w:name="_Toc226965718"/>
      <w:r/>
      <w:bookmarkStart w:id="279" w:name="_Toc151190155"/>
      <w:r/>
      <w:bookmarkStart w:id="280" w:name="_Toc265228366"/>
      <w:r/>
      <w:bookmarkStart w:id="281" w:name="_Toc264969218"/>
      <w:r/>
      <w:bookmarkStart w:id="282" w:name="_Toc150509279"/>
      <w:r/>
      <w:bookmarkStart w:id="283" w:name="_Toc226337224"/>
      <w:r/>
      <w:bookmarkStart w:id="284" w:name="_Toc164608642"/>
      <w:r/>
      <w:bookmarkStart w:id="285" w:name="_Toc151193770"/>
      <w:r/>
      <w:bookmarkStart w:id="286" w:name="_Toc164351622"/>
      <w:r/>
      <w:bookmarkStart w:id="287" w:name="_Toc127151528"/>
      <w:r/>
      <w:bookmarkStart w:id="288" w:name="_Toc127151729"/>
      <w:r/>
      <w:bookmarkStart w:id="289" w:name="_Toc151193626"/>
      <w:r/>
      <w:bookmarkStart w:id="290" w:name="_Toc127161442"/>
      <w:r/>
      <w:bookmarkStart w:id="291" w:name="_Toc195842893"/>
      <w:r/>
      <w:bookmarkStart w:id="292" w:name="_Toc142311030"/>
      <w:r/>
      <w:bookmarkStart w:id="293" w:name="_Toc305158796"/>
      <w:r/>
      <w:bookmarkStart w:id="294" w:name="_Toc226965801"/>
      <w:r/>
      <w:bookmarkStart w:id="295" w:name="_Toc164229369"/>
      <w:r/>
      <w:bookmarkStart w:id="296" w:name="_Toc150480766"/>
      <w:r/>
      <w:bookmarkStart w:id="297" w:name="_Toc164229223"/>
      <w:r/>
      <w:bookmarkStart w:id="298" w:name="_Toc151193698"/>
      <w:r/>
      <w:bookmarkStart w:id="299" w:name="_Toc150774733"/>
      <w:r/>
      <w:bookmarkStart w:id="300" w:name="_Toc164608797"/>
      <w:r/>
      <w:bookmarkStart w:id="301" w:name="_Toc520356152"/>
      <w:r>
        <w:rPr>
          <w:rFonts w:hint="eastAsia" w:ascii="宋体" w:hAnsi="宋体" w:eastAsia="宋体" w:cs="宋体"/>
          <w:b/>
          <w:bCs/>
          <w:color w:val="auto"/>
          <w:szCs w:val="21"/>
          <w:highlight w:val="none"/>
        </w:rPr>
        <w:t xml:space="preserve">10.投标文件</w:t>
      </w:r>
      <w:bookmarkEnd w:id="269"/>
      <w:r/>
      <w:bookmarkEnd w:id="270"/>
      <w:r/>
      <w:bookmarkEnd w:id="271"/>
      <w:r>
        <w:rPr>
          <w:rFonts w:hint="eastAsia" w:ascii="宋体" w:hAnsi="宋体" w:eastAsia="宋体" w:cs="宋体"/>
          <w:b/>
          <w:bCs/>
          <w:color w:val="auto"/>
          <w:szCs w:val="21"/>
          <w:highlight w:val="none"/>
        </w:rPr>
        <w:t xml:space="preserve">构成</w:t>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bookmarkStart w:id="302" w:name="_Ref467052588"/>
      <w:r>
        <w:rPr>
          <w:rFonts w:hint="eastAsia" w:ascii="宋体" w:hAnsi="宋体" w:eastAsia="宋体" w:cs="宋体"/>
          <w:color w:val="auto"/>
          <w:szCs w:val="21"/>
          <w:highlight w:val="none"/>
        </w:rPr>
        <w:t xml:space="preserve">10.1投标人应当按照招标文件的要求编制投标文件。投标文件应由《资格证明文件》、《商务技术文件》两部分构成。投标文件的部分格式要求，见第七章《投标文件格式》。</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color w:val="auto"/>
          <w:szCs w:val="21"/>
          <w:highlight w:val="none"/>
        </w:rPr>
        <w:t xml:space="preserve">投标无效</w:t>
      </w:r>
      <w:r>
        <w:rPr>
          <w:rFonts w:hint="eastAsia" w:ascii="宋体" w:hAnsi="宋体" w:eastAsia="宋体" w:cs="宋体"/>
          <w:color w:val="auto"/>
          <w:szCs w:val="21"/>
          <w:highlight w:val="none"/>
        </w:rPr>
        <w:t xml:space="preserve">。未标记“实质性格式”的文件和招标文件未提供格式的内容，可由投标人自行编写。</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10.3第四章《评标程序、评标方法和评标标准》中涉及的证明文件。</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10.5投标人认为应附的其他材料。</w:t>
      </w:r>
      <w:bookmarkEnd w:id="302"/>
      <w:r/>
      <w:r/>
    </w:p>
    <w:p>
      <w:pPr>
        <w:spacing w:line="360" w:lineRule="auto"/>
        <w:tabs>
          <w:tab w:val="left" w:pos="360" w:leader="none"/>
        </w:tabs>
        <w:rPr>
          <w:rFonts w:hint="eastAsia" w:ascii="宋体" w:hAnsi="宋体" w:eastAsia="宋体" w:cs="宋体"/>
          <w:b/>
          <w:bCs/>
          <w:color w:val="auto"/>
          <w:szCs w:val="21"/>
          <w:highlight w:val="none"/>
        </w:rPr>
        <w:outlineLvl w:val="1"/>
      </w:pPr>
      <w:r/>
      <w:bookmarkStart w:id="303" w:name="_Toc151193772"/>
      <w:r/>
      <w:bookmarkStart w:id="304" w:name="_Toc127161444"/>
      <w:r/>
      <w:bookmarkStart w:id="305" w:name="_Toc195842895"/>
      <w:r/>
      <w:bookmarkStart w:id="306" w:name="_Toc520356155"/>
      <w:r/>
      <w:bookmarkStart w:id="307" w:name="_Toc164229371"/>
      <w:r/>
      <w:bookmarkStart w:id="308" w:name="_Toc150509281"/>
      <w:r/>
      <w:bookmarkStart w:id="309" w:name="_Toc150774735"/>
      <w:r/>
      <w:bookmarkStart w:id="310" w:name="_Toc151193700"/>
      <w:r/>
      <w:bookmarkStart w:id="311" w:name="_Toc142311032"/>
      <w:r/>
      <w:bookmarkStart w:id="312" w:name="_Toc127151731"/>
      <w:r/>
      <w:bookmarkStart w:id="313" w:name="_Toc151193628"/>
      <w:r/>
      <w:bookmarkStart w:id="314" w:name="_Toc164229225"/>
      <w:r/>
      <w:bookmarkStart w:id="315" w:name="_Toc164351624"/>
      <w:r/>
      <w:bookmarkStart w:id="316" w:name="_Toc151193844"/>
      <w:r/>
      <w:bookmarkStart w:id="317" w:name="_Toc164608644"/>
      <w:r/>
      <w:bookmarkStart w:id="318" w:name="_Toc150480768"/>
      <w:r/>
      <w:bookmarkStart w:id="319" w:name="_Toc127151530"/>
      <w:r/>
      <w:bookmarkStart w:id="320" w:name="_Toc150774630"/>
      <w:r/>
      <w:bookmarkStart w:id="321" w:name="_Toc164608799"/>
      <w:r/>
      <w:bookmarkStart w:id="322" w:name="_Toc151190157"/>
      <w:r/>
      <w:bookmarkStart w:id="323" w:name="_Toc149720823"/>
      <w:r/>
      <w:bookmarkStart w:id="324" w:name="_Toc151193918"/>
      <w:r>
        <w:rPr>
          <w:rFonts w:hint="eastAsia" w:ascii="宋体" w:hAnsi="宋体" w:eastAsia="宋体" w:cs="宋体"/>
          <w:b/>
          <w:bCs/>
          <w:color w:val="auto"/>
          <w:szCs w:val="21"/>
          <w:highlight w:val="none"/>
        </w:rPr>
        <w:t xml:space="preserve">11.投标报价</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11.1所有投标均以人民币报价。</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11.2投标人的报价应包括为完成本项目所发生的一切费用和税费，招标人将不再支付报价以外的任何费用。投标人的报价应包括但不限于下列内容，《投标人须知资料表》中有特殊规定的，从其规定。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11.2.2按照招标文件要求完成本项目的全部相关服务费用。 </w:t>
      </w:r>
      <w:r/>
    </w:p>
    <w:p>
      <w:pPr>
        <w:ind w:firstLine="422"/>
        <w:spacing w:line="3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11.2.3本项目采用</w:t>
      </w:r>
      <w:r>
        <w:rPr>
          <w:rFonts w:hint="eastAsia" w:ascii="宋体" w:hAnsi="宋体" w:eastAsia="宋体" w:cs="宋体"/>
          <w:b/>
          <w:bCs/>
          <w:color w:val="auto"/>
          <w:szCs w:val="21"/>
          <w:highlight w:val="none"/>
          <w:u w:val="single"/>
        </w:rPr>
        <w:t xml:space="preserve">固定总价</w:t>
      </w:r>
      <w:r>
        <w:rPr>
          <w:rFonts w:hint="eastAsia" w:ascii="宋体" w:hAnsi="宋体" w:eastAsia="宋体" w:cs="宋体"/>
          <w:b/>
          <w:bCs/>
          <w:color w:val="auto"/>
          <w:szCs w:val="21"/>
          <w:highlight w:val="none"/>
        </w:rPr>
        <w:t xml:space="preserve">报价，投标报价不得超过最高限价，否则视作未实质性响应招标文件。</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11.3采购人不得向供应商索要或者接受其给予的赠品、回扣或者与采购无关的其他商品、服务。</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11.4投标人不能提供任何有选择性或可调整的报价，否则其</w:t>
      </w:r>
      <w:r>
        <w:rPr>
          <w:rFonts w:hint="eastAsia" w:ascii="宋体" w:hAnsi="宋体" w:eastAsia="宋体" w:cs="宋体"/>
          <w:b/>
          <w:color w:val="auto"/>
          <w:szCs w:val="21"/>
          <w:highlight w:val="none"/>
        </w:rPr>
        <w:t xml:space="preserve">投标无效</w:t>
      </w:r>
      <w:r>
        <w:rPr>
          <w:rFonts w:hint="eastAsia" w:ascii="宋体" w:hAnsi="宋体" w:eastAsia="宋体" w:cs="宋体"/>
          <w:color w:val="auto"/>
          <w:szCs w:val="21"/>
          <w:highlight w:val="none"/>
        </w:rPr>
        <w:t xml:space="preserve">。</w:t>
      </w:r>
      <w:r/>
    </w:p>
    <w:p>
      <w:pPr>
        <w:spacing w:line="360" w:lineRule="auto"/>
        <w:tabs>
          <w:tab w:val="left" w:pos="360" w:leader="none"/>
        </w:tabs>
        <w:rPr>
          <w:rFonts w:hint="eastAsia" w:ascii="宋体" w:hAnsi="宋体" w:eastAsia="宋体" w:cs="宋体"/>
          <w:b/>
          <w:bCs/>
          <w:color w:val="auto"/>
          <w:szCs w:val="21"/>
          <w:highlight w:val="none"/>
        </w:rPr>
        <w:outlineLvl w:val="1"/>
      </w:pPr>
      <w:r/>
      <w:bookmarkStart w:id="325" w:name="_Toc150774736"/>
      <w:r/>
      <w:bookmarkStart w:id="326" w:name="_Toc164608800"/>
      <w:r/>
      <w:bookmarkStart w:id="327" w:name="_Toc149720824"/>
      <w:r/>
      <w:bookmarkStart w:id="328" w:name="_Toc127161445"/>
      <w:r/>
      <w:bookmarkStart w:id="329" w:name="_Toc164608645"/>
      <w:r/>
      <w:bookmarkStart w:id="330" w:name="_Toc164229372"/>
      <w:r/>
      <w:bookmarkStart w:id="331" w:name="_Toc151193701"/>
      <w:r/>
      <w:bookmarkStart w:id="332" w:name="_Toc305158799"/>
      <w:r/>
      <w:bookmarkStart w:id="333" w:name="_Toc226965721"/>
      <w:r/>
      <w:bookmarkStart w:id="334" w:name="_Toc150480769"/>
      <w:r/>
      <w:bookmarkStart w:id="335" w:name="_Toc226309775"/>
      <w:r/>
      <w:bookmarkStart w:id="336" w:name="_Toc127151531"/>
      <w:r/>
      <w:bookmarkStart w:id="337" w:name="_Toc127151732"/>
      <w:r/>
      <w:bookmarkStart w:id="338" w:name="_Ref467306513"/>
      <w:r/>
      <w:bookmarkStart w:id="339" w:name="_Toc265228369"/>
      <w:r/>
      <w:bookmarkStart w:id="340" w:name="_Toc151193845"/>
      <w:r/>
      <w:bookmarkStart w:id="341" w:name="_Toc142311033"/>
      <w:r/>
      <w:bookmarkStart w:id="342" w:name="_Toc305158873"/>
      <w:r/>
      <w:bookmarkStart w:id="343" w:name="_Toc264969221"/>
      <w:r/>
      <w:bookmarkStart w:id="344" w:name="_Toc226337227"/>
      <w:r/>
      <w:bookmarkStart w:id="345" w:name="_Toc195842896"/>
      <w:r/>
      <w:bookmarkStart w:id="346" w:name="_Toc164351625"/>
      <w:r/>
      <w:bookmarkStart w:id="347" w:name="_Toc151193773"/>
      <w:r/>
      <w:bookmarkStart w:id="348" w:name="_Toc226965804"/>
      <w:r/>
      <w:bookmarkStart w:id="349" w:name="_Toc151193629"/>
      <w:r/>
      <w:bookmarkStart w:id="350" w:name="_Toc151193919"/>
      <w:r/>
      <w:bookmarkStart w:id="351" w:name="_Toc150509282"/>
      <w:r/>
      <w:bookmarkStart w:id="352" w:name="_Toc164229226"/>
      <w:r/>
      <w:bookmarkStart w:id="353" w:name="_Toc151190158"/>
      <w:r/>
      <w:bookmarkStart w:id="354" w:name="_Toc150774631"/>
      <w:r/>
      <w:bookmarkStart w:id="355" w:name="_Toc520356156"/>
      <w:r>
        <w:rPr>
          <w:rFonts w:hint="eastAsia" w:ascii="宋体" w:hAnsi="宋体" w:eastAsia="宋体" w:cs="宋体"/>
          <w:b/>
          <w:bCs/>
          <w:color w:val="auto"/>
          <w:szCs w:val="21"/>
          <w:highlight w:val="none"/>
        </w:rPr>
        <w:t xml:space="preserve">12.投标保证金</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Pr>
          <w:rFonts w:hint="eastAsia" w:ascii="宋体" w:hAnsi="宋体" w:eastAsia="宋体" w:cs="宋体"/>
          <w:b/>
          <w:bCs/>
          <w:color w:val="auto"/>
          <w:szCs w:val="21"/>
          <w:highlight w:val="none"/>
        </w:rPr>
        <w:t xml:space="preserve">及履约保证金</w:t>
      </w:r>
      <w:r/>
    </w:p>
    <w:p>
      <w:pPr>
        <w:ind w:left="357"/>
        <w:spacing w:line="360" w:lineRule="auto"/>
        <w:tabs>
          <w:tab w:val="left" w:pos="360" w:leader="none"/>
        </w:tabs>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12.1根据江苏省和常州市的相关文件规定，免收投标保证金。</w:t>
      </w:r>
      <w:r/>
    </w:p>
    <w:p>
      <w:pPr>
        <w:ind w:left="357"/>
        <w:spacing w:line="360" w:lineRule="auto"/>
        <w:tabs>
          <w:tab w:val="left" w:pos="360" w:leader="none"/>
        </w:tabs>
        <w:rPr>
          <w:rFonts w:hint="eastAsia" w:ascii="宋体" w:hAnsi="宋体" w:eastAsia="宋体" w:cs="宋体"/>
          <w:color w:val="auto"/>
          <w:highlight w:val="none"/>
        </w:rPr>
        <w:outlineLvl w:val="1"/>
      </w:pPr>
      <w:r>
        <w:rPr>
          <w:rFonts w:hint="eastAsia" w:ascii="宋体" w:hAnsi="宋体" w:eastAsia="宋体" w:cs="宋体"/>
          <w:color w:val="auto"/>
          <w:szCs w:val="21"/>
          <w:highlight w:val="none"/>
        </w:rPr>
        <w:t xml:space="preserve">12.2</w:t>
      </w:r>
      <w:r>
        <w:rPr>
          <w:rFonts w:hint="eastAsia" w:ascii="宋体" w:hAnsi="宋体" w:eastAsia="宋体" w:cs="宋体"/>
          <w:color w:val="auto"/>
          <w:highlight w:val="none"/>
        </w:rPr>
        <w:t xml:space="preserve">中标人须在合同签订之日起5日内向采购人提供金额为</w:t>
      </w:r>
      <w:r>
        <w:rPr>
          <w:rFonts w:hint="eastAsia" w:ascii="宋体" w:hAnsi="宋体" w:eastAsia="宋体" w:cs="宋体"/>
          <w:color w:val="auto"/>
          <w:highlight w:val="none"/>
          <w:u w:val="single"/>
        </w:rPr>
        <w:t xml:space="preserve">  </w:t>
      </w:r>
      <w:r>
        <w:rPr>
          <w:rFonts w:hint="eastAsia" w:ascii="宋体" w:hAnsi="宋体" w:eastAsia="宋体" w:cs="宋体"/>
          <w:b/>
          <w:bCs/>
          <w:color w:val="auto"/>
          <w:highlight w:val="none"/>
          <w:u w:val="single"/>
        </w:rPr>
        <w:t xml:space="preserve">/ </w:t>
      </w:r>
      <w:r>
        <w:rPr>
          <w:rFonts w:hint="eastAsia" w:ascii="宋体" w:hAnsi="宋体" w:eastAsia="宋体" w:cs="宋体"/>
          <w:color w:val="auto"/>
          <w:highlight w:val="none"/>
        </w:rPr>
        <w:t xml:space="preserve">的履约保证金或保函。</w:t>
      </w:r>
      <w:r/>
    </w:p>
    <w:p>
      <w:pPr>
        <w:ind w:left="357"/>
        <w:spacing w:line="360" w:lineRule="auto"/>
        <w:tabs>
          <w:tab w:val="left" w:pos="360" w:leader="none"/>
        </w:tabs>
        <w:rPr>
          <w:rFonts w:hint="eastAsia" w:ascii="Times New Roman" w:hAnsi="Times New Roman" w:eastAsia="宋体" w:cs="Times New Roman"/>
          <w:color w:val="auto"/>
          <w:highlight w:val="none"/>
        </w:rPr>
        <w:outlineLvl w:val="1"/>
      </w:pPr>
      <w:r>
        <w:rPr>
          <w:rFonts w:hint="eastAsia" w:ascii="宋体" w:hAnsi="宋体" w:eastAsia="宋体" w:cs="宋体"/>
          <w:color w:val="auto"/>
          <w:highlight w:val="none"/>
        </w:rPr>
        <w:t xml:space="preserve">12.3履约保证金将项目结束后30日内无息退返中标人。</w:t>
      </w:r>
      <w:r/>
    </w:p>
    <w:p>
      <w:pPr>
        <w:spacing w:line="360" w:lineRule="auto"/>
        <w:tabs>
          <w:tab w:val="left" w:pos="360" w:leader="none"/>
        </w:tabs>
        <w:rPr>
          <w:rFonts w:hint="eastAsia" w:ascii="宋体" w:hAnsi="宋体" w:eastAsia="宋体" w:cs="宋体"/>
          <w:b/>
          <w:bCs/>
          <w:color w:val="auto"/>
          <w:szCs w:val="21"/>
          <w:highlight w:val="none"/>
        </w:rPr>
        <w:outlineLvl w:val="1"/>
      </w:pPr>
      <w:r/>
      <w:bookmarkStart w:id="356" w:name="_Toc150480770"/>
      <w:r/>
      <w:bookmarkStart w:id="357" w:name="_Toc150774737"/>
      <w:r/>
      <w:bookmarkStart w:id="358" w:name="_Toc226965722"/>
      <w:r/>
      <w:bookmarkStart w:id="359" w:name="_Toc520356157"/>
      <w:r/>
      <w:bookmarkStart w:id="360" w:name="_Toc151193702"/>
      <w:r/>
      <w:bookmarkStart w:id="361" w:name="_Toc127151733"/>
      <w:r/>
      <w:bookmarkStart w:id="362" w:name="_Toc305158874"/>
      <w:r/>
      <w:bookmarkStart w:id="363" w:name="_Toc151193630"/>
      <w:r/>
      <w:bookmarkStart w:id="364" w:name="_Toc150774632"/>
      <w:r/>
      <w:bookmarkStart w:id="365" w:name="_Toc151190159"/>
      <w:r/>
      <w:bookmarkStart w:id="366" w:name="_Toc142311034"/>
      <w:r/>
      <w:bookmarkStart w:id="367" w:name="_Toc305158800"/>
      <w:r/>
      <w:bookmarkStart w:id="368" w:name="_Toc164229227"/>
      <w:r/>
      <w:bookmarkStart w:id="369" w:name="_Toc151193774"/>
      <w:r/>
      <w:bookmarkStart w:id="370" w:name="_Toc264969222"/>
      <w:r/>
      <w:bookmarkStart w:id="371" w:name="_Toc226965805"/>
      <w:r/>
      <w:bookmarkStart w:id="372" w:name="_Toc164608646"/>
      <w:r/>
      <w:bookmarkStart w:id="373" w:name="_Toc151193846"/>
      <w:r/>
      <w:bookmarkStart w:id="374" w:name="_Toc226309776"/>
      <w:r/>
      <w:bookmarkStart w:id="375" w:name="_Toc164608801"/>
      <w:r/>
      <w:bookmarkStart w:id="376" w:name="_Toc149720825"/>
      <w:r/>
      <w:bookmarkStart w:id="377" w:name="_Toc127161446"/>
      <w:r/>
      <w:bookmarkStart w:id="378" w:name="_Toc164229373"/>
      <w:r/>
      <w:bookmarkStart w:id="379" w:name="_Toc226337228"/>
      <w:r/>
      <w:bookmarkStart w:id="380" w:name="_Toc265228370"/>
      <w:r/>
      <w:bookmarkStart w:id="381" w:name="_Toc195842897"/>
      <w:r/>
      <w:bookmarkStart w:id="382" w:name="_Toc150509283"/>
      <w:r/>
      <w:bookmarkStart w:id="383" w:name="_Toc164351626"/>
      <w:r/>
      <w:bookmarkStart w:id="384" w:name="_Toc127151532"/>
      <w:r/>
      <w:bookmarkStart w:id="385" w:name="_Toc151193920"/>
      <w:r>
        <w:rPr>
          <w:rFonts w:hint="eastAsia" w:ascii="宋体" w:hAnsi="宋体" w:eastAsia="宋体" w:cs="宋体"/>
          <w:b/>
          <w:bCs/>
          <w:color w:val="auto"/>
          <w:szCs w:val="21"/>
          <w:highlight w:val="none"/>
        </w:rPr>
        <w:t xml:space="preserve">13.投标有效期</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13.1投标文件应在本招标文件《投标人须知资料表》中规定的投标有效期内保持有效，投标有效期少于招标文件规定期限的，其</w:t>
      </w:r>
      <w:r>
        <w:rPr>
          <w:rFonts w:hint="eastAsia" w:ascii="宋体" w:hAnsi="宋体" w:eastAsia="宋体" w:cs="宋体"/>
          <w:b/>
          <w:color w:val="auto"/>
          <w:szCs w:val="21"/>
          <w:highlight w:val="none"/>
        </w:rPr>
        <w:t xml:space="preserve">投标无效</w:t>
      </w:r>
      <w:r>
        <w:rPr>
          <w:rFonts w:hint="eastAsia" w:ascii="宋体" w:hAnsi="宋体" w:eastAsia="宋体" w:cs="宋体"/>
          <w:color w:val="auto"/>
          <w:szCs w:val="21"/>
          <w:highlight w:val="none"/>
        </w:rPr>
        <w:t xml:space="preserve">。</w:t>
      </w:r>
      <w:r/>
    </w:p>
    <w:p>
      <w:pPr>
        <w:spacing w:line="360" w:lineRule="auto"/>
        <w:tabs>
          <w:tab w:val="left" w:pos="360" w:leader="none"/>
        </w:tabs>
        <w:rPr>
          <w:rFonts w:hint="eastAsia" w:ascii="宋体" w:hAnsi="宋体" w:eastAsia="宋体" w:cs="宋体"/>
          <w:b/>
          <w:bCs/>
          <w:color w:val="auto"/>
          <w:szCs w:val="21"/>
          <w:highlight w:val="none"/>
        </w:rPr>
        <w:outlineLvl w:val="1"/>
      </w:pPr>
      <w:r/>
      <w:bookmarkStart w:id="386" w:name="_Toc305158875"/>
      <w:r/>
      <w:bookmarkStart w:id="387" w:name="_Toc127161447"/>
      <w:r/>
      <w:bookmarkStart w:id="388" w:name="_Toc150774738"/>
      <w:r/>
      <w:bookmarkStart w:id="389" w:name="_Toc520356158"/>
      <w:r/>
      <w:bookmarkStart w:id="390" w:name="_Toc164351627"/>
      <w:r/>
      <w:bookmarkStart w:id="391" w:name="_Toc149720826"/>
      <w:r/>
      <w:bookmarkStart w:id="392" w:name="_Toc127151533"/>
      <w:r/>
      <w:bookmarkStart w:id="393" w:name="_Toc142311035"/>
      <w:r/>
      <w:bookmarkStart w:id="394" w:name="_Toc164229374"/>
      <w:r/>
      <w:bookmarkStart w:id="395" w:name="_Toc151193703"/>
      <w:r/>
      <w:bookmarkStart w:id="396" w:name="_Toc151193847"/>
      <w:r/>
      <w:bookmarkStart w:id="397" w:name="_Toc226337229"/>
      <w:r/>
      <w:bookmarkStart w:id="398" w:name="_Toc151193775"/>
      <w:r/>
      <w:bookmarkStart w:id="399" w:name="_Toc226965806"/>
      <w:r/>
      <w:bookmarkStart w:id="400" w:name="_Toc151193921"/>
      <w:r/>
      <w:bookmarkStart w:id="401" w:name="_Toc127151734"/>
      <w:r/>
      <w:bookmarkStart w:id="402" w:name="_Toc164608647"/>
      <w:r/>
      <w:bookmarkStart w:id="403" w:name="_Toc164608802"/>
      <w:r/>
      <w:bookmarkStart w:id="404" w:name="_Toc151190160"/>
      <w:r/>
      <w:bookmarkStart w:id="405" w:name="_Toc265228371"/>
      <w:r/>
      <w:bookmarkStart w:id="406" w:name="_Toc264969223"/>
      <w:r/>
      <w:bookmarkStart w:id="407" w:name="_Toc226965723"/>
      <w:r/>
      <w:bookmarkStart w:id="408" w:name="_Toc164229228"/>
      <w:r/>
      <w:bookmarkStart w:id="409" w:name="_Toc226309777"/>
      <w:r/>
      <w:bookmarkStart w:id="410" w:name="_Toc150480771"/>
      <w:r/>
      <w:bookmarkStart w:id="411" w:name="_Toc195842898"/>
      <w:r/>
      <w:bookmarkStart w:id="412" w:name="_Toc150774633"/>
      <w:r/>
      <w:bookmarkStart w:id="413" w:name="_Toc151193631"/>
      <w:r/>
      <w:bookmarkStart w:id="414" w:name="_Toc305158801"/>
      <w:r/>
      <w:bookmarkStart w:id="415" w:name="_Toc150509284"/>
      <w:r>
        <w:rPr>
          <w:rFonts w:hint="eastAsia" w:ascii="宋体" w:hAnsi="宋体" w:eastAsia="宋体" w:cs="宋体"/>
          <w:b/>
          <w:bCs/>
          <w:color w:val="auto"/>
          <w:szCs w:val="21"/>
          <w:highlight w:val="none"/>
        </w:rPr>
        <w:t xml:space="preserve">14.投标文件的签署</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hint="eastAsia" w:ascii="宋体" w:hAnsi="宋体" w:eastAsia="宋体" w:cs="宋体"/>
          <w:b/>
          <w:bCs/>
          <w:color w:val="auto"/>
          <w:szCs w:val="21"/>
          <w:highlight w:val="none"/>
        </w:rPr>
        <w:t xml:space="preserve">、加盖公章</w:t>
      </w:r>
      <w:r/>
    </w:p>
    <w:p>
      <w:pPr>
        <w:ind w:firstLine="420"/>
        <w:spacing w:line="360" w:lineRule="auto"/>
        <w:rPr>
          <w:rFonts w:hint="eastAsia" w:ascii="宋体" w:hAnsi="宋体" w:eastAsia="宋体" w:cs="宋体"/>
          <w:color w:val="auto"/>
          <w:szCs w:val="21"/>
          <w:highlight w:val="none"/>
        </w:rPr>
      </w:pPr>
      <w:r/>
      <w:bookmarkStart w:id="416" w:name="_Toc151193922"/>
      <w:r/>
      <w:bookmarkStart w:id="417" w:name="_Toc264969224"/>
      <w:r/>
      <w:bookmarkStart w:id="418" w:name="_Toc226965807"/>
      <w:r/>
      <w:bookmarkStart w:id="419" w:name="_Toc151193632"/>
      <w:r/>
      <w:bookmarkStart w:id="420" w:name="_Toc142311036"/>
      <w:r/>
      <w:bookmarkStart w:id="421" w:name="_Toc150774634"/>
      <w:r/>
      <w:bookmarkStart w:id="422" w:name="_Toc305158802"/>
      <w:r/>
      <w:bookmarkStart w:id="423" w:name="_Toc150774739"/>
      <w:r/>
      <w:bookmarkStart w:id="424" w:name="_Toc195842899"/>
      <w:r/>
      <w:bookmarkStart w:id="425" w:name="_Toc151193848"/>
      <w:r/>
      <w:bookmarkStart w:id="426" w:name="_Toc226309778"/>
      <w:r/>
      <w:bookmarkStart w:id="427" w:name="_Toc151190161"/>
      <w:r/>
      <w:bookmarkStart w:id="428" w:name="_Toc150509285"/>
      <w:r/>
      <w:bookmarkStart w:id="429" w:name="_Toc265228372"/>
      <w:r/>
      <w:bookmarkStart w:id="430" w:name="_Toc226337230"/>
      <w:r/>
      <w:bookmarkStart w:id="431" w:name="_Toc150480772"/>
      <w:r/>
      <w:bookmarkStart w:id="432" w:name="_Toc305158876"/>
      <w:r/>
      <w:bookmarkStart w:id="433" w:name="_Toc151193704"/>
      <w:r/>
      <w:bookmarkStart w:id="434" w:name="_Toc151193776"/>
      <w:r/>
      <w:bookmarkStart w:id="435" w:name="_Toc520356159"/>
      <w:r/>
      <w:bookmarkStart w:id="436" w:name="_Toc226965724"/>
      <w:r/>
      <w:bookmarkStart w:id="437" w:name="_Toc127151534"/>
      <w:r>
        <w:rPr>
          <w:rFonts w:hint="eastAsia" w:ascii="宋体" w:hAnsi="宋体" w:eastAsia="宋体" w:cs="宋体"/>
          <w:color w:val="auto"/>
          <w:szCs w:val="21"/>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ind w:firstLine="422"/>
        <w:spacing w:line="360" w:lineRule="auto"/>
        <w:rPr>
          <w:rFonts w:ascii="Times New Roman" w:hAnsi="Times New Roman" w:eastAsia="宋体" w:cs="Times New Roman"/>
          <w:color w:val="auto"/>
          <w:highlight w:val="none"/>
        </w:rPr>
      </w:pPr>
      <w:r>
        <w:rPr>
          <w:rFonts w:hint="eastAsia" w:ascii="宋体" w:hAnsi="宋体" w:eastAsia="宋体" w:cs="宋体"/>
          <w:b/>
          <w:bCs/>
          <w:color w:val="auto"/>
          <w:szCs w:val="21"/>
          <w:highlight w:val="none"/>
        </w:rPr>
        <w:t xml:space="preserve">14.2招标文件要求加盖公章的内容，一般通过投标文件编制工具加盖电子签章。</w:t>
      </w:r>
      <w:r/>
    </w:p>
    <w:p>
      <w:pPr>
        <w:jc w:val="center"/>
        <w:keepLines/>
        <w:keepNext/>
        <w:spacing w:before="0" w:line="360" w:lineRule="auto"/>
        <w:widowControl w:val="off"/>
        <w:rPr>
          <w:rFonts w:hint="default" w:ascii="Times New Roman" w:hAnsi="Times New Roman" w:eastAsia="宋体" w:cs="Times New Roman"/>
          <w:b/>
          <w:color w:val="auto"/>
          <w:sz w:val="28"/>
          <w:szCs w:val="20"/>
          <w:highlight w:val="none"/>
          <w:lang w:val="en-US" w:eastAsia="zh-CN" w:bidi="ar-SA"/>
        </w:rPr>
        <w:outlineLvl w:val="1"/>
      </w:pPr>
      <w:r>
        <w:rPr>
          <w:rFonts w:hint="default" w:ascii="Times New Roman" w:hAnsi="Times New Roman" w:eastAsia="宋体" w:cs="Times New Roman"/>
          <w:b/>
          <w:color w:val="auto"/>
          <w:sz w:val="28"/>
          <w:szCs w:val="20"/>
          <w:highlight w:val="none"/>
          <w:lang w:val="en-US" w:eastAsia="zh-CN" w:bidi="ar-SA"/>
        </w:rPr>
        <w:t xml:space="preserve">四   投标文件的提交</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r/>
    </w:p>
    <w:p>
      <w:pPr>
        <w:spacing w:line="360" w:lineRule="auto"/>
        <w:tabs>
          <w:tab w:val="left" w:pos="360" w:leader="none"/>
        </w:tabs>
        <w:rPr>
          <w:rFonts w:hint="eastAsia" w:ascii="宋体" w:hAnsi="宋体" w:eastAsia="宋体" w:cs="宋体"/>
          <w:b/>
          <w:bCs/>
          <w:color w:val="auto"/>
          <w:szCs w:val="21"/>
          <w:highlight w:val="none"/>
        </w:rPr>
        <w:outlineLvl w:val="1"/>
      </w:pPr>
      <w:r/>
      <w:bookmarkStart w:id="438" w:name="_Toc151193849"/>
      <w:r/>
      <w:bookmarkStart w:id="439" w:name="_Toc151193777"/>
      <w:r/>
      <w:bookmarkStart w:id="440" w:name="_Toc265228373"/>
      <w:r/>
      <w:bookmarkStart w:id="441" w:name="_Toc164608804"/>
      <w:r/>
      <w:bookmarkStart w:id="442" w:name="_Toc127161449"/>
      <w:r/>
      <w:bookmarkStart w:id="443" w:name="_Toc151193705"/>
      <w:r/>
      <w:bookmarkStart w:id="444" w:name="_Toc149720828"/>
      <w:r/>
      <w:bookmarkStart w:id="445" w:name="_Toc164229376"/>
      <w:r/>
      <w:bookmarkStart w:id="446" w:name="_Toc195842900"/>
      <w:r/>
      <w:bookmarkStart w:id="447" w:name="_Toc264969225"/>
      <w:r/>
      <w:bookmarkStart w:id="448" w:name="_Toc127151736"/>
      <w:r/>
      <w:bookmarkStart w:id="449" w:name="_Toc226309779"/>
      <w:r/>
      <w:bookmarkStart w:id="450" w:name="_Toc226965808"/>
      <w:r/>
      <w:bookmarkStart w:id="451" w:name="_Toc150509286"/>
      <w:r/>
      <w:bookmarkStart w:id="452" w:name="_Toc151193633"/>
      <w:r/>
      <w:bookmarkStart w:id="453" w:name="_Toc305158877"/>
      <w:r/>
      <w:bookmarkStart w:id="454" w:name="_Toc226337231"/>
      <w:r/>
      <w:bookmarkStart w:id="455" w:name="_Toc142311037"/>
      <w:r/>
      <w:bookmarkStart w:id="456" w:name="_Toc151190162"/>
      <w:r/>
      <w:bookmarkStart w:id="457" w:name="_Toc164351629"/>
      <w:r/>
      <w:bookmarkStart w:id="458" w:name="_Toc127151535"/>
      <w:r/>
      <w:bookmarkStart w:id="459" w:name="_Toc520356160"/>
      <w:r/>
      <w:bookmarkStart w:id="460" w:name="_Toc305158803"/>
      <w:r/>
      <w:bookmarkStart w:id="461" w:name="_Toc150774740"/>
      <w:r/>
      <w:bookmarkStart w:id="462" w:name="_Toc151193923"/>
      <w:r/>
      <w:bookmarkStart w:id="463" w:name="_Toc164229230"/>
      <w:r/>
      <w:bookmarkStart w:id="464" w:name="_Toc164608649"/>
      <w:r/>
      <w:bookmarkStart w:id="465" w:name="_Toc226965725"/>
      <w:r/>
      <w:bookmarkStart w:id="466" w:name="_Toc150480773"/>
      <w:r/>
      <w:bookmarkStart w:id="467" w:name="_Toc150774635"/>
      <w:r>
        <w:rPr>
          <w:rFonts w:hint="eastAsia" w:ascii="宋体" w:hAnsi="宋体" w:eastAsia="宋体" w:cs="宋体"/>
          <w:b/>
          <w:bCs/>
          <w:color w:val="auto"/>
          <w:szCs w:val="21"/>
          <w:highlight w:val="none"/>
        </w:rPr>
        <w:t xml:space="preserve">15.投标文件的</w:t>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Pr>
          <w:rFonts w:hint="eastAsia" w:ascii="宋体" w:hAnsi="宋体" w:eastAsia="宋体" w:cs="宋体"/>
          <w:b/>
          <w:bCs/>
          <w:color w:val="auto"/>
          <w:szCs w:val="21"/>
          <w:highlight w:val="none"/>
        </w:rPr>
        <w:t xml:space="preserve">提交</w:t>
      </w:r>
      <w:r/>
    </w:p>
    <w:p>
      <w:pPr>
        <w:ind w:firstLine="420"/>
        <w:spacing w:line="360" w:lineRule="auto"/>
        <w:tabs>
          <w:tab w:val="left" w:pos="360" w:leader="none"/>
        </w:tabs>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15.1本项目使用“苏采云”政府采购一体化平台。投标人根据招标文件及“苏采云”政府采购一体化平台供应商操作手册要求编制、生成并提交电子投标文件。 </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15.2采购人及采购代理机构拒绝接受通过“苏采云”政府采购一体化平台以外任何形式提交的投标文件。</w:t>
      </w:r>
      <w:r/>
    </w:p>
    <w:p>
      <w:pPr>
        <w:spacing w:line="360" w:lineRule="auto"/>
        <w:tabs>
          <w:tab w:val="left" w:pos="360" w:leader="none"/>
        </w:tabs>
        <w:rPr>
          <w:rFonts w:ascii="Times New Roman" w:hAnsi="Times New Roman" w:eastAsia="宋体" w:cs="Times New Roman"/>
          <w:b/>
          <w:bCs/>
          <w:color w:val="auto"/>
          <w:szCs w:val="21"/>
          <w:highlight w:val="none"/>
        </w:rPr>
        <w:outlineLvl w:val="1"/>
      </w:pPr>
      <w:r/>
      <w:bookmarkStart w:id="468" w:name="_Toc151193634"/>
      <w:r/>
      <w:bookmarkStart w:id="469" w:name="_Toc150480774"/>
      <w:r/>
      <w:bookmarkStart w:id="470" w:name="_Toc127161450"/>
      <w:r/>
      <w:bookmarkStart w:id="471" w:name="_Toc150509287"/>
      <w:r/>
      <w:bookmarkStart w:id="472" w:name="_Toc195842901"/>
      <w:r/>
      <w:bookmarkStart w:id="473" w:name="_Toc226337232"/>
      <w:r/>
      <w:bookmarkStart w:id="474" w:name="_Toc305158878"/>
      <w:r/>
      <w:bookmarkStart w:id="475" w:name="_Toc164229377"/>
      <w:r/>
      <w:bookmarkStart w:id="476" w:name="_Toc149720829"/>
      <w:r/>
      <w:bookmarkStart w:id="477" w:name="_Toc164608805"/>
      <w:r/>
      <w:bookmarkStart w:id="478" w:name="_Toc151193706"/>
      <w:r/>
      <w:bookmarkStart w:id="479" w:name="_Toc520356161"/>
      <w:r/>
      <w:bookmarkStart w:id="480" w:name="_Toc142311038"/>
      <w:r/>
      <w:bookmarkStart w:id="481" w:name="_Toc150774741"/>
      <w:r/>
      <w:bookmarkStart w:id="482" w:name="_Toc265228374"/>
      <w:r/>
      <w:bookmarkStart w:id="483" w:name="_Toc226309780"/>
      <w:r/>
      <w:bookmarkStart w:id="484" w:name="_Toc226965726"/>
      <w:r/>
      <w:bookmarkStart w:id="485" w:name="_Toc127151737"/>
      <w:r/>
      <w:bookmarkStart w:id="486" w:name="_Toc226965809"/>
      <w:r/>
      <w:bookmarkStart w:id="487" w:name="_Toc151193778"/>
      <w:r/>
      <w:bookmarkStart w:id="488" w:name="_Toc164351630"/>
      <w:r/>
      <w:bookmarkStart w:id="489" w:name="_Toc264969226"/>
      <w:r/>
      <w:bookmarkStart w:id="490" w:name="_Toc151193850"/>
      <w:r/>
      <w:bookmarkStart w:id="491" w:name="_Toc305158804"/>
      <w:r/>
      <w:bookmarkStart w:id="492" w:name="_Toc164608650"/>
      <w:r/>
      <w:bookmarkStart w:id="493" w:name="_Toc151193924"/>
      <w:r/>
      <w:bookmarkStart w:id="494" w:name="_Toc164229231"/>
      <w:r/>
      <w:bookmarkStart w:id="495" w:name="_Toc150774636"/>
      <w:r/>
      <w:bookmarkStart w:id="496" w:name="_Toc151190163"/>
      <w:r/>
      <w:bookmarkStart w:id="497" w:name="_Toc127151536"/>
      <w:r>
        <w:rPr>
          <w:rFonts w:hint="eastAsia" w:ascii="Times New Roman" w:hAnsi="Times New Roman" w:eastAsia="宋体" w:cs="Times New Roman"/>
          <w:b/>
          <w:bCs/>
          <w:color w:val="auto"/>
          <w:szCs w:val="21"/>
          <w:highlight w:val="none"/>
        </w:rPr>
        <w:t xml:space="preserve">16.</w:t>
      </w:r>
      <w:r>
        <w:rPr>
          <w:rFonts w:ascii="Times New Roman" w:hAnsi="Times New Roman" w:eastAsia="宋体" w:cs="Times New Roman"/>
          <w:b/>
          <w:bCs/>
          <w:color w:val="auto"/>
          <w:szCs w:val="21"/>
          <w:highlight w:val="none"/>
        </w:rPr>
        <w:t xml:space="preserve">投标截止</w:t>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rPr>
          <w:rFonts w:ascii="Times New Roman" w:hAnsi="Times New Roman" w:eastAsia="宋体" w:cs="Times New Roman"/>
          <w:b/>
          <w:bCs/>
          <w:color w:val="auto"/>
          <w:szCs w:val="21"/>
          <w:highlight w:val="none"/>
        </w:rPr>
        <w:t xml:space="preserve">时间</w:t>
      </w:r>
      <w:r/>
    </w:p>
    <w:p>
      <w:pPr>
        <w:ind w:firstLine="420"/>
        <w:spacing w:line="360" w:lineRule="auto"/>
        <w:tabs>
          <w:tab w:val="left" w:pos="360" w:leader="none"/>
        </w:tabs>
        <w:rPr>
          <w:rFonts w:hint="eastAsia" w:ascii="宋体" w:hAnsi="宋体" w:eastAsia="宋体" w:cs="宋体"/>
          <w:color w:val="auto"/>
          <w:szCs w:val="21"/>
          <w:highlight w:val="none"/>
        </w:rPr>
        <w:outlineLvl w:val="1"/>
      </w:pPr>
      <w:r/>
      <w:bookmarkStart w:id="498" w:name="_Toc520356162"/>
      <w:r/>
      <w:bookmarkStart w:id="499" w:name="_Toc151193851"/>
      <w:r/>
      <w:bookmarkStart w:id="500" w:name="_Toc151193779"/>
      <w:r/>
      <w:bookmarkStart w:id="501" w:name="_Toc226309781"/>
      <w:r/>
      <w:bookmarkStart w:id="502" w:name="_Toc264969227"/>
      <w:r/>
      <w:bookmarkStart w:id="503" w:name="_Toc127151537"/>
      <w:r/>
      <w:bookmarkStart w:id="504" w:name="_Toc164608651"/>
      <w:r/>
      <w:bookmarkStart w:id="505" w:name="_Toc151190164"/>
      <w:r/>
      <w:bookmarkStart w:id="506" w:name="_Toc226965810"/>
      <w:r/>
      <w:bookmarkStart w:id="507" w:name="_Toc149720830"/>
      <w:r/>
      <w:bookmarkStart w:id="508" w:name="_Toc150509288"/>
      <w:r/>
      <w:bookmarkStart w:id="509" w:name="_Toc305158879"/>
      <w:r/>
      <w:bookmarkStart w:id="510" w:name="_Toc265228375"/>
      <w:r/>
      <w:bookmarkStart w:id="511" w:name="_Toc226337233"/>
      <w:r/>
      <w:bookmarkStart w:id="512" w:name="_Toc164229378"/>
      <w:r/>
      <w:bookmarkStart w:id="513" w:name="_Toc226965727"/>
      <w:r/>
      <w:bookmarkStart w:id="514" w:name="_Toc305158805"/>
      <w:r/>
      <w:bookmarkStart w:id="515" w:name="_Toc151193707"/>
      <w:r/>
      <w:bookmarkStart w:id="516" w:name="_Toc164608806"/>
      <w:r/>
      <w:bookmarkStart w:id="517" w:name="_Toc150480775"/>
      <w:r/>
      <w:bookmarkStart w:id="518" w:name="_Toc127161451"/>
      <w:r/>
      <w:bookmarkStart w:id="519" w:name="_Toc142311039"/>
      <w:r/>
      <w:bookmarkStart w:id="520" w:name="_Toc127151738"/>
      <w:r/>
      <w:bookmarkStart w:id="521" w:name="_Toc150774742"/>
      <w:r/>
      <w:bookmarkStart w:id="522" w:name="_Toc151193925"/>
      <w:r/>
      <w:bookmarkStart w:id="523" w:name="_Toc150774637"/>
      <w:r/>
      <w:bookmarkStart w:id="524" w:name="_Toc195842902"/>
      <w:r/>
      <w:bookmarkStart w:id="525" w:name="_Toc164229232"/>
      <w:r/>
      <w:bookmarkStart w:id="526" w:name="_Toc164351631"/>
      <w:r/>
      <w:bookmarkStart w:id="527" w:name="_Toc151193635"/>
      <w:r>
        <w:rPr>
          <w:rFonts w:hint="eastAsia" w:ascii="宋体" w:hAnsi="宋体" w:eastAsia="宋体" w:cs="宋体"/>
          <w:color w:val="auto"/>
          <w:szCs w:val="21"/>
          <w:highlight w:val="none"/>
        </w:rPr>
        <w:t xml:space="preserve">16.1投标人应在招标文件要求提交投标文件截止时间前，将电子投标文件提交至“苏采云”政府采购一体化平台。</w:t>
      </w:r>
      <w:r/>
    </w:p>
    <w:p>
      <w:pPr>
        <w:spacing w:line="360" w:lineRule="auto"/>
        <w:tabs>
          <w:tab w:val="left" w:pos="360" w:leader="none"/>
        </w:tabs>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17.投标文件的修改与撤回</w:t>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17.1投标截止时间前，投标人可以通过“苏采云”政府采购一体化平台对所提交的投标文件进行补充、修改或者撤回。</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17.2投标人对投标文件的补充、修改的内容应当按照招标文件要求签署、加盖公章，作为投标文件的组成部分。</w:t>
      </w:r>
      <w:r/>
    </w:p>
    <w:p>
      <w:pPr>
        <w:jc w:val="center"/>
        <w:keepLines/>
        <w:keepNext/>
        <w:spacing w:before="0" w:line="360" w:lineRule="auto"/>
        <w:widowControl w:val="off"/>
        <w:rPr>
          <w:rFonts w:hint="default" w:ascii="Times New Roman" w:hAnsi="Times New Roman" w:eastAsia="宋体" w:cs="Times New Roman"/>
          <w:b/>
          <w:color w:val="auto"/>
          <w:sz w:val="28"/>
          <w:szCs w:val="20"/>
          <w:highlight w:val="none"/>
          <w:lang w:val="en-US" w:eastAsia="zh-CN" w:bidi="ar-SA"/>
        </w:rPr>
        <w:outlineLvl w:val="1"/>
      </w:pPr>
      <w:r/>
      <w:bookmarkStart w:id="528" w:name="_Toc150509289"/>
      <w:r/>
      <w:bookmarkStart w:id="529" w:name="_Toc127151538"/>
      <w:r/>
      <w:bookmarkStart w:id="530" w:name="_Toc150774743"/>
      <w:r/>
      <w:bookmarkStart w:id="531" w:name="_Toc226309782"/>
      <w:r/>
      <w:bookmarkStart w:id="532" w:name="_Toc151193780"/>
      <w:r/>
      <w:bookmarkStart w:id="533" w:name="_Toc520356163"/>
      <w:r/>
      <w:bookmarkStart w:id="534" w:name="_Toc150480776"/>
      <w:r/>
      <w:bookmarkStart w:id="535" w:name="_Toc151190165"/>
      <w:r/>
      <w:bookmarkStart w:id="536" w:name="_Toc151193852"/>
      <w:r/>
      <w:bookmarkStart w:id="537" w:name="_Toc226965811"/>
      <w:r/>
      <w:bookmarkStart w:id="538" w:name="_Toc151193926"/>
      <w:r/>
      <w:bookmarkStart w:id="539" w:name="_Toc150774638"/>
      <w:r/>
      <w:bookmarkStart w:id="540" w:name="_Toc142311040"/>
      <w:r/>
      <w:bookmarkStart w:id="541" w:name="_Toc305158806"/>
      <w:r/>
      <w:bookmarkStart w:id="542" w:name="_Toc151193708"/>
      <w:r/>
      <w:bookmarkStart w:id="543" w:name="_Toc265228376"/>
      <w:r/>
      <w:bookmarkStart w:id="544" w:name="_Toc226337234"/>
      <w:r/>
      <w:bookmarkStart w:id="545" w:name="_Toc264969228"/>
      <w:r/>
      <w:bookmarkStart w:id="546" w:name="_Toc151193636"/>
      <w:r/>
      <w:bookmarkStart w:id="547" w:name="_Toc305158880"/>
      <w:r/>
      <w:bookmarkStart w:id="548" w:name="_Toc195842903"/>
      <w:r/>
      <w:bookmarkStart w:id="549" w:name="_Toc226965728"/>
      <w:r>
        <w:rPr>
          <w:rFonts w:hint="default" w:ascii="Times New Roman" w:hAnsi="Times New Roman" w:eastAsia="宋体" w:cs="Times New Roman"/>
          <w:b/>
          <w:color w:val="auto"/>
          <w:sz w:val="28"/>
          <w:szCs w:val="20"/>
          <w:highlight w:val="none"/>
          <w:lang w:val="en-US" w:eastAsia="zh-CN" w:bidi="ar-SA"/>
        </w:rPr>
        <w:t xml:space="preserve">五   开标、资格审查及评标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r/>
    </w:p>
    <w:p>
      <w:pPr>
        <w:spacing w:line="360" w:lineRule="auto"/>
        <w:rPr>
          <w:rFonts w:hint="eastAsia" w:ascii="宋体" w:hAnsi="宋体" w:eastAsia="宋体" w:cs="宋体"/>
          <w:b/>
          <w:bCs/>
          <w:color w:val="auto"/>
          <w:szCs w:val="21"/>
          <w:highlight w:val="none"/>
        </w:rPr>
      </w:pPr>
      <w:r/>
      <w:bookmarkStart w:id="550" w:name="_Toc520356169"/>
      <w:r>
        <w:rPr>
          <w:rFonts w:hint="eastAsia" w:ascii="宋体" w:hAnsi="宋体" w:eastAsia="宋体" w:cs="宋体"/>
          <w:b/>
          <w:bCs/>
          <w:color w:val="auto"/>
          <w:szCs w:val="21"/>
          <w:highlight w:val="none"/>
        </w:rPr>
        <w:t xml:space="preserve">18.开标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18.1采购人或采购代理机构将按招标文件的规定，在投标截止时间的同一时间和招标文件预先确定的地点组织开标。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18.2本项目开标采用不见面招投标模式，使用“苏采云”政府采购一体化平台在线进行开标。投标人应在规定的时间内对投标文件进行解密，因非系统原因导致的解密失败，视为</w:t>
      </w:r>
      <w:r>
        <w:rPr>
          <w:rFonts w:hint="eastAsia" w:ascii="宋体" w:hAnsi="宋体" w:eastAsia="宋体" w:cs="宋体"/>
          <w:b/>
          <w:bCs/>
          <w:color w:val="auto"/>
          <w:szCs w:val="21"/>
          <w:highlight w:val="none"/>
        </w:rPr>
        <w:t xml:space="preserve">投标无效</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18.5投标人不足3家的，不予开标。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18.8如果在采购活动过程中出现以下情形，导致““苏采云”政府采购一体化平台”系统无法正常运行，或者无法保证本项目采购活动的公平、公正和安全时，代理机构可以延缓或者暂停采购活动，情况严重的可以终止采购活动：</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    1)平台系统发生故障而无法登录访问的；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2)平台系统应用或数据库出现错误，不能进行正常操作的；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3)平台系统发现严重安全漏洞，有潜在泄密危险的；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4)病毒发作导致平台系统不能进行正常操作的；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5)其他无法保证本次采购活动的公平、公正和安全的情况。</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19.资格审查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19.1见第三章《资格审查》。</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20.评标委员会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20.1评标委员会根据政府采购有关规定和本次招标采购项目的特点进行组建，并负责具体评标事务，独立履行职责。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20.2评审专家须符合相关规定。依法自行选定评审专家的，采购人和采购代理机构将查询有关信用记录，对具有行贿、受贿、欺诈等不良信用记录的人员，拒绝其参与政府采购活动。</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21.评标程序、评标方法和评标标准</w:t>
      </w:r>
      <w:r/>
    </w:p>
    <w:p>
      <w:pPr>
        <w:ind w:firstLine="420"/>
        <w:spacing w:line="360" w:lineRule="auto"/>
        <w:rPr>
          <w:rFonts w:ascii="Times New Roman" w:hAnsi="Times New Roman" w:eastAsia="宋体" w:cs="Times New Roman"/>
          <w:color w:val="auto"/>
          <w:sz w:val="24"/>
          <w:highlight w:val="none"/>
        </w:rPr>
      </w:pPr>
      <w:r>
        <w:rPr>
          <w:rFonts w:hint="eastAsia" w:ascii="宋体" w:hAnsi="宋体" w:eastAsia="宋体" w:cs="宋体"/>
          <w:color w:val="auto"/>
          <w:szCs w:val="21"/>
          <w:highlight w:val="none"/>
        </w:rPr>
        <w:t xml:space="preserve">21.1见第四章《评标程序、评标方法和评标标准》。</w:t>
      </w:r>
      <w:r/>
    </w:p>
    <w:p>
      <w:pPr>
        <w:jc w:val="center"/>
        <w:keepLines/>
        <w:keepNext/>
        <w:spacing w:before="0" w:line="360" w:lineRule="auto"/>
        <w:widowControl w:val="off"/>
        <w:rPr>
          <w:rFonts w:hint="default" w:ascii="Times New Roman" w:hAnsi="Times New Roman" w:eastAsia="宋体" w:cs="Times New Roman"/>
          <w:b/>
          <w:color w:val="auto"/>
          <w:sz w:val="28"/>
          <w:szCs w:val="20"/>
          <w:highlight w:val="none"/>
          <w:lang w:val="en-US" w:eastAsia="zh-CN" w:bidi="ar-SA"/>
        </w:rPr>
        <w:outlineLvl w:val="1"/>
      </w:pPr>
      <w:r/>
      <w:bookmarkStart w:id="551" w:name="_Toc305158887"/>
      <w:r/>
      <w:bookmarkStart w:id="552" w:name="_Toc151193643"/>
      <w:r/>
      <w:bookmarkStart w:id="553" w:name="_Toc151190172"/>
      <w:r/>
      <w:bookmarkStart w:id="554" w:name="_Toc265228383"/>
      <w:r/>
      <w:bookmarkStart w:id="555" w:name="_Toc264969235"/>
      <w:r/>
      <w:bookmarkStart w:id="556" w:name="_Toc226309789"/>
      <w:r/>
      <w:bookmarkStart w:id="557" w:name="_Toc226337241"/>
      <w:r/>
      <w:bookmarkStart w:id="558" w:name="_Toc150509296"/>
      <w:r/>
      <w:bookmarkStart w:id="559" w:name="_Toc151193859"/>
      <w:r/>
      <w:bookmarkStart w:id="560" w:name="_Toc150480783"/>
      <w:r/>
      <w:bookmarkStart w:id="561" w:name="_Toc195842910"/>
      <w:r/>
      <w:bookmarkStart w:id="562" w:name="_Toc127151545"/>
      <w:r/>
      <w:bookmarkStart w:id="563" w:name="_Toc151193933"/>
      <w:r/>
      <w:bookmarkStart w:id="564" w:name="_Toc142311047"/>
      <w:r/>
      <w:bookmarkStart w:id="565" w:name="_Toc226965735"/>
      <w:r/>
      <w:bookmarkStart w:id="566" w:name="_Toc226965818"/>
      <w:r/>
      <w:bookmarkStart w:id="567" w:name="_Toc151193787"/>
      <w:r/>
      <w:bookmarkStart w:id="568" w:name="_Toc305158813"/>
      <w:r/>
      <w:bookmarkStart w:id="569" w:name="_Toc150774645"/>
      <w:r/>
      <w:bookmarkStart w:id="570" w:name="_Toc150774750"/>
      <w:r/>
      <w:bookmarkStart w:id="571" w:name="_Toc151193715"/>
      <w:r>
        <w:rPr>
          <w:rFonts w:hint="default" w:ascii="Times New Roman" w:hAnsi="Times New Roman" w:eastAsia="宋体" w:cs="Times New Roman"/>
          <w:b/>
          <w:color w:val="auto"/>
          <w:sz w:val="28"/>
          <w:szCs w:val="20"/>
          <w:highlight w:val="none"/>
          <w:lang w:val="en-US" w:eastAsia="zh-CN" w:bidi="ar-SA"/>
        </w:rPr>
        <w:t xml:space="preserve">六   </w:t>
      </w:r>
      <w:bookmarkEnd w:id="550"/>
      <w:r>
        <w:rPr>
          <w:rFonts w:hint="default" w:ascii="Times New Roman" w:hAnsi="Times New Roman" w:eastAsia="宋体" w:cs="Times New Roman"/>
          <w:b/>
          <w:color w:val="auto"/>
          <w:sz w:val="28"/>
          <w:szCs w:val="20"/>
          <w:highlight w:val="none"/>
          <w:lang w:val="en-US" w:eastAsia="zh-CN" w:bidi="ar-SA"/>
        </w:rPr>
        <w:t xml:space="preserve">确定中标</w:t>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Start w:id="572" w:name="_Toc151193861"/>
      <w:r/>
      <w:bookmarkStart w:id="573" w:name="_Toc195842912"/>
      <w:r/>
      <w:bookmarkStart w:id="574" w:name="_Toc226965820"/>
      <w:r/>
      <w:bookmarkStart w:id="575" w:name="_Toc164229242"/>
      <w:r/>
      <w:bookmarkStart w:id="576" w:name="_Toc151190174"/>
      <w:r/>
      <w:bookmarkStart w:id="577" w:name="_Toc164608816"/>
      <w:r/>
      <w:bookmarkStart w:id="578" w:name="_Toc151193645"/>
      <w:r/>
      <w:bookmarkStart w:id="579" w:name="_Toc305158815"/>
      <w:r/>
      <w:bookmarkStart w:id="580" w:name="_Toc149720840"/>
      <w:r/>
      <w:bookmarkStart w:id="581" w:name="_Toc151193789"/>
      <w:r/>
      <w:bookmarkStart w:id="582" w:name="_Toc164351641"/>
      <w:r/>
      <w:bookmarkStart w:id="583" w:name="_Toc127151748"/>
      <w:r/>
      <w:bookmarkStart w:id="584" w:name="_Toc226965737"/>
      <w:r/>
      <w:bookmarkStart w:id="585" w:name="_Toc226309791"/>
      <w:r/>
      <w:bookmarkStart w:id="586" w:name="_Toc142311049"/>
      <w:r/>
      <w:bookmarkStart w:id="587" w:name="_Toc305158889"/>
      <w:r/>
      <w:bookmarkStart w:id="588" w:name="_Toc264969237"/>
      <w:r/>
      <w:bookmarkStart w:id="589" w:name="_Toc150774752"/>
      <w:r/>
      <w:bookmarkStart w:id="590" w:name="_Toc150774647"/>
      <w:r/>
      <w:bookmarkStart w:id="591" w:name="_Toc151193717"/>
      <w:r/>
      <w:bookmarkStart w:id="592" w:name="_Toc164608661"/>
      <w:r/>
      <w:bookmarkStart w:id="593" w:name="_Toc127151547"/>
      <w:r/>
      <w:bookmarkStart w:id="594" w:name="_Toc150509298"/>
      <w:r/>
      <w:bookmarkStart w:id="595" w:name="_Toc150480785"/>
      <w:r/>
      <w:bookmarkStart w:id="596" w:name="_Toc226337243"/>
      <w:r/>
      <w:bookmarkStart w:id="597" w:name="_Toc164229388"/>
      <w:r/>
      <w:bookmarkStart w:id="598" w:name="_Toc151193935"/>
      <w:r/>
      <w:bookmarkStart w:id="599" w:name="_Toc265228385"/>
      <w:r/>
      <w:bookmarkStart w:id="600" w:name="_Toc12716146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22.确定中标人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22.1采购人将在评标报告确定的中标候选人名单中按顺序确定中标人，中标候选人并列的，由采购人依法确定。</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23.中标公告与中标通知书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23.1采购人或采购代理机构自中标人确定之日起2个工作日内，在</w:t>
      </w:r>
      <w:r>
        <w:rPr>
          <w:rFonts w:hint="eastAsia" w:ascii="宋体" w:hAnsi="宋体" w:eastAsia="宋体" w:cs="宋体"/>
          <w:b/>
          <w:bCs/>
          <w:color w:val="auto"/>
          <w:szCs w:val="21"/>
          <w:highlight w:val="none"/>
        </w:rPr>
        <w:t xml:space="preserve">常州市政府采购网、</w:t>
      </w:r>
      <w:r>
        <w:rPr>
          <w:rFonts w:hint="eastAsia" w:ascii="宋体" w:hAnsi="宋体" w:eastAsia="宋体" w:cs="宋体"/>
          <w:b/>
          <w:bCs/>
          <w:color w:val="auto"/>
          <w:szCs w:val="21"/>
          <w:highlight w:val="none"/>
          <w:lang w:eastAsia="zh-CN"/>
        </w:rPr>
        <w:t xml:space="preserve">江苏正誉项目管理有限公司</w:t>
      </w:r>
      <w:r>
        <w:rPr>
          <w:rFonts w:hint="eastAsia" w:ascii="宋体" w:hAnsi="宋体" w:eastAsia="宋体" w:cs="宋体"/>
          <w:b/>
          <w:bCs/>
          <w:color w:val="auto"/>
          <w:szCs w:val="21"/>
          <w:highlight w:val="none"/>
        </w:rPr>
        <w:t xml:space="preserve">网站</w:t>
      </w:r>
      <w:r>
        <w:rPr>
          <w:rFonts w:hint="eastAsia" w:ascii="宋体" w:hAnsi="宋体" w:eastAsia="宋体" w:cs="宋体"/>
          <w:color w:val="auto"/>
          <w:szCs w:val="21"/>
          <w:highlight w:val="none"/>
        </w:rPr>
        <w:t xml:space="preserve">公告中标结果，同时向中标人发出中标通知书，中标公告期限为1个工作日。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23.2中标通知书对采购人和中标人均具有法律效力。中标通知书发出后，采购人改变中标结果的，或者中标人放弃中标项目的，应当依法承担法律责任。</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24.废标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24.1在招标采购中，出现下列情形之一的，应予废标：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24.1.1符合专业条件的供应商或者对招标文件作实质响应的供应商不足三家的；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24.1.2出现影响采购公正的违法、违规行为的；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24.1.3投标人的报价均超过了采购预算，采购人不能支付的；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24.1.4因重大变故，采购任务取消的。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24.1.5平台系统出现序号18.8的所述情形，情况严重且影响采购活动公平、公正性的。</w:t>
      </w:r>
      <w:r/>
    </w:p>
    <w:p>
      <w:pPr>
        <w:pStyle w:val="1405"/>
        <w:ind w:firstLine="420"/>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24.2废标后，采购人将废标理由通知所有投标人。</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25.签订合同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25.1中标人、采购人应当自中标通知书发出之日起30日内，按照招标文件和中标人投标文件的规定签订书面合同（</w:t>
      </w:r>
      <w:r>
        <w:rPr>
          <w:rFonts w:hint="eastAsia" w:ascii="宋体" w:hAnsi="宋体" w:eastAsia="宋体" w:cs="宋体"/>
          <w:b/>
          <w:bCs/>
          <w:color w:val="auto"/>
          <w:szCs w:val="21"/>
          <w:highlight w:val="none"/>
        </w:rPr>
        <w:t xml:space="preserve">同时在“苏采云”政府采购一体化平台中签订线上合同</w:t>
      </w:r>
      <w:r>
        <w:rPr>
          <w:rFonts w:hint="eastAsia" w:ascii="宋体" w:hAnsi="宋体" w:eastAsia="宋体" w:cs="宋体"/>
          <w:color w:val="auto"/>
          <w:szCs w:val="21"/>
          <w:highlight w:val="none"/>
        </w:rPr>
        <w:t xml:space="preserve">）。所签订的合同不得对招标文件确定的事项和中标人投标文件作实质性修改。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25.2中标人拒绝与采购人签订合同的，采购人可以按照评标报告推荐的中标候选人名单排序，确定下一候选人为中标人，也可以重新开展政府采购活动。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25.3联合体中标的，联合体各方应当共同与采购人签订合同，就中标项目向采购人承担连带责任。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25.4政府采购合同不能转包。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宋体" w:hAnsi="宋体" w:eastAsia="宋体" w:cs="宋体"/>
          <w:b/>
          <w:bCs/>
          <w:color w:val="auto"/>
          <w:szCs w:val="21"/>
          <w:highlight w:val="none"/>
        </w:rPr>
        <w:t xml:space="preserve">投标无效</w:t>
      </w:r>
      <w:r>
        <w:rPr>
          <w:rFonts w:hint="eastAsia" w:ascii="宋体" w:hAnsi="宋体" w:eastAsia="宋体" w:cs="宋体"/>
          <w:color w:val="auto"/>
          <w:szCs w:val="21"/>
          <w:highlight w:val="none"/>
        </w:rPr>
        <w:t xml:space="preserve">。中标人就采购项目和分包项目向采购人负责，分包供应商就分包项目承担责任。</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26.询问与质疑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26.1询问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26.1.1投标人对政府采购活动事项有疑问的，可依法提出询问，并按《投标人须知资料表》载明的形式送达采购人或采购代理机构。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26.1.2采购人或采购代理机构对投标人依法提出的询问，在3个工作日内作出答复，但答复的内容不得涉及商业秘密。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26.2质疑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26.2.2招标文件中采购需求以及相关部分（第四章、第五章以及投标人资格要求）由采购人负责制定和管理，对该部分内容有询问或者质疑的，投标人应当向采购人书面提出，由采购人负责接收和回复。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26.2.3质疑函须使用财政部制定的范本文件。（下载网址：http://gks.mof.gov.cn/ztztz/zhengfucaigouguanli/201802/t20180201_2804589.htm）</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26.2.4投标人为自然人的，应当由本人签字；投标人为法人或者其他组织的，应当由法定代表人、主要负责人，或者其授权代表签字或者加盖公章，并加盖公章。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26.2.5投标人应在法定质疑期内一次性提出针对同一采购程序环节的质疑，法定质疑期内针对同一采购程序环节再次提出的质疑，采购人、采购代理机构有权不予答复。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26.3接收询问和质疑的联系部门、联系电话和通讯地址见《投标人须知资料表》。</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27.代理费</w:t>
      </w:r>
      <w:r/>
    </w:p>
    <w:p>
      <w:pPr>
        <w:ind w:firstLine="420"/>
        <w:spacing w:line="360" w:lineRule="auto"/>
        <w:tabs>
          <w:tab w:val="left" w:pos="360" w:leader="none"/>
          <w:tab w:val="left" w:pos="1080" w:leader="none"/>
        </w:tabs>
        <w:rPr>
          <w:rFonts w:ascii="Times New Roman" w:hAnsi="Times New Roman" w:eastAsia="宋体" w:cs="Times New Roman"/>
          <w:color w:val="auto"/>
          <w:sz w:val="24"/>
          <w:highlight w:val="none"/>
        </w:rPr>
      </w:pPr>
      <w:r>
        <w:rPr>
          <w:rFonts w:hint="eastAsia" w:ascii="宋体" w:hAnsi="宋体" w:eastAsia="宋体" w:cs="宋体"/>
          <w:color w:val="auto"/>
          <w:szCs w:val="21"/>
          <w:highlight w:val="none"/>
        </w:rPr>
        <w:t xml:space="preserve">27.1收费对象、收费标准及缴纳时间见《投标人须知资料表》。由中标人支付的，中标人须一次性向采购代理机构缴纳代理费，投标报价应包含代理费用。</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28.纸质投标文件 </w:t>
      </w:r>
      <w:r/>
    </w:p>
    <w:p>
      <w:pPr>
        <w:ind w:firstLine="422"/>
        <w:spacing w:line="360" w:lineRule="auto"/>
        <w:tabs>
          <w:tab w:val="left" w:pos="360" w:leader="none"/>
          <w:tab w:val="left" w:pos="1080" w:leader="none"/>
        </w:tabs>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28.1 中标人在签订合同前向代理机构提供正本1套、副本</w:t>
      </w: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rPr>
        <w:t xml:space="preserve">套纸质投标文件，在每一份纸质投标文件上要明确注明“正本” 或“副本”字样。</w:t>
      </w:r>
      <w:r/>
    </w:p>
    <w:p>
      <w:pPr>
        <w:ind w:firstLine="420"/>
        <w:spacing w:line="360" w:lineRule="auto"/>
        <w:tabs>
          <w:tab w:val="left" w:pos="360" w:leader="none"/>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28.2 纸质投标文件需与“苏采云”政府采购一体化平台的投标文件一致，中标人应按照要求签字、盖章，副本可通过正本复印。</w:t>
      </w:r>
      <w:r/>
    </w:p>
    <w:p>
      <w:pPr>
        <w:ind w:firstLine="420"/>
        <w:spacing w:line="360" w:lineRule="auto"/>
        <w:tabs>
          <w:tab w:val="left" w:pos="360" w:leader="none"/>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28.3 招标文件所表述（指定）的公章是指法定名称章，不包括合同专用章、业务专用章等印章；盖章是指加盖鲜章。</w:t>
      </w:r>
      <w:r/>
    </w:p>
    <w:p>
      <w:pPr>
        <w:ind w:left="360"/>
        <w:spacing w:line="360" w:lineRule="auto"/>
        <w:tabs>
          <w:tab w:val="left" w:pos="360" w:leader="none"/>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color w:val="auto"/>
          <w:sz w:val="36"/>
          <w:szCs w:val="36"/>
          <w:highlight w:val="none"/>
        </w:rPr>
        <w:outlineLvl w:val="0"/>
      </w:pPr>
      <w:r/>
      <w:bookmarkStart w:id="601" w:name="_Toc265228392"/>
      <w:r/>
      <w:bookmarkStart w:id="602" w:name="_Toc226965827"/>
      <w:r/>
      <w:bookmarkStart w:id="603" w:name="_Toc305158896"/>
      <w:r/>
      <w:bookmarkStart w:id="604" w:name="_Toc305158822"/>
      <w:r/>
      <w:bookmarkStart w:id="605" w:name="_Toc353873934"/>
      <w:r/>
      <w:bookmarkStart w:id="606" w:name="_Toc353825544"/>
      <w:r/>
      <w:bookmarkStart w:id="607" w:name="_Toc150480792"/>
      <w:r/>
      <w:bookmarkStart w:id="608" w:name="_Toc353873664"/>
      <w:r/>
      <w:bookmarkStart w:id="609" w:name="_Toc226337250"/>
      <w:r/>
      <w:bookmarkStart w:id="610" w:name="_Toc264969244"/>
      <w:r/>
      <w:bookmarkStart w:id="611" w:name="_Toc150774759"/>
      <w:r/>
      <w:bookmarkStart w:id="612" w:name="_Toc127151554"/>
      <w:r/>
      <w:bookmarkStart w:id="613" w:name="_Toc142311056"/>
      <w:r/>
      <w:bookmarkStart w:id="614" w:name="_Toc99301421"/>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第三章   </w:t>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rPr>
          <w:rFonts w:hint="eastAsia" w:ascii="宋体" w:hAnsi="宋体" w:eastAsia="宋体" w:cs="宋体"/>
          <w:b/>
          <w:color w:val="auto"/>
          <w:sz w:val="36"/>
          <w:szCs w:val="36"/>
          <w:highlight w:val="none"/>
        </w:rPr>
        <w:t xml:space="preserve">资格审查</w:t>
      </w:r>
      <w:bookmarkEnd w:id="614"/>
      <w:r/>
      <w:bookmarkStart w:id="615" w:name="_Toc487900382"/>
      <w:r/>
      <w:r/>
    </w:p>
    <w:p>
      <w:pPr>
        <w:jc w:val="center"/>
        <w:spacing w:line="360" w:lineRule="auto"/>
        <w:tabs>
          <w:tab w:val="left" w:pos="360" w:leader="none"/>
          <w:tab w:val="left" w:pos="900" w:leader="none"/>
        </w:tabs>
        <w:rPr>
          <w:rFonts w:hint="eastAsia" w:ascii="宋体" w:hAnsi="宋体" w:eastAsia="宋体" w:cs="宋体"/>
          <w:b/>
          <w:color w:val="auto"/>
          <w:sz w:val="24"/>
          <w:highlight w:val="none"/>
        </w:rPr>
        <w:outlineLvl w:val="1"/>
      </w:pPr>
      <w:r/>
      <w:bookmarkStart w:id="616" w:name="_Toc99301422"/>
      <w:r>
        <w:rPr>
          <w:rFonts w:hint="eastAsia" w:ascii="宋体" w:hAnsi="宋体" w:eastAsia="宋体" w:cs="宋体"/>
          <w:b/>
          <w:color w:val="auto"/>
          <w:sz w:val="24"/>
          <w:highlight w:val="none"/>
        </w:rPr>
        <w:t xml:space="preserve">一、资格审查程序</w:t>
      </w:r>
      <w:bookmarkEnd w:id="616"/>
      <w:r/>
      <w:r/>
    </w:p>
    <w:p>
      <w:pPr>
        <w:numPr>
          <w:ilvl w:val="0"/>
          <w:numId w:val="9"/>
        </w:numPr>
        <w:ind w:left="426" w:hanging="426"/>
        <w:spacing w:line="360" w:lineRule="auto"/>
        <w:tabs>
          <w:tab w:val="left" w:pos="426" w:leader="none"/>
          <w:tab w:val="left" w:pos="851" w:leader="none"/>
        </w:tabs>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开标结束后，采购人将根据《资格审查要求》中的规定，对投标人进行资格审查，并形成资格审查结果。</w:t>
      </w:r>
      <w:r/>
    </w:p>
    <w:p>
      <w:pPr>
        <w:numPr>
          <w:ilvl w:val="0"/>
          <w:numId w:val="9"/>
        </w:numPr>
        <w:ind w:left="426" w:hanging="426"/>
        <w:spacing w:line="360" w:lineRule="auto"/>
        <w:tabs>
          <w:tab w:val="left" w:pos="426" w:leader="none"/>
          <w:tab w:val="left" w:pos="851" w:leader="none"/>
        </w:tabs>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《资格审查要求》中对格式有要求的，除招标文件另有规定外，均为“实质性格式”文件。</w:t>
      </w:r>
      <w:r/>
    </w:p>
    <w:p>
      <w:pPr>
        <w:numPr>
          <w:ilvl w:val="0"/>
          <w:numId w:val="9"/>
        </w:numPr>
        <w:ind w:left="426" w:hanging="426"/>
        <w:spacing w:line="360" w:lineRule="auto"/>
        <w:tabs>
          <w:tab w:val="left" w:pos="426" w:leader="none"/>
          <w:tab w:val="left" w:pos="851" w:leader="none"/>
        </w:tabs>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投标人《资格证明文件》有任何一项不符合《资格审查要求》的，资格审查不合格，其</w:t>
      </w:r>
      <w:r>
        <w:rPr>
          <w:rFonts w:hint="eastAsia" w:ascii="宋体" w:hAnsi="宋体" w:eastAsia="宋体" w:cs="宋体"/>
          <w:b/>
          <w:color w:val="auto"/>
          <w:szCs w:val="21"/>
          <w:highlight w:val="none"/>
        </w:rPr>
        <w:t xml:space="preserve">投标无效</w:t>
      </w:r>
      <w:r>
        <w:rPr>
          <w:rFonts w:hint="eastAsia" w:ascii="宋体" w:hAnsi="宋体" w:eastAsia="宋体" w:cs="宋体"/>
          <w:color w:val="auto"/>
          <w:szCs w:val="21"/>
          <w:highlight w:val="none"/>
        </w:rPr>
        <w:t xml:space="preserve">。</w:t>
      </w:r>
      <w:r/>
    </w:p>
    <w:p>
      <w:pPr>
        <w:numPr>
          <w:ilvl w:val="0"/>
          <w:numId w:val="9"/>
        </w:numPr>
        <w:ind w:left="426" w:hanging="426"/>
        <w:spacing w:line="360" w:lineRule="auto"/>
        <w:tabs>
          <w:tab w:val="left" w:pos="426" w:leader="none"/>
          <w:tab w:val="left" w:pos="851" w:leader="none"/>
        </w:tabs>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资格审查合格的投标人不足3家的，不进行评标。</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tabs>
          <w:tab w:val="left" w:pos="360" w:leader="none"/>
          <w:tab w:val="left" w:pos="900" w:leader="none"/>
        </w:tabs>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二、资格审查要求</w:t>
      </w:r>
      <w:r/>
    </w:p>
    <w:tbl>
      <w:tblPr>
        <w:tblStyle w:val="97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1736"/>
        <w:gridCol w:w="4821"/>
        <w:gridCol w:w="1577"/>
      </w:tblGrid>
      <w:tr>
        <w:trPr>
          <w:cantSplit/>
          <w:trHeight w:val="468"/>
          <w:tblHeader/>
        </w:trPr>
        <w:tc>
          <w:tcPr>
            <w:tcW w:w="846" w:type="dxa"/>
            <w:vAlign w:val="center"/>
            <w:textDirection w:val="lrTb"/>
            <w:noWrap w:val="false"/>
          </w:tcPr>
          <w:p>
            <w:pPr>
              <w:jc w:val="center"/>
              <w:tabs>
                <w:tab w:val="left" w:pos="1080" w:leader="none"/>
              </w:tabs>
              <w:rPr>
                <w:rFonts w:hint="eastAsia" w:ascii="宋体" w:hAnsi="宋体" w:eastAsia="宋体" w:cs="宋体"/>
                <w:b/>
                <w:color w:val="auto"/>
                <w:sz w:val="22"/>
                <w:szCs w:val="22"/>
                <w:highlight w:val="none"/>
              </w:rPr>
            </w:pPr>
            <w:r/>
            <w:bookmarkStart w:id="617" w:name="_Hlt487972895"/>
            <w:r/>
            <w:bookmarkEnd w:id="617"/>
            <w:r>
              <w:rPr>
                <w:rFonts w:hint="eastAsia" w:ascii="宋体" w:hAnsi="宋体" w:eastAsia="宋体" w:cs="宋体"/>
                <w:b/>
                <w:color w:val="auto"/>
                <w:sz w:val="22"/>
                <w:szCs w:val="22"/>
                <w:highlight w:val="none"/>
              </w:rPr>
              <w:t xml:space="preserve">序号</w:t>
            </w:r>
            <w:r/>
          </w:p>
        </w:tc>
        <w:tc>
          <w:tcPr>
            <w:tcW w:w="1802" w:type="dxa"/>
            <w:vAlign w:val="center"/>
            <w:textDirection w:val="lrTb"/>
            <w:noWrap w:val="false"/>
          </w:tcPr>
          <w:p>
            <w:pPr>
              <w:jc w:val="center"/>
              <w:tabs>
                <w:tab w:val="left" w:pos="108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审查因素</w:t>
            </w:r>
            <w:r/>
          </w:p>
        </w:tc>
        <w:tc>
          <w:tcPr>
            <w:tcW w:w="5003" w:type="dxa"/>
            <w:vAlign w:val="center"/>
            <w:textDirection w:val="lrTb"/>
            <w:noWrap w:val="false"/>
          </w:tcPr>
          <w:p>
            <w:pPr>
              <w:jc w:val="center"/>
              <w:tabs>
                <w:tab w:val="left" w:pos="108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审查内容</w:t>
            </w:r>
            <w:r/>
          </w:p>
        </w:tc>
        <w:tc>
          <w:tcPr>
            <w:tcW w:w="1637" w:type="dxa"/>
            <w:vAlign w:val="center"/>
            <w:textDirection w:val="lrTb"/>
            <w:noWrap w:val="false"/>
          </w:tcPr>
          <w:p>
            <w:pPr>
              <w:jc w:val="center"/>
              <w:tabs>
                <w:tab w:val="left" w:pos="108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格式要求</w:t>
            </w:r>
            <w:r/>
          </w:p>
        </w:tc>
      </w:tr>
      <w:tr>
        <w:trPr>
          <w:cantSplit/>
          <w:trHeight w:val="1553"/>
        </w:trPr>
        <w:tc>
          <w:tcPr>
            <w:tcW w:w="846" w:type="dxa"/>
            <w:vAlign w:val="center"/>
            <w:textDirection w:val="lrTb"/>
            <w:noWrap w:val="false"/>
          </w:tcPr>
          <w:p>
            <w:pPr>
              <w:jc w:val="cente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W w:w="1802"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满足《中华人民共和国政府采购法》第二十二条规定及法律法规的其他规定</w:t>
            </w:r>
            <w:r/>
          </w:p>
        </w:tc>
        <w:tc>
          <w:tcPr>
            <w:tcW w:w="5003"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具体规定见第一章《投标邀请》</w:t>
            </w:r>
            <w:r/>
          </w:p>
        </w:tc>
        <w:tc>
          <w:tcPr>
            <w:tcW w:w="1637"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trHeight w:val="685"/>
        </w:trPr>
        <w:tc>
          <w:tcPr>
            <w:tcW w:w="846" w:type="dxa"/>
            <w:vAlign w:val="center"/>
            <w:textDirection w:val="lrTb"/>
            <w:noWrap w:val="false"/>
          </w:tcPr>
          <w:p>
            <w:pPr>
              <w:jc w:val="cente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w:t>
            </w:r>
            <w:r/>
          </w:p>
        </w:tc>
        <w:tc>
          <w:tcPr>
            <w:tcW w:w="1802"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投标人资格声明函</w:t>
            </w:r>
            <w:r/>
          </w:p>
        </w:tc>
        <w:tc>
          <w:tcPr>
            <w:tcW w:w="5003"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提供了符合招标文件要求的《投标人资格声明函》。</w:t>
            </w:r>
            <w:r/>
          </w:p>
        </w:tc>
        <w:tc>
          <w:tcPr>
            <w:tcW w:w="1637"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格式见《投标文件格式》</w:t>
            </w:r>
            <w:r/>
          </w:p>
        </w:tc>
      </w:tr>
      <w:tr>
        <w:trPr>
          <w:cantSplit/>
          <w:trHeight w:val="468"/>
        </w:trPr>
        <w:tc>
          <w:tcPr>
            <w:tcW w:w="846" w:type="dxa"/>
            <w:vAlign w:val="center"/>
            <w:textDirection w:val="lrTb"/>
            <w:noWrap w:val="false"/>
          </w:tcPr>
          <w:p>
            <w:pPr>
              <w:jc w:val="cente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w:t>
            </w:r>
            <w:r/>
          </w:p>
        </w:tc>
        <w:tc>
          <w:tcPr>
            <w:tcW w:w="1802"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投标人信用记录</w:t>
            </w:r>
            <w:r/>
          </w:p>
        </w:tc>
        <w:tc>
          <w:tcPr>
            <w:tcW w:w="5003"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查询渠道：信用中国网站和中国政府采购网（www.creditchina.gov.cn、www.ccgp.gov.cn）；</w:t>
            </w:r>
            <w:r/>
          </w:p>
          <w:p>
            <w:pPr>
              <w:tabs>
                <w:tab w:val="left" w:pos="900" w:leader="none"/>
                <w:tab w:val="left" w:pos="19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截止时点：投标截止时间以后、资格审查阶段采购人或采购代理机构的实际查询时间；</w:t>
            </w:r>
            <w:r/>
          </w:p>
          <w:p>
            <w:pPr>
              <w:tabs>
                <w:tab w:val="left" w:pos="900" w:leader="none"/>
                <w:tab w:val="left" w:pos="19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信用信息的使用原则：经认定的被列入失信被执行人、重大税收违法案件当事人名单、政府采购严重违法失信行为记录名单的投标人，其</w:t>
            </w:r>
            <w:r>
              <w:rPr>
                <w:rFonts w:hint="eastAsia" w:ascii="宋体" w:hAnsi="宋体" w:eastAsia="宋体" w:cs="宋体"/>
                <w:b/>
                <w:color w:val="auto"/>
                <w:sz w:val="22"/>
                <w:szCs w:val="22"/>
                <w:highlight w:val="none"/>
              </w:rPr>
              <w:t xml:space="preserve">投标无效</w:t>
            </w:r>
            <w:r>
              <w:rPr>
                <w:rFonts w:hint="eastAsia" w:ascii="宋体" w:hAnsi="宋体" w:eastAsia="宋体" w:cs="宋体"/>
                <w:color w:val="auto"/>
                <w:sz w:val="22"/>
                <w:szCs w:val="22"/>
                <w:highlight w:val="none"/>
              </w:rPr>
              <w:t xml:space="preserve">。联合体形式投标的，联合体成员存在不良信用记录，视同联合体存在不良信用记录。</w:t>
            </w:r>
            <w:r/>
          </w:p>
        </w:tc>
        <w:tc>
          <w:tcPr>
            <w:tcW w:w="1637"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无须投标人提供，由采购人查询。</w:t>
            </w:r>
            <w:r/>
          </w:p>
        </w:tc>
      </w:tr>
      <w:tr>
        <w:trPr>
          <w:cantSplit/>
          <w:trHeight w:val="468"/>
        </w:trPr>
        <w:tc>
          <w:tcPr>
            <w:tcW w:w="846" w:type="dxa"/>
            <w:vAlign w:val="center"/>
            <w:textDirection w:val="lrTb"/>
            <w:noWrap w:val="false"/>
          </w:tcPr>
          <w:p>
            <w:pPr>
              <w:jc w:val="cente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tcW w:w="1802"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落实政府采购政策需满足的资格要求</w:t>
            </w:r>
            <w:r/>
          </w:p>
        </w:tc>
        <w:tc>
          <w:tcPr>
            <w:tcW w:w="500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具体要求见第一章《投标邀请》</w:t>
            </w:r>
            <w:r/>
          </w:p>
        </w:tc>
        <w:tc>
          <w:tcPr>
            <w:tcW w:w="1637"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trHeight w:val="4482"/>
        </w:trPr>
        <w:tc>
          <w:tcPr>
            <w:tcW w:w="846" w:type="dxa"/>
            <w:vAlign w:val="center"/>
            <w:textDirection w:val="lrTb"/>
            <w:noWrap w:val="false"/>
          </w:tcPr>
          <w:p>
            <w:pPr>
              <w:jc w:val="cente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w:t>
            </w:r>
            <w:r/>
          </w:p>
        </w:tc>
        <w:tc>
          <w:tcPr>
            <w:tcW w:w="1802"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中小企业声明函</w:t>
            </w:r>
            <w:r/>
          </w:p>
        </w:tc>
        <w:tc>
          <w:tcPr>
            <w:tcW w:w="5003"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1、投标人单独投标的，应提供中小企业声明函；如为监狱企业或残疾人福利性单位，不必提供中小企业声明函，但须按注1或注2要求提供证明材料。</w:t>
            </w:r>
            <w:r/>
          </w:p>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注2：残疾人福利性单位须按招标文件要求提供《残疾人福利性单位声明函》。</w:t>
            </w:r>
            <w:r/>
          </w:p>
        </w:tc>
        <w:tc>
          <w:tcPr>
            <w:tcW w:w="1637"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如本项目（包）是专门面向中小企业采购的，必须提供，格式见《投标文件格式》</w:t>
            </w:r>
            <w:r/>
          </w:p>
        </w:tc>
      </w:tr>
      <w:tr>
        <w:trPr>
          <w:cantSplit/>
          <w:trHeight w:val="468"/>
        </w:trPr>
        <w:tc>
          <w:tcPr>
            <w:tcW w:w="846" w:type="dxa"/>
            <w:vAlign w:val="center"/>
            <w:textDirection w:val="lrTb"/>
            <w:noWrap w:val="false"/>
          </w:tcPr>
          <w:p>
            <w:pPr>
              <w:jc w:val="center"/>
              <w:spacing w:line="360" w:lineRule="auto"/>
              <w:tabs>
                <w:tab w:val="left" w:pos="108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2-</w:t>
            </w:r>
            <w:r>
              <w:rPr>
                <w:rFonts w:hint="eastAsia" w:ascii="宋体" w:hAnsi="宋体" w:cs="宋体"/>
                <w:color w:val="auto"/>
                <w:sz w:val="22"/>
                <w:szCs w:val="22"/>
                <w:highlight w:val="none"/>
                <w:lang w:val="en-US" w:eastAsia="zh-CN"/>
              </w:rPr>
              <w:t xml:space="preserve">2</w:t>
            </w:r>
            <w:r/>
          </w:p>
        </w:tc>
        <w:tc>
          <w:tcPr>
            <w:tcW w:w="1802" w:type="dxa"/>
            <w:vAlign w:val="center"/>
            <w:textDirection w:val="lrTb"/>
            <w:noWrap w:val="false"/>
          </w:tcPr>
          <w:p>
            <w:pPr>
              <w:spacing w:line="360" w:lineRule="auto"/>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其它落实政府采购政策的资格要求</w:t>
            </w:r>
            <w:r/>
          </w:p>
        </w:tc>
        <w:tc>
          <w:tcPr>
            <w:tcW w:w="5003" w:type="dxa"/>
            <w:vAlign w:val="center"/>
            <w:textDirection w:val="lrTb"/>
            <w:noWrap w:val="false"/>
          </w:tcPr>
          <w:p>
            <w:pPr>
              <w:spacing w:line="360" w:lineRule="auto"/>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如有，见第一章《投标邀请》</w:t>
            </w:r>
            <w:r/>
          </w:p>
        </w:tc>
        <w:tc>
          <w:tcPr>
            <w:tcW w:w="1637"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提供证明文件的扫描件加盖公章</w:t>
            </w:r>
            <w:r/>
          </w:p>
        </w:tc>
      </w:tr>
      <w:tr>
        <w:trPr>
          <w:cantSplit/>
          <w:trHeight w:val="468"/>
        </w:trPr>
        <w:tc>
          <w:tcPr>
            <w:tcW w:w="846" w:type="dxa"/>
            <w:vAlign w:val="center"/>
            <w:textDirection w:val="lrTb"/>
            <w:noWrap w:val="false"/>
          </w:tcPr>
          <w:p>
            <w:pPr>
              <w:jc w:val="cente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p>
        </w:tc>
        <w:tc>
          <w:tcPr>
            <w:tcW w:w="1802"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本项目的特定资格要求</w:t>
            </w:r>
            <w:r/>
          </w:p>
        </w:tc>
        <w:tc>
          <w:tcPr>
            <w:tcW w:w="5003"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如有，见第一章《投标邀请》</w:t>
            </w:r>
            <w:r/>
          </w:p>
        </w:tc>
        <w:tc>
          <w:tcPr>
            <w:tcW w:w="1637"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trHeight w:val="4548"/>
        </w:trPr>
        <w:tc>
          <w:tcPr>
            <w:tcW w:w="846" w:type="dxa"/>
            <w:vAlign w:val="center"/>
            <w:textDirection w:val="lrTb"/>
            <w:noWrap w:val="false"/>
          </w:tcPr>
          <w:p>
            <w:pPr>
              <w:jc w:val="cente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w:t>
            </w:r>
            <w:r/>
          </w:p>
        </w:tc>
        <w:tc>
          <w:tcPr>
            <w:tcW w:w="1802"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是否接受联合体投标</w:t>
            </w:r>
            <w:r/>
          </w:p>
        </w:tc>
        <w:tc>
          <w:tcPr>
            <w:tcW w:w="5003"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2、联合体各成员单位均须提供本表中序号1-1、1-2的证明文件。</w:t>
            </w:r>
            <w:r/>
          </w:p>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3、本表序号3-2项规定的其他特定资格要求中的每一小项要求，联合体各方中至少应当有一方符合本表中其他资格要求并提供证明文件。</w:t>
            </w:r>
            <w:r/>
          </w:p>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4、联合体中有同类资质的供应商按照联合体分工承担相同工作的，应当按照资质等级较低的供应商确定资质等级。</w:t>
            </w:r>
            <w:r/>
          </w:p>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6、若联合体中任一成员单位中途退出，则该联合体的</w:t>
            </w:r>
            <w:r>
              <w:rPr>
                <w:rFonts w:hint="eastAsia" w:ascii="宋体" w:hAnsi="宋体" w:eastAsia="宋体" w:cs="宋体"/>
                <w:b/>
                <w:color w:val="auto"/>
                <w:sz w:val="22"/>
                <w:szCs w:val="22"/>
                <w:highlight w:val="none"/>
              </w:rPr>
              <w:t xml:space="preserve">投标无效</w:t>
            </w:r>
            <w:r>
              <w:rPr>
                <w:rFonts w:hint="eastAsia" w:ascii="宋体" w:hAnsi="宋体" w:eastAsia="宋体" w:cs="宋体"/>
                <w:color w:val="auto"/>
                <w:sz w:val="22"/>
                <w:szCs w:val="22"/>
                <w:highlight w:val="none"/>
              </w:rPr>
              <w:t xml:space="preserve">。</w:t>
            </w:r>
            <w:r/>
          </w:p>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7、本项目不接受联合体投标时，投标人不得为联合体。</w:t>
            </w:r>
            <w:r/>
          </w:p>
        </w:tc>
        <w:tc>
          <w:tcPr>
            <w:tcW w:w="1637"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提供《联合协议》原件的电子件</w:t>
            </w:r>
            <w:r/>
          </w:p>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格式见《投标文件格式》</w:t>
            </w:r>
            <w:r/>
          </w:p>
        </w:tc>
      </w:tr>
      <w:tr>
        <w:trPr>
          <w:cantSplit/>
          <w:trHeight w:val="460"/>
        </w:trPr>
        <w:tc>
          <w:tcPr>
            <w:tcW w:w="846" w:type="dxa"/>
            <w:vAlign w:val="center"/>
            <w:textDirection w:val="lrTb"/>
            <w:noWrap w:val="false"/>
          </w:tcPr>
          <w:p>
            <w:pPr>
              <w:jc w:val="cente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w:t>
            </w:r>
            <w:r/>
          </w:p>
        </w:tc>
        <w:tc>
          <w:tcPr>
            <w:tcW w:w="1802"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其他特定资格要求</w:t>
            </w:r>
            <w:r/>
          </w:p>
        </w:tc>
        <w:tc>
          <w:tcPr>
            <w:tcW w:w="5003"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如有，见第一章《投标邀请》</w:t>
            </w:r>
            <w:r/>
          </w:p>
        </w:tc>
        <w:tc>
          <w:tcPr>
            <w:tcW w:w="1637"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提供证明文件的电子件或电子证照</w:t>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615"/>
            <w:r/>
            <w:r/>
          </w:p>
        </w:tc>
      </w:tr>
    </w:tbl>
    <w:p>
      <w:pPr>
        <w:jc w:val="left"/>
        <w:widowControl/>
        <w:rPr>
          <w:rFonts w:hint="eastAsia" w:ascii="宋体" w:hAnsi="宋体" w:eastAsia="宋体" w:cs="宋体"/>
          <w:color w:val="auto"/>
          <w:sz w:val="24"/>
          <w:highlight w:val="none"/>
        </w:rPr>
      </w:pPr>
      <w:r/>
      <w:bookmarkStart w:id="618" w:name="_Toc226965858"/>
      <w:r/>
      <w:bookmarkStart w:id="619" w:name="_Toc353873940"/>
      <w:r/>
      <w:bookmarkStart w:id="620" w:name="_Toc127151779"/>
      <w:r/>
      <w:bookmarkStart w:id="621" w:name="_Toc127161490"/>
      <w:r/>
      <w:bookmarkStart w:id="622" w:name="_Toc353825550"/>
      <w:r>
        <w:rPr>
          <w:rFonts w:hint="eastAsia" w:ascii="宋体" w:hAnsi="宋体" w:eastAsia="宋体" w:cs="宋体"/>
          <w:color w:val="auto"/>
          <w:sz w:val="24"/>
          <w:highlight w:val="none"/>
        </w:rPr>
        <w:br w:type="page" w:clear="all"/>
      </w:r>
      <w:r/>
    </w:p>
    <w:p>
      <w:pPr>
        <w:jc w:val="center"/>
        <w:spacing w:line="360" w:lineRule="auto"/>
        <w:rPr>
          <w:rFonts w:hint="eastAsia" w:ascii="宋体" w:hAnsi="宋体" w:eastAsia="宋体" w:cs="宋体"/>
          <w:b/>
          <w:color w:val="auto"/>
          <w:sz w:val="36"/>
          <w:szCs w:val="36"/>
          <w:highlight w:val="none"/>
        </w:rPr>
        <w:outlineLvl w:val="0"/>
      </w:pPr>
      <w:r/>
      <w:bookmarkStart w:id="623" w:name="_Toc99301423"/>
      <w:r>
        <w:rPr>
          <w:rFonts w:hint="eastAsia" w:ascii="宋体" w:hAnsi="宋体" w:eastAsia="宋体" w:cs="宋体"/>
          <w:b/>
          <w:color w:val="auto"/>
          <w:sz w:val="36"/>
          <w:szCs w:val="36"/>
          <w:highlight w:val="none"/>
        </w:rPr>
        <w:t xml:space="preserve">第四章   </w:t>
      </w:r>
      <w:bookmarkEnd w:id="618"/>
      <w:r/>
      <w:bookmarkEnd w:id="619"/>
      <w:r/>
      <w:bookmarkEnd w:id="620"/>
      <w:r/>
      <w:bookmarkEnd w:id="621"/>
      <w:r/>
      <w:bookmarkEnd w:id="622"/>
      <w:r/>
      <w:bookmarkStart w:id="624" w:name="_Hlt164229061"/>
      <w:r/>
      <w:bookmarkEnd w:id="624"/>
      <w:r>
        <w:rPr>
          <w:rFonts w:hint="eastAsia" w:ascii="宋体" w:hAnsi="宋体" w:eastAsia="宋体" w:cs="宋体"/>
          <w:b/>
          <w:color w:val="auto"/>
          <w:sz w:val="36"/>
          <w:szCs w:val="36"/>
          <w:highlight w:val="none"/>
        </w:rPr>
        <w:t xml:space="preserve">评标程序、评标方法和评标标准</w:t>
      </w:r>
      <w:bookmarkEnd w:id="623"/>
      <w:r/>
      <w:r/>
    </w:p>
    <w:p>
      <w:pPr>
        <w:jc w:val="center"/>
        <w:spacing w:line="360" w:lineRule="auto"/>
        <w:tabs>
          <w:tab w:val="left" w:pos="360" w:leader="none"/>
          <w:tab w:val="left" w:pos="900" w:leader="none"/>
        </w:tabs>
        <w:rPr>
          <w:rFonts w:hint="eastAsia" w:ascii="宋体" w:hAnsi="宋体" w:eastAsia="宋体" w:cs="宋体"/>
          <w:b/>
          <w:color w:val="auto"/>
          <w:sz w:val="22"/>
          <w:szCs w:val="22"/>
          <w:highlight w:val="none"/>
        </w:rPr>
        <w:outlineLvl w:val="1"/>
      </w:pPr>
      <w:r>
        <w:rPr>
          <w:rFonts w:hint="eastAsia" w:ascii="宋体" w:hAnsi="宋体" w:eastAsia="宋体" w:cs="宋体"/>
          <w:b/>
          <w:color w:val="auto"/>
          <w:sz w:val="22"/>
          <w:szCs w:val="22"/>
          <w:highlight w:val="none"/>
        </w:rPr>
        <w:t xml:space="preserve">一、评标程序</w:t>
      </w:r>
      <w:r/>
    </w:p>
    <w:p>
      <w:pPr>
        <w:numPr>
          <w:ilvl w:val="0"/>
          <w:numId w:val="10"/>
        </w:numPr>
        <w:spacing w:line="360" w:lineRule="auto"/>
        <w:tabs>
          <w:tab w:val="left" w:pos="360" w:leader="none"/>
        </w:tabs>
        <w:rPr>
          <w:rFonts w:hint="eastAsia" w:ascii="宋体" w:hAnsi="宋体" w:eastAsia="宋体" w:cs="宋体"/>
          <w:color w:val="auto"/>
          <w:sz w:val="22"/>
          <w:szCs w:val="22"/>
          <w:highlight w:val="none"/>
        </w:rPr>
        <w:outlineLvl w:val="1"/>
      </w:pPr>
      <w:r/>
      <w:bookmarkStart w:id="625" w:name="_Toc127151541"/>
      <w:r/>
      <w:bookmarkStart w:id="626" w:name="_Toc127161455"/>
      <w:r/>
      <w:bookmarkStart w:id="627" w:name="_Toc226309785"/>
      <w:r/>
      <w:bookmarkStart w:id="628" w:name="_Toc151193711"/>
      <w:r/>
      <w:bookmarkStart w:id="629" w:name="_Toc151193855"/>
      <w:r/>
      <w:bookmarkStart w:id="630" w:name="_Toc149720834"/>
      <w:r/>
      <w:bookmarkStart w:id="631" w:name="_Toc151193639"/>
      <w:r/>
      <w:bookmarkStart w:id="632" w:name="_Toc151190168"/>
      <w:r/>
      <w:bookmarkStart w:id="633" w:name="_Toc151193929"/>
      <w:r/>
      <w:bookmarkStart w:id="634" w:name="_Toc127151742"/>
      <w:r/>
      <w:bookmarkStart w:id="635" w:name="_Toc164229236"/>
      <w:r/>
      <w:bookmarkStart w:id="636" w:name="_Toc305158809"/>
      <w:r/>
      <w:bookmarkStart w:id="637" w:name="_Toc164608810"/>
      <w:r/>
      <w:bookmarkStart w:id="638" w:name="_Toc226965731"/>
      <w:r/>
      <w:bookmarkStart w:id="639" w:name="_Toc150774746"/>
      <w:r/>
      <w:bookmarkStart w:id="640" w:name="_Toc164608655"/>
      <w:r/>
      <w:bookmarkStart w:id="641" w:name="_Toc264969231"/>
      <w:r/>
      <w:bookmarkStart w:id="642" w:name="_Toc226337237"/>
      <w:r/>
      <w:bookmarkStart w:id="643" w:name="_Toc151193783"/>
      <w:r/>
      <w:bookmarkStart w:id="644" w:name="_Toc150509292"/>
      <w:r/>
      <w:bookmarkStart w:id="645" w:name="_Toc164351635"/>
      <w:r/>
      <w:bookmarkStart w:id="646" w:name="_Toc305158883"/>
      <w:r/>
      <w:bookmarkStart w:id="647" w:name="_Toc150774641"/>
      <w:r/>
      <w:bookmarkStart w:id="648" w:name="_Toc142311043"/>
      <w:r/>
      <w:bookmarkStart w:id="649" w:name="_Toc265228379"/>
      <w:r/>
      <w:bookmarkStart w:id="650" w:name="_Toc150480779"/>
      <w:r/>
      <w:bookmarkStart w:id="651" w:name="_Toc195842906"/>
      <w:r/>
      <w:bookmarkStart w:id="652" w:name="_Toc164229382"/>
      <w:r/>
      <w:bookmarkStart w:id="653" w:name="_Toc226965814"/>
      <w:r/>
      <w:bookmarkStart w:id="654" w:name="_Toc353825551"/>
      <w:r/>
      <w:bookmarkStart w:id="655" w:name="_Toc353873941"/>
      <w:r/>
      <w:bookmarkStart w:id="656" w:name="_Toc226337251"/>
      <w:r/>
      <w:bookmarkStart w:id="657" w:name="_Toc150774760"/>
      <w:r/>
      <w:bookmarkStart w:id="658" w:name="_Toc353825545"/>
      <w:r/>
      <w:bookmarkStart w:id="659" w:name="_Toc264969245"/>
      <w:r/>
      <w:bookmarkStart w:id="660" w:name="_Toc353873935"/>
      <w:r/>
      <w:bookmarkStart w:id="661" w:name="_Toc265228393"/>
      <w:r/>
      <w:bookmarkStart w:id="662" w:name="_Toc150480793"/>
      <w:r/>
      <w:bookmarkStart w:id="663" w:name="_Toc142311057"/>
      <w:r/>
      <w:bookmarkStart w:id="664" w:name="_Toc127151555"/>
      <w:r/>
      <w:bookmarkStart w:id="665" w:name="_Toc226965828"/>
      <w:r/>
      <w:bookmarkStart w:id="666" w:name="_Toc195842920"/>
      <w:r/>
      <w:bookmarkStart w:id="667" w:name="_Toc305158897"/>
      <w:r/>
      <w:bookmarkStart w:id="668" w:name="_Toc305158823"/>
      <w:r/>
      <w:bookmarkStart w:id="669" w:name="_Toc353873665"/>
      <w:r>
        <w:rPr>
          <w:rFonts w:hint="eastAsia" w:ascii="宋体" w:hAnsi="宋体" w:eastAsia="宋体" w:cs="宋体"/>
          <w:color w:val="auto"/>
          <w:sz w:val="22"/>
          <w:szCs w:val="22"/>
          <w:highlight w:val="none"/>
        </w:rPr>
        <w:t xml:space="preserve">投标文件的符合性审查</w:t>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r/>
    </w:p>
    <w:p>
      <w:pPr>
        <w:numPr>
          <w:ilvl w:val="1"/>
          <w:numId w:val="10"/>
        </w:numPr>
        <w:ind w:left="1077" w:hanging="720"/>
        <w:spacing w:line="360" w:lineRule="auto"/>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评标委员会对资格审查合格的投标人的投标文件进行符合性审查，以确定其是否满足招标文件的实质性要求。</w:t>
      </w:r>
      <w:bookmarkStart w:id="670" w:name="_Toc520356167"/>
      <w:r/>
      <w:r/>
    </w:p>
    <w:p>
      <w:pPr>
        <w:numPr>
          <w:ilvl w:val="1"/>
          <w:numId w:val="10"/>
        </w:numPr>
        <w:ind w:left="1077" w:hanging="720"/>
        <w:spacing w:line="360" w:lineRule="auto"/>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670"/>
      <w:r>
        <w:rPr>
          <w:rFonts w:hint="eastAsia" w:ascii="宋体" w:hAnsi="宋体" w:eastAsia="宋体" w:cs="宋体"/>
          <w:color w:val="auto"/>
          <w:sz w:val="22"/>
          <w:szCs w:val="22"/>
          <w:highlight w:val="none"/>
        </w:rPr>
        <w:t xml:space="preserve">要求的，</w:t>
      </w:r>
      <w:r>
        <w:rPr>
          <w:rFonts w:hint="eastAsia" w:ascii="宋体" w:hAnsi="宋体" w:eastAsia="宋体" w:cs="宋体"/>
          <w:b/>
          <w:color w:val="auto"/>
          <w:sz w:val="22"/>
          <w:szCs w:val="22"/>
          <w:highlight w:val="none"/>
        </w:rPr>
        <w:t xml:space="preserve">投标无效</w:t>
      </w:r>
      <w:r>
        <w:rPr>
          <w:rFonts w:hint="eastAsia" w:ascii="宋体" w:hAnsi="宋体" w:eastAsia="宋体" w:cs="宋体"/>
          <w:color w:val="auto"/>
          <w:sz w:val="22"/>
          <w:szCs w:val="22"/>
          <w:highlight w:val="none"/>
        </w:rPr>
        <w:t xml:space="preserve">。</w:t>
      </w:r>
      <w:r/>
    </w:p>
    <w:p>
      <w:pPr>
        <w:ind w:hanging="357"/>
        <w:jc w:val="center"/>
        <w:spacing w:line="360" w:lineRule="auto"/>
        <w:tabs>
          <w:tab w:val="left" w:pos="900" w:leader="none"/>
          <w:tab w:val="left" w:pos="1080" w:leader="none"/>
          <w:tab w:val="left" w:pos="1589"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符合性审查要求</w:t>
      </w:r>
      <w:r/>
    </w:p>
    <w:tbl>
      <w:tblPr>
        <w:tblStyle w:val="97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739"/>
        <w:gridCol w:w="6449"/>
      </w:tblGrid>
      <w:tr>
        <w:trPr>
          <w:jc w:val="center"/>
          <w:trHeight w:val="489"/>
        </w:trPr>
        <w:tc>
          <w:tcPr>
            <w:tcW w:w="404"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976"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审查因素</w:t>
            </w:r>
            <w:r/>
          </w:p>
        </w:tc>
        <w:tc>
          <w:tcPr>
            <w:tcW w:w="3620"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审查内容</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投标函、法定代表人资格证明书、法定代表人授权委托书（如有）和政府采购供应商信用承诺书</w:t>
            </w:r>
            <w:r/>
          </w:p>
        </w:tc>
        <w:tc>
          <w:tcPr>
            <w:tcW w:w="3620" w:type="dxa"/>
            <w:vAlign w:val="center"/>
            <w:textDirection w:val="lrTb"/>
            <w:noWrap w:val="false"/>
          </w:tcPr>
          <w:p>
            <w:pPr>
              <w:jc w:val="lef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按招标文件要求提供投标函、法定代表人资格证明书、法定代表人授权委托书（如有）和政府采购供应商信用承诺书；格式见《投标文件格式》</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投标完整性</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未将一个采购包中的内容拆开投标；</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投标报价未超过招标文件中规定的项目/采购包预算金额或者项目/采购包最高限价；</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报价唯一性</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投标文件未出现可选择性或可调整的报价（招标文件另有规定的除外）；提供《开标一览表》，格式见《投标文件格式》</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投标有效期</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投标文件中承诺的投标有效期满足招标文件中载明的投标有效期的；提供承诺书。</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签署、加盖公章</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按照招标文件要求签署、加盖公章的；</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实质性格式</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标记为“实质性格式”的文件均按招标文件要求提供；</w:t>
            </w:r>
            <w:r>
              <w:rPr>
                <w:rFonts w:hint="eastAsia" w:ascii="宋体" w:hAnsi="宋体" w:eastAsia="宋体" w:cs="宋体"/>
                <w:color w:val="auto"/>
                <w:sz w:val="22"/>
                <w:szCs w:val="22"/>
                <w:highlight w:val="none"/>
              </w:rPr>
              <w:t xml:space="preserve">除前面已提供的实质性格式文件以外，</w:t>
            </w:r>
            <w:r>
              <w:rPr>
                <w:rFonts w:hint="eastAsia" w:ascii="宋体" w:hAnsi="宋体" w:eastAsia="宋体" w:cs="宋体"/>
                <w:b/>
                <w:color w:val="auto"/>
                <w:sz w:val="22"/>
                <w:szCs w:val="22"/>
                <w:highlight w:val="none"/>
              </w:rPr>
              <w:t xml:space="preserve">还需提供：合同条款偏离表，采购需求偏离表</w:t>
            </w:r>
            <w:r>
              <w:rPr>
                <w:rFonts w:hint="eastAsia" w:ascii="宋体" w:hAnsi="宋体" w:eastAsia="宋体" w:cs="宋体"/>
                <w:color w:val="auto"/>
                <w:sz w:val="22"/>
                <w:szCs w:val="22"/>
                <w:highlight w:val="none"/>
              </w:rPr>
              <w:t xml:space="preserve">；格式见《投标文件格式》</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★号条款响应</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投标文件满足招标文件第五章《采购需求》中★号条款要求的；</w:t>
            </w:r>
            <w:r>
              <w:rPr>
                <w:rFonts w:hint="eastAsia" w:ascii="宋体" w:hAnsi="宋体" w:eastAsia="宋体" w:cs="宋体"/>
                <w:b/>
                <w:color w:val="auto"/>
                <w:sz w:val="22"/>
                <w:szCs w:val="22"/>
                <w:highlight w:val="none"/>
              </w:rPr>
              <w:t xml:space="preserve">如有的，根据列出的实质性条款，按照序号逐项提供相关证明材料；</w:t>
            </w:r>
            <w:r>
              <w:rPr>
                <w:rFonts w:hint="eastAsia" w:ascii="宋体" w:hAnsi="宋体" w:eastAsia="宋体" w:cs="宋体"/>
                <w:color w:val="auto"/>
                <w:sz w:val="22"/>
                <w:szCs w:val="22"/>
                <w:highlight w:val="none"/>
              </w:rPr>
              <w:t xml:space="preserve">如没有，则无需供应商提供材料。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分包承担主体资质（如有）</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分包承担主体具备《投标人须知资料表》载明的资质条件且提供了资质证书电子件（如有）；</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分包意向协议</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（如有）</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按招标文件规定签订并提供分包意向协议原件的电子件的；（如有）格式见《投标文件格式》</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报价的修正（如有）</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不涉及报价修正，或投标文件报价出现前后不一致时，供应商对修正后的报价予以确认；（如有）</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报价合理性</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（一）评审中出现下列情形之一的，评审委员会应当启动异常低价投标（响应）审查程序： </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1.投标（响应）报价低于全部通过符合性审查供应商投标（响应）报价平均值50%的，即投标（响应）报价&lt;全部通过符合性审查供应商投标（响应）报价平均值×50%； </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2.投标（响应）报价低于通过符合性审查的次低报价供应商投标（响应）报价50%的，即投标（响应）报价&lt;通过符合性审查的次低报价供应商投标（响应）报价×50%； </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3.投标（响应）报价低于采购项目最高限价45%的，即投标（响应）报价&lt;采购项目最高限价×45%； </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4.评审委员会基于专业判断，认为供应商报价过低，有可能影响产品质量或者不能诚信履约的其他情形。 </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采购人可以结合具体项目实际情况，提高上述第1项至第3项中启动异常低价投标（响应）审查的数值标准，但是最高不得超过65%。 </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相关法律法规对供应商报价有规定的，从其规定。 </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进口产品</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（如有）</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招标文件不接受进口产品投标的内容时，供应商所投产品非进口产品的；（由评委审查，无需供应商提供材料）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国家有关部门对供应商的投标产品有强制性规定或要求的</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国家有关部门对供应商的投标产品有强制性规定或要求的（如相应技术、安全、节能和环保等），供应商的投标产品应符合相应规定或要求，并提供证明文件电子件：</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2）投标产品如涉及计算机信息系统安全专用产品的，须提供公安部颁发的计算机信息系统安全专用产品销售许可证；</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绿色包装要求</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采购的货物如涉及数据中心相关设备、运维服务的，应当有利于节约能源、环境保护和资源循环利用，符合【财政部 生态环境部 工业和信息化部关于印发《绿色数据中心政府采购需求标准（试行）》的通知】（ 财库〔2023〕7号）要求。</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公平竞争</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串通投标</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存在《政府采购货物和服务招标投标管理办法》视为供应商串通投标的情形：（一）不同供应商的投标文件由同一单位或者个人编制（包含使用同一MAC地址的计算机制作投标文件的情形）；（二）不同供应商委托同一单位或者个人办理投标事宜；（三）不同供应商的投标文件载明的项目管理成员或者联系人员为同一人；（四）不同供应商的投标文件异常一致或者投标报价呈规律性差异；（五）不同供应商的投标文件相互混装；（六）不同供应商的投标保证金从同一单位或者个人的账户转出；</w:t>
            </w:r>
            <w:r/>
          </w:p>
        </w:tc>
      </w:tr>
      <w:tr>
        <w:trPr>
          <w:jc w:val="center"/>
          <w:trHeight w:val="363"/>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附加条件</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投标文件未含有采购人不能接受的附加条件的；</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其他无效情形</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投标人、投标文件不存在不符合法律、法规和招标文件规定的其他无效情形。</w:t>
            </w:r>
            <w:r/>
          </w:p>
        </w:tc>
      </w:tr>
    </w:tbl>
    <w:p>
      <w:pPr>
        <w:pStyle w:val="995"/>
        <w:rPr>
          <w:rFonts w:hint="eastAsia" w:ascii="宋体" w:hAnsi="宋体" w:eastAsia="宋体" w:cs="宋体"/>
          <w:color w:val="auto"/>
          <w:highlight w:val="none"/>
        </w:rPr>
      </w:pPr>
      <w:r>
        <w:rPr>
          <w:rFonts w:hint="eastAsia" w:ascii="宋体" w:hAnsi="宋体" w:eastAsia="宋体" w:cs="宋体"/>
          <w:color w:val="auto"/>
          <w:highlight w:val="none"/>
        </w:rPr>
      </w:r>
      <w:bookmarkEnd w:id="654"/>
      <w:r/>
      <w:bookmarkEnd w:id="655"/>
      <w:r/>
      <w:r/>
    </w:p>
    <w:p>
      <w:pPr>
        <w:pStyle w:val="123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2.投标文件有关事项的澄清或者说明</w:t>
      </w:r>
      <w:r/>
    </w:p>
    <w:p>
      <w:pPr>
        <w:pStyle w:val="123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评标过程中，评标委员会将通过“苏采云”政府采购一体化平台系统以书面形式要求供应商对其投标文件中含义不明确、同类问题表述不一致或者有明显文字和计算错误的内容，作出必要的澄清、说明或者补正。供应商的澄清、说明或者补正应当采用书面形式，并加盖电子公章。供应商的澄清、说明或者补正不得超出投标文件的范围或者改变投标文件的实质性内容。澄清文件将作为投标文件内容的一部分。</w:t>
      </w:r>
      <w:r/>
    </w:p>
    <w:p>
      <w:pPr>
        <w:pStyle w:val="1239"/>
        <w:ind w:firstLine="420"/>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b w:val="0"/>
          <w:bCs w:val="0"/>
          <w:color w:val="auto"/>
          <w:sz w:val="21"/>
          <w:szCs w:val="21"/>
          <w:highlight w:val="none"/>
        </w:rPr>
        <w:t xml:space="preserve">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bCs/>
          <w:color w:val="auto"/>
          <w:sz w:val="21"/>
          <w:szCs w:val="21"/>
          <w:highlight w:val="none"/>
        </w:rPr>
        <w:t xml:space="preserve">无效投标处理</w:t>
      </w:r>
      <w:r>
        <w:rPr>
          <w:rFonts w:hint="eastAsia" w:ascii="宋体" w:hAnsi="宋体" w:eastAsia="宋体" w:cs="宋体"/>
          <w:b w:val="0"/>
          <w:bCs w:val="0"/>
          <w:color w:val="auto"/>
          <w:sz w:val="21"/>
          <w:szCs w:val="21"/>
          <w:highlight w:val="none"/>
        </w:rPr>
        <w:t xml:space="preserve">。</w:t>
      </w:r>
      <w:r/>
    </w:p>
    <w:p>
      <w:pPr>
        <w:pStyle w:val="123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投标报价须包含招标文件全部内容，如分项报价表有缺漏视为已含在其他各项报价中，将不对投标总价进行调整。评标委员会有权要求供应商在规定的时间内对此进行书面确认，供应商不确认的，视为将一个采购包中的内容拆开投标，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pStyle w:val="123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2.4投标文件报价出现前后不一致的，按照下列规定修正：</w:t>
      </w:r>
      <w:r/>
    </w:p>
    <w:p>
      <w:pPr>
        <w:pStyle w:val="1239"/>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2.4.1招标文件对于报价修正是否另有规定：无，按下述2.4.2-2.4.7项规定修正。</w:t>
      </w:r>
      <w:r/>
    </w:p>
    <w:p>
      <w:pPr>
        <w:pStyle w:val="123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2.4.2单独递交的开标一览表（报价表）与投标文件中开标一览表（报价表）内容不一致的，以单独递交的开标一览表（报价表）为准；</w:t>
      </w:r>
      <w:r/>
    </w:p>
    <w:p>
      <w:pPr>
        <w:pStyle w:val="123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2.4.3投标文件中开标一览表（报价表）内容与投标文件中相应内容不一致的，以开标一览表（报价表）为准；</w:t>
      </w:r>
      <w:r/>
    </w:p>
    <w:p>
      <w:pPr>
        <w:pStyle w:val="123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2.4.4大写金额和小写金额不一致的，以大写金额为准；</w:t>
      </w:r>
      <w:r/>
    </w:p>
    <w:p>
      <w:pPr>
        <w:pStyle w:val="123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2.4.5单价金额小数点或者百分比有明显错位的，以开标一览表的总价为准，并修改单价；</w:t>
      </w:r>
      <w:r/>
    </w:p>
    <w:p>
      <w:pPr>
        <w:pStyle w:val="123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2.4.6总价金额与按单价汇总金额不一致的，以单价金额计算结果为准。</w:t>
      </w:r>
      <w:r/>
    </w:p>
    <w:p>
      <w:pPr>
        <w:pStyle w:val="123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2.4.7同时出现两种以上不一致的，按照前款规定的顺序修正。修正后的报价经供应商书面确认后产生约束力，供应商不确认的，其投标无效。</w:t>
      </w:r>
      <w:r/>
    </w:p>
    <w:p>
      <w:pPr>
        <w:pStyle w:val="123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2.5落实政府采购政策的价格调整：只有符合第二章《供应商须知》5.2条规定情形的，可以享受中小企业扶持政策，用扣除后的价格参加评审；</w:t>
      </w:r>
      <w:r>
        <w:rPr>
          <w:rFonts w:hint="eastAsia" w:ascii="宋体" w:hAnsi="宋体" w:eastAsia="宋体" w:cs="宋体"/>
          <w:b/>
          <w:bCs/>
          <w:color w:val="auto"/>
          <w:sz w:val="21"/>
          <w:szCs w:val="21"/>
          <w:highlight w:val="none"/>
        </w:rPr>
        <w:t xml:space="preserve">如为专门面向中小企业采购的项目，不再执行价格评审优惠的扶持政策，</w:t>
      </w:r>
      <w:r>
        <w:rPr>
          <w:rFonts w:hint="eastAsia" w:ascii="宋体" w:hAnsi="宋体" w:eastAsia="宋体" w:cs="宋体"/>
          <w:color w:val="auto"/>
          <w:sz w:val="21"/>
          <w:szCs w:val="21"/>
          <w:highlight w:val="none"/>
        </w:rPr>
        <w:t xml:space="preserve">评标时价格不予扣除。</w:t>
      </w:r>
      <w:r/>
    </w:p>
    <w:p>
      <w:pPr>
        <w:pStyle w:val="123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w:t>
      </w:r>
      <w:r>
        <w:rPr>
          <w:rFonts w:hint="eastAsia" w:ascii="宋体" w:hAnsi="宋体" w:eastAsia="宋体" w:cs="宋体"/>
          <w:b/>
          <w:bCs/>
          <w:color w:val="auto"/>
          <w:sz w:val="21"/>
          <w:szCs w:val="21"/>
          <w:highlight w:val="none"/>
        </w:rPr>
        <w:t xml:space="preserve">对于未预留份额专门面向中小企业采购的采购项目，以及预留份额项目中的非预留部分采购包，对小微企业报价给予20%的扣除</w:t>
      </w:r>
      <w:r>
        <w:rPr>
          <w:rFonts w:hint="eastAsia" w:ascii="宋体" w:hAnsi="宋体" w:eastAsia="宋体" w:cs="宋体"/>
          <w:color w:val="auto"/>
          <w:sz w:val="21"/>
          <w:szCs w:val="21"/>
          <w:highlight w:val="none"/>
        </w:rPr>
        <w:t xml:space="preserve">，用扣除后的价格参加评审。</w:t>
      </w:r>
      <w:r/>
    </w:p>
    <w:p>
      <w:pPr>
        <w:pStyle w:val="123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30%以上的联合体或者大中型企业的报价给予6%的扣除，用扣除后的价格参加评审。</w:t>
      </w:r>
      <w:r/>
    </w:p>
    <w:p>
      <w:pPr>
        <w:pStyle w:val="123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2.5.3组成联合体或者接受分包的小微企业与联合体内其他企业、分包企业之间存在直接控股、管理关系的，不享受价格扣除优惠政策。</w:t>
      </w:r>
      <w:r/>
    </w:p>
    <w:p>
      <w:pPr>
        <w:pStyle w:val="123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2.5.4价格扣除比例对小型企业和微型企业同等对待，不作区分。</w:t>
      </w:r>
      <w:r/>
    </w:p>
    <w:p>
      <w:pPr>
        <w:pStyle w:val="123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2.5.5中小企业参加政府采购活动，应当按照招标文件给定的格式出具《中小企业声明函》，否则不得享受相关中小企业扶持政策。</w:t>
      </w:r>
      <w:r/>
    </w:p>
    <w:p>
      <w:pPr>
        <w:pStyle w:val="123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2.5.6监狱企业提供了由省级以上监狱管理局（常州市含教育矫治局）、戒毒管理局（含新疆生产建设兵团）出具的属于监狱企业的证明文件的，视同小微企业。</w:t>
      </w:r>
      <w:r/>
    </w:p>
    <w:p>
      <w:pPr>
        <w:pStyle w:val="123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2.5.7残疾人福利性单位按招标文件要求提供了《残疾人福利性单位声明函》（见附件）的，视同小微企业。</w:t>
      </w:r>
      <w:r/>
    </w:p>
    <w:p>
      <w:pPr>
        <w:pStyle w:val="123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2.5.8若供应商同时属于小型或微型企业、监狱企业、残疾人福利性单位中的两种及以上，将不重复享受小微企业价格扣减的优惠政策。</w:t>
      </w:r>
      <w:r/>
    </w:p>
    <w:p>
      <w:pPr>
        <w:pStyle w:val="123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3.投标文件的比较和评价</w:t>
      </w:r>
      <w:r/>
    </w:p>
    <w:p>
      <w:pPr>
        <w:pStyle w:val="123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3.1评标委员会将按照招标文件中规定的评标方法和标准，对符合性审查合格的投标文件进行商务和技术评估，综合比较与评价；未通过符合性审查的投标文件不得进入比较与评价。</w:t>
      </w:r>
      <w:r/>
    </w:p>
    <w:p>
      <w:pPr>
        <w:pStyle w:val="123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3.2评标方法和评标标准</w:t>
      </w:r>
      <w:r/>
    </w:p>
    <w:p>
      <w:pPr>
        <w:pStyle w:val="123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3.2.1本项目采用的评标方法为：</w:t>
      </w:r>
      <w:r/>
    </w:p>
    <w:p>
      <w:pPr>
        <w:pStyle w:val="1239"/>
        <w:ind w:firstLine="42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■综合评分法，指投标文件满足招标文件全部实质性要求，且按照评审因素的量化指标评审得分最高的供应商为中标候选人的评标方法，见《评标标准》，招标文件中没有规定的评标标准不得作为评审的依据。</w:t>
      </w:r>
      <w:r/>
    </w:p>
    <w:p>
      <w:pPr>
        <w:pStyle w:val="1239"/>
        <w:ind w:firstLine="420"/>
        <w:rPr>
          <w:rFonts w:hint="eastAsia" w:ascii="宋体" w:hAnsi="宋体" w:eastAsia="宋体" w:cs="宋体"/>
          <w:b w:val="0"/>
          <w:bCs w:val="0"/>
          <w:color w:val="auto"/>
          <w:sz w:val="21"/>
          <w:szCs w:val="21"/>
          <w:highlight w:val="none"/>
        </w:rPr>
      </w:pPr>
      <w:r>
        <w:rPr>
          <w:rFonts w:hint="eastAsia"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最低评标价法，指投标文件满足招标文件全部实质性要求，且投标报价最低的供应商为中标候选人的评标方法。</w:t>
      </w:r>
      <w:r/>
    </w:p>
    <w:p>
      <w:pPr>
        <w:pStyle w:val="123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采用最低评标价法时，提供相同品牌产品（单一产品或核心产品品牌相同）的不同供应商参加同一合同项下投标的，以其中通过资格审查、符合性审查且报价最低的参加评标；报价相同的，由采购人或者采购人委托评标委员会按照下述方法确定一个参加评标的供应商，其他投标无效。</w:t>
      </w:r>
      <w:r/>
    </w:p>
    <w:p>
      <w:pPr>
        <w:pStyle w:val="1239"/>
        <w:ind w:firstLine="420"/>
        <w:rPr>
          <w:rFonts w:hint="eastAsia" w:ascii="宋体" w:hAnsi="宋体" w:eastAsia="宋体" w:cs="宋体"/>
          <w:color w:val="auto"/>
          <w:sz w:val="21"/>
          <w:szCs w:val="21"/>
          <w:highlight w:val="none"/>
        </w:rPr>
      </w:pPr>
      <w:r/>
      <w:bookmarkStart w:id="671" w:name="_Hlk107696993"/>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随机抽取</w:t>
      </w:r>
      <w:bookmarkEnd w:id="671"/>
      <w:r/>
      <w:r/>
    </w:p>
    <w:p>
      <w:pPr>
        <w:pStyle w:val="1239"/>
        <w:ind w:firstLine="420"/>
        <w:rPr>
          <w:rFonts w:hint="eastAsia" w:ascii="宋体" w:hAnsi="宋体" w:eastAsia="宋体" w:cs="宋体"/>
          <w:color w:val="auto"/>
          <w:sz w:val="21"/>
          <w:szCs w:val="21"/>
          <w:highlight w:val="none"/>
        </w:rPr>
      </w:pP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其他方式，具体要求：_____</w:t>
      </w:r>
      <w:r/>
    </w:p>
    <w:p>
      <w:pPr>
        <w:pStyle w:val="123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3.2.3非政府强制采购的节能产品或环境标志产品，依据品目清单和认证证书实施政府优先采购。优先采购的具体规定（如涉及）</w:t>
      </w:r>
      <w:r>
        <w:rPr>
          <w:rFonts w:hint="eastAsia"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pStyle w:val="123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3.2.4关于无线局域网认证产品政府采购清单中的产品，优先采购的具体规定（如涉及）</w:t>
      </w:r>
      <w:r>
        <w:rPr>
          <w:rFonts w:hint="eastAsia"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pStyle w:val="123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4.确定</w:t>
      </w:r>
      <w:bookmarkStart w:id="672" w:name="_Toc150480784"/>
      <w:r/>
      <w:bookmarkStart w:id="673" w:name="_Toc142311048"/>
      <w:r/>
      <w:bookmarkStart w:id="674" w:name="_Toc226309790"/>
      <w:r/>
      <w:bookmarkStart w:id="675" w:name="_Toc164229241"/>
      <w:r/>
      <w:bookmarkStart w:id="676" w:name="_Toc226337242"/>
      <w:r/>
      <w:bookmarkStart w:id="677" w:name="_Toc226965819"/>
      <w:r/>
      <w:bookmarkStart w:id="678" w:name="_Toc151193716"/>
      <w:r/>
      <w:bookmarkStart w:id="679" w:name="_Toc195842911"/>
      <w:r/>
      <w:bookmarkStart w:id="680" w:name="_Toc151193644"/>
      <w:r/>
      <w:bookmarkStart w:id="681" w:name="_Toc151193934"/>
      <w:r/>
      <w:bookmarkStart w:id="682" w:name="_Toc305158888"/>
      <w:r/>
      <w:bookmarkStart w:id="683" w:name="_Toc127161460"/>
      <w:r/>
      <w:bookmarkStart w:id="684" w:name="_Toc150509297"/>
      <w:r/>
      <w:bookmarkStart w:id="685" w:name="_Toc127151747"/>
      <w:r/>
      <w:bookmarkStart w:id="686" w:name="_Toc151193860"/>
      <w:r/>
      <w:bookmarkStart w:id="687" w:name="_Toc164608815"/>
      <w:r/>
      <w:bookmarkStart w:id="688" w:name="_Toc265228384"/>
      <w:r/>
      <w:bookmarkStart w:id="689" w:name="_Toc149720839"/>
      <w:r/>
      <w:bookmarkStart w:id="690" w:name="_Toc164608660"/>
      <w:r/>
      <w:bookmarkStart w:id="691" w:name="_Toc164229387"/>
      <w:r/>
      <w:bookmarkStart w:id="692" w:name="_Toc151190173"/>
      <w:r/>
      <w:bookmarkStart w:id="693" w:name="_Toc226965736"/>
      <w:r/>
      <w:bookmarkStart w:id="694" w:name="_Toc150774751"/>
      <w:r/>
      <w:bookmarkStart w:id="695" w:name="_Ref467307010"/>
      <w:r/>
      <w:bookmarkStart w:id="696" w:name="_Toc164351640"/>
      <w:r/>
      <w:bookmarkStart w:id="697" w:name="_Toc150774646"/>
      <w:r/>
      <w:bookmarkStart w:id="698" w:name="_Toc151193788"/>
      <w:r/>
      <w:bookmarkStart w:id="699" w:name="_Toc520356170"/>
      <w:r/>
      <w:bookmarkStart w:id="700" w:name="_Toc127151546"/>
      <w:r/>
      <w:bookmarkStart w:id="701" w:name="_Toc264969236"/>
      <w:r/>
      <w:bookmarkStart w:id="702" w:name="_Toc305158814"/>
      <w:r>
        <w:rPr>
          <w:rFonts w:hint="eastAsia" w:ascii="宋体" w:hAnsi="宋体" w:eastAsia="宋体" w:cs="宋体"/>
          <w:color w:val="auto"/>
          <w:sz w:val="21"/>
          <w:szCs w:val="21"/>
          <w:highlight w:val="none"/>
        </w:rPr>
        <w:t xml:space="preserve">中标候选人名单</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r/>
    </w:p>
    <w:p>
      <w:pPr>
        <w:pStyle w:val="123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采用综合评分法时，提供相同品牌产品（单一产品或核心产品品牌相同）且通过资格审查、符合性审查的不同供应商参加同一合同项下投标的，按一家供应商计算，评审后得分最高的同品牌供应商获得中标人推荐资格；评审得分相同的，评标委员会按照下述规定确定一个供应商获得中标人推荐资格，其他同品牌供应商不作为中标候选人。</w:t>
      </w:r>
      <w:r/>
    </w:p>
    <w:p>
      <w:pPr>
        <w:pStyle w:val="123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■随机抽取</w:t>
      </w:r>
      <w:r/>
    </w:p>
    <w:p>
      <w:pPr>
        <w:pStyle w:val="123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□其他方式，具体要求：_____</w:t>
      </w:r>
      <w:r/>
    </w:p>
    <w:p>
      <w:pPr>
        <w:pStyle w:val="123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rPr>
          <w:rFonts w:hint="eastAsia" w:ascii="宋体" w:hAnsi="宋体" w:eastAsia="宋体" w:cs="宋体"/>
          <w:b/>
          <w:bCs/>
          <w:color w:val="auto"/>
          <w:sz w:val="21"/>
          <w:szCs w:val="21"/>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评分分值计算保留小数点后两位，第三位四舍五入。</w:t>
      </w:r>
      <w:r/>
    </w:p>
    <w:p>
      <w:pPr>
        <w:pStyle w:val="1239"/>
        <w:ind w:firstLine="420"/>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4.3</w:t>
      </w:r>
      <w:r>
        <w:rPr>
          <w:rFonts w:hint="eastAsia" w:ascii="宋体" w:hAnsi="宋体" w:eastAsia="宋体" w:cs="宋体"/>
          <w:b w:val="0"/>
          <w:bCs w:val="0"/>
          <w:color w:val="auto"/>
          <w:sz w:val="21"/>
          <w:szCs w:val="21"/>
          <w:highlight w:val="none"/>
        </w:rPr>
        <w:t xml:space="preserve">采用最低评标价法时，评标结果按本章2.4、2.5调整后的投标报价由低到高顺序排列。投标报价相同的并列。投标文件满足招标文件全部实质性要求且投标报价最低的供应商为排名第一的中标候选人。</w:t>
      </w:r>
      <w:r/>
    </w:p>
    <w:p>
      <w:pPr>
        <w:pStyle w:val="123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4.4评标委员会要对评分汇总情况进行复核，特别是对排名第一的、报价最低的、投标或投标文件被认定为无效的情形进行重点复核。</w:t>
      </w:r>
      <w:r/>
    </w:p>
    <w:p>
      <w:pPr>
        <w:pStyle w:val="123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rPr>
          <w:rFonts w:hint="eastAsia" w:ascii="宋体" w:hAnsi="宋体" w:eastAsia="宋体" w:cs="宋体"/>
          <w:b/>
          <w:bCs/>
          <w:color w:val="auto"/>
          <w:sz w:val="21"/>
          <w:szCs w:val="21"/>
          <w:highlight w:val="none"/>
        </w:rPr>
        <w:t xml:space="preserve">评标委员会将根据各供应商的评标排序，依次推荐本项目（各采购包）的中标候选人，起草并签署评标报告。本项目（各采购包）评标委员会共（各）推荐不少于3名中标候选人。</w:t>
      </w:r>
      <w:r/>
    </w:p>
    <w:p>
      <w:pPr>
        <w:pStyle w:val="123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5.报告违法行为</w:t>
      </w:r>
      <w:r/>
    </w:p>
    <w:p>
      <w:pPr>
        <w:pStyle w:val="123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5.1评标委员会在评标过程中发现供应商有行贿、提供虚假材料或者串通等违法行为时，有向采购人、采购代理机构或者有关部门报告的职责。</w:t>
      </w:r>
      <w:r/>
    </w:p>
    <w:p>
      <w:pPr>
        <w:rPr>
          <w:b/>
          <w:color w:val="auto"/>
          <w:sz w:val="24"/>
          <w:highlight w:val="none"/>
        </w:rPr>
      </w:pPr>
      <w:r/>
      <w:bookmarkStart w:id="703" w:name="_Toc184327613"/>
      <w:r>
        <w:rPr>
          <w:b/>
          <w:color w:val="auto"/>
          <w:sz w:val="24"/>
          <w:highlight w:val="none"/>
        </w:rPr>
        <w:br w:type="page" w:clear="all"/>
      </w:r>
      <w:r/>
    </w:p>
    <w:p>
      <w:pPr>
        <w:ind w:firstLine="357"/>
        <w:jc w:val="center"/>
        <w:spacing w:line="360" w:lineRule="auto"/>
        <w:tabs>
          <w:tab w:val="left" w:pos="360" w:leader="none"/>
          <w:tab w:val="left" w:pos="900" w:leader="none"/>
        </w:tabs>
        <w:rPr>
          <w:color w:val="auto"/>
          <w:sz w:val="24"/>
          <w:highlight w:val="none"/>
        </w:rPr>
        <w:outlineLvl w:val="1"/>
      </w:pPr>
      <w:r>
        <w:rPr>
          <w:b/>
          <w:color w:val="auto"/>
          <w:sz w:val="24"/>
          <w:highlight w:val="none"/>
        </w:rPr>
        <w:t xml:space="preserve">二、评标标准</w:t>
      </w:r>
      <w:bookmarkEnd w:id="70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用综合评分法，由评审小组对所有有效投标文件进行详细的评分，采用百分制计分方法。评标时，评审小组各成员遵循公平、公正、择优原则，独立对每个有效投标人的投标文件进行评价、打分，各个投标人的最终得分为汇总计算所有评审小组成员所评定分值的平均值（保留2位小数）。评审小组按评审后最终综合得分由高到低顺序排列名次，并推荐第一中标候选单位。如得分相同的，按投标报价由低到高顺序推荐成第一中标候选单位。如得分相同，报价相同，则由招标人抽签确定第一中标候选单位。</w:t>
      </w:r>
      <w:r/>
    </w:p>
    <w:p>
      <w:pPr>
        <w:ind w:firstLine="420"/>
        <w:jc w:val="left"/>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评分细则如下：</w:t>
      </w:r>
      <w:r/>
    </w:p>
    <w:tbl>
      <w:tblPr>
        <w:tblStyle w:val="971"/>
        <w:tblW w:w="522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0"/>
        <w:gridCol w:w="1260"/>
        <w:gridCol w:w="811"/>
        <w:gridCol w:w="6292"/>
      </w:tblGrid>
      <w:tr>
        <w:trPr>
          <w:trHeight w:val="454"/>
        </w:trPr>
        <w:tc>
          <w:tcPr>
            <w:tcW w:w="93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20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评分因素</w:t>
            </w:r>
            <w:r/>
          </w:p>
        </w:tc>
        <w:tc>
          <w:tcPr>
            <w:tcW w:w="77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W w:w="599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评分标准</w:t>
            </w:r>
            <w:r/>
          </w:p>
        </w:tc>
      </w:tr>
      <w:tr>
        <w:trPr>
          <w:trHeight w:val="454"/>
        </w:trPr>
        <w:tc>
          <w:tcPr>
            <w:tcW w:w="93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20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w:t>
            </w:r>
            <w:r/>
          </w:p>
        </w:tc>
        <w:tc>
          <w:tcPr>
            <w:tcW w:w="77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599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满足招标文件要求且投标价格最低的投标报价为评标基准价，其价格分为满分。其他投标人的价格分统一按照下列公式计算：</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投标报价得分＝（评标基准价/投标报价）×分值。</w:t>
            </w:r>
            <w:r/>
          </w:p>
          <w:p>
            <w:pPr>
              <w:rPr>
                <w:rFonts w:hint="eastAsia" w:ascii="宋体" w:hAnsi="宋体" w:eastAsia="宋体" w:cs="宋体"/>
                <w:sz w:val="21"/>
                <w:szCs w:val="21"/>
              </w:rPr>
            </w:pPr>
            <w:r>
              <w:rPr>
                <w:rFonts w:hint="eastAsia" w:ascii="宋体" w:hAnsi="宋体" w:eastAsia="宋体" w:cs="宋体"/>
                <w:color w:val="auto"/>
                <w:sz w:val="21"/>
                <w:szCs w:val="21"/>
                <w:highlight w:val="none"/>
              </w:rPr>
              <w:t xml:space="preserve">注：此处投标报价指经过报价修正后的报价。</w:t>
            </w:r>
            <w:r/>
          </w:p>
        </w:tc>
      </w:tr>
      <w:tr>
        <w:trPr>
          <w:trHeight w:val="454"/>
        </w:trPr>
        <w:tc>
          <w:tcPr>
            <w:tcW w:w="93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20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主观分</w:t>
            </w:r>
            <w:r/>
          </w:p>
        </w:tc>
        <w:tc>
          <w:tcPr>
            <w:tcW w:w="772"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2</w:t>
            </w:r>
            <w:r/>
          </w:p>
        </w:tc>
        <w:tc>
          <w:tcPr>
            <w:tcW w:w="599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54"/>
        </w:trPr>
        <w:tc>
          <w:tcPr>
            <w:tcW w:w="93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W w:w="120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工作方案</w:t>
            </w:r>
            <w:r/>
          </w:p>
        </w:tc>
        <w:tc>
          <w:tcPr>
            <w:tcW w:w="772"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599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方案：包括对项目背景、项目所在地熟悉程度、项目工作范围、项目目标、项目主要工作内容、最终成果等内容进行阐述，结合本项目的实际情况进行了解调查的文字说明，对项目认知明确、具体深入，提供详细的说明和分析等；</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方案完整、可行，能完全满足项目实施要求，得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方案较具体、可行，能基本满足项目实施要求，得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方案内容较简单，对项目实施要求响应一般，得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方案内容较差、无针对性或可行性较差，得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未提供本项不得分。</w:t>
            </w:r>
            <w:r/>
          </w:p>
        </w:tc>
      </w:tr>
      <w:tr>
        <w:trPr>
          <w:trHeight w:val="454"/>
        </w:trPr>
        <w:tc>
          <w:tcPr>
            <w:tcW w:w="93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W w:w="120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技术先进性</w:t>
            </w:r>
            <w:r/>
          </w:p>
        </w:tc>
        <w:tc>
          <w:tcPr>
            <w:tcW w:w="772"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5992"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针对本项目，从工艺技术的先进性，资源化利用方案，智能化监测系统，节能减排效果等技术方案；</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方案完整、可行，能完全满足项目实施要求，得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方案较具体、可行，能基本满足项目实施要求，得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方案内容较简单，对项目实施要求响应一般，得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方案内容较差、无针对性或可行性较差，得1分；</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未提供本项不得分。</w:t>
            </w:r>
            <w:r/>
          </w:p>
        </w:tc>
      </w:tr>
      <w:tr>
        <w:trPr>
          <w:trHeight w:val="454"/>
        </w:trPr>
        <w:tc>
          <w:tcPr>
            <w:tcW w:w="933"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w:t>
            </w:r>
            <w:r/>
          </w:p>
        </w:tc>
        <w:tc>
          <w:tcPr>
            <w:tcW w:w="1200"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危险废弃物识别与防控预案</w:t>
            </w:r>
            <w:r/>
          </w:p>
        </w:tc>
        <w:tc>
          <w:tcPr>
            <w:tcW w:w="772"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5992"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能全面、准确识别项目全流程可能产生的危险废弃物种类及危害特性</w:t>
            </w:r>
            <w:r>
              <w:rPr>
                <w:rFonts w:hint="eastAsia" w:ascii="宋体" w:hAnsi="宋体" w:eastAsia="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制定针对性强、可落地的防控预案，明确防控责任分工、防控节点及应急处置流程，得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识别</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全面，防控预案</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可行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防控责任分工、防控节点及应急处置流程</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明确，得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识别基本全面，防控预案基本可行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防控责任分工、防控节点及应急处置流程</w:t>
            </w:r>
            <w:r>
              <w:rPr>
                <w:rFonts w:hint="eastAsia" w:ascii="宋体" w:hAnsi="宋体" w:eastAsia="宋体" w:cs="宋体"/>
                <w:color w:val="auto"/>
                <w:sz w:val="21"/>
                <w:szCs w:val="21"/>
                <w:highlight w:val="none"/>
                <w:lang w:val="en-US" w:eastAsia="zh-CN"/>
              </w:rPr>
              <w:t xml:space="preserve">明确性一般</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未识别危险废弃物或防控预案缺失、不可行，防控责任分工、防控节点及应急处置流程</w:t>
            </w:r>
            <w:r>
              <w:rPr>
                <w:rFonts w:hint="eastAsia" w:ascii="宋体" w:hAnsi="宋体" w:eastAsia="宋体" w:cs="宋体"/>
                <w:color w:val="auto"/>
                <w:sz w:val="21"/>
                <w:szCs w:val="21"/>
                <w:highlight w:val="none"/>
                <w:lang w:val="en-US" w:eastAsia="zh-CN"/>
              </w:rPr>
              <w:t xml:space="preserve">明确性较差，得1分；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未提供本项不得分。</w:t>
            </w:r>
            <w:r/>
          </w:p>
        </w:tc>
      </w:tr>
      <w:tr>
        <w:trPr>
          <w:trHeight w:val="454"/>
        </w:trPr>
        <w:tc>
          <w:tcPr>
            <w:tcW w:w="933"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p>
        </w:tc>
        <w:tc>
          <w:tcPr>
            <w:tcW w:w="120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进度计划和各阶段进度的保证措施</w:t>
            </w:r>
            <w:r/>
          </w:p>
        </w:tc>
        <w:tc>
          <w:tcPr>
            <w:tcW w:w="772"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p>
        </w:tc>
        <w:tc>
          <w:tcPr>
            <w:tcW w:w="5992"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进度计划和各阶段进度的保证措施,包括但不限于组织措施、技术措施、物资安排措施；</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方案完整、可行，工期满足要求，工期提前有保证措施，进度计划与工期安排衔接对应，能完全满足项目实施要求，得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方案较具体、可行，工期基本满足要求，进度计划与工期安排衔接基本对应，能基本满足项目实施要求，得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方案内容较简单，对项目实施要求响应一般，得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方案内容较差、无针对性或可行性较差，得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未提供本项不得分。</w:t>
            </w:r>
            <w:r/>
          </w:p>
        </w:tc>
      </w:tr>
      <w:tr>
        <w:trPr>
          <w:trHeight w:val="454"/>
        </w:trPr>
        <w:tc>
          <w:tcPr>
            <w:tcW w:w="933"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5</w:t>
            </w:r>
            <w:r/>
          </w:p>
        </w:tc>
        <w:tc>
          <w:tcPr>
            <w:tcW w:w="120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质量保证措施</w:t>
            </w:r>
            <w:r/>
          </w:p>
        </w:tc>
        <w:tc>
          <w:tcPr>
            <w:tcW w:w="772"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p>
        </w:tc>
        <w:tc>
          <w:tcPr>
            <w:tcW w:w="5992"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质量保证措施，包括但不限于质量管理制度、质量通病的针对性措施、实施项目前中后全过程质量控制措施等；</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服务期内土壤修复保障措施的方案完整、可行，能完全满足项目实施要求，得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服务期内土壤修复保障措施的方案较具体、可行，能基本满足项目实施要求，得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服务期内土壤修复保障措施的方案内容较简单，对项目实施要求响应一般，得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服务期内土壤修复保障措施的方案内容较差、无针对性或可行性较差，得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未提供本项不得分。</w:t>
            </w:r>
            <w:r/>
          </w:p>
        </w:tc>
      </w:tr>
      <w:tr>
        <w:trPr>
          <w:trHeight w:val="454"/>
        </w:trPr>
        <w:tc>
          <w:tcPr>
            <w:tcW w:w="933"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w:t>
            </w:r>
            <w:r/>
          </w:p>
        </w:tc>
        <w:tc>
          <w:tcPr>
            <w:tcW w:w="120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应急方案</w:t>
            </w:r>
            <w:r/>
          </w:p>
        </w:tc>
        <w:tc>
          <w:tcPr>
            <w:tcW w:w="772"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p>
        </w:tc>
        <w:tc>
          <w:tcPr>
            <w:tcW w:w="599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项目实施过程风险防范措施、应急方案：包括但不限于面对突发事件如自然灾害、重特大事故、环境公害及人为破坏的应急管理、指挥、救援计划等；</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方案完整、可行，能完全满足项目实施要求，得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方案较具体、可行，能基本满足项目实施要求，得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方案内容较简单，对项目实施要求响应一般，得3分；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方案内容较差、无针对性或可行性较差，得1分；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未提供本项不得分。</w:t>
            </w:r>
            <w:r/>
          </w:p>
        </w:tc>
      </w:tr>
      <w:tr>
        <w:trPr>
          <w:trHeight w:val="454"/>
        </w:trPr>
        <w:tc>
          <w:tcPr>
            <w:tcW w:w="933"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7</w:t>
            </w:r>
            <w:r/>
          </w:p>
        </w:tc>
        <w:tc>
          <w:tcPr>
            <w:tcW w:w="120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协调安排</w:t>
            </w:r>
            <w:r/>
          </w:p>
        </w:tc>
        <w:tc>
          <w:tcPr>
            <w:tcW w:w="772"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p>
        </w:tc>
        <w:tc>
          <w:tcPr>
            <w:tcW w:w="599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协调安排方案：包括但不限于项目实施过程与业主、管理部门、处置单位等的沟通协调安排等方案；</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方案完整、可行，能完全满足项目实施要求，得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方案较具体、可行，能基本满足项目实施要求，得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方案内容较简单，对项目实施要求响应一般，得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方案内容较差、无针对性或可行性较差，得1分；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未提供本项不得分。</w:t>
            </w:r>
            <w:r/>
          </w:p>
        </w:tc>
      </w:tr>
      <w:tr>
        <w:trPr>
          <w:trHeight w:val="454"/>
        </w:trPr>
        <w:tc>
          <w:tcPr>
            <w:tcW w:w="93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20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客观分</w:t>
            </w:r>
            <w:r/>
          </w:p>
        </w:tc>
        <w:tc>
          <w:tcPr>
            <w:tcW w:w="772"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3</w:t>
            </w:r>
            <w:r/>
          </w:p>
        </w:tc>
        <w:tc>
          <w:tcPr>
            <w:tcW w:w="599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385"/>
        </w:trPr>
        <w:tc>
          <w:tcPr>
            <w:tcW w:w="93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W w:w="120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企业业绩</w:t>
            </w:r>
            <w:r/>
          </w:p>
        </w:tc>
        <w:tc>
          <w:tcPr>
            <w:tcW w:w="772"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599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供应商自202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月1日</w:t>
            </w:r>
            <w:r>
              <w:rPr>
                <w:rFonts w:hint="eastAsia" w:ascii="宋体" w:hAnsi="宋体" w:eastAsia="宋体" w:cs="宋体"/>
                <w:color w:val="auto"/>
                <w:sz w:val="21"/>
                <w:szCs w:val="21"/>
                <w:highlight w:val="none"/>
                <w:lang w:val="en-US" w:eastAsia="zh-CN"/>
              </w:rPr>
              <w:t xml:space="preserve">以来，</w:t>
            </w:r>
            <w:r>
              <w:rPr>
                <w:rFonts w:hint="eastAsia" w:ascii="宋体" w:hAnsi="宋体" w:eastAsia="宋体" w:cs="宋体"/>
                <w:color w:val="auto"/>
                <w:sz w:val="21"/>
                <w:szCs w:val="21"/>
                <w:highlight w:val="none"/>
              </w:rPr>
              <w:t xml:space="preserve">承接过类似项目</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，每提供一份有效业绩合同得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分，本项最高得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注：提供合同</w:t>
            </w:r>
            <w:r>
              <w:rPr>
                <w:rFonts w:hint="eastAsia" w:ascii="宋体" w:hAnsi="宋体" w:eastAsia="宋体" w:cs="宋体"/>
                <w:b/>
                <w:bCs/>
                <w:color w:val="auto"/>
                <w:sz w:val="21"/>
                <w:szCs w:val="21"/>
                <w:highlight w:val="none"/>
                <w:lang w:val="en-US" w:eastAsia="zh-CN"/>
              </w:rPr>
              <w:t xml:space="preserve">扫描件</w:t>
            </w:r>
            <w:r>
              <w:rPr>
                <w:rFonts w:hint="eastAsia" w:ascii="宋体" w:hAnsi="宋体" w:eastAsia="宋体" w:cs="宋体"/>
                <w:b/>
                <w:bCs/>
                <w:color w:val="auto"/>
                <w:sz w:val="21"/>
                <w:szCs w:val="21"/>
                <w:highlight w:val="none"/>
              </w:rPr>
              <w:t xml:space="preserve">加盖投标人公章</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时间以合同签订时间为准</w:t>
            </w:r>
            <w:r>
              <w:rPr>
                <w:rFonts w:hint="eastAsia" w:ascii="宋体" w:hAnsi="宋体" w:eastAsia="宋体" w:cs="宋体"/>
                <w:b/>
                <w:bCs/>
                <w:color w:val="auto"/>
                <w:sz w:val="21"/>
                <w:szCs w:val="21"/>
                <w:highlight w:val="none"/>
              </w:rPr>
              <w:t xml:space="preserve">。</w:t>
            </w:r>
            <w:r/>
          </w:p>
        </w:tc>
      </w:tr>
      <w:tr>
        <w:trPr>
          <w:trHeight w:val="1664"/>
        </w:trPr>
        <w:tc>
          <w:tcPr>
            <w:tcW w:w="933"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2</w:t>
            </w:r>
            <w:r/>
          </w:p>
        </w:tc>
        <w:tc>
          <w:tcPr>
            <w:tcW w:w="1200"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体系认证</w:t>
            </w:r>
            <w:r/>
          </w:p>
        </w:tc>
        <w:tc>
          <w:tcPr>
            <w:tcW w:w="772"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tcW w:w="599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具备有效期内的质量管理体系、环境管理体系证书和职业健康安全体系证书，有1个得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分，本项最高得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响应文件中同时提供证书及对应证书在国家认证认可监督管理委员会网站（http://www.cnca.gov.cn/）查询为“有效”状态的截图。未提供的或无效的不得分。</w:t>
            </w:r>
            <w:r/>
          </w:p>
        </w:tc>
      </w:tr>
      <w:tr>
        <w:trPr>
          <w:trHeight w:val="357"/>
        </w:trPr>
        <w:tc>
          <w:tcPr>
            <w:tcW w:w="933"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w:t>
            </w:r>
            <w:r/>
          </w:p>
        </w:tc>
        <w:tc>
          <w:tcPr>
            <w:tcW w:w="1200"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企业实力</w:t>
            </w:r>
            <w:r/>
          </w:p>
        </w:tc>
        <w:tc>
          <w:tcPr>
            <w:tcW w:w="772"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5992"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供应商提供与合规处置的资源化处置单位(合规处置废水、废土等接收单位)签订的处置协议(协议服务有效期需至2026年12月20日之后)的得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分；承诺中标之后7个日历日内提供与合规处置的资源化处置单位(合规处置废水、废土等接收单位)签订的处置协议的得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分；承诺中标之后8-15个日历日内提供与合规处置的资源化处置单位(合规处置废水、废土等接收单位)签订的处置协议的得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分；未提供不得分。</w:t>
            </w:r>
            <w:r/>
          </w:p>
          <w:p>
            <w:pPr>
              <w:rPr>
                <w:rFonts w:hint="eastAsia" w:ascii="宋体" w:hAnsi="宋体" w:eastAsia="宋体" w:cs="宋体"/>
                <w:color w:val="auto"/>
                <w:sz w:val="21"/>
                <w:szCs w:val="21"/>
                <w:highlight w:val="yellow"/>
                <w:lang w:val="en-US" w:eastAsia="zh-CN"/>
              </w:rPr>
            </w:pPr>
            <w:r>
              <w:rPr>
                <w:rFonts w:hint="eastAsia" w:ascii="宋体" w:hAnsi="宋体" w:eastAsia="宋体" w:cs="宋体"/>
                <w:b/>
                <w:bCs/>
                <w:color w:val="auto"/>
                <w:sz w:val="21"/>
                <w:szCs w:val="21"/>
                <w:highlight w:val="none"/>
                <w:lang w:val="en-US" w:eastAsia="zh-CN"/>
              </w:rPr>
              <w:t xml:space="preserve">注：提供处置协议扫描件或</w:t>
            </w:r>
            <w:r>
              <w:rPr>
                <w:rFonts w:hint="eastAsia" w:ascii="宋体" w:hAnsi="宋体" w:eastAsia="宋体" w:cs="宋体"/>
                <w:b/>
                <w:bCs/>
                <w:color w:val="auto"/>
                <w:sz w:val="21"/>
                <w:szCs w:val="21"/>
                <w:highlight w:val="none"/>
              </w:rPr>
              <w:t xml:space="preserve">承诺函(格式自拟)加盖投标人公章</w:t>
            </w:r>
            <w:r>
              <w:rPr>
                <w:rFonts w:hint="eastAsia" w:ascii="宋体" w:hAnsi="宋体" w:eastAsia="宋体" w:cs="宋体"/>
                <w:b/>
                <w:bCs/>
                <w:color w:val="auto"/>
                <w:sz w:val="21"/>
                <w:szCs w:val="21"/>
                <w:highlight w:val="none"/>
                <w:lang w:val="en-US" w:eastAsia="zh-CN"/>
              </w:rPr>
              <w:t xml:space="preserve">的扫描件</w:t>
            </w:r>
            <w:r>
              <w:rPr>
                <w:rFonts w:hint="eastAsia" w:ascii="宋体" w:hAnsi="宋体" w:eastAsia="宋体" w:cs="宋体"/>
                <w:b/>
                <w:bCs/>
                <w:color w:val="auto"/>
                <w:sz w:val="21"/>
                <w:szCs w:val="21"/>
                <w:highlight w:val="none"/>
              </w:rPr>
              <w:t xml:space="preserve">，否则不得分。</w:t>
            </w:r>
            <w:r/>
          </w:p>
        </w:tc>
      </w:tr>
      <w:tr>
        <w:trPr>
          <w:trHeight w:val="454"/>
        </w:trPr>
        <w:tc>
          <w:tcPr>
            <w:tcW w:w="933"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.5</w:t>
            </w:r>
            <w:r/>
          </w:p>
        </w:tc>
        <w:tc>
          <w:tcPr>
            <w:tcW w:w="120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项目团队</w:t>
            </w:r>
            <w:r/>
          </w:p>
        </w:tc>
        <w:tc>
          <w:tcPr>
            <w:tcW w:w="772"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W w:w="5992" w:type="dxa"/>
            <w:vAlign w:val="center"/>
            <w:textDirection w:val="lrTb"/>
            <w:noWrap w:val="false"/>
          </w:tcPr>
          <w:p>
            <w:pPr>
              <w:rPr>
                <w:rFonts w:hint="eastAsia" w:ascii="宋体" w:hAnsi="宋体" w:eastAsia="宋体" w:cs="宋体"/>
                <w:b w:val="0"/>
                <w:bCs w:val="0"/>
                <w:strike w:val="0"/>
                <w:color w:val="auto"/>
                <w:sz w:val="21"/>
                <w:szCs w:val="21"/>
                <w:highlight w:val="none"/>
              </w:rPr>
            </w:pPr>
            <w:r>
              <w:rPr>
                <w:rFonts w:hint="eastAsia" w:ascii="宋体" w:hAnsi="宋体" w:eastAsia="宋体" w:cs="宋体"/>
                <w:b/>
                <w:bCs/>
                <w:strike w:val="0"/>
                <w:color w:val="auto"/>
                <w:sz w:val="21"/>
                <w:szCs w:val="21"/>
                <w:highlight w:val="none"/>
              </w:rPr>
              <w:t xml:space="preserve">1、项目负责人：</w:t>
            </w:r>
            <w:r>
              <w:rPr>
                <w:rFonts w:hint="eastAsia" w:ascii="宋体" w:hAnsi="宋体" w:eastAsia="宋体" w:cs="宋体"/>
                <w:b w:val="0"/>
                <w:bCs w:val="0"/>
                <w:strike w:val="0"/>
                <w:color w:val="auto"/>
                <w:sz w:val="21"/>
                <w:szCs w:val="21"/>
                <w:highlight w:val="none"/>
              </w:rPr>
              <w:t xml:space="preserve">具有</w:t>
            </w:r>
            <w:r>
              <w:rPr>
                <w:rFonts w:hint="eastAsia" w:ascii="宋体" w:hAnsi="宋体" w:eastAsia="宋体" w:cs="宋体"/>
                <w:b w:val="0"/>
                <w:bCs w:val="0"/>
                <w:strike w:val="0"/>
                <w:color w:val="auto"/>
                <w:sz w:val="21"/>
                <w:szCs w:val="21"/>
                <w:highlight w:val="none"/>
                <w:lang w:val="en-US" w:eastAsia="zh-CN"/>
              </w:rPr>
              <w:t xml:space="preserve">硕士及以上学历得2分，本科及以下学历得1分；</w:t>
            </w:r>
            <w:r>
              <w:rPr>
                <w:rFonts w:hint="eastAsia" w:ascii="宋体" w:hAnsi="宋体" w:eastAsia="宋体" w:cs="宋体"/>
                <w:b w:val="0"/>
                <w:bCs w:val="0"/>
                <w:strike w:val="0"/>
                <w:color w:val="auto"/>
                <w:sz w:val="21"/>
                <w:szCs w:val="21"/>
                <w:highlight w:val="none"/>
              </w:rPr>
              <w:t xml:space="preserve">具有生态环境工程</w:t>
            </w:r>
            <w:r>
              <w:rPr>
                <w:rFonts w:hint="eastAsia" w:ascii="宋体" w:hAnsi="宋体" w:cs="宋体"/>
                <w:b w:val="0"/>
                <w:bCs w:val="0"/>
                <w:strike w:val="0"/>
                <w:color w:val="auto"/>
                <w:sz w:val="21"/>
                <w:szCs w:val="21"/>
                <w:highlight w:val="none"/>
                <w:lang w:val="en-US" w:eastAsia="zh-CN"/>
              </w:rPr>
              <w:t xml:space="preserve">或</w:t>
            </w:r>
            <w:r>
              <w:rPr>
                <w:rFonts w:hint="eastAsia" w:ascii="宋体" w:hAnsi="宋体" w:cs="宋体"/>
                <w:b w:val="0"/>
                <w:bCs w:val="0"/>
                <w:strike w:val="0"/>
                <w:color w:val="auto"/>
                <w:sz w:val="21"/>
                <w:szCs w:val="21"/>
                <w:highlight w:val="none"/>
                <w:lang w:eastAsia="zh-CN"/>
              </w:rPr>
              <w:t xml:space="preserve">环境工程</w:t>
            </w:r>
            <w:r>
              <w:rPr>
                <w:rFonts w:hint="eastAsia" w:ascii="宋体" w:hAnsi="宋体" w:cs="宋体"/>
                <w:b w:val="0"/>
                <w:bCs w:val="0"/>
                <w:strike w:val="0"/>
                <w:color w:val="auto"/>
                <w:sz w:val="21"/>
                <w:szCs w:val="21"/>
                <w:highlight w:val="none"/>
                <w:lang w:val="en-US" w:eastAsia="zh-CN"/>
              </w:rPr>
              <w:t xml:space="preserve">或</w:t>
            </w:r>
            <w:r>
              <w:rPr>
                <w:rFonts w:hint="eastAsia" w:ascii="宋体" w:hAnsi="宋体" w:cs="宋体"/>
                <w:b w:val="0"/>
                <w:bCs w:val="0"/>
                <w:strike w:val="0"/>
                <w:color w:val="auto"/>
                <w:sz w:val="21"/>
                <w:szCs w:val="21"/>
                <w:highlight w:val="none"/>
                <w:lang w:eastAsia="zh-CN"/>
              </w:rPr>
              <w:t xml:space="preserve">环境保护工程</w:t>
            </w:r>
            <w:r>
              <w:rPr>
                <w:rFonts w:hint="eastAsia" w:ascii="宋体" w:hAnsi="宋体" w:cs="宋体"/>
                <w:b w:val="0"/>
                <w:bCs w:val="0"/>
                <w:strike w:val="0"/>
                <w:color w:val="auto"/>
                <w:sz w:val="21"/>
                <w:szCs w:val="21"/>
                <w:highlight w:val="none"/>
                <w:lang w:val="en-US" w:eastAsia="zh-CN"/>
              </w:rPr>
              <w:t xml:space="preserve">专业</w:t>
            </w:r>
            <w:r>
              <w:rPr>
                <w:rFonts w:hint="eastAsia" w:ascii="宋体" w:hAnsi="宋体" w:eastAsia="宋体" w:cs="宋体"/>
                <w:b w:val="0"/>
                <w:bCs w:val="0"/>
                <w:strike w:val="0"/>
                <w:color w:val="auto"/>
                <w:sz w:val="21"/>
                <w:szCs w:val="21"/>
                <w:highlight w:val="none"/>
              </w:rPr>
              <w:t xml:space="preserve">高级工程师职称得</w:t>
            </w:r>
            <w:r>
              <w:rPr>
                <w:rFonts w:hint="eastAsia" w:ascii="宋体" w:hAnsi="宋体" w:eastAsia="宋体" w:cs="宋体"/>
                <w:b w:val="0"/>
                <w:bCs w:val="0"/>
                <w:strike w:val="0"/>
                <w:color w:val="auto"/>
                <w:sz w:val="21"/>
                <w:szCs w:val="21"/>
                <w:highlight w:val="none"/>
                <w:lang w:val="en-US" w:eastAsia="zh-CN"/>
              </w:rPr>
              <w:t xml:space="preserve">2</w:t>
            </w:r>
            <w:r>
              <w:rPr>
                <w:rFonts w:hint="eastAsia" w:ascii="宋体" w:hAnsi="宋体" w:eastAsia="宋体" w:cs="宋体"/>
                <w:b w:val="0"/>
                <w:bCs w:val="0"/>
                <w:strike w:val="0"/>
                <w:color w:val="auto"/>
                <w:sz w:val="21"/>
                <w:szCs w:val="21"/>
                <w:highlight w:val="none"/>
              </w:rPr>
              <w:t xml:space="preserve">分，具有生态环境工程</w:t>
            </w:r>
            <w:r>
              <w:rPr>
                <w:rFonts w:hint="eastAsia" w:ascii="宋体" w:hAnsi="宋体" w:cs="宋体"/>
                <w:b w:val="0"/>
                <w:bCs w:val="0"/>
                <w:strike w:val="0"/>
                <w:color w:val="auto"/>
                <w:sz w:val="21"/>
                <w:szCs w:val="21"/>
                <w:highlight w:val="none"/>
                <w:lang w:val="en-US" w:eastAsia="zh-CN"/>
              </w:rPr>
              <w:t xml:space="preserve">或</w:t>
            </w:r>
            <w:r>
              <w:rPr>
                <w:rFonts w:hint="eastAsia" w:ascii="宋体" w:hAnsi="宋体" w:cs="宋体"/>
                <w:b w:val="0"/>
                <w:bCs w:val="0"/>
                <w:strike w:val="0"/>
                <w:color w:val="auto"/>
                <w:sz w:val="21"/>
                <w:szCs w:val="21"/>
                <w:highlight w:val="none"/>
                <w:lang w:eastAsia="zh-CN"/>
              </w:rPr>
              <w:t xml:space="preserve">环境工程</w:t>
            </w:r>
            <w:r>
              <w:rPr>
                <w:rFonts w:hint="eastAsia" w:ascii="宋体" w:hAnsi="宋体" w:cs="宋体"/>
                <w:b w:val="0"/>
                <w:bCs w:val="0"/>
                <w:strike w:val="0"/>
                <w:color w:val="auto"/>
                <w:sz w:val="21"/>
                <w:szCs w:val="21"/>
                <w:highlight w:val="none"/>
                <w:lang w:val="en-US" w:eastAsia="zh-CN"/>
              </w:rPr>
              <w:t xml:space="preserve">或</w:t>
            </w:r>
            <w:r>
              <w:rPr>
                <w:rFonts w:hint="eastAsia" w:ascii="宋体" w:hAnsi="宋体" w:cs="宋体"/>
                <w:b w:val="0"/>
                <w:bCs w:val="0"/>
                <w:strike w:val="0"/>
                <w:color w:val="auto"/>
                <w:sz w:val="21"/>
                <w:szCs w:val="21"/>
                <w:highlight w:val="none"/>
                <w:lang w:eastAsia="zh-CN"/>
              </w:rPr>
              <w:t xml:space="preserve">环境保护工程</w:t>
            </w:r>
            <w:r>
              <w:rPr>
                <w:rFonts w:hint="eastAsia" w:ascii="宋体" w:hAnsi="宋体" w:cs="宋体"/>
                <w:b w:val="0"/>
                <w:bCs w:val="0"/>
                <w:strike w:val="0"/>
                <w:color w:val="auto"/>
                <w:sz w:val="21"/>
                <w:szCs w:val="21"/>
                <w:highlight w:val="none"/>
                <w:lang w:val="en-US" w:eastAsia="zh-CN"/>
              </w:rPr>
              <w:t xml:space="preserve">专业</w:t>
            </w:r>
            <w:r>
              <w:rPr>
                <w:rFonts w:hint="eastAsia" w:ascii="宋体" w:hAnsi="宋体" w:eastAsia="宋体" w:cs="宋体"/>
                <w:b w:val="0"/>
                <w:bCs w:val="0"/>
                <w:strike w:val="0"/>
                <w:color w:val="auto"/>
                <w:sz w:val="21"/>
                <w:szCs w:val="21"/>
                <w:highlight w:val="none"/>
              </w:rPr>
              <w:t xml:space="preserve">中级工程师职称得1分。同时具有注册环保工程师的得</w:t>
            </w:r>
            <w:r>
              <w:rPr>
                <w:rFonts w:hint="eastAsia" w:ascii="宋体" w:hAnsi="宋体" w:eastAsia="宋体" w:cs="宋体"/>
                <w:b w:val="0"/>
                <w:bCs w:val="0"/>
                <w:strike w:val="0"/>
                <w:color w:val="auto"/>
                <w:sz w:val="21"/>
                <w:szCs w:val="21"/>
                <w:highlight w:val="none"/>
                <w:lang w:val="en-US" w:eastAsia="zh-CN"/>
              </w:rPr>
              <w:t xml:space="preserve">2</w:t>
            </w:r>
            <w:r>
              <w:rPr>
                <w:rFonts w:hint="eastAsia" w:ascii="宋体" w:hAnsi="宋体" w:eastAsia="宋体" w:cs="宋体"/>
                <w:b w:val="0"/>
                <w:bCs w:val="0"/>
                <w:strike w:val="0"/>
                <w:color w:val="auto"/>
                <w:sz w:val="21"/>
                <w:szCs w:val="21"/>
                <w:highlight w:val="none"/>
              </w:rPr>
              <w:t xml:space="preserve">分；</w:t>
            </w:r>
            <w:r/>
          </w:p>
          <w:p>
            <w:pPr>
              <w:rPr>
                <w:rFonts w:hint="eastAsia" w:ascii="宋体" w:hAnsi="宋体" w:eastAsia="宋体" w:cs="宋体"/>
                <w:b w:val="0"/>
                <w:bCs w:val="0"/>
                <w:strike w:val="0"/>
                <w:color w:val="auto"/>
                <w:sz w:val="21"/>
                <w:szCs w:val="21"/>
                <w:highlight w:val="none"/>
              </w:rPr>
            </w:pPr>
            <w:r>
              <w:rPr>
                <w:rFonts w:hint="eastAsia" w:ascii="宋体" w:hAnsi="宋体" w:eastAsia="宋体" w:cs="宋体"/>
                <w:b/>
                <w:bCs/>
                <w:strike w:val="0"/>
                <w:color w:val="auto"/>
                <w:sz w:val="21"/>
                <w:szCs w:val="21"/>
                <w:highlight w:val="none"/>
              </w:rPr>
              <w:t xml:space="preserve">2、拟投入其他人员（</w:t>
            </w:r>
            <w:r>
              <w:rPr>
                <w:rFonts w:hint="eastAsia" w:ascii="宋体" w:hAnsi="宋体" w:eastAsia="宋体" w:cs="宋体"/>
                <w:b/>
                <w:bCs/>
                <w:strike w:val="0"/>
                <w:color w:val="auto"/>
                <w:sz w:val="21"/>
                <w:szCs w:val="21"/>
                <w:highlight w:val="none"/>
                <w:lang w:val="en-US" w:eastAsia="zh-CN"/>
              </w:rPr>
              <w:t xml:space="preserve">限评</w:t>
            </w:r>
            <w:r>
              <w:rPr>
                <w:rFonts w:hint="eastAsia" w:ascii="宋体" w:hAnsi="宋体" w:cs="宋体"/>
                <w:b/>
                <w:bCs/>
                <w:strike w:val="0"/>
                <w:color w:val="auto"/>
                <w:sz w:val="21"/>
                <w:szCs w:val="21"/>
                <w:highlight w:val="none"/>
                <w:lang w:val="en-US" w:eastAsia="zh-CN"/>
              </w:rPr>
              <w:t xml:space="preserve">2</w:t>
            </w:r>
            <w:r>
              <w:rPr>
                <w:rFonts w:hint="eastAsia" w:ascii="宋体" w:hAnsi="宋体" w:eastAsia="宋体" w:cs="宋体"/>
                <w:b/>
                <w:bCs/>
                <w:strike w:val="0"/>
                <w:color w:val="auto"/>
                <w:sz w:val="21"/>
                <w:szCs w:val="21"/>
                <w:highlight w:val="none"/>
                <w:lang w:val="en-US" w:eastAsia="zh-CN"/>
              </w:rPr>
              <w:t xml:space="preserve">人</w:t>
            </w:r>
            <w:r>
              <w:rPr>
                <w:rFonts w:hint="eastAsia" w:ascii="宋体" w:hAnsi="宋体" w:eastAsia="宋体" w:cs="宋体"/>
                <w:b/>
                <w:bCs/>
                <w:strike w:val="0"/>
                <w:color w:val="auto"/>
                <w:sz w:val="21"/>
                <w:szCs w:val="21"/>
                <w:highlight w:val="none"/>
              </w:rPr>
              <w:t xml:space="preserve">）</w:t>
            </w:r>
            <w:r>
              <w:rPr>
                <w:rFonts w:hint="eastAsia" w:ascii="宋体" w:hAnsi="宋体" w:eastAsia="宋体" w:cs="宋体"/>
                <w:b w:val="0"/>
                <w:bCs w:val="0"/>
                <w:strike w:val="0"/>
                <w:color w:val="auto"/>
                <w:sz w:val="21"/>
                <w:szCs w:val="21"/>
                <w:highlight w:val="none"/>
              </w:rPr>
              <w:t xml:space="preserve">：</w:t>
            </w:r>
            <w:r>
              <w:rPr>
                <w:rFonts w:hint="eastAsia" w:ascii="宋体" w:hAnsi="宋体" w:eastAsia="宋体" w:cs="宋体"/>
                <w:b w:val="0"/>
                <w:bCs w:val="0"/>
                <w:strike w:val="0"/>
                <w:color w:val="auto"/>
                <w:sz w:val="21"/>
                <w:szCs w:val="21"/>
                <w:highlight w:val="none"/>
                <w:lang w:val="en-US" w:eastAsia="zh-CN"/>
              </w:rPr>
              <w:t xml:space="preserve">除项目负责人外，</w:t>
            </w:r>
            <w:r>
              <w:rPr>
                <w:rFonts w:hint="eastAsia" w:ascii="宋体" w:hAnsi="宋体" w:eastAsia="宋体" w:cs="宋体"/>
                <w:b w:val="0"/>
                <w:bCs w:val="0"/>
                <w:strike w:val="0"/>
                <w:color w:val="auto"/>
                <w:sz w:val="21"/>
                <w:szCs w:val="21"/>
                <w:highlight w:val="none"/>
              </w:rPr>
              <w:t xml:space="preserve">具有生态环境工程</w:t>
            </w:r>
            <w:r>
              <w:rPr>
                <w:rFonts w:hint="eastAsia" w:ascii="宋体" w:hAnsi="宋体" w:cs="宋体"/>
                <w:b w:val="0"/>
                <w:bCs w:val="0"/>
                <w:strike w:val="0"/>
                <w:color w:val="auto"/>
                <w:sz w:val="21"/>
                <w:szCs w:val="21"/>
                <w:highlight w:val="none"/>
                <w:lang w:val="en-US" w:eastAsia="zh-CN"/>
              </w:rPr>
              <w:t xml:space="preserve">或</w:t>
            </w:r>
            <w:r>
              <w:rPr>
                <w:rFonts w:hint="eastAsia" w:ascii="宋体" w:hAnsi="宋体" w:cs="宋体"/>
                <w:b w:val="0"/>
                <w:bCs w:val="0"/>
                <w:strike w:val="0"/>
                <w:color w:val="auto"/>
                <w:sz w:val="21"/>
                <w:szCs w:val="21"/>
                <w:highlight w:val="none"/>
                <w:lang w:eastAsia="zh-CN"/>
              </w:rPr>
              <w:t xml:space="preserve">环境工程</w:t>
            </w:r>
            <w:r>
              <w:rPr>
                <w:rFonts w:hint="eastAsia" w:ascii="宋体" w:hAnsi="宋体" w:cs="宋体"/>
                <w:b w:val="0"/>
                <w:bCs w:val="0"/>
                <w:strike w:val="0"/>
                <w:color w:val="auto"/>
                <w:sz w:val="21"/>
                <w:szCs w:val="21"/>
                <w:highlight w:val="none"/>
                <w:lang w:val="en-US" w:eastAsia="zh-CN"/>
              </w:rPr>
              <w:t xml:space="preserve">或</w:t>
            </w:r>
            <w:r>
              <w:rPr>
                <w:rFonts w:hint="eastAsia" w:ascii="宋体" w:hAnsi="宋体" w:cs="宋体"/>
                <w:b w:val="0"/>
                <w:bCs w:val="0"/>
                <w:strike w:val="0"/>
                <w:color w:val="auto"/>
                <w:sz w:val="21"/>
                <w:szCs w:val="21"/>
                <w:highlight w:val="none"/>
                <w:lang w:eastAsia="zh-CN"/>
              </w:rPr>
              <w:t xml:space="preserve">环境保护工程</w:t>
            </w:r>
            <w:r>
              <w:rPr>
                <w:rFonts w:hint="eastAsia" w:ascii="宋体" w:hAnsi="宋体" w:cs="宋体"/>
                <w:b w:val="0"/>
                <w:bCs w:val="0"/>
                <w:strike w:val="0"/>
                <w:color w:val="auto"/>
                <w:sz w:val="21"/>
                <w:szCs w:val="21"/>
                <w:highlight w:val="none"/>
                <w:lang w:val="en-US" w:eastAsia="zh-CN"/>
              </w:rPr>
              <w:t xml:space="preserve">专业</w:t>
            </w:r>
            <w:r>
              <w:rPr>
                <w:rFonts w:hint="eastAsia" w:ascii="宋体" w:hAnsi="宋体" w:eastAsia="宋体" w:cs="宋体"/>
                <w:b w:val="0"/>
                <w:bCs w:val="0"/>
                <w:strike w:val="0"/>
                <w:color w:val="auto"/>
                <w:sz w:val="21"/>
                <w:szCs w:val="21"/>
                <w:highlight w:val="none"/>
              </w:rPr>
              <w:t xml:space="preserve">高级工程师职称的，每</w:t>
            </w:r>
            <w:r>
              <w:rPr>
                <w:rFonts w:hint="eastAsia" w:ascii="宋体" w:hAnsi="宋体" w:eastAsia="宋体" w:cs="宋体"/>
                <w:b w:val="0"/>
                <w:bCs w:val="0"/>
                <w:strike w:val="0"/>
                <w:color w:val="auto"/>
                <w:sz w:val="21"/>
                <w:szCs w:val="21"/>
                <w:highlight w:val="none"/>
                <w:lang w:val="en-US" w:eastAsia="zh-CN"/>
              </w:rPr>
              <w:t xml:space="preserve">有一</w:t>
            </w:r>
            <w:r>
              <w:rPr>
                <w:rFonts w:hint="eastAsia" w:ascii="宋体" w:hAnsi="宋体" w:eastAsia="宋体" w:cs="宋体"/>
                <w:b w:val="0"/>
                <w:bCs w:val="0"/>
                <w:strike w:val="0"/>
                <w:color w:val="auto"/>
                <w:sz w:val="21"/>
                <w:szCs w:val="21"/>
                <w:highlight w:val="none"/>
              </w:rPr>
              <w:t xml:space="preserve">个</w:t>
            </w:r>
            <w:r>
              <w:rPr>
                <w:rFonts w:hint="eastAsia" w:ascii="宋体" w:hAnsi="宋体" w:eastAsia="宋体" w:cs="宋体"/>
                <w:b w:val="0"/>
                <w:bCs w:val="0"/>
                <w:strike w:val="0"/>
                <w:color w:val="auto"/>
                <w:sz w:val="21"/>
                <w:szCs w:val="21"/>
                <w:highlight w:val="none"/>
                <w:lang w:val="en-US" w:eastAsia="zh-CN"/>
              </w:rPr>
              <w:t xml:space="preserve">得2</w:t>
            </w:r>
            <w:r>
              <w:rPr>
                <w:rFonts w:hint="eastAsia" w:ascii="宋体" w:hAnsi="宋体" w:eastAsia="宋体" w:cs="宋体"/>
                <w:b w:val="0"/>
                <w:bCs w:val="0"/>
                <w:strike w:val="0"/>
                <w:color w:val="auto"/>
                <w:sz w:val="21"/>
                <w:szCs w:val="21"/>
                <w:highlight w:val="none"/>
              </w:rPr>
              <w:t xml:space="preserve">分，最多得</w:t>
            </w:r>
            <w:r>
              <w:rPr>
                <w:rFonts w:hint="eastAsia" w:ascii="宋体" w:hAnsi="宋体" w:eastAsia="宋体" w:cs="宋体"/>
                <w:b w:val="0"/>
                <w:bCs w:val="0"/>
                <w:strike w:val="0"/>
                <w:color w:val="auto"/>
                <w:sz w:val="21"/>
                <w:szCs w:val="21"/>
                <w:highlight w:val="none"/>
                <w:lang w:val="en-US" w:eastAsia="zh-CN"/>
              </w:rPr>
              <w:t xml:space="preserve">4</w:t>
            </w:r>
            <w:r>
              <w:rPr>
                <w:rFonts w:hint="eastAsia" w:ascii="宋体" w:hAnsi="宋体" w:eastAsia="宋体" w:cs="宋体"/>
                <w:b w:val="0"/>
                <w:bCs w:val="0"/>
                <w:strike w:val="0"/>
                <w:color w:val="auto"/>
                <w:sz w:val="21"/>
                <w:szCs w:val="21"/>
                <w:highlight w:val="none"/>
              </w:rPr>
              <w:t xml:space="preserve">分；具有生态环境工程</w:t>
            </w:r>
            <w:r>
              <w:rPr>
                <w:rFonts w:hint="eastAsia" w:ascii="宋体" w:hAnsi="宋体" w:cs="宋体"/>
                <w:b w:val="0"/>
                <w:bCs w:val="0"/>
                <w:strike w:val="0"/>
                <w:color w:val="auto"/>
                <w:sz w:val="21"/>
                <w:szCs w:val="21"/>
                <w:highlight w:val="none"/>
                <w:lang w:val="en-US" w:eastAsia="zh-CN"/>
              </w:rPr>
              <w:t xml:space="preserve">或</w:t>
            </w:r>
            <w:r>
              <w:rPr>
                <w:rFonts w:hint="eastAsia" w:ascii="宋体" w:hAnsi="宋体" w:cs="宋体"/>
                <w:b w:val="0"/>
                <w:bCs w:val="0"/>
                <w:strike w:val="0"/>
                <w:color w:val="auto"/>
                <w:sz w:val="21"/>
                <w:szCs w:val="21"/>
                <w:highlight w:val="none"/>
                <w:lang w:eastAsia="zh-CN"/>
              </w:rPr>
              <w:t xml:space="preserve">环境工程</w:t>
            </w:r>
            <w:r>
              <w:rPr>
                <w:rFonts w:hint="eastAsia" w:ascii="宋体" w:hAnsi="宋体" w:cs="宋体"/>
                <w:b w:val="0"/>
                <w:bCs w:val="0"/>
                <w:strike w:val="0"/>
                <w:color w:val="auto"/>
                <w:sz w:val="21"/>
                <w:szCs w:val="21"/>
                <w:highlight w:val="none"/>
                <w:lang w:val="en-US" w:eastAsia="zh-CN"/>
              </w:rPr>
              <w:t xml:space="preserve">或</w:t>
            </w:r>
            <w:r>
              <w:rPr>
                <w:rFonts w:hint="eastAsia" w:ascii="宋体" w:hAnsi="宋体" w:cs="宋体"/>
                <w:b w:val="0"/>
                <w:bCs w:val="0"/>
                <w:strike w:val="0"/>
                <w:color w:val="auto"/>
                <w:sz w:val="21"/>
                <w:szCs w:val="21"/>
                <w:highlight w:val="none"/>
                <w:lang w:eastAsia="zh-CN"/>
              </w:rPr>
              <w:t xml:space="preserve">环境保护工程</w:t>
            </w:r>
            <w:r>
              <w:rPr>
                <w:rFonts w:hint="eastAsia" w:ascii="宋体" w:hAnsi="宋体" w:cs="宋体"/>
                <w:b w:val="0"/>
                <w:bCs w:val="0"/>
                <w:strike w:val="0"/>
                <w:color w:val="auto"/>
                <w:sz w:val="21"/>
                <w:szCs w:val="21"/>
                <w:highlight w:val="none"/>
                <w:lang w:val="en-US" w:eastAsia="zh-CN"/>
              </w:rPr>
              <w:t xml:space="preserve">专业</w:t>
            </w:r>
            <w:r>
              <w:rPr>
                <w:rFonts w:hint="eastAsia" w:ascii="宋体" w:hAnsi="宋体" w:eastAsia="宋体" w:cs="宋体"/>
                <w:b w:val="0"/>
                <w:bCs w:val="0"/>
                <w:strike w:val="0"/>
                <w:color w:val="auto"/>
                <w:sz w:val="21"/>
                <w:szCs w:val="21"/>
                <w:highlight w:val="none"/>
              </w:rPr>
              <w:t xml:space="preserve">中级工程师职称的，每</w:t>
            </w:r>
            <w:r>
              <w:rPr>
                <w:rFonts w:hint="eastAsia" w:ascii="宋体" w:hAnsi="宋体" w:eastAsia="宋体" w:cs="宋体"/>
                <w:b w:val="0"/>
                <w:bCs w:val="0"/>
                <w:strike w:val="0"/>
                <w:color w:val="auto"/>
                <w:sz w:val="21"/>
                <w:szCs w:val="21"/>
                <w:highlight w:val="none"/>
                <w:lang w:val="en-US" w:eastAsia="zh-CN"/>
              </w:rPr>
              <w:t xml:space="preserve">有一个</w:t>
            </w:r>
            <w:r>
              <w:rPr>
                <w:rFonts w:hint="eastAsia" w:ascii="宋体" w:hAnsi="宋体" w:eastAsia="宋体" w:cs="宋体"/>
                <w:b w:val="0"/>
                <w:bCs w:val="0"/>
                <w:strike w:val="0"/>
                <w:color w:val="auto"/>
                <w:sz w:val="21"/>
                <w:szCs w:val="21"/>
                <w:highlight w:val="none"/>
              </w:rPr>
              <w:t xml:space="preserve">得</w:t>
            </w:r>
            <w:r>
              <w:rPr>
                <w:rFonts w:hint="eastAsia" w:ascii="宋体" w:hAnsi="宋体" w:eastAsia="宋体" w:cs="宋体"/>
                <w:b w:val="0"/>
                <w:bCs w:val="0"/>
                <w:strike w:val="0"/>
                <w:color w:val="auto"/>
                <w:sz w:val="21"/>
                <w:szCs w:val="21"/>
                <w:highlight w:val="none"/>
                <w:lang w:val="en-US" w:eastAsia="zh-CN"/>
              </w:rPr>
              <w:t xml:space="preserve">1</w:t>
            </w:r>
            <w:r>
              <w:rPr>
                <w:rFonts w:hint="eastAsia" w:ascii="宋体" w:hAnsi="宋体" w:eastAsia="宋体" w:cs="宋体"/>
                <w:b w:val="0"/>
                <w:bCs w:val="0"/>
                <w:strike w:val="0"/>
                <w:color w:val="auto"/>
                <w:sz w:val="21"/>
                <w:szCs w:val="21"/>
                <w:highlight w:val="none"/>
              </w:rPr>
              <w:t xml:space="preserve">分，最多得</w:t>
            </w:r>
            <w:r>
              <w:rPr>
                <w:rFonts w:hint="eastAsia" w:ascii="宋体" w:hAnsi="宋体" w:eastAsia="宋体" w:cs="宋体"/>
                <w:b w:val="0"/>
                <w:bCs w:val="0"/>
                <w:strike w:val="0"/>
                <w:color w:val="auto"/>
                <w:sz w:val="21"/>
                <w:szCs w:val="21"/>
                <w:highlight w:val="none"/>
                <w:lang w:val="en-US" w:eastAsia="zh-CN"/>
              </w:rPr>
              <w:t xml:space="preserve">2</w:t>
            </w:r>
            <w:r>
              <w:rPr>
                <w:rFonts w:hint="eastAsia" w:ascii="宋体" w:hAnsi="宋体" w:eastAsia="宋体" w:cs="宋体"/>
                <w:b w:val="0"/>
                <w:bCs w:val="0"/>
                <w:strike w:val="0"/>
                <w:color w:val="auto"/>
                <w:sz w:val="21"/>
                <w:szCs w:val="21"/>
                <w:highlight w:val="none"/>
              </w:rPr>
              <w:t xml:space="preserve">分</w:t>
            </w:r>
            <w:r>
              <w:rPr>
                <w:rFonts w:hint="eastAsia" w:ascii="宋体" w:hAnsi="宋体" w:eastAsia="宋体" w:cs="宋体"/>
                <w:b w:val="0"/>
                <w:bCs w:val="0"/>
                <w:strike w:val="0"/>
                <w:color w:val="auto"/>
                <w:sz w:val="21"/>
                <w:szCs w:val="21"/>
                <w:highlight w:val="none"/>
                <w:lang w:eastAsia="zh-CN"/>
              </w:rPr>
              <w:t xml:space="preserve">；</w:t>
            </w:r>
            <w:r>
              <w:rPr>
                <w:rFonts w:hint="eastAsia" w:ascii="宋体" w:hAnsi="宋体" w:eastAsia="宋体" w:cs="宋体"/>
                <w:b w:val="0"/>
                <w:bCs w:val="0"/>
                <w:strike w:val="0"/>
                <w:color w:val="auto"/>
                <w:sz w:val="21"/>
                <w:szCs w:val="21"/>
                <w:highlight w:val="none"/>
              </w:rPr>
              <w:t xml:space="preserve">同时具有注册环保工程师的</w:t>
            </w:r>
            <w:r>
              <w:rPr>
                <w:rFonts w:hint="eastAsia" w:ascii="宋体" w:hAnsi="宋体" w:eastAsia="宋体" w:cs="宋体"/>
                <w:b w:val="0"/>
                <w:bCs w:val="0"/>
                <w:strike w:val="0"/>
                <w:color w:val="auto"/>
                <w:sz w:val="21"/>
                <w:szCs w:val="21"/>
                <w:highlight w:val="none"/>
                <w:lang w:val="en-US" w:eastAsia="zh-CN"/>
              </w:rPr>
              <w:t xml:space="preserve">每有一个得</w:t>
            </w:r>
            <w:r>
              <w:rPr>
                <w:rFonts w:hint="eastAsia" w:ascii="宋体" w:hAnsi="宋体" w:eastAsia="宋体" w:cs="宋体"/>
                <w:b w:val="0"/>
                <w:bCs w:val="0"/>
                <w:strike w:val="0"/>
                <w:color w:val="auto"/>
                <w:sz w:val="21"/>
                <w:szCs w:val="21"/>
                <w:highlight w:val="none"/>
              </w:rPr>
              <w:t xml:space="preserve"> </w:t>
            </w:r>
            <w:r>
              <w:rPr>
                <w:rFonts w:hint="eastAsia" w:ascii="宋体" w:hAnsi="宋体" w:eastAsia="宋体" w:cs="宋体"/>
                <w:b w:val="0"/>
                <w:bCs w:val="0"/>
                <w:strike w:val="0"/>
                <w:color w:val="auto"/>
                <w:sz w:val="21"/>
                <w:szCs w:val="21"/>
                <w:highlight w:val="none"/>
                <w:lang w:val="en-US" w:eastAsia="zh-CN"/>
              </w:rPr>
              <w:t xml:space="preserve">2</w:t>
            </w:r>
            <w:r>
              <w:rPr>
                <w:rFonts w:hint="eastAsia" w:ascii="宋体" w:hAnsi="宋体" w:eastAsia="宋体" w:cs="宋体"/>
                <w:b w:val="0"/>
                <w:bCs w:val="0"/>
                <w:strike w:val="0"/>
                <w:color w:val="auto"/>
                <w:sz w:val="21"/>
                <w:szCs w:val="21"/>
                <w:highlight w:val="none"/>
              </w:rPr>
              <w:t xml:space="preserve">分，最多得</w:t>
            </w:r>
            <w:r>
              <w:rPr>
                <w:rFonts w:hint="eastAsia" w:ascii="宋体" w:hAnsi="宋体" w:eastAsia="宋体" w:cs="宋体"/>
                <w:b w:val="0"/>
                <w:bCs w:val="0"/>
                <w:strike w:val="0"/>
                <w:color w:val="auto"/>
                <w:sz w:val="21"/>
                <w:szCs w:val="21"/>
                <w:highlight w:val="none"/>
                <w:lang w:val="en-US" w:eastAsia="zh-CN"/>
              </w:rPr>
              <w:t xml:space="preserve">4</w:t>
            </w:r>
            <w:r>
              <w:rPr>
                <w:rFonts w:hint="eastAsia" w:ascii="宋体" w:hAnsi="宋体" w:eastAsia="宋体" w:cs="宋体"/>
                <w:b w:val="0"/>
                <w:bCs w:val="0"/>
                <w:strike w:val="0"/>
                <w:color w:val="auto"/>
                <w:sz w:val="21"/>
                <w:szCs w:val="21"/>
                <w:highlight w:val="none"/>
              </w:rPr>
              <w:t xml:space="preserve">分；</w:t>
            </w:r>
            <w:r/>
          </w:p>
          <w:p>
            <w:pPr>
              <w:rPr>
                <w:rFonts w:hint="eastAsia" w:ascii="宋体" w:hAnsi="宋体" w:eastAsia="宋体" w:cs="宋体"/>
                <w:b/>
                <w:bCs/>
                <w:strike w:val="0"/>
                <w:color w:val="auto"/>
                <w:sz w:val="21"/>
                <w:szCs w:val="21"/>
                <w:highlight w:val="none"/>
              </w:rPr>
            </w:pPr>
            <w:r>
              <w:rPr>
                <w:rFonts w:hint="eastAsia" w:ascii="宋体" w:hAnsi="宋体" w:eastAsia="宋体" w:cs="宋体"/>
                <w:b/>
                <w:bCs/>
                <w:strike w:val="0"/>
                <w:color w:val="auto"/>
                <w:sz w:val="21"/>
                <w:szCs w:val="21"/>
                <w:highlight w:val="none"/>
              </w:rPr>
              <w:t xml:space="preserve">注：</w:t>
            </w:r>
            <w:r/>
          </w:p>
          <w:p>
            <w:pPr>
              <w:jc w:val="left"/>
              <w:spacing w:after="0" w:line="240" w:lineRule="auto"/>
              <w:widowControl/>
              <w:rPr>
                <w:rFonts w:hint="eastAsia" w:ascii="宋体" w:hAnsi="宋体" w:eastAsia="宋体" w:cs="宋体"/>
                <w:b/>
                <w:bCs/>
                <w:strike w:val="0"/>
                <w:color w:val="auto"/>
                <w:sz w:val="21"/>
                <w:szCs w:val="21"/>
                <w:highlight w:val="none"/>
                <w:lang w:val="en-US" w:eastAsia="zh-CN" w:bidi="ar"/>
              </w:rPr>
            </w:pPr>
            <w:r>
              <w:rPr>
                <w:rFonts w:hint="eastAsia" w:ascii="宋体" w:hAnsi="宋体" w:eastAsia="宋体" w:cs="宋体"/>
                <w:b/>
                <w:bCs/>
                <w:strike w:val="0"/>
                <w:color w:val="auto"/>
                <w:sz w:val="21"/>
                <w:szCs w:val="21"/>
                <w:highlight w:val="none"/>
                <w:lang w:val="en-US" w:eastAsia="zh-CN" w:bidi="ar"/>
              </w:rPr>
              <w:t xml:space="preserve">1、投标文件中提供相关学历证书、职称证书</w:t>
            </w:r>
            <w:r>
              <w:rPr>
                <w:rFonts w:hint="eastAsia" w:ascii="宋体" w:hAnsi="宋体" w:cs="宋体"/>
                <w:b/>
                <w:bCs/>
                <w:strike w:val="0"/>
                <w:color w:val="auto"/>
                <w:sz w:val="21"/>
                <w:szCs w:val="21"/>
                <w:highlight w:val="none"/>
                <w:lang w:val="en-US" w:eastAsia="zh-CN" w:bidi="ar"/>
              </w:rPr>
              <w:t xml:space="preserve">、注册证书</w:t>
            </w:r>
            <w:bookmarkStart w:id="840" w:name="_GoBack"/>
            <w:r/>
            <w:bookmarkEnd w:id="840"/>
            <w:r>
              <w:rPr>
                <w:rFonts w:hint="eastAsia" w:ascii="宋体" w:hAnsi="宋体" w:eastAsia="宋体" w:cs="宋体"/>
                <w:b/>
                <w:bCs/>
                <w:strike w:val="0"/>
                <w:color w:val="auto"/>
                <w:sz w:val="21"/>
                <w:szCs w:val="21"/>
                <w:highlight w:val="none"/>
                <w:lang w:val="en-US" w:eastAsia="zh-CN" w:bidi="ar"/>
              </w:rPr>
              <w:t xml:space="preserve">，并加盖投标人公章，否则不得分。</w:t>
            </w:r>
            <w:r/>
          </w:p>
          <w:p>
            <w:pPr>
              <w:jc w:val="left"/>
              <w:spacing w:after="0" w:line="240" w:lineRule="auto"/>
              <w:widowControl/>
              <w:rPr>
                <w:rFonts w:hint="eastAsia" w:ascii="宋体" w:hAnsi="宋体" w:eastAsia="宋体" w:cs="宋体"/>
                <w:sz w:val="21"/>
                <w:szCs w:val="21"/>
              </w:rPr>
            </w:pPr>
            <w:r>
              <w:rPr>
                <w:rFonts w:hint="eastAsia" w:ascii="宋体" w:hAnsi="宋体" w:eastAsia="宋体" w:cs="宋体"/>
                <w:b/>
                <w:bCs/>
                <w:strike w:val="0"/>
                <w:color w:val="auto"/>
                <w:sz w:val="21"/>
                <w:szCs w:val="21"/>
                <w:highlight w:val="none"/>
                <w:lang w:val="en-US" w:eastAsia="zh-CN" w:bidi="ar"/>
              </w:rPr>
              <w:t xml:space="preserve">2、若相关证照为电子证书的，须符合发证部门的使用要求；</w:t>
            </w:r>
            <w:r/>
          </w:p>
        </w:tc>
      </w:tr>
    </w:tbl>
    <w:p>
      <w:pPr>
        <w:spacing w:line="360" w:lineRule="auto"/>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本项目评分细则中需要提供的相关证明材料由供应商自行提供，评审专家根据投标供应商提供的相关证明材料进行评审，相关证明材料的全面性、有效性、完整性、真实性由供应商自行负责。如发现投标供应商涉嫌资料造假</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虚假承诺</w:t>
      </w:r>
      <w:r>
        <w:rPr>
          <w:rFonts w:hint="eastAsia" w:ascii="宋体" w:hAnsi="宋体" w:eastAsia="宋体" w:cs="宋体"/>
          <w:b/>
          <w:bCs/>
          <w:color w:val="auto"/>
          <w:szCs w:val="21"/>
          <w:highlight w:val="none"/>
        </w:rPr>
        <w:t xml:space="preserve">等，采购人将取消其中标资格，并保留进一步追究其法律责任的权利。</w:t>
      </w:r>
      <w:r/>
    </w:p>
    <w:p>
      <w:pPr>
        <w:ind w:left="0" w:firstLine="0"/>
        <w:rPr>
          <w:rFonts w:hint="eastAsia"/>
          <w:color w:val="auto"/>
          <w:highlight w:val="none"/>
        </w:rPr>
        <w:sectPr>
          <w:footerReference w:type="default" r:id="rId19"/>
          <w:footnotePr/>
          <w:endnotePr/>
          <w:type w:val="nextPage"/>
          <w:pgSz w:w="11907" w:h="16840" w:orient="portrait"/>
          <w:pgMar w:top="1417" w:right="1587" w:bottom="1417" w:left="1587" w:header="737" w:footer="851" w:gutter="0"/>
          <w:cols w:num="1" w:sep="0" w:space="1701" w:equalWidth="1"/>
          <w:docGrid w:linePitch="360"/>
        </w:sectPr>
      </w:pPr>
      <w:r>
        <w:rPr>
          <w:rFonts w:hint="eastAsia"/>
          <w:color w:val="auto"/>
          <w:highlight w:val="none"/>
        </w:rPr>
      </w:r>
      <w:r/>
    </w:p>
    <w:p>
      <w:pPr>
        <w:ind w:firstLine="482"/>
        <w:jc w:val="center"/>
        <w:spacing w:line="360" w:lineRule="auto"/>
        <w:tabs>
          <w:tab w:val="left" w:pos="360" w:leader="none"/>
          <w:tab w:val="left" w:pos="1080" w:leader="none"/>
        </w:tabs>
        <w:rPr>
          <w:rFonts w:hint="eastAsia" w:ascii="宋体" w:hAnsi="宋体" w:eastAsia="宋体" w:cs="宋体"/>
          <w:b/>
          <w:color w:val="auto"/>
          <w:sz w:val="36"/>
          <w:szCs w:val="36"/>
          <w:highlight w:val="none"/>
        </w:rPr>
      </w:pPr>
      <w:r/>
      <w:bookmarkStart w:id="704" w:name="_Toc99301424"/>
      <w:r>
        <w:rPr>
          <w:rFonts w:hint="eastAsia" w:ascii="宋体" w:hAnsi="宋体" w:eastAsia="宋体" w:cs="宋体"/>
          <w:b/>
          <w:color w:val="auto"/>
          <w:sz w:val="36"/>
          <w:szCs w:val="36"/>
          <w:highlight w:val="none"/>
        </w:rPr>
        <w:t xml:space="preserve">第五章   采购需求</w:t>
      </w:r>
      <w:bookmarkEnd w:id="704"/>
      <w:r/>
      <w:r/>
    </w:p>
    <w:p>
      <w:pPr>
        <w:ind w:firstLine="482"/>
        <w:jc w:val="left"/>
        <w:spacing w:line="360" w:lineRule="auto"/>
        <w:rPr>
          <w:rFonts w:hint="eastAsia" w:ascii="宋体" w:hAnsi="宋体" w:eastAsia="宋体" w:cs="宋体"/>
          <w:b/>
          <w:bCs/>
          <w:color w:val="auto"/>
          <w:sz w:val="24"/>
          <w:szCs w:val="24"/>
          <w:highlight w:val="none"/>
        </w:rPr>
      </w:pPr>
      <w:r/>
      <w:bookmarkStart w:id="705" w:name="_Hlk173240141"/>
      <w:r>
        <w:rPr>
          <w:rFonts w:hint="eastAsia" w:ascii="宋体" w:hAnsi="宋体" w:eastAsia="宋体" w:cs="宋体"/>
          <w:b/>
          <w:bCs/>
          <w:color w:val="auto"/>
          <w:sz w:val="24"/>
          <w:szCs w:val="24"/>
          <w:highlight w:val="none"/>
        </w:rPr>
        <w:t xml:space="preserve">一、项目概况：</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大明北路东侧、东青和平路北侧（QQ020205-01）地块位于常州市天宁经济开发区，已拆除完毕，现为闲置空地。根据勘查结果，地块填埋区域相连，现状已填平为裸土状态。地块固废填埋面积约为2340平米，填埋深度约为3m-5m，填埋物为生活垃圾和建筑垃圾及杂土的混合垃圾固废，未开挖，填埋物总量约24000吨。为顺利推进地块出让工作，开展该地块的固废混合物合规化处置，完成全部工作量，并通过最终验收。</w:t>
      </w:r>
      <w:r/>
    </w:p>
    <w:p>
      <w:pPr>
        <w:pStyle w:val="972"/>
        <w:rPr>
          <w:rFonts w:hint="eastAsia"/>
        </w:rPr>
      </w:pPr>
      <w:r>
        <w:rPr>
          <w:rFonts w:hint="default" w:ascii="Times New Roman" w:hAnsi="Times New Roman" w:eastAsia="宋体" w:cs="Times New Roman"/>
          <w:b/>
          <w:color w:val="auto"/>
          <w:sz w:val="36"/>
          <w:szCs w:val="36"/>
          <w:lang w:val="en-US" w:eastAsia="zh-CN"/>
        </w:rPr>
        <mc:AlternateContent>
          <mc:Choice Requires="wpg">
            <w:drawing>
              <wp:inline xmlns:wp="http://schemas.openxmlformats.org/drawingml/2006/wordprocessingDrawing" distT="0" distB="0" distL="0" distR="0">
                <wp:extent cx="6005195" cy="4243070"/>
                <wp:effectExtent l="0" t="0" r="14604" b="5080"/>
                <wp:docPr id="6" name="图片 1" descr="20260821大明北路西侧、东青和平路北侧(QQ020205-01）地块规划条件初稿0820(地形新-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0260821大明北路西侧、东青和平路北侧(QQ020205-01）地块规划条件初稿0820(地形新-Model"/>
                        <pic:cNvPicPr>
                          <a:picLocks noChangeAspect="1"/>
                        </pic:cNvPicPr>
                        <pic:nvPr/>
                      </pic:nvPicPr>
                      <pic:blipFill>
                        <a:blip r:embed="rId24"/>
                        <a:stretch/>
                      </pic:blipFill>
                      <pic:spPr bwMode="auto">
                        <a:xfrm>
                          <a:off x="0" y="0"/>
                          <a:ext cx="6005195" cy="42430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72.8pt;height:334.1pt;mso-wrap-distance-left:0.0pt;mso-wrap-distance-top:0.0pt;mso-wrap-distance-right:0.0pt;mso-wrap-distance-bottom:0.0pt;" stroked="false">
                <v:path textboxrect="0,0,0,0"/>
                <v:imagedata r:id="rId24" o:title=""/>
              </v:shape>
            </w:pict>
          </mc:Fallback>
        </mc:AlternateContent>
      </w:r>
      <w:r/>
    </w:p>
    <w:p>
      <w:pPr>
        <w:numPr>
          <w:ilvl w:val="0"/>
          <w:numId w:val="0"/>
        </w:numPr>
        <w:jc w:val="center"/>
        <w:spacing w:line="360" w:lineRule="exact"/>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地理位置</w:t>
      </w:r>
      <w:r>
        <w:rPr>
          <w:rFonts w:hint="eastAsia" w:ascii="宋体" w:hAnsi="宋体" w:eastAsia="宋体" w:cs="宋体"/>
          <w:b/>
          <w:bCs/>
          <w:color w:val="auto"/>
          <w:sz w:val="24"/>
          <w:szCs w:val="24"/>
          <w:highlight w:val="none"/>
          <w:lang w:val="en-US" w:eastAsia="zh-CN"/>
        </w:rPr>
        <w:t xml:space="preserve">及地块红线范围</w:t>
      </w:r>
      <w:r>
        <w:rPr>
          <w:rFonts w:hint="eastAsia" w:ascii="宋体" w:hAnsi="宋体" w:cs="宋体"/>
          <w:b/>
          <w:bCs/>
          <w:color w:val="auto"/>
          <w:sz w:val="24"/>
          <w:szCs w:val="24"/>
          <w:highlight w:val="none"/>
          <w:lang w:val="en-US" w:eastAsia="zh-CN"/>
        </w:rPr>
        <w:t xml:space="preserve">图</w:t>
      </w:r>
      <w:r/>
    </w:p>
    <w:p>
      <w:pPr>
        <w:pStyle w:val="972"/>
        <w:rPr>
          <w:rFonts w:hint="eastAsia"/>
          <w:highlight w:val="none"/>
          <w:lang w:val="en-US" w:eastAsia="zh-CN"/>
        </w:rPr>
      </w:pPr>
      <w:r>
        <w:rPr>
          <w:rFonts w:hint="eastAsia" w:ascii="Times New Roman" w:hAnsi="Times New Roman" w:eastAsia="宋体" w:cs="Times New Roman"/>
          <w:b/>
          <w:color w:val="auto"/>
          <w:sz w:val="24"/>
          <w:szCs w:val="24"/>
          <w:highlight w:val="none"/>
          <w:lang w:val="en-US" w:eastAsia="zh-CN"/>
        </w:rPr>
        <w:t xml:space="preserve">注：标注图片仅为示意图，实际以现场为准。</w:t>
      </w:r>
      <w:r/>
    </w:p>
    <w:p>
      <w:pPr>
        <w:pStyle w:val="972"/>
        <w:rPr>
          <w:rFonts w:hint="default"/>
          <w:lang w:val="en-US" w:eastAsia="zh-CN"/>
        </w:rPr>
      </w:pPr>
      <w:r>
        <w:rPr>
          <w:rFonts w:hint="default"/>
          <w:lang w:val="en-US" w:eastAsia="zh-CN"/>
        </w:rPr>
      </w:r>
      <w:r/>
    </w:p>
    <w:p>
      <w:pPr>
        <w:ind w:firstLine="488"/>
        <w:keepLines w:val="0"/>
        <w:keepNext w:val="0"/>
        <w:pageBreakBefore w:val="0"/>
        <w:spacing w:line="360" w:lineRule="auto"/>
        <w:widowControl w:val="off"/>
        <w:rPr>
          <w:rFonts w:hint="eastAsia" w:ascii="宋体" w:hAnsi="宋体" w:eastAsia="宋体" w:cs="宋体"/>
          <w:b w:val="0"/>
          <w:bCs w:val="0"/>
          <w:color w:val="auto"/>
          <w:spacing w:val="2"/>
          <w:sz w:val="24"/>
          <w:szCs w:val="24"/>
          <w:highlight w:val="none"/>
          <w:u w:val="none"/>
          <w:lang w:val="en-US" w:eastAsia="zh-CN"/>
        </w:rPr>
        <w:outlineLvl w:val="9"/>
      </w:pPr>
      <w:r>
        <w:rPr>
          <w:rFonts w:hint="eastAsia" w:ascii="宋体" w:hAnsi="宋体" w:eastAsia="宋体" w:cs="宋体"/>
          <w:b w:val="0"/>
          <w:bCs w:val="0"/>
          <w:color w:val="auto"/>
          <w:spacing w:val="2"/>
          <w:sz w:val="24"/>
          <w:szCs w:val="24"/>
          <w:highlight w:val="none"/>
          <w:u w:val="none"/>
          <w:lang w:val="en-US" w:eastAsia="zh-CN"/>
        </w:rPr>
        <w:t xml:space="preserve">经检测，土壤中的所检污染物含量均不超过《土壤环境质量建设用地土污染风险管控标准》(GB36600-2018)中一类建设用地污染风险筛值，固废样品浸出毒性浓度均不超过《危险废物鉴别标准一浸出毒性鉴别》(GB 5085.3-2007)中浸出液中危害成分浓度限值。</w:t>
      </w:r>
      <w:r/>
    </w:p>
    <w:p>
      <w:pPr>
        <w:ind w:firstLine="488"/>
        <w:keepLines w:val="0"/>
        <w:keepNext w:val="0"/>
        <w:pageBreakBefore w:val="0"/>
        <w:spacing w:line="360" w:lineRule="auto"/>
        <w:widowControl w:val="off"/>
        <w:rPr>
          <w:rFonts w:hint="eastAsia" w:ascii="宋体" w:hAnsi="宋体" w:eastAsia="宋体" w:cs="宋体"/>
          <w:b w:val="0"/>
          <w:bCs w:val="0"/>
          <w:color w:val="auto"/>
          <w:spacing w:val="2"/>
          <w:sz w:val="24"/>
          <w:szCs w:val="24"/>
          <w:highlight w:val="none"/>
          <w:u w:val="none"/>
          <w:lang w:val="en-US" w:eastAsia="zh-CN"/>
        </w:rPr>
        <w:outlineLvl w:val="9"/>
      </w:pPr>
      <w:r>
        <w:rPr>
          <w:rFonts w:hint="eastAsia" w:ascii="宋体" w:hAnsi="宋体" w:eastAsia="宋体" w:cs="宋体"/>
          <w:b w:val="0"/>
          <w:bCs w:val="0"/>
          <w:color w:val="auto"/>
          <w:spacing w:val="2"/>
          <w:sz w:val="24"/>
          <w:szCs w:val="24"/>
          <w:highlight w:val="none"/>
          <w:u w:val="none"/>
          <w:lang w:val="en-US" w:eastAsia="zh-CN"/>
        </w:rPr>
        <w:t xml:space="preserve">本次应急处置项目目标是对大明北路东侧、东青和平路北侧（QQ020205-01）地块内的填埋物进行清挖，外运至有处置能力的单位进行处置。对填埋物进行处置，待处理的填埋物方量约为2.4万吨。处置量见下表。</w:t>
      </w:r>
      <w:r/>
    </w:p>
    <w:tbl>
      <w:tblPr>
        <w:tblStyle w:val="99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64"/>
        <w:gridCol w:w="6350"/>
      </w:tblGrid>
      <w:tr>
        <w:trPr/>
        <w:tc>
          <w:tcPr>
            <w:tcW w:w="3164" w:type="dxa"/>
            <w:textDirection w:val="lrTb"/>
            <w:noWrap w:val="false"/>
          </w:tcPr>
          <w:p>
            <w:pPr>
              <w:jc w:val="center"/>
              <w:spacing w:after="0"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处置区城</w:t>
            </w:r>
            <w:r/>
          </w:p>
        </w:tc>
        <w:tc>
          <w:tcPr>
            <w:tcW w:w="6350" w:type="dxa"/>
            <w:textDirection w:val="lrTb"/>
            <w:noWrap w:val="false"/>
          </w:tcPr>
          <w:p>
            <w:pPr>
              <w:jc w:val="center"/>
              <w:spacing w:after="0"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b w:val="0"/>
                <w:bCs w:val="0"/>
                <w:color w:val="auto"/>
                <w:spacing w:val="2"/>
                <w:sz w:val="24"/>
                <w:szCs w:val="24"/>
                <w:highlight w:val="none"/>
                <w:u w:val="none"/>
                <w:lang w:val="en-US" w:eastAsia="zh-CN"/>
              </w:rPr>
              <w:t xml:space="preserve">大明北路东侧、东青和平路北侧（QQ020205-01）地块</w:t>
            </w:r>
            <w:r/>
          </w:p>
        </w:tc>
      </w:tr>
      <w:tr>
        <w:trPr/>
        <w:tc>
          <w:tcPr>
            <w:tcW w:w="3164" w:type="dxa"/>
            <w:textDirection w:val="lrTb"/>
            <w:noWrap w:val="false"/>
          </w:tcPr>
          <w:p>
            <w:pPr>
              <w:jc w:val="center"/>
              <w:spacing w:after="0"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面积（㎡）</w:t>
            </w:r>
            <w:r/>
          </w:p>
        </w:tc>
        <w:tc>
          <w:tcPr>
            <w:tcW w:w="6350" w:type="dxa"/>
            <w:textDirection w:val="lrTb"/>
            <w:noWrap w:val="false"/>
          </w:tcPr>
          <w:p>
            <w:pPr>
              <w:jc w:val="center"/>
              <w:spacing w:after="0" w:line="440" w:lineRule="exact"/>
              <w:tabs>
                <w:tab w:val="left" w:pos="1200" w:leader="none"/>
              </w:tabs>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2340</w:t>
            </w:r>
            <w:r/>
          </w:p>
        </w:tc>
      </w:tr>
      <w:tr>
        <w:trPr/>
        <w:tc>
          <w:tcPr>
            <w:tcW w:w="3164" w:type="dxa"/>
            <w:textDirection w:val="lrTb"/>
            <w:noWrap w:val="false"/>
          </w:tcPr>
          <w:p>
            <w:pPr>
              <w:jc w:val="center"/>
              <w:spacing w:after="0"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深度（m）</w:t>
            </w:r>
            <w:r/>
          </w:p>
        </w:tc>
        <w:tc>
          <w:tcPr>
            <w:tcW w:w="6350" w:type="dxa"/>
            <w:textDirection w:val="lrTb"/>
            <w:noWrap w:val="false"/>
          </w:tcPr>
          <w:p>
            <w:pPr>
              <w:jc w:val="center"/>
              <w:spacing w:after="0" w:line="440" w:lineRule="exact"/>
              <w:tabs>
                <w:tab w:val="left" w:pos="1200" w:leader="none"/>
              </w:tabs>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4.15</w:t>
            </w:r>
            <w:r/>
          </w:p>
        </w:tc>
      </w:tr>
      <w:tr>
        <w:trPr/>
        <w:tc>
          <w:tcPr>
            <w:tcW w:w="3164" w:type="dxa"/>
            <w:textDirection w:val="lrTb"/>
            <w:noWrap w:val="false"/>
          </w:tcPr>
          <w:p>
            <w:pPr>
              <w:jc w:val="center"/>
              <w:spacing w:after="0"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处置对象</w:t>
            </w:r>
            <w:r/>
          </w:p>
        </w:tc>
        <w:tc>
          <w:tcPr>
            <w:tcW w:w="6350" w:type="dxa"/>
            <w:textDirection w:val="lrTb"/>
            <w:noWrap w:val="false"/>
          </w:tcPr>
          <w:p>
            <w:pPr>
              <w:jc w:val="center"/>
              <w:spacing w:after="0"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垃圾(建筑垃圾和生活垃圾)</w:t>
            </w:r>
            <w:r/>
          </w:p>
        </w:tc>
      </w:tr>
      <w:tr>
        <w:trPr/>
        <w:tc>
          <w:tcPr>
            <w:tcW w:w="3164" w:type="dxa"/>
            <w:textDirection w:val="lrTb"/>
            <w:noWrap w:val="false"/>
          </w:tcPr>
          <w:p>
            <w:pPr>
              <w:jc w:val="center"/>
              <w:spacing w:after="0"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筛分前开挖总方量（m³）</w:t>
            </w:r>
            <w:r/>
          </w:p>
        </w:tc>
        <w:tc>
          <w:tcPr>
            <w:tcW w:w="6350" w:type="dxa"/>
            <w:textDirection w:val="lrTb"/>
            <w:noWrap w:val="false"/>
          </w:tcPr>
          <w:p>
            <w:pPr>
              <w:jc w:val="center"/>
              <w:spacing w:after="0" w:line="440" w:lineRule="exact"/>
              <w:tabs>
                <w:tab w:val="left" w:pos="1200" w:leader="none"/>
              </w:tabs>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9720</w:t>
            </w:r>
            <w:r/>
          </w:p>
        </w:tc>
      </w:tr>
      <w:tr>
        <w:trPr/>
        <w:tc>
          <w:tcPr>
            <w:tcW w:w="3164" w:type="dxa"/>
            <w:textDirection w:val="lrTb"/>
            <w:noWrap w:val="false"/>
          </w:tcPr>
          <w:p>
            <w:pPr>
              <w:jc w:val="center"/>
              <w:spacing w:after="0"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筛分前开挖总重量（t）</w:t>
            </w:r>
            <w:r/>
          </w:p>
        </w:tc>
        <w:tc>
          <w:tcPr>
            <w:tcW w:w="6350" w:type="dxa"/>
            <w:textDirection w:val="lrTb"/>
            <w:noWrap w:val="false"/>
          </w:tcPr>
          <w:p>
            <w:pPr>
              <w:jc w:val="center"/>
              <w:spacing w:after="0" w:line="440" w:lineRule="exact"/>
              <w:tabs>
                <w:tab w:val="left" w:pos="1200" w:leader="none"/>
              </w:tabs>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24008.4</w:t>
            </w:r>
            <w:r/>
          </w:p>
        </w:tc>
      </w:tr>
    </w:tbl>
    <w:p>
      <w:pPr>
        <w:ind w:firstLine="488"/>
        <w:keepLines w:val="0"/>
        <w:keepNext w:val="0"/>
        <w:pageBreakBefore w:val="0"/>
        <w:spacing w:line="360" w:lineRule="auto"/>
        <w:widowControl w:val="off"/>
        <w:rPr>
          <w:rFonts w:hint="eastAsia" w:ascii="宋体" w:hAnsi="宋体" w:eastAsia="宋体" w:cs="宋体"/>
          <w:b w:val="0"/>
          <w:bCs w:val="0"/>
          <w:color w:val="auto"/>
          <w:spacing w:val="2"/>
          <w:sz w:val="24"/>
          <w:szCs w:val="24"/>
          <w:highlight w:val="none"/>
          <w:u w:val="none"/>
          <w:lang w:val="en-US" w:eastAsia="zh-CN"/>
        </w:rPr>
        <w:outlineLvl w:val="9"/>
      </w:pPr>
      <w:r>
        <w:rPr>
          <w:rFonts w:hint="eastAsia" w:ascii="宋体" w:hAnsi="宋体" w:eastAsia="宋体" w:cs="宋体"/>
          <w:b w:val="0"/>
          <w:bCs w:val="0"/>
          <w:color w:val="auto"/>
          <w:spacing w:val="2"/>
          <w:sz w:val="24"/>
          <w:szCs w:val="24"/>
          <w:highlight w:val="none"/>
          <w:u w:val="none"/>
          <w:lang w:val="en-US" w:eastAsia="zh-CN"/>
        </w:rPr>
        <w:t xml:space="preserve">注：（1）筛分前混合物密度按照1.9t/m³计（密度未实测，以实际测量值为准）。</w:t>
      </w:r>
      <w:r/>
    </w:p>
    <w:p>
      <w:pPr>
        <w:ind w:firstLine="488"/>
        <w:keepLines w:val="0"/>
        <w:keepNext w:val="0"/>
        <w:pageBreakBefore w:val="0"/>
        <w:spacing w:line="360" w:lineRule="auto"/>
        <w:widowControl w:val="off"/>
        <w:rPr>
          <w:rFonts w:hint="default" w:ascii="宋体" w:hAnsi="宋体" w:eastAsia="宋体" w:cs="宋体"/>
          <w:b w:val="0"/>
          <w:bCs w:val="0"/>
          <w:color w:val="auto"/>
          <w:spacing w:val="2"/>
          <w:sz w:val="24"/>
          <w:szCs w:val="24"/>
          <w:highlight w:val="none"/>
          <w:u w:val="none"/>
          <w:lang w:val="en-US" w:eastAsia="zh-CN"/>
        </w:rPr>
        <w:outlineLvl w:val="9"/>
      </w:pPr>
      <w:r>
        <w:rPr>
          <w:rFonts w:hint="eastAsia" w:ascii="宋体" w:hAnsi="宋体" w:eastAsia="宋体" w:cs="宋体"/>
          <w:b w:val="0"/>
          <w:bCs w:val="0"/>
          <w:color w:val="auto"/>
          <w:spacing w:val="2"/>
          <w:sz w:val="24"/>
          <w:szCs w:val="24"/>
          <w:highlight w:val="none"/>
          <w:u w:val="none"/>
          <w:lang w:val="en-US" w:eastAsia="zh-CN"/>
        </w:rPr>
        <w:t xml:space="preserve">（2）考虑不确定性，筛分前开挖总重量（总重量暂按1.3倍计算）=暂按筛分前开挖总方量9720m³*1.9t/m³（密度）*1.3=24008.4t</w:t>
      </w:r>
      <w:r/>
    </w:p>
    <w:p>
      <w:pPr>
        <w:ind w:firstLine="488"/>
        <w:keepLines w:val="0"/>
        <w:keepNext w:val="0"/>
        <w:pageBreakBefore w:val="0"/>
        <w:spacing w:line="360" w:lineRule="auto"/>
        <w:widowControl w:val="off"/>
        <w:rPr>
          <w:rFonts w:hint="eastAsia" w:ascii="宋体" w:hAnsi="宋体" w:eastAsia="宋体" w:cs="宋体"/>
          <w:b w:val="0"/>
          <w:bCs w:val="0"/>
          <w:color w:val="auto"/>
          <w:spacing w:val="2"/>
          <w:sz w:val="24"/>
          <w:szCs w:val="24"/>
          <w:highlight w:val="none"/>
          <w:u w:val="none"/>
          <w:lang w:val="en-US" w:eastAsia="zh-CN"/>
        </w:rPr>
        <w:outlineLvl w:val="9"/>
      </w:pPr>
      <w:r>
        <w:rPr>
          <w:rFonts w:hint="eastAsia" w:ascii="宋体" w:hAnsi="宋体" w:eastAsia="宋体" w:cs="宋体"/>
          <w:b w:val="0"/>
          <w:bCs w:val="0"/>
          <w:color w:val="auto"/>
          <w:spacing w:val="2"/>
          <w:sz w:val="24"/>
          <w:szCs w:val="24"/>
          <w:highlight w:val="none"/>
          <w:u w:val="none"/>
          <w:lang w:val="en-US" w:eastAsia="zh-CN"/>
        </w:rPr>
        <w:t xml:space="preserve">（3）以上为预估工程量，实际以采购人通知为准。超出预估工程量的不再额外支付相关费用。</w:t>
      </w:r>
      <w:r/>
    </w:p>
    <w:p>
      <w:pPr>
        <w:ind w:firstLine="488"/>
        <w:keepLines w:val="0"/>
        <w:keepNext w:val="0"/>
        <w:pageBreakBefore w:val="0"/>
        <w:spacing w:line="360" w:lineRule="auto"/>
        <w:widowControl w:val="off"/>
        <w:rPr>
          <w:rFonts w:hint="default" w:ascii="宋体" w:hAnsi="宋体" w:eastAsia="宋体" w:cs="宋体"/>
          <w:b w:val="0"/>
          <w:bCs w:val="0"/>
          <w:color w:val="ff0000"/>
          <w:spacing w:val="2"/>
          <w:sz w:val="24"/>
          <w:szCs w:val="24"/>
          <w:highlight w:val="none"/>
          <w:u w:val="none"/>
          <w:lang w:val="en-US" w:eastAsia="zh-CN"/>
        </w:rPr>
        <w:outlineLvl w:val="9"/>
      </w:pPr>
      <w:r>
        <w:rPr>
          <w:rFonts w:hint="eastAsia" w:ascii="宋体" w:hAnsi="宋体" w:eastAsia="宋体" w:cs="宋体"/>
          <w:b w:val="0"/>
          <w:bCs w:val="0"/>
          <w:color w:val="ff0000"/>
          <w:spacing w:val="2"/>
          <w:sz w:val="24"/>
          <w:szCs w:val="24"/>
          <w:highlight w:val="none"/>
          <w:u w:val="none"/>
          <w:lang w:val="en-US" w:eastAsia="zh-CN"/>
        </w:rPr>
        <w:t xml:space="preserve">（4）基坑经验收合格后，采用清洁土进行回填。</w:t>
      </w:r>
      <w:r>
        <w:rPr>
          <w:rFonts w:hint="eastAsia" w:ascii="宋体" w:hAnsi="宋体" w:cs="宋体"/>
          <w:b w:val="0"/>
          <w:bCs w:val="0"/>
          <w:color w:val="ff0000"/>
          <w:spacing w:val="2"/>
          <w:sz w:val="24"/>
          <w:szCs w:val="24"/>
          <w:highlight w:val="none"/>
          <w:u w:val="none"/>
          <w:lang w:val="en-US" w:eastAsia="zh-CN"/>
        </w:rPr>
        <w:t xml:space="preserve">相关清洁土采购及</w:t>
      </w:r>
      <w:r>
        <w:rPr>
          <w:rFonts w:hint="eastAsia" w:ascii="宋体" w:hAnsi="宋体" w:eastAsia="宋体" w:cs="宋体"/>
          <w:b w:val="0"/>
          <w:bCs w:val="0"/>
          <w:color w:val="ff0000"/>
          <w:spacing w:val="2"/>
          <w:sz w:val="24"/>
          <w:szCs w:val="24"/>
          <w:highlight w:val="none"/>
          <w:u w:val="none"/>
          <w:lang w:val="en-US" w:eastAsia="zh-CN"/>
        </w:rPr>
        <w:t xml:space="preserve">回填费用已含在</w:t>
      </w:r>
      <w:r>
        <w:rPr>
          <w:rFonts w:hint="eastAsia" w:ascii="宋体" w:hAnsi="宋体" w:cs="宋体"/>
          <w:b w:val="0"/>
          <w:bCs w:val="0"/>
          <w:color w:val="ff0000"/>
          <w:spacing w:val="2"/>
          <w:sz w:val="24"/>
          <w:szCs w:val="24"/>
          <w:highlight w:val="none"/>
          <w:u w:val="none"/>
          <w:lang w:val="en-US" w:eastAsia="zh-CN"/>
        </w:rPr>
        <w:t xml:space="preserve">投标总价中</w:t>
      </w:r>
      <w:r>
        <w:rPr>
          <w:rFonts w:hint="eastAsia" w:ascii="宋体" w:hAnsi="宋体" w:eastAsia="宋体" w:cs="宋体"/>
          <w:b w:val="0"/>
          <w:bCs w:val="0"/>
          <w:color w:val="ff0000"/>
          <w:spacing w:val="2"/>
          <w:sz w:val="24"/>
          <w:szCs w:val="24"/>
          <w:highlight w:val="none"/>
          <w:u w:val="none"/>
          <w:lang w:val="en-US" w:eastAsia="zh-CN"/>
        </w:rPr>
        <w:t xml:space="preserve">，投标人自行考虑此项费用</w:t>
      </w:r>
      <w:r>
        <w:rPr>
          <w:rFonts w:hint="eastAsia" w:ascii="宋体" w:hAnsi="宋体" w:cs="宋体"/>
          <w:b w:val="0"/>
          <w:bCs w:val="0"/>
          <w:color w:val="ff0000"/>
          <w:spacing w:val="2"/>
          <w:sz w:val="24"/>
          <w:szCs w:val="24"/>
          <w:highlight w:val="none"/>
          <w:u w:val="none"/>
          <w:lang w:val="en-US" w:eastAsia="zh-CN"/>
        </w:rPr>
        <w:t xml:space="preserve">，招标人不再支付任何费用。</w:t>
      </w:r>
      <w:r/>
    </w:p>
    <w:p>
      <w:pPr>
        <w:ind w:firstLine="482"/>
        <w:jc w:val="left"/>
        <w:spacing w:line="360" w:lineRule="auto"/>
        <w:rPr>
          <w:rFonts w:ascii="宋体" w:hAnsi="宋体" w:eastAsia="宋体" w:cs="Times New Roman"/>
          <w:color w:val="auto"/>
          <w:sz w:val="24"/>
          <w:szCs w:val="24"/>
          <w:highlight w:val="none"/>
        </w:rPr>
      </w:pPr>
      <w:r>
        <w:rPr>
          <w:rFonts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rPr>
        <w:t xml:space="preserve">、服务期限要求：</w:t>
      </w:r>
      <w:r>
        <w:rPr>
          <w:rFonts w:hint="eastAsia" w:ascii="宋体" w:hAnsi="宋体" w:cs="Times New Roman"/>
          <w:color w:val="auto"/>
          <w:sz w:val="24"/>
          <w:szCs w:val="24"/>
          <w:highlight w:val="none"/>
          <w:lang w:val="en-US" w:eastAsia="zh-CN"/>
        </w:rPr>
        <w:t xml:space="preserve">15日历天</w:t>
      </w:r>
      <w:r>
        <w:rPr>
          <w:rFonts w:hint="eastAsia" w:ascii="宋体" w:hAnsi="宋体" w:eastAsia="宋体" w:cs="Times New Roman"/>
          <w:color w:val="auto"/>
          <w:sz w:val="24"/>
          <w:szCs w:val="24"/>
          <w:highlight w:val="none"/>
          <w:lang w:val="en-US" w:eastAsia="zh-CN"/>
        </w:rPr>
        <w:t xml:space="preserve">，起算时间以采购人通知时间为准</w:t>
      </w:r>
      <w:r>
        <w:rPr>
          <w:rFonts w:hint="eastAsia" w:ascii="宋体" w:hAnsi="宋体" w:eastAsia="宋体" w:cs="Times New Roman"/>
          <w:color w:val="auto"/>
          <w:sz w:val="24"/>
          <w:szCs w:val="24"/>
          <w:highlight w:val="none"/>
        </w:rPr>
        <w:t xml:space="preserve">。</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三、服务内容：</w:t>
      </w:r>
      <w:bookmarkEnd w:id="705"/>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场地处理：基础建设设施，车辆停放区、建设临时道路、废水暂存区、基础建设设施，包括但不限于原便道加铺碎石面层或浇筑砼路面，投标单位自行踏勘现场综合考虑施工方案,满足运输以及人员通行的需要等。</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固废混合物</w:t>
      </w:r>
      <w:r>
        <w:rPr>
          <w:rFonts w:hint="eastAsia" w:ascii="宋体" w:hAnsi="宋体" w:eastAsia="宋体" w:cs="宋体"/>
          <w:bCs/>
          <w:color w:val="auto"/>
          <w:sz w:val="24"/>
          <w:szCs w:val="24"/>
          <w:highlight w:val="none"/>
          <w:lang w:val="en-US" w:eastAsia="zh-CN"/>
        </w:rPr>
        <w:t xml:space="preserve">挖掘、处置等</w:t>
      </w:r>
      <w:r/>
    </w:p>
    <w:p>
      <w:pPr>
        <w:ind w:firstLine="480"/>
        <w:spacing w:line="360" w:lineRule="auto"/>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2.1</w:t>
      </w:r>
      <w:r>
        <w:rPr>
          <w:rFonts w:hint="eastAsia" w:ascii="宋体" w:hAnsi="宋体" w:cs="宋体"/>
          <w:bCs/>
          <w:color w:val="auto"/>
          <w:sz w:val="24"/>
          <w:szCs w:val="24"/>
          <w:highlight w:val="none"/>
          <w:lang w:val="en-US" w:eastAsia="zh-CN"/>
        </w:rPr>
        <w:t xml:space="preserve">固废混合物</w:t>
      </w:r>
      <w:r>
        <w:rPr>
          <w:rFonts w:ascii="宋体" w:hAnsi="宋体" w:eastAsia="宋体" w:cs="宋体"/>
          <w:bCs/>
          <w:color w:val="auto"/>
          <w:sz w:val="24"/>
          <w:szCs w:val="24"/>
          <w:highlight w:val="none"/>
          <w:lang w:val="en-US" w:eastAsia="zh-CN"/>
        </w:rPr>
        <w:t xml:space="preserve">转运：含翻挖、人工配合清挖，短驳，配合称重、装车等；</w:t>
      </w:r>
      <w:r>
        <w:rPr>
          <w:rFonts w:hint="eastAsia" w:ascii="宋体" w:hAnsi="宋体" w:eastAsia="宋体" w:cs="宋体"/>
          <w:bCs/>
          <w:color w:val="auto"/>
          <w:sz w:val="24"/>
          <w:szCs w:val="24"/>
          <w:highlight w:val="none"/>
          <w:lang w:val="en-US" w:eastAsia="zh-CN"/>
        </w:rPr>
        <w:t xml:space="preserve">固废混合物</w:t>
      </w:r>
      <w:r>
        <w:rPr>
          <w:rFonts w:hint="eastAsia" w:ascii="宋体" w:hAnsi="宋体" w:cs="宋体"/>
          <w:bCs/>
          <w:color w:val="auto"/>
          <w:sz w:val="24"/>
          <w:szCs w:val="24"/>
          <w:highlight w:val="none"/>
          <w:lang w:val="en-US" w:eastAsia="zh-CN"/>
        </w:rPr>
        <w:t xml:space="preserve">运至处置单位进行筛分、处置（筛分后分类处理）</w:t>
      </w:r>
      <w:r>
        <w:rPr>
          <w:rFonts w:ascii="宋体" w:hAnsi="宋体" w:eastAsia="宋体" w:cs="宋体"/>
          <w:bCs/>
          <w:color w:val="auto"/>
          <w:sz w:val="24"/>
          <w:szCs w:val="24"/>
          <w:highlight w:val="none"/>
          <w:lang w:val="en-US" w:eastAsia="zh-CN"/>
        </w:rPr>
        <w:t xml:space="preserve">；外运方式及运距自行考虑；</w:t>
      </w:r>
      <w:r>
        <w:rPr>
          <w:rFonts w:hint="eastAsia" w:ascii="宋体" w:hAnsi="宋体" w:cs="宋体"/>
          <w:bCs/>
          <w:color w:val="auto"/>
          <w:sz w:val="24"/>
          <w:szCs w:val="24"/>
          <w:highlight w:val="none"/>
          <w:lang w:val="en-US" w:eastAsia="zh-CN"/>
        </w:rPr>
        <w:t xml:space="preserve">固废混合物</w:t>
      </w:r>
      <w:r>
        <w:rPr>
          <w:rFonts w:ascii="宋体" w:hAnsi="宋体" w:eastAsia="宋体" w:cs="宋体"/>
          <w:bCs/>
          <w:color w:val="auto"/>
          <w:sz w:val="24"/>
          <w:szCs w:val="24"/>
          <w:highlight w:val="none"/>
          <w:lang w:val="en-US" w:eastAsia="zh-CN"/>
        </w:rPr>
        <w:t xml:space="preserve">外运按相关规范执行，且运输过程需全程监测及控制，确保不产生二次污染</w:t>
      </w:r>
      <w:r>
        <w:rPr>
          <w:rFonts w:hint="eastAsia" w:ascii="宋体" w:hAnsi="宋体" w:eastAsia="宋体" w:cs="宋体"/>
          <w:bCs/>
          <w:color w:val="auto"/>
          <w:sz w:val="24"/>
          <w:szCs w:val="24"/>
          <w:highlight w:val="none"/>
          <w:lang w:val="en-US" w:eastAsia="zh-CN"/>
        </w:rPr>
        <w:t xml:space="preserve">。</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2.2</w:t>
      </w:r>
      <w:r>
        <w:rPr>
          <w:rFonts w:hint="eastAsia" w:ascii="宋体" w:hAnsi="宋体" w:cs="宋体"/>
          <w:bCs/>
          <w:color w:val="auto"/>
          <w:sz w:val="24"/>
          <w:szCs w:val="24"/>
          <w:highlight w:val="none"/>
          <w:lang w:val="en-US" w:eastAsia="zh-CN"/>
        </w:rPr>
        <w:t xml:space="preserve">处置单位</w:t>
      </w:r>
      <w:r>
        <w:rPr>
          <w:rFonts w:hint="eastAsia" w:ascii="宋体" w:hAnsi="宋体" w:eastAsia="宋体" w:cs="宋体"/>
          <w:bCs/>
          <w:color w:val="auto"/>
          <w:sz w:val="24"/>
          <w:szCs w:val="24"/>
          <w:highlight w:val="none"/>
          <w:lang w:val="en-US" w:eastAsia="zh-CN"/>
        </w:rPr>
        <w:t xml:space="preserve">协同处置：运至</w:t>
      </w:r>
      <w:r>
        <w:rPr>
          <w:rFonts w:hint="eastAsia" w:ascii="宋体" w:hAnsi="宋体" w:cs="宋体"/>
          <w:bCs/>
          <w:color w:val="auto"/>
          <w:sz w:val="24"/>
          <w:szCs w:val="24"/>
          <w:highlight w:val="none"/>
          <w:lang w:val="en-US" w:eastAsia="zh-CN"/>
        </w:rPr>
        <w:t xml:space="preserve">处置单位</w:t>
      </w:r>
      <w:r>
        <w:rPr>
          <w:rFonts w:hint="eastAsia" w:ascii="宋体" w:hAnsi="宋体" w:eastAsia="宋体" w:cs="宋体"/>
          <w:bCs/>
          <w:color w:val="auto"/>
          <w:sz w:val="24"/>
          <w:szCs w:val="24"/>
          <w:highlight w:val="none"/>
          <w:lang w:val="en-US" w:eastAsia="zh-CN"/>
        </w:rPr>
        <w:t xml:space="preserve">后，称重并进行</w:t>
      </w:r>
      <w:r>
        <w:rPr>
          <w:rFonts w:hint="eastAsia" w:ascii="宋体" w:hAnsi="宋体" w:cs="宋体"/>
          <w:bCs/>
          <w:color w:val="auto"/>
          <w:sz w:val="24"/>
          <w:szCs w:val="24"/>
          <w:highlight w:val="none"/>
          <w:lang w:val="en-US" w:eastAsia="zh-CN"/>
        </w:rPr>
        <w:t xml:space="preserve">筛分</w:t>
      </w:r>
      <w:r>
        <w:rPr>
          <w:rFonts w:hint="eastAsia" w:ascii="宋体" w:hAnsi="宋体" w:eastAsia="宋体" w:cs="宋体"/>
          <w:bCs/>
          <w:color w:val="auto"/>
          <w:sz w:val="24"/>
          <w:szCs w:val="24"/>
          <w:highlight w:val="none"/>
          <w:lang w:val="en-US" w:eastAsia="zh-CN"/>
        </w:rPr>
        <w:t xml:space="preserve">检测，满足</w:t>
      </w:r>
      <w:r>
        <w:rPr>
          <w:rFonts w:hint="eastAsia" w:ascii="宋体" w:hAnsi="宋体" w:cs="宋体"/>
          <w:bCs/>
          <w:color w:val="auto"/>
          <w:sz w:val="24"/>
          <w:szCs w:val="24"/>
          <w:highlight w:val="none"/>
          <w:lang w:val="en-US" w:eastAsia="zh-CN"/>
        </w:rPr>
        <w:t xml:space="preserve">要求</w:t>
      </w:r>
      <w:r>
        <w:rPr>
          <w:rFonts w:hint="eastAsia" w:ascii="宋体" w:hAnsi="宋体" w:eastAsia="宋体" w:cs="宋体"/>
          <w:bCs/>
          <w:color w:val="auto"/>
          <w:sz w:val="24"/>
          <w:szCs w:val="24"/>
          <w:highlight w:val="none"/>
          <w:lang w:val="en-US" w:eastAsia="zh-CN"/>
        </w:rPr>
        <w:t xml:space="preserve">后</w:t>
      </w:r>
      <w:r>
        <w:rPr>
          <w:rFonts w:hint="eastAsia" w:ascii="宋体" w:hAnsi="宋体" w:cs="宋体"/>
          <w:bCs/>
          <w:color w:val="auto"/>
          <w:sz w:val="24"/>
          <w:szCs w:val="24"/>
          <w:highlight w:val="none"/>
          <w:lang w:val="en-US" w:eastAsia="zh-CN"/>
        </w:rPr>
        <w:t xml:space="preserve">按规范</w:t>
      </w:r>
      <w:r>
        <w:rPr>
          <w:rFonts w:hint="eastAsia" w:ascii="宋体" w:hAnsi="宋体" w:eastAsia="宋体" w:cs="宋体"/>
          <w:bCs/>
          <w:color w:val="auto"/>
          <w:sz w:val="24"/>
          <w:szCs w:val="24"/>
          <w:highlight w:val="none"/>
          <w:lang w:val="en-US" w:eastAsia="zh-CN"/>
        </w:rPr>
        <w:t xml:space="preserve">进行处置；满足设计、规范及方案要求。</w:t>
      </w:r>
      <w:r/>
    </w:p>
    <w:p>
      <w:pPr>
        <w:ind w:firstLine="480"/>
        <w:spacing w:line="360" w:lineRule="auto"/>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3.废水处理</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3.1废水处置，施工范围内产生废水处理：含收集、处理及外运处置；收集、处理及外运处置方式自行考虑；满足设计、规范及方案要求。</w:t>
      </w:r>
      <w:r/>
    </w:p>
    <w:p>
      <w:pPr>
        <w:ind w:firstLine="480"/>
        <w:spacing w:line="360" w:lineRule="auto"/>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3.2废水处理设备，购买污染水处理设施及设备：一体化水处理设备、支架水池、相关配套设施、耗材、使用；设备规格、数量等均需满足满足设计、规范及方案要求。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.成交供应商应将项目实施计划、质量保证措施、转运及处置进度等各类材料由采购人审核，审核通过后方可实施。实施计划等要求不得低于</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文件中工作要求。成交供应商需考虑完成本项目可能发生的情况，超出合同金额的，不再另行增加费用。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 成交供应商实施过程中各类终端处置单位应具备处置类别的环评批复或经环保主管部门的批复许可等相关证明材料，确保</w:t>
      </w:r>
      <w:r>
        <w:rPr>
          <w:rFonts w:hint="eastAsia" w:ascii="宋体" w:hAnsi="宋体" w:cs="宋体"/>
          <w:bCs/>
          <w:color w:val="auto"/>
          <w:sz w:val="24"/>
          <w:szCs w:val="24"/>
          <w:highlight w:val="none"/>
          <w:lang w:eastAsia="zh-CN"/>
        </w:rPr>
        <w:t xml:space="preserve">固废混合物</w:t>
      </w:r>
      <w:r>
        <w:rPr>
          <w:rFonts w:hint="eastAsia" w:ascii="宋体" w:hAnsi="宋体" w:eastAsia="宋体" w:cs="宋体"/>
          <w:bCs/>
          <w:color w:val="auto"/>
          <w:sz w:val="24"/>
          <w:szCs w:val="24"/>
          <w:highlight w:val="none"/>
        </w:rPr>
        <w:t xml:space="preserve">和废水合规处置。</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 成交供应商应在成交一周内完成转运手续办理，具备转运条件。成交供应商及终端处置单位的接收及处置能力需满足现场工期需求，保障地块现场的</w:t>
      </w:r>
      <w:r>
        <w:rPr>
          <w:rFonts w:hint="eastAsia" w:ascii="宋体" w:hAnsi="宋体" w:cs="宋体"/>
          <w:bCs/>
          <w:color w:val="auto"/>
          <w:sz w:val="24"/>
          <w:szCs w:val="24"/>
          <w:highlight w:val="none"/>
          <w:lang w:eastAsia="zh-CN"/>
        </w:rPr>
        <w:t xml:space="preserve">固废混合物</w:t>
      </w:r>
      <w:r>
        <w:rPr>
          <w:rFonts w:hint="eastAsia" w:ascii="宋体" w:hAnsi="宋体" w:eastAsia="宋体" w:cs="宋体"/>
          <w:bCs/>
          <w:color w:val="auto"/>
          <w:sz w:val="24"/>
          <w:szCs w:val="24"/>
          <w:highlight w:val="none"/>
        </w:rPr>
        <w:t xml:space="preserve">和废水及时转运。</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转运前需编制转运计划，按照管理要求负责相关转运处置手续办理，成交一周内完成转运手续办理，具备转运条件。手续包括但不限于有关环保、交通、环卫、城管、综合执法部门等手续，并承担相关费用。提供的车辆总转运能力满足现场工期需求，且车辆必须防渗漏及密闭，满足现场现有道路的行驶，现场需派专人对车辆进出场进行协调，施工期间保证场内相邻道路的畅通；派驻专人在终端单位负责接收；所有外运车辆必须确保密闭运输，</w:t>
      </w:r>
      <w:r>
        <w:rPr>
          <w:rFonts w:hint="eastAsia" w:ascii="宋体" w:hAnsi="宋体" w:cs="宋体"/>
          <w:bCs/>
          <w:color w:val="auto"/>
          <w:sz w:val="24"/>
          <w:szCs w:val="24"/>
          <w:highlight w:val="none"/>
          <w:lang w:eastAsia="zh-CN"/>
        </w:rPr>
        <w:t xml:space="preserve">固废混合物</w:t>
      </w:r>
      <w:r>
        <w:rPr>
          <w:rFonts w:hint="eastAsia" w:ascii="宋体" w:hAnsi="宋体" w:eastAsia="宋体" w:cs="宋体"/>
          <w:bCs/>
          <w:color w:val="auto"/>
          <w:sz w:val="24"/>
          <w:szCs w:val="24"/>
          <w:highlight w:val="none"/>
        </w:rPr>
        <w:t xml:space="preserve">不遗撒，废水不泄露，车辆冲洗干净后方可出场，施工单位派专人负责车辆清洗；所有运输车辆必须并按照转运计划中路线转运，转运过程执行转移联单制度。</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 成交供应商应严格落实施工期间二次污染防治措施（包含但不限于处置方案明确的二次污染防治措施），合理安排作业时间，尽可能避免对周边环境产生影响。出场后运输途中的道路清洗均由成交供应商负责。成交供应商在实施过程中造成二次污染或其他第三方损害的，成交供应商负责整改到位并且承担由此产生的一切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 成交供应商必须确保现场安全，在实施过程中发生的所有安全事故均由成交供应商承担全部责任和后果。</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 成交供应商未经招标人同意，不得对相关方案进行变更否，否则一切责任和后果均由成交供应商全部承担，采购人有权无条件终止本项目的服务合同。成交供应商在成交后项目实施期间，如需变更方案，应书面进行变更可行性分析，并履行相关变更手续，必要时进行专家论证，经各方确认后方可变更。变更所产生的费用均包含在合同价中，不再另外增加费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采购人若委托验收单位、监理及跟踪审计单位参与本项目，成交供应商需配合参建单位的工作要求。采购人同时会专门委托相关审计单位。成交供应商应当为项目参建单位、采购人的检查、检验、验收等提供必要协助。未经采购人同意的不利物质条件造成的工期延误及费用增加由成交供应商自行承担。</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.由于成交供应商原因引起的验收不合格而引起的工期延误及其它返工等一切经济损失由成交供应商承担。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.由成交供应商原因而引起的工期延误，造成的其他施工单位损失均由成交供应商负责。</w:t>
      </w:r>
      <w:r/>
    </w:p>
    <w:p>
      <w:pPr>
        <w:ind w:firstLine="480"/>
        <w:spacing w:line="360" w:lineRule="auto"/>
        <w:rPr>
          <w:rFonts w:hint="eastAsia" w:ascii="宋体" w:hAnsi="宋体" w:eastAsia="宋体" w:cs="宋体"/>
          <w:b/>
          <w:bCs w:val="0"/>
          <w:color w:val="ff0000"/>
          <w:sz w:val="24"/>
          <w:szCs w:val="24"/>
          <w:highlight w:val="none"/>
          <w:lang w:val="en-US" w:eastAsia="zh-CN"/>
        </w:rPr>
      </w:pPr>
      <w:r>
        <w:rPr>
          <w:rFonts w:hint="eastAsia" w:ascii="宋体" w:hAnsi="宋体" w:eastAsia="宋体" w:cs="宋体"/>
          <w:b/>
          <w:bCs w:val="0"/>
          <w:color w:val="ff0000"/>
          <w:sz w:val="24"/>
          <w:szCs w:val="24"/>
          <w:highlight w:val="none"/>
          <w:lang w:val="en-US" w:eastAsia="zh-CN"/>
        </w:rPr>
        <w:t xml:space="preserve">★1</w:t>
      </w:r>
      <w:r>
        <w:rPr>
          <w:rFonts w:hint="eastAsia" w:ascii="宋体" w:hAnsi="宋体" w:cs="宋体"/>
          <w:b/>
          <w:bCs w:val="0"/>
          <w:color w:val="ff0000"/>
          <w:sz w:val="24"/>
          <w:szCs w:val="24"/>
          <w:highlight w:val="none"/>
          <w:lang w:val="en-US" w:eastAsia="zh-CN"/>
        </w:rPr>
        <w:t xml:space="preserve">5</w:t>
      </w:r>
      <w:r>
        <w:rPr>
          <w:rFonts w:hint="eastAsia" w:ascii="宋体" w:hAnsi="宋体" w:eastAsia="宋体" w:cs="宋体"/>
          <w:b/>
          <w:bCs w:val="0"/>
          <w:color w:val="ff0000"/>
          <w:sz w:val="24"/>
          <w:szCs w:val="24"/>
          <w:highlight w:val="none"/>
          <w:lang w:val="en-US" w:eastAsia="zh-CN"/>
        </w:rPr>
        <w:t xml:space="preserve">.承诺函（格式见附件12）</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四、质量及安全要求</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按照处置方案要求的范围及方量进行开挖、筛分，筛分后的土、生活垃圾和</w:t>
      </w:r>
      <w:r>
        <w:rPr>
          <w:rFonts w:hint="eastAsia" w:ascii="宋体" w:hAnsi="宋体" w:cs="宋体"/>
          <w:b w:val="0"/>
          <w:bCs/>
          <w:color w:val="auto"/>
          <w:sz w:val="24"/>
          <w:szCs w:val="24"/>
          <w:highlight w:val="none"/>
          <w:lang w:eastAsia="zh-CN"/>
        </w:rPr>
        <w:t xml:space="preserve">固废混合物</w:t>
      </w:r>
      <w:r>
        <w:rPr>
          <w:rFonts w:hint="eastAsia" w:ascii="宋体" w:hAnsi="宋体" w:eastAsia="宋体" w:cs="宋体"/>
          <w:b w:val="0"/>
          <w:bCs/>
          <w:color w:val="auto"/>
          <w:sz w:val="24"/>
          <w:szCs w:val="24"/>
          <w:highlight w:val="none"/>
        </w:rPr>
        <w:t xml:space="preserve">、建筑垃圾以及废水均按照处置方案要求进行规范处置。项目结束后，需达到验收要求，通过验收。 </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成交供应商</w:t>
      </w:r>
      <w:r>
        <w:rPr>
          <w:rFonts w:hint="eastAsia" w:ascii="宋体" w:hAnsi="宋体" w:eastAsia="宋体" w:cs="宋体"/>
          <w:b w:val="0"/>
          <w:bCs/>
          <w:color w:val="auto"/>
          <w:sz w:val="24"/>
          <w:szCs w:val="24"/>
          <w:highlight w:val="none"/>
        </w:rPr>
        <w:t xml:space="preserve">负责办理各相关部门的手续。</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、验收标准</w:t>
      </w:r>
      <w:r/>
    </w:p>
    <w:p>
      <w:p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1.本项目验收标准、验收内容、验收程序、合格判定条件均按照国家及地方现行有效规范执行。</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本项目对</w:t>
      </w:r>
      <w:r>
        <w:rPr>
          <w:rFonts w:hint="eastAsia" w:ascii="宋体" w:hAnsi="宋体" w:cs="宋体"/>
          <w:bCs/>
          <w:color w:val="auto"/>
          <w:sz w:val="24"/>
          <w:szCs w:val="24"/>
          <w:highlight w:val="none"/>
          <w:lang w:eastAsia="zh-CN"/>
        </w:rPr>
        <w:t xml:space="preserve">固废混合物</w:t>
      </w:r>
      <w:r>
        <w:rPr>
          <w:rFonts w:hint="eastAsia" w:ascii="宋体" w:hAnsi="宋体" w:eastAsia="宋体" w:cs="宋体"/>
          <w:bCs/>
          <w:color w:val="auto"/>
          <w:sz w:val="24"/>
          <w:szCs w:val="24"/>
          <w:highlight w:val="none"/>
        </w:rPr>
        <w:t xml:space="preserve">和废水外运处置等满足处置方案、</w:t>
      </w:r>
      <w:r>
        <w:rPr>
          <w:rFonts w:hint="eastAsia" w:ascii="宋体" w:hAnsi="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文件、验收要求及相关环保法律法规等要求，确保项目通过验收及专家评审。</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、保密要求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成交供应商负责对采购人所提供资料及最终成果保密，成交供应商及其专业技术人员需遵守采购人的保密规定，不以任何形式将收集的所有资料、数据等进行泄漏、传播。</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成交供应商需签署相关保密协议，承担工作中接触相关内容的保密义务。</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3.项目成果所有权归属采购人，在项目完成时成交供应商必须全部移交，不得以任何形式公开项目信息。</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4.成交供应商须维护项目服务成果，不得转让给第三方重复使用。</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5.以上保密规定如有违反，采购人有权追究成交供应商相关法律责任并有权不进行费用结算。</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、报价方式</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本项目地块内固体废物清理、处置及场地整理工作，最终场地恢复形式、标高控制及表层处理要求，以甲方现场书面指令为准。投标人应综合考虑场地平整、表层处理、覆土、压实等各类可能的施工内容及相关费用，无论甲方最终确定采用何种场地恢复方式，投标人均应无条件执行，甲方不因此增加任何费用、不调整合同价款。</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本项目为</w:t>
      </w:r>
      <w:r>
        <w:rPr>
          <w:rFonts w:hint="eastAsia" w:ascii="宋体" w:hAnsi="宋体" w:eastAsia="宋体" w:cs="宋体"/>
          <w:bCs/>
          <w:color w:val="auto"/>
          <w:sz w:val="24"/>
          <w:szCs w:val="24"/>
          <w:highlight w:val="none"/>
          <w:lang w:eastAsia="zh-CN"/>
        </w:rPr>
        <w:t xml:space="preserve">固定单价</w:t>
      </w:r>
      <w:r>
        <w:rPr>
          <w:rFonts w:hint="eastAsia" w:ascii="宋体" w:hAnsi="宋体" w:eastAsia="宋体" w:cs="宋体"/>
          <w:bCs/>
          <w:color w:val="auto"/>
          <w:sz w:val="24"/>
          <w:szCs w:val="24"/>
          <w:highlight w:val="none"/>
        </w:rPr>
        <w:t xml:space="preserve">，投标单价应包括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2"/>
          <w:highlight w:val="none"/>
        </w:rPr>
        <w:t xml:space="preserve">★</w:t>
      </w:r>
      <w:r>
        <w:rPr>
          <w:rFonts w:hint="eastAsia" w:ascii="宋体" w:hAnsi="宋体" w:eastAsia="宋体" w:cs="Times New Roman"/>
          <w:b/>
          <w:bCs/>
          <w:color w:val="auto"/>
          <w:sz w:val="24"/>
          <w:szCs w:val="22"/>
          <w:highlight w:val="none"/>
        </w:rPr>
        <w:t xml:space="preserve">注：固定单价，按实结算，且合同结算金额不超过中标金额，提供承诺函（格式自拟）并加盖投标人公章，否则视为无效响应。</w:t>
      </w:r>
      <w:r/>
    </w:p>
    <w:p>
      <w:pPr>
        <w:ind w:firstLine="482"/>
        <w:spacing w:line="360" w:lineRule="auto"/>
        <w:rPr>
          <w:rFonts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八</w:t>
      </w:r>
      <w:r>
        <w:rPr>
          <w:rFonts w:hint="eastAsia" w:ascii="宋体" w:hAnsi="宋体" w:eastAsia="宋体" w:cs="宋体"/>
          <w:b/>
          <w:bCs/>
          <w:color w:val="auto"/>
          <w:sz w:val="24"/>
          <w:szCs w:val="24"/>
          <w:highlight w:val="white"/>
        </w:rPr>
        <w:t xml:space="preserve">、付款方式</w:t>
      </w:r>
      <w:r>
        <w:rPr>
          <w:highlight w:val="white"/>
        </w:rPr>
      </w:r>
      <w:r/>
    </w:p>
    <w:p>
      <w:pPr>
        <w:ind w:firstLine="480"/>
        <w:jc w:val="left"/>
        <w:spacing w:line="360" w:lineRule="auto"/>
        <w:rPr>
          <w:rFonts w:hint="default" w:ascii="Times New Roman" w:hAnsi="Times New Roman" w:eastAsia="宋体" w:cs="Times New Roman"/>
          <w:b/>
          <w:color w:val="auto"/>
          <w:sz w:val="36"/>
          <w:szCs w:val="36"/>
          <w:highlight w:val="white"/>
        </w:rPr>
      </w:pPr>
      <w:r>
        <w:rPr>
          <w:rFonts w:hint="eastAsia" w:ascii="宋体" w:hAnsi="宋体" w:cs="宋体"/>
          <w:color w:val="auto"/>
          <w:sz w:val="24"/>
          <w:szCs w:val="24"/>
          <w:highlight w:val="white"/>
          <w:lang w:eastAsia="zh-CN"/>
        </w:rPr>
        <w:t xml:space="preserve">合同签订后支付合同价的30%；项目筛分量达到1.3万吨（如需审计的需经审计后），支付至合同价的50%；项目验收完成并（如需审计后）付至合同价(审定价)的100%。</w:t>
      </w:r>
      <w:r>
        <w:rPr>
          <w:highlight w:val="white"/>
        </w:rPr>
      </w:r>
      <w:r/>
    </w:p>
    <w:p>
      <w:pPr>
        <w:ind w:left="0" w:firstLine="0"/>
        <w:jc w:val="both"/>
        <w:spacing w:after="120" w:line="480" w:lineRule="exact"/>
        <w:widowControl w:val="off"/>
        <w:rPr>
          <w:rFonts w:hint="default" w:ascii="Times New Roman" w:hAnsi="Times New Roman" w:eastAsia="宋体" w:cs="Times New Roman"/>
          <w:color w:val="auto"/>
          <w:sz w:val="24"/>
          <w:szCs w:val="20"/>
          <w:highlight w:val="none"/>
          <w:lang w:val="en-US" w:eastAsia="zh-CN" w:bidi="ar-SA"/>
        </w:rPr>
      </w:pPr>
      <w:r>
        <w:rPr>
          <w:rFonts w:ascii="Times New Roman" w:hAnsi="Times New Roman" w:eastAsia="宋体" w:cs="Times New Roman"/>
          <w:b/>
          <w:color w:val="auto"/>
          <w:sz w:val="36"/>
          <w:szCs w:val="36"/>
          <w:highlight w:val="none"/>
        </w:rPr>
        <w:br w:type="page" w:clear="all"/>
      </w:r>
      <w:r/>
    </w:p>
    <w:p>
      <w:pPr>
        <w:jc w:val="center"/>
        <w:spacing w:line="360" w:lineRule="auto"/>
        <w:rPr>
          <w:rFonts w:ascii="Times New Roman" w:hAnsi="Times New Roman" w:eastAsia="宋体" w:cs="Times New Roman"/>
          <w:b/>
          <w:color w:val="auto"/>
          <w:sz w:val="36"/>
          <w:szCs w:val="36"/>
          <w:highlight w:val="none"/>
        </w:rPr>
        <w:outlineLvl w:val="9"/>
      </w:pPr>
      <w:r>
        <w:rPr>
          <w:rFonts w:ascii="Times New Roman" w:hAnsi="Times New Roman" w:eastAsia="宋体" w:cs="Times New Roman"/>
          <w:b/>
          <w:color w:val="auto"/>
          <w:sz w:val="36"/>
          <w:szCs w:val="36"/>
          <w:highlight w:val="none"/>
        </w:rPr>
        <w:t xml:space="preserve">第</w:t>
      </w:r>
      <w:r>
        <w:rPr>
          <w:rFonts w:hint="eastAsia" w:ascii="Times New Roman" w:hAnsi="Times New Roman" w:eastAsia="宋体" w:cs="Times New Roman"/>
          <w:b/>
          <w:color w:val="auto"/>
          <w:sz w:val="36"/>
          <w:szCs w:val="36"/>
          <w:highlight w:val="none"/>
          <w:lang w:val="en-US" w:eastAsia="zh-CN"/>
        </w:rPr>
        <w:t xml:space="preserve">五</w:t>
      </w:r>
      <w:r>
        <w:rPr>
          <w:rFonts w:ascii="Times New Roman" w:hAnsi="Times New Roman" w:eastAsia="宋体" w:cs="Times New Roman"/>
          <w:b/>
          <w:color w:val="auto"/>
          <w:sz w:val="36"/>
          <w:szCs w:val="36"/>
          <w:highlight w:val="none"/>
        </w:rPr>
        <w:t xml:space="preserve">章   拟签订的合同文本</w:t>
      </w:r>
      <w:r/>
    </w:p>
    <w:p>
      <w:pPr>
        <w:ind w:firstLine="480"/>
        <w:spacing w:line="360" w:lineRule="auto"/>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t xml:space="preserve">甲方：</w:t>
      </w:r>
      <w:r>
        <w:rPr>
          <w:rFonts w:hint="eastAsia" w:ascii="宋体" w:hAnsi="宋体" w:eastAsia="宋体" w:cs="宋体"/>
          <w:color w:val="auto"/>
          <w:sz w:val="24"/>
          <w:szCs w:val="24"/>
          <w:highlight w:val="none"/>
          <w:u w:val="single"/>
          <w:lang w:val="zh-CN"/>
        </w:rPr>
        <w:t xml:space="preserve">               </w:t>
      </w:r>
      <w:r>
        <w:rPr>
          <w:rFonts w:ascii="宋体" w:hAnsi="宋体" w:eastAsia="宋体" w:cs="宋体"/>
          <w:color w:val="auto"/>
          <w:sz w:val="24"/>
          <w:szCs w:val="24"/>
          <w:highlight w:val="none"/>
          <w:u w:val="single"/>
          <w:lang w:val="zh-CN"/>
        </w:rPr>
        <w:t xml:space="preserve">                  </w:t>
      </w:r>
      <w:r>
        <w:rPr>
          <w:rFonts w:ascii="宋体" w:hAnsi="宋体" w:eastAsia="宋体" w:cs="宋体"/>
          <w:color w:val="auto"/>
          <w:sz w:val="24"/>
          <w:szCs w:val="24"/>
          <w:highlight w:val="none"/>
          <w:lang w:val="zh-CN"/>
        </w:rPr>
        <w:t xml:space="preserve">（以下简称甲方）</w:t>
      </w:r>
      <w:r/>
    </w:p>
    <w:p>
      <w:pPr>
        <w:ind w:firstLine="480"/>
        <w:spacing w:line="360" w:lineRule="auto"/>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t xml:space="preserve">乙方：（中标单位全称）</w:t>
      </w:r>
      <w:r>
        <w:rPr>
          <w:rFonts w:ascii="宋体" w:hAnsi="宋体" w:eastAsia="宋体" w:cs="宋体"/>
          <w:color w:val="auto"/>
          <w:sz w:val="24"/>
          <w:szCs w:val="24"/>
          <w:highlight w:val="none"/>
          <w:u w:val="single"/>
          <w:lang w:val="zh-CN"/>
        </w:rPr>
        <w:t xml:space="preserve">                    </w:t>
      </w:r>
      <w:r>
        <w:rPr>
          <w:rFonts w:ascii="宋体" w:hAnsi="宋体" w:eastAsia="宋体" w:cs="宋体"/>
          <w:color w:val="auto"/>
          <w:sz w:val="24"/>
          <w:szCs w:val="24"/>
          <w:highlight w:val="none"/>
          <w:lang w:val="zh-CN"/>
        </w:rPr>
        <w:t xml:space="preserve">（以下简称乙方）</w:t>
      </w:r>
      <w:r/>
    </w:p>
    <w:p>
      <w:pPr>
        <w:ind w:firstLine="5520"/>
        <w:jc w:val="left"/>
        <w:spacing w:line="40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合同时间: </w:t>
      </w:r>
      <w:r>
        <w:rPr>
          <w:rFonts w:hint="eastAsia" w:ascii="宋体" w:hAnsi="宋体" w:eastAsia="宋体" w:cs="宋体"/>
          <w:color w:val="auto"/>
          <w:sz w:val="24"/>
          <w:szCs w:val="24"/>
          <w:highlight w:val="none"/>
          <w:u w:val="single"/>
          <w:lang w:val="en-US" w:eastAsia="zh-CN" w:bidi="ar-SA"/>
        </w:rPr>
        <w:t xml:space="preserve">    年   月   日</w:t>
      </w:r>
      <w:r/>
    </w:p>
    <w:p>
      <w:pPr>
        <w:ind w:firstLine="480"/>
        <w:jc w:val="left"/>
        <w:spacing w:line="3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甲乙双方依据《中华人民共和国民法典》以及有关法律、法规的规定，经协商一致，订立本合同，以便共同遵守。</w:t>
      </w:r>
      <w:r/>
    </w:p>
    <w:p>
      <w:pPr>
        <w:ind w:firstLine="482"/>
        <w:jc w:val="both"/>
        <w:spacing w:line="36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第一条 合同标的</w:t>
      </w:r>
      <w:r/>
    </w:p>
    <w:p>
      <w:pPr>
        <w:ind w:firstLine="480"/>
        <w:jc w:val="left"/>
        <w:spacing w:line="3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乙方根据甲方需求提供下列服务：</w:t>
      </w:r>
      <w:r>
        <w:rPr>
          <w:rFonts w:hint="eastAsia" w:ascii="宋体" w:hAnsi="宋体" w:eastAsia="宋体" w:cs="宋体"/>
          <w:color w:val="auto"/>
          <w:sz w:val="24"/>
          <w:szCs w:val="24"/>
          <w:highlight w:val="none"/>
          <w:u w:val="single"/>
          <w:lang w:val="zh-CN"/>
        </w:rPr>
        <w:t xml:space="preserve">                    </w:t>
      </w:r>
      <w:r>
        <w:rPr>
          <w:rFonts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系指根据合同规定乙方须承担与服务有关的所有辅助服务</w:t>
      </w:r>
      <w:r>
        <w:rPr>
          <w:rFonts w:hint="eastAsia" w:ascii="宋体" w:hAnsi="宋体" w:eastAsia="宋体" w:cs="宋体"/>
          <w:color w:val="auto"/>
          <w:sz w:val="24"/>
          <w:szCs w:val="24"/>
          <w:highlight w:val="none"/>
          <w:lang w:val="zh-CN"/>
        </w:rPr>
        <w:t xml:space="preserve">。</w:t>
      </w:r>
      <w:r/>
    </w:p>
    <w:p>
      <w:pPr>
        <w:ind w:firstLine="480"/>
        <w:jc w:val="left"/>
        <w:spacing w:line="3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合同履行期：</w:t>
      </w:r>
      <w:r/>
    </w:p>
    <w:p>
      <w:pPr>
        <w:ind w:firstLine="482"/>
        <w:jc w:val="both"/>
        <w:spacing w:line="36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第二条 合同价格</w:t>
      </w:r>
      <w:r/>
    </w:p>
    <w:p>
      <w:pPr>
        <w:ind w:firstLine="482"/>
        <w:jc w:val="left"/>
        <w:spacing w:line="36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签约合同总价（人民币，下同）：</w:t>
      </w:r>
      <w:r>
        <w:rPr>
          <w:rFonts w:hint="eastAsia" w:ascii="宋体" w:hAnsi="宋体" w:eastAsia="宋体" w:cs="宋体"/>
          <w:b/>
          <w:color w:val="auto"/>
          <w:sz w:val="24"/>
          <w:szCs w:val="24"/>
          <w:highlight w:val="none"/>
          <w:u w:val="single"/>
          <w:lang w:val="en-US" w:eastAsia="zh-CN" w:bidi="ar-SA"/>
        </w:rPr>
        <w:t xml:space="preserve">                 </w:t>
      </w:r>
      <w:r>
        <w:rPr>
          <w:rFonts w:hint="eastAsia" w:ascii="宋体" w:hAnsi="宋体" w:eastAsia="宋体" w:cs="宋体"/>
          <w:b/>
          <w:color w:val="auto"/>
          <w:sz w:val="24"/>
          <w:szCs w:val="24"/>
          <w:highlight w:val="none"/>
          <w:lang w:val="en-US" w:eastAsia="zh-CN" w:bidi="ar-SA"/>
        </w:rPr>
        <w:t xml:space="preserve">元（小写：</w:t>
      </w:r>
      <w:r>
        <w:rPr>
          <w:rFonts w:hint="eastAsia" w:ascii="宋体" w:hAnsi="宋体" w:eastAsia="宋体" w:cs="宋体"/>
          <w:b/>
          <w:color w:val="auto"/>
          <w:sz w:val="24"/>
          <w:szCs w:val="24"/>
          <w:highlight w:val="none"/>
          <w:u w:val="single"/>
          <w:lang w:val="en-US" w:eastAsia="zh-CN" w:bidi="ar-SA"/>
        </w:rPr>
        <w:t xml:space="preserve">            </w:t>
      </w:r>
      <w:r>
        <w:rPr>
          <w:rFonts w:hint="eastAsia" w:ascii="宋体" w:hAnsi="宋体" w:eastAsia="宋体" w:cs="宋体"/>
          <w:b/>
          <w:color w:val="auto"/>
          <w:sz w:val="24"/>
          <w:szCs w:val="24"/>
          <w:highlight w:val="none"/>
          <w:lang w:val="en-US" w:eastAsia="zh-CN" w:bidi="ar-SA"/>
        </w:rPr>
        <w:t xml:space="preserve">）。 </w:t>
      </w:r>
      <w:r/>
    </w:p>
    <w:p>
      <w:pPr>
        <w:ind w:firstLine="480"/>
        <w:jc w:val="both"/>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总价包括但不限于招标文件所确定的招标范围内相应服务的提供、人员（包括工资和补贴等）、专家评审费、办公场所及设施、保险、劳保、管理、各种税费、利润、税金、政策性文件规定及合同包含的所有风险、责任等各项应有费用，以及乙方为完成该项服务项目所涉及到的一切相关费用和应当提供的伴随服务/售后服务费用；除本合同总价款外，甲方无需再支付其他任何费用。</w:t>
      </w:r>
      <w:r/>
    </w:p>
    <w:p>
      <w:pPr>
        <w:ind w:firstLine="482"/>
        <w:jc w:val="both"/>
        <w:spacing w:line="360" w:lineRule="exact"/>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第三条 合同履行期限</w:t>
      </w:r>
      <w:r/>
    </w:p>
    <w:p>
      <w:pPr>
        <w:ind w:firstLine="482"/>
        <w:jc w:val="both"/>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1.本项目合同履行期限</w:t>
      </w:r>
      <w:r>
        <w:rPr>
          <w:rFonts w:hint="eastAsia" w:ascii="宋体" w:hAnsi="宋体" w:cs="宋体"/>
          <w:b w:val="0"/>
          <w:bCs/>
          <w:color w:val="auto"/>
          <w:sz w:val="24"/>
          <w:szCs w:val="24"/>
          <w:highlight w:val="none"/>
          <w:lang w:val="en-US" w:eastAsia="zh-CN" w:bidi="ar-SA"/>
        </w:rPr>
        <w:t xml:space="preserve">15日历天</w:t>
      </w:r>
      <w:r>
        <w:rPr>
          <w:rFonts w:hint="eastAsia" w:ascii="宋体" w:hAnsi="宋体" w:eastAsia="宋体" w:cs="宋体"/>
          <w:b w:val="0"/>
          <w:bCs/>
          <w:color w:val="auto"/>
          <w:sz w:val="24"/>
          <w:szCs w:val="24"/>
          <w:highlight w:val="none"/>
          <w:lang w:val="en-US" w:eastAsia="zh-CN" w:bidi="ar-SA"/>
        </w:rPr>
        <w:t xml:space="preserve">，起算时间以甲方通知时间为准。</w:t>
      </w:r>
      <w:r/>
    </w:p>
    <w:p>
      <w:pPr>
        <w:ind w:firstLine="482"/>
        <w:jc w:val="both"/>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2.乙方需严格按照甲方确定的工期计划完成全部固废处置工作，包括但不限于现场清理、处置施工、资料报备、验收移交等全部合同内容，非因甲方原因及不可抗力因素，工期不予顺延。</w:t>
      </w:r>
      <w:r/>
    </w:p>
    <w:p>
      <w:pPr>
        <w:ind w:firstLine="482"/>
        <w:jc w:val="both"/>
        <w:spacing w:line="36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第三条 组成本合同的有关文件</w:t>
      </w:r>
      <w:r/>
    </w:p>
    <w:p>
      <w:pPr>
        <w:ind w:firstLine="480"/>
        <w:jc w:val="both"/>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下列与本次采购活动有关的文件及有关附件是本合同不可分割的组成部分，与本合同具有同等法律效力，这些文件包括但不限于：</w:t>
      </w:r>
      <w:r/>
    </w:p>
    <w:p>
      <w:pPr>
        <w:ind w:firstLine="480"/>
        <w:jc w:val="both"/>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（1）采购文件（编号：   ）               （2）乙方提供的响应文件； </w:t>
      </w:r>
      <w:r/>
    </w:p>
    <w:p>
      <w:pPr>
        <w:ind w:firstLine="480"/>
        <w:jc w:val="both"/>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（3）中标（成交）通知书；                （4）甲乙双方商定的其他文件等。</w:t>
      </w:r>
      <w:r/>
    </w:p>
    <w:p>
      <w:pPr>
        <w:ind w:firstLine="48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第四条 合同款结算及支付</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1.本合同项下所有款项均以人民币支付。</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2.本合同项下的采购资金由甲方自行支付，乙方向甲方开具发票。</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3.结算方式：</w:t>
      </w:r>
      <w:r>
        <w:rPr>
          <w:rFonts w:hint="eastAsia" w:ascii="宋体" w:hAnsi="宋体" w:eastAsia="宋体" w:cs="宋体"/>
          <w:color w:val="auto"/>
          <w:sz w:val="24"/>
          <w:szCs w:val="24"/>
          <w:highlight w:val="none"/>
          <w:lang w:eastAsia="zh-CN"/>
        </w:rPr>
        <w:t xml:space="preserve">固定单价</w:t>
      </w:r>
      <w:r>
        <w:rPr>
          <w:rFonts w:hint="eastAsia" w:ascii="宋体" w:hAnsi="宋体" w:eastAsia="宋体" w:cs="宋体"/>
          <w:color w:val="auto"/>
          <w:sz w:val="24"/>
          <w:szCs w:val="24"/>
          <w:highlight w:val="none"/>
        </w:rPr>
        <w:t xml:space="preserve">，按实结算。</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4.付款方式：</w:t>
      </w:r>
      <w:r/>
    </w:p>
    <w:p>
      <w:pPr>
        <w:ind w:firstLine="480"/>
        <w:spacing w:line="360" w:lineRule="exact"/>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合同签订后支付合同价的30%；项目筛分量达到1.3万吨（如需审计的需经审计后），支付至合同价的50%；项目验收完成并（如需审计后）付至合同价(审定价)的100%。</w:t>
      </w:r>
      <w:r/>
    </w:p>
    <w:p>
      <w:pPr>
        <w:ind w:firstLine="48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第五条 违约责任</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1.如乙方不能按约定进行服务的，甲方有权提前解除合同，同时有权要求乙方按照合同总价5%的标准向甲方支付违约金，解除合同的通知自发出之日生效。</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2.因财政拨付周期或支付进度等问题导致逾期付款，甲方不承担任何违约责任。</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3.乙方未按本合同的规定和“服务承诺”提供伴随服务的，甲方有权提前解除本合同，同时乙方应按合同总价款的5%向甲方支付违约金并承担相应的违约责任。</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4.乙方在承担上述一项或多项违约责任后，仍应继续履行合同规定的义务（甲方选择提前解除合同的除外）。甲方未能及时追究乙方的任何一项违约责任并不表明甲方放弃追究乙方该项或其他违约责任。</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5.乙方投标属虚假承诺，或是由于乙方的过错造成合同无法继续履行的，应按合同总价的30%向甲方支付违约金，若该违约金不足以弥补甲方损失的，则乙方应当赔偿甲方所有损失。</w:t>
      </w:r>
      <w:r/>
    </w:p>
    <w:p>
      <w:pPr>
        <w:ind w:firstLine="480"/>
        <w:spacing w:line="36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6.</w:t>
      </w:r>
      <w:r>
        <w:rPr>
          <w:rFonts w:hint="eastAsia" w:ascii="宋体" w:hAnsi="宋体" w:eastAsia="宋体" w:cs="宋体"/>
          <w:color w:val="000000" w:themeColor="text1"/>
          <w:sz w:val="24"/>
          <w:szCs w:val="24"/>
          <w:highlight w:val="white"/>
        </w:rPr>
        <w:t xml:space="preserve">如因乙方自身原因造成</w:t>
      </w:r>
      <w:r>
        <w:rPr>
          <w:rFonts w:hint="eastAsia" w:ascii="宋体" w:hAnsi="宋体" w:cs="宋体"/>
          <w:color w:val="000000" w:themeColor="text1"/>
          <w:sz w:val="24"/>
          <w:szCs w:val="24"/>
          <w:highlight w:val="white"/>
          <w:lang w:val="en-US" w:eastAsia="zh-CN"/>
        </w:rPr>
        <w:t xml:space="preserve">项目延误的</w:t>
      </w:r>
      <w:r>
        <w:rPr>
          <w:rFonts w:hint="eastAsia" w:ascii="宋体" w:hAnsi="宋体" w:eastAsia="宋体" w:cs="宋体"/>
          <w:color w:val="000000" w:themeColor="text1"/>
          <w:sz w:val="24"/>
          <w:szCs w:val="24"/>
          <w:highlight w:val="white"/>
        </w:rPr>
        <w:t xml:space="preserve">，每逾期一天，乙方应按合同总价的0.2‰/天向</w:t>
      </w:r>
      <w:r>
        <w:rPr>
          <w:rFonts w:hint="eastAsia" w:ascii="宋体" w:hAnsi="宋体" w:cs="宋体"/>
          <w:color w:val="000000" w:themeColor="text1"/>
          <w:sz w:val="24"/>
          <w:szCs w:val="24"/>
          <w:highlight w:val="white"/>
          <w:lang w:val="en-US" w:eastAsia="zh-CN"/>
        </w:rPr>
        <w:t xml:space="preserve">甲方</w:t>
      </w:r>
      <w:r>
        <w:rPr>
          <w:rFonts w:hint="eastAsia" w:ascii="宋体" w:hAnsi="宋体" w:eastAsia="宋体" w:cs="宋体"/>
          <w:color w:val="000000" w:themeColor="text1"/>
          <w:sz w:val="24"/>
          <w:szCs w:val="24"/>
          <w:highlight w:val="white"/>
        </w:rPr>
        <w:t xml:space="preserve">支付逾期违约金，并承担由此造成的一切损失。</w:t>
      </w:r>
      <w:r>
        <w:rPr>
          <w:color w:val="000000" w:themeColor="text1"/>
          <w:highlight w:val="white"/>
        </w:rPr>
      </w:r>
      <w:r/>
    </w:p>
    <w:p>
      <w:pPr>
        <w:ind w:firstLine="480"/>
        <w:spacing w:line="36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因乙方原因造成</w:t>
      </w:r>
      <w:r>
        <w:rPr>
          <w:rFonts w:hint="eastAsia" w:ascii="宋体" w:hAnsi="宋体" w:cs="宋体"/>
          <w:color w:val="000000" w:themeColor="text1"/>
          <w:sz w:val="24"/>
          <w:szCs w:val="24"/>
          <w:highlight w:val="white"/>
          <w:lang w:val="en-US" w:eastAsia="zh-CN"/>
        </w:rPr>
        <w:t xml:space="preserve">项目延误</w:t>
      </w:r>
      <w:r>
        <w:rPr>
          <w:rFonts w:hint="eastAsia" w:ascii="宋体" w:hAnsi="宋体" w:eastAsia="宋体" w:cs="宋体"/>
          <w:color w:val="000000" w:themeColor="text1"/>
          <w:sz w:val="24"/>
          <w:szCs w:val="24"/>
          <w:highlight w:val="white"/>
        </w:rPr>
        <w:t xml:space="preserve">，</w:t>
      </w:r>
      <w:r>
        <w:rPr>
          <w:rFonts w:hint="eastAsia" w:ascii="宋体" w:hAnsi="宋体" w:cs="宋体"/>
          <w:color w:val="000000" w:themeColor="text1"/>
          <w:sz w:val="24"/>
          <w:szCs w:val="24"/>
          <w:highlight w:val="white"/>
          <w:lang w:val="en-US" w:eastAsia="zh-CN"/>
        </w:rPr>
        <w:t xml:space="preserve">项目</w:t>
      </w:r>
      <w:r>
        <w:rPr>
          <w:rFonts w:hint="eastAsia" w:ascii="宋体" w:hAnsi="宋体" w:eastAsia="宋体" w:cs="宋体"/>
          <w:color w:val="000000" w:themeColor="text1"/>
          <w:sz w:val="24"/>
          <w:szCs w:val="24"/>
          <w:highlight w:val="white"/>
        </w:rPr>
        <w:t xml:space="preserve">逾期违约金的上限：签约合同价的5% 。</w:t>
      </w:r>
      <w:r>
        <w:rPr>
          <w:color w:val="000000" w:themeColor="text1"/>
          <w:highlight w:val="white"/>
        </w:rPr>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上述违约金甲方有权直接从合同款、履约保证金中直接扣除，若违约金不足以弥补甲方损失的，乙方仍需另行赔偿。</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乙方逾期完工超过20天的，甲方有权单方面解除本合同，乙方除支付上述违约金外，还需退还甲方已支付的全部款项，并赔偿甲方全部经济损失。</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其他未尽事宜，以《中华人民共和国民法典》等有关法律法规规定为准，无相关规定的，双方协商解决。</w:t>
      </w:r>
      <w:r/>
    </w:p>
    <w:p>
      <w:pPr>
        <w:ind w:firstLine="48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第六条 合同的变更和终止</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1.本合同一经签订，甲乙双方不得擅自变更、中止或终止合同。</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2.除发生法律规定的不能预见、不能避免并不能克服的客观情况外，甲乙双方不得放弃或拒绝履行合同。</w:t>
      </w:r>
      <w:r/>
    </w:p>
    <w:p>
      <w:pPr>
        <w:ind w:firstLine="48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第七条 合同的转让</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乙方不得擅自部分或全部转让其应履行的合同义务。</w:t>
      </w:r>
      <w:r/>
    </w:p>
    <w:p>
      <w:pPr>
        <w:ind w:firstLine="48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第八条 不可抗力</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甲、乙方中任何一方，因不可抗力不能按时或完全履行合同的，应及时通知对方，并在</w:t>
      </w:r>
      <w:r>
        <w:rPr>
          <w:rFonts w:hint="eastAsia" w:ascii="宋体" w:hAnsi="宋体" w:eastAsia="宋体" w:cs="宋体"/>
          <w:color w:val="auto"/>
          <w:sz w:val="24"/>
          <w:szCs w:val="24"/>
          <w:highlight w:val="none"/>
          <w:u w:val="single"/>
        </w:rPr>
        <w:t xml:space="preserve">   个</w:t>
      </w:r>
      <w:r>
        <w:rPr>
          <w:rFonts w:hint="eastAsia" w:ascii="宋体" w:hAnsi="宋体" w:eastAsia="宋体" w:cs="宋体"/>
          <w:color w:val="auto"/>
          <w:sz w:val="24"/>
          <w:szCs w:val="24"/>
          <w:highlight w:val="none"/>
        </w:rPr>
        <w:t xml:space="preserve">工作日内提供相应证明。未履行完合同部分是否继续履行、如何履行等问题，可由双方初步协商，并向主管部门报告。确定为不可抗力原因造成的损失，免予承担责任。</w:t>
      </w:r>
      <w:r/>
    </w:p>
    <w:p>
      <w:pPr>
        <w:ind w:firstLine="48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第九条 争议的解决</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1.因履行本合同引起的或与本合同有关的争议，甲、乙双方应首先通过友好协商解决，如果协商不能解决争议，则采取以下第（</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）种方式解决争议：</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（1）向甲方所在地人民法院提起诉讼；</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（2）向甲方所在地仲裁委员会按其仲裁规则申请仲裁。</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如没有约定，默认采取第1种方式解决争议。</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2.在法院审理和仲裁期间，除有争议部分外，本合同其他部分应继续履行。</w:t>
      </w:r>
      <w:r/>
    </w:p>
    <w:p>
      <w:pPr>
        <w:ind w:firstLine="48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第十条 诚实信用 </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乙方应诚实信用，严格按照招标文件要求和投标承诺履行合同，不向甲方进行商业贿赂或者提供不正当利益。</w:t>
      </w:r>
      <w:r/>
    </w:p>
    <w:p>
      <w:pPr>
        <w:ind w:firstLine="48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第十一条 合同生效及其他</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1.本合同自经甲乙双方授权代表签订并加盖公章之日起生效。见证方仅对甲乙双方签订采购合同的事实进行见证，不代表任何承诺或保证，该合同的履行等相关情况均与见证方无任何关系。</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2.本合同一式伍份，甲乙双方各执贰份，见证方执壹份存档，每份均具有同等法律效力。</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3.本合同应按照中华人民共和国的现行法律进行解释。</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[以下无正文]</w:t>
      </w:r>
      <w:r/>
    </w:p>
    <w:p>
      <w:pPr>
        <w:jc w:val="both"/>
        <w:spacing w:before="120" w:line="22" w:lineRule="atLeast"/>
        <w:widowControl w:val="off"/>
        <w:rPr>
          <w:rFonts w:hint="default" w:ascii="宋体" w:hAnsi="宋体" w:eastAsia="宋体" w:cs="Times New Roman"/>
          <w:color w:val="auto"/>
          <w:sz w:val="24"/>
          <w:szCs w:val="24"/>
          <w:highlight w:val="none"/>
          <w:lang w:val="zh-CN" w:eastAsia="zh-CN" w:bidi="ar-SA"/>
        </w:rPr>
      </w:pPr>
      <w:r>
        <w:rPr>
          <w:rFonts w:hint="default" w:ascii="宋体" w:hAnsi="宋体" w:eastAsia="宋体" w:cs="Times New Roman"/>
          <w:color w:val="auto"/>
          <w:sz w:val="24"/>
          <w:szCs w:val="24"/>
          <w:highlight w:val="none"/>
          <w:lang w:val="zh-CN" w:eastAsia="zh-CN" w:bidi="ar-SA"/>
        </w:rPr>
      </w:r>
      <w:r/>
    </w:p>
    <w:tbl>
      <w:tblPr>
        <w:tblStyle w:val="971"/>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4631"/>
        <w:gridCol w:w="424"/>
        <w:gridCol w:w="4631"/>
      </w:tblGrid>
      <w:tr>
        <w:trPr>
          <w:jc w:val="center"/>
        </w:trPr>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bCs/>
                <w:color w:val="auto"/>
                <w:sz w:val="24"/>
                <w:szCs w:val="24"/>
                <w:highlight w:val="none"/>
                <w:u w:val="single"/>
              </w:rPr>
            </w:pPr>
            <w:r>
              <w:rPr>
                <w:rFonts w:hint="eastAsia" w:ascii="宋体" w:hAnsi="宋体" w:eastAsia="宋体" w:cs="Times New Roman"/>
                <w:bCs/>
                <w:color w:val="auto"/>
                <w:sz w:val="24"/>
                <w:szCs w:val="24"/>
                <w:highlight w:val="none"/>
              </w:rPr>
              <w:t xml:space="preserve">甲方（采购人）：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（盖章）</w:t>
            </w:r>
            <w:r/>
          </w:p>
        </w:tc>
        <w:tc>
          <w:tcPr>
            <w:tcBorders>
              <w:top w:val="none" w:color="000000" w:sz="4" w:space="0"/>
              <w:left w:val="none" w:color="000000" w:sz="4" w:space="0"/>
              <w:bottom w:val="none" w:color="000000" w:sz="4" w:space="0"/>
              <w:right w:val="none" w:color="000000" w:sz="4" w:space="0"/>
            </w:tcBorders>
            <w:tcW w:w="152"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乙方（供应商）：</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（盖章）</w:t>
            </w:r>
            <w:r/>
          </w:p>
        </w:tc>
      </w:tr>
      <w:tr>
        <w:trPr>
          <w:jc w:val="center"/>
        </w:trPr>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地址：</w:t>
            </w:r>
            <w:r>
              <w:rPr>
                <w:rFonts w:hint="eastAsia" w:ascii="宋体" w:hAnsi="宋体" w:eastAsia="宋体" w:cs="Times New Roman"/>
                <w:bCs/>
                <w:color w:val="auto"/>
                <w:sz w:val="24"/>
                <w:szCs w:val="24"/>
                <w:highlight w:val="none"/>
                <w:u w:val="single"/>
              </w:rPr>
              <w:t xml:space="preserve">                              </w:t>
            </w:r>
            <w:r/>
          </w:p>
        </w:tc>
        <w:tc>
          <w:tcPr>
            <w:tcBorders>
              <w:top w:val="none" w:color="000000" w:sz="4" w:space="0"/>
              <w:left w:val="none" w:color="000000" w:sz="4" w:space="0"/>
              <w:bottom w:val="none" w:color="000000" w:sz="4" w:space="0"/>
              <w:right w:val="none" w:color="000000" w:sz="4" w:space="0"/>
            </w:tcBorders>
            <w:tcW w:w="152"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地址：</w:t>
            </w:r>
            <w:r>
              <w:rPr>
                <w:rFonts w:hint="eastAsia" w:ascii="宋体" w:hAnsi="宋体" w:eastAsia="宋体" w:cs="Times New Roman"/>
                <w:bCs/>
                <w:color w:val="auto"/>
                <w:sz w:val="24"/>
                <w:szCs w:val="24"/>
                <w:highlight w:val="none"/>
                <w:u w:val="single"/>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法定（授权）代表人：</w:t>
            </w:r>
            <w:r>
              <w:rPr>
                <w:rFonts w:hint="eastAsia" w:ascii="宋体" w:hAnsi="宋体" w:eastAsia="宋体" w:cs="Times New Roman"/>
                <w:bCs/>
                <w:color w:val="auto"/>
                <w:sz w:val="24"/>
                <w:szCs w:val="24"/>
                <w:highlight w:val="none"/>
                <w:u w:val="single"/>
              </w:rPr>
              <w:t xml:space="preserve">                </w:t>
            </w:r>
            <w:r/>
          </w:p>
        </w:tc>
        <w:tc>
          <w:tcPr>
            <w:tcBorders>
              <w:top w:val="none" w:color="000000" w:sz="4" w:space="0"/>
              <w:left w:val="none" w:color="000000" w:sz="4" w:space="0"/>
              <w:bottom w:val="none" w:color="000000" w:sz="4" w:space="0"/>
              <w:right w:val="none" w:color="000000" w:sz="4" w:space="0"/>
            </w:tcBorders>
            <w:tcW w:w="152"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法定（授权）代表人：</w:t>
            </w:r>
            <w:r>
              <w:rPr>
                <w:rFonts w:hint="eastAsia" w:ascii="宋体" w:hAnsi="宋体" w:eastAsia="宋体" w:cs="Times New Roman"/>
                <w:bCs/>
                <w:color w:val="auto"/>
                <w:sz w:val="24"/>
                <w:szCs w:val="24"/>
                <w:highlight w:val="none"/>
                <w:u w:val="single"/>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年</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月</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日</w:t>
            </w:r>
            <w:r/>
          </w:p>
        </w:tc>
        <w:tc>
          <w:tcPr>
            <w:tcBorders>
              <w:top w:val="none" w:color="000000" w:sz="4" w:space="0"/>
              <w:left w:val="none" w:color="000000" w:sz="4" w:space="0"/>
              <w:bottom w:val="none" w:color="000000" w:sz="4" w:space="0"/>
              <w:right w:val="none" w:color="000000" w:sz="4" w:space="0"/>
            </w:tcBorders>
            <w:tcW w:w="152"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年</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月</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日</w:t>
            </w:r>
            <w:r/>
          </w:p>
        </w:tc>
      </w:tr>
      <w:tr>
        <w:trPr>
          <w:jc w:val="center"/>
        </w:trPr>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152"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见证方： </w:t>
            </w:r>
            <w:r/>
          </w:p>
        </w:tc>
        <w:tc>
          <w:tcPr>
            <w:tcBorders>
              <w:top w:val="none" w:color="000000" w:sz="4" w:space="0"/>
              <w:left w:val="none" w:color="000000" w:sz="4" w:space="0"/>
              <w:bottom w:val="none" w:color="000000" w:sz="4" w:space="0"/>
              <w:right w:val="none" w:color="000000" w:sz="4" w:space="0"/>
            </w:tcBorders>
            <w:tcW w:w="152"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见证方代表：</w:t>
            </w:r>
            <w:r>
              <w:rPr>
                <w:rFonts w:hint="eastAsia" w:ascii="宋体" w:hAnsi="宋体" w:eastAsia="宋体" w:cs="Times New Roman"/>
                <w:bCs/>
                <w:color w:val="auto"/>
                <w:sz w:val="24"/>
                <w:szCs w:val="24"/>
                <w:highlight w:val="none"/>
                <w:u w:val="single"/>
              </w:rPr>
              <w:t xml:space="preserve">      </w:t>
            </w:r>
            <w:r/>
          </w:p>
        </w:tc>
        <w:tc>
          <w:tcPr>
            <w:tcBorders>
              <w:top w:val="none" w:color="000000" w:sz="4" w:space="0"/>
              <w:left w:val="none" w:color="000000" w:sz="4" w:space="0"/>
              <w:bottom w:val="none" w:color="000000" w:sz="4" w:space="0"/>
              <w:right w:val="none" w:color="000000" w:sz="4" w:space="0"/>
            </w:tcBorders>
            <w:tcW w:w="152"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年</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月</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日</w:t>
            </w:r>
            <w:r/>
          </w:p>
        </w:tc>
        <w:tc>
          <w:tcPr>
            <w:tcBorders>
              <w:top w:val="none" w:color="000000" w:sz="4" w:space="0"/>
              <w:left w:val="none" w:color="000000" w:sz="4" w:space="0"/>
              <w:bottom w:val="none" w:color="000000" w:sz="4" w:space="0"/>
              <w:right w:val="none" w:color="000000" w:sz="4" w:space="0"/>
            </w:tcBorders>
            <w:tcW w:w="152"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bl>
    <w:p>
      <w:pPr>
        <w:spacing w:line="360" w:lineRule="auto"/>
        <w:rPr>
          <w:rFonts w:ascii="宋体" w:hAnsi="宋体" w:eastAsia="宋体" w:cs="宋体"/>
          <w:color w:val="auto"/>
          <w:sz w:val="24"/>
          <w:szCs w:val="24"/>
          <w:highlight w:val="none"/>
          <w:lang w:val="zh-CN"/>
        </w:rPr>
        <w:outlineLvl w:val="2"/>
      </w:pPr>
      <w:r>
        <w:rPr>
          <w:rFonts w:ascii="宋体" w:hAnsi="宋体" w:eastAsia="宋体" w:cs="宋体"/>
          <w:color w:val="auto"/>
          <w:sz w:val="24"/>
          <w:szCs w:val="24"/>
          <w:highlight w:val="none"/>
          <w:lang w:val="zh-CN"/>
        </w:rPr>
      </w:r>
      <w:r/>
    </w:p>
    <w:p>
      <w:pPr>
        <w:spacing w:line="360" w:lineRule="auto"/>
        <w:rPr>
          <w:rFonts w:ascii="宋体" w:hAnsi="宋体" w:eastAsia="宋体" w:cs="宋体"/>
          <w:color w:val="auto"/>
          <w:sz w:val="24"/>
          <w:szCs w:val="24"/>
          <w:highlight w:val="none"/>
          <w:lang w:val="zh-CN"/>
        </w:rPr>
        <w:outlineLvl w:val="2"/>
      </w:pPr>
      <w:r>
        <w:rPr>
          <w:rFonts w:ascii="宋体" w:hAnsi="宋体" w:eastAsia="宋体" w:cs="宋体"/>
          <w:color w:val="auto"/>
          <w:sz w:val="24"/>
          <w:szCs w:val="24"/>
          <w:highlight w:val="none"/>
          <w:lang w:val="zh-CN"/>
        </w:rPr>
      </w:r>
      <w:r/>
    </w:p>
    <w:p>
      <w:pPr>
        <w:jc w:val="center"/>
        <w:spacing w:line="360" w:lineRule="auto"/>
        <w:rPr>
          <w:rFonts w:hint="eastAsia" w:ascii="宋体" w:hAnsi="宋体" w:eastAsia="宋体" w:cs="宋体"/>
          <w:b/>
          <w:color w:val="auto"/>
          <w:sz w:val="24"/>
          <w:szCs w:val="24"/>
          <w:highlight w:val="none"/>
        </w:rPr>
      </w:pPr>
      <w:r>
        <w:rPr>
          <w:rFonts w:ascii="宋体" w:hAnsi="宋体" w:eastAsia="宋体" w:cs="宋体"/>
          <w:b/>
          <w:color w:val="auto"/>
          <w:sz w:val="24"/>
          <w:szCs w:val="24"/>
          <w:highlight w:val="none"/>
        </w:rPr>
        <w:t xml:space="preserve">以上格式仅供参考</w:t>
      </w:r>
      <w:r>
        <w:rPr>
          <w:rFonts w:hint="eastAsia" w:ascii="宋体" w:hAnsi="宋体" w:eastAsia="宋体" w:cs="宋体"/>
          <w:b/>
          <w:color w:val="auto"/>
          <w:sz w:val="24"/>
          <w:szCs w:val="24"/>
          <w:highlight w:val="none"/>
        </w:rPr>
        <w:t xml:space="preserve">，合同条款最终以双方签定为准。</w:t>
      </w:r>
      <w:r/>
    </w:p>
    <w:p>
      <w:pPr>
        <w:jc w:val="center"/>
        <w:spacing w:line="360" w:lineRule="auto"/>
        <w:rPr>
          <w:rFonts w:hint="default" w:ascii="Times New Roman" w:hAnsi="Times New Roman" w:cs="Times New Roman"/>
          <w:b/>
          <w:color w:val="auto"/>
          <w:sz w:val="36"/>
          <w:szCs w:val="36"/>
          <w:highlight w:val="none"/>
        </w:rPr>
        <w:outlineLvl w:val="9"/>
      </w:pPr>
      <w:r>
        <w:rPr>
          <w:rFonts w:hint="default" w:ascii="Times New Roman" w:hAnsi="Times New Roman" w:cs="Times New Roman"/>
          <w:b/>
          <w:color w:val="auto"/>
          <w:sz w:val="36"/>
          <w:szCs w:val="36"/>
          <w:highlight w:val="none"/>
        </w:rPr>
      </w:r>
      <w:r/>
    </w:p>
    <w:p>
      <w:pPr>
        <w:jc w:val="center"/>
        <w:spacing w:line="360" w:lineRule="auto"/>
        <w:rPr>
          <w:rFonts w:hint="default" w:ascii="Times New Roman" w:hAnsi="Times New Roman" w:cs="Times New Roman"/>
          <w:b/>
          <w:color w:val="auto"/>
          <w:sz w:val="36"/>
          <w:szCs w:val="36"/>
          <w:highlight w:val="none"/>
        </w:rPr>
        <w:outlineLvl w:val="9"/>
      </w:pPr>
      <w:r>
        <w:rPr>
          <w:rFonts w:hint="default" w:ascii="Times New Roman" w:hAnsi="Times New Roman" w:cs="Times New Roman"/>
          <w:b/>
          <w:color w:val="auto"/>
          <w:sz w:val="36"/>
          <w:szCs w:val="36"/>
          <w:highlight w:val="none"/>
        </w:rPr>
      </w:r>
      <w:r/>
    </w:p>
    <w:p>
      <w:pPr>
        <w:jc w:val="center"/>
        <w:spacing w:line="360" w:lineRule="auto"/>
        <w:rPr>
          <w:rFonts w:hint="default" w:ascii="Times New Roman" w:hAnsi="Times New Roman" w:cs="Times New Roman"/>
          <w:b/>
          <w:color w:val="auto"/>
          <w:sz w:val="36"/>
          <w:szCs w:val="36"/>
          <w:highlight w:val="none"/>
        </w:rPr>
        <w:outlineLvl w:val="9"/>
      </w:pPr>
      <w:r>
        <w:rPr>
          <w:rFonts w:hint="default" w:ascii="Times New Roman" w:hAnsi="Times New Roman" w:cs="Times New Roman"/>
          <w:b/>
          <w:color w:val="auto"/>
          <w:sz w:val="36"/>
          <w:szCs w:val="36"/>
          <w:highlight w:val="none"/>
        </w:rPr>
      </w:r>
      <w:r/>
    </w:p>
    <w:p>
      <w:pPr>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keepLines w:val="0"/>
        <w:keepNext w:val="0"/>
        <w:pageBreakBefore w:val="0"/>
        <w:spacing w:line="360" w:lineRule="auto"/>
        <w:widowControl w:val="off"/>
        <w:rPr>
          <w:rFonts w:hint="eastAsia" w:ascii="宋体" w:hAnsi="宋体" w:eastAsia="宋体" w:cs="宋体"/>
          <w:color w:val="auto"/>
          <w:szCs w:val="21"/>
          <w:highlight w:val="none"/>
          <w:lang w:val="en-US" w:eastAsia="zh-CN"/>
        </w:rPr>
        <w:outlineLvl w:val="0"/>
      </w:pPr>
      <w:r>
        <w:rPr>
          <w:rFonts w:hint="eastAsia" w:ascii="宋体" w:hAnsi="宋体" w:eastAsia="宋体" w:cs="宋体"/>
          <w:color w:val="auto"/>
          <w:szCs w:val="21"/>
          <w:highlight w:val="none"/>
          <w:lang w:val="en-US" w:eastAsia="zh-CN"/>
        </w:rPr>
      </w:r>
      <w:r/>
    </w:p>
    <w:p>
      <w:pPr>
        <w:keepLines w:val="0"/>
        <w:keepNext w:val="0"/>
        <w:pageBreakBefore w:val="0"/>
        <w:spacing w:line="360" w:lineRule="auto"/>
        <w:widowControl w:val="off"/>
        <w:rPr>
          <w:rFonts w:hint="eastAsia" w:ascii="宋体" w:hAnsi="宋体" w:eastAsia="宋体" w:cs="宋体"/>
          <w:color w:val="auto"/>
          <w:szCs w:val="21"/>
          <w:highlight w:val="none"/>
          <w:lang w:val="en-US" w:eastAsia="zh-CN"/>
        </w:rPr>
        <w:outlineLvl w:val="0"/>
      </w:pPr>
      <w:r>
        <w:rPr>
          <w:rFonts w:hint="eastAsia" w:ascii="宋体" w:hAnsi="宋体" w:eastAsia="宋体" w:cs="宋体"/>
          <w:color w:val="auto"/>
          <w:szCs w:val="21"/>
          <w:highlight w:val="none"/>
          <w:lang w:val="en-US" w:eastAsia="zh-CN"/>
        </w:rPr>
      </w:r>
      <w:r/>
    </w:p>
    <w:p>
      <w:pPr>
        <w:keepLines w:val="0"/>
        <w:keepNext w:val="0"/>
        <w:pageBreakBefore w:val="0"/>
        <w:spacing w:line="360" w:lineRule="auto"/>
        <w:widowControl w:val="off"/>
        <w:rPr>
          <w:rFonts w:hint="eastAsia" w:ascii="宋体" w:hAnsi="宋体" w:eastAsia="宋体" w:cs="宋体"/>
          <w:color w:val="auto"/>
          <w:szCs w:val="21"/>
          <w:highlight w:val="none"/>
          <w:lang w:val="en-US" w:eastAsia="zh-CN"/>
        </w:rPr>
        <w:outlineLvl w:val="0"/>
      </w:pPr>
      <w:r>
        <w:rPr>
          <w:rFonts w:hint="eastAsia" w:ascii="宋体" w:hAnsi="宋体" w:eastAsia="宋体" w:cs="宋体"/>
          <w:color w:val="auto"/>
          <w:szCs w:val="21"/>
          <w:highlight w:val="none"/>
          <w:lang w:val="en-US" w:eastAsia="zh-CN"/>
        </w:rPr>
      </w:r>
      <w:r/>
    </w:p>
    <w:p>
      <w:pPr>
        <w:keepLines w:val="0"/>
        <w:keepNext w:val="0"/>
        <w:pageBreakBefore w:val="0"/>
        <w:spacing w:line="360" w:lineRule="auto"/>
        <w:widowControl w:val="off"/>
        <w:rPr>
          <w:rFonts w:hint="eastAsia" w:ascii="宋体" w:hAnsi="宋体" w:eastAsia="宋体" w:cs="宋体"/>
          <w:color w:val="auto"/>
          <w:szCs w:val="21"/>
          <w:highlight w:val="none"/>
          <w:lang w:val="en-US" w:eastAsia="zh-CN"/>
        </w:rPr>
        <w:outlineLvl w:val="0"/>
      </w:pPr>
      <w:r>
        <w:rPr>
          <w:rFonts w:hint="eastAsia" w:ascii="宋体" w:hAnsi="宋体" w:eastAsia="宋体" w:cs="宋体"/>
          <w:color w:val="auto"/>
          <w:szCs w:val="21"/>
          <w:highlight w:val="none"/>
          <w:lang w:val="en-US" w:eastAsia="zh-CN"/>
        </w:rPr>
      </w:r>
      <w:r/>
    </w:p>
    <w:p>
      <w:pPr>
        <w:keepLines w:val="0"/>
        <w:keepNext w:val="0"/>
        <w:pageBreakBefore w:val="0"/>
        <w:spacing w:line="360" w:lineRule="auto"/>
        <w:widowControl w:val="off"/>
        <w:rPr>
          <w:rFonts w:hint="eastAsia" w:ascii="宋体" w:hAnsi="宋体" w:eastAsia="宋体" w:cs="宋体"/>
          <w:color w:val="auto"/>
          <w:szCs w:val="21"/>
          <w:highlight w:val="none"/>
          <w:lang w:val="en-US" w:eastAsia="zh-CN"/>
        </w:rPr>
        <w:outlineLvl w:val="0"/>
      </w:pPr>
      <w:r>
        <w:rPr>
          <w:rFonts w:hint="eastAsia" w:ascii="宋体" w:hAnsi="宋体" w:eastAsia="宋体" w:cs="宋体"/>
          <w:color w:val="auto"/>
          <w:szCs w:val="21"/>
          <w:highlight w:val="none"/>
          <w:lang w:val="en-US" w:eastAsia="zh-CN"/>
        </w:rPr>
      </w:r>
      <w:r/>
    </w:p>
    <w:p>
      <w:pPr>
        <w:keepLines w:val="0"/>
        <w:keepNext w:val="0"/>
        <w:pageBreakBefore w:val="0"/>
        <w:spacing w:line="360" w:lineRule="auto"/>
        <w:widowControl w:val="off"/>
        <w:rPr>
          <w:rFonts w:hint="eastAsia" w:ascii="宋体" w:hAnsi="宋体" w:eastAsia="宋体" w:cs="宋体"/>
          <w:color w:val="auto"/>
          <w:szCs w:val="21"/>
          <w:highlight w:val="none"/>
          <w:lang w:val="en-US" w:eastAsia="zh-CN"/>
        </w:rPr>
        <w:outlineLvl w:val="0"/>
      </w:pPr>
      <w:r>
        <w:rPr>
          <w:rFonts w:hint="eastAsia" w:ascii="宋体" w:hAnsi="宋体" w:eastAsia="宋体" w:cs="宋体"/>
          <w:color w:val="auto"/>
          <w:szCs w:val="21"/>
          <w:highlight w:val="none"/>
          <w:lang w:val="en-US" w:eastAsia="zh-CN"/>
        </w:rPr>
      </w:r>
      <w:r/>
    </w:p>
    <w:p>
      <w:pPr>
        <w:jc w:val="center"/>
        <w:spacing w:line="700" w:lineRule="exact"/>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spacing w:line="7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44"/>
          <w:szCs w:val="44"/>
          <w:highlight w:val="none"/>
        </w:rPr>
        <w:t xml:space="preserve">廉 政 责 任 书</w:t>
      </w:r>
      <w:r/>
    </w:p>
    <w:p>
      <w:pPr>
        <w:ind w:firstLine="560"/>
        <w:keepLines w:val="0"/>
        <w:keepNext w:val="0"/>
        <w:pageBreakBefore w:val="0"/>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5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为进一步加强零星采购的廉政建设，特订立如下责任书。</w:t>
      </w:r>
      <w:r/>
    </w:p>
    <w:p>
      <w:pPr>
        <w:ind w:firstLine="560"/>
        <w:keepLines w:val="0"/>
        <w:keepNext w:val="0"/>
        <w:pageBreakBefore w:val="0"/>
        <w:spacing w:line="5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一、甲、乙双方的权利和义务</w:t>
      </w:r>
      <w:r/>
    </w:p>
    <w:p>
      <w:pPr>
        <w:ind w:firstLine="560"/>
        <w:keepLines w:val="0"/>
        <w:keepNext w:val="0"/>
        <w:pageBreakBefore w:val="0"/>
        <w:spacing w:line="5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 甲乙双方应严格遵守党的政策规定和国家有关法律法规。</w:t>
      </w:r>
      <w:r/>
    </w:p>
    <w:p>
      <w:pPr>
        <w:ind w:firstLine="560"/>
        <w:keepLines w:val="0"/>
        <w:keepNext w:val="0"/>
        <w:pageBreakBefore w:val="0"/>
        <w:spacing w:line="5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 甲乙双方应严格执行项目的合同文件，自觉按合同办事。</w:t>
      </w:r>
      <w:r/>
    </w:p>
    <w:p>
      <w:pPr>
        <w:ind w:firstLine="544"/>
        <w:keepLines w:val="0"/>
        <w:keepNext w:val="0"/>
        <w:pageBreakBefore w:val="0"/>
        <w:spacing w:line="5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pacing w:val="-4"/>
          <w:sz w:val="28"/>
          <w:szCs w:val="28"/>
          <w:highlight w:val="none"/>
        </w:rPr>
        <w:t xml:space="preserve">3．甲乙双方的业务活动应坚持公开、公平、公正、诚信、透明的原则</w:t>
      </w:r>
      <w:r>
        <w:rPr>
          <w:rFonts w:hint="eastAsia" w:ascii="宋体" w:hAnsi="宋体" w:eastAsia="宋体" w:cs="宋体"/>
          <w:color w:val="auto"/>
          <w:sz w:val="28"/>
          <w:szCs w:val="28"/>
          <w:highlight w:val="none"/>
        </w:rPr>
        <w:t xml:space="preserve">。</w:t>
      </w:r>
      <w:r/>
    </w:p>
    <w:p>
      <w:pPr>
        <w:ind w:firstLine="560"/>
        <w:keepLines w:val="0"/>
        <w:keepNext w:val="0"/>
        <w:pageBreakBefore w:val="0"/>
        <w:spacing w:line="5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4．甲乙双方不得以任何理由向对方工作人员行贿或馈赠礼金、有价证券、贵重礼品。不得在对方报销任何应由个人支付的费用。</w:t>
      </w:r>
      <w:r/>
    </w:p>
    <w:p>
      <w:pPr>
        <w:ind w:firstLine="560"/>
        <w:keepLines w:val="0"/>
        <w:keepNext w:val="0"/>
        <w:pageBreakBefore w:val="0"/>
        <w:spacing w:line="5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5．甲乙双方不得以任何理由违反廉洁自律的有关规定。</w:t>
      </w:r>
      <w:r/>
    </w:p>
    <w:p>
      <w:pPr>
        <w:ind w:firstLine="560"/>
        <w:keepLines w:val="0"/>
        <w:keepNext w:val="0"/>
        <w:pageBreakBefore w:val="0"/>
        <w:spacing w:line="5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6．甲乙双方发现对方严重违反本协议条款的行为，有及时提醒对方、向其上级有关部门举报、建议给予处理并要求告知处理结果的权利。</w:t>
      </w:r>
      <w:r/>
    </w:p>
    <w:p>
      <w:pPr>
        <w:ind w:firstLine="560"/>
        <w:keepLines w:val="0"/>
        <w:keepNext w:val="0"/>
        <w:pageBreakBefore w:val="0"/>
        <w:spacing w:line="5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二、违约责任</w:t>
      </w:r>
      <w:r/>
    </w:p>
    <w:p>
      <w:pPr>
        <w:ind w:firstLine="560"/>
        <w:keepLines w:val="0"/>
        <w:keepNext w:val="0"/>
        <w:pageBreakBefore w:val="0"/>
        <w:spacing w:line="5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1．甲、乙双方及其工作人员违反本协议有关规定的，按管理权限，依据有关规定给予经济处罚或追究党纪政纪责任；涉嫌犯罪的，移交司法机关追究刑事责任；给双方单位造成经济损失的，应予以赔偿。</w:t>
      </w:r>
      <w:r/>
    </w:p>
    <w:p>
      <w:pPr>
        <w:ind w:firstLine="560"/>
        <w:keepLines w:val="0"/>
        <w:keepNext w:val="0"/>
        <w:pageBreakBefore w:val="0"/>
        <w:spacing w:line="5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2．本协议一式三份，由甲、乙双方各执一份，送交甲方的监督单位一份。</w:t>
      </w:r>
      <w:r/>
    </w:p>
    <w:p>
      <w:pPr>
        <w:ind w:firstLine="560"/>
        <w:keepLines w:val="0"/>
        <w:keepNext w:val="0"/>
        <w:pageBreakBefore w:val="0"/>
        <w:spacing w:line="5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甲方单位（盖章）：            乙方单位（盖章）：</w:t>
      </w:r>
      <w:r/>
    </w:p>
    <w:p>
      <w:pPr>
        <w:ind w:firstLine="560"/>
        <w:keepLines w:val="0"/>
        <w:keepNext w:val="0"/>
        <w:pageBreakBefore w:val="0"/>
        <w:spacing w:line="5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代表人：                      法定代表人：</w:t>
      </w:r>
      <w:r/>
    </w:p>
    <w:p>
      <w:pPr>
        <w:rPr>
          <w:rFonts w:hint="eastAsia" w:ascii="宋体" w:hAnsi="宋体" w:eastAsia="宋体" w:cs="宋体"/>
          <w:color w:val="auto"/>
          <w:highlight w:val="none"/>
        </w:rPr>
      </w:pPr>
      <w:r>
        <w:rPr>
          <w:rFonts w:hint="eastAsia" w:ascii="宋体" w:hAnsi="宋体" w:eastAsia="宋体" w:cs="宋体"/>
          <w:color w:val="auto"/>
          <w:sz w:val="28"/>
          <w:szCs w:val="28"/>
          <w:highlight w:val="none"/>
        </w:rPr>
        <w:t xml:space="preserve">日期：    年   月   日        日期：     年   月   日</w:t>
      </w:r>
      <w:r/>
    </w:p>
    <w:p>
      <w:pPr>
        <w:spacing w:line="360" w:lineRule="auto"/>
        <w:tabs>
          <w:tab w:val="left" w:pos="900" w:leader="none"/>
          <w:tab w:val="left" w:pos="1080" w:leader="none"/>
        </w:tabs>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tabs>
          <w:tab w:val="left" w:pos="900" w:leader="none"/>
          <w:tab w:val="left" w:pos="1080" w:leader="none"/>
        </w:tabs>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spacing w:line="360" w:lineRule="auto"/>
        <w:tabs>
          <w:tab w:val="left" w:pos="900" w:leader="none"/>
          <w:tab w:val="left" w:pos="1080" w:leader="none"/>
        </w:tabs>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br w:type="page" w:clear="all"/>
      </w:r>
      <w:bookmarkStart w:id="706" w:name="_Toc99301426"/>
      <w:r>
        <w:rPr>
          <w:rFonts w:hint="eastAsia" w:ascii="宋体" w:hAnsi="宋体" w:eastAsia="宋体" w:cs="宋体"/>
          <w:b/>
          <w:color w:val="auto"/>
          <w:sz w:val="36"/>
          <w:szCs w:val="36"/>
          <w:highlight w:val="none"/>
        </w:rPr>
        <w:t xml:space="preserve">第七章   投标文件格式</w:t>
      </w:r>
      <w:bookmarkEnd w:id="706"/>
      <w:r/>
      <w:r/>
    </w:p>
    <w:p>
      <w:pPr>
        <w:ind w:left="142"/>
        <w:spacing w:line="360" w:lineRule="auto"/>
        <w:tabs>
          <w:tab w:val="left" w:pos="900" w:leader="none"/>
          <w:tab w:val="left" w:pos="19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left="142"/>
        <w:jc w:val="center"/>
        <w:spacing w:line="360" w:lineRule="auto"/>
        <w:tabs>
          <w:tab w:val="left" w:pos="900" w:leader="none"/>
          <w:tab w:val="left" w:pos="19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投标人编制文件须知</w:t>
      </w:r>
      <w:r/>
    </w:p>
    <w:p>
      <w:pPr>
        <w:pStyle w:val="995"/>
        <w:rPr>
          <w:rFonts w:hint="eastAsia" w:ascii="宋体" w:hAnsi="宋体" w:eastAsia="宋体" w:cs="宋体"/>
          <w:color w:val="auto"/>
          <w:highlight w:val="none"/>
        </w:rPr>
      </w:pPr>
      <w:r>
        <w:rPr>
          <w:rFonts w:hint="eastAsia" w:ascii="宋体" w:hAnsi="宋体" w:eastAsia="宋体" w:cs="宋体"/>
          <w:color w:val="auto"/>
          <w:highlight w:val="none"/>
        </w:rPr>
      </w:r>
      <w:r/>
    </w:p>
    <w:p>
      <w:pPr>
        <w:ind w:left="142" w:firstLine="480"/>
        <w:spacing w:line="48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firstLine="480"/>
        <w:spacing w:line="48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。未标记“实质性格式”的文件和招标文件未提供格式的内容，可由投标人自行编写。</w:t>
      </w:r>
      <w:r/>
    </w:p>
    <w:p>
      <w:pPr>
        <w:ind w:left="142" w:firstLine="480"/>
        <w:spacing w:line="48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3、全部声明和问题的回答及所附材料必须是真实的、准确的和完整的。</w:t>
      </w:r>
      <w:r/>
    </w:p>
    <w:p>
      <w:pPr>
        <w:ind w:left="142" w:firstLine="480"/>
        <w:spacing w:line="48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4、实行电子化不见面交易方式的，加盖公章、签名等均通过投标文件编制工具加盖电子公章、</w:t>
      </w:r>
      <w:r>
        <w:rPr>
          <w:rFonts w:hint="eastAsia" w:ascii="宋体" w:hAnsi="宋体" w:eastAsia="宋体" w:cs="宋体"/>
          <w:color w:val="auto"/>
          <w:sz w:val="24"/>
          <w:szCs w:val="20"/>
          <w:highlight w:val="none"/>
        </w:rPr>
        <w:t xml:space="preserve">签字、签章或印鉴</w:t>
      </w:r>
      <w:r>
        <w:rPr>
          <w:rFonts w:hint="eastAsia" w:ascii="宋体" w:hAnsi="宋体" w:eastAsia="宋体" w:cs="宋体"/>
          <w:color w:val="auto"/>
          <w:sz w:val="24"/>
          <w:highlight w:val="none"/>
        </w:rPr>
        <w:t xml:space="preserve">。</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
    </w:p>
    <w:p>
      <w:pPr>
        <w:jc w:val="left"/>
        <w:keepLines/>
        <w:keepNext/>
        <w:spacing w:before="120" w:line="300" w:lineRule="auto"/>
        <w:rPr>
          <w:rFonts w:hint="eastAsia" w:ascii="宋体" w:hAnsi="宋体" w:eastAsia="宋体" w:cs="宋体"/>
          <w:b/>
          <w:color w:val="auto"/>
          <w:sz w:val="30"/>
          <w:szCs w:val="20"/>
          <w:highlight w:val="none"/>
        </w:rPr>
        <w:outlineLvl w:val="1"/>
      </w:pPr>
      <w:r>
        <w:rPr>
          <w:rFonts w:hint="eastAsia" w:ascii="宋体" w:hAnsi="宋体" w:eastAsia="宋体" w:cs="宋体"/>
          <w:b/>
          <w:color w:val="auto"/>
          <w:spacing w:val="20"/>
          <w:sz w:val="24"/>
          <w:highlight w:val="none"/>
        </w:rPr>
        <w:t xml:space="preserve">一、资格证明文件格式</w:t>
      </w:r>
      <w:r/>
    </w:p>
    <w:p>
      <w:pPr>
        <w:rPr>
          <w:rFonts w:hint="eastAsia" w:ascii="宋体" w:hAnsi="宋体" w:eastAsia="宋体" w:cs="宋体"/>
          <w:b/>
          <w:color w:val="auto"/>
          <w:spacing w:val="20"/>
          <w:szCs w:val="21"/>
          <w:highlight w:val="none"/>
        </w:rPr>
      </w:pPr>
      <w:r>
        <w:rPr>
          <w:rFonts w:hint="eastAsia" w:ascii="宋体" w:hAnsi="宋体" w:eastAsia="宋体" w:cs="宋体"/>
          <w:b/>
          <w:color w:val="auto"/>
          <w:spacing w:val="20"/>
          <w:szCs w:val="21"/>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pacing w:val="20"/>
          <w:sz w:val="24"/>
          <w:highlight w:val="none"/>
        </w:rPr>
        <w:t xml:space="preserve">投标文件</w:t>
      </w:r>
      <w:r>
        <w:rPr>
          <w:rFonts w:hint="eastAsia" w:ascii="宋体" w:hAnsi="宋体" w:eastAsia="宋体" w:cs="宋体"/>
          <w:b/>
          <w:color w:val="auto"/>
          <w:sz w:val="24"/>
          <w:highlight w:val="none"/>
        </w:rPr>
        <w:t xml:space="preserve">封面（非实质性格式）</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r>
      <w:r/>
    </w:p>
    <w:p>
      <w:pPr>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r>
      <w:r/>
    </w:p>
    <w:p>
      <w:pPr>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t xml:space="preserve">投 标 文 件</w:t>
      </w:r>
      <w:r/>
    </w:p>
    <w:p>
      <w:pPr>
        <w:ind w:firstLine="963"/>
        <w:rPr>
          <w:rFonts w:hint="eastAsia" w:ascii="宋体" w:hAnsi="宋体" w:eastAsia="宋体" w:cs="宋体"/>
          <w:b/>
          <w:color w:val="auto"/>
          <w:spacing w:val="60"/>
          <w:sz w:val="52"/>
          <w:szCs w:val="52"/>
          <w:highlight w:val="none"/>
        </w:rPr>
      </w:pPr>
      <w:r>
        <w:rPr>
          <w:rFonts w:hint="eastAsia" w:ascii="宋体" w:hAnsi="宋体" w:eastAsia="宋体" w:cs="宋体"/>
          <w:b/>
          <w:color w:val="auto"/>
          <w:spacing w:val="60"/>
          <w:sz w:val="52"/>
          <w:szCs w:val="52"/>
          <w:highlight w:val="none"/>
        </w:rPr>
      </w:r>
      <w:r/>
    </w:p>
    <w:p>
      <w:pPr>
        <w:ind w:firstLine="963"/>
        <w:rPr>
          <w:rFonts w:hint="eastAsia" w:ascii="宋体" w:hAnsi="宋体" w:eastAsia="宋体" w:cs="宋体"/>
          <w:b/>
          <w:color w:val="auto"/>
          <w:spacing w:val="60"/>
          <w:sz w:val="52"/>
          <w:szCs w:val="52"/>
          <w:highlight w:val="none"/>
        </w:rPr>
      </w:pPr>
      <w:r>
        <w:rPr>
          <w:rFonts w:hint="eastAsia" w:ascii="宋体" w:hAnsi="宋体" w:eastAsia="宋体" w:cs="宋体"/>
          <w:b/>
          <w:color w:val="auto"/>
          <w:spacing w:val="60"/>
          <w:sz w:val="52"/>
          <w:szCs w:val="52"/>
          <w:highlight w:val="none"/>
        </w:rPr>
      </w:r>
      <w:r/>
    </w:p>
    <w:p>
      <w:pPr>
        <w:ind w:firstLine="542"/>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r>
      <w:r/>
    </w:p>
    <w:p>
      <w:pPr>
        <w:ind w:firstLine="542"/>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pacing w:val="20"/>
          <w:sz w:val="32"/>
          <w:szCs w:val="32"/>
          <w:highlight w:val="none"/>
        </w:rPr>
        <w:br w:type="page" w:clear="all"/>
      </w:r>
      <w:r>
        <w:rPr>
          <w:rFonts w:hint="eastAsia" w:ascii="宋体" w:hAnsi="宋体" w:eastAsia="宋体" w:cs="宋体"/>
          <w:b/>
          <w:color w:val="auto"/>
          <w:sz w:val="32"/>
          <w:szCs w:val="32"/>
          <w:highlight w:val="none"/>
        </w:rPr>
        <w:t xml:space="preserve">一、资格证明文件</w:t>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t xml:space="preserve">1 </w:t>
      </w:r>
      <w:r>
        <w:rPr>
          <w:rFonts w:hint="eastAsia" w:ascii="宋体" w:hAnsi="宋体" w:eastAsia="宋体" w:cs="宋体"/>
          <w:color w:val="auto"/>
          <w:sz w:val="24"/>
          <w:highlight w:val="none"/>
        </w:rPr>
        <w:t xml:space="preserve">满足《中华人民共和国政府采购法》第二十二条规定及法律法规的其他规定</w:t>
      </w:r>
      <w:r/>
    </w:p>
    <w:p>
      <w:pPr>
        <w:pStyle w:val="1147"/>
        <w:rPr>
          <w:rFonts w:hint="eastAsia" w:ascii="宋体" w:hAnsi="宋体" w:eastAsia="宋体" w:cs="宋体"/>
          <w:b w:val="0"/>
          <w:bCs/>
          <w:color w:val="auto"/>
          <w:highlight w:val="none"/>
          <w:u w:val="none"/>
        </w:rPr>
      </w:pPr>
      <w:r>
        <w:rPr>
          <w:rFonts w:hint="eastAsia" w:ascii="宋体" w:hAnsi="宋体" w:eastAsia="宋体" w:cs="宋体"/>
          <w:b w:val="0"/>
          <w:color w:val="auto"/>
          <w:highlight w:val="none"/>
          <w:u w:val="none"/>
        </w:rPr>
        <w:t xml:space="preserve">1-1 投标人资格声明函（实质性格式）</w:t>
      </w:r>
      <w:r/>
    </w:p>
    <w:p>
      <w:pPr>
        <w:jc w:val="center"/>
        <w:spacing w:before="120" w:line="360" w:lineRule="auto"/>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jc w:val="center"/>
        <w:spacing w:before="120" w:line="360" w:lineRule="auto"/>
        <w:widowControl/>
        <w:rPr>
          <w:rFonts w:hint="eastAsia" w:ascii="宋体" w:hAnsi="宋体" w:eastAsia="宋体" w:cs="宋体"/>
          <w:color w:val="auto"/>
          <w:szCs w:val="21"/>
          <w:highlight w:val="none"/>
        </w:rPr>
      </w:pPr>
      <w:r>
        <w:rPr>
          <w:rFonts w:hint="eastAsia" w:ascii="宋体" w:hAnsi="宋体" w:eastAsia="宋体" w:cs="宋体"/>
          <w:b/>
          <w:color w:val="auto"/>
          <w:sz w:val="28"/>
          <w:szCs w:val="28"/>
          <w:highlight w:val="none"/>
        </w:rPr>
        <w:t xml:space="preserve">投标人资格声明函</w:t>
      </w:r>
      <w:r/>
    </w:p>
    <w:p>
      <w:pPr>
        <w:pStyle w:val="1146"/>
        <w:ind w:firstLine="480"/>
        <w:spacing w:line="46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（采购人名称）</w:t>
      </w:r>
      <w:r/>
    </w:p>
    <w:p>
      <w:pPr>
        <w:pStyle w:val="1146"/>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46"/>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按照《中华人民共和国政府采购法》第二十二条和招标文件的规定，我单位郑重声明如下：</w:t>
      </w:r>
      <w:r/>
    </w:p>
    <w:p>
      <w:pPr>
        <w:pStyle w:val="1146"/>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一、我单位是按照中华人民共和国法律规定登记注册的，注册地点为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，统一社会信用代码为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，法定代表人（单位负责人）为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，具有独立承担民事责任的能力</w:t>
      </w:r>
      <w:r>
        <w:rPr>
          <w:rFonts w:hint="eastAsia" w:ascii="宋体" w:hAnsi="宋体" w:eastAsia="宋体" w:cs="宋体"/>
          <w:b/>
          <w:color w:val="auto"/>
          <w:highlight w:val="none"/>
        </w:rPr>
        <w:t xml:space="preserve">（如属于分公司经总公司授权参与项目，由总公司承担民事责任的，需提供总公司项目授权书）</w:t>
      </w:r>
      <w:r>
        <w:rPr>
          <w:rFonts w:hint="eastAsia" w:ascii="宋体" w:hAnsi="宋体" w:eastAsia="宋体" w:cs="宋体"/>
          <w:color w:val="auto"/>
          <w:highlight w:val="none"/>
        </w:rPr>
        <w:t xml:space="preserve">。</w:t>
      </w:r>
      <w:r/>
    </w:p>
    <w:p>
      <w:pPr>
        <w:pStyle w:val="1146"/>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二、我单位具有良好的商业信誉（指投标人经营状况良好，无本资格声明第</w:t>
      </w:r>
      <w:r>
        <w:rPr>
          <w:rFonts w:hint="eastAsia" w:ascii="宋体" w:hAnsi="宋体" w:eastAsia="宋体" w:cs="宋体"/>
          <w:color w:val="auto"/>
          <w:highlight w:val="none"/>
          <w:lang w:val="en-US" w:eastAsia="zh-CN"/>
        </w:rPr>
        <w:t xml:space="preserve">九</w:t>
      </w:r>
      <w:r>
        <w:rPr>
          <w:rFonts w:hint="eastAsia" w:ascii="宋体" w:hAnsi="宋体" w:eastAsia="宋体" w:cs="宋体"/>
          <w:color w:val="auto"/>
          <w:highlight w:val="none"/>
        </w:rPr>
        <w:t xml:space="preserve">条情形）和健全的财务会计制度。</w:t>
      </w:r>
      <w:r/>
    </w:p>
    <w:p>
      <w:pPr>
        <w:pStyle w:val="1146"/>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三、我单位依法进行纳税和社会保险申报并实际履行了义务。</w:t>
      </w:r>
      <w:r/>
    </w:p>
    <w:p>
      <w:pPr>
        <w:pStyle w:val="1146"/>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四、我单位具有履行本项目采购合同所必需的设备和专业技术能力，并具有履行合同的良好记录。为履行本项采购合同我单位具备如下主要设备和主要专业技术能力:</w:t>
      </w:r>
      <w:r/>
    </w:p>
    <w:p>
      <w:pPr>
        <w:pStyle w:val="1146"/>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p>
    <w:p>
      <w:pPr>
        <w:pStyle w:val="1146"/>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p>
    <w:p>
      <w:pPr>
        <w:pStyle w:val="1146"/>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46"/>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六、我单位具备法律、行政法规规定的其他条件。</w:t>
      </w:r>
      <w:r/>
    </w:p>
    <w:p>
      <w:pPr>
        <w:pStyle w:val="1146"/>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七、与我单位存在“单位负责人为同一人或者存在直接控股、管理关系”的其他单位信息如下（如无此情形的，填写“无”）：</w:t>
      </w:r>
      <w:r/>
    </w:p>
    <w:p>
      <w:pPr>
        <w:pStyle w:val="1146"/>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1、与我单位的法定代表人（单位负责人）为同一人的其他单位如下：</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1146"/>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2、我单位直接控股的其他单位如下：</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1146"/>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3、与我单位存在管理关系的其他单位如下：</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1146"/>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八、我单位不属于为本项目提供整体设计、规范编制或者项目管理、监理、检测等服务的投标人。</w:t>
      </w:r>
      <w:r/>
    </w:p>
    <w:p>
      <w:pPr>
        <w:pStyle w:val="1146"/>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九、我单位无以下不良信用记录情形：</w:t>
      </w:r>
      <w:r/>
    </w:p>
    <w:p>
      <w:pPr>
        <w:pStyle w:val="1146"/>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1、在“信用中国”网站被列入失信被执行人和重大税收违法案件当事人名单；</w:t>
      </w:r>
      <w:r/>
    </w:p>
    <w:p>
      <w:pPr>
        <w:pStyle w:val="1146"/>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2、在“中国政府采购网”网站被列入政府采购严重违法失信行为记录名单；</w:t>
      </w:r>
      <w:r/>
    </w:p>
    <w:p>
      <w:pPr>
        <w:pStyle w:val="1146"/>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3、不符合《政府采购法》第二十二条规定的条件。</w:t>
      </w:r>
      <w:r/>
    </w:p>
    <w:p>
      <w:pPr>
        <w:pStyle w:val="1146"/>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46"/>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我单位保证上述声明的事项都是真实的，如有虚假，我单位愿意承担相应的法律责任，并承担因此所造成的一切损失。</w:t>
      </w:r>
      <w:r/>
    </w:p>
    <w:p>
      <w:pPr>
        <w:pStyle w:val="1146"/>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46"/>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46"/>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投标人：（加盖公章）</w:t>
      </w:r>
      <w:r/>
    </w:p>
    <w:p>
      <w:pPr>
        <w:pStyle w:val="1146"/>
        <w:ind w:firstLine="480"/>
        <w:jc w:val="right"/>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法定代表人（或单位负责人）签字或盖章日期： </w:t>
      </w:r>
      <w:r>
        <w:rPr>
          <w:rFonts w:hint="eastAsia" w:hAnsi="宋体" w:cs="宋体"/>
          <w:color w:val="auto"/>
          <w:highlight w:val="none"/>
          <w:lang w:val="en-US" w:eastAsia="zh-CN"/>
        </w:rPr>
        <w:t xml:space="preserve"> </w:t>
      </w:r>
      <w:r>
        <w:rPr>
          <w:rFonts w:hint="eastAsia" w:ascii="宋体" w:hAnsi="宋体" w:eastAsia="宋体" w:cs="宋体"/>
          <w:color w:val="auto"/>
          <w:highlight w:val="none"/>
        </w:rPr>
        <w:t xml:space="preserve">年  月  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说明：供应商承诺不实的，依据《政府采购法》第七十七条“提供虚假材料谋取中标、成交的”有关规定予以处理。</w:t>
      </w:r>
      <w:r/>
    </w:p>
    <w:p>
      <w:pPr>
        <w:spacing w:line="360" w:lineRule="auto"/>
        <w:tabs>
          <w:tab w:val="left" w:pos="5580" w:leader="none"/>
        </w:tabs>
        <w:rPr>
          <w:rFonts w:hint="eastAsia" w:ascii="宋体" w:hAnsi="宋体" w:eastAsia="宋体" w:cs="宋体"/>
          <w:color w:val="auto"/>
          <w:sz w:val="24"/>
          <w:highlight w:val="none"/>
        </w:rPr>
        <w:sectPr>
          <w:footerReference w:type="default" r:id="rId20"/>
          <w:footnotePr/>
          <w:endnotePr/>
          <w:type w:val="nextPage"/>
          <w:pgSz w:w="11907" w:h="16840" w:orient="portrait"/>
          <w:pgMar w:top="1418" w:right="1020" w:bottom="1418" w:left="1417" w:header="794" w:footer="851" w:gutter="0"/>
          <w:cols w:num="1" w:sep="0" w:space="1701" w:equalWidth="1"/>
          <w:docGrid w:linePitch="360"/>
        </w:sect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t xml:space="preserve">2 落实政府采购政策需满足的资格要求（如有）</w:t>
      </w:r>
      <w:r/>
    </w:p>
    <w:p>
      <w:pPr>
        <w:spacing w:line="360" w:lineRule="auto"/>
        <w:tabs>
          <w:tab w:val="left" w:pos="558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2-1中小企业声明函</w:t>
      </w:r>
      <w:r/>
    </w:p>
    <w:p>
      <w:pPr>
        <w:spacing w:line="360" w:lineRule="auto"/>
        <w:tabs>
          <w:tab w:val="left" w:pos="558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本项目（包）专门面向中小、小微企业采购，资格证明文件部分需提供《中小企业声明函》。</w:t>
      </w:r>
      <w:r/>
    </w:p>
    <w:p>
      <w:pPr>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2-2其它落实政府采购政策的资格要求（如有）</w:t>
      </w:r>
      <w:r/>
    </w:p>
    <w:p>
      <w:pPr>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5580" w:leader="none"/>
        </w:tabs>
        <w:rPr>
          <w:rFonts w:hint="eastAsia" w:ascii="宋体" w:hAnsi="宋体" w:eastAsia="宋体" w:cs="宋体"/>
          <w:color w:val="auto"/>
          <w:sz w:val="24"/>
          <w:highlight w:val="none"/>
        </w:rPr>
      </w:pPr>
      <w:r/>
      <w:bookmarkStart w:id="707" w:name="_Toc128435173"/>
      <w:r/>
      <w:bookmarkStart w:id="708" w:name="_Toc140670335"/>
      <w:r/>
      <w:bookmarkStart w:id="709" w:name="_Toc107952855"/>
      <w:r/>
      <w:bookmarkStart w:id="710" w:name="_Toc140670472"/>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3 本项目的特定资格要求（如有）</w:t>
      </w:r>
      <w:bookmarkEnd w:id="707"/>
      <w:r/>
      <w:bookmarkEnd w:id="708"/>
      <w:r/>
      <w:bookmarkEnd w:id="709"/>
      <w:r/>
      <w:bookmarkEnd w:id="710"/>
      <w:r/>
      <w:r/>
    </w:p>
    <w:p>
      <w:pPr>
        <w:spacing w:line="360" w:lineRule="auto"/>
        <w:tabs>
          <w:tab w:val="left" w:pos="5580" w:leader="none"/>
        </w:tabs>
        <w:rPr>
          <w:rFonts w:hint="eastAsia" w:ascii="宋体" w:hAnsi="宋体" w:eastAsia="宋体" w:cs="宋体"/>
          <w:color w:val="auto"/>
          <w:sz w:val="24"/>
          <w:highlight w:val="none"/>
        </w:rPr>
      </w:pPr>
      <w:r/>
      <w:bookmarkStart w:id="711" w:name="_Toc140670336"/>
      <w:r/>
      <w:bookmarkStart w:id="712" w:name="_Toc140670473"/>
      <w:r/>
      <w:bookmarkStart w:id="713" w:name="_Toc107952856"/>
      <w:r/>
      <w:bookmarkStart w:id="714" w:name="_Toc128435174"/>
      <w:r>
        <w:rPr>
          <w:rFonts w:hint="eastAsia" w:ascii="宋体" w:hAnsi="宋体" w:eastAsia="宋体" w:cs="宋体"/>
          <w:color w:val="auto"/>
          <w:sz w:val="24"/>
          <w:highlight w:val="none"/>
        </w:rPr>
        <w:t xml:space="preserve">3-3其他特定资格要求</w:t>
      </w:r>
      <w:bookmarkEnd w:id="711"/>
      <w:r/>
      <w:bookmarkEnd w:id="712"/>
      <w:r/>
      <w:bookmarkEnd w:id="713"/>
      <w:r/>
      <w:bookmarkEnd w:id="714"/>
      <w:r/>
      <w:r/>
    </w:p>
    <w:p>
      <w:pPr>
        <w:pStyle w:val="1145"/>
        <w:ind w:firstLine="482"/>
        <w:jc w:val="left"/>
        <w:keepLines/>
        <w:keepNext/>
        <w:pageBreakBefore w:val="0"/>
        <w:spacing w:before="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二、商务技术文件格式</w:t>
      </w:r>
      <w:bookmarkStart w:id="715" w:name="_Toc195842921"/>
      <w:r/>
      <w:bookmarkStart w:id="716" w:name="_Toc226309800"/>
      <w:r/>
      <w:bookmarkStart w:id="717" w:name="_Ref467988698"/>
      <w:r/>
      <w:bookmarkStart w:id="718" w:name="_Toc226965746"/>
      <w:r/>
      <w:bookmarkStart w:id="719" w:name="_Toc226337252"/>
      <w:r/>
      <w:bookmarkStart w:id="720" w:name="_Toc226965829"/>
      <w:r/>
      <w:bookmarkStart w:id="721" w:name="_Toc142311058"/>
      <w:r/>
      <w:bookmarkStart w:id="722" w:name="_Toc150480794"/>
      <w:r/>
      <w:bookmarkStart w:id="723" w:name="_Toc127151556"/>
      <w:r/>
      <w:bookmarkStart w:id="724" w:name="_Toc520356217"/>
      <w:r/>
      <w:bookmarkStart w:id="725" w:name="_Toc150774761"/>
      <w:r/>
      <w:bookmarkStart w:id="726" w:name="_Toc480942349"/>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highlight w:val="none"/>
        </w:rPr>
        <w:t xml:space="preserve">1</w:t>
      </w:r>
      <w:r>
        <w:rPr>
          <w:rFonts w:hint="eastAsia" w:ascii="宋体" w:hAnsi="宋体" w:eastAsia="宋体" w:cs="宋体"/>
          <w:color w:val="auto"/>
          <w:sz w:val="24"/>
          <w:szCs w:val="20"/>
          <w:highlight w:val="none"/>
        </w:rPr>
        <w:t xml:space="preserve">  </w:t>
      </w:r>
      <w:r>
        <w:rPr>
          <w:rFonts w:hint="eastAsia" w:ascii="宋体" w:hAnsi="宋体" w:eastAsia="宋体" w:cs="宋体"/>
          <w:color w:val="auto"/>
          <w:sz w:val="24"/>
          <w:highlight w:val="none"/>
        </w:rPr>
        <w:t xml:space="preserve">投标</w:t>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rFonts w:hint="eastAsia" w:ascii="宋体" w:hAnsi="宋体" w:eastAsia="宋体" w:cs="宋体"/>
          <w:color w:val="auto"/>
          <w:sz w:val="24"/>
          <w:highlight w:val="none"/>
        </w:rPr>
        <w:t xml:space="preserve">函</w:t>
      </w:r>
      <w:r>
        <w:rPr>
          <w:rFonts w:hint="eastAsia" w:ascii="宋体" w:hAnsi="宋体" w:eastAsia="宋体" w:cs="宋体"/>
          <w:color w:val="auto"/>
          <w:sz w:val="24"/>
          <w:szCs w:val="20"/>
          <w:highlight w:val="none"/>
        </w:rPr>
        <w:t xml:space="preserve">（实质性格式）</w:t>
      </w:r>
      <w:r/>
    </w:p>
    <w:p>
      <w:pPr>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投标函</w:t>
      </w:r>
      <w:r/>
    </w:p>
    <w:p>
      <w:pPr>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（采购人或采购代理机构）</w:t>
      </w:r>
      <w:r/>
    </w:p>
    <w:p>
      <w:pPr>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408"/>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 我方</w:t>
      </w:r>
      <w:r>
        <w:rPr>
          <w:rFonts w:hint="eastAsia" w:ascii="宋体" w:hAnsi="宋体" w:eastAsia="宋体" w:cs="宋体"/>
          <w:color w:val="auto"/>
          <w:sz w:val="24"/>
          <w:highlight w:val="none"/>
        </w:rPr>
        <w:t xml:space="preserve">已详细审查全部招标文件</w:t>
      </w:r>
      <w:r>
        <w:rPr>
          <w:rFonts w:hint="eastAsia" w:ascii="宋体" w:hAnsi="宋体" w:eastAsia="宋体" w:cs="宋体"/>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（1）本投标有效期为自提交投标文件的截止之日起</w:t>
      </w:r>
      <w:r>
        <w:rPr>
          <w:rFonts w:hint="eastAsia" w:ascii="宋体" w:hAnsi="宋体" w:cs="宋体"/>
          <w:color w:val="auto"/>
          <w:sz w:val="24"/>
          <w:highlight w:val="none"/>
          <w:lang w:val="en-US" w:eastAsia="zh-CN"/>
        </w:rPr>
        <w:t xml:space="preserve">60</w:t>
      </w:r>
      <w:r>
        <w:rPr>
          <w:rFonts w:hint="eastAsia" w:ascii="宋体" w:hAnsi="宋体" w:eastAsia="宋体" w:cs="宋体"/>
          <w:color w:val="auto"/>
          <w:sz w:val="24"/>
          <w:szCs w:val="20"/>
          <w:highlight w:val="none"/>
        </w:rPr>
        <w:t xml:space="preserve">个日历日。</w:t>
      </w:r>
      <w:r/>
    </w:p>
    <w:p>
      <w:pPr>
        <w:ind w:left="360" w:firstLine="72"/>
        <w:spacing w:line="360" w:lineRule="auto"/>
        <w:tabs>
          <w:tab w:val="left" w:pos="720" w:leader="none"/>
          <w:tab w:val="left" w:pos="90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其他补充条款（如有）：</w:t>
      </w:r>
      <w:r>
        <w:rPr>
          <w:rFonts w:hint="eastAsia" w:ascii="宋体" w:hAnsi="宋体" w:eastAsia="宋体" w:cs="宋体"/>
          <w:color w:val="auto"/>
          <w:sz w:val="24"/>
          <w:szCs w:val="20"/>
          <w:highlight w:val="none"/>
        </w:rPr>
        <w:t xml:space="preserve">___________</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与本投标有关的一切正式往来信函请寄：</w:t>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地址_________________________     传真____________________________</w:t>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电话_________________________     电子函件________________________</w:t>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投标人名称（加盖公章） ___________</w:t>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日期：_____年______月______日    </w:t>
      </w:r>
      <w:r/>
    </w:p>
    <w:p>
      <w:pPr>
        <w:ind w:left="420"/>
        <w:spacing w:line="360" w:lineRule="auto"/>
        <w:tabs>
          <w:tab w:val="left" w:pos="5580" w:leader="none"/>
        </w:tabs>
        <w:rPr>
          <w:rFonts w:hint="eastAsia"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u w:val="single"/>
        </w:rPr>
      </w:r>
      <w:r/>
    </w:p>
    <w:p>
      <w:pPr>
        <w:jc w:val="left"/>
        <w:widowControl/>
        <w:rPr>
          <w:rFonts w:hint="eastAsia" w:ascii="宋体" w:hAnsi="宋体" w:eastAsia="宋体" w:cs="宋体"/>
          <w:color w:val="auto"/>
          <w:sz w:val="24"/>
          <w:highlight w:val="none"/>
        </w:rPr>
      </w:pPr>
      <w:r/>
      <w:bookmarkStart w:id="727" w:name="_Hlt520355938"/>
      <w:r/>
      <w:bookmarkEnd w:id="727"/>
      <w:r/>
      <w:bookmarkStart w:id="728" w:name="_Hlt520356243"/>
      <w:r/>
      <w:bookmarkEnd w:id="728"/>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2  法定代表人资格证明书</w:t>
      </w:r>
      <w:r>
        <w:rPr>
          <w:rFonts w:hint="eastAsia" w:ascii="宋体" w:hAnsi="宋体" w:eastAsia="宋体" w:cs="宋体"/>
          <w:color w:val="auto"/>
          <w:sz w:val="24"/>
          <w:szCs w:val="20"/>
          <w:highlight w:val="none"/>
        </w:rPr>
        <w:t xml:space="preserve">（实质性格式）</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法定代表人资格证明书</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     性别:       年龄:      职务:</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（投标单位名称）</w:t>
      </w:r>
      <w:r>
        <w:rPr>
          <w:rFonts w:hint="eastAsia" w:ascii="宋体" w:hAnsi="宋体" w:eastAsia="宋体" w:cs="宋体"/>
          <w:color w:val="auto"/>
          <w:sz w:val="24"/>
          <w:highlight w:val="none"/>
        </w:rPr>
        <w:t xml:space="preserve">的法定代表人。为参与</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的政府采购活动，</w:t>
      </w:r>
      <w:r>
        <w:rPr>
          <w:rFonts w:hint="eastAsia" w:ascii="宋体" w:hAnsi="宋体" w:eastAsia="宋体" w:cs="宋体"/>
          <w:color w:val="auto"/>
          <w:sz w:val="24"/>
          <w:szCs w:val="20"/>
          <w:highlight w:val="none"/>
        </w:rPr>
        <w:t xml:space="preserve">签署、澄清确认、递交、撤回、修改</w:t>
      </w:r>
      <w:r>
        <w:rPr>
          <w:rFonts w:hint="eastAsia" w:ascii="宋体" w:hAnsi="宋体" w:eastAsia="宋体" w:cs="宋体"/>
          <w:color w:val="auto"/>
          <w:sz w:val="24"/>
          <w:highlight w:val="none"/>
        </w:rPr>
        <w:t xml:space="preserve">上述项目的投标文件、进行合同谈判、签署合同和处理与之有关的一切事务。</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74"/>
        <w:ind w:right="-46"/>
        <w:spacing w:line="583" w:lineRule="auto"/>
        <w:rPr>
          <w:rFonts w:hint="eastAsia" w:ascii="宋体" w:hAnsi="宋体" w:eastAsia="宋体" w:cs="宋体"/>
          <w:color w:val="auto"/>
          <w:spacing w:val="-3"/>
          <w:highlight w:val="none"/>
        </w:rPr>
      </w:pPr>
      <w:r>
        <w:rPr>
          <w:rFonts w:hint="eastAsia" w:ascii="宋体" w:hAnsi="宋体" w:eastAsia="宋体" w:cs="宋体"/>
          <w:color w:val="auto"/>
          <w:highlight w:val="none"/>
        </w:rPr>
        <w:t xml:space="preserve">附：</w:t>
      </w:r>
      <w:r>
        <w:rPr>
          <w:rFonts w:hint="eastAsia" w:ascii="宋体" w:hAnsi="宋体" w:eastAsia="宋体" w:cs="宋体"/>
          <w:color w:val="auto"/>
          <w:spacing w:val="-3"/>
          <w:highlight w:val="none"/>
        </w:rPr>
        <w:t xml:space="preserve">法</w:t>
      </w:r>
      <w:r>
        <w:rPr>
          <w:rFonts w:hint="eastAsia" w:ascii="宋体" w:hAnsi="宋体" w:eastAsia="宋体" w:cs="宋体"/>
          <w:color w:val="auto"/>
          <w:highlight w:val="none"/>
        </w:rPr>
        <w:t xml:space="preserve">定</w:t>
      </w:r>
      <w:r>
        <w:rPr>
          <w:rFonts w:hint="eastAsia" w:ascii="宋体" w:hAnsi="宋体" w:eastAsia="宋体" w:cs="宋体"/>
          <w:color w:val="auto"/>
          <w:spacing w:val="-3"/>
          <w:highlight w:val="none"/>
        </w:rPr>
        <w:t xml:space="preserve">代</w:t>
      </w:r>
      <w:r>
        <w:rPr>
          <w:rFonts w:hint="eastAsia" w:ascii="宋体" w:hAnsi="宋体" w:eastAsia="宋体" w:cs="宋体"/>
          <w:color w:val="auto"/>
          <w:highlight w:val="none"/>
        </w:rPr>
        <w:t xml:space="preserve">表</w:t>
      </w:r>
      <w:r>
        <w:rPr>
          <w:rFonts w:hint="eastAsia" w:ascii="宋体" w:hAnsi="宋体" w:eastAsia="宋体" w:cs="宋体"/>
          <w:color w:val="auto"/>
          <w:spacing w:val="-3"/>
          <w:highlight w:val="none"/>
        </w:rPr>
        <w:t xml:space="preserve">人</w:t>
      </w:r>
      <w:r>
        <w:rPr>
          <w:rFonts w:hint="eastAsia" w:ascii="宋体" w:hAnsi="宋体" w:eastAsia="宋体" w:cs="宋体"/>
          <w:color w:val="auto"/>
          <w:highlight w:val="none"/>
        </w:rPr>
        <w:t xml:space="preserve">（</w:t>
      </w:r>
      <w:r>
        <w:rPr>
          <w:rFonts w:hint="eastAsia" w:ascii="宋体" w:hAnsi="宋体" w:eastAsia="宋体" w:cs="宋体"/>
          <w:color w:val="auto"/>
          <w:spacing w:val="-3"/>
          <w:highlight w:val="none"/>
        </w:rPr>
        <w:t xml:space="preserve">单</w:t>
      </w:r>
      <w:r>
        <w:rPr>
          <w:rFonts w:hint="eastAsia" w:ascii="宋体" w:hAnsi="宋体" w:eastAsia="宋体" w:cs="宋体"/>
          <w:color w:val="auto"/>
          <w:highlight w:val="none"/>
        </w:rPr>
        <w:t xml:space="preserve">位</w:t>
      </w:r>
      <w:r>
        <w:rPr>
          <w:rFonts w:hint="eastAsia" w:ascii="宋体" w:hAnsi="宋体" w:eastAsia="宋体" w:cs="宋体"/>
          <w:color w:val="auto"/>
          <w:spacing w:val="-3"/>
          <w:highlight w:val="none"/>
        </w:rPr>
        <w:t xml:space="preserve">负</w:t>
      </w:r>
      <w:r>
        <w:rPr>
          <w:rFonts w:hint="eastAsia" w:ascii="宋体" w:hAnsi="宋体" w:eastAsia="宋体" w:cs="宋体"/>
          <w:color w:val="auto"/>
          <w:highlight w:val="none"/>
        </w:rPr>
        <w:t xml:space="preserve">责人</w:t>
      </w:r>
      <w:r>
        <w:rPr>
          <w:rFonts w:hint="eastAsia" w:ascii="宋体" w:hAnsi="宋体" w:eastAsia="宋体" w:cs="宋体"/>
          <w:color w:val="auto"/>
          <w:spacing w:val="-3"/>
          <w:highlight w:val="none"/>
        </w:rPr>
        <w:t xml:space="preserve">）有效期内的身份证正反面电子件。</w:t>
      </w:r>
      <w:r/>
    </w:p>
    <w:tbl>
      <w:tblPr>
        <w:tblStyle w:val="97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投标人：（加盖公章）</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w:t>
      </w:r>
      <w:r>
        <w:rPr>
          <w:rFonts w:hint="eastAsia" w:ascii="宋体" w:hAnsi="宋体" w:eastAsia="宋体" w:cs="宋体"/>
          <w:color w:val="auto"/>
          <w:sz w:val="24"/>
          <w:szCs w:val="20"/>
          <w:highlight w:val="none"/>
        </w:rPr>
        <w:t xml:space="preserve">签字、签章或印鉴</w:t>
      </w:r>
      <w:r>
        <w:rPr>
          <w:rFonts w:hint="eastAsia" w:ascii="宋体" w:hAnsi="宋体" w:eastAsia="宋体" w:cs="宋体"/>
          <w:color w:val="auto"/>
          <w:sz w:val="24"/>
          <w:highlight w:val="none"/>
        </w:rPr>
        <w:t xml:space="preserve">：</w:t>
      </w:r>
      <w:r/>
    </w:p>
    <w:p>
      <w:pPr>
        <w:ind w:firstLine="432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说明：</w:t>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1.若投标人为事业单位或其他组织或分支机构（仅当招标文件注明允许分支机构投标的），则法定代表人（单位负责人）处的签署人可为单位负责人。</w:t>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2.投标人为自然人的情形，可不提供本《授权委托书》。</w:t>
      </w:r>
      <w:r/>
    </w:p>
    <w:p>
      <w:pPr>
        <w:jc w:val="center"/>
        <w:spacing w:before="240" w:after="240"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sz w:val="24"/>
          <w:szCs w:val="20"/>
          <w:highlight w:val="none"/>
        </w:rPr>
        <w:br w:type="page" w:clear="all"/>
      </w:r>
      <w:r>
        <w:rPr>
          <w:rFonts w:hint="eastAsia" w:ascii="宋体" w:hAnsi="宋体" w:eastAsia="宋体" w:cs="宋体"/>
          <w:b/>
          <w:bCs/>
          <w:color w:val="auto"/>
          <w:sz w:val="32"/>
          <w:szCs w:val="32"/>
          <w:highlight w:val="none"/>
        </w:rPr>
        <w:t xml:space="preserve">法定代表人授权委托书</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单位名称：</w:t>
      </w:r>
      <w:r>
        <w:rPr>
          <w:rFonts w:hint="eastAsia" w:ascii="宋体" w:hAnsi="宋体" w:eastAsia="宋体" w:cs="宋体"/>
          <w:color w:val="auto"/>
          <w:sz w:val="24"/>
          <w:highlight w:val="none"/>
          <w:u w:val="single"/>
        </w:rPr>
        <w:t xml:space="preserve">           </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法定代表人（或非法人组织负责人）姓名：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身份证号码：</w:t>
      </w:r>
      <w:r>
        <w:rPr>
          <w:rFonts w:hint="eastAsia" w:ascii="宋体" w:hAnsi="宋体" w:eastAsia="宋体" w:cs="宋体"/>
          <w:color w:val="auto"/>
          <w:sz w:val="24"/>
          <w:highlight w:val="none"/>
          <w:u w:val="single"/>
        </w:rPr>
        <w:t xml:space="preserve">         </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住所地：</w:t>
      </w:r>
      <w:r>
        <w:rPr>
          <w:rFonts w:hint="eastAsia" w:ascii="宋体" w:hAnsi="宋体" w:eastAsia="宋体" w:cs="宋体"/>
          <w:color w:val="auto"/>
          <w:sz w:val="24"/>
          <w:highlight w:val="none"/>
          <w:u w:val="single"/>
        </w:rPr>
        <w:t xml:space="preserve">                       </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授权委托人姓名：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身份证号码：</w:t>
      </w:r>
      <w:r>
        <w:rPr>
          <w:rFonts w:hint="eastAsia" w:ascii="宋体" w:hAnsi="宋体" w:eastAsia="宋体" w:cs="宋体"/>
          <w:color w:val="auto"/>
          <w:sz w:val="24"/>
          <w:highlight w:val="none"/>
          <w:u w:val="single"/>
        </w:rPr>
        <w:t xml:space="preserve">         </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工作单位：</w:t>
      </w:r>
      <w:r>
        <w:rPr>
          <w:rFonts w:hint="eastAsia" w:ascii="宋体" w:hAnsi="宋体" w:eastAsia="宋体" w:cs="宋体"/>
          <w:color w:val="auto"/>
          <w:sz w:val="24"/>
          <w:highlight w:val="none"/>
          <w:u w:val="single"/>
        </w:rPr>
        <w:t xml:space="preserve">                    </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住址：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电话：</w:t>
      </w:r>
      <w:r>
        <w:rPr>
          <w:rFonts w:hint="eastAsia" w:ascii="宋体" w:hAnsi="宋体" w:eastAsia="宋体" w:cs="宋体"/>
          <w:color w:val="auto"/>
          <w:sz w:val="24"/>
          <w:highlight w:val="none"/>
          <w:u w:val="singl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就</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szCs w:val="20"/>
          <w:highlight w:val="none"/>
        </w:rPr>
        <w:t xml:space="preserve">（项目名称，项目编号/包号）</w:t>
      </w:r>
      <w:r>
        <w:rPr>
          <w:rFonts w:hint="eastAsia" w:ascii="宋体" w:hAnsi="宋体" w:eastAsia="宋体" w:cs="宋体"/>
          <w:color w:val="auto"/>
          <w:sz w:val="24"/>
          <w:highlight w:val="none"/>
        </w:rPr>
        <w:t xml:space="preserve">采购活动，以我单位名义处理一切与之有关的事务。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本授权书于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日签字或盖章</w:t>
      </w:r>
      <w:r>
        <w:rPr>
          <w:rFonts w:hint="eastAsia" w:ascii="宋体" w:hAnsi="宋体" w:eastAsia="宋体" w:cs="宋体"/>
          <w:b/>
          <w:color w:val="auto"/>
          <w:sz w:val="24"/>
          <w:highlight w:val="none"/>
        </w:rPr>
        <w:t xml:space="preserve">生效，无转委托，</w:t>
      </w:r>
      <w:r>
        <w:rPr>
          <w:rFonts w:hint="eastAsia" w:ascii="宋体" w:hAnsi="宋体" w:eastAsia="宋体" w:cs="宋体"/>
          <w:color w:val="auto"/>
          <w:sz w:val="24"/>
          <w:highlight w:val="none"/>
        </w:rPr>
        <w:t xml:space="preserve">特此声明。</w:t>
      </w:r>
      <w:r/>
    </w:p>
    <w:tbl>
      <w:tblPr>
        <w:tblStyle w:val="9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8"/>
      </w:tblGrid>
      <w:tr>
        <w:trPr>
          <w:jc w:val="center"/>
          <w:trHeight w:val="3520"/>
        </w:trPr>
        <w:tc>
          <w:tcPr>
            <w:tcW w:w="8228" w:type="dxa"/>
            <w:vAlign w:val="top"/>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（※授权委托人身份证正、反面扫描件※）</w:t>
            </w:r>
            <w:r/>
          </w:p>
        </w:tc>
      </w:tr>
    </w:tbl>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委托人（加盖单位公章）：</w:t>
      </w:r>
      <w:r>
        <w:rPr>
          <w:rFonts w:hint="eastAsia" w:ascii="宋体" w:hAnsi="宋体" w:eastAsia="宋体" w:cs="宋体"/>
          <w:color w:val="auto"/>
          <w:sz w:val="24"/>
          <w:highlight w:val="none"/>
          <w:u w:val="singl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法定代表人（或非法人组织负责人）（签字或盖章）：</w:t>
      </w:r>
      <w:r>
        <w:rPr>
          <w:rFonts w:hint="eastAsia" w:ascii="宋体" w:hAnsi="宋体" w:eastAsia="宋体" w:cs="宋体"/>
          <w:color w:val="auto"/>
          <w:sz w:val="24"/>
          <w:highlight w:val="none"/>
          <w:u w:val="singl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授权委托人：（签字或盖章）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详细通讯地址：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邮政编码 ：</w:t>
      </w:r>
      <w:r>
        <w:rPr>
          <w:rFonts w:hint="eastAsia" w:ascii="宋体" w:hAnsi="宋体" w:eastAsia="宋体" w:cs="宋体"/>
          <w:color w:val="auto"/>
          <w:sz w:val="24"/>
          <w:highlight w:val="none"/>
          <w:u w:val="single"/>
        </w:rPr>
        <w:t xml:space="preserve">              </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传        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电    话：</w:t>
      </w:r>
      <w:r>
        <w:rPr>
          <w:rFonts w:hint="eastAsia" w:ascii="宋体" w:hAnsi="宋体" w:eastAsia="宋体" w:cs="宋体"/>
          <w:color w:val="auto"/>
          <w:sz w:val="24"/>
          <w:highlight w:val="none"/>
          <w:u w:val="single"/>
        </w:rPr>
        <w:t xml:space="preserve">              </w:t>
      </w:r>
      <w:r/>
    </w:p>
    <w:p>
      <w:pPr>
        <w:ind w:firstLine="480"/>
        <w:jc w:val="left"/>
        <w:spacing w:line="360" w:lineRule="auto"/>
        <w:tabs>
          <w:tab w:val="left" w:pos="5580" w:leader="none"/>
        </w:tabs>
        <w:rPr>
          <w:rFonts w:hint="eastAsia" w:ascii="宋体" w:hAnsi="宋体" w:eastAsia="宋体" w:cs="宋体"/>
          <w:i/>
          <w:color w:val="auto"/>
          <w:sz w:val="24"/>
          <w:szCs w:val="20"/>
          <w:highlight w:val="none"/>
          <w:u w:val="single"/>
        </w:rPr>
      </w:pPr>
      <w:r>
        <w:rPr>
          <w:rFonts w:hint="eastAsia" w:ascii="宋体" w:hAnsi="宋体" w:eastAsia="宋体" w:cs="宋体"/>
          <w:color w:val="auto"/>
          <w:sz w:val="24"/>
          <w:highlight w:val="none"/>
        </w:rPr>
        <w:t xml:space="preserve">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3  政府采购供应商信用承诺书</w:t>
      </w:r>
      <w:r>
        <w:rPr>
          <w:rFonts w:hint="eastAsia" w:ascii="宋体" w:hAnsi="宋体" w:eastAsia="宋体" w:cs="宋体"/>
          <w:color w:val="auto"/>
          <w:sz w:val="24"/>
          <w:szCs w:val="20"/>
          <w:highlight w:val="none"/>
        </w:rPr>
        <w:t xml:space="preserve">（实质性格式）</w:t>
      </w:r>
      <w:r/>
    </w:p>
    <w:p>
      <w:pPr>
        <w:ind w:firstLine="211"/>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政府采购供应商信用承诺书</w:t>
      </w:r>
      <w:r/>
    </w:p>
    <w:p>
      <w:pPr>
        <w:ind w:firstLine="6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五、承诺本单位自觉接受行政管理部门、行业组织、社会公众、新闻舆论的监督。 </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七、承诺本单位在信用中国（江苏）网站中无违法违规、较重或严重失信记录。 </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八、承诺本单位提出政府采购质疑和投诉坚持依法依规、诚实信用原则。</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九、根据政府采购相关法律法规的规定需要作出的其他承诺。 </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十一、承诺本单位同意将以上承诺事项上网公示，违背承诺约定行为将作为失信信息，记录到常州市公共信用信息系统，并予以公开。</w:t>
      </w:r>
      <w:r/>
    </w:p>
    <w:p>
      <w:pPr>
        <w:pStyle w:val="1398"/>
        <w:ind w:right="1050" w:firstLine="2880"/>
        <w:jc w:val="both"/>
        <w:spacing w:line="276"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名称（加盖公章）</w:t>
      </w:r>
      <w:r>
        <w:rPr>
          <w:rFonts w:hint="eastAsia" w:ascii="宋体" w:hAnsi="宋体" w:eastAsia="宋体" w:cs="宋体"/>
          <w:color w:val="auto"/>
          <w:sz w:val="24"/>
          <w:highlight w:val="none"/>
          <w:lang w:val="zh-CN"/>
        </w:rPr>
        <w:t xml:space="preserve">：____________</w:t>
      </w:r>
      <w:r/>
    </w:p>
    <w:p>
      <w:pPr>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szCs w:val="20"/>
          <w:highlight w:val="none"/>
        </w:rPr>
        <w:t xml:space="preserve">签字或签章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r/>
    </w:p>
    <w:p>
      <w:pPr>
        <w:jc w:val="left"/>
        <w:widowControl/>
        <w:rPr>
          <w:rFonts w:hint="eastAsia" w:ascii="宋体" w:hAnsi="宋体" w:eastAsia="宋体" w:cs="宋体"/>
          <w:color w:val="auto"/>
          <w:sz w:val="24"/>
          <w:szCs w:val="20"/>
          <w:highlight w:val="none"/>
        </w:rPr>
      </w:pPr>
      <w:r/>
      <w:bookmarkStart w:id="729" w:name="_Hlt520271212"/>
      <w:r/>
      <w:bookmarkEnd w:id="729"/>
      <w:r/>
      <w:bookmarkStart w:id="730" w:name="_Hlt520350918"/>
      <w:r/>
      <w:bookmarkEnd w:id="730"/>
      <w:r/>
      <w:bookmarkStart w:id="731" w:name="_Hlt520274393"/>
      <w:r/>
      <w:bookmarkEnd w:id="731"/>
      <w:r/>
      <w:bookmarkStart w:id="732" w:name="_Hlt520274121"/>
      <w:r/>
      <w:bookmarkEnd w:id="732"/>
      <w:r/>
      <w:bookmarkStart w:id="733" w:name="_Hlt520274065"/>
      <w:r/>
      <w:bookmarkEnd w:id="733"/>
      <w:r/>
      <w:bookmarkStart w:id="734" w:name="_Hlt520355504"/>
      <w:r/>
      <w:bookmarkEnd w:id="734"/>
      <w:r/>
      <w:bookmarkStart w:id="735" w:name="_Hlt520343392"/>
      <w:r/>
      <w:bookmarkEnd w:id="735"/>
      <w:r/>
      <w:bookmarkStart w:id="736" w:name="_Hlt520273711"/>
      <w:r/>
      <w:bookmarkEnd w:id="736"/>
      <w:r/>
      <w:bookmarkStart w:id="737" w:name="_Hlt520343000"/>
      <w:r/>
      <w:bookmarkEnd w:id="737"/>
      <w:r/>
      <w:bookmarkStart w:id="738" w:name="_Hlt520274407"/>
      <w:r/>
      <w:bookmarkEnd w:id="738"/>
      <w:r/>
      <w:bookmarkStart w:id="739" w:name="_Ref467988705"/>
      <w:r/>
      <w:bookmarkStart w:id="740" w:name="_Toc195842922"/>
      <w:r/>
      <w:bookmarkStart w:id="741" w:name="_Toc305158899"/>
      <w:r/>
      <w:bookmarkStart w:id="742" w:name="_Toc226965830"/>
      <w:r/>
      <w:bookmarkStart w:id="743" w:name="_Toc150480795"/>
      <w:r/>
      <w:bookmarkStart w:id="744" w:name="_Toc480942350"/>
      <w:r/>
      <w:bookmarkStart w:id="745" w:name="_Toc305158825"/>
      <w:r/>
      <w:bookmarkStart w:id="746" w:name="_Toc127151557"/>
      <w:r/>
      <w:bookmarkStart w:id="747" w:name="_Toc150774762"/>
      <w:r/>
      <w:bookmarkStart w:id="748" w:name="_Toc264969247"/>
      <w:r/>
      <w:bookmarkStart w:id="749" w:name="_Toc226337253"/>
      <w:r/>
      <w:bookmarkStart w:id="750" w:name="_Toc142311059"/>
      <w:r/>
      <w:bookmarkStart w:id="751" w:name="_Toc226309801"/>
      <w:r/>
      <w:bookmarkStart w:id="752" w:name="_Toc226965747"/>
      <w:r/>
      <w:bookmarkStart w:id="753" w:name="_Toc265228395"/>
      <w:r/>
      <w:bookmarkStart w:id="754" w:name="_Toc520356218"/>
      <w:r>
        <w:rPr>
          <w:rFonts w:hint="eastAsia" w:ascii="宋体" w:hAnsi="宋体" w:eastAsia="宋体" w:cs="宋体"/>
          <w:color w:val="auto"/>
          <w:sz w:val="24"/>
          <w:szCs w:val="20"/>
          <w:highlight w:val="none"/>
        </w:rPr>
        <w:br w:type="page" w:clear="all"/>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t xml:space="preserve">4  开标一览表</w:t>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rPr>
          <w:rFonts w:hint="eastAsia" w:ascii="宋体" w:hAnsi="宋体" w:eastAsia="宋体" w:cs="宋体"/>
          <w:color w:val="auto"/>
          <w:sz w:val="24"/>
          <w:szCs w:val="20"/>
          <w:highlight w:val="none"/>
        </w:rPr>
        <w:t xml:space="preserve">（实质性格式）</w:t>
      </w:r>
      <w:r/>
    </w:p>
    <w:p>
      <w:pPr>
        <w:jc w:val="center"/>
        <w:spacing w:line="360" w:lineRule="exact"/>
        <w:rPr>
          <w:rFonts w:hint="eastAsia" w:ascii="宋体" w:hAnsi="宋体" w:eastAsia="宋体" w:cs="宋体"/>
          <w:b/>
          <w:color w:val="auto"/>
          <w:sz w:val="36"/>
          <w:szCs w:val="36"/>
          <w:highlight w:val="none"/>
        </w:rPr>
      </w:pPr>
      <w:r/>
      <w:bookmarkStart w:id="755" w:name="_Toc226309802"/>
      <w:r/>
      <w:bookmarkStart w:id="756" w:name="_Toc226965748"/>
      <w:r/>
      <w:bookmarkStart w:id="757" w:name="_Toc264969248"/>
      <w:r/>
      <w:bookmarkStart w:id="758" w:name="_Toc305158900"/>
      <w:r/>
      <w:bookmarkStart w:id="759" w:name="_Toc164608672"/>
      <w:r/>
      <w:bookmarkStart w:id="760" w:name="_Toc226965831"/>
      <w:r/>
      <w:bookmarkStart w:id="761" w:name="_Toc164608827"/>
      <w:r/>
      <w:bookmarkStart w:id="762" w:name="_Toc195842923"/>
      <w:r/>
      <w:bookmarkStart w:id="763" w:name="_Toc226337254"/>
      <w:r/>
      <w:bookmarkStart w:id="764" w:name="_Toc305158826"/>
      <w:r/>
      <w:bookmarkStart w:id="765" w:name="_Toc265228396"/>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开标一览表</w:t>
      </w:r>
      <w:bookmarkEnd w:id="755"/>
      <w:r/>
      <w:bookmarkEnd w:id="756"/>
      <w:r/>
      <w:bookmarkEnd w:id="757"/>
      <w:r/>
      <w:bookmarkEnd w:id="758"/>
      <w:r/>
      <w:bookmarkEnd w:id="759"/>
      <w:r/>
      <w:bookmarkEnd w:id="760"/>
      <w:r/>
      <w:bookmarkEnd w:id="761"/>
      <w:r/>
      <w:bookmarkEnd w:id="762"/>
      <w:r/>
      <w:bookmarkEnd w:id="763"/>
      <w:r/>
      <w:bookmarkEnd w:id="764"/>
      <w:r/>
      <w:bookmarkEnd w:id="765"/>
      <w:r/>
      <w:r/>
    </w:p>
    <w:p>
      <w:pPr>
        <w:jc w:val="left"/>
        <w:spacing w:line="360" w:lineRule="auto"/>
        <w:tabs>
          <w:tab w:val="left" w:pos="1800" w:leader="none"/>
          <w:tab w:val="left" w:pos="5580" w:leader="none"/>
        </w:tabs>
        <w:rPr>
          <w:rFonts w:hint="eastAsia" w:ascii="宋体" w:hAnsi="宋体" w:eastAsia="宋体" w:cs="宋体"/>
          <w:i/>
          <w:color w:val="auto"/>
          <w:sz w:val="24"/>
          <w:highlight w:val="none"/>
        </w:rPr>
      </w:pPr>
      <w:r>
        <w:rPr>
          <w:rFonts w:hint="eastAsia" w:ascii="宋体" w:hAnsi="宋体" w:eastAsia="宋体" w:cs="宋体"/>
          <w:i/>
          <w:color w:val="auto"/>
          <w:sz w:val="24"/>
          <w:highlight w:val="none"/>
        </w:rPr>
      </w:r>
      <w:r/>
    </w:p>
    <w:p>
      <w:pPr>
        <w:ind w:firstLine="240"/>
        <w:jc w:val="left"/>
        <w:spacing w:line="360" w:lineRule="auto"/>
        <w:tabs>
          <w:tab w:val="left" w:pos="1800" w:leader="none"/>
          <w:tab w:val="left" w:pos="558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项目编号/包号：_____________________     项目名称：____________</w:t>
      </w:r>
      <w:r/>
    </w:p>
    <w:tbl>
      <w:tblPr>
        <w:tblStyle w:val="971"/>
        <w:tblW w:w="463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09"/>
        <w:gridCol w:w="4149"/>
        <w:gridCol w:w="1187"/>
        <w:gridCol w:w="2928"/>
      </w:tblGrid>
      <w:tr>
        <w:trPr>
          <w:jc w:val="center"/>
          <w:trHeight w:val="633"/>
        </w:trPr>
        <w:tc>
          <w:tcPr>
            <w:tcW w:w="409" w:type="dxa"/>
            <w:vAlign w:val="center"/>
            <w:vMerge w:val="restart"/>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2217" w:type="dxa"/>
            <w:vAlign w:val="center"/>
            <w:vMerge w:val="restart"/>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报价内容</w:t>
            </w:r>
            <w:r/>
          </w:p>
        </w:tc>
        <w:tc>
          <w:tcPr>
            <w:gridSpan w:val="2"/>
            <w:tcW w:w="4115" w:type="dxa"/>
            <w:vAlign w:val="center"/>
            <w:textDirection w:val="lrTb"/>
            <w:noWrap w:val="false"/>
          </w:tcPr>
          <w:p>
            <w:pPr>
              <w:jc w:val="center"/>
              <w:tabs>
                <w:tab w:val="left" w:pos="5580" w:leader="none"/>
              </w:tabs>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投标报价</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元</w:t>
            </w:r>
            <w:r>
              <w:rPr>
                <w:rFonts w:hint="eastAsia" w:ascii="宋体" w:hAnsi="宋体" w:eastAsia="宋体" w:cs="宋体"/>
                <w:b/>
                <w:color w:val="auto"/>
                <w:sz w:val="24"/>
                <w:highlight w:val="none"/>
                <w:lang w:eastAsia="zh-CN"/>
              </w:rPr>
              <w:t xml:space="preserve">）</w:t>
            </w:r>
            <w:r/>
          </w:p>
        </w:tc>
      </w:tr>
      <w:tr>
        <w:trPr>
          <w:jc w:val="center"/>
          <w:trHeight w:val="674"/>
        </w:trPr>
        <w:tc>
          <w:tcPr>
            <w:tcW w:w="409" w:type="dxa"/>
            <w:vAlign w:val="center"/>
            <w:vMerge w:val="continue"/>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17" w:type="dxa"/>
            <w:vAlign w:val="center"/>
            <w:vMerge w:val="continue"/>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7" w:type="dxa"/>
            <w:vAlign w:val="center"/>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大写</w:t>
            </w:r>
            <w:r/>
          </w:p>
        </w:tc>
        <w:tc>
          <w:tcPr>
            <w:tcW w:w="1185" w:type="dxa"/>
            <w:vAlign w:val="center"/>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小写</w:t>
            </w:r>
            <w:r/>
          </w:p>
        </w:tc>
      </w:tr>
      <w:tr>
        <w:trPr>
          <w:jc w:val="center"/>
          <w:trHeight w:val="976"/>
        </w:trPr>
        <w:tc>
          <w:tcPr>
            <w:tcW w:w="409"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17"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7"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5"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76"/>
        </w:trPr>
        <w:tc>
          <w:tcPr>
            <w:gridSpan w:val="2"/>
            <w:tcW w:w="4558" w:type="dxa"/>
            <w:vAlign w:val="center"/>
            <w:textDirection w:val="lrTb"/>
            <w:noWrap w:val="false"/>
          </w:tcPr>
          <w:p>
            <w:pPr>
              <w:jc w:val="center"/>
              <w:tabs>
                <w:tab w:val="left" w:pos="55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项目负责人</w:t>
            </w:r>
            <w:r/>
          </w:p>
        </w:tc>
        <w:tc>
          <w:tcPr>
            <w:gridSpan w:val="2"/>
            <w:tcW w:w="4115"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ascii="Times New Roman" w:hAnsi="Times New Roman" w:eastAsia="宋体" w:cs="Times New Roman"/>
          <w:color w:val="auto"/>
          <w:sz w:val="24"/>
          <w:szCs w:val="20"/>
          <w:highlight w:val="none"/>
        </w:rPr>
        <w:outlineLvl w:val="9"/>
      </w:pPr>
      <w:r>
        <w:rPr>
          <w:rFonts w:ascii="Times New Roman" w:hAnsi="Times New Roman" w:eastAsia="宋体" w:cs="Times New Roman"/>
          <w:color w:val="auto"/>
          <w:sz w:val="24"/>
          <w:highlight w:val="none"/>
        </w:rPr>
        <w:t xml:space="preserve">注：</w:t>
      </w:r>
      <w:r>
        <w:rPr>
          <w:rFonts w:hint="eastAsia" w:ascii="Times New Roman" w:hAnsi="Times New Roman" w:eastAsia="宋体" w:cs="Times New Roman"/>
          <w:color w:val="auto"/>
          <w:sz w:val="24"/>
          <w:highlight w:val="none"/>
          <w:lang w:val="en-US" w:eastAsia="zh-CN"/>
        </w:rPr>
        <w:t xml:space="preserve">1.</w:t>
      </w:r>
      <w:r>
        <w:rPr>
          <w:rFonts w:ascii="Times New Roman" w:hAnsi="Times New Roman" w:eastAsia="宋体" w:cs="Times New Roman"/>
          <w:color w:val="auto"/>
          <w:sz w:val="24"/>
          <w:szCs w:val="20"/>
          <w:highlight w:val="none"/>
        </w:rPr>
        <w:t xml:space="preserve">此表的投标报价应和《投标分项报价表》中的总价相一致。</w:t>
      </w:r>
      <w:r/>
    </w:p>
    <w:p>
      <w:pPr>
        <w:ind w:firstLine="480"/>
        <w:spacing w:line="360" w:lineRule="auto"/>
        <w:tabs>
          <w:tab w:val="left" w:pos="5580" w:leader="none"/>
        </w:tabs>
        <w:rPr>
          <w:rFonts w:hint="eastAsia" w:ascii="宋体" w:hAnsi="宋体" w:eastAsia="宋体" w:cs="宋体"/>
          <w:color w:val="auto"/>
          <w:sz w:val="24"/>
          <w:szCs w:val="20"/>
          <w:highlight w:val="none"/>
        </w:rPr>
      </w:pPr>
      <w:r>
        <w:rPr>
          <w:rFonts w:hint="eastAsia" w:ascii="Times New Roman" w:hAnsi="Times New Roman" w:eastAsia="宋体" w:cs="Times New Roman"/>
          <w:color w:val="auto"/>
          <w:sz w:val="24"/>
          <w:highlight w:val="none"/>
          <w:lang w:val="en-US" w:eastAsia="zh-CN"/>
        </w:rPr>
        <w:t xml:space="preserve">2.格式</w:t>
      </w:r>
      <w:r>
        <w:rPr>
          <w:rFonts w:hint="eastAsia" w:ascii="Times New Roman" w:hAnsi="Times New Roman" w:eastAsia="宋体" w:cs="Times New Roman"/>
          <w:color w:val="auto"/>
          <w:sz w:val="24"/>
          <w:highlight w:val="none"/>
          <w:lang w:val="zh-CN"/>
        </w:rPr>
        <w:t xml:space="preserve">以系统中《开标一览表》为准。</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投标人名称（加盖公章）</w:t>
      </w:r>
      <w:r>
        <w:rPr>
          <w:rFonts w:hint="eastAsia" w:ascii="宋体" w:hAnsi="宋体" w:eastAsia="宋体" w:cs="宋体"/>
          <w:color w:val="auto"/>
          <w:sz w:val="24"/>
          <w:highlight w:val="none"/>
          <w:lang w:val="zh-CN"/>
        </w:rPr>
        <w:t xml:space="preserve">：____________</w:t>
      </w:r>
      <w:r/>
    </w:p>
    <w:p>
      <w:pPr>
        <w:jc w:val="left"/>
        <w:spacing w:line="48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r/>
    </w:p>
    <w:p>
      <w:pPr>
        <w:rPr>
          <w:rFonts w:hint="eastAsia" w:ascii="宋体" w:hAnsi="宋体" w:eastAsia="宋体" w:cs="宋体"/>
          <w:color w:val="auto"/>
          <w:sz w:val="24"/>
          <w:szCs w:val="20"/>
          <w:highlight w:val="none"/>
        </w:rPr>
      </w:pPr>
      <w:r/>
      <w:bookmarkStart w:id="766" w:name="_Toc195842924"/>
      <w:r/>
      <w:bookmarkStart w:id="767" w:name="_Toc226965832"/>
      <w:r/>
      <w:bookmarkStart w:id="768" w:name="_Toc264969249"/>
      <w:r/>
      <w:bookmarkStart w:id="769" w:name="_Toc226309803"/>
      <w:r/>
      <w:bookmarkStart w:id="770" w:name="_Toc150480796"/>
      <w:r/>
      <w:bookmarkStart w:id="771" w:name="_Toc150774763"/>
      <w:r/>
      <w:bookmarkStart w:id="772" w:name="_Toc305158901"/>
      <w:r/>
      <w:bookmarkStart w:id="773" w:name="_Toc127151558"/>
      <w:r/>
      <w:bookmarkStart w:id="774" w:name="_Toc305158827"/>
      <w:r/>
      <w:bookmarkStart w:id="775" w:name="_Toc142311060"/>
      <w:r/>
      <w:bookmarkStart w:id="776" w:name="_Toc226965749"/>
      <w:r/>
      <w:bookmarkStart w:id="777" w:name="_Toc226337255"/>
      <w:r/>
      <w:bookmarkStart w:id="778" w:name="_Toc265228397"/>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pacing w:line="360" w:lineRule="auto"/>
        <w:rPr>
          <w:rFonts w:hint="eastAsia" w:ascii="Calibri" w:hAnsi="Calibri" w:eastAsia="宋体" w:cs="Times New Roman"/>
          <w:color w:val="auto"/>
          <w:sz w:val="24"/>
          <w:szCs w:val="20"/>
          <w:highlight w:val="none"/>
          <w:lang w:val="en-US" w:eastAsia="zh-CN"/>
        </w:rPr>
        <w:outlineLvl w:val="2"/>
      </w:pPr>
      <w:r>
        <w:rPr>
          <w:rFonts w:hint="eastAsia" w:ascii="Calibri" w:hAnsi="Calibri" w:eastAsia="宋体" w:cs="Times New Roman"/>
          <w:color w:val="auto"/>
          <w:sz w:val="24"/>
          <w:szCs w:val="20"/>
          <w:highlight w:val="none"/>
          <w:lang w:val="en-US" w:eastAsia="zh-CN"/>
        </w:rPr>
      </w:r>
      <w:r/>
    </w:p>
    <w:p>
      <w:pPr>
        <w:spacing w:line="360" w:lineRule="auto"/>
        <w:rPr>
          <w:rFonts w:hint="eastAsia" w:ascii="Calibri" w:hAnsi="Calibri" w:eastAsia="宋体" w:cs="Times New Roman"/>
          <w:color w:val="auto"/>
          <w:sz w:val="24"/>
          <w:szCs w:val="20"/>
          <w:highlight w:val="none"/>
          <w:lang w:val="en-US" w:eastAsia="zh-CN"/>
        </w:rPr>
        <w:outlineLvl w:val="2"/>
      </w:pPr>
      <w:r>
        <w:rPr>
          <w:rFonts w:hint="eastAsia" w:ascii="Calibri" w:hAnsi="Calibri" w:eastAsia="宋体" w:cs="Times New Roman"/>
          <w:color w:val="auto"/>
          <w:sz w:val="24"/>
          <w:szCs w:val="20"/>
          <w:highlight w:val="none"/>
          <w:lang w:val="en-US" w:eastAsia="zh-CN"/>
        </w:rPr>
        <w:t xml:space="preserve">5 投标分项报价表（实质性格式）</w:t>
      </w:r>
      <w:r/>
    </w:p>
    <w:p>
      <w:pPr>
        <w:jc w:val="center"/>
        <w:spacing w:line="360" w:lineRule="auto"/>
        <w:tabs>
          <w:tab w:val="left" w:pos="1800" w:leader="none"/>
          <w:tab w:val="left" w:pos="5580" w:leader="none"/>
        </w:tabs>
        <w:rPr>
          <w:rFonts w:ascii="Times New Roman" w:hAnsi="Times New Roman" w:eastAsia="宋体" w:cs="Times New Roman"/>
          <w:b/>
          <w:color w:val="auto"/>
          <w:sz w:val="36"/>
          <w:szCs w:val="36"/>
          <w:highlight w:val="none"/>
          <w:lang w:val="en-US" w:eastAsia="zh-CN"/>
        </w:rPr>
      </w:pPr>
      <w:r>
        <w:rPr>
          <w:rFonts w:hint="eastAsia" w:ascii="Times New Roman" w:hAnsi="Times New Roman" w:eastAsia="宋体" w:cs="Times New Roman"/>
          <w:b/>
          <w:color w:val="auto"/>
          <w:sz w:val="36"/>
          <w:szCs w:val="36"/>
          <w:highlight w:val="none"/>
        </w:rPr>
        <w:t xml:space="preserve">投标分项报价表</w:t>
      </w:r>
      <w:r/>
    </w:p>
    <w:tbl>
      <w:tblPr>
        <w:tblStyle w:val="97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0"/>
        <w:gridCol w:w="1237"/>
        <w:gridCol w:w="2652"/>
        <w:gridCol w:w="1143"/>
        <w:gridCol w:w="800"/>
        <w:gridCol w:w="1377"/>
        <w:gridCol w:w="1813"/>
      </w:tblGrid>
      <w:tr>
        <w:trPr>
          <w:cantSplit/>
          <w:jc w:val="center"/>
          <w:trHeight w:val="470"/>
        </w:trPr>
        <w:tc>
          <w:tcPr>
            <w:tcBorders>
              <w:top w:val="single" w:color="auto" w:sz="4" w:space="0"/>
              <w:left w:val="single" w:color="auto" w:sz="4" w:space="0"/>
              <w:right w:val="single" w:color="auto" w:sz="4" w:space="0"/>
            </w:tcBorders>
            <w:tcW w:w="287" w:type="pct"/>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right w:val="single" w:color="auto" w:sz="4" w:space="0"/>
            </w:tcBorders>
            <w:tcW w:w="646" w:type="pct"/>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分项名称</w:t>
            </w:r>
            <w:r/>
          </w:p>
        </w:tc>
        <w:tc>
          <w:tcPr>
            <w:tcBorders>
              <w:top w:val="single" w:color="auto" w:sz="4" w:space="0"/>
              <w:left w:val="single" w:color="auto" w:sz="4" w:space="0"/>
              <w:right w:val="single" w:color="auto" w:sz="4" w:space="0"/>
            </w:tcBorders>
            <w:tcW w:w="1383" w:type="pct"/>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服务内容</w:t>
            </w:r>
            <w:r/>
          </w:p>
        </w:tc>
        <w:tc>
          <w:tcPr>
            <w:tcBorders>
              <w:top w:val="single" w:color="auto" w:sz="4" w:space="0"/>
              <w:left w:val="single" w:color="auto" w:sz="4" w:space="0"/>
              <w:right w:val="single" w:color="auto" w:sz="4" w:space="0"/>
            </w:tcBorders>
            <w:tcW w:w="597" w:type="pct"/>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auto" w:sz="4" w:space="0"/>
              <w:left w:val="single" w:color="auto" w:sz="4" w:space="0"/>
              <w:right w:val="single" w:color="auto" w:sz="4" w:space="0"/>
            </w:tcBorders>
            <w:tcW w:w="418" w:type="pct"/>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gridSpan w:val="2"/>
            <w:tcBorders>
              <w:top w:val="single" w:color="auto" w:sz="4" w:space="0"/>
              <w:left w:val="single" w:color="auto" w:sz="4" w:space="0"/>
              <w:right w:val="single" w:color="auto" w:sz="4" w:space="0"/>
            </w:tcBorders>
            <w:tcW w:w="166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投标价格</w:t>
            </w:r>
            <w:r/>
          </w:p>
        </w:tc>
      </w:tr>
      <w:tr>
        <w:trPr>
          <w:cantSplit/>
          <w:jc w:val="center"/>
          <w:trHeight w:val="1025"/>
        </w:trPr>
        <w:tc>
          <w:tcPr>
            <w:tcBorders>
              <w:left w:val="single" w:color="auto" w:sz="4" w:space="0"/>
              <w:bottom w:val="single" w:color="auto" w:sz="4" w:space="0"/>
              <w:right w:val="single" w:color="auto" w:sz="4" w:space="0"/>
            </w:tcBorders>
            <w:tcW w:w="287" w:type="pct"/>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bottom w:val="single" w:color="auto" w:sz="4" w:space="0"/>
              <w:right w:val="single" w:color="auto" w:sz="4" w:space="0"/>
            </w:tcBorders>
            <w:tcW w:w="646" w:type="pct"/>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bottom w:val="single" w:color="auto" w:sz="4" w:space="0"/>
              <w:right w:val="single" w:color="auto" w:sz="4" w:space="0"/>
            </w:tcBorders>
            <w:tcW w:w="1383" w:type="pct"/>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bottom w:val="single" w:color="auto" w:sz="4" w:space="0"/>
              <w:right w:val="single" w:color="auto" w:sz="4" w:space="0"/>
            </w:tcBorders>
            <w:tcW w:w="597" w:type="pct"/>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bottom w:val="single" w:color="auto" w:sz="4" w:space="0"/>
              <w:right w:val="single" w:color="auto" w:sz="4" w:space="0"/>
            </w:tcBorders>
            <w:tcW w:w="418" w:type="pct"/>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right w:val="single" w:color="auto"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单价</w:t>
            </w:r>
            <w:r/>
          </w:p>
        </w:tc>
        <w:tc>
          <w:tcPr>
            <w:tcBorders>
              <w:top w:val="single" w:color="auto" w:sz="4" w:space="0"/>
              <w:left w:val="single" w:color="auto" w:sz="4" w:space="0"/>
              <w:right w:val="single" w:color="auto" w:sz="4" w:space="0"/>
            </w:tcBorders>
            <w:tcW w:w="946"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28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vertAlign w:val="baseline"/>
                <w:lang w:val="en-US" w:eastAsia="zh-CN" w:bidi="ar-SA"/>
              </w:rPr>
            </w:pPr>
            <w:r>
              <w:rPr>
                <w:rFonts w:hint="eastAsia" w:ascii="宋体" w:hAnsi="宋体" w:eastAsia="宋体" w:cs="宋体"/>
                <w:bCs/>
                <w:color w:val="auto"/>
                <w:sz w:val="24"/>
                <w:szCs w:val="24"/>
                <w:highlight w:val="none"/>
                <w:vertAlign w:val="baseline"/>
                <w:lang w:val="en-US" w:eastAsia="zh-CN" w:bidi="ar-SA"/>
              </w:rPr>
            </w:r>
            <w:r/>
          </w:p>
        </w:tc>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19"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46"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 </w:t>
            </w:r>
            <w:r/>
          </w:p>
        </w:tc>
      </w:tr>
      <w:tr>
        <w:trPr>
          <w:jc w:val="center"/>
          <w:trHeight w:val="480"/>
        </w:trPr>
        <w:tc>
          <w:tcPr>
            <w:tcBorders>
              <w:top w:val="single" w:color="auto" w:sz="4" w:space="0"/>
              <w:left w:val="single" w:color="auto" w:sz="4" w:space="0"/>
              <w:bottom w:val="single" w:color="auto" w:sz="4" w:space="0"/>
              <w:right w:val="single" w:color="auto" w:sz="4" w:space="0"/>
            </w:tcBorders>
            <w:tcW w:w="28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vertAlign w:val="baseline"/>
                <w:lang w:val="en-US" w:eastAsia="zh-CN" w:bidi="ar-SA"/>
              </w:rPr>
            </w:pPr>
            <w:r>
              <w:rPr>
                <w:rFonts w:hint="eastAsia" w:ascii="宋体" w:hAnsi="宋体" w:eastAsia="宋体" w:cs="宋体"/>
                <w:bCs/>
                <w:color w:val="auto"/>
                <w:sz w:val="24"/>
                <w:szCs w:val="24"/>
                <w:highlight w:val="none"/>
                <w:vertAlign w:val="baseli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vertAlign w:val="baseline"/>
                <w:lang w:val="en-US" w:eastAsia="zh-CN" w:bidi="ar-SA"/>
              </w:rPr>
            </w:pPr>
            <w:r>
              <w:rPr>
                <w:rFonts w:hint="eastAsia" w:ascii="宋体" w:hAnsi="宋体" w:eastAsia="宋体" w:cs="宋体"/>
                <w:bCs/>
                <w:color w:val="auto"/>
                <w:sz w:val="24"/>
                <w:szCs w:val="24"/>
                <w:highlight w:val="none"/>
                <w:vertAlign w:val="baseline"/>
                <w:lang w:val="en-US" w:eastAsia="zh-CN" w:bidi="ar-SA"/>
              </w:rPr>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46"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jc w:val="center"/>
          <w:trHeight w:val="480"/>
        </w:trPr>
        <w:tc>
          <w:tcPr>
            <w:tcBorders>
              <w:top w:val="single" w:color="auto" w:sz="4" w:space="0"/>
              <w:left w:val="single" w:color="auto" w:sz="4" w:space="0"/>
              <w:bottom w:val="single" w:color="auto" w:sz="4" w:space="0"/>
              <w:right w:val="single" w:color="auto" w:sz="4" w:space="0"/>
            </w:tcBorders>
            <w:tcW w:w="28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vertAlign w:val="baseline"/>
                <w:lang w:val="en-US" w:eastAsia="zh-CN" w:bidi="ar-SA"/>
              </w:rPr>
            </w:pPr>
            <w:r>
              <w:rPr>
                <w:rFonts w:hint="eastAsia" w:ascii="宋体" w:hAnsi="宋体" w:eastAsia="宋体" w:cs="宋体"/>
                <w:bCs/>
                <w:color w:val="auto"/>
                <w:sz w:val="24"/>
                <w:szCs w:val="24"/>
                <w:highlight w:val="none"/>
                <w:vertAlign w:val="baseli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vertAlign w:val="baseline"/>
                <w:lang w:val="en-US" w:eastAsia="zh-CN" w:bidi="ar-SA"/>
              </w:rPr>
            </w:pPr>
            <w:r>
              <w:rPr>
                <w:rFonts w:hint="eastAsia" w:ascii="宋体" w:hAnsi="宋体" w:eastAsia="宋体" w:cs="宋体"/>
                <w:bCs/>
                <w:color w:val="auto"/>
                <w:sz w:val="24"/>
                <w:szCs w:val="24"/>
                <w:highlight w:val="none"/>
                <w:vertAlign w:val="baseline"/>
                <w:lang w:val="en-US" w:eastAsia="zh-CN" w:bidi="ar-SA"/>
              </w:rPr>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19"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46"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jc w:val="center"/>
          <w:trHeight w:val="480"/>
        </w:trPr>
        <w:tc>
          <w:tcPr>
            <w:tcBorders>
              <w:top w:val="single" w:color="auto" w:sz="4" w:space="0"/>
              <w:left w:val="single" w:color="auto" w:sz="4" w:space="0"/>
              <w:bottom w:val="single" w:color="auto" w:sz="4" w:space="0"/>
              <w:right w:val="single" w:color="auto" w:sz="4" w:space="0"/>
            </w:tcBorders>
            <w:tcW w:w="28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vertAlign w:val="baseline"/>
                <w:lang w:val="en-US" w:eastAsia="zh-CN" w:bidi="ar-SA"/>
              </w:rPr>
            </w:pPr>
            <w:r>
              <w:rPr>
                <w:rFonts w:hint="eastAsia" w:ascii="宋体" w:hAnsi="宋体" w:eastAsia="宋体" w:cs="宋体"/>
                <w:bCs/>
                <w:color w:val="auto"/>
                <w:sz w:val="24"/>
                <w:szCs w:val="24"/>
                <w:highlight w:val="none"/>
                <w:vertAlign w:val="baseli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vertAlign w:val="baseline"/>
                <w:lang w:val="en-US" w:eastAsia="zh-CN" w:bidi="ar-SA"/>
              </w:rPr>
            </w:pPr>
            <w:r>
              <w:rPr>
                <w:rFonts w:hint="eastAsia" w:ascii="宋体" w:hAnsi="宋体" w:eastAsia="宋体" w:cs="宋体"/>
                <w:bCs/>
                <w:color w:val="auto"/>
                <w:sz w:val="24"/>
                <w:szCs w:val="24"/>
                <w:highlight w:val="none"/>
                <w:vertAlign w:val="baseline"/>
                <w:lang w:val="en-US" w:eastAsia="zh-CN" w:bidi="ar-SA"/>
              </w:rPr>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19"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46"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jc w:val="center"/>
          <w:trHeight w:val="480"/>
        </w:trPr>
        <w:tc>
          <w:tcPr>
            <w:tcBorders>
              <w:top w:val="single" w:color="auto" w:sz="4" w:space="0"/>
              <w:left w:val="single" w:color="auto" w:sz="4" w:space="0"/>
              <w:bottom w:val="single" w:color="auto" w:sz="4" w:space="0"/>
              <w:right w:val="single" w:color="auto" w:sz="4" w:space="0"/>
            </w:tcBorders>
            <w:tcW w:w="28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vertAlign w:val="baseline"/>
                <w:lang w:val="en-US" w:eastAsia="zh-CN" w:bidi="ar-SA"/>
              </w:rPr>
            </w:pPr>
            <w:r>
              <w:rPr>
                <w:rFonts w:hint="eastAsia" w:ascii="宋体" w:hAnsi="宋体" w:eastAsia="宋体" w:cs="宋体"/>
                <w:bCs/>
                <w:color w:val="auto"/>
                <w:sz w:val="24"/>
                <w:szCs w:val="24"/>
                <w:highlight w:val="none"/>
                <w:vertAlign w:val="baseli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vertAlign w:val="baseline"/>
                <w:lang w:val="en-US" w:eastAsia="zh-CN" w:bidi="ar-SA"/>
              </w:rPr>
            </w:pPr>
            <w:r>
              <w:rPr>
                <w:rFonts w:hint="eastAsia" w:ascii="宋体" w:hAnsi="宋体" w:eastAsia="宋体" w:cs="宋体"/>
                <w:bCs/>
                <w:color w:val="auto"/>
                <w:sz w:val="24"/>
                <w:szCs w:val="24"/>
                <w:highlight w:val="none"/>
                <w:vertAlign w:val="baseline"/>
                <w:lang w:val="en-US" w:eastAsia="zh-CN" w:bidi="ar-SA"/>
              </w:rPr>
            </w:r>
            <w:r/>
          </w:p>
        </w:tc>
        <w:tc>
          <w:tcPr>
            <w:tcBorders>
              <w:top w:val="single" w:color="auto" w:sz="4" w:space="0"/>
              <w:left w:val="single" w:color="auto" w:sz="4" w:space="0"/>
              <w:bottom w:val="single" w:color="auto" w:sz="4" w:space="0"/>
              <w:right w:val="single" w:color="auto" w:sz="4" w:space="0"/>
            </w:tcBorders>
            <w:tcW w:w="138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19"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46"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231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vertAlign w:val="baseline"/>
                <w:lang w:val="en-US" w:eastAsia="zh-CN" w:bidi="ar-SA"/>
              </w:rPr>
            </w:pPr>
            <w:r>
              <w:rPr>
                <w:rFonts w:hint="eastAsia" w:ascii="宋体" w:hAnsi="宋体" w:eastAsia="宋体" w:cs="宋体"/>
                <w:bCs/>
                <w:color w:val="auto"/>
                <w:sz w:val="24"/>
                <w:szCs w:val="24"/>
                <w:highlight w:val="none"/>
                <w:vertAlign w:val="baseline"/>
                <w:lang w:val="en-US" w:eastAsia="zh-CN" w:bidi="ar-SA"/>
              </w:rPr>
              <w:t xml:space="preserve">总价（元）</w:t>
            </w:r>
            <w:r/>
          </w:p>
        </w:tc>
        <w:tc>
          <w:tcPr>
            <w:gridSpan w:val="4"/>
            <w:tcBorders>
              <w:top w:val="single" w:color="auto" w:sz="4" w:space="0"/>
              <w:left w:val="single" w:color="auto" w:sz="4" w:space="0"/>
              <w:bottom w:val="single" w:color="auto" w:sz="4" w:space="0"/>
              <w:right w:val="single" w:color="auto" w:sz="4" w:space="0"/>
            </w:tcBorders>
            <w:tcW w:w="2681"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auto"/>
                <w:sz w:val="24"/>
                <w:szCs w:val="24"/>
                <w:highlight w:val="none"/>
                <w:vertAlign w:val="baseline"/>
                <w:lang w:val="en-US" w:eastAsia="zh-CN" w:bidi="ar-SA"/>
              </w:rPr>
            </w:pPr>
            <w:r>
              <w:rPr>
                <w:rFonts w:hint="eastAsia" w:ascii="宋体" w:hAnsi="宋体" w:eastAsia="宋体" w:cs="宋体"/>
                <w:bCs/>
                <w:color w:val="auto"/>
                <w:sz w:val="24"/>
                <w:szCs w:val="24"/>
                <w:highlight w:val="none"/>
                <w:vertAlign w:val="baseline"/>
                <w:lang w:val="en-US" w:eastAsia="zh-CN" w:bidi="ar-SA"/>
              </w:rPr>
            </w:r>
            <w:r/>
          </w:p>
        </w:tc>
      </w:tr>
    </w:tbl>
    <w:p>
      <w:pPr>
        <w:keepLines w:val="0"/>
        <w:keepNext w:val="0"/>
        <w:pageBreakBefore w:val="0"/>
        <w:spacing w:before="25" w:after="25" w:line="360" w:lineRule="exact"/>
        <w:widowControl w:val="off"/>
        <w:rPr>
          <w:rFonts w:hint="eastAsia" w:ascii="宋体" w:hAnsi="宋体" w:eastAsia="宋体" w:cs="宋体"/>
          <w:b/>
          <w:bCs/>
          <w:color w:val="auto"/>
          <w:spacing w:val="2"/>
          <w:sz w:val="24"/>
          <w:szCs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 xml:space="preserve">注：如果不提供分项报价将视为没有实质性响应招标文件。</w:t>
      </w:r>
      <w:r/>
    </w:p>
    <w:p>
      <w:pPr>
        <w:keepLines w:val="0"/>
        <w:keepNext w:val="0"/>
        <w:pageBreakBefore w:val="0"/>
        <w:spacing w:before="10" w:line="360" w:lineRule="auto"/>
        <w:widowControl w:val="off"/>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p>
      <w:pPr>
        <w:spacing w:line="360" w:lineRule="auto"/>
        <w:rPr>
          <w:rFonts w:hint="eastAsia" w:ascii="Times New Roman" w:hAnsi="Times New Roman" w:eastAsia="宋体" w:cs="Times New Roman"/>
          <w:color w:val="auto"/>
          <w:sz w:val="24"/>
          <w:szCs w:val="20"/>
          <w:highlight w:val="none"/>
        </w:rPr>
        <w:outlineLvl w:val="2"/>
      </w:pPr>
      <w:r>
        <w:rPr>
          <w:rFonts w:hint="eastAsia" w:ascii="Times New Roman" w:hAnsi="Times New Roman" w:eastAsia="宋体" w:cs="Times New Roman"/>
          <w:color w:val="auto"/>
          <w:sz w:val="24"/>
          <w:szCs w:val="20"/>
          <w:highlight w:val="none"/>
        </w:rPr>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投标人名称（加盖公章）</w:t>
      </w:r>
      <w:r>
        <w:rPr>
          <w:rFonts w:hint="eastAsia" w:ascii="宋体" w:hAnsi="宋体" w:eastAsia="宋体" w:cs="宋体"/>
          <w:color w:val="auto"/>
          <w:sz w:val="24"/>
          <w:highlight w:val="none"/>
          <w:lang w:val="zh-CN"/>
        </w:rPr>
        <w:t xml:space="preserve">：____________</w:t>
      </w:r>
      <w:r/>
    </w:p>
    <w:p>
      <w:pPr>
        <w:spacing w:line="360" w:lineRule="auto"/>
        <w:tabs>
          <w:tab w:val="left" w:pos="5580" w:leader="none"/>
        </w:tabs>
        <w:rPr>
          <w:rFonts w:ascii="宋体" w:hAnsi="宋体" w:eastAsia="宋体" w:cs="Times New Roman"/>
          <w:color w:val="auto"/>
          <w:sz w:val="24"/>
          <w:szCs w:val="20"/>
          <w:highlight w:val="none"/>
        </w:rPr>
      </w:pPr>
      <w:r>
        <w:rPr>
          <w:rFonts w:hint="eastAsia" w:ascii="宋体" w:hAnsi="宋体" w:eastAsia="宋体" w:cs="宋体"/>
          <w:color w:val="auto"/>
          <w:sz w:val="24"/>
          <w:szCs w:val="20"/>
          <w:highlight w:val="none"/>
        </w:rPr>
        <w:t xml:space="preserve">日期：_____年______月______日 </w:t>
      </w:r>
      <w:r>
        <w:rPr>
          <w:rFonts w:ascii="宋体" w:hAnsi="宋体" w:eastAsia="宋体" w:cs="Times New Roman"/>
          <w:color w:val="auto"/>
          <w:sz w:val="24"/>
          <w:szCs w:val="20"/>
          <w:highlight w:val="none"/>
        </w:rPr>
        <w:t xml:space="preserve"> </w:t>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r/>
    </w:p>
    <w:p>
      <w:pPr>
        <w:rPr>
          <w:rFonts w:hint="eastAsia" w:ascii="宋体" w:hAnsi="宋体" w:cs="宋体"/>
          <w:color w:val="auto"/>
          <w:sz w:val="24"/>
          <w:szCs w:val="20"/>
          <w:highlight w:val="none"/>
          <w:lang w:val="en-US" w:eastAsia="zh-CN"/>
        </w:rPr>
      </w:pPr>
      <w:r/>
      <w:bookmarkStart w:id="779" w:name="_Toc127151562"/>
      <w:r/>
      <w:bookmarkStart w:id="780" w:name="_Toc265228400"/>
      <w:r/>
      <w:bookmarkStart w:id="781" w:name="_Toc142311062"/>
      <w:r/>
      <w:bookmarkStart w:id="782" w:name="_Toc150774765"/>
      <w:r/>
      <w:bookmarkStart w:id="783" w:name="_Toc305158904"/>
      <w:r/>
      <w:bookmarkStart w:id="784" w:name="_Toc226965752"/>
      <w:r/>
      <w:bookmarkStart w:id="785" w:name="_Toc226309806"/>
      <w:r/>
      <w:bookmarkStart w:id="786" w:name="_Toc226965835"/>
      <w:r/>
      <w:bookmarkStart w:id="787" w:name="_Toc264969252"/>
      <w:r/>
      <w:bookmarkStart w:id="788" w:name="_Toc305158830"/>
      <w:r/>
      <w:bookmarkStart w:id="789" w:name="_Toc150480798"/>
      <w:r/>
      <w:bookmarkStart w:id="790" w:name="_Toc195842927"/>
      <w:r/>
      <w:bookmarkStart w:id="791" w:name="_Toc226337258"/>
      <w:r/>
      <w:bookmarkStart w:id="792" w:name="_Toc264969251"/>
      <w:r/>
      <w:bookmarkStart w:id="793" w:name="_Toc226309805"/>
      <w:r/>
      <w:bookmarkStart w:id="794" w:name="_Toc226965751"/>
      <w:r/>
      <w:bookmarkStart w:id="795" w:name="_Toc305158829"/>
      <w:r/>
      <w:bookmarkStart w:id="796" w:name="_Toc226965834"/>
      <w:r/>
      <w:bookmarkStart w:id="797" w:name="_Toc150480797"/>
      <w:r/>
      <w:bookmarkStart w:id="798" w:name="_Toc305158903"/>
      <w:r/>
      <w:bookmarkStart w:id="799" w:name="_Toc226337257"/>
      <w:r/>
      <w:bookmarkStart w:id="800" w:name="_Toc127151561"/>
      <w:r/>
      <w:bookmarkStart w:id="801" w:name="_Toc195842926"/>
      <w:r/>
      <w:bookmarkStart w:id="802" w:name="_Toc265228399"/>
      <w:r/>
      <w:bookmarkStart w:id="803" w:name="_Toc142311061"/>
      <w:r/>
      <w:bookmarkStart w:id="804" w:name="_Toc150774764"/>
      <w:r>
        <w:rPr>
          <w:rFonts w:hint="eastAsia" w:ascii="宋体" w:hAnsi="宋体" w:cs="宋体"/>
          <w:color w:val="auto"/>
          <w:sz w:val="24"/>
          <w:szCs w:val="20"/>
          <w:highlight w:val="none"/>
          <w:lang w:val="en-US" w:eastAsia="zh-CN"/>
        </w:rPr>
        <w:br w:type="page" w:clear="all"/>
      </w:r>
      <w:r/>
    </w:p>
    <w:p>
      <w:pPr>
        <w:jc w:val="left"/>
        <w:spacing w:line="360" w:lineRule="auto"/>
        <w:rPr>
          <w:rFonts w:hint="eastAsia" w:ascii="宋体" w:hAnsi="宋体" w:eastAsia="宋体" w:cs="宋体"/>
          <w:color w:val="auto"/>
          <w:sz w:val="24"/>
          <w:szCs w:val="20"/>
          <w:highlight w:val="none"/>
        </w:rPr>
        <w:outlineLvl w:val="2"/>
      </w:pPr>
      <w:r>
        <w:rPr>
          <w:rFonts w:hint="eastAsia" w:ascii="宋体" w:hAnsi="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rPr>
        <w:t xml:space="preserve">  </w:t>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rPr>
          <w:rFonts w:hint="eastAsia" w:ascii="宋体" w:hAnsi="宋体" w:eastAsia="宋体" w:cs="宋体"/>
          <w:color w:val="auto"/>
          <w:sz w:val="24"/>
          <w:szCs w:val="20"/>
          <w:highlight w:val="none"/>
        </w:rPr>
        <w:t xml:space="preserve">合同条款偏离表（实质性格式）</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合同条款偏离表</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360"/>
        <w:jc w:val="left"/>
        <w:spacing w:line="36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项目编号/包号：_____________________     项目名称：_____________</w:t>
      </w:r>
      <w:r/>
    </w:p>
    <w:tbl>
      <w:tblPr>
        <w:tblStyle w:val="9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396" w:type="dxa"/>
            <w:vAlign w:val="center"/>
            <w:textDirection w:val="lrTb"/>
            <w:noWrap w:val="false"/>
          </w:tcPr>
          <w:p>
            <w:pPr>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对本项目技术要求的偏离情况（请进行勾选）：</w:t>
            </w:r>
            <w:r/>
          </w:p>
          <w:p>
            <w:pPr>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□无偏离</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1"/>
                <w:highlight w:val="none"/>
              </w:rPr>
              <w:t xml:space="preserve">如无偏离，仅勾选无偏离即可</w:t>
            </w:r>
            <w:r>
              <w:rPr>
                <w:rFonts w:hint="eastAsia" w:ascii="宋体" w:hAnsi="宋体" w:eastAsia="宋体" w:cs="宋体"/>
                <w:color w:val="auto"/>
                <w:sz w:val="24"/>
                <w:highlight w:val="none"/>
              </w:rPr>
              <w:t xml:space="preserve">）</w:t>
            </w:r>
            <w:r/>
          </w:p>
          <w:p>
            <w:pPr>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□有偏离</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1"/>
                <w:highlight w:val="none"/>
              </w:rPr>
              <w:t xml:space="preserve">如有偏离，</w:t>
            </w:r>
            <w:r>
              <w:rPr>
                <w:rFonts w:hint="eastAsia" w:ascii="宋体" w:hAnsi="宋体" w:eastAsia="宋体" w:cs="宋体"/>
                <w:color w:val="auto"/>
                <w:sz w:val="24"/>
                <w:highlight w:val="none"/>
              </w:rPr>
              <w:t xml:space="preserve">则应在本表中对偏离项逐一列明）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30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招标文件</w:t>
            </w:r>
            <w:r>
              <w:rPr>
                <w:rFonts w:hint="eastAsia" w:ascii="宋体" w:hAnsi="宋体" w:eastAsia="宋体" w:cs="宋体"/>
                <w:color w:val="auto"/>
                <w:sz w:val="24"/>
                <w:highlight w:val="none"/>
              </w:rPr>
              <w:t xml:space="preserve">条目号（页码）</w:t>
            </w:r>
            <w:r/>
          </w:p>
        </w:tc>
        <w:tc>
          <w:tcPr>
            <w:tcW w:w="200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招标文件</w:t>
            </w:r>
            <w:r>
              <w:rPr>
                <w:rFonts w:hint="eastAsia" w:ascii="宋体" w:hAnsi="宋体" w:eastAsia="宋体" w:cs="宋体"/>
                <w:color w:val="auto"/>
                <w:sz w:val="24"/>
                <w:highlight w:val="none"/>
              </w:rPr>
              <w:t xml:space="preserve">要求</w:t>
            </w:r>
            <w:r/>
          </w:p>
        </w:tc>
        <w:tc>
          <w:tcPr>
            <w:tcW w:w="200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投标文件内容</w:t>
            </w:r>
            <w:r/>
          </w:p>
        </w:tc>
        <w:tc>
          <w:tcPr>
            <w:tcW w:w="245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偏离情况</w:t>
            </w:r>
            <w:r/>
          </w:p>
        </w:tc>
        <w:tc>
          <w:tcPr>
            <w:tcW w:w="78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0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0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0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5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0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0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0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5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0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0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0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5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130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0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0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5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jc w:val="left"/>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jc w:val="left"/>
        <w:spacing w:line="36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对项目要求的所有技术要求，除本表所列明的所有偏离外，均视作投标人已对之理解和响应。</w:t>
      </w:r>
      <w:r/>
    </w:p>
    <w:p>
      <w:pPr>
        <w:jc w:val="left"/>
        <w:spacing w:line="36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“偏离情况”列应据实填写“正偏离”或“负偏离”。</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投标人名称（加盖公章）</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br w:type="page" w:clear="all"/>
      </w:r>
      <w:r>
        <w:rPr>
          <w:rFonts w:hint="eastAsia" w:ascii="宋体" w:hAnsi="宋体" w:cs="宋体"/>
          <w:color w:val="auto"/>
          <w:sz w:val="24"/>
          <w:szCs w:val="20"/>
          <w:highlight w:val="none"/>
          <w:lang w:val="en-US" w:eastAsia="zh-CN"/>
        </w:rPr>
        <w:t xml:space="preserve">7</w:t>
      </w:r>
      <w:r>
        <w:rPr>
          <w:rFonts w:hint="eastAsia" w:ascii="宋体" w:hAnsi="宋体" w:eastAsia="宋体" w:cs="宋体"/>
          <w:color w:val="auto"/>
          <w:sz w:val="24"/>
          <w:szCs w:val="20"/>
          <w:highlight w:val="none"/>
        </w:rPr>
        <w:t xml:space="preserve">  </w:t>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rPr>
          <w:rFonts w:hint="eastAsia" w:ascii="宋体" w:hAnsi="宋体" w:eastAsia="宋体" w:cs="宋体"/>
          <w:color w:val="auto"/>
          <w:sz w:val="24"/>
          <w:szCs w:val="20"/>
          <w:highlight w:val="none"/>
        </w:rPr>
        <w:t xml:space="preserve">采购需求偏离表（实质性格式）</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采购需求偏离表</w:t>
      </w:r>
      <w:r/>
    </w:p>
    <w:p>
      <w:pPr>
        <w:ind w:firstLine="360"/>
        <w:jc w:val="left"/>
        <w:spacing w:line="360" w:lineRule="auto"/>
        <w:tabs>
          <w:tab w:val="left" w:pos="1800" w:leader="none"/>
          <w:tab w:val="left" w:pos="558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项目编号/包号：_____________________     项目名称：____________</w:t>
      </w:r>
      <w:r/>
    </w:p>
    <w:tbl>
      <w:tblPr>
        <w:tblStyle w:val="971"/>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48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招标文件条目号(页码)</w:t>
            </w:r>
            <w:r/>
          </w:p>
        </w:tc>
        <w:tc>
          <w:tcPr>
            <w:tcW w:w="238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招标文件要求</w:t>
            </w:r>
            <w:r/>
          </w:p>
        </w:tc>
        <w:tc>
          <w:tcPr>
            <w:tcW w:w="21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投标响应内容</w:t>
            </w:r>
            <w:r/>
          </w:p>
        </w:tc>
        <w:tc>
          <w:tcPr>
            <w:tcW w:w="18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偏离情况</w:t>
            </w:r>
            <w:r/>
          </w:p>
        </w:tc>
        <w:tc>
          <w:tcPr>
            <w:tcW w:w="100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8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0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8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0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8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0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8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0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8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0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148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8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0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360"/>
        <w:jc w:val="left"/>
        <w:spacing w:line="360" w:lineRule="auto"/>
        <w:tabs>
          <w:tab w:val="left" w:pos="1800" w:leader="none"/>
          <w:tab w:val="left" w:pos="558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jc w:val="left"/>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jc w:val="left"/>
        <w:spacing w:line="36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对招标文件中的所有商务、技术要求，除本表所列明的所有偏离外，均视作投标人已对之理解和响应。此表中若无任何文字说明，内容为空白，</w:t>
      </w:r>
      <w:r>
        <w:rPr>
          <w:rFonts w:hint="eastAsia" w:ascii="宋体" w:hAnsi="宋体" w:eastAsia="宋体" w:cs="宋体"/>
          <w:b/>
          <w:color w:val="auto"/>
          <w:sz w:val="24"/>
          <w:highlight w:val="none"/>
        </w:rPr>
        <w:t xml:space="preserve">投标无效。</w:t>
      </w:r>
      <w:r/>
    </w:p>
    <w:p>
      <w:pPr>
        <w:jc w:val="left"/>
        <w:spacing w:line="36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偏离情况”列应据实填写“正偏离”或“负偏离”、“无偏离”，实质性响应条款负偏离的将作为无效投标处理。其他条款的负偏离根据投标人说明的理由经评标委员会评审后确定是否符合本项目要求，不符合的将作无效投标处理。</w:t>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投标人名称（加盖公章）</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r/>
    </w:p>
    <w:p>
      <w:pPr>
        <w:spacing w:line="360" w:lineRule="auto"/>
        <w:rPr>
          <w:rFonts w:hint="eastAsia" w:ascii="宋体" w:hAnsi="宋体" w:cs="宋体"/>
          <w:color w:val="auto"/>
          <w:sz w:val="24"/>
          <w:szCs w:val="20"/>
          <w:highlight w:val="none"/>
          <w:lang w:val="en-US" w:eastAsia="zh-CN"/>
        </w:rPr>
        <w:outlineLvl w:val="2"/>
      </w:pPr>
      <w:r>
        <w:rPr>
          <w:rFonts w:hint="eastAsia" w:ascii="宋体" w:hAnsi="宋体" w:cs="宋体"/>
          <w:color w:val="auto"/>
          <w:sz w:val="24"/>
          <w:szCs w:val="20"/>
          <w:highlight w:val="none"/>
          <w:lang w:val="en-US" w:eastAsia="zh-CN"/>
        </w:rPr>
      </w:r>
      <w:r/>
    </w:p>
    <w:p>
      <w:pPr>
        <w:spacing w:line="360" w:lineRule="auto"/>
        <w:rPr>
          <w:rFonts w:hint="eastAsia" w:ascii="宋体" w:hAnsi="宋体" w:eastAsia="宋体" w:cs="宋体"/>
          <w:color w:val="auto"/>
          <w:sz w:val="24"/>
          <w:szCs w:val="20"/>
          <w:highlight w:val="none"/>
        </w:rPr>
        <w:outlineLvl w:val="2"/>
      </w:pPr>
      <w:r>
        <w:rPr>
          <w:rFonts w:hint="eastAsia" w:ascii="宋体" w:hAnsi="宋体" w:cs="宋体"/>
          <w:color w:val="auto"/>
          <w:sz w:val="24"/>
          <w:szCs w:val="20"/>
          <w:highlight w:val="none"/>
          <w:lang w:val="en-US" w:eastAsia="zh-CN"/>
        </w:rPr>
        <w:t xml:space="preserve">8</w:t>
      </w:r>
      <w:r>
        <w:rPr>
          <w:rFonts w:hint="eastAsia" w:ascii="宋体" w:hAnsi="宋体" w:eastAsia="宋体" w:cs="宋体"/>
          <w:color w:val="auto"/>
          <w:sz w:val="24"/>
          <w:szCs w:val="20"/>
          <w:highlight w:val="none"/>
        </w:rPr>
        <w:t xml:space="preserve">  中小企业声明函</w:t>
      </w:r>
      <w:r/>
    </w:p>
    <w:p>
      <w:pPr>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jc w:val="left"/>
        <w:spacing w:line="360" w:lineRule="auto"/>
        <w:rPr>
          <w:rFonts w:hint="eastAsia" w:ascii="宋体" w:hAnsi="宋体" w:eastAsia="宋体" w:cs="宋体"/>
          <w:bCs/>
          <w:color w:val="auto"/>
          <w:sz w:val="24"/>
          <w:highlight w:val="none"/>
        </w:rPr>
        <w:outlineLvl w:val="1"/>
      </w:pPr>
      <w:r/>
      <w:bookmarkStart w:id="805" w:name="_Toc140670356"/>
      <w:r/>
      <w:bookmarkStart w:id="806" w:name="_Toc169226745"/>
      <w:r/>
      <w:bookmarkStart w:id="807" w:name="_Toc140670493"/>
      <w:r>
        <w:rPr>
          <w:rFonts w:hint="eastAsia" w:ascii="宋体" w:hAnsi="宋体" w:eastAsia="宋体" w:cs="宋体"/>
          <w:bCs/>
          <w:color w:val="auto"/>
          <w:sz w:val="24"/>
          <w:highlight w:val="none"/>
        </w:rPr>
        <w:t xml:space="preserve">（1）如本项目（包）专门面向中小/小微企业采购，必须提供《中小企业声明函》，此时声明函属于实质性格式。</w:t>
      </w:r>
      <w:bookmarkEnd w:id="805"/>
      <w:r/>
      <w:bookmarkEnd w:id="806"/>
      <w:r/>
      <w:bookmarkEnd w:id="807"/>
      <w:r/>
      <w:r/>
    </w:p>
    <w:p>
      <w:pPr>
        <w:jc w:val="left"/>
        <w:spacing w:line="360" w:lineRule="auto"/>
        <w:rPr>
          <w:rFonts w:hint="eastAsia" w:ascii="宋体" w:hAnsi="宋体" w:eastAsia="宋体" w:cs="宋体"/>
          <w:bCs/>
          <w:color w:val="auto"/>
          <w:sz w:val="24"/>
          <w:highlight w:val="none"/>
        </w:rPr>
        <w:outlineLvl w:val="1"/>
      </w:pPr>
      <w:r/>
      <w:bookmarkStart w:id="808" w:name="_Toc169226746"/>
      <w:r/>
      <w:bookmarkStart w:id="809" w:name="_Toc140670494"/>
      <w:r/>
      <w:bookmarkStart w:id="810" w:name="_Toc140670357"/>
      <w:r>
        <w:rPr>
          <w:rFonts w:hint="eastAsia" w:ascii="宋体" w:hAnsi="宋体" w:eastAsia="宋体" w:cs="宋体"/>
          <w:bCs/>
          <w:color w:val="auto"/>
          <w:sz w:val="24"/>
          <w:highlight w:val="none"/>
        </w:rPr>
        <w:t xml:space="preserve">（2）如本项目（包）不专门面向中小企业预留采购份额，资格证明文件部分无需提供《中小企业声明函》。</w:t>
      </w:r>
      <w:bookmarkEnd w:id="808"/>
      <w:r/>
      <w:bookmarkEnd w:id="809"/>
      <w:r/>
      <w:bookmarkEnd w:id="810"/>
      <w:r/>
      <w:r/>
    </w:p>
    <w:p>
      <w:pPr>
        <w:jc w:val="left"/>
        <w:spacing w:line="360" w:lineRule="auto"/>
        <w:rPr>
          <w:rFonts w:hint="eastAsia" w:ascii="宋体" w:hAnsi="宋体" w:eastAsia="宋体" w:cs="宋体"/>
          <w:bCs/>
          <w:color w:val="auto"/>
          <w:sz w:val="24"/>
          <w:highlight w:val="none"/>
        </w:rPr>
        <w:outlineLvl w:val="1"/>
      </w:pPr>
      <w:r/>
      <w:bookmarkStart w:id="811" w:name="_Toc169226747"/>
      <w:r/>
      <w:bookmarkStart w:id="812" w:name="_Toc140670495"/>
      <w:r/>
      <w:bookmarkStart w:id="813" w:name="_Toc140670358"/>
      <w:r>
        <w:rPr>
          <w:rFonts w:hint="eastAsia" w:ascii="宋体" w:hAnsi="宋体" w:eastAsia="宋体" w:cs="宋体"/>
          <w:bCs/>
          <w:color w:val="auto"/>
          <w:sz w:val="24"/>
          <w:highlight w:val="none"/>
        </w:rPr>
        <w:t xml:space="preserve">（3）如本项目（包）是预留部分采购项目预算专门面向中小企业采购，如是要求供应商以联合体形式参加采购活动，且联合体中中小企业承担的部分达到一定比例的，须提供《联合协议》；如是要求获得采购合同的供应商将采购项目中的一定比例分包给一家或者多家中小企业的，须提供《拟分包情况说明及分包意向协议（类型一）》。</w:t>
      </w:r>
      <w:bookmarkEnd w:id="811"/>
      <w:r/>
      <w:bookmarkEnd w:id="812"/>
      <w:r/>
      <w:bookmarkEnd w:id="813"/>
      <w:r/>
      <w:r/>
    </w:p>
    <w:p>
      <w:pPr>
        <w:jc w:val="left"/>
        <w:spacing w:line="360" w:lineRule="auto"/>
        <w:rPr>
          <w:rFonts w:hint="eastAsia" w:ascii="宋体" w:hAnsi="宋体" w:eastAsia="宋体" w:cs="宋体"/>
          <w:bCs/>
          <w:color w:val="auto"/>
          <w:sz w:val="24"/>
          <w:highlight w:val="none"/>
        </w:rPr>
        <w:outlineLvl w:val="1"/>
      </w:pPr>
      <w:r/>
      <w:bookmarkStart w:id="814" w:name="_Toc169226748"/>
      <w:r/>
      <w:bookmarkStart w:id="815" w:name="_Toc140670496"/>
      <w:r/>
      <w:bookmarkStart w:id="816" w:name="_Toc140670359"/>
      <w:r>
        <w:rPr>
          <w:rFonts w:hint="eastAsia" w:ascii="宋体" w:hAnsi="宋体" w:eastAsia="宋体" w:cs="宋体"/>
          <w:bCs/>
          <w:color w:val="auto"/>
          <w:sz w:val="24"/>
          <w:highlight w:val="none"/>
        </w:rPr>
        <w:t xml:space="preserve">（4）其他</w:t>
      </w:r>
      <w:bookmarkEnd w:id="814"/>
      <w:r/>
      <w:bookmarkEnd w:id="815"/>
      <w:r/>
      <w:bookmarkEnd w:id="816"/>
      <w:r/>
      <w:r/>
    </w:p>
    <w:p>
      <w:pPr>
        <w:jc w:val="left"/>
        <w:spacing w:line="360" w:lineRule="auto"/>
        <w:rPr>
          <w:rFonts w:hint="eastAsia" w:ascii="宋体" w:hAnsi="宋体" w:eastAsia="宋体" w:cs="宋体"/>
          <w:bCs/>
          <w:color w:val="auto"/>
          <w:sz w:val="24"/>
          <w:highlight w:val="none"/>
        </w:rPr>
        <w:outlineLvl w:val="1"/>
      </w:pPr>
      <w:r/>
      <w:bookmarkStart w:id="817" w:name="_Toc169226749"/>
      <w:r/>
      <w:bookmarkStart w:id="818" w:name="_Toc140670497"/>
      <w:r/>
      <w:bookmarkStart w:id="819" w:name="_Toc140670360"/>
      <w:r>
        <w:rPr>
          <w:rFonts w:hint="eastAsia" w:ascii="宋体" w:hAnsi="宋体" w:eastAsia="宋体" w:cs="宋体"/>
          <w:bCs/>
          <w:color w:val="auto"/>
          <w:sz w:val="24"/>
          <w:highlight w:val="none"/>
        </w:rPr>
        <w:t xml:space="preserve">1）中小企业、残疾人福利性单位参加政府采购活动，应当出具此格式文件，未提供的将不享受有关政策。《中小企业声明函》由参加政府采购活动的投标人出具。联合体投标的，《中小企业声明函》由牵头人出具。</w:t>
      </w:r>
      <w:bookmarkEnd w:id="817"/>
      <w:r/>
      <w:bookmarkEnd w:id="818"/>
      <w:r/>
      <w:bookmarkEnd w:id="819"/>
      <w:r/>
      <w:r/>
    </w:p>
    <w:p>
      <w:pPr>
        <w:jc w:val="left"/>
        <w:spacing w:line="360" w:lineRule="auto"/>
        <w:rPr>
          <w:rFonts w:hint="eastAsia" w:ascii="宋体" w:hAnsi="宋体" w:eastAsia="宋体" w:cs="宋体"/>
          <w:bCs/>
          <w:color w:val="auto"/>
          <w:sz w:val="24"/>
          <w:highlight w:val="none"/>
        </w:rPr>
        <w:outlineLvl w:val="1"/>
      </w:pPr>
      <w:r/>
      <w:bookmarkStart w:id="820" w:name="_Toc169226750"/>
      <w:r/>
      <w:bookmarkStart w:id="821" w:name="_Toc140670361"/>
      <w:r/>
      <w:bookmarkStart w:id="822" w:name="_Toc140670498"/>
      <w:r>
        <w:rPr>
          <w:rFonts w:hint="eastAsia" w:ascii="宋体" w:hAnsi="宋体" w:eastAsia="宋体" w:cs="宋体"/>
          <w:bCs/>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bookmarkEnd w:id="820"/>
      <w:r/>
      <w:bookmarkEnd w:id="821"/>
      <w:r/>
      <w:bookmarkEnd w:id="822"/>
      <w:r/>
      <w:r/>
    </w:p>
    <w:p>
      <w:pPr>
        <w:jc w:val="left"/>
        <w:spacing w:line="360" w:lineRule="auto"/>
        <w:rPr>
          <w:rFonts w:hint="eastAsia" w:ascii="宋体" w:hAnsi="宋体" w:eastAsia="宋体" w:cs="宋体"/>
          <w:bCs/>
          <w:color w:val="auto"/>
          <w:sz w:val="24"/>
          <w:highlight w:val="none"/>
        </w:rPr>
        <w:outlineLvl w:val="1"/>
      </w:pPr>
      <w:r/>
      <w:bookmarkStart w:id="823" w:name="_Toc140670499"/>
      <w:r/>
      <w:bookmarkStart w:id="824" w:name="_Toc140670362"/>
      <w:r/>
      <w:bookmarkStart w:id="825" w:name="_Toc169226751"/>
      <w:r>
        <w:rPr>
          <w:rFonts w:hint="eastAsia" w:ascii="宋体" w:hAnsi="宋体" w:eastAsia="宋体" w:cs="宋体"/>
          <w:bCs/>
          <w:color w:val="auto"/>
          <w:sz w:val="24"/>
          <w:highlight w:val="none"/>
        </w:rPr>
        <w:t xml:space="preserve">3）对于多标的的采购项目，投标人应充分、准确地了解所投产品制造企业信息。对相关情况了解不清楚的，不建议填报本声明函。</w:t>
      </w:r>
      <w:bookmarkEnd w:id="823"/>
      <w:r/>
      <w:bookmarkEnd w:id="824"/>
      <w:r/>
      <w:bookmarkEnd w:id="825"/>
      <w:r/>
      <w:r/>
    </w:p>
    <w:p>
      <w:pPr>
        <w:jc w:val="left"/>
        <w:spacing w:line="360" w:lineRule="auto"/>
        <w:rPr>
          <w:rFonts w:hint="eastAsia" w:ascii="宋体" w:hAnsi="宋体" w:eastAsia="宋体" w:cs="宋体"/>
          <w:bCs/>
          <w:color w:val="auto"/>
          <w:sz w:val="24"/>
          <w:highlight w:val="none"/>
        </w:rPr>
        <w:outlineLvl w:val="1"/>
      </w:pPr>
      <w:r/>
      <w:bookmarkStart w:id="826" w:name="_Toc169226752"/>
      <w:r/>
      <w:bookmarkStart w:id="827" w:name="_Toc140670363"/>
      <w:r/>
      <w:bookmarkStart w:id="828" w:name="_Toc140670500"/>
      <w:r>
        <w:rPr>
          <w:rFonts w:hint="eastAsia" w:ascii="宋体" w:hAnsi="宋体" w:eastAsia="宋体" w:cs="宋体"/>
          <w:bCs/>
          <w:color w:val="auto"/>
          <w:sz w:val="24"/>
          <w:highlight w:val="none"/>
        </w:rPr>
        <w:t xml:space="preserve">4）中小企业认定标准以《关于印发中小企业划型标准规定的通知》（工信部联企业〔2011〕300号）文件规定为准。</w:t>
      </w:r>
      <w:bookmarkEnd w:id="826"/>
      <w:r/>
      <w:bookmarkEnd w:id="827"/>
      <w:r/>
      <w:bookmarkEnd w:id="828"/>
      <w:r/>
      <w:r/>
    </w:p>
    <w:p>
      <w:pPr>
        <w:jc w:val="left"/>
        <w:spacing w:line="360" w:lineRule="auto"/>
        <w:rPr>
          <w:rFonts w:hint="eastAsia" w:ascii="宋体" w:hAnsi="宋体" w:eastAsia="宋体" w:cs="宋体"/>
          <w:bCs/>
          <w:color w:val="auto"/>
          <w:sz w:val="24"/>
          <w:highlight w:val="none"/>
        </w:rPr>
        <w:outlineLvl w:val="1"/>
      </w:pPr>
      <w:r/>
      <w:bookmarkStart w:id="829" w:name="_Toc140670501"/>
      <w:r/>
      <w:bookmarkStart w:id="830" w:name="_Toc169226753"/>
      <w:r/>
      <w:bookmarkStart w:id="831" w:name="_Toc140670364"/>
      <w:r>
        <w:rPr>
          <w:rFonts w:hint="eastAsia" w:ascii="宋体" w:hAnsi="宋体" w:eastAsia="宋体" w:cs="宋体"/>
          <w:bCs/>
          <w:color w:val="auto"/>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hint="eastAsia" w:ascii="宋体" w:hAnsi="宋体" w:eastAsia="宋体" w:cs="宋体"/>
          <w:bCs/>
          <w:color w:val="auto"/>
          <w:sz w:val="24"/>
          <w:highlight w:val="none"/>
        </w:rPr>
        <w:fldChar w:fldCharType="begin"/>
      </w:r>
      <w:r>
        <w:rPr>
          <w:rFonts w:hint="eastAsia" w:ascii="宋体" w:hAnsi="宋体" w:eastAsia="宋体" w:cs="宋体"/>
          <w:bCs/>
          <w:color w:val="auto"/>
          <w:sz w:val="24"/>
          <w:highlight w:val="none"/>
        </w:rPr>
        <w:instrText xml:space="preserve"> HYPERLINK "http://202.106.120.146/baosong/appweb/orgScale.html" </w:instrText>
      </w:r>
      <w:r>
        <w:rPr>
          <w:rFonts w:hint="eastAsia" w:ascii="宋体" w:hAnsi="宋体" w:eastAsia="宋体" w:cs="宋体"/>
          <w:bCs/>
          <w:color w:val="auto"/>
          <w:sz w:val="24"/>
          <w:highlight w:val="none"/>
        </w:rPr>
        <w:fldChar w:fldCharType="separate"/>
      </w:r>
      <w:r>
        <w:rPr>
          <w:rStyle w:val="1230"/>
          <w:rFonts w:hint="eastAsia" w:ascii="宋体" w:hAnsi="宋体" w:eastAsia="宋体" w:cs="宋体"/>
          <w:bCs/>
          <w:color w:val="auto"/>
          <w:sz w:val="24"/>
          <w:highlight w:val="none"/>
        </w:rPr>
        <w:t xml:space="preserve">http://202.106.120.146/baosong/appweb/orgScale.html</w:t>
      </w:r>
      <w:r>
        <w:rPr>
          <w:rFonts w:hint="eastAsia" w:ascii="宋体" w:hAnsi="宋体" w:eastAsia="宋体" w:cs="宋体"/>
          <w:bCs/>
          <w:color w:val="auto"/>
          <w:sz w:val="24"/>
          <w:highlight w:val="none"/>
        </w:rPr>
        <w:fldChar w:fldCharType="end"/>
      </w:r>
      <w:r>
        <w:rPr>
          <w:rFonts w:hint="eastAsia" w:ascii="宋体" w:hAnsi="宋体" w:eastAsia="宋体" w:cs="宋体"/>
          <w:bCs/>
          <w:color w:val="auto"/>
          <w:sz w:val="24"/>
          <w:highlight w:val="none"/>
        </w:rPr>
        <w:t xml:space="preserve">）</w:t>
      </w:r>
      <w:bookmarkEnd w:id="829"/>
      <w:r/>
      <w:bookmarkEnd w:id="830"/>
      <w:r/>
      <w:bookmarkEnd w:id="831"/>
      <w:r/>
      <w:r/>
    </w:p>
    <w:p>
      <w:pPr>
        <w:jc w:val="left"/>
        <w:spacing w:line="360" w:lineRule="auto"/>
        <w:rPr>
          <w:rFonts w:hint="eastAsia" w:ascii="宋体" w:hAnsi="宋体" w:eastAsia="宋体" w:cs="宋体"/>
          <w:bCs/>
          <w:color w:val="auto"/>
          <w:sz w:val="24"/>
          <w:highlight w:val="none"/>
        </w:rPr>
        <w:outlineLvl w:val="1"/>
      </w:pPr>
      <w:r/>
      <w:bookmarkStart w:id="832" w:name="_Toc140670502"/>
      <w:r/>
      <w:bookmarkStart w:id="833" w:name="_Toc169226754"/>
      <w:r/>
      <w:bookmarkStart w:id="834" w:name="_Toc140670365"/>
      <w:r>
        <w:rPr>
          <w:rFonts w:hint="eastAsia" w:ascii="宋体" w:hAnsi="宋体" w:eastAsia="宋体" w:cs="宋体"/>
          <w:bCs/>
          <w:color w:val="auto"/>
          <w:sz w:val="24"/>
          <w:highlight w:val="none"/>
        </w:rPr>
        <w:t xml:space="preserve">6）小微企业、残疾人福利性单位未提供声明函的，监狱企业未提供证明的，价格分评审不予价格扣除。</w:t>
      </w:r>
      <w:bookmarkEnd w:id="832"/>
      <w:r/>
      <w:bookmarkEnd w:id="833"/>
      <w:r/>
      <w:bookmarkEnd w:id="834"/>
      <w:r/>
      <w:r/>
    </w:p>
    <w:p>
      <w:pPr>
        <w:jc w:val="left"/>
        <w:spacing w:line="360" w:lineRule="auto"/>
        <w:rPr>
          <w:rFonts w:hint="eastAsia" w:ascii="宋体" w:hAnsi="宋体" w:eastAsia="宋体" w:cs="宋体"/>
          <w:bCs/>
          <w:color w:val="auto"/>
          <w:sz w:val="24"/>
          <w:highlight w:val="none"/>
        </w:rPr>
        <w:outlineLvl w:val="1"/>
      </w:pPr>
      <w:r/>
      <w:bookmarkStart w:id="835" w:name="_Toc140670366"/>
      <w:r/>
      <w:bookmarkStart w:id="836" w:name="_Toc169226755"/>
      <w:r/>
      <w:bookmarkStart w:id="837" w:name="_Toc140670503"/>
      <w:r>
        <w:rPr>
          <w:rFonts w:hint="eastAsia" w:ascii="宋体" w:hAnsi="宋体" w:eastAsia="宋体" w:cs="宋体"/>
          <w:bCs/>
          <w:color w:val="auto"/>
          <w:sz w:val="24"/>
          <w:highlight w:val="none"/>
        </w:rPr>
        <w:t xml:space="preserve">7）在货物采购项目中，供应商提供的货物既有大中型企业制造货物，也有小微企业制造货物的，不享受小微企业扶持政策，不予价格扣除。</w:t>
      </w:r>
      <w:bookmarkEnd w:id="835"/>
      <w:r/>
      <w:bookmarkEnd w:id="836"/>
      <w:r/>
      <w:bookmarkEnd w:id="837"/>
      <w:r/>
      <w:r/>
    </w:p>
    <w:p>
      <w:pPr>
        <w:spacing w:line="360" w:lineRule="auto"/>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spacing w:before="240" w:after="240"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32"/>
          <w:szCs w:val="32"/>
          <w:highlight w:val="none"/>
        </w:rPr>
        <w:t xml:space="preserve">中小企业声明函（服务）格式</w:t>
      </w:r>
      <w:r/>
    </w:p>
    <w:p>
      <w:pPr>
        <w:ind w:firstLine="36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w:t>
      </w:r>
      <w:r>
        <w:rPr>
          <w:rFonts w:hint="eastAsia" w:ascii="宋体" w:hAnsi="宋体" w:eastAsia="宋体" w:cs="宋体"/>
          <w:color w:val="auto"/>
          <w:sz w:val="24"/>
          <w:szCs w:val="24"/>
          <w:highlight w:val="none"/>
          <w:u w:val="single"/>
          <w:lang w:val="en-US" w:eastAsia="zh-CN"/>
        </w:rPr>
        <w:t xml:space="preserve"> </w:t>
      </w:r>
      <w:r>
        <w:rPr>
          <w:rFonts w:ascii="Times New Roman" w:hAnsi="Times New Roman" w:eastAsia="宋体" w:cs="Times New Roman"/>
          <w:color w:val="auto"/>
          <w:spacing w:val="6"/>
          <w:sz w:val="24"/>
          <w:highlight w:val="none"/>
          <w:u w:val="single"/>
        </w:rPr>
        <w:t xml:space="preserve">（</w:t>
      </w:r>
      <w:r>
        <w:rPr>
          <w:rFonts w:hint="eastAsia" w:ascii="Times New Roman" w:hAnsi="Times New Roman" w:eastAsia="宋体" w:cs="Times New Roman"/>
          <w:color w:val="auto"/>
          <w:spacing w:val="6"/>
          <w:sz w:val="24"/>
          <w:highlight w:val="none"/>
          <w:u w:val="single"/>
        </w:rPr>
        <w:t xml:space="preserve">此处填</w:t>
      </w:r>
      <w:r>
        <w:rPr>
          <w:rFonts w:hint="eastAsia" w:ascii="Times New Roman" w:hAnsi="Times New Roman" w:eastAsia="宋体" w:cs="Times New Roman"/>
          <w:color w:val="auto"/>
          <w:spacing w:val="6"/>
          <w:sz w:val="24"/>
          <w:highlight w:val="none"/>
          <w:u w:val="single"/>
          <w:lang w:val="en-US" w:eastAsia="zh-CN"/>
        </w:rPr>
        <w:t xml:space="preserve">供应商</w:t>
      </w:r>
      <w:r>
        <w:rPr>
          <w:rFonts w:ascii="Times New Roman" w:hAnsi="Times New Roman" w:eastAsia="宋体" w:cs="Times New Roman"/>
          <w:color w:val="auto"/>
          <w:spacing w:val="6"/>
          <w:sz w:val="24"/>
          <w:highlight w:val="none"/>
          <w:u w:val="single"/>
        </w:rPr>
        <w:t xml:space="preserve">单位名称）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江苏尚阳工程管理有限公司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组织的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（采购单位名称①）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（项目名称③）（分包号：④）</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的具体情况如下：</w:t>
      </w:r>
      <w:r/>
    </w:p>
    <w:p>
      <w:pPr>
        <w:ind w:firstLine="360"/>
        <w:spacing w:line="57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（标的名称⑤）</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（采购文件中明确的所属行业⑥）</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（企业名称⑦）</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⑩</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（中型企业、小型企业、微型企业⑪）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p>
    <w:p>
      <w:pPr>
        <w:ind w:firstLine="36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企业名称（加盖CA电子公章）⑫：</w:t>
      </w:r>
      <w:r/>
    </w:p>
    <w:p>
      <w:pPr>
        <w:ind w:right="480" w:firstLine="540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7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填写说明：</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1.（采购单位名称①）：填写本项目采购人单位名称，如常州市XXX局。</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2.采购编号为②：填写本项目编号，如JSZC-3204XX-SYZB-</w:t>
      </w:r>
      <w:r>
        <w:rPr>
          <w:rFonts w:hint="eastAsia" w:ascii="宋体" w:hAnsi="宋体" w:eastAsia="宋体" w:cs="宋体"/>
          <w:color w:val="auto"/>
          <w:sz w:val="24"/>
          <w:szCs w:val="24"/>
          <w:highlight w:val="none"/>
          <w:lang w:val="en-US" w:eastAsia="zh-CN"/>
        </w:rPr>
        <w:t xml:space="preserve">G</w:t>
      </w:r>
      <w:r>
        <w:rPr>
          <w:rFonts w:hint="eastAsia" w:ascii="宋体" w:hAnsi="宋体" w:eastAsia="宋体" w:cs="宋体"/>
          <w:color w:val="auto"/>
          <w:sz w:val="24"/>
          <w:szCs w:val="24"/>
          <w:highlight w:val="none"/>
        </w:rPr>
        <w:t xml:space="preserve">20XX-XX。</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3.（项目名称③）：填写本项目名称，如常州市</w:t>
      </w:r>
      <w:r>
        <w:rPr>
          <w:rFonts w:hint="eastAsia" w:ascii="宋体" w:hAnsi="宋体" w:eastAsia="宋体" w:cs="宋体"/>
          <w:color w:val="auto"/>
          <w:sz w:val="24"/>
          <w:szCs w:val="24"/>
          <w:highlight w:val="none"/>
          <w:lang w:eastAsia="zh-CN"/>
        </w:rPr>
        <w:t xml:space="preserve">大明路西侧、龙锦路南侧（QQ030102)地块固废混合物合规处置项目</w:t>
      </w:r>
      <w:r>
        <w:rPr>
          <w:rFonts w:hint="eastAsia" w:ascii="宋体" w:hAnsi="宋体" w:eastAsia="宋体" w:cs="宋体"/>
          <w:color w:val="auto"/>
          <w:sz w:val="24"/>
          <w:szCs w:val="24"/>
          <w:highlight w:val="none"/>
        </w:rPr>
        <w:t xml:space="preserve">。</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4.（分包号：④）：填写分包编号，如有分包的，分别填写分包号，没有的填“无”。</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5.（标的名称⑤）：填写本项目标的名称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如XX服务</w:t>
      </w:r>
      <w:r>
        <w:rPr>
          <w:rFonts w:hint="eastAsia" w:ascii="宋体" w:hAnsi="宋体" w:eastAsia="宋体" w:cs="宋体"/>
          <w:color w:val="auto"/>
          <w:sz w:val="24"/>
          <w:szCs w:val="24"/>
          <w:highlight w:val="none"/>
        </w:rPr>
        <w:t xml:space="preserve">。</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6.（采购文件中明确的所属行业⑥）：填写本项目采购标的所属行业。须根据采购文件“第二章  供应商须知”表格中列明的所属行业进行填写。如：</w:t>
      </w:r>
      <w:r>
        <w:rPr>
          <w:rFonts w:hint="eastAsia" w:ascii="宋体" w:hAnsi="宋体" w:eastAsia="宋体" w:cs="宋体"/>
          <w:color w:val="auto"/>
          <w:sz w:val="24"/>
          <w:szCs w:val="24"/>
          <w:highlight w:val="none"/>
          <w:lang w:val="en-US" w:eastAsia="zh-CN"/>
        </w:rPr>
        <w:t xml:space="preserve">其他未列明行业</w:t>
      </w:r>
      <w:r>
        <w:rPr>
          <w:rFonts w:hint="eastAsia" w:ascii="宋体" w:hAnsi="宋体" w:eastAsia="宋体" w:cs="宋体"/>
          <w:color w:val="auto"/>
          <w:sz w:val="24"/>
          <w:szCs w:val="24"/>
          <w:highlight w:val="none"/>
        </w:rPr>
        <w:t xml:space="preserve">。</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7.（企业名称⑦）：填写</w:t>
      </w:r>
      <w:r>
        <w:rPr>
          <w:rFonts w:hint="eastAsia" w:ascii="宋体" w:hAnsi="宋体" w:eastAsia="宋体" w:cs="宋体"/>
          <w:b/>
          <w:bCs/>
          <w:color w:val="auto"/>
          <w:sz w:val="24"/>
          <w:szCs w:val="24"/>
          <w:highlight w:val="none"/>
        </w:rPr>
        <w:t xml:space="preserve">投标人的名称</w:t>
      </w:r>
      <w:r>
        <w:rPr>
          <w:rFonts w:hint="eastAsia" w:ascii="宋体" w:hAnsi="宋体" w:eastAsia="宋体" w:cs="宋体"/>
          <w:color w:val="auto"/>
          <w:sz w:val="24"/>
          <w:szCs w:val="24"/>
          <w:highlight w:val="none"/>
        </w:rPr>
        <w:t xml:space="preserve">，如XXX公司。</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8.从业人员⑧人，营业收入为⑨万元，资产总额为⑩万元：填报</w:t>
      </w:r>
      <w:r>
        <w:rPr>
          <w:rFonts w:hint="eastAsia" w:ascii="宋体" w:hAnsi="宋体" w:eastAsia="宋体" w:cs="宋体"/>
          <w:b/>
          <w:bCs/>
          <w:color w:val="auto"/>
          <w:sz w:val="24"/>
          <w:szCs w:val="24"/>
          <w:highlight w:val="none"/>
        </w:rPr>
        <w:t xml:space="preserve">投标人</w:t>
      </w:r>
      <w:r>
        <w:rPr>
          <w:rFonts w:hint="eastAsia" w:ascii="宋体" w:hAnsi="宋体" w:eastAsia="宋体" w:cs="宋体"/>
          <w:color w:val="auto"/>
          <w:sz w:val="24"/>
          <w:szCs w:val="24"/>
          <w:highlight w:val="none"/>
        </w:rPr>
        <w:t xml:space="preserve">的从业人员、营业收入、资产总额上一年度数据，无上一年度数据的新成立企业可不填报。</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9.（中型企业、小型企业、微型企业</w:t>
      </w:r>
      <w:r>
        <w:rPr>
          <w:rFonts w:hint="eastAsia" w:ascii="宋体" w:hAnsi="宋体" w:eastAsia="宋体" w:cs="宋体"/>
          <w:color w:val="auto"/>
          <w:sz w:val="24"/>
          <w:szCs w:val="24"/>
          <w:highlight w:val="none"/>
          <w:u w:val="single"/>
        </w:rPr>
        <w:t xml:space="preserve">⑪</w:t>
      </w:r>
      <w:r>
        <w:rPr>
          <w:rFonts w:hint="eastAsia" w:ascii="宋体" w:hAnsi="宋体" w:eastAsia="宋体" w:cs="宋体"/>
          <w:color w:val="auto"/>
          <w:sz w:val="24"/>
          <w:szCs w:val="24"/>
          <w:highlight w:val="none"/>
        </w:rPr>
        <w:t xml:space="preserve">）：根据</w:t>
      </w:r>
      <w:r>
        <w:rPr>
          <w:rFonts w:hint="eastAsia" w:ascii="宋体" w:hAnsi="宋体" w:eastAsia="宋体" w:cs="宋体"/>
          <w:b/>
          <w:bCs/>
          <w:color w:val="auto"/>
          <w:sz w:val="24"/>
          <w:szCs w:val="24"/>
          <w:highlight w:val="none"/>
        </w:rPr>
        <w:t xml:space="preserve">投标人</w:t>
      </w:r>
      <w:r>
        <w:rPr>
          <w:rFonts w:hint="eastAsia" w:ascii="宋体" w:hAnsi="宋体" w:eastAsia="宋体" w:cs="宋体"/>
          <w:color w:val="auto"/>
          <w:sz w:val="24"/>
          <w:szCs w:val="24"/>
          <w:highlight w:val="none"/>
        </w:rPr>
        <w:t xml:space="preserve">的企业规模情况填写中型企业、小型企业或微型企业</w:t>
      </w:r>
      <w:r>
        <w:rPr>
          <w:rFonts w:hint="eastAsia" w:ascii="宋体" w:hAnsi="宋体" w:eastAsia="宋体" w:cs="宋体"/>
          <w:b/>
          <w:bCs/>
          <w:color w:val="auto"/>
          <w:sz w:val="24"/>
          <w:szCs w:val="24"/>
          <w:highlight w:val="none"/>
        </w:rPr>
        <w:t xml:space="preserve">（只能填写三种其中的一种）</w:t>
      </w:r>
      <w:r>
        <w:rPr>
          <w:rFonts w:hint="eastAsia" w:ascii="宋体" w:hAnsi="宋体" w:eastAsia="宋体" w:cs="宋体"/>
          <w:color w:val="auto"/>
          <w:sz w:val="24"/>
          <w:szCs w:val="24"/>
          <w:highlight w:val="none"/>
        </w:rPr>
        <w:t xml:space="preserve">。中小企业划分见《关于印发中小企业划型标准规定的通知》（工信部联企业〔2011〕300号) 。</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10.企业名称（盖章）⑫：加盖</w:t>
      </w:r>
      <w:r>
        <w:rPr>
          <w:rFonts w:hint="eastAsia" w:ascii="宋体" w:hAnsi="宋体" w:eastAsia="宋体" w:cs="宋体"/>
          <w:b/>
          <w:bCs/>
          <w:color w:val="auto"/>
          <w:sz w:val="24"/>
          <w:szCs w:val="24"/>
          <w:highlight w:val="none"/>
        </w:rPr>
        <w:t xml:space="preserve">投标人</w:t>
      </w:r>
      <w:r>
        <w:rPr>
          <w:rFonts w:hint="eastAsia" w:ascii="宋体" w:hAnsi="宋体" w:eastAsia="宋体" w:cs="宋体"/>
          <w:color w:val="auto"/>
          <w:sz w:val="24"/>
          <w:szCs w:val="24"/>
          <w:highlight w:val="none"/>
        </w:rPr>
        <w:t xml:space="preserve">CA电子公章。</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11.如是</w:t>
      </w:r>
      <w:r>
        <w:rPr>
          <w:rFonts w:hint="eastAsia" w:ascii="宋体" w:hAnsi="宋体" w:eastAsia="宋体" w:cs="宋体"/>
          <w:b/>
          <w:color w:val="auto"/>
          <w:sz w:val="24"/>
          <w:szCs w:val="24"/>
          <w:highlight w:val="none"/>
        </w:rPr>
        <w:t xml:space="preserve">专门面向中小企业预留份额</w:t>
      </w:r>
      <w:r>
        <w:rPr>
          <w:rFonts w:hint="eastAsia" w:ascii="宋体" w:hAnsi="宋体" w:eastAsia="宋体" w:cs="宋体"/>
          <w:color w:val="auto"/>
          <w:sz w:val="24"/>
          <w:szCs w:val="24"/>
          <w:highlight w:val="none"/>
        </w:rPr>
        <w:t xml:space="preserve">的采购项目，供应商未提供此声明函的，资格审查不予通过，作为</w:t>
      </w:r>
      <w:r>
        <w:rPr>
          <w:rFonts w:hint="eastAsia" w:ascii="宋体" w:hAnsi="宋体" w:eastAsia="宋体" w:cs="宋体"/>
          <w:b/>
          <w:color w:val="auto"/>
          <w:sz w:val="24"/>
          <w:szCs w:val="24"/>
          <w:highlight w:val="none"/>
        </w:rPr>
        <w:t xml:space="preserve">无效投标（响应）</w:t>
      </w:r>
      <w:r>
        <w:rPr>
          <w:rFonts w:hint="eastAsia" w:ascii="宋体" w:hAnsi="宋体" w:eastAsia="宋体" w:cs="宋体"/>
          <w:color w:val="auto"/>
          <w:sz w:val="24"/>
          <w:szCs w:val="24"/>
          <w:highlight w:val="none"/>
        </w:rPr>
        <w:t xml:space="preserve">。如是非专门面向中小企业预留份额的采购项目，供应商未提供此声明函的，评审时不享受小微型企业价格扣除政策。此声明函将随中标结果同时公告，接受社会监督。供应商应当自行核实是否属于中小微企业，并认真填写声明函，若有虚假将追究其责任。</w:t>
      </w:r>
      <w:r/>
    </w:p>
    <w:p>
      <w:pPr>
        <w:ind w:firstLine="480"/>
        <w:spacing w:line="57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12.温馨提示</w:t>
      </w:r>
      <w:r/>
    </w:p>
    <w:p>
      <w:pPr>
        <w:ind w:firstLine="480"/>
        <w:spacing w:line="57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（1）对于已纳入统计部门统计范围的企业，所属行业、从业人员、营业收入、资产总额、规模类型应与统计部门报表保持一致。</w:t>
      </w:r>
      <w:r/>
    </w:p>
    <w:p>
      <w:pPr>
        <w:ind w:firstLine="480"/>
        <w:spacing w:line="57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ind w:firstLine="480"/>
        <w:spacing w:line="57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ind w:firstLine="480"/>
        <w:spacing w:line="57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（4）对于采购文件确实允许非独立法人参与采购活动的，应按其所属集团公司合并财务报表数据情况予以填报。</w:t>
      </w:r>
      <w:r/>
    </w:p>
    <w:p>
      <w:pPr>
        <w:ind w:firstLine="480"/>
        <w:spacing w:line="57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（5）《中小企业声明函》真实性由其出具的供应商负责。《中小企业声明函》中相关企业[制造商、承接企业]所属行业应当与采购标的的所属行业相一致。《中小企业声明函》应当充分、准确反映供应商的信息。</w:t>
      </w:r>
      <w:r/>
    </w:p>
    <w:p>
      <w:pPr>
        <w:ind w:firstLine="480"/>
        <w:spacing w:line="57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（6）经调查发现供应商提供《中小企业声明函》内容与实际不符的，政府采购监管部门有权根据《中小企业声明函》与实际情况的差异视情形认定其是否属于虚假材料谋取中标。</w:t>
      </w:r>
      <w:r/>
    </w:p>
    <w:p>
      <w:pPr>
        <w:ind w:firstLine="480"/>
        <w:spacing w:line="57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（7）根据《财政部关于规范政府采购行政处罚有关问题的通知》（财库〔2015〕150 号）规定，各级人民政府财政部门依法对供应商作出的禁止参加政府采购活动的行政处罚决定在全国范围内生效。</w:t>
      </w:r>
      <w:r/>
    </w:p>
    <w:p>
      <w:pPr>
        <w:ind w:firstLine="42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br w:type="page" w:clear="all"/>
      </w:r>
      <w:r/>
    </w:p>
    <w:p>
      <w:pPr>
        <w:jc w:val="center"/>
        <w:spacing w:before="240" w:after="240" w:line="360" w:lineRule="auto"/>
        <w:rPr>
          <w:rFonts w:hint="eastAsia" w:ascii="宋体" w:hAnsi="宋体" w:eastAsia="宋体" w:cs="宋体"/>
          <w:color w:val="auto"/>
          <w:sz w:val="36"/>
          <w:szCs w:val="36"/>
          <w:highlight w:val="none"/>
        </w:rPr>
      </w:pPr>
      <w:r>
        <w:rPr>
          <w:rFonts w:hint="eastAsia" w:ascii="宋体" w:hAnsi="宋体" w:eastAsia="宋体" w:cs="宋体"/>
          <w:b/>
          <w:bCs/>
          <w:color w:val="auto"/>
          <w:sz w:val="36"/>
          <w:szCs w:val="36"/>
          <w:highlight w:val="none"/>
        </w:rPr>
        <w:t xml:space="preserve">残疾人福利性单位声明函格式</w:t>
      </w:r>
      <w:r>
        <w:rPr>
          <w:rFonts w:hint="eastAsia" w:ascii="宋体" w:hAnsi="宋体" w:eastAsia="宋体" w:cs="宋体"/>
          <w:color w:val="auto"/>
          <w:sz w:val="36"/>
          <w:szCs w:val="36"/>
          <w:highlight w:val="none"/>
        </w:rPr>
        <w:t xml:space="preserve"> </w:t>
      </w:r>
      <w:r/>
    </w:p>
    <w:p>
      <w:pPr>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〔2017〕141</w:t>
      </w:r>
      <w:r>
        <w:rPr>
          <w:rFonts w:hint="eastAsia" w:ascii="宋体" w:hAnsi="宋体" w:eastAsia="宋体" w:cs="宋体"/>
          <w:color w:val="auto"/>
          <w:spacing w:val="6"/>
          <w:sz w:val="24"/>
          <w:highlight w:val="none"/>
        </w:rPr>
        <w:t xml:space="preserve">号）的规定，本单位</w:t>
      </w:r>
      <w:r>
        <w:rPr>
          <w:rFonts w:hint="eastAsia" w:ascii="宋体" w:hAnsi="宋体" w:eastAsia="宋体" w:cs="宋体"/>
          <w:b/>
          <w:color w:val="auto"/>
          <w:sz w:val="24"/>
          <w:highlight w:val="none"/>
        </w:rPr>
        <w:t xml:space="preserve">（请进行勾选）</w:t>
      </w:r>
      <w:r>
        <w:rPr>
          <w:rFonts w:hint="eastAsia" w:ascii="宋体" w:hAnsi="宋体" w:eastAsia="宋体" w:cs="宋体"/>
          <w:color w:val="auto"/>
          <w:spacing w:val="6"/>
          <w:sz w:val="24"/>
          <w:highlight w:val="none"/>
        </w:rPr>
        <w:t xml:space="preserve">：</w:t>
      </w:r>
      <w:r/>
    </w:p>
    <w:p>
      <w:pPr>
        <w:ind w:firstLine="482"/>
        <w:spacing w:line="588" w:lineRule="exact"/>
        <w:rPr>
          <w:rFonts w:hint="eastAsia" w:ascii="宋体" w:hAnsi="宋体" w:eastAsia="宋体" w:cs="宋体"/>
          <w:b/>
          <w:color w:val="auto"/>
          <w:spacing w:val="6"/>
          <w:sz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b/>
          <w:color w:val="auto"/>
          <w:spacing w:val="6"/>
          <w:sz w:val="24"/>
          <w:highlight w:val="none"/>
        </w:rPr>
        <w:t xml:space="preserve">不属于符合条件的残疾人福利性单位。</w:t>
      </w:r>
      <w:r/>
    </w:p>
    <w:p>
      <w:pPr>
        <w:ind w:firstLine="482"/>
        <w:spacing w:line="588" w:lineRule="exact"/>
        <w:rPr>
          <w:rFonts w:hint="eastAsia" w:ascii="宋体" w:hAnsi="宋体" w:eastAsia="宋体" w:cs="宋体"/>
          <w:color w:val="auto"/>
          <w:spacing w:val="6"/>
          <w:sz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b/>
          <w:color w:val="auto"/>
          <w:spacing w:val="6"/>
          <w:sz w:val="24"/>
          <w:highlight w:val="none"/>
        </w:rPr>
        <w:t xml:space="preserve">属于符合条件的残疾人福利性单位，</w:t>
      </w:r>
      <w:r>
        <w:rPr>
          <w:rFonts w:hint="eastAsia" w:ascii="宋体" w:hAnsi="宋体" w:eastAsia="宋体" w:cs="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eastAsia="宋体" w:cs="宋体"/>
          <w:color w:val="auto"/>
          <w:spacing w:val="6"/>
          <w:sz w:val="24"/>
          <w:highlight w:val="none"/>
        </w:rPr>
      </w:pPr>
      <w:r>
        <w:rPr>
          <w:rFonts w:hint="eastAsia" w:ascii="宋体" w:hAnsi="宋体" w:eastAsia="宋体" w:cs="宋体"/>
          <w:b/>
          <w:color w:val="auto"/>
          <w:spacing w:val="6"/>
          <w:sz w:val="24"/>
          <w:highlight w:val="none"/>
        </w:rPr>
        <w:t xml:space="preserve">本单位对上述声明的真实性负责。如有虚假，将依法承担相应责任。</w:t>
      </w:r>
      <w:r/>
    </w:p>
    <w:p>
      <w:pPr>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right="1560" w:firstLine="504"/>
        <w:jc w:val="center"/>
        <w:spacing w:line="588"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单位名称（加盖公章）：</w:t>
      </w:r>
      <w:r/>
    </w:p>
    <w:p>
      <w:pPr>
        <w:ind w:right="1560" w:firstLine="504"/>
        <w:jc w:val="center"/>
        <w:spacing w:line="588"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日  期：</w:t>
      </w:r>
      <w:r/>
    </w:p>
    <w:p>
      <w:pPr>
        <w:spacing w:line="360" w:lineRule="auto"/>
        <w:rPr>
          <w:rFonts w:hint="eastAsia" w:ascii="宋体" w:hAnsi="宋体" w:eastAsia="宋体" w:cs="宋体"/>
          <w:b/>
          <w:color w:val="auto"/>
          <w:sz w:val="24"/>
          <w:highlight w:val="none"/>
        </w:rPr>
        <w:outlineLvl w:val="2"/>
      </w:pPr>
      <w:r>
        <w:rPr>
          <w:rFonts w:hint="eastAsia" w:ascii="宋体" w:hAnsi="宋体" w:eastAsia="宋体" w:cs="宋体"/>
          <w:b/>
          <w:color w:val="auto"/>
          <w:sz w:val="24"/>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clear="all"/>
      </w:r>
      <w:r/>
    </w:p>
    <w:p>
      <w:pPr>
        <w:rPr>
          <w:rFonts w:hint="eastAsia"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 xml:space="preserve">9</w:t>
      </w:r>
      <w:r>
        <w:rPr>
          <w:rFonts w:hint="eastAsia" w:ascii="宋体" w:hAnsi="宋体" w:eastAsia="宋体" w:cs="宋体"/>
          <w:color w:val="auto"/>
          <w:sz w:val="24"/>
          <w:szCs w:val="20"/>
          <w:highlight w:val="none"/>
        </w:rPr>
        <w:t xml:space="preserve">  项目实施方案等，包括但不限于如下主题：</w:t>
      </w:r>
      <w:r/>
    </w:p>
    <w:p>
      <w:pPr>
        <w:ind w:firstLine="480"/>
        <w:spacing w:line="5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1）项目组织实施方案；</w:t>
      </w:r>
      <w:r/>
    </w:p>
    <w:p>
      <w:pPr>
        <w:ind w:firstLine="480"/>
        <w:spacing w:line="5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2）项目管理方案；</w:t>
      </w:r>
      <w:r/>
    </w:p>
    <w:p>
      <w:pPr>
        <w:ind w:firstLine="480"/>
        <w:spacing w:line="5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3）拟达到的标准，配备的人员、设备配置等；</w:t>
      </w:r>
      <w:r/>
    </w:p>
    <w:p>
      <w:pPr>
        <w:ind w:firstLine="480"/>
        <w:spacing w:line="5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4）培训方案、技术支持等方案；</w:t>
      </w:r>
      <w:r/>
    </w:p>
    <w:p>
      <w:pPr>
        <w:ind w:firstLine="480"/>
        <w:spacing w:line="5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5）优惠条款或承诺；</w:t>
      </w:r>
      <w:r/>
    </w:p>
    <w:p>
      <w:pPr>
        <w:ind w:firstLine="480"/>
        <w:spacing w:line="5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6）其他。</w:t>
      </w:r>
      <w:r/>
    </w:p>
    <w:p>
      <w:pPr>
        <w:ind w:firstLine="482"/>
        <w:spacing w:line="560" w:lineRule="exact"/>
        <w:rPr>
          <w:rFonts w:hint="eastAsia" w:ascii="宋体" w:hAnsi="宋体" w:eastAsia="宋体" w:cs="宋体"/>
          <w:color w:val="auto"/>
          <w:sz w:val="24"/>
          <w:szCs w:val="20"/>
          <w:highlight w:val="none"/>
        </w:rPr>
      </w:pPr>
      <w:r>
        <w:rPr>
          <w:rFonts w:hint="eastAsia" w:ascii="宋体" w:hAnsi="宋体" w:eastAsia="宋体" w:cs="宋体"/>
          <w:b/>
          <w:bCs/>
          <w:color w:val="auto"/>
          <w:sz w:val="24"/>
          <w:szCs w:val="20"/>
          <w:highlight w:val="none"/>
        </w:rPr>
        <w:t xml:space="preserve">本项内容可根据评审方法和评审标准要求拟制。</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 xml:space="preserve">10</w:t>
      </w:r>
      <w:r>
        <w:rPr>
          <w:rFonts w:hint="eastAsia" w:ascii="宋体" w:hAnsi="宋体" w:eastAsia="宋体" w:cs="宋体"/>
          <w:color w:val="auto"/>
          <w:sz w:val="24"/>
          <w:szCs w:val="20"/>
          <w:highlight w:val="none"/>
        </w:rPr>
        <w:t xml:space="preserve">  参加本项目人员一览表</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参加本项目人员一览表</w:t>
      </w:r>
      <w:r/>
    </w:p>
    <w:p>
      <w:pPr>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项目编号/包号：</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rPr>
        <w:t xml:space="preserve">                     </w:t>
      </w:r>
      <w:r/>
    </w:p>
    <w:tbl>
      <w:tblPr>
        <w:tblStyle w:val="971"/>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责任</w:t>
            </w:r>
            <w:r/>
          </w:p>
          <w:p>
            <w:pPr>
              <w:jc w:val="cente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项目经历或主要工作</w:t>
            </w:r>
            <w:r/>
          </w:p>
          <w:p>
            <w:pPr>
              <w:jc w:val="cente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ascii="宋体" w:hAnsi="宋体" w:eastAsia="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bl>
    <w:p>
      <w:pPr>
        <w:tabs>
          <w:tab w:val="left" w:pos="9765" w:leader="none"/>
        </w:tabs>
        <w:rPr>
          <w:rFonts w:ascii="宋体" w:hAnsi="宋体" w:eastAsia="宋体" w:cs="宋体"/>
          <w:b/>
          <w:color w:val="auto"/>
          <w:sz w:val="24"/>
          <w:highlight w:val="none"/>
          <w:lang w:val="zh-CN"/>
        </w:rPr>
      </w:pPr>
      <w:r>
        <w:rPr>
          <w:rFonts w:ascii="宋体" w:hAnsi="宋体" w:eastAsia="宋体" w:cs="宋体"/>
          <w:b/>
          <w:color w:val="auto"/>
          <w:sz w:val="24"/>
          <w:highlight w:val="none"/>
          <w:lang w:val="zh-CN"/>
        </w:rPr>
      </w:r>
      <w:r/>
    </w:p>
    <w:p>
      <w:pPr>
        <w:spacing w:line="360" w:lineRule="auto"/>
        <w:tabs>
          <w:tab w:val="left" w:pos="9765"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r>
      <w:r/>
    </w:p>
    <w:p>
      <w:pPr>
        <w:spacing w:line="360" w:lineRule="auto"/>
        <w:tabs>
          <w:tab w:val="left" w:pos="9765"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注：参加本项目人员须是投标人正式职工，须同时提供</w:t>
      </w:r>
      <w:r>
        <w:rPr>
          <w:rFonts w:hint="eastAsia" w:ascii="宋体" w:hAnsi="宋体" w:eastAsia="宋体" w:cs="宋体"/>
          <w:b/>
          <w:color w:val="auto"/>
          <w:sz w:val="24"/>
          <w:highlight w:val="none"/>
        </w:rPr>
        <w:t xml:space="preserve">投标人</w:t>
      </w:r>
      <w:r>
        <w:rPr>
          <w:rFonts w:hint="eastAsia" w:ascii="宋体" w:hAnsi="宋体" w:eastAsia="宋体" w:cs="宋体"/>
          <w:b/>
          <w:color w:val="auto"/>
          <w:sz w:val="24"/>
          <w:highlight w:val="none"/>
          <w:lang w:val="zh-CN"/>
        </w:rPr>
        <w:t xml:space="preserve">为其缴纳的</w:t>
      </w:r>
      <w:r>
        <w:rPr>
          <w:rFonts w:hint="eastAsia" w:ascii="宋体" w:hAnsi="宋体" w:eastAsia="宋体" w:cs="宋体"/>
          <w:b/>
          <w:color w:val="auto"/>
          <w:sz w:val="24"/>
          <w:highlight w:val="none"/>
        </w:rPr>
        <w:t xml:space="preserve">投标截止时间</w:t>
      </w:r>
      <w:r>
        <w:rPr>
          <w:rFonts w:hint="eastAsia" w:ascii="宋体" w:hAnsi="宋体" w:eastAsia="宋体" w:cs="宋体"/>
          <w:b/>
          <w:color w:val="auto"/>
          <w:sz w:val="24"/>
          <w:highlight w:val="none"/>
          <w:lang w:val="zh-CN"/>
        </w:rPr>
        <w:t xml:space="preserve">前连续三个月社保证明材料。</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投标人名称（加盖公章）</w:t>
      </w:r>
      <w:r>
        <w:rPr>
          <w:rFonts w:hint="eastAsia" w:ascii="宋体" w:hAnsi="宋体" w:eastAsia="宋体" w:cs="宋体"/>
          <w:color w:val="auto"/>
          <w:sz w:val="24"/>
          <w:highlight w:val="none"/>
          <w:lang w:val="zh-CN"/>
        </w:rPr>
        <w:t xml:space="preserve">：    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r/>
    </w:p>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br w:type="page" w:clear="all"/>
      </w:r>
      <w:bookmarkStart w:id="838" w:name="_Toc288738839"/>
      <w:r/>
      <w:bookmarkStart w:id="839" w:name="_Toc288738397"/>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cs="宋体"/>
          <w:color w:val="auto"/>
          <w:sz w:val="24"/>
          <w:szCs w:val="20"/>
          <w:highlight w:val="none"/>
          <w:lang w:val="en-US" w:eastAsia="zh-CN"/>
        </w:rPr>
        <w:t xml:space="preserve">1</w:t>
      </w:r>
      <w:r>
        <w:rPr>
          <w:rFonts w:hint="eastAsia" w:ascii="宋体" w:hAnsi="宋体" w:eastAsia="宋体" w:cs="宋体"/>
          <w:color w:val="auto"/>
          <w:sz w:val="24"/>
          <w:szCs w:val="20"/>
          <w:highlight w:val="none"/>
        </w:rPr>
        <w:t xml:space="preserve">  相关业绩案例一览表</w:t>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相关业绩案例一览表</w:t>
      </w:r>
      <w:bookmarkEnd w:id="838"/>
      <w:r/>
      <w:bookmarkEnd w:id="839"/>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项目编号/包号：</w:t>
      </w:r>
      <w:r>
        <w:rPr>
          <w:rFonts w:hint="eastAsia" w:ascii="宋体" w:hAnsi="宋体" w:eastAsia="宋体" w:cs="宋体"/>
          <w:color w:val="auto"/>
          <w:sz w:val="24"/>
          <w:highlight w:val="none"/>
          <w:u w:val="singl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rPr>
        <w:t xml:space="preserve">                      </w:t>
      </w:r>
      <w:r/>
    </w:p>
    <w:tbl>
      <w:tblPr>
        <w:tblStyle w:val="971"/>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根据项目具体情况，本表格式可自拟。</w:t>
      </w:r>
      <w:r/>
    </w:p>
    <w:p>
      <w:pPr>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投标人名称（加盖公章）</w:t>
      </w:r>
      <w:r>
        <w:rPr>
          <w:rFonts w:hint="eastAsia" w:ascii="宋体" w:hAnsi="宋体" w:eastAsia="宋体" w:cs="宋体"/>
          <w:color w:val="auto"/>
          <w:sz w:val="24"/>
          <w:highlight w:val="none"/>
          <w:lang w:val="zh-CN"/>
        </w:rPr>
        <w:t xml:space="preserve">：    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rPr>
          <w:rFonts w:hint="default"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 xml:space="preserve">12   承诺函</w:t>
      </w:r>
      <w:r/>
    </w:p>
    <w:p>
      <w:pPr>
        <w:jc w:val="center"/>
        <w:rPr>
          <w:rFonts w:hint="eastAsia" w:ascii="宋体" w:hAnsi="宋体" w:eastAsia="宋体" w:cs="Times New Roman"/>
          <w:b/>
          <w:color w:val="auto"/>
          <w:sz w:val="32"/>
          <w:szCs w:val="32"/>
          <w:highlight w:val="none"/>
          <w:lang w:val="en-US" w:eastAsia="en-US"/>
        </w:rPr>
      </w:pPr>
      <w:r>
        <w:rPr>
          <w:rFonts w:hint="eastAsia" w:ascii="宋体" w:hAnsi="宋体" w:eastAsia="宋体" w:cs="Times New Roman"/>
          <w:b/>
          <w:color w:val="auto"/>
          <w:sz w:val="32"/>
          <w:szCs w:val="32"/>
          <w:highlight w:val="none"/>
          <w:lang w:val="en-US" w:eastAsia="en-US"/>
        </w:rPr>
        <w:t xml:space="preserve">承诺函</w:t>
      </w:r>
      <w:r/>
    </w:p>
    <w:p>
      <w:pPr>
        <w:jc w:val="center"/>
        <w:rPr>
          <w:rFonts w:hint="eastAsia" w:ascii="宋体" w:hAnsi="宋体" w:eastAsia="宋体" w:cs="Times New Roman"/>
          <w:b/>
          <w:color w:val="auto"/>
          <w:sz w:val="32"/>
          <w:szCs w:val="32"/>
          <w:highlight w:val="none"/>
          <w:lang w:eastAsia="en-US"/>
        </w:rPr>
      </w:pPr>
      <w:r>
        <w:rPr>
          <w:rFonts w:hint="eastAsia" w:ascii="宋体" w:hAnsi="宋体" w:eastAsia="宋体" w:cs="Times New Roman"/>
          <w:b/>
          <w:color w:val="auto"/>
          <w:sz w:val="32"/>
          <w:szCs w:val="32"/>
          <w:highlight w:val="none"/>
          <w:lang w:eastAsia="en-US"/>
        </w:rPr>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致：江苏常州天宁经济开发区管理委员会</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我方已仔细研读</w:t>
      </w:r>
      <w:r>
        <w:rPr>
          <w:rFonts w:hint="eastAsia" w:ascii="宋体" w:hAnsi="宋体" w:cs="宋体"/>
          <w:color w:val="auto"/>
          <w:sz w:val="21"/>
          <w:szCs w:val="21"/>
          <w:highlight w:val="none"/>
          <w:u w:val="single"/>
          <w:lang w:eastAsia="zh-CN"/>
        </w:rPr>
        <w:t xml:space="preserve">大明北路东侧，东青和平路北侧（QQ020205-01）地块固废混合物合规处置项目</w:t>
      </w:r>
      <w:r>
        <w:rPr>
          <w:rFonts w:hint="eastAsia" w:ascii="宋体" w:hAnsi="宋体" w:eastAsia="宋体" w:cs="宋体"/>
          <w:color w:val="auto"/>
          <w:sz w:val="21"/>
          <w:szCs w:val="21"/>
          <w:highlight w:val="none"/>
          <w:lang w:eastAsia="en-US"/>
        </w:rPr>
        <w:t xml:space="preserve">招标文件全部内容，充分知晓并理解项目现状及所有潜在风险，现就项目固体废物属性鉴定及后续处置相关事宜，作出不可撤销承诺，本承诺作为投标文件核心组成部分，与投标文件具有同等法律效力，我方中标后本承诺自动成为项目合同有效组成部分，对我方具有全程约束力。</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我方确认，本项目涉及的地块固体废物尚未完成法定危险废物属性鉴定，固废具体类别、处置技术标准、环保合规要求均未最终确定，我方已全面评估该事项带来的全部技术、成本、工期及合规风险，自愿承担所有相关风险责任，对此无任何异议。</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2.若案涉固体废物经法定资质鉴定机构鉴定，被认定为危险废物，</w:t>
      </w:r>
      <w:r>
        <w:rPr>
          <w:rFonts w:hint="eastAsia" w:ascii="宋体" w:hAnsi="宋体" w:eastAsia="宋体" w:cs="宋体"/>
          <w:b/>
          <w:bCs/>
          <w:color w:val="auto"/>
          <w:sz w:val="21"/>
          <w:szCs w:val="21"/>
          <w:highlight w:val="none"/>
          <w:lang w:eastAsia="en-US"/>
        </w:rPr>
        <w:t xml:space="preserve">由甲方负责重新编制符合国家、地方危险废物管理法律法规、行业规范及项目实际需求的危险废物专项处置方案</w:t>
      </w:r>
      <w:r>
        <w:rPr>
          <w:rFonts w:hint="eastAsia" w:ascii="宋体" w:hAnsi="宋体" w:eastAsia="宋体" w:cs="宋体"/>
          <w:color w:val="auto"/>
          <w:sz w:val="21"/>
          <w:szCs w:val="21"/>
          <w:highlight w:val="none"/>
          <w:lang w:eastAsia="en-US"/>
        </w:rPr>
        <w:t xml:space="preserve">，我方承诺在甲方发出配合通知后，</w:t>
      </w:r>
      <w:r>
        <w:rPr>
          <w:rFonts w:hint="eastAsia" w:ascii="宋体" w:hAnsi="宋体" w:eastAsia="宋体" w:cs="宋体"/>
          <w:b/>
          <w:bCs/>
          <w:color w:val="auto"/>
          <w:sz w:val="21"/>
          <w:szCs w:val="21"/>
          <w:highlight w:val="none"/>
          <w:lang w:eastAsia="en-US"/>
        </w:rPr>
        <w:t xml:space="preserve">无条件、无理由、无偿配合甲方完成方案编制相关的全部工作</w:t>
      </w:r>
      <w:r>
        <w:rPr>
          <w:rFonts w:hint="eastAsia" w:ascii="宋体" w:hAnsi="宋体" w:eastAsia="宋体" w:cs="宋体"/>
          <w:color w:val="auto"/>
          <w:sz w:val="21"/>
          <w:szCs w:val="21"/>
          <w:highlight w:val="none"/>
          <w:lang w:eastAsia="en-US"/>
        </w:rPr>
        <w:t xml:space="preserve">，包括但不限于提供现场基础数据、配合现场勘查核查、提交企业资质及技术资料、落实方案落地实施、对接监管部门完成方案报审等 所有配合事项，绝不推诿拖延。</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3.我方承诺，上述因危险废物鉴定结论产生的所有配合工作，均为我方应尽合同义务，</w:t>
      </w:r>
      <w:r>
        <w:rPr>
          <w:rFonts w:hint="eastAsia" w:ascii="宋体" w:hAnsi="宋体" w:eastAsia="宋体" w:cs="宋体"/>
          <w:b/>
          <w:bCs/>
          <w:color w:val="auto"/>
          <w:sz w:val="21"/>
          <w:szCs w:val="21"/>
          <w:highlight w:val="none"/>
          <w:lang w:eastAsia="en-US"/>
        </w:rPr>
        <w:t xml:space="preserve">甲方无需为此向我方支付任何额外费用、补偿，亦不予工期顺延</w:t>
      </w:r>
      <w:r>
        <w:rPr>
          <w:rFonts w:hint="eastAsia" w:ascii="宋体" w:hAnsi="宋体" w:eastAsia="宋体" w:cs="宋体"/>
          <w:color w:val="auto"/>
          <w:sz w:val="21"/>
          <w:szCs w:val="21"/>
          <w:highlight w:val="none"/>
          <w:lang w:eastAsia="en-US"/>
        </w:rPr>
        <w:t xml:space="preserve">，所有配合相关的人力、物力、交通等成本均已综合计入本次投标报价，我方绝不另行向甲方主张任何费用、索赔或工期顺延要求。</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4.我方承诺严格遵守国家、地方关于固体废物及危险废物管理的相关法律法规，依规配合完成后续全部处置工作，若因我方未按要求配合、配合不到位或违规操作，引发的一切行政处罚、经济损失、法律纠纷，均由我方独立承担全部责任，与甲方无任何关联，甲方无需承担任何连带责任。</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en-US"/>
        </w:rPr>
        <w:t xml:space="preserve">.我方确认，本承诺系真实意思表示，若违反任何一条承诺内容，甲方有权直接取消我方中标资格、单方面解除合同、全额没收履约保证金，同时我方需全额赔偿甲方因此遭受的全部经济损失及名誉损失。</w:t>
      </w:r>
      <w:r/>
    </w:p>
    <w:p>
      <w:pPr>
        <w:ind w:left="173"/>
        <w:jc w:val="left"/>
        <w:spacing w:before="142" w:line="222" w:lineRule="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1"/>
          <w:sz w:val="21"/>
          <w:szCs w:val="21"/>
          <w:highlight w:val="none"/>
          <w:lang w:val="en-US" w:eastAsia="en-US" w:bidi="ar-SA"/>
        </w:rPr>
        <w:t xml:space="preserve">投标单位(加盖CA电子公章):</w:t>
      </w:r>
      <w:r>
        <w:rPr>
          <w:rFonts w:hint="eastAsia" w:ascii="宋体" w:hAnsi="宋体" w:eastAsia="宋体" w:cs="宋体"/>
          <w:color w:val="auto"/>
          <w:spacing w:val="-32"/>
          <w:sz w:val="21"/>
          <w:szCs w:val="21"/>
          <w:highlight w:val="none"/>
          <w:lang w:val="en-US" w:eastAsia="en-US" w:bidi="ar-SA"/>
        </w:rPr>
        <w:t xml:space="preserve"> </w:t>
      </w:r>
      <w:r>
        <w:rPr>
          <w:rFonts w:hint="eastAsia" w:ascii="宋体" w:hAnsi="宋体" w:eastAsia="宋体" w:cs="宋体"/>
          <w:color w:val="auto"/>
          <w:sz w:val="21"/>
          <w:szCs w:val="21"/>
          <w:highlight w:val="none"/>
          <w:u w:val="single"/>
          <w:lang w:val="en-US" w:eastAsia="en-US" w:bidi="ar-SA"/>
        </w:rPr>
        <w:t xml:space="preserve">                   </w:t>
      </w:r>
      <w:r/>
    </w:p>
    <w:p>
      <w:pPr>
        <w:ind w:left="173"/>
        <w:jc w:val="left"/>
        <w:spacing w:before="165" w:line="222" w:lineRule="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3"/>
          <w:sz w:val="21"/>
          <w:szCs w:val="21"/>
          <w:highlight w:val="none"/>
          <w:lang w:val="en-US" w:eastAsia="en-US" w:bidi="ar-SA"/>
        </w:rPr>
        <w:t xml:space="preserve">法定代表人签字、签章或印鉴:</w:t>
      </w:r>
      <w:r>
        <w:rPr>
          <w:rFonts w:hint="eastAsia" w:ascii="宋体" w:hAnsi="宋体" w:eastAsia="宋体" w:cs="宋体"/>
          <w:color w:val="auto"/>
          <w:sz w:val="21"/>
          <w:szCs w:val="21"/>
          <w:highlight w:val="none"/>
          <w:u w:val="single"/>
          <w:lang w:val="en-US" w:eastAsia="en-US" w:bidi="ar-SA"/>
        </w:rPr>
        <w:t xml:space="preserve">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en-US" w:bidi="ar-SA"/>
        </w:rPr>
        <w:t xml:space="preserve">       </w:t>
      </w:r>
      <w:r/>
    </w:p>
    <w:p>
      <w:pPr>
        <w:ind w:left="173"/>
        <w:jc w:val="left"/>
        <w:spacing w:before="186" w:line="222" w:lineRule="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联系电话：</w:t>
      </w:r>
      <w:r>
        <w:rPr>
          <w:rFonts w:hint="eastAsia" w:ascii="宋体" w:hAnsi="宋体" w:eastAsia="宋体" w:cs="宋体"/>
          <w:color w:val="auto"/>
          <w:sz w:val="21"/>
          <w:szCs w:val="21"/>
          <w:highlight w:val="none"/>
          <w:u w:val="single"/>
          <w:lang w:val="en-US" w:eastAsia="en-US" w:bidi="ar-SA"/>
        </w:rPr>
        <w:t xml:space="preserve">               </w:t>
      </w:r>
      <w:r/>
    </w:p>
    <w:p>
      <w:pPr>
        <w:ind w:left="173"/>
        <w:jc w:val="left"/>
        <w:spacing w:before="187" w:line="223" w:lineRule="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3"/>
          <w:sz w:val="21"/>
          <w:szCs w:val="21"/>
          <w:highlight w:val="none"/>
          <w:lang w:val="en-US" w:eastAsia="en-US" w:bidi="ar-SA"/>
        </w:rPr>
        <w:t xml:space="preserve">日期：</w:t>
      </w:r>
      <w:r>
        <w:rPr>
          <w:rFonts w:hint="eastAsia" w:ascii="宋体" w:hAnsi="宋体" w:eastAsia="宋体" w:cs="宋体"/>
          <w:color w:val="auto"/>
          <w:spacing w:val="14"/>
          <w:sz w:val="21"/>
          <w:szCs w:val="21"/>
          <w:highlight w:val="none"/>
          <w:u w:val="single"/>
          <w:lang w:val="en-US" w:eastAsia="en-US" w:bidi="ar-SA"/>
        </w:rPr>
        <w:t xml:space="preserve">     </w:t>
      </w:r>
      <w:r>
        <w:rPr>
          <w:rFonts w:hint="eastAsia" w:ascii="宋体" w:hAnsi="宋体" w:eastAsia="宋体" w:cs="宋体"/>
          <w:color w:val="auto"/>
          <w:spacing w:val="-61"/>
          <w:sz w:val="21"/>
          <w:szCs w:val="21"/>
          <w:highlight w:val="none"/>
          <w:lang w:val="en-US" w:eastAsia="en-US" w:bidi="ar-SA"/>
        </w:rPr>
        <w:t xml:space="preserve"> </w:t>
      </w:r>
      <w:r>
        <w:rPr>
          <w:rFonts w:hint="eastAsia" w:ascii="宋体" w:hAnsi="宋体" w:eastAsia="宋体" w:cs="宋体"/>
          <w:color w:val="auto"/>
          <w:spacing w:val="-23"/>
          <w:sz w:val="21"/>
          <w:szCs w:val="21"/>
          <w:highlight w:val="none"/>
          <w:lang w:val="en-US" w:eastAsia="en-US" w:bidi="ar-SA"/>
        </w:rPr>
        <w:t xml:space="preserve">年</w:t>
      </w:r>
      <w:r>
        <w:rPr>
          <w:rFonts w:hint="eastAsia" w:ascii="宋体" w:hAnsi="宋体" w:eastAsia="宋体" w:cs="宋体"/>
          <w:color w:val="auto"/>
          <w:spacing w:val="-71"/>
          <w:sz w:val="21"/>
          <w:szCs w:val="21"/>
          <w:highlight w:val="none"/>
          <w:lang w:val="en-US" w:eastAsia="en-US" w:bidi="ar-SA"/>
        </w:rPr>
        <w:t xml:space="preserve"> </w:t>
      </w:r>
      <w:r>
        <w:rPr>
          <w:rFonts w:hint="eastAsia" w:ascii="宋体" w:hAnsi="宋体" w:eastAsia="宋体" w:cs="宋体"/>
          <w:color w:val="auto"/>
          <w:spacing w:val="15"/>
          <w:sz w:val="21"/>
          <w:szCs w:val="21"/>
          <w:highlight w:val="none"/>
          <w:u w:val="single"/>
          <w:lang w:val="en-US" w:eastAsia="en-US" w:bidi="ar-SA"/>
        </w:rPr>
        <w:t xml:space="preserve">    </w:t>
      </w:r>
      <w:r>
        <w:rPr>
          <w:rFonts w:hint="eastAsia" w:ascii="宋体" w:hAnsi="宋体" w:eastAsia="宋体" w:cs="宋体"/>
          <w:color w:val="auto"/>
          <w:spacing w:val="-23"/>
          <w:sz w:val="21"/>
          <w:szCs w:val="21"/>
          <w:highlight w:val="none"/>
          <w:u w:val="single"/>
          <w:lang w:val="en-US" w:eastAsia="en-US" w:bidi="ar-SA"/>
        </w:rPr>
        <w:t xml:space="preserve">月</w:t>
      </w:r>
      <w:r>
        <w:rPr>
          <w:rFonts w:hint="eastAsia" w:ascii="宋体" w:hAnsi="宋体" w:eastAsia="宋体" w:cs="宋体"/>
          <w:color w:val="auto"/>
          <w:spacing w:val="26"/>
          <w:sz w:val="21"/>
          <w:szCs w:val="21"/>
          <w:highlight w:val="none"/>
          <w:u w:val="single"/>
          <w:lang w:val="en-US" w:eastAsia="en-US" w:bidi="ar-SA"/>
        </w:rPr>
        <w:t xml:space="preserve">   </w:t>
      </w:r>
      <w:r>
        <w:rPr>
          <w:rFonts w:hint="eastAsia" w:ascii="宋体" w:hAnsi="宋体" w:eastAsia="宋体" w:cs="宋体"/>
          <w:color w:val="auto"/>
          <w:spacing w:val="-23"/>
          <w:sz w:val="21"/>
          <w:szCs w:val="21"/>
          <w:highlight w:val="none"/>
          <w:lang w:val="en-US" w:eastAsia="en-US" w:bidi="ar-SA"/>
        </w:rPr>
        <w:t xml:space="preserve">日</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t xml:space="preserve">1</w:t>
      </w: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  招标文件要求提供或投标人认为应附的其他材料</w:t>
      </w:r>
      <w:r/>
    </w:p>
    <w:sectPr>
      <w:headerReference w:type="even" r:id="rId11"/>
      <w:headerReference w:type="first" r:id="rId12"/>
      <w:footerReference w:type="even" r:id="rId21"/>
      <w:footerReference w:type="first" r:id="rId22"/>
      <w:footnotePr/>
      <w:endnotePr/>
      <w:type w:val="nextPage"/>
      <w:pgSz w:w="11907" w:h="16840" w:orient="portrait"/>
      <w:pgMar w:top="1418" w:right="1134" w:bottom="1418" w:left="1417"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Symbol">
    <w:panose1 w:val="05050102010706020507"/>
  </w:font>
  <w:font w:name="Courier New">
    <w:panose1 w:val="020703090202050204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rPr>
        <w:rStyle w:val="1216"/>
      </w:rPr>
      <w:framePr w:wrap="around" w:vAnchor="text" w:hAnchor="margin" w:xAlign="right" w:y="1"/>
    </w:pPr>
    <w:r/>
    <w:r/>
  </w:p>
  <w:p>
    <w:pPr>
      <w:pStyle w:val="1192"/>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2"/>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2"/>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rPr>
        <w:rStyle w:val="1216"/>
      </w:rPr>
      <w:framePr w:wrap="around" w:vAnchor="text" w:hAnchor="margin" w:xAlign="right" w:y="1"/>
    </w:pPr>
    <w:r/>
    <w:r/>
  </w:p>
  <w:p>
    <w:pPr>
      <w:pStyle w:val="1192"/>
      <w:ind w:right="360"/>
      <w:jc w:val="right"/>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2"/>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34</w:t>
                          </w:r>
                          <w:r>
                            <w:rPr>
                              <w:rFonts w:ascii="Times New Roma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2"/>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34</w:t>
                    </w:r>
                    <w:r>
                      <w:rPr>
                        <w:rFonts w:ascii="Times New Roman"/>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rPr>
        <w:rStyle w:val="1216"/>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192"/>
      <w:ind w:right="360"/>
      <w:jc w:val="right"/>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ascii="Times New Roman" w:hAnsi="Times New Roman" w:eastAsia="宋体" w:cs="Times New Roman"/>
                              <w:sz w:val="18"/>
                              <w:szCs w:val="24"/>
                              <w:lang w:val="en-US" w:eastAsia="zh-CN" w:bidi="ar-SA"/>
                            </w:rPr>
                          </w:pPr>
                          <w:r>
                            <w:rPr>
                              <w:rFonts w:ascii="Times New Roman" w:hAnsi="Times New Roman" w:eastAsia="宋体" w:cs="Times New Roman"/>
                              <w:sz w:val="18"/>
                              <w:szCs w:val="24"/>
                              <w:lang w:val="en-US" w:eastAsia="zh-CN" w:bidi="ar-SA"/>
                            </w:rPr>
                            <w:fldChar w:fldCharType="begin"/>
                          </w:r>
                          <w:r>
                            <w:rPr>
                              <w:rFonts w:ascii="Times New Roman" w:hAnsi="Times New Roman" w:eastAsia="宋体" w:cs="Times New Roman"/>
                              <w:sz w:val="18"/>
                              <w:szCs w:val="24"/>
                              <w:lang w:val="en-US" w:eastAsia="zh-CN" w:bidi="ar-SA"/>
                            </w:rPr>
                            <w:instrText xml:space="preserve"> PAGE  \* MERGEFORMAT </w:instrText>
                          </w:r>
                          <w:r>
                            <w:rPr>
                              <w:rFonts w:ascii="Times New Roman" w:hAnsi="Times New Roman" w:eastAsia="宋体" w:cs="Times New Roman"/>
                              <w:sz w:val="18"/>
                              <w:szCs w:val="24"/>
                              <w:lang w:val="en-US" w:eastAsia="zh-CN" w:bidi="ar-SA"/>
                            </w:rPr>
                            <w:fldChar w:fldCharType="separate"/>
                          </w:r>
                          <w:r>
                            <w:rPr>
                              <w:rFonts w:ascii="Times New Roman" w:hAnsi="Times New Roman" w:eastAsia="宋体" w:cs="Times New Roman"/>
                              <w:sz w:val="18"/>
                              <w:szCs w:val="24"/>
                              <w:lang w:val="en-US" w:eastAsia="zh-CN" w:bidi="ar-SA"/>
                            </w:rPr>
                            <w:t xml:space="preserve">22</w:t>
                          </w:r>
                          <w:r>
                            <w:rPr>
                              <w:rFonts w:ascii="Times New Roman" w:hAnsi="Times New Roman" w:eastAsia="宋体" w:cs="Times New Roman"/>
                              <w:sz w:val="18"/>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Times New Roman" w:hAnsi="Times New Roman" w:eastAsia="宋体" w:cs="Times New Roman"/>
                        <w:sz w:val="18"/>
                        <w:szCs w:val="24"/>
                        <w:lang w:val="en-US" w:eastAsia="zh-CN" w:bidi="ar-SA"/>
                      </w:rPr>
                    </w:pPr>
                    <w:r>
                      <w:rPr>
                        <w:rFonts w:ascii="Times New Roman" w:hAnsi="Times New Roman" w:eastAsia="宋体" w:cs="Times New Roman"/>
                        <w:sz w:val="18"/>
                        <w:szCs w:val="24"/>
                        <w:lang w:val="en-US" w:eastAsia="zh-CN" w:bidi="ar-SA"/>
                      </w:rPr>
                      <w:fldChar w:fldCharType="begin"/>
                    </w:r>
                    <w:r>
                      <w:rPr>
                        <w:rFonts w:ascii="Times New Roman" w:hAnsi="Times New Roman" w:eastAsia="宋体" w:cs="Times New Roman"/>
                        <w:sz w:val="18"/>
                        <w:szCs w:val="24"/>
                        <w:lang w:val="en-US" w:eastAsia="zh-CN" w:bidi="ar-SA"/>
                      </w:rPr>
                      <w:instrText xml:space="preserve"> PAGE  \* MERGEFORMAT </w:instrText>
                    </w:r>
                    <w:r>
                      <w:rPr>
                        <w:rFonts w:ascii="Times New Roman" w:hAnsi="Times New Roman" w:eastAsia="宋体" w:cs="Times New Roman"/>
                        <w:sz w:val="18"/>
                        <w:szCs w:val="24"/>
                        <w:lang w:val="en-US" w:eastAsia="zh-CN" w:bidi="ar-SA"/>
                      </w:rPr>
                      <w:fldChar w:fldCharType="separate"/>
                    </w:r>
                    <w:r>
                      <w:rPr>
                        <w:rFonts w:ascii="Times New Roman" w:hAnsi="Times New Roman" w:eastAsia="宋体" w:cs="Times New Roman"/>
                        <w:sz w:val="18"/>
                        <w:szCs w:val="24"/>
                        <w:lang w:val="en-US" w:eastAsia="zh-CN" w:bidi="ar-SA"/>
                      </w:rPr>
                      <w:t xml:space="preserve">22</w:t>
                    </w:r>
                    <w:r>
                      <w:rPr>
                        <w:rFonts w:ascii="Times New Roman" w:hAnsi="Times New Roman" w:eastAsia="宋体" w:cs="Times New Roman"/>
                        <w:sz w:val="18"/>
                        <w:szCs w:val="24"/>
                        <w:lang w:val="en-US" w:eastAsia="zh-CN" w:bidi="ar-SA"/>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ascii="Times New Roman" w:hAnsi="Times New Roman" w:eastAsia="宋体" w:cs="Times New Roman"/>
                              <w:sz w:val="18"/>
                              <w:szCs w:val="24"/>
                              <w:lang w:val="en-US" w:eastAsia="zh-CN" w:bidi="ar-SA"/>
                            </w:rPr>
                          </w:pPr>
                          <w:r>
                            <w:rPr>
                              <w:rFonts w:ascii="Times New Roman" w:hAnsi="Times New Roman" w:eastAsia="宋体" w:cs="Times New Roman"/>
                              <w:sz w:val="18"/>
                              <w:szCs w:val="24"/>
                              <w:lang w:val="en-US" w:eastAsia="zh-CN" w:bidi="ar-SA"/>
                            </w:rPr>
                            <w:fldChar w:fldCharType="begin"/>
                          </w:r>
                          <w:r>
                            <w:rPr>
                              <w:rFonts w:ascii="Times New Roman" w:hAnsi="Times New Roman" w:eastAsia="宋体" w:cs="Times New Roman"/>
                              <w:sz w:val="18"/>
                              <w:szCs w:val="24"/>
                              <w:lang w:val="en-US" w:eastAsia="zh-CN" w:bidi="ar-SA"/>
                            </w:rPr>
                            <w:instrText xml:space="preserve"> PAGE  \* MERGEFORMAT </w:instrText>
                          </w:r>
                          <w:r>
                            <w:rPr>
                              <w:rFonts w:ascii="Times New Roman" w:hAnsi="Times New Roman" w:eastAsia="宋体" w:cs="Times New Roman"/>
                              <w:sz w:val="18"/>
                              <w:szCs w:val="24"/>
                              <w:lang w:val="en-US" w:eastAsia="zh-CN" w:bidi="ar-SA"/>
                            </w:rPr>
                            <w:fldChar w:fldCharType="separate"/>
                          </w:r>
                          <w:r>
                            <w:rPr>
                              <w:rFonts w:ascii="Times New Roman" w:hAnsi="Times New Roman" w:eastAsia="宋体" w:cs="Times New Roman"/>
                              <w:sz w:val="18"/>
                              <w:szCs w:val="24"/>
                              <w:lang w:val="en-US" w:eastAsia="zh-CN" w:bidi="ar-SA"/>
                            </w:rPr>
                            <w:t xml:space="preserve">22</w:t>
                          </w:r>
                          <w:r>
                            <w:rPr>
                              <w:rFonts w:ascii="Times New Roman" w:hAnsi="Times New Roman" w:eastAsia="宋体" w:cs="Times New Roman"/>
                              <w:sz w:val="18"/>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Times New Roman" w:hAnsi="Times New Roman" w:eastAsia="宋体" w:cs="Times New Roman"/>
                        <w:sz w:val="18"/>
                        <w:szCs w:val="24"/>
                        <w:lang w:val="en-US" w:eastAsia="zh-CN" w:bidi="ar-SA"/>
                      </w:rPr>
                    </w:pPr>
                    <w:r>
                      <w:rPr>
                        <w:rFonts w:ascii="Times New Roman" w:hAnsi="Times New Roman" w:eastAsia="宋体" w:cs="Times New Roman"/>
                        <w:sz w:val="18"/>
                        <w:szCs w:val="24"/>
                        <w:lang w:val="en-US" w:eastAsia="zh-CN" w:bidi="ar-SA"/>
                      </w:rPr>
                      <w:fldChar w:fldCharType="begin"/>
                    </w:r>
                    <w:r>
                      <w:rPr>
                        <w:rFonts w:ascii="Times New Roman" w:hAnsi="Times New Roman" w:eastAsia="宋体" w:cs="Times New Roman"/>
                        <w:sz w:val="18"/>
                        <w:szCs w:val="24"/>
                        <w:lang w:val="en-US" w:eastAsia="zh-CN" w:bidi="ar-SA"/>
                      </w:rPr>
                      <w:instrText xml:space="preserve"> PAGE  \* MERGEFORMAT </w:instrText>
                    </w:r>
                    <w:r>
                      <w:rPr>
                        <w:rFonts w:ascii="Times New Roman" w:hAnsi="Times New Roman" w:eastAsia="宋体" w:cs="Times New Roman"/>
                        <w:sz w:val="18"/>
                        <w:szCs w:val="24"/>
                        <w:lang w:val="en-US" w:eastAsia="zh-CN" w:bidi="ar-SA"/>
                      </w:rPr>
                      <w:fldChar w:fldCharType="separate"/>
                    </w:r>
                    <w:r>
                      <w:rPr>
                        <w:rFonts w:ascii="Times New Roman" w:hAnsi="Times New Roman" w:eastAsia="宋体" w:cs="Times New Roman"/>
                        <w:sz w:val="18"/>
                        <w:szCs w:val="24"/>
                        <w:lang w:val="en-US" w:eastAsia="zh-CN" w:bidi="ar-SA"/>
                      </w:rPr>
                      <w:t xml:space="preserve">22</w:t>
                    </w:r>
                    <w:r>
                      <w:rPr>
                        <w:rFonts w:ascii="Times New Roman" w:hAnsi="Times New Roman" w:eastAsia="宋体" w:cs="Times New Roman"/>
                        <w:sz w:val="18"/>
                        <w:szCs w:val="24"/>
                        <w:lang w:val="en-US" w:eastAsia="zh-CN" w:bidi="ar-SA"/>
                      </w:rP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rPr>
        <w:rStyle w:val="1216"/>
      </w:rPr>
      <w:framePr w:wrap="around" w:vAnchor="text" w:hAnchor="margin" w:xAlign="right" w:y="1"/>
    </w:pPr>
    <w:r>
      <w:rPr>
        <w:rStyle w:val="1216"/>
      </w:rPr>
      <w:fldChar w:fldCharType="begin"/>
    </w:r>
    <w:r>
      <w:rPr>
        <w:rStyle w:val="1216"/>
      </w:rPr>
      <w:instrText xml:space="preserve">PAGE  </w:instrText>
    </w:r>
    <w:r>
      <w:rPr>
        <w:rStyle w:val="1216"/>
      </w:rPr>
      <w:fldChar w:fldCharType="end"/>
    </w:r>
    <w:r/>
  </w:p>
  <w:p>
    <w:pPr>
      <w:pStyle w:val="1192"/>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jc w:val="right"/>
    </w:pPr>
    <w:r>
      <w:rPr>
        <w:rFonts w:hint="eastAsia"/>
      </w:rPr>
      <w:t xml:space="preserve">                                                          </w:t>
    </w:r>
    <w:r>
      <w:rPr>
        <w:rFonts w:hint="eastAsia" w:ascii="宋体" w:hAnsi="宋体" w:eastAsia="宋体" w:cs="宋体"/>
      </w:rPr>
      <w:t xml:space="preserve"> 常州市政府采购项目公开招标文件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jc w:val="right"/>
      <w:rPr>
        <w:rFonts w:hint="eastAsia" w:ascii="宋体" w:hAnsi="宋体" w:eastAsia="宋体" w:cs="宋体"/>
      </w:rPr>
    </w:pPr>
    <w:r>
      <w:rPr>
        <w:rFonts w:hint="eastAsia"/>
      </w:rPr>
      <w:t xml:space="preserve">                                                          </w:t>
    </w:r>
    <w:r>
      <w:rPr>
        <w:rFonts w:hint="eastAsia" w:ascii="宋体" w:hAnsi="宋体" w:eastAsia="宋体" w:cs="宋体"/>
      </w:rPr>
      <w:t xml:space="preserve"> 常州市政府采购项目公开招标文件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306"/>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9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26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255"/>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54"/>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91"/>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90"/>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99"/>
      <w:isLgl w:val="false"/>
      <w:suff w:val="nothing"/>
      <w:lvlText w:val="%1.%2.%3.%4.%5.%6　"/>
      <w:lvlJc w:val="left"/>
      <w:pPr>
        <w:ind w:left="-25" w:firstLine="0"/>
      </w:pPr>
      <w:rPr>
        <w:rFonts w:ascii="Times New Roman" w:hAnsi="Times New Roman" w:eastAsia="宋体"/>
        <w:b/>
        <w:i w:val="0"/>
        <w:sz w:val="28"/>
      </w:rPr>
    </w:lvl>
    <w:lvl w:ilvl="6">
      <w:start w:val="1"/>
      <w:numFmt w:val="lowerLetter"/>
      <w:pStyle w:val="1312"/>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75"/>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1"/>
      <w:numFmt w:val="lowerLetter"/>
      <w:pStyle w:val="1335"/>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360"/>
      <w:isLgl w:val="false"/>
      <w:suff w:val="tab"/>
      <w:lvlText w:val="%1"/>
      <w:lvlJc w:val="left"/>
      <w:pPr>
        <w:ind w:left="680" w:hanging="680"/>
      </w:pPr>
      <w:rPr>
        <w:rFonts w:hint="eastAsia" w:ascii="宋体" w:hAnsi="宋体" w:eastAsia="宋体"/>
      </w:rPr>
    </w:lvl>
    <w:lvl w:ilvl="1">
      <w:start w:val="1"/>
      <w:numFmt w:val="decimal"/>
      <w:pStyle w:val="1361"/>
      <w:isLgl w:val="false"/>
      <w:suff w:val="tab"/>
      <w:lvlText w:val="%1.%2"/>
      <w:lvlJc w:val="left"/>
      <w:pPr>
        <w:ind w:left="851" w:hanging="851"/>
      </w:pPr>
      <w:rPr>
        <w:rFonts w:hint="eastAsia" w:ascii="宋体" w:hAnsi="宋体" w:eastAsia="宋体"/>
        <w:color w:val="000000"/>
      </w:rPr>
    </w:lvl>
    <w:lvl w:ilvl="2">
      <w:start w:val="1"/>
      <w:numFmt w:val="decimal"/>
      <w:pStyle w:val="136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decimal"/>
      <w:pStyle w:val="126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0" w:default="1">
    <w:name w:val="Normal"/>
    <w:next w:val="972"/>
    <w:link w:val="14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1">
    <w:name w:val="Heading 1"/>
    <w:basedOn w:val="960"/>
    <w:next w:val="960"/>
    <w:link w:val="996"/>
    <w:uiPriority w:val="9"/>
    <w:qFormat/>
    <w:pPr>
      <w:keepLines/>
      <w:keepNext/>
      <w:spacing w:before="480" w:after="200"/>
      <w:outlineLvl w:val="0"/>
    </w:pPr>
    <w:rPr>
      <w:rFonts w:ascii="Arial" w:hAnsi="Arial" w:eastAsia="Arial" w:cs="Arial"/>
      <w:sz w:val="40"/>
      <w:szCs w:val="40"/>
    </w:rPr>
  </w:style>
  <w:style w:type="paragraph" w:styleId="962">
    <w:name w:val="Heading 2"/>
    <w:basedOn w:val="960"/>
    <w:next w:val="960"/>
    <w:link w:val="1157"/>
    <w:uiPriority w:val="9"/>
    <w:unhideWhenUsed/>
    <w:qFormat/>
    <w:pPr>
      <w:keepLines/>
      <w:keepNext/>
      <w:spacing w:before="360" w:after="200"/>
      <w:outlineLvl w:val="1"/>
    </w:pPr>
    <w:rPr>
      <w:rFonts w:ascii="Arial" w:hAnsi="Arial" w:eastAsia="Arial" w:cs="Arial"/>
      <w:sz w:val="34"/>
    </w:rPr>
  </w:style>
  <w:style w:type="paragraph" w:styleId="963">
    <w:name w:val="Heading 3"/>
    <w:basedOn w:val="960"/>
    <w:next w:val="960"/>
    <w:link w:val="1159"/>
    <w:uiPriority w:val="9"/>
    <w:unhideWhenUsed/>
    <w:qFormat/>
    <w:pPr>
      <w:keepLines/>
      <w:keepNext/>
      <w:spacing w:before="320" w:after="200"/>
      <w:outlineLvl w:val="2"/>
    </w:pPr>
    <w:rPr>
      <w:rFonts w:ascii="Arial" w:hAnsi="Arial" w:eastAsia="Arial" w:cs="Arial"/>
      <w:sz w:val="30"/>
      <w:szCs w:val="30"/>
    </w:rPr>
  </w:style>
  <w:style w:type="paragraph" w:styleId="964">
    <w:name w:val="Heading 4"/>
    <w:basedOn w:val="960"/>
    <w:next w:val="960"/>
    <w:link w:val="999"/>
    <w:uiPriority w:val="9"/>
    <w:unhideWhenUsed/>
    <w:qFormat/>
    <w:pPr>
      <w:keepLines/>
      <w:keepNext/>
      <w:spacing w:before="320" w:after="200"/>
      <w:outlineLvl w:val="3"/>
    </w:pPr>
    <w:rPr>
      <w:rFonts w:ascii="Arial" w:hAnsi="Arial" w:eastAsia="Arial" w:cs="Arial"/>
      <w:b/>
      <w:bCs/>
      <w:sz w:val="26"/>
      <w:szCs w:val="26"/>
    </w:rPr>
  </w:style>
  <w:style w:type="paragraph" w:styleId="965">
    <w:name w:val="Heading 5"/>
    <w:basedOn w:val="960"/>
    <w:next w:val="960"/>
    <w:link w:val="1000"/>
    <w:uiPriority w:val="9"/>
    <w:unhideWhenUsed/>
    <w:qFormat/>
    <w:pPr>
      <w:keepLines/>
      <w:keepNext/>
      <w:spacing w:before="320" w:after="200"/>
      <w:outlineLvl w:val="4"/>
    </w:pPr>
    <w:rPr>
      <w:rFonts w:ascii="Arial" w:hAnsi="Arial" w:eastAsia="Arial" w:cs="Arial"/>
      <w:b/>
      <w:bCs/>
      <w:sz w:val="24"/>
      <w:szCs w:val="24"/>
    </w:rPr>
  </w:style>
  <w:style w:type="paragraph" w:styleId="966">
    <w:name w:val="Heading 6"/>
    <w:basedOn w:val="960"/>
    <w:next w:val="960"/>
    <w:link w:val="1001"/>
    <w:uiPriority w:val="9"/>
    <w:unhideWhenUsed/>
    <w:qFormat/>
    <w:pPr>
      <w:keepLines/>
      <w:keepNext/>
      <w:spacing w:before="320" w:after="200"/>
      <w:outlineLvl w:val="5"/>
    </w:pPr>
    <w:rPr>
      <w:rFonts w:ascii="Arial" w:hAnsi="Arial" w:eastAsia="Arial" w:cs="Arial"/>
      <w:b/>
      <w:bCs/>
      <w:sz w:val="22"/>
      <w:szCs w:val="22"/>
    </w:rPr>
  </w:style>
  <w:style w:type="paragraph" w:styleId="967">
    <w:name w:val="Heading 7"/>
    <w:basedOn w:val="960"/>
    <w:next w:val="960"/>
    <w:link w:val="1002"/>
    <w:uiPriority w:val="9"/>
    <w:unhideWhenUsed/>
    <w:qFormat/>
    <w:pPr>
      <w:keepLines/>
      <w:keepNext/>
      <w:spacing w:before="320" w:after="200"/>
      <w:outlineLvl w:val="6"/>
    </w:pPr>
    <w:rPr>
      <w:rFonts w:ascii="Arial" w:hAnsi="Arial" w:eastAsia="Arial" w:cs="Arial"/>
      <w:b/>
      <w:bCs/>
      <w:i/>
      <w:iCs/>
      <w:sz w:val="22"/>
      <w:szCs w:val="22"/>
    </w:rPr>
  </w:style>
  <w:style w:type="paragraph" w:styleId="968">
    <w:name w:val="Heading 8"/>
    <w:basedOn w:val="960"/>
    <w:next w:val="960"/>
    <w:link w:val="1003"/>
    <w:uiPriority w:val="9"/>
    <w:unhideWhenUsed/>
    <w:qFormat/>
    <w:pPr>
      <w:keepLines/>
      <w:keepNext/>
      <w:spacing w:before="320" w:after="200"/>
      <w:outlineLvl w:val="7"/>
    </w:pPr>
    <w:rPr>
      <w:rFonts w:ascii="Arial" w:hAnsi="Arial" w:eastAsia="Arial" w:cs="Arial"/>
      <w:i/>
      <w:iCs/>
      <w:sz w:val="22"/>
      <w:szCs w:val="22"/>
    </w:rPr>
  </w:style>
  <w:style w:type="paragraph" w:styleId="969">
    <w:name w:val="Heading 9"/>
    <w:basedOn w:val="960"/>
    <w:next w:val="960"/>
    <w:link w:val="1004"/>
    <w:uiPriority w:val="9"/>
    <w:unhideWhenUsed/>
    <w:qFormat/>
    <w:pPr>
      <w:keepLines/>
      <w:keepNext/>
      <w:spacing w:before="320" w:after="200"/>
      <w:outlineLvl w:val="8"/>
    </w:pPr>
    <w:rPr>
      <w:rFonts w:ascii="Arial" w:hAnsi="Arial" w:eastAsia="Arial" w:cs="Arial"/>
      <w:i/>
      <w:iCs/>
      <w:sz w:val="21"/>
      <w:szCs w:val="21"/>
    </w:rPr>
  </w:style>
  <w:style w:type="character" w:styleId="970" w:default="1">
    <w:name w:val="Default Paragraph Font"/>
    <w:uiPriority w:val="1"/>
    <w:semiHidden/>
    <w:unhideWhenUsed/>
    <w:qFormat/>
  </w:style>
  <w:style w:type="table" w:styleId="971" w:default="1">
    <w:name w:val="Normal Table"/>
    <w:uiPriority w:val="99"/>
    <w:semiHidden/>
    <w:unhideWhenUsed/>
    <w:qFormat/>
    <w:tblPr>
      <w:tblCellMar>
        <w:left w:w="108" w:type="dxa"/>
        <w:top w:w="0" w:type="dxa"/>
        <w:right w:w="108" w:type="dxa"/>
        <w:bottom w:w="0" w:type="dxa"/>
      </w:tblCellMar>
    </w:tblPr>
  </w:style>
  <w:style w:type="paragraph" w:styleId="972">
    <w:name w:val="Body Text"/>
    <w:basedOn w:val="960"/>
    <w:next w:val="960"/>
    <w:uiPriority w:val="0"/>
    <w:qFormat/>
    <w:pPr>
      <w:spacing w:before="120" w:line="22" w:lineRule="atLeast"/>
    </w:pPr>
    <w:rPr>
      <w:rFonts w:ascii="宋体" w:hAnsi="宋体"/>
      <w:sz w:val="24"/>
    </w:rPr>
  </w:style>
  <w:style w:type="paragraph" w:styleId="973">
    <w:name w:val="toc 7"/>
    <w:basedOn w:val="960"/>
    <w:next w:val="960"/>
    <w:uiPriority w:val="39"/>
    <w:unhideWhenUsed/>
    <w:qFormat/>
    <w:pPr>
      <w:ind w:left="1701" w:right="0" w:firstLine="0"/>
      <w:spacing w:after="57"/>
    </w:pPr>
  </w:style>
  <w:style w:type="paragraph" w:styleId="974">
    <w:name w:val="Caption"/>
    <w:basedOn w:val="960"/>
    <w:next w:val="9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75">
    <w:name w:val="toc 5"/>
    <w:basedOn w:val="960"/>
    <w:next w:val="960"/>
    <w:uiPriority w:val="39"/>
    <w:unhideWhenUsed/>
    <w:qFormat/>
    <w:pPr>
      <w:ind w:left="1134" w:right="0" w:firstLine="0"/>
      <w:spacing w:after="57"/>
    </w:pPr>
  </w:style>
  <w:style w:type="paragraph" w:styleId="976">
    <w:name w:val="toc 3"/>
    <w:basedOn w:val="960"/>
    <w:next w:val="960"/>
    <w:uiPriority w:val="39"/>
    <w:unhideWhenUsed/>
    <w:qFormat/>
    <w:pPr>
      <w:ind w:left="567" w:right="0" w:firstLine="0"/>
      <w:spacing w:after="57"/>
    </w:pPr>
  </w:style>
  <w:style w:type="paragraph" w:styleId="977">
    <w:name w:val="Plain Text"/>
    <w:uiPriority w:val="99"/>
    <w:qFormat/>
    <w:pPr>
      <w:jc w:val="both"/>
      <w:widowControl w:val="off"/>
    </w:pPr>
    <w:rPr>
      <w:rFonts w:ascii="宋体" w:hAnsi="Courier New" w:eastAsia="宋体" w:cs="Times New Roman"/>
      <w:sz w:val="21"/>
      <w:szCs w:val="24"/>
      <w:lang w:val="en-US" w:eastAsia="zh-CN" w:bidi="ar-SA"/>
    </w:rPr>
  </w:style>
  <w:style w:type="paragraph" w:styleId="978">
    <w:name w:val="toc 8"/>
    <w:basedOn w:val="960"/>
    <w:next w:val="960"/>
    <w:uiPriority w:val="39"/>
    <w:unhideWhenUsed/>
    <w:qFormat/>
    <w:pPr>
      <w:ind w:left="1984" w:right="0" w:firstLine="0"/>
      <w:spacing w:after="57"/>
    </w:pPr>
  </w:style>
  <w:style w:type="paragraph" w:styleId="979">
    <w:name w:val="endnote text"/>
    <w:basedOn w:val="960"/>
    <w:link w:val="1142"/>
    <w:uiPriority w:val="99"/>
    <w:semiHidden/>
    <w:unhideWhenUsed/>
    <w:qFormat/>
    <w:pPr>
      <w:spacing w:after="0" w:line="240" w:lineRule="auto"/>
    </w:pPr>
    <w:rPr>
      <w:sz w:val="20"/>
    </w:rPr>
  </w:style>
  <w:style w:type="paragraph" w:styleId="980">
    <w:name w:val="Footer"/>
    <w:basedOn w:val="960"/>
    <w:link w:val="1015"/>
    <w:uiPriority w:val="99"/>
    <w:unhideWhenUsed/>
    <w:qFormat/>
    <w:pPr>
      <w:spacing w:after="0" w:line="240" w:lineRule="auto"/>
      <w:tabs>
        <w:tab w:val="center" w:pos="7143" w:leader="none"/>
        <w:tab w:val="right" w:pos="14287" w:leader="none"/>
      </w:tabs>
    </w:pPr>
  </w:style>
  <w:style w:type="paragraph" w:styleId="981">
    <w:name w:val="Header"/>
    <w:basedOn w:val="960"/>
    <w:link w:val="1013"/>
    <w:uiPriority w:val="99"/>
    <w:unhideWhenUsed/>
    <w:qFormat/>
    <w:pPr>
      <w:spacing w:after="0" w:line="240" w:lineRule="auto"/>
      <w:tabs>
        <w:tab w:val="center" w:pos="7143" w:leader="none"/>
        <w:tab w:val="right" w:pos="14287" w:leader="none"/>
      </w:tabs>
    </w:pPr>
  </w:style>
  <w:style w:type="paragraph" w:styleId="982">
    <w:name w:val="toc 1"/>
    <w:basedOn w:val="960"/>
    <w:next w:val="960"/>
    <w:uiPriority w:val="39"/>
    <w:unhideWhenUsed/>
    <w:qFormat/>
    <w:pPr>
      <w:ind w:left="0" w:right="0" w:firstLine="0"/>
      <w:spacing w:after="57"/>
    </w:pPr>
  </w:style>
  <w:style w:type="paragraph" w:styleId="983">
    <w:name w:val="toc 4"/>
    <w:basedOn w:val="960"/>
    <w:next w:val="960"/>
    <w:uiPriority w:val="39"/>
    <w:unhideWhenUsed/>
    <w:qFormat/>
    <w:pPr>
      <w:ind w:left="850" w:right="0" w:firstLine="0"/>
      <w:spacing w:after="57"/>
    </w:pPr>
  </w:style>
  <w:style w:type="paragraph" w:styleId="984">
    <w:name w:val="Subtitle"/>
    <w:basedOn w:val="960"/>
    <w:next w:val="960"/>
    <w:link w:val="1008"/>
    <w:uiPriority w:val="11"/>
    <w:qFormat/>
    <w:pPr>
      <w:spacing w:before="200" w:after="200"/>
    </w:pPr>
    <w:rPr>
      <w:sz w:val="24"/>
      <w:szCs w:val="24"/>
    </w:rPr>
  </w:style>
  <w:style w:type="paragraph" w:styleId="985">
    <w:name w:val="footnote text"/>
    <w:basedOn w:val="960"/>
    <w:link w:val="1141"/>
    <w:uiPriority w:val="99"/>
    <w:semiHidden/>
    <w:unhideWhenUsed/>
    <w:qFormat/>
    <w:pPr>
      <w:spacing w:after="40" w:line="240" w:lineRule="auto"/>
    </w:pPr>
    <w:rPr>
      <w:sz w:val="18"/>
    </w:rPr>
  </w:style>
  <w:style w:type="paragraph" w:styleId="986">
    <w:name w:val="toc 6"/>
    <w:basedOn w:val="960"/>
    <w:next w:val="960"/>
    <w:uiPriority w:val="39"/>
    <w:unhideWhenUsed/>
    <w:qFormat/>
    <w:pPr>
      <w:ind w:left="1417" w:right="0" w:firstLine="0"/>
      <w:spacing w:after="57"/>
    </w:pPr>
  </w:style>
  <w:style w:type="paragraph" w:styleId="987">
    <w:name w:val="table of figures"/>
    <w:basedOn w:val="960"/>
    <w:next w:val="960"/>
    <w:uiPriority w:val="99"/>
    <w:unhideWhenUsed/>
    <w:qFormat/>
    <w:pPr>
      <w:spacing w:after="0" w:afterAutospacing="0"/>
    </w:pPr>
  </w:style>
  <w:style w:type="paragraph" w:styleId="988">
    <w:name w:val="toc 2"/>
    <w:basedOn w:val="960"/>
    <w:next w:val="960"/>
    <w:uiPriority w:val="39"/>
    <w:unhideWhenUsed/>
    <w:qFormat/>
    <w:pPr>
      <w:ind w:left="283" w:right="0" w:firstLine="0"/>
      <w:spacing w:after="57"/>
    </w:pPr>
  </w:style>
  <w:style w:type="paragraph" w:styleId="989">
    <w:name w:val="toc 9"/>
    <w:basedOn w:val="960"/>
    <w:next w:val="960"/>
    <w:uiPriority w:val="39"/>
    <w:unhideWhenUsed/>
    <w:qFormat/>
    <w:pPr>
      <w:ind w:left="2268" w:right="0" w:firstLine="0"/>
      <w:spacing w:after="57"/>
    </w:pPr>
  </w:style>
  <w:style w:type="paragraph" w:styleId="990">
    <w:name w:val="Title"/>
    <w:basedOn w:val="960"/>
    <w:next w:val="960"/>
    <w:link w:val="1007"/>
    <w:uiPriority w:val="10"/>
    <w:qFormat/>
    <w:pPr>
      <w:contextualSpacing/>
      <w:spacing w:before="300" w:after="200"/>
    </w:pPr>
    <w:rPr>
      <w:sz w:val="48"/>
      <w:szCs w:val="48"/>
    </w:rPr>
  </w:style>
  <w:style w:type="table" w:styleId="99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2">
    <w:name w:val="endnote reference"/>
    <w:uiPriority w:val="99"/>
    <w:semiHidden/>
    <w:unhideWhenUsed/>
    <w:qFormat/>
    <w:rPr>
      <w:vertAlign w:val="superscript"/>
    </w:rPr>
  </w:style>
  <w:style w:type="character" w:styleId="993">
    <w:name w:val="Hyperlink"/>
    <w:uiPriority w:val="99"/>
    <w:unhideWhenUsed/>
    <w:qFormat/>
    <w:rPr>
      <w:color w:val="0000ff" w:themeColor="hyperlink"/>
      <w:u w:val="single"/>
      <w14:textFill>
        <w14:solidFill>
          <w14:schemeClr w14:val="hlink"/>
        </w14:solidFill>
      </w14:textFill>
    </w:rPr>
  </w:style>
  <w:style w:type="character" w:styleId="994">
    <w:name w:val="footnote reference"/>
    <w:uiPriority w:val="99"/>
    <w:unhideWhenUsed/>
    <w:qFormat/>
    <w:rPr>
      <w:vertAlign w:val="superscript"/>
    </w:rPr>
  </w:style>
  <w:style w:type="paragraph" w:styleId="995"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996" w:customStyle="1">
    <w:name w:val="Heading 1 Char"/>
    <w:link w:val="961"/>
    <w:uiPriority w:val="9"/>
    <w:qFormat/>
    <w:rPr>
      <w:rFonts w:ascii="Arial" w:hAnsi="Arial" w:eastAsia="Arial" w:cs="Arial"/>
      <w:sz w:val="40"/>
      <w:szCs w:val="40"/>
    </w:rPr>
  </w:style>
  <w:style w:type="character" w:styleId="997" w:customStyle="1">
    <w:name w:val="Heading 2 Char"/>
    <w:link w:val="962"/>
    <w:uiPriority w:val="9"/>
    <w:qFormat/>
    <w:rPr>
      <w:rFonts w:ascii="Arial" w:hAnsi="Arial" w:eastAsia="Arial" w:cs="Arial"/>
      <w:sz w:val="34"/>
    </w:rPr>
  </w:style>
  <w:style w:type="character" w:styleId="998" w:customStyle="1">
    <w:name w:val="Heading 3 Char"/>
    <w:link w:val="963"/>
    <w:uiPriority w:val="9"/>
    <w:qFormat/>
    <w:rPr>
      <w:rFonts w:ascii="Arial" w:hAnsi="Arial" w:eastAsia="Arial" w:cs="Arial"/>
      <w:sz w:val="30"/>
      <w:szCs w:val="30"/>
    </w:rPr>
  </w:style>
  <w:style w:type="character" w:styleId="999" w:customStyle="1">
    <w:name w:val="Heading 4 Char"/>
    <w:link w:val="964"/>
    <w:uiPriority w:val="9"/>
    <w:qFormat/>
    <w:rPr>
      <w:rFonts w:ascii="Arial" w:hAnsi="Arial" w:eastAsia="Arial" w:cs="Arial"/>
      <w:b/>
      <w:bCs/>
      <w:sz w:val="26"/>
      <w:szCs w:val="26"/>
    </w:rPr>
  </w:style>
  <w:style w:type="character" w:styleId="1000" w:customStyle="1">
    <w:name w:val="Heading 5 Char"/>
    <w:link w:val="965"/>
    <w:uiPriority w:val="9"/>
    <w:qFormat/>
    <w:rPr>
      <w:rFonts w:ascii="Arial" w:hAnsi="Arial" w:eastAsia="Arial" w:cs="Arial"/>
      <w:b/>
      <w:bCs/>
      <w:sz w:val="24"/>
      <w:szCs w:val="24"/>
    </w:rPr>
  </w:style>
  <w:style w:type="character" w:styleId="1001" w:customStyle="1">
    <w:name w:val="Heading 6 Char"/>
    <w:link w:val="966"/>
    <w:uiPriority w:val="9"/>
    <w:qFormat/>
    <w:rPr>
      <w:rFonts w:ascii="Arial" w:hAnsi="Arial" w:eastAsia="Arial" w:cs="Arial"/>
      <w:b/>
      <w:bCs/>
      <w:sz w:val="22"/>
      <w:szCs w:val="22"/>
    </w:rPr>
  </w:style>
  <w:style w:type="character" w:styleId="1002" w:customStyle="1">
    <w:name w:val="Heading 7 Char"/>
    <w:link w:val="967"/>
    <w:uiPriority w:val="9"/>
    <w:qFormat/>
    <w:rPr>
      <w:rFonts w:ascii="Arial" w:hAnsi="Arial" w:eastAsia="Arial" w:cs="Arial"/>
      <w:b/>
      <w:bCs/>
      <w:i/>
      <w:iCs/>
      <w:sz w:val="22"/>
      <w:szCs w:val="22"/>
    </w:rPr>
  </w:style>
  <w:style w:type="character" w:styleId="1003" w:customStyle="1">
    <w:name w:val="Heading 8 Char"/>
    <w:link w:val="968"/>
    <w:uiPriority w:val="9"/>
    <w:qFormat/>
    <w:rPr>
      <w:rFonts w:ascii="Arial" w:hAnsi="Arial" w:eastAsia="Arial" w:cs="Arial"/>
      <w:i/>
      <w:iCs/>
      <w:sz w:val="22"/>
      <w:szCs w:val="22"/>
    </w:rPr>
  </w:style>
  <w:style w:type="character" w:styleId="1004" w:customStyle="1">
    <w:name w:val="Heading 9 Char"/>
    <w:link w:val="969"/>
    <w:uiPriority w:val="9"/>
    <w:qFormat/>
    <w:rPr>
      <w:rFonts w:ascii="Arial" w:hAnsi="Arial" w:eastAsia="Arial" w:cs="Arial"/>
      <w:i/>
      <w:iCs/>
      <w:sz w:val="21"/>
      <w:szCs w:val="21"/>
    </w:rPr>
  </w:style>
  <w:style w:type="paragraph" w:styleId="1005">
    <w:name w:val="List Paragraph"/>
    <w:basedOn w:val="960"/>
    <w:uiPriority w:val="34"/>
    <w:qFormat/>
    <w:pPr>
      <w:contextualSpacing/>
      <w:ind w:left="720"/>
    </w:pPr>
  </w:style>
  <w:style w:type="paragraph" w:styleId="1006">
    <w:name w:val="No Spacing"/>
    <w:uiPriority w:val="1"/>
    <w:qFormat/>
    <w:pPr>
      <w:spacing w:before="0" w:after="0" w:line="240" w:lineRule="auto"/>
    </w:pPr>
    <w:rPr>
      <w:rFonts w:hint="default" w:ascii="Times New Roman" w:hAnsi="Times New Roman" w:eastAsia="宋体" w:cs="Times New Roman"/>
    </w:rPr>
  </w:style>
  <w:style w:type="character" w:styleId="1007" w:customStyle="1">
    <w:name w:val="Title Char"/>
    <w:link w:val="990"/>
    <w:uiPriority w:val="10"/>
    <w:qFormat/>
    <w:rPr>
      <w:sz w:val="48"/>
      <w:szCs w:val="48"/>
    </w:rPr>
  </w:style>
  <w:style w:type="character" w:styleId="1008" w:customStyle="1">
    <w:name w:val="Subtitle Char"/>
    <w:link w:val="984"/>
    <w:uiPriority w:val="11"/>
    <w:qFormat/>
    <w:rPr>
      <w:sz w:val="24"/>
      <w:szCs w:val="24"/>
    </w:rPr>
  </w:style>
  <w:style w:type="paragraph" w:styleId="1009">
    <w:name w:val="Quote"/>
    <w:basedOn w:val="960"/>
    <w:next w:val="960"/>
    <w:link w:val="1010"/>
    <w:uiPriority w:val="29"/>
    <w:qFormat/>
    <w:pPr>
      <w:ind w:left="720" w:right="720"/>
    </w:pPr>
    <w:rPr>
      <w:i/>
    </w:rPr>
  </w:style>
  <w:style w:type="character" w:styleId="1010" w:customStyle="1">
    <w:name w:val="Quote Char"/>
    <w:link w:val="1009"/>
    <w:uiPriority w:val="29"/>
    <w:qFormat/>
    <w:rPr>
      <w:i/>
    </w:rPr>
  </w:style>
  <w:style w:type="paragraph" w:styleId="1011">
    <w:name w:val="Intense Quote"/>
    <w:basedOn w:val="960"/>
    <w:next w:val="960"/>
    <w:link w:val="10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2" w:customStyle="1">
    <w:name w:val="Intense Quote Char"/>
    <w:link w:val="1011"/>
    <w:uiPriority w:val="30"/>
    <w:qFormat/>
    <w:rPr>
      <w:i/>
    </w:rPr>
  </w:style>
  <w:style w:type="character" w:styleId="1013" w:customStyle="1">
    <w:name w:val="Header Char"/>
    <w:link w:val="981"/>
    <w:uiPriority w:val="99"/>
    <w:qFormat/>
  </w:style>
  <w:style w:type="character" w:styleId="1014" w:customStyle="1">
    <w:name w:val="Footer Char"/>
    <w:link w:val="980"/>
    <w:uiPriority w:val="99"/>
    <w:qFormat/>
  </w:style>
  <w:style w:type="character" w:styleId="1015" w:customStyle="1">
    <w:name w:val="Caption Char"/>
    <w:link w:val="980"/>
    <w:uiPriority w:val="99"/>
    <w:qFormat/>
  </w:style>
  <w:style w:type="table" w:styleId="101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2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2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3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4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6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9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1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1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1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1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1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1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3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3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41" w:customStyle="1">
    <w:name w:val="Footnote Text Char"/>
    <w:link w:val="985"/>
    <w:uiPriority w:val="99"/>
    <w:qFormat/>
    <w:rPr>
      <w:sz w:val="18"/>
    </w:rPr>
  </w:style>
  <w:style w:type="character" w:styleId="1142" w:customStyle="1">
    <w:name w:val="Endnote Text Char"/>
    <w:link w:val="979"/>
    <w:uiPriority w:val="99"/>
    <w:qFormat/>
    <w:rPr>
      <w:sz w:val="20"/>
    </w:rPr>
  </w:style>
  <w:style w:type="paragraph" w:styleId="1143" w:customStyle="1">
    <w:name w:val="TOC Heading"/>
    <w:uiPriority w:val="39"/>
    <w:unhideWhenUsed/>
    <w:qFormat/>
    <w:rPr>
      <w:rFonts w:hint="default" w:ascii="Times New Roman" w:hAnsi="Times New Roman" w:eastAsia="宋体" w:cs="Times New Roman"/>
    </w:rPr>
  </w:style>
  <w:style w:type="paragraph" w:styleId="1144" w:customStyle="1">
    <w:name w:val="标题 11"/>
    <w:basedOn w:val="960"/>
    <w:next w:val="960"/>
    <w:link w:val="1156"/>
    <w:uiPriority w:val="0"/>
    <w:qFormat/>
    <w:pPr>
      <w:jc w:val="center"/>
      <w:keepLines/>
      <w:keepNext/>
      <w:spacing w:before="240" w:after="120" w:line="300" w:lineRule="auto"/>
      <w:outlineLvl w:val="0"/>
    </w:pPr>
    <w:rPr>
      <w:rFonts w:ascii="宋体"/>
      <w:b/>
      <w:sz w:val="32"/>
      <w:szCs w:val="20"/>
    </w:rPr>
  </w:style>
  <w:style w:type="paragraph" w:styleId="1145" w:customStyle="1">
    <w:name w:val="标题 21"/>
    <w:basedOn w:val="960"/>
    <w:next w:val="960"/>
    <w:uiPriority w:val="0"/>
    <w:qFormat/>
    <w:pPr>
      <w:jc w:val="center"/>
      <w:keepLines/>
      <w:keepNext/>
      <w:spacing w:before="120" w:line="300" w:lineRule="auto"/>
      <w:outlineLvl w:val="1"/>
    </w:pPr>
    <w:rPr>
      <w:rFonts w:ascii="Arial" w:hAnsi="Arial" w:eastAsia="黑体"/>
      <w:b/>
      <w:sz w:val="30"/>
      <w:szCs w:val="20"/>
    </w:rPr>
  </w:style>
  <w:style w:type="paragraph" w:styleId="1146" w:customStyle="1">
    <w:name w:val="正文缩进111"/>
    <w:basedOn w:val="960"/>
    <w:next w:val="960"/>
    <w:link w:val="1158"/>
    <w:uiPriority w:val="0"/>
    <w:qFormat/>
    <w:pPr>
      <w:ind w:firstLine="420"/>
      <w:jc w:val="left"/>
    </w:pPr>
    <w:rPr>
      <w:rFonts w:ascii="宋体"/>
      <w:sz w:val="24"/>
    </w:rPr>
  </w:style>
  <w:style w:type="paragraph" w:styleId="1147" w:customStyle="1">
    <w:name w:val="标题 31"/>
    <w:basedOn w:val="960"/>
    <w:next w:val="1146"/>
    <w:uiPriority w:val="0"/>
    <w:qFormat/>
    <w:pPr>
      <w:jc w:val="left"/>
      <w:keepLines/>
      <w:keepNext/>
      <w:spacing w:before="360" w:after="120"/>
      <w:outlineLvl w:val="2"/>
    </w:pPr>
    <w:rPr>
      <w:rFonts w:ascii="宋体"/>
      <w:b/>
      <w:sz w:val="24"/>
      <w:szCs w:val="20"/>
      <w:u w:val="single"/>
    </w:rPr>
  </w:style>
  <w:style w:type="paragraph" w:styleId="1148" w:customStyle="1">
    <w:name w:val="标题 41"/>
    <w:basedOn w:val="960"/>
    <w:next w:val="960"/>
    <w:link w:val="1160"/>
    <w:uiPriority w:val="0"/>
    <w:qFormat/>
    <w:pPr>
      <w:keepLines/>
      <w:keepNext/>
      <w:spacing w:before="280" w:after="290" w:line="376" w:lineRule="atLeast"/>
      <w:outlineLvl w:val="3"/>
    </w:pPr>
    <w:rPr>
      <w:rFonts w:ascii="Arial" w:hAnsi="Arial" w:eastAsia="黑体"/>
      <w:b/>
      <w:sz w:val="28"/>
      <w:szCs w:val="20"/>
    </w:rPr>
  </w:style>
  <w:style w:type="paragraph" w:styleId="1149" w:customStyle="1">
    <w:name w:val="标题 51"/>
    <w:basedOn w:val="960"/>
    <w:next w:val="960"/>
    <w:link w:val="1161"/>
    <w:uiPriority w:val="0"/>
    <w:qFormat/>
    <w:pPr>
      <w:keepLines/>
      <w:keepNext/>
      <w:spacing w:before="280" w:after="290" w:line="376" w:lineRule="atLeast"/>
      <w:outlineLvl w:val="4"/>
    </w:pPr>
    <w:rPr>
      <w:b/>
      <w:sz w:val="28"/>
      <w:szCs w:val="20"/>
    </w:rPr>
  </w:style>
  <w:style w:type="paragraph" w:styleId="1150" w:customStyle="1">
    <w:name w:val="标题 61"/>
    <w:basedOn w:val="960"/>
    <w:next w:val="960"/>
    <w:link w:val="1162"/>
    <w:uiPriority w:val="0"/>
    <w:qFormat/>
    <w:pPr>
      <w:keepLines/>
      <w:keepNext/>
      <w:spacing w:before="240" w:after="64" w:line="320" w:lineRule="atLeast"/>
      <w:outlineLvl w:val="5"/>
    </w:pPr>
    <w:rPr>
      <w:rFonts w:ascii="Arial" w:hAnsi="Arial" w:eastAsia="黑体"/>
      <w:b/>
      <w:sz w:val="24"/>
      <w:szCs w:val="20"/>
    </w:rPr>
  </w:style>
  <w:style w:type="paragraph" w:styleId="1151" w:customStyle="1">
    <w:name w:val="标题 71"/>
    <w:basedOn w:val="960"/>
    <w:next w:val="960"/>
    <w:link w:val="1163"/>
    <w:uiPriority w:val="0"/>
    <w:qFormat/>
    <w:pPr>
      <w:keepLines/>
      <w:keepNext/>
      <w:spacing w:before="240" w:after="64" w:line="320" w:lineRule="atLeast"/>
      <w:outlineLvl w:val="6"/>
    </w:pPr>
    <w:rPr>
      <w:b/>
      <w:sz w:val="24"/>
      <w:szCs w:val="20"/>
    </w:rPr>
  </w:style>
  <w:style w:type="paragraph" w:styleId="1152" w:customStyle="1">
    <w:name w:val="标题 81"/>
    <w:basedOn w:val="960"/>
    <w:next w:val="960"/>
    <w:link w:val="1164"/>
    <w:uiPriority w:val="0"/>
    <w:qFormat/>
    <w:pPr>
      <w:keepLines/>
      <w:keepNext/>
      <w:spacing w:before="240" w:after="64" w:line="320" w:lineRule="atLeast"/>
      <w:outlineLvl w:val="7"/>
    </w:pPr>
    <w:rPr>
      <w:rFonts w:ascii="Arial" w:hAnsi="Arial" w:eastAsia="黑体"/>
      <w:sz w:val="24"/>
      <w:szCs w:val="20"/>
    </w:rPr>
  </w:style>
  <w:style w:type="paragraph" w:styleId="1153" w:customStyle="1">
    <w:name w:val="标题 91"/>
    <w:basedOn w:val="960"/>
    <w:next w:val="960"/>
    <w:link w:val="1165"/>
    <w:uiPriority w:val="0"/>
    <w:qFormat/>
    <w:pPr>
      <w:keepLines/>
      <w:keepNext/>
      <w:spacing w:before="240" w:after="64" w:line="320" w:lineRule="atLeast"/>
      <w:outlineLvl w:val="8"/>
    </w:pPr>
    <w:rPr>
      <w:rFonts w:ascii="Arial" w:hAnsi="Arial" w:eastAsia="黑体"/>
      <w:szCs w:val="20"/>
    </w:rPr>
  </w:style>
  <w:style w:type="character" w:styleId="1154" w:customStyle="1">
    <w:name w:val="默认段落字体1"/>
    <w:link w:val="960"/>
    <w:uiPriority w:val="1"/>
    <w:unhideWhenUsed/>
    <w:qFormat/>
  </w:style>
  <w:style w:type="table" w:styleId="1155" w:customStyle="1">
    <w:name w:val="普通表格1"/>
    <w:uiPriority w:val="99"/>
    <w:unhideWhenUsed/>
    <w:qFormat/>
    <w:tblPr/>
  </w:style>
  <w:style w:type="character" w:styleId="1156" w:customStyle="1">
    <w:name w:val="标题 1 字符"/>
    <w:link w:val="1144"/>
    <w:uiPriority w:val="0"/>
    <w:qFormat/>
    <w:rPr>
      <w:rFonts w:ascii="宋体"/>
      <w:b/>
      <w:sz w:val="32"/>
    </w:rPr>
  </w:style>
  <w:style w:type="character" w:styleId="1157" w:customStyle="1">
    <w:name w:val="标题 2 字符"/>
    <w:link w:val="962"/>
    <w:uiPriority w:val="0"/>
    <w:qFormat/>
    <w:rPr>
      <w:rFonts w:ascii="Arial" w:hAnsi="Arial" w:eastAsia="黑体"/>
      <w:b/>
      <w:sz w:val="30"/>
      <w:lang w:val="en-US" w:eastAsia="zh-CN" w:bidi="ar-SA"/>
    </w:rPr>
  </w:style>
  <w:style w:type="character" w:styleId="1158" w:customStyle="1">
    <w:name w:val="正文缩进 字符"/>
    <w:link w:val="1146"/>
    <w:uiPriority w:val="0"/>
    <w:qFormat/>
    <w:rPr>
      <w:rFonts w:ascii="宋体" w:eastAsia="宋体"/>
      <w:sz w:val="24"/>
      <w:szCs w:val="24"/>
      <w:lang w:val="en-US" w:eastAsia="zh-CN" w:bidi="ar-SA"/>
    </w:rPr>
  </w:style>
  <w:style w:type="character" w:styleId="1159" w:customStyle="1">
    <w:name w:val="标题 3 字符"/>
    <w:link w:val="963"/>
    <w:uiPriority w:val="0"/>
    <w:qFormat/>
    <w:rPr>
      <w:rFonts w:ascii="宋体" w:eastAsia="宋体"/>
      <w:b/>
      <w:sz w:val="24"/>
      <w:u w:val="single"/>
      <w:lang w:val="en-US" w:eastAsia="zh-CN" w:bidi="ar-SA"/>
    </w:rPr>
  </w:style>
  <w:style w:type="character" w:styleId="1160" w:customStyle="1">
    <w:name w:val="标题 4 字符"/>
    <w:link w:val="1148"/>
    <w:uiPriority w:val="0"/>
    <w:qFormat/>
    <w:rPr>
      <w:rFonts w:ascii="Arial" w:hAnsi="Arial" w:eastAsia="黑体"/>
      <w:b/>
      <w:sz w:val="28"/>
    </w:rPr>
  </w:style>
  <w:style w:type="character" w:styleId="1161" w:customStyle="1">
    <w:name w:val="标题 5 字符"/>
    <w:link w:val="1149"/>
    <w:uiPriority w:val="0"/>
    <w:qFormat/>
    <w:rPr>
      <w:b/>
      <w:sz w:val="28"/>
    </w:rPr>
  </w:style>
  <w:style w:type="character" w:styleId="1162" w:customStyle="1">
    <w:name w:val="标题 6 字符"/>
    <w:link w:val="1150"/>
    <w:uiPriority w:val="0"/>
    <w:qFormat/>
    <w:rPr>
      <w:rFonts w:ascii="Arial" w:hAnsi="Arial" w:eastAsia="黑体"/>
      <w:b/>
      <w:sz w:val="24"/>
    </w:rPr>
  </w:style>
  <w:style w:type="character" w:styleId="1163" w:customStyle="1">
    <w:name w:val="标题 7 字符"/>
    <w:link w:val="1151"/>
    <w:uiPriority w:val="0"/>
    <w:qFormat/>
    <w:rPr>
      <w:b/>
      <w:sz w:val="24"/>
    </w:rPr>
  </w:style>
  <w:style w:type="character" w:styleId="1164" w:customStyle="1">
    <w:name w:val="标题 8 字符"/>
    <w:link w:val="1152"/>
    <w:uiPriority w:val="0"/>
    <w:qFormat/>
    <w:rPr>
      <w:rFonts w:ascii="Arial" w:hAnsi="Arial" w:eastAsia="黑体"/>
      <w:sz w:val="24"/>
    </w:rPr>
  </w:style>
  <w:style w:type="character" w:styleId="1165" w:customStyle="1">
    <w:name w:val="标题 9 字符"/>
    <w:link w:val="1153"/>
    <w:uiPriority w:val="0"/>
    <w:qFormat/>
    <w:rPr>
      <w:rFonts w:ascii="Arial" w:hAnsi="Arial" w:eastAsia="黑体"/>
      <w:sz w:val="21"/>
    </w:rPr>
  </w:style>
  <w:style w:type="paragraph" w:styleId="1166" w:customStyle="1">
    <w:name w:val="目录 71"/>
    <w:basedOn w:val="960"/>
    <w:next w:val="960"/>
    <w:uiPriority w:val="0"/>
    <w:qFormat/>
    <w:pPr>
      <w:ind w:left="2520"/>
    </w:pPr>
  </w:style>
  <w:style w:type="paragraph" w:styleId="1167" w:customStyle="1">
    <w:name w:val="题注1"/>
    <w:basedOn w:val="960"/>
    <w:next w:val="960"/>
    <w:uiPriority w:val="0"/>
    <w:qFormat/>
    <w:pPr>
      <w:spacing w:line="480" w:lineRule="auto"/>
    </w:pPr>
    <w:rPr>
      <w:rFonts w:ascii="华文中宋" w:hAnsi="华文中宋" w:eastAsia="华文中宋"/>
      <w:sz w:val="36"/>
      <w:szCs w:val="20"/>
    </w:rPr>
  </w:style>
  <w:style w:type="paragraph" w:styleId="1168" w:customStyle="1">
    <w:name w:val="文档结构图1"/>
    <w:basedOn w:val="960"/>
    <w:link w:val="1169"/>
    <w:uiPriority w:val="0"/>
    <w:qFormat/>
    <w:pPr>
      <w:shd w:val="clear" w:color="auto" w:fill="000080"/>
    </w:pPr>
  </w:style>
  <w:style w:type="character" w:styleId="1169" w:customStyle="1">
    <w:name w:val="文档结构图 字符"/>
    <w:link w:val="1168"/>
    <w:uiPriority w:val="0"/>
    <w:qFormat/>
    <w:rPr>
      <w:sz w:val="21"/>
      <w:szCs w:val="24"/>
      <w:shd w:val="clear" w:color="auto" w:fill="000080"/>
    </w:rPr>
  </w:style>
  <w:style w:type="paragraph" w:styleId="1170" w:customStyle="1">
    <w:name w:val="批注文字1"/>
    <w:basedOn w:val="960"/>
    <w:link w:val="1171"/>
    <w:uiPriority w:val="99"/>
    <w:qFormat/>
    <w:pPr>
      <w:jc w:val="left"/>
    </w:pPr>
  </w:style>
  <w:style w:type="character" w:styleId="1171" w:customStyle="1">
    <w:name w:val="批注文字 字符1"/>
    <w:link w:val="1170"/>
    <w:uiPriority w:val="99"/>
    <w:qFormat/>
    <w:rPr>
      <w:sz w:val="21"/>
      <w:szCs w:val="24"/>
    </w:rPr>
  </w:style>
  <w:style w:type="paragraph" w:styleId="1172" w:customStyle="1">
    <w:name w:val="正文文本 31"/>
    <w:basedOn w:val="960"/>
    <w:link w:val="1173"/>
    <w:uiPriority w:val="0"/>
    <w:qFormat/>
    <w:pPr>
      <w:spacing w:after="120"/>
    </w:pPr>
    <w:rPr>
      <w:sz w:val="16"/>
      <w:szCs w:val="16"/>
    </w:rPr>
  </w:style>
  <w:style w:type="character" w:styleId="1173" w:customStyle="1">
    <w:name w:val="正文文本 3 字符"/>
    <w:link w:val="1172"/>
    <w:uiPriority w:val="0"/>
    <w:qFormat/>
    <w:rPr>
      <w:sz w:val="16"/>
      <w:szCs w:val="16"/>
    </w:rPr>
  </w:style>
  <w:style w:type="paragraph" w:styleId="1174" w:customStyle="1">
    <w:name w:val="正文文本1"/>
    <w:basedOn w:val="960"/>
    <w:next w:val="960"/>
    <w:link w:val="1175"/>
    <w:uiPriority w:val="0"/>
    <w:qFormat/>
    <w:pPr>
      <w:spacing w:before="120" w:line="22" w:lineRule="atLeast"/>
      <w:tabs>
        <w:tab w:val="left" w:pos="567" w:leader="none"/>
      </w:tabs>
    </w:pPr>
    <w:rPr>
      <w:rFonts w:ascii="宋体" w:hAnsi="宋体"/>
      <w:sz w:val="24"/>
    </w:rPr>
  </w:style>
  <w:style w:type="character" w:styleId="1175" w:customStyle="1">
    <w:name w:val="正文文本 字符"/>
    <w:link w:val="1174"/>
    <w:uiPriority w:val="0"/>
    <w:qFormat/>
    <w:rPr>
      <w:rFonts w:ascii="宋体" w:hAnsi="宋体"/>
      <w:sz w:val="24"/>
      <w:szCs w:val="24"/>
    </w:rPr>
  </w:style>
  <w:style w:type="paragraph" w:styleId="1176" w:customStyle="1">
    <w:name w:val="正文文本缩进11"/>
    <w:basedOn w:val="960"/>
    <w:link w:val="1177"/>
    <w:uiPriority w:val="0"/>
    <w:qFormat/>
    <w:pPr>
      <w:ind w:firstLine="570"/>
      <w:spacing w:line="360" w:lineRule="auto"/>
    </w:pPr>
    <w:rPr>
      <w:sz w:val="24"/>
    </w:rPr>
  </w:style>
  <w:style w:type="character" w:styleId="1177" w:customStyle="1">
    <w:name w:val="正文文本缩进 字符"/>
    <w:link w:val="1176"/>
    <w:uiPriority w:val="0"/>
    <w:qFormat/>
    <w:rPr>
      <w:rFonts w:eastAsia="宋体"/>
      <w:sz w:val="24"/>
      <w:szCs w:val="24"/>
      <w:lang w:val="en-US" w:eastAsia="zh-CN" w:bidi="ar-SA"/>
    </w:rPr>
  </w:style>
  <w:style w:type="paragraph" w:styleId="1178" w:customStyle="1">
    <w:name w:val="列表 21"/>
    <w:basedOn w:val="960"/>
    <w:uiPriority w:val="0"/>
    <w:qFormat/>
    <w:pPr>
      <w:ind w:left="100" w:hanging="200"/>
    </w:pPr>
  </w:style>
  <w:style w:type="paragraph" w:styleId="1179" w:customStyle="1">
    <w:name w:val="文本块1"/>
    <w:basedOn w:val="960"/>
    <w:uiPriority w:val="0"/>
    <w:qFormat/>
    <w:pPr>
      <w:ind w:left="480" w:right="-341" w:firstLine="513"/>
      <w:widowControl/>
    </w:pPr>
    <w:rPr>
      <w:sz w:val="24"/>
      <w:szCs w:val="20"/>
    </w:rPr>
  </w:style>
  <w:style w:type="paragraph" w:styleId="1180" w:customStyle="1">
    <w:name w:val="目录 51"/>
    <w:basedOn w:val="960"/>
    <w:next w:val="960"/>
    <w:uiPriority w:val="0"/>
    <w:qFormat/>
    <w:pPr>
      <w:ind w:left="1680"/>
    </w:pPr>
  </w:style>
  <w:style w:type="paragraph" w:styleId="1181" w:customStyle="1">
    <w:name w:val="目录 31"/>
    <w:basedOn w:val="960"/>
    <w:next w:val="960"/>
    <w:uiPriority w:val="39"/>
    <w:qFormat/>
    <w:pPr>
      <w:ind w:left="840"/>
    </w:pPr>
  </w:style>
  <w:style w:type="paragraph" w:styleId="1182" w:customStyle="1">
    <w:name w:val="纯文本1"/>
    <w:basedOn w:val="960"/>
    <w:next w:val="1183"/>
    <w:link w:val="1184"/>
    <w:uiPriority w:val="0"/>
    <w:qFormat/>
    <w:rPr>
      <w:rFonts w:hint="eastAsia" w:ascii="宋体" w:hAnsi="Courier New"/>
      <w:szCs w:val="20"/>
    </w:rPr>
  </w:style>
  <w:style w:type="paragraph" w:styleId="1183" w:customStyle="1">
    <w:name w:val="正文缩进11"/>
    <w:basedOn w:val="960"/>
    <w:next w:val="960"/>
    <w:uiPriority w:val="0"/>
    <w:qFormat/>
    <w:pPr>
      <w:ind w:firstLine="420"/>
      <w:jc w:val="left"/>
    </w:pPr>
    <w:rPr>
      <w:rFonts w:ascii="宋体"/>
      <w:sz w:val="24"/>
    </w:rPr>
  </w:style>
  <w:style w:type="character" w:styleId="1184" w:customStyle="1">
    <w:name w:val="纯文本 字符2"/>
    <w:link w:val="1182"/>
    <w:uiPriority w:val="0"/>
    <w:qFormat/>
    <w:rPr>
      <w:rFonts w:hint="eastAsia" w:ascii="宋体" w:hAnsi="Courier New" w:eastAsia="宋体" w:cs="宋体"/>
      <w:sz w:val="21"/>
    </w:rPr>
  </w:style>
  <w:style w:type="paragraph" w:styleId="1185" w:customStyle="1">
    <w:name w:val="目录 81"/>
    <w:basedOn w:val="960"/>
    <w:next w:val="960"/>
    <w:uiPriority w:val="0"/>
    <w:qFormat/>
    <w:pPr>
      <w:ind w:left="2940"/>
    </w:pPr>
  </w:style>
  <w:style w:type="paragraph" w:styleId="1186" w:customStyle="1">
    <w:name w:val="日期1"/>
    <w:basedOn w:val="960"/>
    <w:next w:val="960"/>
    <w:link w:val="1187"/>
    <w:uiPriority w:val="0"/>
    <w:qFormat/>
    <w:pPr>
      <w:ind w:left="100"/>
    </w:pPr>
    <w:rPr>
      <w:rFonts w:ascii="仿宋_GB2312" w:hAnsi="宋体" w:eastAsia="仿宋_GB2312"/>
      <w:color w:val="000000"/>
      <w:sz w:val="24"/>
    </w:rPr>
  </w:style>
  <w:style w:type="character" w:styleId="1187" w:customStyle="1">
    <w:name w:val="日期 字符"/>
    <w:link w:val="1186"/>
    <w:uiPriority w:val="0"/>
    <w:qFormat/>
    <w:rPr>
      <w:rFonts w:ascii="仿宋_GB2312" w:hAnsi="宋体" w:eastAsia="仿宋_GB2312"/>
      <w:color w:val="000000"/>
      <w:sz w:val="24"/>
      <w:szCs w:val="24"/>
    </w:rPr>
  </w:style>
  <w:style w:type="paragraph" w:styleId="1188" w:customStyle="1">
    <w:name w:val="正文文本缩进 21"/>
    <w:basedOn w:val="960"/>
    <w:link w:val="1189"/>
    <w:uiPriority w:val="0"/>
    <w:qFormat/>
    <w:pPr>
      <w:ind w:firstLine="480"/>
    </w:pPr>
    <w:rPr>
      <w:rFonts w:ascii="仿宋_GB2312" w:eastAsia="仿宋_GB2312"/>
      <w:sz w:val="24"/>
    </w:rPr>
  </w:style>
  <w:style w:type="character" w:styleId="1189" w:customStyle="1">
    <w:name w:val="正文文本缩进 2 字符"/>
    <w:link w:val="1188"/>
    <w:uiPriority w:val="0"/>
    <w:qFormat/>
    <w:rPr>
      <w:rFonts w:ascii="仿宋_GB2312" w:eastAsia="仿宋_GB2312"/>
      <w:sz w:val="24"/>
      <w:szCs w:val="24"/>
    </w:rPr>
  </w:style>
  <w:style w:type="paragraph" w:styleId="1190" w:customStyle="1">
    <w:name w:val="批注框文本1"/>
    <w:basedOn w:val="960"/>
    <w:link w:val="1191"/>
    <w:uiPriority w:val="0"/>
    <w:qFormat/>
    <w:rPr>
      <w:sz w:val="18"/>
      <w:szCs w:val="18"/>
    </w:rPr>
  </w:style>
  <w:style w:type="character" w:styleId="1191" w:customStyle="1">
    <w:name w:val="批注框文本 字符"/>
    <w:link w:val="1190"/>
    <w:uiPriority w:val="0"/>
    <w:qFormat/>
    <w:rPr>
      <w:sz w:val="18"/>
      <w:szCs w:val="18"/>
    </w:rPr>
  </w:style>
  <w:style w:type="paragraph" w:styleId="1192" w:customStyle="1">
    <w:name w:val="页脚1"/>
    <w:basedOn w:val="960"/>
    <w:link w:val="1193"/>
    <w:uiPriority w:val="99"/>
    <w:qFormat/>
    <w:pPr>
      <w:jc w:val="left"/>
      <w:tabs>
        <w:tab w:val="center" w:pos="4153" w:leader="none"/>
        <w:tab w:val="right" w:pos="8306" w:leader="none"/>
      </w:tabs>
    </w:pPr>
    <w:rPr>
      <w:rFonts w:ascii="宋体"/>
      <w:sz w:val="18"/>
      <w:szCs w:val="20"/>
    </w:rPr>
  </w:style>
  <w:style w:type="character" w:styleId="1193" w:customStyle="1">
    <w:name w:val="页脚 字符"/>
    <w:link w:val="1192"/>
    <w:uiPriority w:val="99"/>
    <w:qFormat/>
    <w:rPr>
      <w:rFonts w:ascii="宋体" w:eastAsia="宋体"/>
      <w:sz w:val="18"/>
      <w:lang w:val="en-US" w:eastAsia="zh-CN" w:bidi="ar-SA"/>
    </w:rPr>
  </w:style>
  <w:style w:type="paragraph" w:styleId="1194" w:customStyle="1">
    <w:name w:val="页眉1"/>
    <w:basedOn w:val="960"/>
    <w:link w:val="1195"/>
    <w:uiPriority w:val="0"/>
    <w:qFormat/>
    <w:pPr>
      <w:jc w:val="center"/>
      <w:tabs>
        <w:tab w:val="center" w:pos="4153" w:leader="none"/>
        <w:tab w:val="right" w:pos="8306" w:leader="none"/>
      </w:tabs>
      <w:pBdr>
        <w:bottom w:val="single" w:color="000000" w:sz="6" w:space="1"/>
      </w:pBdr>
    </w:pPr>
    <w:rPr>
      <w:sz w:val="18"/>
      <w:szCs w:val="18"/>
    </w:rPr>
  </w:style>
  <w:style w:type="character" w:styleId="1195" w:customStyle="1">
    <w:name w:val="页眉 字符"/>
    <w:link w:val="1194"/>
    <w:uiPriority w:val="0"/>
    <w:qFormat/>
    <w:rPr>
      <w:rFonts w:eastAsia="宋体"/>
      <w:sz w:val="18"/>
      <w:szCs w:val="18"/>
      <w:lang w:val="en-US" w:eastAsia="zh-CN" w:bidi="ar-SA"/>
    </w:rPr>
  </w:style>
  <w:style w:type="paragraph" w:styleId="1196" w:customStyle="1">
    <w:name w:val="目录 11"/>
    <w:basedOn w:val="960"/>
    <w:next w:val="960"/>
    <w:uiPriority w:val="39"/>
    <w:qFormat/>
    <w:pPr>
      <w:spacing w:line="300" w:lineRule="auto"/>
      <w:tabs>
        <w:tab w:val="left" w:pos="1050" w:leader="none"/>
        <w:tab w:val="right" w:pos="8937" w:leader="dot"/>
      </w:tabs>
    </w:pPr>
    <w:rPr>
      <w:rFonts w:ascii="宋体" w:hAnsi="宋体"/>
      <w:b/>
      <w:sz w:val="24"/>
    </w:rPr>
  </w:style>
  <w:style w:type="paragraph" w:styleId="1197" w:customStyle="1">
    <w:name w:val="目录 41"/>
    <w:basedOn w:val="960"/>
    <w:next w:val="960"/>
    <w:uiPriority w:val="0"/>
    <w:qFormat/>
    <w:pPr>
      <w:ind w:left="1260"/>
    </w:pPr>
  </w:style>
  <w:style w:type="paragraph" w:styleId="1198" w:customStyle="1">
    <w:name w:val="目录 61"/>
    <w:basedOn w:val="960"/>
    <w:next w:val="960"/>
    <w:uiPriority w:val="0"/>
    <w:qFormat/>
    <w:pPr>
      <w:ind w:left="2100"/>
    </w:pPr>
  </w:style>
  <w:style w:type="paragraph" w:styleId="1199" w:customStyle="1">
    <w:name w:val="正文文本缩进 31"/>
    <w:basedOn w:val="960"/>
    <w:link w:val="1200"/>
    <w:uiPriority w:val="0"/>
    <w:qFormat/>
    <w:pPr>
      <w:ind w:left="720" w:firstLine="480"/>
      <w:jc w:val="left"/>
      <w:spacing w:before="120" w:line="22" w:lineRule="atLeast"/>
    </w:pPr>
    <w:rPr>
      <w:rFonts w:ascii="宋体"/>
      <w:sz w:val="24"/>
      <w:szCs w:val="20"/>
    </w:rPr>
  </w:style>
  <w:style w:type="character" w:styleId="1200" w:customStyle="1">
    <w:name w:val="正文文本缩进 3 字符"/>
    <w:link w:val="1199"/>
    <w:uiPriority w:val="0"/>
    <w:qFormat/>
    <w:rPr>
      <w:rFonts w:ascii="宋体"/>
      <w:sz w:val="24"/>
    </w:rPr>
  </w:style>
  <w:style w:type="paragraph" w:styleId="1201" w:customStyle="1">
    <w:name w:val="目录 21"/>
    <w:basedOn w:val="960"/>
    <w:next w:val="960"/>
    <w:uiPriority w:val="39"/>
    <w:qFormat/>
    <w:pPr>
      <w:ind w:left="420"/>
      <w:spacing w:line="312" w:lineRule="auto"/>
      <w:tabs>
        <w:tab w:val="right" w:pos="8937" w:leader="dot"/>
      </w:tabs>
    </w:pPr>
  </w:style>
  <w:style w:type="paragraph" w:styleId="1202" w:customStyle="1">
    <w:name w:val="目录 91"/>
    <w:basedOn w:val="960"/>
    <w:next w:val="960"/>
    <w:uiPriority w:val="0"/>
    <w:qFormat/>
    <w:pPr>
      <w:ind w:left="3360"/>
    </w:pPr>
  </w:style>
  <w:style w:type="paragraph" w:styleId="1203" w:customStyle="1">
    <w:name w:val="HTML 预设格式1"/>
    <w:basedOn w:val="960"/>
    <w:link w:val="120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04" w:customStyle="1">
    <w:name w:val="HTML 预设格式 字符"/>
    <w:link w:val="1203"/>
    <w:uiPriority w:val="0"/>
    <w:qFormat/>
    <w:rPr>
      <w:rFonts w:ascii="宋体" w:hAnsi="宋体" w:cs="宋体"/>
      <w:sz w:val="24"/>
      <w:szCs w:val="24"/>
    </w:rPr>
  </w:style>
  <w:style w:type="paragraph" w:styleId="1205" w:customStyle="1">
    <w:name w:val="普通(网站)1"/>
    <w:basedOn w:val="960"/>
    <w:uiPriority w:val="99"/>
    <w:unhideWhenUsed/>
    <w:qFormat/>
    <w:pPr>
      <w:jc w:val="left"/>
      <w:spacing w:before="100" w:beforeAutospacing="1" w:after="100" w:afterAutospacing="1"/>
      <w:widowControl/>
    </w:pPr>
    <w:rPr>
      <w:rFonts w:ascii="宋体" w:hAnsi="宋体" w:cs="宋体"/>
      <w:sz w:val="24"/>
    </w:rPr>
  </w:style>
  <w:style w:type="paragraph" w:styleId="1206" w:customStyle="1">
    <w:name w:val="索引 11"/>
    <w:basedOn w:val="960"/>
    <w:next w:val="960"/>
    <w:uiPriority w:val="0"/>
    <w:qFormat/>
    <w:rPr>
      <w:szCs w:val="20"/>
    </w:rPr>
  </w:style>
  <w:style w:type="paragraph" w:styleId="1207" w:customStyle="1">
    <w:name w:val="标题1"/>
    <w:basedOn w:val="960"/>
    <w:link w:val="1208"/>
    <w:uiPriority w:val="0"/>
    <w:qFormat/>
    <w:pPr>
      <w:jc w:val="center"/>
      <w:outlineLvl w:val="0"/>
    </w:pPr>
    <w:rPr>
      <w:b/>
      <w:sz w:val="32"/>
      <w:szCs w:val="20"/>
    </w:rPr>
  </w:style>
  <w:style w:type="character" w:styleId="1208" w:customStyle="1">
    <w:name w:val="标题 字符"/>
    <w:link w:val="1207"/>
    <w:uiPriority w:val="0"/>
    <w:qFormat/>
    <w:rPr>
      <w:b/>
      <w:sz w:val="32"/>
    </w:rPr>
  </w:style>
  <w:style w:type="paragraph" w:styleId="1209" w:customStyle="1">
    <w:name w:val="批注主题1"/>
    <w:basedOn w:val="1170"/>
    <w:next w:val="1170"/>
    <w:link w:val="1210"/>
    <w:uiPriority w:val="0"/>
    <w:qFormat/>
    <w:rPr>
      <w:b/>
      <w:bCs/>
    </w:rPr>
  </w:style>
  <w:style w:type="character" w:styleId="1210" w:customStyle="1">
    <w:name w:val="批注主题 字符"/>
    <w:link w:val="1209"/>
    <w:uiPriority w:val="0"/>
    <w:qFormat/>
    <w:rPr>
      <w:rFonts w:ascii="Times New Roman" w:hAnsi="Times New Roman" w:eastAsia="宋体" w:cs="Times New Roman"/>
      <w:b/>
      <w:bCs/>
      <w:sz w:val="21"/>
      <w:szCs w:val="24"/>
      <w:lang w:val="en-US" w:eastAsia="zh-CN" w:bidi="ar-SA"/>
    </w:rPr>
  </w:style>
  <w:style w:type="paragraph" w:styleId="1211" w:customStyle="1">
    <w:name w:val="正文首行缩进 21"/>
    <w:basedOn w:val="1176"/>
    <w:link w:val="1212"/>
    <w:uiPriority w:val="0"/>
    <w:qFormat/>
    <w:pPr>
      <w:ind w:left="420" w:firstLine="420"/>
      <w:spacing w:after="120" w:line="480" w:lineRule="exact"/>
    </w:pPr>
    <w:rPr>
      <w:szCs w:val="20"/>
    </w:rPr>
  </w:style>
  <w:style w:type="character" w:styleId="1212" w:customStyle="1">
    <w:name w:val="正文首行缩进 2 字符"/>
    <w:link w:val="1211"/>
    <w:uiPriority w:val="0"/>
    <w:qFormat/>
    <w:rPr>
      <w:rFonts w:eastAsia="宋体"/>
      <w:sz w:val="24"/>
      <w:szCs w:val="24"/>
      <w:lang w:val="en-US" w:eastAsia="zh-CN" w:bidi="ar-SA"/>
    </w:rPr>
  </w:style>
  <w:style w:type="table" w:styleId="1213" w:customStyle="1">
    <w:name w:val="网格型1"/>
    <w:basedOn w:val="1155"/>
    <w:uiPriority w:val="39"/>
    <w:qFormat/>
    <w:tblPr/>
  </w:style>
  <w:style w:type="table" w:styleId="1214" w:customStyle="1">
    <w:name w:val="中等深浅网格 1 - 强调文字颜色 21"/>
    <w:basedOn w:val="1155"/>
    <w:uiPriority w:val="0"/>
    <w:qFormat/>
    <w:rPr>
      <w:sz w:val="21"/>
      <w:szCs w:val="24"/>
    </w:rPr>
    <w:tblPr/>
  </w:style>
  <w:style w:type="character" w:styleId="1215" w:customStyle="1">
    <w:name w:val="要点1"/>
    <w:link w:val="960"/>
    <w:uiPriority w:val="0"/>
    <w:qFormat/>
    <w:rPr>
      <w:b/>
      <w:bCs/>
    </w:rPr>
  </w:style>
  <w:style w:type="character" w:styleId="1216" w:customStyle="1">
    <w:name w:val="页码1"/>
    <w:link w:val="960"/>
    <w:uiPriority w:val="0"/>
    <w:qFormat/>
  </w:style>
  <w:style w:type="character" w:styleId="1217" w:customStyle="1">
    <w:name w:val="已访问的超链接1"/>
    <w:link w:val="960"/>
    <w:uiPriority w:val="0"/>
    <w:qFormat/>
    <w:rPr>
      <w:color w:val="800080"/>
      <w:u w:val="none"/>
    </w:rPr>
  </w:style>
  <w:style w:type="character" w:styleId="1218" w:customStyle="1">
    <w:name w:val="强调1"/>
    <w:link w:val="960"/>
    <w:uiPriority w:val="0"/>
    <w:qFormat/>
    <w:rPr>
      <w:color w:val="cc0033"/>
    </w:rPr>
  </w:style>
  <w:style w:type="character" w:styleId="1219" w:customStyle="1">
    <w:name w:val="HTML 定义1"/>
    <w:link w:val="960"/>
    <w:uiPriority w:val="0"/>
    <w:qFormat/>
  </w:style>
  <w:style w:type="character" w:styleId="1220" w:customStyle="1">
    <w:name w:val="HTML 打字机1"/>
    <w:link w:val="960"/>
    <w:uiPriority w:val="0"/>
    <w:qFormat/>
    <w:rPr>
      <w:rFonts w:ascii="monospace" w:hAnsi="monospace" w:eastAsia="monospace" w:cs="monospace"/>
      <w:sz w:val="20"/>
    </w:rPr>
  </w:style>
  <w:style w:type="character" w:styleId="1221" w:customStyle="1">
    <w:name w:val="HTML 缩写1"/>
    <w:link w:val="960"/>
    <w:uiPriority w:val="0"/>
    <w:qFormat/>
  </w:style>
  <w:style w:type="character" w:styleId="1222" w:customStyle="1">
    <w:name w:val="HTML 变量1"/>
    <w:link w:val="960"/>
    <w:uiPriority w:val="0"/>
    <w:qFormat/>
  </w:style>
  <w:style w:type="character" w:styleId="1223" w:customStyle="1">
    <w:name w:val="超链接11"/>
    <w:link w:val="960"/>
    <w:uiPriority w:val="99"/>
    <w:qFormat/>
    <w:rPr>
      <w:color w:val="0000ff"/>
      <w:u w:val="none"/>
    </w:rPr>
  </w:style>
  <w:style w:type="character" w:styleId="1224" w:customStyle="1">
    <w:name w:val="HTML 代码1"/>
    <w:link w:val="960"/>
    <w:uiPriority w:val="0"/>
    <w:qFormat/>
    <w:rPr>
      <w:rFonts w:ascii="monospace" w:hAnsi="monospace" w:eastAsia="monospace" w:cs="monospace"/>
      <w:sz w:val="20"/>
    </w:rPr>
  </w:style>
  <w:style w:type="character" w:styleId="1225" w:customStyle="1">
    <w:name w:val="批注引用1"/>
    <w:link w:val="960"/>
    <w:uiPriority w:val="99"/>
    <w:qFormat/>
    <w:rPr>
      <w:sz w:val="21"/>
      <w:szCs w:val="21"/>
    </w:rPr>
  </w:style>
  <w:style w:type="character" w:styleId="1226" w:customStyle="1">
    <w:name w:val="HTML 引文1"/>
    <w:link w:val="960"/>
    <w:uiPriority w:val="0"/>
    <w:qFormat/>
    <w:rPr>
      <w:i/>
      <w:iCs/>
    </w:rPr>
  </w:style>
  <w:style w:type="character" w:styleId="1227" w:customStyle="1">
    <w:name w:val="HTML 键盘1"/>
    <w:link w:val="960"/>
    <w:uiPriority w:val="0"/>
    <w:qFormat/>
    <w:rPr>
      <w:rFonts w:ascii="monospace" w:hAnsi="monospace" w:eastAsia="monospace" w:cs="monospace"/>
      <w:sz w:val="20"/>
    </w:rPr>
  </w:style>
  <w:style w:type="character" w:styleId="1228" w:customStyle="1">
    <w:name w:val="HTML 样本1"/>
    <w:link w:val="960"/>
    <w:uiPriority w:val="0"/>
    <w:qFormat/>
    <w:rPr>
      <w:rFonts w:ascii="monospace" w:hAnsi="monospace" w:eastAsia="monospace" w:cs="monospace"/>
    </w:rPr>
  </w:style>
  <w:style w:type="character" w:styleId="1229" w:customStyle="1">
    <w:name w:val="批注文字 字符"/>
    <w:link w:val="960"/>
    <w:uiPriority w:val="99"/>
    <w:qFormat/>
    <w:rPr>
      <w:rFonts w:ascii="Times New Roman" w:hAnsi="Times New Roman" w:eastAsia="宋体" w:cs="Times New Roman"/>
      <w:sz w:val="24"/>
      <w:lang w:val="en-US" w:eastAsia="zh-CN" w:bidi="ar-SA"/>
    </w:rPr>
  </w:style>
  <w:style w:type="character" w:styleId="1230" w:customStyle="1">
    <w:name w:val="超链接1"/>
    <w:link w:val="960"/>
    <w:uiPriority w:val="99"/>
    <w:qFormat/>
    <w:rPr>
      <w:sz w:val="21"/>
      <w:szCs w:val="24"/>
      <w:lang w:val="en-US" w:eastAsia="zh-CN" w:bidi="ar-SA"/>
    </w:rPr>
  </w:style>
  <w:style w:type="character" w:styleId="1231" w:customStyle="1">
    <w:name w:val="正文缩进 Char"/>
    <w:link w:val="960"/>
    <w:uiPriority w:val="0"/>
    <w:qFormat/>
    <w:rPr>
      <w:sz w:val="21"/>
      <w:szCs w:val="24"/>
      <w:lang w:val="en-US" w:eastAsia="zh-CN" w:bidi="ar-SA"/>
    </w:rPr>
  </w:style>
  <w:style w:type="character" w:styleId="1232" w:customStyle="1">
    <w:name w:val="c21"/>
    <w:link w:val="960"/>
    <w:uiPriority w:val="0"/>
    <w:qFormat/>
    <w:rPr>
      <w:rFonts w:ascii="ˎ̥" w:hAnsi="ˎ̥"/>
      <w:color w:val="000000"/>
      <w:sz w:val="20"/>
      <w:szCs w:val="20"/>
      <w:u w:val="none"/>
    </w:rPr>
  </w:style>
  <w:style w:type="character" w:styleId="1233" w:customStyle="1">
    <w:name w:val="title4"/>
    <w:link w:val="960"/>
    <w:uiPriority w:val="0"/>
    <w:qFormat/>
    <w:rPr>
      <w:b/>
      <w:bCs/>
      <w:color w:val="1d87b3"/>
      <w:sz w:val="15"/>
      <w:szCs w:val="15"/>
    </w:rPr>
  </w:style>
  <w:style w:type="character" w:styleId="1234" w:customStyle="1">
    <w:name w:val="标题 2 Char Char"/>
    <w:link w:val="960"/>
    <w:uiPriority w:val="0"/>
    <w:qFormat/>
    <w:rPr>
      <w:rFonts w:ascii="Arial" w:hAnsi="Arial" w:eastAsia="黑体"/>
      <w:b/>
      <w:bCs/>
      <w:sz w:val="32"/>
      <w:szCs w:val="32"/>
      <w:lang w:val="en-US" w:eastAsia="zh-CN" w:bidi="ar-SA"/>
    </w:rPr>
  </w:style>
  <w:style w:type="character" w:styleId="1235" w:customStyle="1">
    <w:name w:val="black1"/>
    <w:link w:val="960"/>
    <w:uiPriority w:val="0"/>
    <w:qFormat/>
    <w:rPr>
      <w:color w:val="000000"/>
    </w:rPr>
  </w:style>
  <w:style w:type="character" w:styleId="1236" w:customStyle="1">
    <w:name w:val="street-address"/>
    <w:link w:val="960"/>
    <w:uiPriority w:val="0"/>
    <w:qFormat/>
  </w:style>
  <w:style w:type="character" w:styleId="1237" w:customStyle="1">
    <w:name w:val="locality"/>
    <w:link w:val="960"/>
    <w:uiPriority w:val="0"/>
    <w:qFormat/>
  </w:style>
  <w:style w:type="character" w:styleId="1238" w:customStyle="1">
    <w:name w:val="正文文本缩进 Char1"/>
    <w:link w:val="1239"/>
    <w:uiPriority w:val="0"/>
    <w:qFormat/>
    <w:rPr>
      <w:rFonts w:ascii="宋体" w:hAnsi="宋体" w:eastAsia="宋体"/>
      <w:sz w:val="24"/>
      <w:szCs w:val="24"/>
      <w:lang w:bidi="ar-SA"/>
    </w:rPr>
  </w:style>
  <w:style w:type="paragraph" w:styleId="1239" w:customStyle="1">
    <w:name w:val="正文文本缩进1"/>
    <w:basedOn w:val="960"/>
    <w:link w:val="1238"/>
    <w:uiPriority w:val="0"/>
    <w:qFormat/>
    <w:pPr>
      <w:ind w:firstLine="480"/>
      <w:spacing w:line="480" w:lineRule="exact"/>
    </w:pPr>
    <w:rPr>
      <w:rFonts w:ascii="宋体" w:hAnsi="宋体"/>
      <w:sz w:val="24"/>
    </w:rPr>
  </w:style>
  <w:style w:type="character" w:styleId="1240" w:customStyle="1">
    <w:name w:val="Char Char11"/>
    <w:link w:val="960"/>
    <w:uiPriority w:val="0"/>
    <w:qFormat/>
    <w:rPr>
      <w:rFonts w:ascii="宋体" w:eastAsia="宋体"/>
      <w:b/>
      <w:sz w:val="24"/>
      <w:u w:val="single"/>
      <w:lang w:val="en-US" w:eastAsia="zh-CN" w:bidi="ar-SA"/>
    </w:rPr>
  </w:style>
  <w:style w:type="character" w:styleId="1241" w:customStyle="1">
    <w:name w:val="txt"/>
    <w:link w:val="960"/>
    <w:uiPriority w:val="0"/>
    <w:qFormat/>
  </w:style>
  <w:style w:type="character" w:styleId="1242" w:customStyle="1">
    <w:name w:val="正文缩进 Char Char"/>
    <w:link w:val="1243"/>
    <w:uiPriority w:val="0"/>
    <w:qFormat/>
    <w:rPr>
      <w:rFonts w:ascii="宋体" w:eastAsia="宋体"/>
      <w:color w:val="000000"/>
      <w:sz w:val="28"/>
      <w:lang w:bidi="ar-SA"/>
    </w:rPr>
  </w:style>
  <w:style w:type="paragraph" w:styleId="1243" w:customStyle="1">
    <w:name w:val="正文缩进1"/>
    <w:basedOn w:val="960"/>
    <w:link w:val="1242"/>
    <w:uiPriority w:val="0"/>
    <w:qFormat/>
    <w:pPr>
      <w:ind w:firstLine="567"/>
      <w:spacing w:line="480" w:lineRule="exact"/>
      <w:widowControl/>
    </w:pPr>
    <w:rPr>
      <w:rFonts w:ascii="宋体"/>
      <w:color w:val="000000"/>
      <w:sz w:val="28"/>
      <w:szCs w:val="20"/>
    </w:rPr>
  </w:style>
  <w:style w:type="character" w:styleId="1244" w:customStyle="1">
    <w:name w:val="普通文字1 Char1"/>
    <w:link w:val="960"/>
    <w:uiPriority w:val="0"/>
    <w:qFormat/>
    <w:rPr>
      <w:rFonts w:ascii="宋体" w:hAnsi="Courier New" w:eastAsia="宋体"/>
      <w:sz w:val="21"/>
      <w:lang w:val="en-US" w:eastAsia="zh-CN" w:bidi="ar-SA"/>
    </w:rPr>
  </w:style>
  <w:style w:type="character" w:styleId="1245" w:customStyle="1">
    <w:name w:val="chanpin1"/>
    <w:link w:val="960"/>
    <w:uiPriority w:val="0"/>
    <w:qFormat/>
    <w:rPr>
      <w:rFonts w:ascii="ˎ̥" w:hAnsi="ˎ̥"/>
      <w:color w:val="000000"/>
      <w:sz w:val="20"/>
      <w:szCs w:val="20"/>
      <w:u w:val="none"/>
    </w:rPr>
  </w:style>
  <w:style w:type="character" w:styleId="1246" w:customStyle="1">
    <w:name w:val="列出段落 字符"/>
    <w:link w:val="1247"/>
    <w:uiPriority w:val="34"/>
    <w:qFormat/>
    <w:rPr>
      <w:rFonts w:ascii="Calibri" w:hAnsi="Calibri" w:eastAsia="宋体"/>
      <w:sz w:val="21"/>
      <w:szCs w:val="22"/>
      <w:lang w:val="en-US" w:eastAsia="zh-CN" w:bidi="ar-SA"/>
    </w:rPr>
  </w:style>
  <w:style w:type="paragraph" w:styleId="1247" w:customStyle="1">
    <w:name w:val="列出段落"/>
    <w:basedOn w:val="960"/>
    <w:link w:val="1246"/>
    <w:uiPriority w:val="34"/>
    <w:qFormat/>
    <w:pPr>
      <w:ind w:firstLine="420"/>
    </w:pPr>
    <w:rPr>
      <w:rFonts w:ascii="Calibri" w:hAnsi="Calibri"/>
      <w:szCs w:val="22"/>
    </w:rPr>
  </w:style>
  <w:style w:type="character" w:styleId="1248" w:customStyle="1">
    <w:name w:val="标题 3 Char Char"/>
    <w:link w:val="960"/>
    <w:uiPriority w:val="0"/>
    <w:qFormat/>
    <w:rPr>
      <w:rFonts w:eastAsia="宋体"/>
      <w:b/>
      <w:bCs/>
      <w:sz w:val="32"/>
      <w:szCs w:val="32"/>
      <w:lang w:val="en-US" w:eastAsia="zh-CN" w:bidi="ar-SA"/>
    </w:rPr>
  </w:style>
  <w:style w:type="character" w:styleId="1249" w:customStyle="1">
    <w:name w:val="段1 Char"/>
    <w:link w:val="960"/>
    <w:uiPriority w:val="0"/>
    <w:qFormat/>
    <w:rPr>
      <w:rFonts w:ascii="宋体" w:eastAsia="宋体"/>
      <w:sz w:val="24"/>
      <w:lang w:val="en-US" w:eastAsia="zh-CN" w:bidi="ar-SA"/>
    </w:rPr>
  </w:style>
  <w:style w:type="character" w:styleId="1250" w:customStyle="1">
    <w:name w:val="chanpin拷贝"/>
    <w:link w:val="960"/>
    <w:uiPriority w:val="0"/>
    <w:qFormat/>
  </w:style>
  <w:style w:type="character" w:styleId="1251" w:customStyle="1">
    <w:name w:val="纯文本 Char1"/>
    <w:link w:val="960"/>
    <w:uiPriority w:val="0"/>
    <w:qFormat/>
    <w:rPr>
      <w:rFonts w:ascii="宋体" w:hAnsi="Courier New" w:eastAsia="宋体"/>
      <w:sz w:val="21"/>
      <w:lang w:val="en-US" w:eastAsia="zh-CN" w:bidi="ar-SA"/>
    </w:rPr>
  </w:style>
  <w:style w:type="character" w:styleId="1252" w:customStyle="1">
    <w:name w:val="apple-style-span"/>
    <w:link w:val="960"/>
    <w:uiPriority w:val="0"/>
    <w:qFormat/>
    <w:rPr>
      <w:rFonts w:cs="Times New Roman"/>
    </w:rPr>
  </w:style>
  <w:style w:type="paragraph" w:styleId="1253" w:customStyle="1">
    <w:name w:val="二级条标题"/>
    <w:basedOn w:val="1254"/>
    <w:next w:val="96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54" w:customStyle="1">
    <w:name w:val="一级条标题"/>
    <w:basedOn w:val="1255"/>
    <w:next w:val="960"/>
    <w:uiPriority w:val="0"/>
    <w:qFormat/>
    <w:pPr>
      <w:numPr>
        <w:ilvl w:val="1"/>
      </w:numPr>
      <w:ind w:left="0" w:hanging="840"/>
      <w:tabs>
        <w:tab w:val="left" w:pos="360" w:leader="none"/>
        <w:tab w:val="left" w:pos="840" w:leader="none"/>
      </w:tabs>
      <w:outlineLvl w:val="1"/>
    </w:pPr>
  </w:style>
  <w:style w:type="paragraph" w:styleId="1255" w:customStyle="1">
    <w:name w:val="章标题"/>
    <w:next w:val="960"/>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56" w:customStyle="1">
    <w:name w:val="font7"/>
    <w:basedOn w:val="960"/>
    <w:uiPriority w:val="0"/>
    <w:qFormat/>
    <w:pPr>
      <w:jc w:val="left"/>
      <w:spacing w:before="100" w:beforeAutospacing="1" w:after="100" w:afterAutospacing="1"/>
      <w:widowControl/>
    </w:pPr>
    <w:rPr>
      <w:rFonts w:eastAsia="Arial Unicode MS"/>
      <w:b/>
      <w:bCs/>
      <w:color w:val="000000"/>
      <w:sz w:val="20"/>
      <w:szCs w:val="20"/>
    </w:rPr>
  </w:style>
  <w:style w:type="paragraph" w:styleId="1257" w:customStyle="1">
    <w:name w:val="字元 字元"/>
    <w:basedOn w:val="960"/>
    <w:uiPriority w:val="0"/>
    <w:qFormat/>
    <w:rPr>
      <w:rFonts w:ascii="Tahoma" w:hAnsi="Tahoma"/>
      <w:sz w:val="24"/>
      <w:szCs w:val="20"/>
    </w:rPr>
  </w:style>
  <w:style w:type="paragraph" w:styleId="1258" w:customStyle="1">
    <w:name w:val="Char3 Char Char Char"/>
    <w:basedOn w:val="960"/>
    <w:uiPriority w:val="0"/>
    <w:qFormat/>
    <w:rPr>
      <w:rFonts w:ascii="Tahoma" w:hAnsi="Tahoma"/>
      <w:sz w:val="24"/>
      <w:szCs w:val="20"/>
    </w:rPr>
  </w:style>
  <w:style w:type="paragraph" w:styleId="1259" w:customStyle="1">
    <w:name w:val="font6"/>
    <w:basedOn w:val="960"/>
    <w:uiPriority w:val="0"/>
    <w:qFormat/>
    <w:pPr>
      <w:jc w:val="left"/>
      <w:spacing w:before="100" w:beforeAutospacing="1" w:after="100" w:afterAutospacing="1"/>
      <w:widowControl/>
    </w:pPr>
    <w:rPr>
      <w:rFonts w:ascii="宋体" w:hAnsi="宋体" w:cs="宋体"/>
      <w:sz w:val="20"/>
      <w:szCs w:val="20"/>
    </w:rPr>
  </w:style>
  <w:style w:type="paragraph" w:styleId="1260" w:customStyle="1">
    <w:name w:val="项目编号2"/>
    <w:basedOn w:val="1261"/>
    <w:uiPriority w:val="0"/>
    <w:qFormat/>
    <w:pPr>
      <w:numPr>
        <w:numId w:val="2"/>
      </w:numPr>
    </w:pPr>
  </w:style>
  <w:style w:type="paragraph" w:styleId="1261" w:customStyle="1">
    <w:name w:val="项目编号1"/>
    <w:basedOn w:val="960"/>
    <w:uiPriority w:val="0"/>
    <w:qFormat/>
    <w:pPr>
      <w:numPr>
        <w:ilvl w:val="0"/>
        <w:numId w:val="3"/>
      </w:numPr>
      <w:spacing w:before="100" w:beforeAutospacing="1" w:after="100" w:afterAutospacing="1" w:line="360" w:lineRule="auto"/>
    </w:pPr>
    <w:rPr>
      <w:sz w:val="24"/>
    </w:rPr>
  </w:style>
  <w:style w:type="paragraph" w:styleId="1262" w:customStyle="1">
    <w:name w:val="图中文字"/>
    <w:basedOn w:val="960"/>
    <w:uiPriority w:val="0"/>
    <w:qFormat/>
    <w:pPr>
      <w:jc w:val="center"/>
      <w:spacing w:line="0" w:lineRule="atLeast"/>
    </w:pPr>
    <w:rPr>
      <w:sz w:val="24"/>
      <w:szCs w:val="20"/>
    </w:rPr>
  </w:style>
  <w:style w:type="paragraph" w:styleId="1263" w:customStyle="1">
    <w:name w:val="xl46"/>
    <w:basedOn w:val="96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64" w:customStyle="1">
    <w:name w:val="xl25"/>
    <w:basedOn w:val="9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5" w:customStyle="1">
    <w:name w:val="Char2"/>
    <w:basedOn w:val="960"/>
    <w:uiPriority w:val="0"/>
    <w:qFormat/>
    <w:rPr>
      <w:rFonts w:ascii="Tahoma" w:hAnsi="Tahoma"/>
      <w:sz w:val="24"/>
      <w:szCs w:val="20"/>
    </w:rPr>
  </w:style>
  <w:style w:type="paragraph" w:styleId="1266" w:customStyle="1">
    <w:name w:val="xl35"/>
    <w:basedOn w:val="96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7" w:customStyle="1">
    <w:name w:val="xl40"/>
    <w:basedOn w:val="9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8" w:customStyle="1">
    <w:name w:val="xl52"/>
    <w:basedOn w:val="9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69" w:customStyle="1">
    <w:name w:val="xl43"/>
    <w:basedOn w:val="96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0" w:customStyle="1">
    <w:name w:val="background1"/>
    <w:basedOn w:val="960"/>
    <w:uiPriority w:val="0"/>
    <w:qFormat/>
    <w:pPr>
      <w:jc w:val="left"/>
      <w:spacing w:before="100" w:beforeAutospacing="1" w:after="100" w:afterAutospacing="1"/>
      <w:widowControl/>
    </w:pPr>
    <w:rPr>
      <w:rFonts w:ascii="宋体" w:hAnsi="宋体" w:cs="宋体"/>
      <w:sz w:val="24"/>
    </w:rPr>
  </w:style>
  <w:style w:type="paragraph" w:styleId="1271" w:customStyle="1">
    <w:name w:val="Char Char Char Char Char Char Char"/>
    <w:basedOn w:val="960"/>
    <w:uiPriority w:val="0"/>
    <w:qFormat/>
    <w:pPr>
      <w:ind w:firstLine="200"/>
      <w:spacing w:line="360" w:lineRule="auto"/>
    </w:pPr>
    <w:rPr>
      <w:rFonts w:eastAsia="仿宋_GB2312"/>
      <w:sz w:val="24"/>
    </w:rPr>
  </w:style>
  <w:style w:type="paragraph" w:styleId="1272" w:customStyle="1">
    <w:name w:val="xl38"/>
    <w:basedOn w:val="9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73" w:customStyle="1">
    <w:name w:val="xl36"/>
    <w:basedOn w:val="96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4" w:customStyle="1">
    <w:name w:val="正文 + 宋体"/>
    <w:basedOn w:val="960"/>
    <w:uiPriority w:val="0"/>
    <w:qFormat/>
    <w:pPr>
      <w:ind w:left="360" w:hanging="360"/>
      <w:jc w:val="left"/>
      <w:widowControl/>
    </w:pPr>
    <w:rPr>
      <w:rFonts w:ascii="宋体" w:hAnsi="宋体" w:cs="宋体"/>
      <w:b/>
      <w:bCs/>
      <w:color w:val="000000"/>
      <w:sz w:val="18"/>
      <w:szCs w:val="18"/>
    </w:rPr>
  </w:style>
  <w:style w:type="paragraph" w:styleId="1275" w:customStyle="1">
    <w:name w:val="正文列项_数字"/>
    <w:basedOn w:val="96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76" w:customStyle="1">
    <w:name w:val="xl39"/>
    <w:basedOn w:val="9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7" w:customStyle="1">
    <w:name w:val="xl37"/>
    <w:basedOn w:val="96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8" w:customStyle="1">
    <w:name w:val="xl32"/>
    <w:basedOn w:val="9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9" w:customStyle="1">
    <w:name w:val="font8"/>
    <w:basedOn w:val="960"/>
    <w:uiPriority w:val="0"/>
    <w:qFormat/>
    <w:pPr>
      <w:jc w:val="left"/>
      <w:spacing w:before="100" w:beforeAutospacing="1" w:after="100" w:afterAutospacing="1"/>
      <w:widowControl/>
    </w:pPr>
    <w:rPr>
      <w:sz w:val="36"/>
      <w:szCs w:val="36"/>
    </w:rPr>
  </w:style>
  <w:style w:type="paragraph" w:styleId="1280" w:customStyle="1">
    <w:name w:val="Char"/>
    <w:basedOn w:val="960"/>
    <w:uiPriority w:val="0"/>
    <w:qFormat/>
    <w:pPr>
      <w:tabs>
        <w:tab w:val="left" w:pos="360" w:leader="none"/>
      </w:tabs>
    </w:pPr>
    <w:rPr>
      <w:sz w:val="24"/>
    </w:rPr>
  </w:style>
  <w:style w:type="paragraph" w:styleId="1281" w:customStyle="1">
    <w:name w:val="Char Char Char Char Char Char Char Char Char Char Char Char Char Char Char Char"/>
    <w:basedOn w:val="960"/>
    <w:uiPriority w:val="0"/>
    <w:qFormat/>
    <w:pPr>
      <w:jc w:val="center"/>
      <w:spacing w:after="160" w:line="240" w:lineRule="exact"/>
      <w:widowControl/>
    </w:pPr>
    <w:rPr>
      <w:rFonts w:ascii="宋体" w:hAnsi="宋体"/>
      <w:b/>
      <w:sz w:val="30"/>
      <w:szCs w:val="30"/>
      <w:lang w:eastAsia="en-US"/>
    </w:rPr>
  </w:style>
  <w:style w:type="paragraph" w:styleId="1282" w:customStyle="1">
    <w:name w:val="xl45"/>
    <w:basedOn w:val="96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83" w:customStyle="1">
    <w:name w:val="Char Char1 Char Char Char Char Char Char"/>
    <w:basedOn w:val="960"/>
    <w:uiPriority w:val="0"/>
    <w:qFormat/>
    <w:pPr>
      <w:jc w:val="left"/>
      <w:spacing w:after="160" w:line="240" w:lineRule="exact"/>
      <w:widowControl/>
    </w:pPr>
    <w:rPr>
      <w:rFonts w:ascii="Verdana" w:hAnsi="Verdana" w:eastAsia="仿宋_GB2312"/>
      <w:sz w:val="24"/>
      <w:szCs w:val="20"/>
      <w:lang w:eastAsia="en-US"/>
    </w:rPr>
  </w:style>
  <w:style w:type="paragraph" w:styleId="1284" w:customStyle="1">
    <w:name w:val="Char Char1"/>
    <w:basedOn w:val="1168"/>
    <w:uiPriority w:val="0"/>
    <w:qFormat/>
    <w:rPr>
      <w:rFonts w:ascii="Tahoma" w:hAnsi="Tahoma"/>
      <w:sz w:val="24"/>
    </w:rPr>
  </w:style>
  <w:style w:type="paragraph" w:styleId="1285" w:customStyle="1">
    <w:name w:val="xl26"/>
    <w:basedOn w:val="9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86" w:customStyle="1">
    <w:name w:val="xl30"/>
    <w:basedOn w:val="9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7" w:customStyle="1">
    <w:name w:val="xl41"/>
    <w:basedOn w:val="96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88" w:customStyle="1">
    <w:name w:val="样式 宋体 五号 行距: 单倍行距"/>
    <w:basedOn w:val="960"/>
    <w:uiPriority w:val="0"/>
    <w:qFormat/>
    <w:pPr>
      <w:jc w:val="left"/>
    </w:pPr>
    <w:rPr>
      <w:rFonts w:ascii="宋体" w:hAnsi="宋体"/>
      <w:szCs w:val="20"/>
    </w:rPr>
  </w:style>
  <w:style w:type="paragraph" w:styleId="1289" w:customStyle="1">
    <w:name w:val="Char1 Char Char Char1"/>
    <w:basedOn w:val="960"/>
    <w:uiPriority w:val="0"/>
    <w:qFormat/>
    <w:rPr>
      <w:rFonts w:ascii="Tahoma" w:hAnsi="Tahoma" w:cs="仿宋_GB2312"/>
      <w:sz w:val="24"/>
      <w:szCs w:val="28"/>
    </w:rPr>
  </w:style>
  <w:style w:type="paragraph" w:styleId="1290" w:customStyle="1">
    <w:name w:val="四级条标题"/>
    <w:basedOn w:val="1291"/>
    <w:next w:val="960"/>
    <w:uiPriority w:val="0"/>
    <w:qFormat/>
    <w:pPr>
      <w:numPr>
        <w:ilvl w:val="4"/>
      </w:numPr>
      <w:ind w:left="0" w:hanging="840"/>
      <w:tabs>
        <w:tab w:val="left" w:pos="360" w:leader="none"/>
        <w:tab w:val="left" w:pos="840" w:leader="none"/>
      </w:tabs>
      <w:outlineLvl w:val="4"/>
    </w:pPr>
  </w:style>
  <w:style w:type="paragraph" w:styleId="1291" w:customStyle="1">
    <w:name w:val="三级条标题"/>
    <w:basedOn w:val="1253"/>
    <w:next w:val="960"/>
    <w:uiPriority w:val="0"/>
    <w:qFormat/>
    <w:pPr>
      <w:numPr>
        <w:ilvl w:val="3"/>
        <w:numId w:val="1"/>
      </w:numPr>
      <w:ind w:left="0" w:hanging="840"/>
      <w:outlineLvl w:val="3"/>
    </w:pPr>
  </w:style>
  <w:style w:type="paragraph" w:styleId="1292"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93" w:customStyle="1">
    <w:name w:val="样式 标题 2 + 宋体 五号 行距: 单倍行距"/>
    <w:basedOn w:val="1145"/>
    <w:uiPriority w:val="0"/>
    <w:qFormat/>
    <w:pPr>
      <w:numPr>
        <w:ilvl w:val="1"/>
        <w:numId w:val="4"/>
      </w:numPr>
      <w:jc w:val="left"/>
      <w:spacing w:before="260" w:after="260" w:line="240" w:lineRule="auto"/>
    </w:pPr>
    <w:rPr>
      <w:rFonts w:ascii="宋体" w:hAnsi="宋体" w:eastAsia="宋体"/>
      <w:bCs/>
      <w:sz w:val="21"/>
    </w:rPr>
  </w:style>
  <w:style w:type="paragraph" w:styleId="1294" w:customStyle="1">
    <w:name w:val="List Paragraph1"/>
    <w:basedOn w:val="960"/>
    <w:uiPriority w:val="0"/>
    <w:qFormat/>
    <w:pPr>
      <w:ind w:firstLine="420"/>
    </w:pPr>
    <w:rPr>
      <w:rFonts w:ascii="Calibri" w:hAnsi="Calibri"/>
      <w:szCs w:val="22"/>
    </w:rPr>
  </w:style>
  <w:style w:type="paragraph" w:styleId="1295" w:customStyle="1">
    <w:name w:val="项目符号1"/>
    <w:basedOn w:val="1296"/>
    <w:uiPriority w:val="0"/>
    <w:qFormat/>
    <w:pPr>
      <w:ind w:left="-25" w:firstLine="0"/>
    </w:pPr>
  </w:style>
  <w:style w:type="paragraph" w:styleId="1296" w:customStyle="1">
    <w:name w:val="正文文本样式"/>
    <w:basedOn w:val="960"/>
    <w:uiPriority w:val="0"/>
    <w:qFormat/>
    <w:pPr>
      <w:ind w:firstLine="482"/>
      <w:spacing w:line="360" w:lineRule="auto"/>
    </w:pPr>
    <w:rPr>
      <w:rFonts w:cs="宋体"/>
      <w:sz w:val="24"/>
      <w:szCs w:val="20"/>
    </w:rPr>
  </w:style>
  <w:style w:type="paragraph" w:styleId="1297" w:customStyle="1">
    <w:name w:val="xl27"/>
    <w:basedOn w:val="9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8" w:customStyle="1">
    <w:name w:val="font5"/>
    <w:basedOn w:val="960"/>
    <w:uiPriority w:val="0"/>
    <w:qFormat/>
    <w:pPr>
      <w:jc w:val="left"/>
      <w:spacing w:before="100" w:beforeAutospacing="1" w:after="100" w:afterAutospacing="1"/>
      <w:widowControl/>
    </w:pPr>
    <w:rPr>
      <w:rFonts w:ascii="宋体" w:hAnsi="宋体" w:cs="宋体"/>
      <w:sz w:val="18"/>
      <w:szCs w:val="18"/>
    </w:rPr>
  </w:style>
  <w:style w:type="paragraph" w:styleId="1299" w:customStyle="1">
    <w:name w:val="五级条标题"/>
    <w:basedOn w:val="1290"/>
    <w:next w:val="960"/>
    <w:uiPriority w:val="0"/>
    <w:qFormat/>
    <w:pPr>
      <w:numPr>
        <w:ilvl w:val="5"/>
      </w:numPr>
      <w:ind w:left="0" w:hanging="840"/>
      <w:outlineLvl w:val="5"/>
    </w:pPr>
  </w:style>
  <w:style w:type="paragraph" w:styleId="1300" w:customStyle="1">
    <w:name w:val="xl49"/>
    <w:basedOn w:val="9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01" w:customStyle="1">
    <w:name w:val="文档正文"/>
    <w:basedOn w:val="960"/>
    <w:uiPriority w:val="0"/>
    <w:qFormat/>
    <w:pPr>
      <w:spacing w:before="120" w:after="120" w:line="180" w:lineRule="auto"/>
    </w:pPr>
    <w:rPr>
      <w:rFonts w:ascii="Arial" w:hAnsi="Arial"/>
      <w:szCs w:val="20"/>
    </w:rPr>
  </w:style>
  <w:style w:type="paragraph" w:styleId="1302" w:customStyle="1">
    <w:name w:val="xl33"/>
    <w:basedOn w:val="9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3" w:customStyle="1">
    <w:name w:val="xl42"/>
    <w:basedOn w:val="9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04" w:customStyle="1">
    <w:name w:val="Char Char Char1 Char"/>
    <w:basedOn w:val="960"/>
    <w:uiPriority w:val="0"/>
    <w:qFormat/>
    <w:rPr>
      <w:rFonts w:ascii="Tahoma" w:hAnsi="Tahoma"/>
      <w:sz w:val="24"/>
      <w:szCs w:val="20"/>
    </w:rPr>
  </w:style>
  <w:style w:type="paragraph" w:styleId="1305" w:customStyle="1">
    <w:name w:val="xl44"/>
    <w:basedOn w:val="96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06" w:customStyle="1">
    <w:name w:val="1名"/>
    <w:basedOn w:val="960"/>
    <w:uiPriority w:val="0"/>
    <w:qFormat/>
    <w:pPr>
      <w:numPr>
        <w:ilvl w:val="0"/>
        <w:numId w:val="5"/>
      </w:numPr>
      <w:spacing w:before="120"/>
    </w:pPr>
    <w:rPr>
      <w:rFonts w:ascii="宋体"/>
      <w:sz w:val="28"/>
      <w:szCs w:val="20"/>
    </w:rPr>
  </w:style>
  <w:style w:type="paragraph" w:styleId="1307" w:customStyle="1">
    <w:name w:val="font9"/>
    <w:basedOn w:val="96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08" w:customStyle="1">
    <w:name w:val="Char Char Char1 Char1"/>
    <w:basedOn w:val="960"/>
    <w:uiPriority w:val="0"/>
    <w:qFormat/>
    <w:rPr>
      <w:rFonts w:ascii="Tahoma" w:hAnsi="Tahoma"/>
      <w:sz w:val="24"/>
      <w:szCs w:val="20"/>
    </w:rPr>
  </w:style>
  <w:style w:type="paragraph" w:styleId="1309" w:customStyle="1">
    <w:name w:val="Char Char Char Char Char Char Char Char Char Char"/>
    <w:basedOn w:val="960"/>
    <w:uiPriority w:val="0"/>
    <w:qFormat/>
  </w:style>
  <w:style w:type="paragraph" w:styleId="1310" w:customStyle="1">
    <w:name w:val="Char Char1 Char Char Char Char Char Char Char Char"/>
    <w:basedOn w:val="960"/>
    <w:uiPriority w:val="0"/>
    <w:qFormat/>
    <w:pPr>
      <w:jc w:val="left"/>
      <w:spacing w:after="160" w:line="240" w:lineRule="exact"/>
      <w:widowControl/>
    </w:pPr>
    <w:rPr>
      <w:rFonts w:ascii="Verdana" w:hAnsi="Verdana"/>
      <w:sz w:val="20"/>
      <w:szCs w:val="20"/>
      <w:lang w:eastAsia="en-US"/>
    </w:rPr>
  </w:style>
  <w:style w:type="paragraph" w:styleId="1311" w:customStyle="1">
    <w:name w:val="Char1"/>
    <w:basedOn w:val="960"/>
    <w:uiPriority w:val="0"/>
    <w:qFormat/>
    <w:pPr>
      <w:tabs>
        <w:tab w:val="left" w:pos="360" w:leader="none"/>
      </w:tabs>
    </w:pPr>
    <w:rPr>
      <w:sz w:val="24"/>
    </w:rPr>
  </w:style>
  <w:style w:type="paragraph" w:styleId="1312" w:customStyle="1">
    <w:name w:val="正文列项_字母"/>
    <w:basedOn w:val="960"/>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313" w:customStyle="1">
    <w:name w:val="xl28"/>
    <w:basedOn w:val="9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4" w:customStyle="1">
    <w:name w:val="xl47"/>
    <w:basedOn w:val="96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5" w:customStyle="1">
    <w:name w:val="默认段落字体 Para Char Char Char Char"/>
    <w:basedOn w:val="960"/>
    <w:uiPriority w:val="0"/>
    <w:qFormat/>
    <w:rPr>
      <w:rFonts w:ascii="Arial" w:hAnsi="Arial" w:cs="Arial"/>
      <w:szCs w:val="21"/>
    </w:rPr>
  </w:style>
  <w:style w:type="paragraph" w:styleId="1316" w:customStyle="1">
    <w:name w:val="xl48"/>
    <w:basedOn w:val="9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17" w:customStyle="1">
    <w:name w:val="xl31"/>
    <w:basedOn w:val="9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18" w:customStyle="1">
    <w:name w:val="xl53"/>
    <w:basedOn w:val="9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9" w:customStyle="1">
    <w:name w:val="Char Char Char"/>
    <w:basedOn w:val="960"/>
    <w:uiPriority w:val="0"/>
    <w:qFormat/>
    <w:rPr>
      <w:rFonts w:ascii="Tahoma" w:hAnsi="Tahoma"/>
      <w:sz w:val="24"/>
      <w:szCs w:val="20"/>
    </w:rPr>
  </w:style>
  <w:style w:type="paragraph" w:styleId="1320" w:customStyle="1">
    <w:name w:val="xl50"/>
    <w:basedOn w:val="9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21" w:customStyle="1">
    <w:name w:val="缺省文本"/>
    <w:basedOn w:val="960"/>
    <w:uiPriority w:val="0"/>
    <w:qFormat/>
    <w:pPr>
      <w:jc w:val="left"/>
    </w:pPr>
    <w:rPr>
      <w:sz w:val="24"/>
    </w:rPr>
  </w:style>
  <w:style w:type="paragraph" w:styleId="1322" w:customStyle="1">
    <w:name w:val="Char Char Char1"/>
    <w:basedOn w:val="960"/>
    <w:uiPriority w:val="0"/>
    <w:qFormat/>
    <w:rPr>
      <w:rFonts w:ascii="Tahoma" w:hAnsi="Tahoma"/>
      <w:sz w:val="24"/>
      <w:szCs w:val="20"/>
    </w:rPr>
  </w:style>
  <w:style w:type="paragraph" w:styleId="1323" w:customStyle="1">
    <w:name w:val="Char Char Char Char Char Char Char1"/>
    <w:basedOn w:val="960"/>
    <w:uiPriority w:val="0"/>
    <w:qFormat/>
    <w:pPr>
      <w:ind w:firstLine="200"/>
      <w:spacing w:line="360" w:lineRule="auto"/>
    </w:pPr>
    <w:rPr>
      <w:rFonts w:eastAsia="仿宋_GB2312"/>
      <w:sz w:val="24"/>
    </w:rPr>
  </w:style>
  <w:style w:type="paragraph" w:styleId="1324" w:customStyle="1">
    <w:name w:val="xl51"/>
    <w:basedOn w:val="9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5" w:customStyle="1">
    <w:name w:val="样式2"/>
    <w:basedOn w:val="1206"/>
    <w:uiPriority w:val="0"/>
    <w:qFormat/>
    <w:pPr>
      <w:jc w:val="center"/>
      <w:spacing w:line="360" w:lineRule="auto"/>
    </w:pPr>
    <w:rPr>
      <w:sz w:val="24"/>
    </w:rPr>
  </w:style>
  <w:style w:type="paragraph" w:styleId="1326" w:customStyle="1">
    <w:name w:val="xl24"/>
    <w:basedOn w:val="9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7" w:customStyle="1">
    <w:name w:val="xl29"/>
    <w:basedOn w:val="9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28" w:customStyle="1">
    <w:name w:val="正文 + 楷体_GB2312"/>
    <w:basedOn w:val="960"/>
    <w:uiPriority w:val="0"/>
    <w:qFormat/>
    <w:pPr>
      <w:jc w:val="left"/>
      <w:widowControl/>
    </w:pPr>
    <w:rPr>
      <w:rFonts w:ascii="楷体_GB2312" w:eastAsia="楷体_GB2312" w:cs="Arial"/>
      <w:sz w:val="24"/>
    </w:rPr>
  </w:style>
  <w:style w:type="paragraph" w:styleId="1329" w:customStyle="1">
    <w:name w:val="xl34"/>
    <w:basedOn w:val="9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30" w:customStyle="1">
    <w:name w:val="1 Char Char Char Char"/>
    <w:basedOn w:val="960"/>
    <w:uiPriority w:val="0"/>
    <w:qFormat/>
    <w:rPr>
      <w:rFonts w:ascii="Tahoma" w:hAnsi="Tahoma"/>
      <w:sz w:val="24"/>
      <w:szCs w:val="20"/>
    </w:rPr>
  </w:style>
  <w:style w:type="paragraph" w:styleId="1331" w:customStyle="1">
    <w:name w:val="列出段落1"/>
    <w:basedOn w:val="960"/>
    <w:uiPriority w:val="0"/>
    <w:qFormat/>
    <w:pPr>
      <w:ind w:firstLine="420"/>
    </w:pPr>
    <w:rPr>
      <w:rFonts w:ascii="Calibri" w:hAnsi="Calibri"/>
      <w:szCs w:val="22"/>
    </w:rPr>
  </w:style>
  <w:style w:type="paragraph" w:styleId="1332" w:customStyle="1">
    <w:name w:val="default"/>
    <w:basedOn w:val="960"/>
    <w:uiPriority w:val="0"/>
    <w:qFormat/>
    <w:pPr>
      <w:jc w:val="left"/>
      <w:spacing w:before="100" w:beforeAutospacing="1" w:after="100" w:afterAutospacing="1"/>
      <w:widowControl/>
    </w:pPr>
    <w:rPr>
      <w:rFonts w:ascii="宋体" w:hAnsi="宋体" w:cs="宋体"/>
      <w:sz w:val="24"/>
    </w:rPr>
  </w:style>
  <w:style w:type="paragraph" w:styleId="1333" w:customStyle="1">
    <w:name w:val="字元 字元1"/>
    <w:basedOn w:val="960"/>
    <w:uiPriority w:val="0"/>
    <w:qFormat/>
    <w:rPr>
      <w:rFonts w:ascii="Tahoma" w:hAnsi="Tahoma"/>
      <w:sz w:val="24"/>
      <w:szCs w:val="20"/>
    </w:rPr>
  </w:style>
  <w:style w:type="paragraph" w:styleId="1334" w:customStyle="1">
    <w:name w:val="_Style 160"/>
    <w:uiPriority w:val="0"/>
    <w:qFormat/>
    <w:rPr>
      <w:rFonts w:hint="default" w:ascii="Times New Roman" w:hAnsi="Times New Roman" w:eastAsia="宋体" w:cs="Times New Roman"/>
      <w:sz w:val="21"/>
      <w:szCs w:val="24"/>
      <w:lang w:val="en-US" w:eastAsia="zh-CN" w:bidi="ar-SA"/>
    </w:rPr>
  </w:style>
  <w:style w:type="paragraph" w:styleId="1335" w:customStyle="1">
    <w:name w:val="项目编号3"/>
    <w:basedOn w:val="1296"/>
    <w:uiPriority w:val="0"/>
    <w:qFormat/>
    <w:pPr>
      <w:numPr>
        <w:ilvl w:val="0"/>
        <w:numId w:val="6"/>
      </w:numPr>
    </w:pPr>
  </w:style>
  <w:style w:type="paragraph" w:styleId="1336" w:customStyle="1">
    <w:name w:val="Char21"/>
    <w:basedOn w:val="960"/>
    <w:uiPriority w:val="0"/>
    <w:qFormat/>
    <w:rPr>
      <w:rFonts w:ascii="Tahoma" w:hAnsi="Tahoma"/>
      <w:sz w:val="24"/>
      <w:szCs w:val="20"/>
    </w:rPr>
  </w:style>
  <w:style w:type="paragraph" w:styleId="1337" w:customStyle="1">
    <w:name w:val="表格文字"/>
    <w:basedOn w:val="1176"/>
    <w:uiPriority w:val="0"/>
    <w:qFormat/>
    <w:pPr>
      <w:ind w:firstLine="0"/>
      <w:spacing w:before="20" w:after="20" w:line="240" w:lineRule="auto"/>
    </w:pPr>
    <w:rPr>
      <w:rFonts w:ascii="Century Gothic" w:hAnsi="Century Gothic"/>
      <w:sz w:val="20"/>
      <w:szCs w:val="20"/>
    </w:rPr>
  </w:style>
  <w:style w:type="paragraph" w:styleId="1338" w:customStyle="1">
    <w:name w:val="Char Char Char Char Char Char Char Char Char Char1"/>
    <w:basedOn w:val="960"/>
    <w:uiPriority w:val="0"/>
    <w:qFormat/>
    <w:rPr>
      <w:rFonts w:ascii="宋体" w:hAnsi="宋体" w:cs="Courier New"/>
      <w:sz w:val="32"/>
      <w:szCs w:val="32"/>
    </w:rPr>
  </w:style>
  <w:style w:type="paragraph" w:styleId="1339" w:customStyle="1">
    <w:name w:val="正文文本样式 加粗"/>
    <w:basedOn w:val="1296"/>
    <w:uiPriority w:val="0"/>
    <w:qFormat/>
    <w:rPr>
      <w:b/>
    </w:rPr>
  </w:style>
  <w:style w:type="paragraph" w:styleId="1340" w:customStyle="1">
    <w:name w:val="Char2 Char Char Char Char Char Char"/>
    <w:basedOn w:val="960"/>
    <w:uiPriority w:val="0"/>
    <w:qFormat/>
    <w:pPr>
      <w:jc w:val="center"/>
      <w:spacing w:line="400" w:lineRule="exact"/>
      <w:widowControl/>
    </w:pPr>
  </w:style>
  <w:style w:type="paragraph" w:styleId="1341" w:customStyle="1">
    <w:name w:val="Char Char4"/>
    <w:basedOn w:val="960"/>
    <w:uiPriority w:val="0"/>
    <w:qFormat/>
    <w:pPr>
      <w:jc w:val="center"/>
      <w:spacing w:line="400" w:lineRule="exact"/>
      <w:widowControl/>
    </w:pPr>
  </w:style>
  <w:style w:type="paragraph" w:styleId="1342" w:customStyle="1">
    <w:name w:val="Char3 Char Char Char1"/>
    <w:basedOn w:val="960"/>
    <w:uiPriority w:val="0"/>
    <w:qFormat/>
    <w:rPr>
      <w:rFonts w:ascii="Tahoma" w:hAnsi="Tahoma"/>
      <w:sz w:val="24"/>
      <w:szCs w:val="20"/>
    </w:rPr>
  </w:style>
  <w:style w:type="paragraph" w:styleId="1343"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4" w:customStyle="1">
    <w:name w:val="22222222222222"/>
    <w:basedOn w:val="960"/>
    <w:uiPriority w:val="0"/>
    <w:qFormat/>
    <w:pPr>
      <w:ind w:firstLine="480"/>
      <w:jc w:val="left"/>
      <w:spacing w:line="360" w:lineRule="auto"/>
      <w:widowControl/>
    </w:pPr>
    <w:rPr>
      <w:color w:val="ff0000"/>
      <w:sz w:val="24"/>
      <w:szCs w:val="20"/>
    </w:rPr>
  </w:style>
  <w:style w:type="character" w:styleId="1345" w:customStyle="1">
    <w:name w:val="中等深浅网格 1 - 强调文字颜色 2 Char"/>
    <w:link w:val="1346"/>
    <w:uiPriority w:val="0"/>
    <w:qFormat/>
    <w:rPr>
      <w:sz w:val="21"/>
      <w:szCs w:val="24"/>
      <w:lang w:val="zh-CN" w:eastAsia="zh-CN" w:bidi="ar-SA"/>
    </w:rPr>
  </w:style>
  <w:style w:type="paragraph" w:styleId="1346" w:customStyle="1">
    <w:name w:val="1"/>
    <w:link w:val="1345"/>
    <w:uiPriority w:val="0"/>
    <w:qFormat/>
    <w:rPr>
      <w:rFonts w:hint="default" w:ascii="Times New Roman" w:hAnsi="Times New Roman" w:eastAsia="宋体" w:cs="Times New Roman"/>
      <w:sz w:val="21"/>
      <w:szCs w:val="24"/>
      <w:lang w:val="zh-CN" w:eastAsia="zh-CN" w:bidi="ar-SA"/>
    </w:rPr>
  </w:style>
  <w:style w:type="paragraph" w:styleId="1347" w:customStyle="1">
    <w:name w:val="图文"/>
    <w:basedOn w:val="960"/>
    <w:uiPriority w:val="0"/>
    <w:qFormat/>
    <w:pPr>
      <w:spacing w:after="50" w:line="360" w:lineRule="auto"/>
    </w:pPr>
    <w:rPr>
      <w:sz w:val="24"/>
    </w:rPr>
  </w:style>
  <w:style w:type="paragraph" w:styleId="1348" w:customStyle="1">
    <w:name w:val="xl23"/>
    <w:basedOn w:val="960"/>
    <w:uiPriority w:val="0"/>
    <w:qFormat/>
    <w:pPr>
      <w:spacing w:before="100" w:beforeAutospacing="1" w:after="100" w:afterAutospacing="1" w:line="360" w:lineRule="auto"/>
      <w:widowControl/>
    </w:pPr>
    <w:rPr>
      <w:sz w:val="24"/>
      <w:szCs w:val="20"/>
    </w:rPr>
  </w:style>
  <w:style w:type="paragraph" w:styleId="1349" w:customStyle="1">
    <w:name w:val="正文表格"/>
    <w:basedOn w:val="960"/>
    <w:link w:val="1350"/>
    <w:uiPriority w:val="0"/>
    <w:qFormat/>
    <w:pPr>
      <w:jc w:val="left"/>
    </w:pPr>
    <w:rPr>
      <w:rFonts w:ascii="宋体" w:hAnsi="宋体"/>
      <w:color w:val="000000"/>
      <w:szCs w:val="21"/>
    </w:rPr>
  </w:style>
  <w:style w:type="character" w:styleId="1350" w:customStyle="1">
    <w:name w:val="正文表格 Char"/>
    <w:link w:val="1349"/>
    <w:uiPriority w:val="0"/>
    <w:qFormat/>
    <w:rPr>
      <w:rFonts w:ascii="宋体" w:hAnsi="宋体"/>
      <w:color w:val="000000"/>
      <w:sz w:val="21"/>
      <w:szCs w:val="21"/>
    </w:rPr>
  </w:style>
  <w:style w:type="paragraph" w:styleId="1351" w:customStyle="1">
    <w:name w:val="正文重点"/>
    <w:basedOn w:val="960"/>
    <w:link w:val="1352"/>
    <w:uiPriority w:val="0"/>
    <w:qFormat/>
    <w:pPr>
      <w:ind w:firstLine="482"/>
      <w:jc w:val="left"/>
      <w:spacing w:line="360" w:lineRule="auto"/>
    </w:pPr>
    <w:rPr>
      <w:b/>
      <w:sz w:val="24"/>
      <w:szCs w:val="20"/>
    </w:rPr>
  </w:style>
  <w:style w:type="character" w:styleId="1352" w:customStyle="1">
    <w:name w:val="正文重点 Char"/>
    <w:link w:val="1351"/>
    <w:uiPriority w:val="0"/>
    <w:qFormat/>
    <w:rPr>
      <w:b/>
      <w:sz w:val="24"/>
    </w:rPr>
  </w:style>
  <w:style w:type="paragraph" w:styleId="1353" w:customStyle="1">
    <w:name w:val="标题1-附件"/>
    <w:basedOn w:val="1144"/>
    <w:uiPriority w:val="0"/>
    <w:qFormat/>
    <w:pPr>
      <w:jc w:val="left"/>
    </w:pPr>
    <w:rPr>
      <w:sz w:val="24"/>
      <w:szCs w:val="24"/>
    </w:rPr>
  </w:style>
  <w:style w:type="paragraph" w:styleId="1354" w:customStyle="1">
    <w:name w:val="正文小标题"/>
    <w:basedOn w:val="960"/>
    <w:next w:val="1146"/>
    <w:link w:val="1355"/>
    <w:uiPriority w:val="0"/>
    <w:qFormat/>
    <w:pPr>
      <w:ind w:firstLine="482"/>
      <w:jc w:val="left"/>
      <w:spacing w:before="312" w:after="312"/>
    </w:pPr>
    <w:rPr>
      <w:rFonts w:ascii="宋体" w:hAnsi="宋体"/>
      <w:b/>
      <w:i/>
      <w:color w:val="ff0000"/>
      <w:sz w:val="24"/>
      <w:szCs w:val="20"/>
    </w:rPr>
  </w:style>
  <w:style w:type="character" w:styleId="1355" w:customStyle="1">
    <w:name w:val="正文小标题 Char"/>
    <w:link w:val="1354"/>
    <w:uiPriority w:val="0"/>
    <w:qFormat/>
    <w:rPr>
      <w:rFonts w:ascii="宋体" w:hAnsi="宋体"/>
      <w:b/>
      <w:i/>
      <w:color w:val="ff0000"/>
      <w:sz w:val="24"/>
    </w:rPr>
  </w:style>
  <w:style w:type="paragraph" w:styleId="1356" w:customStyle="1">
    <w:name w:val="正文大标题"/>
    <w:basedOn w:val="1354"/>
    <w:next w:val="1146"/>
    <w:link w:val="1357"/>
    <w:uiPriority w:val="0"/>
    <w:qFormat/>
    <w:pPr>
      <w:jc w:val="center"/>
    </w:pPr>
    <w:rPr>
      <w:i w:val="0"/>
      <w:color w:val="000000"/>
      <w:sz w:val="28"/>
      <w:szCs w:val="21"/>
    </w:rPr>
  </w:style>
  <w:style w:type="character" w:styleId="1357" w:customStyle="1">
    <w:name w:val="正文大标题 Char"/>
    <w:link w:val="1356"/>
    <w:uiPriority w:val="0"/>
    <w:qFormat/>
    <w:rPr>
      <w:rFonts w:ascii="宋体" w:hAnsi="宋体"/>
      <w:b/>
      <w:color w:val="000000"/>
      <w:sz w:val="28"/>
      <w:szCs w:val="21"/>
    </w:rPr>
  </w:style>
  <w:style w:type="paragraph" w:styleId="1358" w:customStyle="1">
    <w:name w:val="注释"/>
    <w:basedOn w:val="960"/>
    <w:link w:val="1359"/>
    <w:uiPriority w:val="0"/>
    <w:qFormat/>
    <w:pPr>
      <w:ind w:left="420" w:hanging="420"/>
      <w:jc w:val="left"/>
    </w:pPr>
    <w:rPr>
      <w:rFonts w:ascii="宋体" w:hAnsi="宋体"/>
      <w:szCs w:val="21"/>
    </w:rPr>
  </w:style>
  <w:style w:type="character" w:styleId="1359" w:customStyle="1">
    <w:name w:val="注释 Char"/>
    <w:link w:val="1358"/>
    <w:uiPriority w:val="0"/>
    <w:qFormat/>
    <w:rPr>
      <w:rFonts w:ascii="宋体" w:hAnsi="宋体"/>
      <w:sz w:val="21"/>
      <w:szCs w:val="21"/>
    </w:rPr>
  </w:style>
  <w:style w:type="paragraph" w:styleId="1360" w:customStyle="1">
    <w:name w:val="正文须知-1级"/>
    <w:basedOn w:val="960"/>
    <w:next w:val="960"/>
    <w:uiPriority w:val="0"/>
    <w:qFormat/>
    <w:pPr>
      <w:numPr>
        <w:ilvl w:val="0"/>
        <w:numId w:val="7"/>
      </w:numPr>
      <w:spacing w:line="300" w:lineRule="auto"/>
    </w:pPr>
    <w:rPr>
      <w:rFonts w:ascii="宋体" w:hAnsi="Calibri"/>
      <w:sz w:val="24"/>
      <w:szCs w:val="21"/>
    </w:rPr>
  </w:style>
  <w:style w:type="paragraph" w:styleId="1361" w:customStyle="1">
    <w:name w:val="正文须知-2级"/>
    <w:basedOn w:val="960"/>
    <w:uiPriority w:val="0"/>
    <w:qFormat/>
    <w:pPr>
      <w:numPr>
        <w:ilvl w:val="1"/>
        <w:numId w:val="7"/>
      </w:numPr>
      <w:spacing w:line="300" w:lineRule="auto"/>
    </w:pPr>
    <w:rPr>
      <w:rFonts w:ascii="宋体" w:hAnsi="Calibri"/>
      <w:sz w:val="24"/>
      <w:szCs w:val="21"/>
    </w:rPr>
  </w:style>
  <w:style w:type="paragraph" w:styleId="1362" w:customStyle="1">
    <w:name w:val="正文须知-3级"/>
    <w:basedOn w:val="960"/>
    <w:uiPriority w:val="0"/>
    <w:qFormat/>
    <w:pPr>
      <w:numPr>
        <w:ilvl w:val="2"/>
        <w:numId w:val="7"/>
      </w:numPr>
      <w:ind w:hanging="355"/>
      <w:spacing w:line="300" w:lineRule="auto"/>
    </w:pPr>
    <w:rPr>
      <w:rFonts w:ascii="宋体" w:hAnsi="Calibri"/>
      <w:sz w:val="24"/>
      <w:szCs w:val="21"/>
    </w:rPr>
  </w:style>
  <w:style w:type="character" w:styleId="1363" w:customStyle="1">
    <w:name w:val="纯文本 字符"/>
    <w:link w:val="960"/>
    <w:uiPriority w:val="99"/>
    <w:qFormat/>
    <w:rPr>
      <w:rFonts w:ascii="宋体" w:hAnsi="Courier New" w:eastAsia="宋体" w:cs="Times New Roman"/>
      <w:sz w:val="21"/>
      <w:szCs w:val="21"/>
      <w:lang w:val="en-US" w:eastAsia="zh-CN" w:bidi="ar-SA"/>
    </w:rPr>
  </w:style>
  <w:style w:type="paragraph" w:styleId="1364" w:customStyle="1">
    <w:name w:val="表格1"/>
    <w:basedOn w:val="960"/>
    <w:uiPriority w:val="0"/>
    <w:qFormat/>
    <w:pPr>
      <w:ind w:firstLine="480"/>
      <w:jc w:val="center"/>
    </w:pPr>
    <w:rPr>
      <w:sz w:val="24"/>
      <w:szCs w:val="20"/>
    </w:rPr>
  </w:style>
  <w:style w:type="character" w:styleId="1365" w:customStyle="1">
    <w:name w:val="纯文本 字符1"/>
    <w:link w:val="960"/>
    <w:uiPriority w:val="0"/>
    <w:qFormat/>
    <w:rPr>
      <w:rFonts w:ascii="宋体" w:hAnsi="Courier New"/>
    </w:rPr>
  </w:style>
  <w:style w:type="character" w:styleId="1366" w:customStyle="1">
    <w:name w:val="bjh-p"/>
    <w:link w:val="960"/>
    <w:uiPriority w:val="0"/>
    <w:qFormat/>
  </w:style>
  <w:style w:type="paragraph" w:styleId="1367" w:customStyle="1">
    <w:name w:val="无标题条"/>
    <w:next w:val="960"/>
    <w:uiPriority w:val="0"/>
    <w:qFormat/>
    <w:pPr>
      <w:jc w:val="both"/>
    </w:pPr>
    <w:rPr>
      <w:rFonts w:hint="default" w:ascii="Times New Roman" w:hAnsi="Times New Roman" w:eastAsia="宋体" w:cs="Times New Roman"/>
      <w:sz w:val="21"/>
      <w:lang w:val="en-US" w:eastAsia="zh-CN" w:bidi="ar-SA"/>
    </w:rPr>
  </w:style>
  <w:style w:type="character" w:styleId="1368" w:customStyle="1">
    <w:name w:val="正文格式 Char"/>
    <w:link w:val="1369"/>
    <w:uiPriority w:val="0"/>
    <w:qFormat/>
    <w:rPr>
      <w:rFonts w:ascii="宋体" w:hAnsi="宋体"/>
      <w:sz w:val="24"/>
      <w:szCs w:val="24"/>
      <w:lang w:val="en-GB"/>
    </w:rPr>
  </w:style>
  <w:style w:type="paragraph" w:styleId="1369" w:customStyle="1">
    <w:name w:val="正文格式"/>
    <w:basedOn w:val="960"/>
    <w:link w:val="1368"/>
    <w:uiPriority w:val="0"/>
    <w:qFormat/>
    <w:pPr>
      <w:ind w:firstLine="480"/>
      <w:spacing w:line="360" w:lineRule="auto"/>
    </w:pPr>
    <w:rPr>
      <w:rFonts w:ascii="宋体" w:hAnsi="宋体"/>
      <w:sz w:val="24"/>
      <w:lang w:val="en-GB"/>
    </w:rPr>
  </w:style>
  <w:style w:type="character" w:styleId="1370" w:customStyle="1">
    <w:name w:val="标题 3 Char"/>
    <w:link w:val="960"/>
    <w:uiPriority w:val="0"/>
    <w:qFormat/>
    <w:rPr>
      <w:rFonts w:ascii="宋体" w:eastAsia="宋体"/>
      <w:b/>
      <w:sz w:val="24"/>
      <w:u w:val="single"/>
      <w:lang w:val="en-US" w:eastAsia="zh-CN" w:bidi="ar-SA"/>
    </w:rPr>
  </w:style>
  <w:style w:type="character" w:styleId="1371" w:customStyle="1">
    <w:name w:val="Char Char111"/>
    <w:link w:val="960"/>
    <w:uiPriority w:val="0"/>
    <w:qFormat/>
    <w:rPr>
      <w:rFonts w:ascii="宋体" w:eastAsia="宋体"/>
      <w:b/>
      <w:sz w:val="24"/>
      <w:u w:val="single"/>
      <w:lang w:val="en-US" w:eastAsia="zh-CN" w:bidi="ar-SA"/>
    </w:rPr>
  </w:style>
  <w:style w:type="character" w:styleId="1372" w:customStyle="1">
    <w:name w:val="正文文本缩进 Char"/>
    <w:link w:val="960"/>
    <w:uiPriority w:val="0"/>
    <w:qFormat/>
    <w:rPr>
      <w:rFonts w:eastAsia="宋体"/>
      <w:sz w:val="24"/>
      <w:szCs w:val="24"/>
      <w:lang w:val="en-US" w:eastAsia="zh-CN" w:bidi="ar-SA"/>
    </w:rPr>
  </w:style>
  <w:style w:type="character" w:styleId="1373" w:customStyle="1">
    <w:name w:val="列出段落 Char"/>
    <w:link w:val="960"/>
    <w:uiPriority w:val="0"/>
    <w:qFormat/>
    <w:rPr>
      <w:rFonts w:ascii="Calibri" w:hAnsi="Calibri" w:eastAsia="宋体"/>
      <w:sz w:val="21"/>
      <w:szCs w:val="22"/>
      <w:lang w:val="en-US" w:eastAsia="zh-CN" w:bidi="ar-SA"/>
    </w:rPr>
  </w:style>
  <w:style w:type="character" w:styleId="1374" w:customStyle="1">
    <w:name w:val="页眉 Char"/>
    <w:link w:val="960"/>
    <w:uiPriority w:val="0"/>
    <w:qFormat/>
    <w:rPr>
      <w:rFonts w:eastAsia="宋体"/>
      <w:sz w:val="18"/>
      <w:szCs w:val="18"/>
      <w:lang w:val="en-US" w:eastAsia="zh-CN" w:bidi="ar-SA"/>
    </w:rPr>
  </w:style>
  <w:style w:type="character" w:styleId="1375" w:customStyle="1">
    <w:name w:val="标题 2 Char"/>
    <w:link w:val="960"/>
    <w:uiPriority w:val="0"/>
    <w:qFormat/>
    <w:rPr>
      <w:rFonts w:ascii="Arial" w:hAnsi="Arial" w:eastAsia="黑体"/>
      <w:b/>
      <w:sz w:val="30"/>
      <w:lang w:val="en-US" w:eastAsia="zh-CN" w:bidi="ar-SA"/>
    </w:rPr>
  </w:style>
  <w:style w:type="paragraph" w:styleId="1376" w:customStyle="1">
    <w:name w:val="字元 字元2"/>
    <w:basedOn w:val="960"/>
    <w:uiPriority w:val="0"/>
    <w:qFormat/>
    <w:rPr>
      <w:rFonts w:ascii="Tahoma" w:hAnsi="Tahoma"/>
      <w:sz w:val="24"/>
      <w:szCs w:val="20"/>
    </w:rPr>
  </w:style>
  <w:style w:type="paragraph" w:styleId="1377" w:customStyle="1">
    <w:name w:val="Char3 Char Char Char2"/>
    <w:basedOn w:val="960"/>
    <w:uiPriority w:val="0"/>
    <w:qFormat/>
    <w:rPr>
      <w:rFonts w:ascii="Tahoma" w:hAnsi="Tahoma"/>
      <w:sz w:val="24"/>
      <w:szCs w:val="20"/>
    </w:rPr>
  </w:style>
  <w:style w:type="paragraph" w:styleId="1378" w:customStyle="1">
    <w:name w:val="正文文本缩进2"/>
    <w:basedOn w:val="960"/>
    <w:uiPriority w:val="0"/>
    <w:qFormat/>
    <w:pPr>
      <w:ind w:firstLine="480"/>
      <w:spacing w:line="480" w:lineRule="exact"/>
    </w:pPr>
    <w:rPr>
      <w:rFonts w:ascii="宋体" w:hAnsi="宋体"/>
      <w:sz w:val="24"/>
      <w:lang w:val="zh-CN" w:eastAsia="zh-CN"/>
    </w:rPr>
  </w:style>
  <w:style w:type="paragraph" w:styleId="1379" w:customStyle="1">
    <w:name w:val="Char3"/>
    <w:basedOn w:val="960"/>
    <w:uiPriority w:val="0"/>
    <w:qFormat/>
    <w:pPr>
      <w:tabs>
        <w:tab w:val="left" w:pos="360" w:leader="none"/>
      </w:tabs>
    </w:pPr>
    <w:rPr>
      <w:sz w:val="24"/>
    </w:rPr>
  </w:style>
  <w:style w:type="paragraph" w:styleId="1380" w:customStyle="1">
    <w:name w:val="Char Char Char Char Char Char Char Char Char Char Char Char Char Char Char Char1"/>
    <w:basedOn w:val="960"/>
    <w:uiPriority w:val="0"/>
    <w:qFormat/>
    <w:pPr>
      <w:jc w:val="center"/>
      <w:spacing w:after="160" w:line="240" w:lineRule="exact"/>
      <w:widowControl/>
    </w:pPr>
    <w:rPr>
      <w:rFonts w:ascii="宋体" w:hAnsi="宋体"/>
      <w:b/>
      <w:sz w:val="30"/>
      <w:szCs w:val="30"/>
      <w:lang w:eastAsia="en-US"/>
    </w:rPr>
  </w:style>
  <w:style w:type="paragraph" w:styleId="1381" w:customStyle="1">
    <w:name w:val="Char Char1 Char Char Char Char Char Char1"/>
    <w:basedOn w:val="960"/>
    <w:uiPriority w:val="0"/>
    <w:qFormat/>
    <w:pPr>
      <w:jc w:val="left"/>
      <w:spacing w:after="160" w:line="240" w:lineRule="exact"/>
      <w:widowControl/>
    </w:pPr>
    <w:rPr>
      <w:rFonts w:ascii="Verdana" w:hAnsi="Verdana" w:eastAsia="仿宋_GB2312"/>
      <w:sz w:val="24"/>
      <w:szCs w:val="20"/>
      <w:lang w:eastAsia="en-US"/>
    </w:rPr>
  </w:style>
  <w:style w:type="paragraph" w:styleId="1382" w:customStyle="1">
    <w:name w:val="列出段落2"/>
    <w:basedOn w:val="960"/>
    <w:uiPriority w:val="0"/>
    <w:qFormat/>
    <w:pPr>
      <w:ind w:firstLine="420"/>
    </w:pPr>
    <w:rPr>
      <w:rFonts w:ascii="Calibri" w:hAnsi="Calibri"/>
      <w:szCs w:val="22"/>
    </w:rPr>
  </w:style>
  <w:style w:type="paragraph" w:styleId="1383" w:customStyle="1">
    <w:name w:val="Char Char Char1 Char2"/>
    <w:basedOn w:val="960"/>
    <w:uiPriority w:val="0"/>
    <w:qFormat/>
    <w:rPr>
      <w:rFonts w:ascii="Tahoma" w:hAnsi="Tahoma"/>
      <w:sz w:val="24"/>
      <w:szCs w:val="20"/>
    </w:rPr>
  </w:style>
  <w:style w:type="paragraph" w:styleId="1384" w:customStyle="1">
    <w:name w:val="Char Char Char2"/>
    <w:basedOn w:val="960"/>
    <w:uiPriority w:val="0"/>
    <w:qFormat/>
    <w:rPr>
      <w:rFonts w:ascii="Tahoma" w:hAnsi="Tahoma"/>
      <w:sz w:val="24"/>
      <w:szCs w:val="20"/>
    </w:rPr>
  </w:style>
  <w:style w:type="paragraph" w:styleId="1385" w:customStyle="1">
    <w:name w:val="Char Char Char Char Char Char Char2"/>
    <w:basedOn w:val="960"/>
    <w:uiPriority w:val="0"/>
    <w:qFormat/>
    <w:pPr>
      <w:ind w:firstLine="200"/>
      <w:spacing w:line="360" w:lineRule="auto"/>
    </w:pPr>
    <w:rPr>
      <w:rFonts w:eastAsia="仿宋_GB2312"/>
      <w:sz w:val="24"/>
    </w:rPr>
  </w:style>
  <w:style w:type="paragraph" w:styleId="1386" w:customStyle="1">
    <w:name w:val="正文缩进2"/>
    <w:basedOn w:val="960"/>
    <w:uiPriority w:val="0"/>
    <w:qFormat/>
    <w:pPr>
      <w:ind w:firstLine="567"/>
      <w:spacing w:line="480" w:lineRule="exact"/>
      <w:widowControl/>
    </w:pPr>
    <w:rPr>
      <w:rFonts w:ascii="宋体"/>
      <w:color w:val="000000"/>
      <w:sz w:val="28"/>
      <w:szCs w:val="20"/>
      <w:lang w:val="zh-CN" w:eastAsia="zh-CN"/>
    </w:rPr>
  </w:style>
  <w:style w:type="paragraph" w:styleId="1387" w:customStyle="1">
    <w:name w:val="Revision"/>
    <w:uiPriority w:val="0"/>
    <w:qFormat/>
    <w:rPr>
      <w:rFonts w:hint="default" w:ascii="Times New Roman" w:hAnsi="Times New Roman" w:eastAsia="宋体" w:cs="Times New Roman"/>
      <w:sz w:val="21"/>
      <w:szCs w:val="24"/>
      <w:lang w:val="en-US" w:eastAsia="zh-CN" w:bidi="ar-SA"/>
    </w:rPr>
  </w:style>
  <w:style w:type="paragraph" w:styleId="1388" w:customStyle="1">
    <w:name w:val="Char22"/>
    <w:basedOn w:val="960"/>
    <w:uiPriority w:val="0"/>
    <w:qFormat/>
    <w:rPr>
      <w:rFonts w:ascii="Tahoma" w:hAnsi="Tahoma"/>
      <w:sz w:val="24"/>
      <w:szCs w:val="20"/>
    </w:rPr>
  </w:style>
  <w:style w:type="paragraph" w:styleId="1389" w:customStyle="1">
    <w:name w:val="Char Char Char Char Char Char Char Char Char Char2"/>
    <w:basedOn w:val="960"/>
    <w:uiPriority w:val="0"/>
    <w:qFormat/>
    <w:rPr>
      <w:rFonts w:ascii="宋体" w:hAnsi="宋体" w:cs="Courier New"/>
      <w:sz w:val="32"/>
      <w:szCs w:val="32"/>
    </w:rPr>
  </w:style>
  <w:style w:type="paragraph" w:styleId="1390" w:customStyle="1">
    <w:name w:val="Char2 Char Char Char Char Char Char1"/>
    <w:basedOn w:val="960"/>
    <w:uiPriority w:val="0"/>
    <w:qFormat/>
    <w:pPr>
      <w:jc w:val="center"/>
      <w:spacing w:line="400" w:lineRule="exact"/>
      <w:widowControl/>
    </w:pPr>
  </w:style>
  <w:style w:type="character" w:styleId="1391" w:customStyle="1">
    <w:name w:val="页脚 Char"/>
    <w:link w:val="960"/>
    <w:uiPriority w:val="0"/>
    <w:qFormat/>
    <w:rPr>
      <w:rFonts w:ascii="宋体" w:eastAsia="宋体"/>
      <w:sz w:val="18"/>
      <w:lang w:val="en-US" w:eastAsia="zh-CN" w:bidi="ar-SA"/>
    </w:rPr>
  </w:style>
  <w:style w:type="paragraph" w:styleId="1392" w:customStyle="1">
    <w:name w:val="Char Char41"/>
    <w:basedOn w:val="960"/>
    <w:uiPriority w:val="0"/>
    <w:qFormat/>
    <w:pPr>
      <w:jc w:val="center"/>
      <w:spacing w:line="400" w:lineRule="exact"/>
      <w:widowControl/>
    </w:pPr>
  </w:style>
  <w:style w:type="character" w:styleId="1393" w:customStyle="1">
    <w:name w:val="批注文字 Char"/>
    <w:link w:val="960"/>
    <w:uiPriority w:val="99"/>
    <w:qFormat/>
    <w:rPr>
      <w:sz w:val="21"/>
      <w:szCs w:val="24"/>
    </w:rPr>
  </w:style>
  <w:style w:type="character" w:styleId="1394" w:customStyle="1">
    <w:name w:val="标题 Char"/>
    <w:link w:val="960"/>
    <w:uiPriority w:val="0"/>
    <w:qFormat/>
    <w:rPr>
      <w:b/>
      <w:sz w:val="32"/>
    </w:rPr>
  </w:style>
  <w:style w:type="paragraph" w:styleId="1395" w:customStyle="1">
    <w:name w:val="图例"/>
    <w:basedOn w:val="960"/>
    <w:uiPriority w:val="0"/>
    <w:qFormat/>
    <w:pPr>
      <w:jc w:val="center"/>
      <w:spacing w:before="120" w:after="120" w:line="360" w:lineRule="auto"/>
    </w:pPr>
    <w:rPr>
      <w:rFonts w:eastAsia="仿宋_GB2312"/>
      <w:b/>
      <w:sz w:val="24"/>
      <w:szCs w:val="20"/>
    </w:rPr>
  </w:style>
  <w:style w:type="table" w:styleId="1396" w:customStyle="1">
    <w:name w:val="Table Normal"/>
    <w:uiPriority w:val="2"/>
    <w:unhideWhenUsed/>
    <w:qFormat/>
    <w:pPr>
      <w:widowControl w:val="off"/>
    </w:pPr>
    <w:rPr>
      <w:rFonts w:ascii="Calibri" w:hAnsi="Calibri"/>
      <w:sz w:val="22"/>
      <w:szCs w:val="22"/>
      <w:lang w:val="en-US" w:eastAsia="en-US" w:bidi="ar-SA"/>
    </w:rPr>
    <w:tblPr/>
  </w:style>
  <w:style w:type="paragraph" w:styleId="1397" w:customStyle="1">
    <w:name w:val="Table Paragraph"/>
    <w:basedOn w:val="960"/>
    <w:uiPriority w:val="1"/>
    <w:qFormat/>
    <w:pPr>
      <w:jc w:val="left"/>
    </w:pPr>
    <w:rPr>
      <w:rFonts w:ascii="宋体" w:hAnsi="宋体" w:cs="宋体"/>
      <w:sz w:val="22"/>
      <w:szCs w:val="22"/>
      <w:lang w:eastAsia="en-US"/>
    </w:rPr>
  </w:style>
  <w:style w:type="paragraph" w:styleId="1398" w:customStyle="1">
    <w:name w:val="成文日期"/>
    <w:basedOn w:val="960"/>
    <w:link w:val="1399"/>
    <w:uiPriority w:val="0"/>
    <w:qFormat/>
    <w:pPr>
      <w:ind w:right="400" w:firstLine="200"/>
      <w:jc w:val="right"/>
      <w:spacing w:line="570" w:lineRule="exact"/>
    </w:pPr>
    <w:rPr>
      <w:rFonts w:ascii="仿宋_GB2312" w:eastAsia="仿宋_GB2312"/>
      <w:sz w:val="32"/>
      <w:szCs w:val="20"/>
    </w:rPr>
  </w:style>
  <w:style w:type="character" w:styleId="1399" w:customStyle="1">
    <w:name w:val="成文日期 Char"/>
    <w:link w:val="1398"/>
    <w:uiPriority w:val="0"/>
    <w:qFormat/>
    <w:rPr>
      <w:rFonts w:ascii="仿宋_GB2312" w:eastAsia="仿宋_GB2312"/>
      <w:sz w:val="32"/>
    </w:rPr>
  </w:style>
  <w:style w:type="paragraph" w:styleId="1400" w:customStyle="1">
    <w:name w:val="修订"/>
    <w:uiPriority w:val="99"/>
    <w:unhideWhenUsed/>
    <w:qFormat/>
    <w:rPr>
      <w:rFonts w:hint="default" w:ascii="Times New Roman" w:hAnsi="Times New Roman" w:eastAsia="宋体" w:cs="Times New Roman"/>
      <w:sz w:val="21"/>
      <w:szCs w:val="24"/>
      <w:lang w:val="en-US" w:eastAsia="zh-CN" w:bidi="ar-SA"/>
    </w:rPr>
  </w:style>
  <w:style w:type="character" w:styleId="1401" w:customStyle="1">
    <w:name w:val="15"/>
    <w:link w:val="960"/>
    <w:uiPriority w:val="0"/>
    <w:qFormat/>
    <w:rPr>
      <w:sz w:val="21"/>
      <w:szCs w:val="24"/>
      <w:lang w:val="en-US" w:eastAsia="zh-CN" w:bidi="ar-SA"/>
    </w:rPr>
  </w:style>
  <w:style w:type="paragraph" w:styleId="1402" w:customStyle="1">
    <w:name w:val="列表段落"/>
    <w:basedOn w:val="960"/>
    <w:uiPriority w:val="34"/>
    <w:qFormat/>
    <w:pPr>
      <w:contextualSpacing/>
      <w:ind w:left="720"/>
      <w:jc w:val="left"/>
      <w:widowControl/>
    </w:pPr>
    <w:rPr>
      <w:rFonts w:ascii="Calibri" w:hAnsi="Calibri"/>
      <w:sz w:val="24"/>
      <w:szCs w:val="24"/>
      <w:lang w:eastAsia="en-US" w:bidi="en-US"/>
    </w:rPr>
  </w:style>
  <w:style w:type="character" w:styleId="1403" w:customStyle="1">
    <w:name w:val="font01"/>
    <w:link w:val="960"/>
    <w:uiPriority w:val="0"/>
    <w:qFormat/>
    <w:rPr>
      <w:rFonts w:hint="eastAsia" w:ascii="宋体" w:hAnsi="宋体" w:eastAsia="宋体" w:cs="宋体"/>
      <w:color w:val="000000"/>
      <w:sz w:val="24"/>
      <w:szCs w:val="24"/>
      <w:u w:val="none"/>
    </w:rPr>
  </w:style>
  <w:style w:type="character" w:styleId="1404" w:customStyle="1">
    <w:name w:val="font51"/>
    <w:link w:val="960"/>
    <w:uiPriority w:val="0"/>
    <w:qFormat/>
    <w:rPr>
      <w:rFonts w:hint="eastAsia" w:ascii="宋体" w:hAnsi="宋体" w:eastAsia="宋体" w:cs="宋体"/>
      <w:color w:val="ff0000"/>
      <w:sz w:val="24"/>
      <w:szCs w:val="24"/>
      <w:u w:val="none"/>
    </w:rPr>
  </w:style>
  <w:style w:type="paragraph" w:styleId="1405" w:customStyle="1">
    <w:name w:val="首行缩进"/>
    <w:uiPriority w:val="0"/>
    <w:qFormat/>
    <w:pPr>
      <w:ind w:firstLine="480"/>
      <w:jc w:val="both"/>
      <w:widowControl w:val="off"/>
    </w:pPr>
    <w:rPr>
      <w:rFonts w:hint="default" w:ascii="Times New Roman" w:hAnsi="Times New Roman" w:eastAsia="宋体" w:cs="Times New Roman"/>
      <w:sz w:val="21"/>
      <w:szCs w:val="24"/>
      <w:lang w:val="zh-CN" w:eastAsia="zh-CN" w:bidi="ar-SA"/>
    </w:rPr>
  </w:style>
  <w:style w:type="character" w:styleId="1406" w:customStyle="1">
    <w:name w:val="font21"/>
    <w:basedOn w:val="970"/>
    <w:uiPriority w:val="0"/>
    <w:qFormat/>
    <w:rPr>
      <w:rFonts w:hint="eastAsia" w:ascii="宋体" w:hAnsi="宋体" w:eastAsia="宋体" w:cs="宋体"/>
      <w:color w:val="000000"/>
      <w:sz w:val="20"/>
      <w:szCs w:val="20"/>
      <w:u w:val="none"/>
    </w:rPr>
  </w:style>
  <w:style w:type="character" w:styleId="1407" w:customStyle="1">
    <w:name w:val="font31"/>
    <w:basedOn w:val="970"/>
    <w:uiPriority w:val="0"/>
    <w:qFormat/>
    <w:rPr>
      <w:rFonts w:hint="eastAsia" w:ascii="宋体" w:hAnsi="宋体" w:eastAsia="宋体" w:cs="宋体"/>
      <w:b/>
      <w:bCs/>
      <w:color w:val="000000"/>
      <w:sz w:val="20"/>
      <w:szCs w:val="20"/>
      <w:u w:val="none"/>
    </w:rPr>
  </w:style>
  <w:style w:type="table" w:styleId="1408" w:customStyle="1">
    <w:name w:val="Grid Table Light"/>
    <w:uiPriority w:val="40"/>
    <w:qFormat/>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numbering" w:styleId="14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customXml" Target="../customXml/item1.xml" /><Relationship Id="rId2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赵工</cp:lastModifiedBy>
  <cp:revision>9</cp:revision>
  <dcterms:created xsi:type="dcterms:W3CDTF">2022-05-30T08:08:00Z</dcterms:created>
  <dcterms:modified xsi:type="dcterms:W3CDTF">2026-11-03T02:55:23Z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B35C63264F4C42EF90CE9184AC936C43_13</vt:lpwstr>
  </property>
  <property fmtid="{D5CDD505-2E9C-101B-9397-08002B2CF9AE}" pid="4" name="KSOTemplateDocerSaveRecord">
    <vt:lpwstr>eyJoZGlkIjoiNDdlMDJkMWY0NzMwOTMyNjM3YWM1MjE4YWZjMjliZmIiLCJ1c2VySWQiOiI2NjQwNzgxODEifQ==</vt:lpwstr>
  </property>
</Properties>
</file>