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72"/>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（电子招投标）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项目编号：JSZC-321100-JZCG-G2024-0048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32"/>
        </w:rPr>
        <w:t xml:space="preserve">项目名称</w:t>
      </w:r>
      <w:r>
        <w:rPr>
          <w:rFonts w:ascii="SimSun" w:hAnsi="SimSun" w:eastAsia="SimSun" w:cs="SimSun"/>
          <w:color w:val="000000"/>
          <w:sz w:val="32"/>
        </w:rPr>
        <w:t xml:space="preserve">：</w:t>
      </w:r>
      <w:r>
        <w:rPr>
          <w:rFonts w:ascii="SimSun" w:hAnsi="SimSun" w:eastAsia="SimSun" w:cs="SimSun"/>
          <w:b/>
          <w:color w:val="000000"/>
          <w:sz w:val="32"/>
          <w:highlight w:val="white"/>
        </w:rPr>
        <w:t xml:space="preserve">镇江市社银数据共享应用法律风控平台项目（采购包</w:t>
      </w:r>
      <w:r>
        <w:rPr>
          <w:rFonts w:ascii="SimSun" w:hAnsi="SimSun" w:eastAsia="SimSun" w:cs="SimSun"/>
          <w:b/>
          <w:color w:val="000000"/>
          <w:sz w:val="28"/>
          <w:highlight w:val="white"/>
        </w:rPr>
        <w:t xml:space="preserve">1、2）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b/>
          <w:color w:val="000000"/>
          <w:sz w:val="32"/>
        </w:rPr>
        <w:t xml:space="preserve"> 镇江市公共资源交易中心   </w:t>
      </w:r>
      <w:r/>
    </w:p>
    <w:p>
      <w:pPr>
        <w:ind w:left="0" w:right="0" w:firstLine="353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2024年7月18日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16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投标邀请                 3-5</w:t>
      </w:r>
      <w:r/>
    </w:p>
    <w:p>
      <w:pPr>
        <w:ind w:left="0" w:right="0" w:firstLine="16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       投标人须知             6-22</w:t>
      </w:r>
      <w:r/>
    </w:p>
    <w:p>
      <w:pPr>
        <w:ind w:left="0" w:right="0" w:firstLine="16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合同                23-36</w:t>
      </w:r>
      <w:r/>
    </w:p>
    <w:p>
      <w:pPr>
        <w:ind w:left="0" w:right="0" w:firstLine="16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第四部分      采购需求               37-84</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第五部分    投标文件（格式）          85-143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投标邀请</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镇江市社银数据共享应用法律风控平台项目</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2024年8月9日9点30分</w:t>
      </w:r>
      <w:r>
        <w:rPr>
          <w:rFonts w:ascii="SimSun" w:hAnsi="SimSun" w:eastAsia="SimSun" w:cs="SimSun"/>
          <w:color w:val="000000"/>
          <w:sz w:val="24"/>
        </w:rPr>
        <w:t xml:space="preserve">（北京时间）前按要求递交投标文件。</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项目编号：JSZC-321100-JZCG-G2024-0048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项目名称：镇江市社银数据共享应用法律风控平台项目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预算金额：1500000.00元（采购包1预算850000.00元，采购包2预算650000.00元）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b/>
          <w:color w:val="000000"/>
          <w:sz w:val="24"/>
        </w:rPr>
        <w:t xml:space="preserve">采购包1为镇江市社银数据共享应用法律风控平台软件采购；采购包2为镇江市社银数据共享应用法律风控平台硬件及系统软件。</w:t>
      </w:r>
      <w:r>
        <w:rPr>
          <w:rFonts w:ascii="SimSun" w:hAnsi="SimSun" w:eastAsia="SimSun" w:cs="SimSun"/>
          <w:color w:val="000000"/>
          <w:sz w:val="24"/>
        </w:rPr>
        <w:t xml:space="preserve">详细内容及要求本项目采购需求部分。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合同履行期限：详细内容及要求见采购需求。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本次采购确定的中标人数量：每个采购包1名，可兼投兼中，按采购包1-2的先后顺序评审。</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1.1具有独立承担民事责任的能力（提供法人或者其他组织的营业执照等证明文件扫描件；投标人为自然人的，提供其身份证扫描件）；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具有良好的商业信誉和健全的财务会计制度（提供2022年或2023年度财务报告，成立不满一年的提供至少一个月财务报告，或银行出具的资信证明，或财政部门认可的政府采购专业担保机构出具的投标担保函等；或提供资格承诺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1.3具有履行合同所必需的设备和专业技术能力（提供投标人相关信息一览表；或提供资格承诺函）；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1.4有依法缴纳税收和社会保障资金的良好记录（提供参加本次政府采购活动前半年内（至少一个月）依法缴纳税收和社会保险资金的相关材料；或提供资格承诺函）；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1.5参加政府采购活动前三年内，在经营活动中没有重大违法记录（提供投标函；或提供资格承诺函）；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1.6法律、行政法规规定的其他条件；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rPr>
        <w:t xml:space="preserve">落实政府采购政策需满足的资格要求：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采购包1：本</w:t>
      </w:r>
      <w:r>
        <w:rPr>
          <w:rFonts w:ascii="SimSun" w:hAnsi="SimSun" w:eastAsia="SimSun" w:cs="SimSun"/>
          <w:color w:val="000000"/>
          <w:sz w:val="24"/>
          <w:highlight w:val="white"/>
        </w:rPr>
        <w:t xml:space="preserve">采购包</w:t>
      </w:r>
      <w:r>
        <w:rPr>
          <w:rFonts w:ascii="SimSun" w:hAnsi="SimSun" w:eastAsia="SimSun" w:cs="SimSun"/>
          <w:color w:val="000000"/>
          <w:sz w:val="24"/>
          <w:highlight w:val="white"/>
        </w:rPr>
        <w:t xml:space="preserve">专门面向中小微企业；采购包2：无。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3.本项目的特定资格要求：无。</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获取时间：公告之时起至2024年7月26日 23:59（北京时间）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w:t>
      </w:r>
      <w:r>
        <w:rPr>
          <w:rFonts w:ascii="SimSun" w:hAnsi="SimSun" w:eastAsia="SimSun" w:cs="SimSun"/>
          <w:color w:val="000000"/>
          <w:sz w:val="24"/>
          <w:u w:val="single"/>
        </w:rPr>
        <w:t xml:space="preserve">在“苏采云”自行免费下载招标文件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w:t>
      </w:r>
      <w:r>
        <w:rPr>
          <w:rFonts w:ascii="SimSun" w:hAnsi="SimSun" w:eastAsia="SimSun" w:cs="SimSun"/>
          <w:color w:val="000000"/>
          <w:sz w:val="24"/>
          <w:u w:val="single"/>
        </w:rPr>
        <w:t xml:space="preserve">2024年8月9日9点30分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注意事项：（1）本项目通过</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进行采购，投标人须通过</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涉及“苏采云”系统使用的任何问题，应在工作日9：00-11:30 ，13:30-17:30期间致电技术支持热线咨询，联系方式：15252929439（周工）、0519-86722803、0519-86722805。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演示：本项目采购包1所要求的演示使用录播上传形式，供应商须提供真实系统或系统原型设计演示，演示使用录播上传形式，各投标人自行将录播内容上传至“苏采云”系统的演示视频上传模块，视频时长不超过15分钟，单个文件不超过50M，可上传多个文件。</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称：镇江市人力资源社会保障信息中心</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w:t>
      </w:r>
      <w:r>
        <w:rPr>
          <w:rFonts w:ascii="SimSun" w:hAnsi="SimSun" w:eastAsia="SimSun" w:cs="SimSun"/>
          <w:color w:val="000000"/>
          <w:sz w:val="24"/>
        </w:rPr>
        <w:t xml:space="preserve">镇江市运河路79号 </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w:t>
      </w:r>
      <w:r>
        <w:rPr>
          <w:rFonts w:ascii="SimSun" w:hAnsi="SimSun" w:eastAsia="SimSun" w:cs="SimSun"/>
          <w:color w:val="000000"/>
          <w:sz w:val="24"/>
        </w:rPr>
        <w:t xml:space="preserve">佘劲森   </w:t>
      </w:r>
      <w:r>
        <w:rPr>
          <w:rFonts w:ascii="SimSun" w:hAnsi="SimSun" w:eastAsia="SimSun" w:cs="SimSun"/>
          <w:color w:val="000000"/>
          <w:sz w:val="24"/>
          <w:highlight w:val="white"/>
        </w:rPr>
        <w:t xml:space="preserve">联系方式：</w:t>
      </w:r>
      <w:r>
        <w:rPr>
          <w:rFonts w:ascii="SimSun" w:hAnsi="SimSun" w:eastAsia="SimSun" w:cs="SimSun"/>
          <w:color w:val="000000"/>
          <w:sz w:val="24"/>
        </w:rPr>
        <w:t xml:space="preserve">18052750010</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称：镇江市公共资源交易中心</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址：镇江市冠城路8号工人大厦裙楼7楼</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联系方式：0511-88058975</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300" w:right="0" w:hanging="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项目联系人：冷玲</w:t>
      </w:r>
      <w:r>
        <w:rPr>
          <w:rFonts w:ascii="SimSun" w:hAnsi="SimSun" w:eastAsia="SimSun" w:cs="SimSun"/>
          <w:color w:val="000000"/>
          <w:sz w:val="24"/>
          <w:highlight w:val="none"/>
        </w:rPr>
        <w:t xml:space="preserve"> </w:t>
      </w: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rPr>
        <w:t xml:space="preserve">：0511-8805897</w:t>
      </w:r>
      <w:r>
        <w:rPr>
          <w:rFonts w:ascii="SimSun" w:hAnsi="SimSun" w:eastAsia="SimSun" w:cs="SimSun"/>
          <w:color w:val="000000"/>
          <w:sz w:val="24"/>
        </w:rPr>
        <w:t xml:space="preserve">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前附表</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64"/>
        <w:gridCol w:w="1282"/>
        <w:gridCol w:w="44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本项目不同意分包。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A不组织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A不统一组织 </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A采购包1：有，采购包2：无。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A不要求提供。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A本项目不允许采购进口产品。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采购包1服务类，采购包2货物类</w:t>
            </w:r>
            <w:r/>
          </w:p>
          <w:p>
            <w:pPr>
              <w:ind w:left="0" w:right="0" w:firstLine="0"/>
              <w:jc w:val="both"/>
              <w:spacing w:before="0" w:after="0" w:line="85"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采购包1核心产品为：</w:t>
            </w:r>
            <w:r>
              <w:rPr>
                <w:rFonts w:ascii="SimSun" w:hAnsi="SimSun" w:eastAsia="SimSun" w:cs="SimSun"/>
                <w:b/>
                <w:bCs/>
                <w:color w:val="000000"/>
                <w:sz w:val="24"/>
                <w:u w:val="single"/>
              </w:rPr>
              <w:t xml:space="preserve">镇江市社银数据共享应用法律风控平台</w:t>
            </w:r>
            <w:r>
              <w:rPr>
                <w:b/>
                <w:bCs/>
              </w:rPr>
            </w:r>
            <w:r/>
          </w:p>
          <w:p>
            <w:pPr>
              <w:ind w:left="0" w:right="0" w:firstLine="0"/>
              <w:jc w:val="both"/>
              <w:spacing w:before="0" w:after="0" w:line="85"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采购包2核心产品为：</w:t>
            </w:r>
            <w:r>
              <w:rPr>
                <w:rFonts w:ascii="SimSun" w:hAnsi="SimSun" w:eastAsia="SimSun" w:cs="SimSun"/>
                <w:b/>
                <w:bCs/>
                <w:color w:val="000000"/>
                <w:sz w:val="24"/>
                <w:u w:val="single"/>
              </w:rPr>
              <w:t xml:space="preserve">服务器</w:t>
            </w:r>
            <w:r>
              <w:rPr>
                <w:b/>
                <w:bC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（1）采购包1标的：</w:t>
            </w:r>
            <w:r>
              <w:rPr>
                <w:rFonts w:ascii="SimSun" w:hAnsi="SimSun" w:eastAsia="SimSun" w:cs="SimSun"/>
                <w:color w:val="000000"/>
                <w:sz w:val="24"/>
                <w:u w:val="single"/>
              </w:rPr>
              <w:t xml:space="preserve">镇江市社银数据共享应用法律风控平台项目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软件和信息技术服务</w:t>
            </w:r>
            <w:r>
              <w:rPr>
                <w:rFonts w:ascii="SimSun" w:hAnsi="SimSun" w:eastAsia="SimSun" w:cs="SimSun"/>
                <w:color w:val="000000"/>
                <w:sz w:val="24"/>
              </w:rPr>
              <w:t xml:space="preserve">行业；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（2）采购包2标的：</w:t>
            </w:r>
            <w:r>
              <w:rPr>
                <w:rFonts w:ascii="SimSun" w:hAnsi="SimSun" w:eastAsia="SimSun" w:cs="SimSun"/>
                <w:color w:val="000000"/>
                <w:sz w:val="24"/>
                <w:u w:val="single"/>
              </w:rPr>
              <w:t xml:space="preserve">镇江市社银数据共享应用法律风控平台硬件及系统软件</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采购人采购数据中心相关设备、运维服务，按照《绿色数据中心政府采购需求标准（试行）》实施相关采购活动。</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  则</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本招标文件仅适用于镇江市社银数据共享应用法律风控平台项目。</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“采购人”系指依法进行政府采购的国家机关、事业单位、团体组织，即：镇江市人力资源社会保障信息中心。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镇江市公共资源交易中心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“货物”系指本招标文件所述采购标的涉及的各种形态和种类的物品。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2.5“服务”系指本招标文件所述投标人应该履行的承诺和义务，即镇江市社银数据共享应用法律风控平台建设</w:t>
      </w:r>
      <w:r>
        <w:rPr>
          <w:rFonts w:ascii="SimSun" w:hAnsi="SimSun" w:eastAsia="SimSun" w:cs="SimSun"/>
          <w:color w:val="000000"/>
          <w:sz w:val="24"/>
          <w:highlight w:val="white"/>
        </w:rPr>
        <w:t xml:space="preserve">，亦包括招标文件中特别描述的其它形式的服务。 </w:t>
      </w:r>
      <w:r/>
    </w:p>
    <w:p>
      <w:pPr>
        <w:ind w:left="0" w:right="0" w:firstLine="44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w:t>
      </w:r>
      <w:r>
        <w:rPr>
          <w:rFonts w:ascii="MS Mincho" w:hAnsi="MS Mincho" w:eastAsia="MS Mincho" w:cs="MS Mincho"/>
          <w:color w:val="000000"/>
          <w:sz w:val="24"/>
        </w:rPr>
        <w:t xml:space="preserve">☑</w:t>
      </w:r>
      <w:r>
        <w:rPr>
          <w:rFonts w:ascii="SimSun" w:hAnsi="SimSun" w:eastAsia="SimSun" w:cs="SimSun"/>
          <w:color w:val="000000"/>
          <w:sz w:val="24"/>
        </w:rPr>
        <w:t xml:space="preserve">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w:t>
      </w:r>
      <w:r>
        <w:rPr>
          <w:rFonts w:ascii="MS Mincho" w:hAnsi="MS Mincho" w:eastAsia="MS Mincho" w:cs="MS Mincho"/>
          <w:color w:val="000000"/>
          <w:sz w:val="24"/>
        </w:rPr>
        <w:t xml:space="preserve">☑</w:t>
      </w:r>
      <w:r>
        <w:rPr>
          <w:rFonts w:ascii="SimSun" w:hAnsi="SimSun" w:eastAsia="SimSun" w:cs="SimSun"/>
          <w:color w:val="000000"/>
          <w:sz w:val="24"/>
        </w:rPr>
        <w:t xml:space="preserve">资格后审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本次采购确定的中标人数量：1名/采购包</w:t>
      </w:r>
      <w:r/>
    </w:p>
    <w:p>
      <w:pPr>
        <w:ind w:left="0" w:right="0" w:firstLine="44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left="0" w:right="0" w:firstLine="0"/>
        <w:jc w:val="both"/>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如澄清或修改公告有重新发布招标文件的，投标人应下载最新发布的招标文件制作投标文件。因投标人自身原因未能及时获取的，一切后果由投标人自行承担。</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8.1投标人须通过江苏政府采购网提供的最新响应文件制作软件编制投标文件。下载路径：江苏政府采购网—资料下载—《江苏省政府采购交易管理系统（苏采云）供应商操作指南》</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资格部分系指投标人提交的证明其有资格参加投标的文件。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商务部分系指投标人提交的证明其中标后有能力履行合同的文件。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技术部分系指投标人提交的能够证明投标人提供的货物（服务）符合招标文件规定的文件。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具体填写格式详见招标文件第六部分。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投标人在编制投标文件时，请按照招标文件第六部分规定的格式进行填写并提交到对应位置。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投标人必须保证投标文件所提供的全部资料合法、真实、可靠。</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本项目不收投标保证金。</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15.投标文件的式样和签署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投标人应通过响应文件制作软件使用数字认证证书对投标文件进行合成、电子签章及加密打包。</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投标人须在招标文件规定的截止时间前，通过响应文件编制软件制作完成后，登录“苏采云”系统在规定时间内完成提交。</w:t>
      </w:r>
      <w:r>
        <w:rPr>
          <w:rFonts w:ascii="SimSun" w:hAnsi="SimSun" w:eastAsia="SimSun" w:cs="SimSun"/>
          <w:b/>
          <w:color w:val="000000"/>
          <w:sz w:val="24"/>
          <w:u w:val="single"/>
        </w:rPr>
        <w:t xml:space="preserve">时间以“苏采云”系统时间为准。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w:t>
      </w:r>
      <w:r>
        <w:rPr>
          <w:rFonts w:ascii="SimSun" w:hAnsi="SimSun" w:eastAsia="SimSun" w:cs="SimSun"/>
          <w:b/>
          <w:color w:val="000000"/>
          <w:sz w:val="24"/>
          <w:u w:val="single"/>
        </w:rPr>
        <w:t xml:space="preserve">截止时间以后提交的投标文件，“苏采云”系统将拒绝接收上传的任何投标文件。投标人应充分考虑网络环境、网络带宽等风险因素。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在提交截止时间前，投标人可以对所提交的投标文件进行补充、修改或者撤回。投标人撤回电子响应文件，则认为其不再参与本项目磋商活动。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在提交截止时间之后，投标人不得对其投标文件作任何补充、修改或撤回。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在提交截止时间至招标文件中规定的投标有效期满之间，投标人不得撤回其投标。</w:t>
      </w:r>
      <w:r/>
    </w:p>
    <w:p>
      <w:pPr>
        <w:ind w:left="0" w:right="0" w:firstLine="641"/>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五、开标及评标</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投标人应当在开标前做好充分准备，使用制作该投标文件的同一数字认证证书准时参加开标。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18.3 投标人不足3家，不进入解密程序。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分钟内完成（解密时间不得小于30分钟）。解密时，投标人必须使用与制作投标文件时同一数字认证证书对投标文件进行解密，否则解密将会失败。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18.6本项目在限定的解密时间内，只要有任一家投标人解密成功，即视为“苏采云”系统运行无故障。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18.8投标人须配合开标工作，否则一切后果由投标人自行承担。</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21.2.2投标人的澄清应登录“苏采云”系统进入“澄清事项”模块进行。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21.3开标至评标结束期间，投标人应保持系统在线，如因</w:t>
      </w:r>
      <w:r>
        <w:rPr>
          <w:rFonts w:ascii="SimSun" w:hAnsi="SimSun" w:eastAsia="SimSun" w:cs="SimSun"/>
          <w:b/>
          <w:color w:val="000000"/>
          <w:sz w:val="24"/>
        </w:rPr>
        <w:t xml:space="preserve">投标人自身原因未在规定时间内按评标委员会要求进行澄清、说明或者补正的，一切后果由投标人自行承担。</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投标人存在下列情况之一的，其投标无效：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（1）投标文件未按招标文件要求进行有效签章的；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（2）报价超过招标文件中规定的预算金额或最高限价的；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（4）投标文件含有采购人不能接受的附加条件的;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（6）投标人对根据修正原则修正后的报价不确认的；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（7）投标文件中提供了虚假或失实资料的；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（8）不同投标人的电子投标文件出自同一台电脑；</w:t>
      </w:r>
      <w:r/>
    </w:p>
    <w:p>
      <w:pPr>
        <w:ind w:left="0" w:right="0" w:firstLine="47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（9）在“信用中国”网站（www.creditchina.gov.cn）、中国政府采购网（www.ccgp.gov.cn）、“信用江苏”网站（http://www.jscredit.gov.cn）查询 结果为失信被执行人名单、重大税收违法案件当事人名单、政府采购严重违法 失信行为名单及其他不符合《中华人民共和国政府采购法》第二十二条规定条件的；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（10）投标人存在串通投标情形的；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（11）为本项目提供整体设计、规范编制或者项目管理、监理、检测等服务的；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（12）不同投标人的法定代表人或单位负责人为同一个人或者存在直接控股、管理关系的；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（13）投标文件不满足招标文件的其它实质性要求的；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（14）法律、法规、规章（适用本市的）及省级以上规范性文件（适用本市的）规定的其他无效情形；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（15）标的物报价为零的；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（16）项目进度要求有负偏离的；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（17）免费维保期有负偏离的；</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评标委员会将按照招标文件第五部分“评标办法和标准”第8项规定，对符合性审查合格的投标文件进行商务、技术和价格评估，综合比较与评价。</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六、确定结果</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1"/>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28．中标通知书</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自中标人确定之日起2个工作日内，采购代理机构向中标人发出中标通知书，同时编制发布采购结果公告。</w:t>
      </w:r>
      <w:r/>
    </w:p>
    <w:p>
      <w:pPr>
        <w:ind w:left="0" w:right="0" w:firstLine="355"/>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28.2中标通知书发出后，采购人不得违法改变中标结果，中标人无正当理由不得放弃中标。</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A </w:t>
      </w:r>
      <w:r>
        <w:rPr>
          <w:rFonts w:ascii="MS Mincho" w:hAnsi="MS Mincho" w:eastAsia="MS Mincho" w:cs="MS Mincho"/>
          <w:color w:val="000000"/>
          <w:sz w:val="24"/>
        </w:rPr>
        <w:t xml:space="preserve">☑</w:t>
      </w:r>
      <w:r>
        <w:rPr>
          <w:rFonts w:ascii="SimSun" w:hAnsi="SimSun" w:eastAsia="SimSun" w:cs="SimSun"/>
          <w:color w:val="000000"/>
          <w:sz w:val="24"/>
        </w:rPr>
        <w:t xml:space="preserve">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采购人应当自中标通知书发出之日起</w:t>
      </w:r>
      <w:r>
        <w:rPr>
          <w:rFonts w:ascii="SimSun" w:hAnsi="SimSun" w:eastAsia="SimSun" w:cs="SimSun"/>
          <w:color w:val="000000"/>
          <w:sz w:val="24"/>
          <w:highlight w:val="yellow"/>
          <w:u w:val="single"/>
        </w:rPr>
        <w:t xml:space="preserve">15</w:t>
      </w:r>
      <w:r>
        <w:rPr>
          <w:rFonts w:ascii="SimSun" w:hAnsi="SimSun" w:eastAsia="SimSun" w:cs="SimSun"/>
          <w:color w:val="000000"/>
          <w:sz w:val="24"/>
          <w:highlight w:val="yellow"/>
        </w:rPr>
        <w:t xml:space="preserve">日</w:t>
      </w:r>
      <w:r>
        <w:rPr>
          <w:rFonts w:ascii="SimSun" w:hAnsi="SimSun" w:eastAsia="SimSun" w:cs="SimSun"/>
          <w:color w:val="000000"/>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30.6采购人与中标人应当根据合同的约定依法履行合同义务。政府采购合同的履行、违约责任和解决争议的方法等适用《中华人民共和国民法典》。</w:t>
      </w:r>
      <w:r/>
    </w:p>
    <w:p>
      <w:pPr>
        <w:ind w:left="0" w:right="0" w:firstLine="76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八、询问、质疑、投诉</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供应商应当在法定质疑期内一次性提出针对同一采购程序环节的质疑。供应商如在法定期限内对同一采购程序环节提出多次质疑的，将只对供应商第一次质疑作出答复。</w:t>
      </w:r>
      <w:r>
        <w:rPr>
          <w:rFonts w:ascii="SimSun" w:hAnsi="SimSun" w:eastAsia="SimSun" w:cs="SimSun"/>
          <w:b/>
          <w:color w:val="000000"/>
          <w:sz w:val="24"/>
        </w:rPr>
        <w:t xml:space="preserve">供应商如对采购需求提出质疑，采购人负责处理和答复涉及采购需求的质疑内容。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集中采购接受质疑函联系部门、联系电话和通讯地址、质疑流程及注意事项见“镇江市公共资源交易平台”网站-政民互动-质疑投诉渠道。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32.5采购人、采购代理机构不得拒收质疑供应商在法定质疑期内发出的质疑函，应当在收到质疑函后7个工作日内作出答复，并以书面形式通知质疑供应商和其他有关供应商。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33.3投诉流程及注意事项见“镇江市公共资源交易服务平台—政府采购”网站“投诉指引”。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九、诚实信用和解释权</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34.4供应商应自觉遵守开标、评标纪律，扰乱开标评标现场秩序的，属于失信行为，根据《江苏省政府采购供应商监督管理暂行办法》，失信行为将被记入供应商诚信档案。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ww.jscredit.gov.cn），信用记录查询截止时间为项目资格审</w:t>
      </w:r>
      <w:r>
        <w:rPr>
          <w:rFonts w:ascii="SimSun" w:hAnsi="SimSun" w:eastAsia="SimSun" w:cs="SimSun"/>
          <w:color w:val="000000"/>
          <w:sz w:val="24"/>
        </w:rPr>
        <w:t xml:space="preserve">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本次招标及由本次招标产生的合同受中华人民共和国法律制约和保护。</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所有。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2"/>
        </w:rPr>
        <w:t xml:space="preserve"> 第三部分     合 同</w:t>
      </w:r>
      <w:r>
        <w:rPr>
          <w:rFonts w:ascii="Microsoft YaHei" w:hAnsi="Microsoft YaHei" w:eastAsia="Microsoft YaHei" w:cs="Microsoft YaHei"/>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同（采购包1）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“甲方”系指购买服务（货物）的采购人，即</w:t>
      </w:r>
      <w:r>
        <w:rPr>
          <w:rFonts w:ascii="SimSun" w:hAnsi="SimSun" w:eastAsia="SimSun" w:cs="SimSun"/>
          <w:color w:val="000000"/>
          <w:sz w:val="24"/>
          <w:u w:val="single"/>
        </w:rPr>
        <w:t xml:space="preserve">镇江市人力资源社会保障信息中心</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“乙方”系指提供服务（货物）的供应商，即</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软件”包括“软件系统”，除另有指明外，指描述于在本采购文件要求所建设和提供的当前和将来的软件版本，包括供应商为履行本合同所进行的二次开发所形成的软件版本和相关的文件；“可交付件”指由供应商所交付的软件，包括源代码、软件需求说明书、系统概要设计说明书、总体设计说明书、详细设计文档、软件源代码、试运行报告、测试报告、软件使用说明书、用户手册、维护手册、项目总结报告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服务”系指合同规定乙方必须承担镇江市社银数据共享应用法律风控平台建设的设计、开发、安装调试、对接、整合、技术指导、培训、维护、升级以及其它的伴随服务，服务亦包括采购文件中特别描述的其它形式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“货物”系指乙方提供的本项目必须承担相关设备、材料、配件、工具、成套技术资料及手册。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“合同”系指甲方与乙方签署的、合同格式中载明的甲方与乙方所达成的协议，包括采购文件、响应文件、附件、附录和构成合同的所有文件。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“合同价”系指根据合同规定，乙方在正确地完全履行合同义务后甲方应支付给乙方的价格。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2.技术性能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乙方所提供服务技术规格、规范应与采购文件规定的技术规格、规范相一致；若技术性能无相应说明或相应技术规范更新的，则按国家、有关部门最新颁布的标准及规范为准。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3.知识产权</w:t>
        <w:tab/>
      </w:r>
      <w:r/>
    </w:p>
    <w:p>
      <w:pPr>
        <w:ind w:left="0" w:right="0" w:firstLine="48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4.软件要求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合法软件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4.1.1乙方所提供的定制软件必须符合国家有关软件产品方面的规定和软件标准规范，没有侵犯第三方的合法权利和涉及第三方的诉讼。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如乙方所交付和许可甲方使用的软件需经国家有关部门登记、备案、审批或许可的，乙方应保证在交付和许可甲方使用时已完成了上述手续。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 在乙方所交付和许可甲方使用的软件系统中，不含任何可以自动终止或妨碍系统运作的软件。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侵权责任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乙方承诺，如本项目软件或其任何部分被依法认定为侵犯第三人的合法权利，或甲方任何依约定使用或行使任何由乙方授予的权利被认定为侵权，乙方应尽力用相等功能的且非侵权的软件或其任何部分来进行替换，或取得相关授权，以使甲方能够继续享有本合同所规定的各项权利，并负责赔偿甲方因此而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如果乙方经合理和具有事实根据的判断，认为本软件或其任何部分可能被依法认定为侵犯第三人合法权利的，或甲方使用或行使由乙方授予的权利可能被认定为侵权的，乙方可以用非侵权的具有相同功能的来进行替换，或尽力取得必要的相关授权，以使甲方能够继续享有本合同所规定的各项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5.软件描述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软件内容详见招标文件采购需求。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软件建设的目标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软件整体功能符合甲方在采购文件中描述的系统的要求，应达到正确性、效率、安全性、可靠性、开放性、实用性等的技术指标。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软件建设的交付时间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本建设软件交付的时间为</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6.软件建设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自本合同签订之日起，乙方应尽力履行其在建设计划中所规定的义务，按时完成并交付使用，其质量标准应符合本采购文件及相关法律法规的规定。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各方可以根据具体情况重新指定本方的管理小组的成员，但应当以书面方式通知另一方；如一方重新指定的小组成员涉及到本项目的重要方面，更换方应事先征得对方的书面同意。另一方应及时审查更换方提出的书面建议，双方在合理、善意、维护双方利益的基础上讨论更换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6.3信息与资料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建设软件的功能和目标需求方面的信息和资料。如甲方对乙方完成本合同所需的甲方所有的信息和资料不予提供，则由甲方承担不予提供的损害后果。</w:t>
      </w:r>
      <w:r/>
    </w:p>
    <w:p>
      <w:pPr>
        <w:ind w:left="0" w:right="0" w:firstLine="480"/>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需求与需求分析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乙方将根据甲方为其业务建设软件及其所需功能的描述和甲方所提供的资料与信息制作需求分析。甲方在提交有关需求说明、资料和信息时，可以就其中所涉及的软件功能、目标、需求构成及相关技术问题向乙方咨询或征求意见，乙方应当及时予以解释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6.4.2乙方在获取甲方需求信息和资料后，应及时完成需求分析书。该需求分析书经甲方认可，并由甲、乙双方签字后作为本合同的附件。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需求说明书、概要设计说明书、详细设计说明书和数据库设计说明书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6.5.1乙方在取得了甲方提供的必要的信息和资料后，将依据本合同所约定的软件的功能、目标与需求分析书，在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之前完成需求说明书、概要设计说明书、详细设计说明书、数据库说明设计书。以上三项完成后，均应提交甲方审核。甲方在收到上述文件后，对其中所描述软件的适用性、需求性和应用性等进行审核。甲方应在</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之前完成需求说明书、概要设计说明书、详细设计说明书和数据库设计说明书的审核。如甲方认可上述文件后的，则在上述文件中签字。如有异议，则以书面方式说明理由并提交乙方复审。如乙方认为不构成问题，则应向甲方予以解释。确有问题的，乙方应及时予以修改并再次提交甲方审核。甲乙双方将重复此程序，直至双方一致认可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6.5.2甲方对上述说明书的签字认可，仅代表对上述说明书中建设软件的适用性、需求性和应用性等的审核。甲方并不对说明书中的技术问题进行审核。如说明书中出现任何与乙方设计相关的技术问题或技术调整，仍由乙方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6.5.3上述需求说明书、概要设计说明书、详细设计说明书数据库说明设计书经双方签字后，作为本合同的附件，与本合同具有同等效力。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6.5.4最终提供的软件产品应包括本项目开发的各种软件系统、各阶段开发文档、运行稳定可靠的本系统安装程序、注释清晰明了的能够编译生成目前正在运行的应用程序的全部源代码和发布包等，并且须提供相关的《源代码使用情况说明》（应用模块使用的对应源代码说明及具体的版本号），在乙方及甲方间建立统一的版本控制平台，明确相应的版本控制管理流程，以避免应用程序部署中版本管理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7.交付、领受与验收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交付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7.1.1乙方应在进行软件交付前</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个工作日内，以书面方式通知甲方。甲方应当在接到通知后的</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个工作日内安排接受交付。乙方在交付前应根据采购文件所列的检测标准进行测试，以确认其符合本合同的规定。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如由于甲方的原因而导致交付不能按照规定的时间进行，乙方将按延期时间顺延交付。如因延期交付而导致乙方损失，甲方应赔偿乙方的实际损失。如由于乙方的原因而导致交付不能按照规定的时间进行，乙方将承担相应违约责任。如因延期交付而导致甲方损失，乙方应赔偿甲方的实际损失。甲、乙双方对此另有约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交付内容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7.2.1乙方应按照合同及其附件所约定的内容进行交付，所交付的文档与文件应当是电子版式和可供人阅读的。具体交付内容：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7.2.2如由于甲方运行、检测不当或其它原因而导致所交付项目存在故障或问题，经甲方要求，乙方应在</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个工作日内帮助处理此项故障或问题，由此而发生的费用由甲方承担。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领受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甲方在领受了上述交付件后，应立即对该交付件进行测试和评估，以确认其是否符合建设软件的功能和规格。甲方应在</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个工作日内，向乙方提交书面说明以表示接受该交付件。如有缺陷，应递交缺陷说明及指明应改进的部分，乙方应立即纠正该缺陷，并再次进行测试和评估。甲方应于</w:t>
      </w:r>
      <w:r>
        <w:rPr>
          <w:rFonts w:ascii="SimSun" w:hAnsi="SimSun" w:eastAsia="SimSun" w:cs="SimSun"/>
          <w:color w:val="000000"/>
          <w:sz w:val="24"/>
          <w:u w:val="single"/>
        </w:rPr>
        <w:t xml:space="preserve">10</w:t>
      </w:r>
      <w:r>
        <w:rPr>
          <w:rFonts w:ascii="SimSun" w:hAnsi="SimSun" w:eastAsia="SimSun" w:cs="SimSun"/>
          <w:color w:val="000000"/>
          <w:sz w:val="24"/>
        </w:rPr>
        <w:t xml:space="preserve">个工作日内再次检验并向乙方出具书面领受文件或递交缺陷报告。甲、乙双方将重复此项程序直至甲方领受，但重复此项程序的次数最多不得超过</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次，超过约定次数甲方可解除合同。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软件系统试运行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7.4.1自软件交付之日起，甲方拥有</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个工作日的试运行权利。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7.4.2如由于乙方原因，软件在试运行期间出现故障或问题，乙方应及时排除该方面的故障或问题，所引起的相关费用由乙方承担。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7.4.3如由于甲方原因，导致软件在试运行期间出现故障或问题，甲方可委托乙方排除该方面的故障或问题，所引起的相关费用由甲方承担。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7.4.4乙方应在合理的期限内排除故障或处理问题。如以上故障或问题影响软件基本功能和目标的实现，且排除故障或处理问题的时间超过</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个工作日，则视为乙方交付违约，除非上述故障和问题是由甲方引起的。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7.5系统验收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7.5.1软件试运行完成后，甲方应及时按规定对该软件进行系统验收。乙方应以书面形式向甲方递交验收通知书，甲方在收到验收通知书的</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个工作日内，安排具体日期，由甲、乙双方按照本合同的规定完成软件系统验收。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7.5.2如属于乙方原因致使软件未通过系统验收，乙方应排除故障，并承担相关费用，同时延长试运行期限</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个工作日，直至软件系统完全符合验收标准。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7.5.3如属于甲方原因致使软件未通过系统验收，如属甲方原有计算机系统故障原因，甲方应在合理时间内排除故障，再进行验收。如系上述故障之外的原因，除因本合同规定的不可抗力外，乙方应保证软件产品是按照甲方的业务需要定制，并完全符合合同规定的功能和性能的要求，即视为软件系统验收已经通过。如乙方未按照甲方的业务需要定制，不完全符合合同规定的功能和性能的要求，则视为该系统不能通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8.知识产权和使用权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拥有建设本项目软件的知识产权。另一方非经对方同意，不得以任何方式向第三方披露、转让和许可有关的技术成果、技术诀窍、秘密信息、技术资料和文件。除本研发工作需要之外，未得到甲方的书面许可，乙方不得以任何方式商业性地利用上述资料和技术。如双方违反本条的规定，除立即停止违约行为外，还应支付违约金</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使用权（知识产权归一方所有，如需，填写）</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color w:val="000000"/>
          <w:sz w:val="24"/>
        </w:rPr>
        <w:t xml:space="preserve">对软件具有使用权。本使用权的使用范围为：</w:t>
      </w:r>
      <w:r>
        <w:rPr>
          <w:rFonts w:ascii="SimSun" w:hAnsi="SimSun" w:eastAsia="SimSun" w:cs="SimSun"/>
          <w:b/>
          <w:color w:val="000000"/>
          <w:sz w:val="24"/>
          <w:u w:val="single"/>
        </w:rPr>
        <w:t xml:space="preserve">        </w:t>
      </w:r>
      <w:r>
        <w:rPr>
          <w:rFonts w:ascii="SimSun" w:hAnsi="SimSun" w:eastAsia="SimSun" w:cs="SimSun"/>
          <w:color w:val="000000"/>
          <w:sz w:val="24"/>
        </w:rPr>
        <w:t xml:space="preserve">（总、分机构）。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许可权（知识产权归一方所有，如需，填写）</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对</w:t>
      </w:r>
      <w:r>
        <w:rPr>
          <w:rFonts w:ascii="SimSun" w:hAnsi="SimSun" w:eastAsia="SimSun" w:cs="SimSun"/>
          <w:color w:val="000000"/>
          <w:sz w:val="24"/>
          <w:u w:val="single"/>
        </w:rPr>
        <w:t xml:space="preserve">      </w:t>
      </w:r>
      <w:r>
        <w:rPr>
          <w:rFonts w:ascii="SimSun" w:hAnsi="SimSun" w:eastAsia="SimSun" w:cs="SimSun"/>
          <w:color w:val="000000"/>
          <w:sz w:val="24"/>
        </w:rPr>
        <w:t xml:space="preserve">所许可的使用权软件</w:t>
      </w:r>
      <w:r>
        <w:rPr>
          <w:rFonts w:ascii="SimSun" w:hAnsi="SimSun" w:eastAsia="SimSun" w:cs="SimSun"/>
          <w:color w:val="000000"/>
          <w:sz w:val="24"/>
          <w:u w:val="single"/>
        </w:rPr>
        <w:t xml:space="preserve">/</w:t>
      </w:r>
      <w:r>
        <w:rPr>
          <w:rFonts w:ascii="SimSun" w:hAnsi="SimSun" w:eastAsia="SimSun" w:cs="SimSun"/>
          <w:color w:val="000000"/>
          <w:sz w:val="24"/>
        </w:rPr>
        <w:t xml:space="preserve">向第三方许可的权利。除本合同另有规定外，</w:t>
      </w:r>
      <w:r>
        <w:rPr>
          <w:rFonts w:ascii="SimSun" w:hAnsi="SimSun" w:eastAsia="SimSun" w:cs="SimSun"/>
          <w:color w:val="000000"/>
          <w:sz w:val="24"/>
          <w:u w:val="single"/>
        </w:rPr>
        <w:t xml:space="preserve">     </w:t>
      </w:r>
      <w:r>
        <w:rPr>
          <w:rFonts w:ascii="SimSun" w:hAnsi="SimSun" w:eastAsia="SimSun" w:cs="SimSun"/>
          <w:color w:val="000000"/>
          <w:sz w:val="24"/>
        </w:rPr>
        <w:t xml:space="preserve">许可</w:t>
      </w:r>
      <w:r>
        <w:rPr>
          <w:rFonts w:ascii="SimSun" w:hAnsi="SimSun" w:eastAsia="SimSun" w:cs="SimSun"/>
          <w:color w:val="000000"/>
          <w:sz w:val="24"/>
          <w:u w:val="single"/>
        </w:rPr>
        <w:t xml:space="preserve">    </w:t>
      </w:r>
      <w:r>
        <w:rPr>
          <w:rFonts w:ascii="SimSun" w:hAnsi="SimSun" w:eastAsia="SimSun" w:cs="SimSun"/>
          <w:color w:val="000000"/>
          <w:sz w:val="24"/>
        </w:rPr>
        <w:t xml:space="preserve">使用软件或相关任何知识产权，并不表示</w:t>
      </w:r>
      <w:r>
        <w:rPr>
          <w:rFonts w:ascii="SimSun" w:hAnsi="SimSun" w:eastAsia="SimSun" w:cs="SimSun"/>
          <w:color w:val="000000"/>
          <w:sz w:val="24"/>
          <w:u w:val="single"/>
        </w:rPr>
        <w:t xml:space="preserve">    </w:t>
      </w:r>
      <w:r>
        <w:rPr>
          <w:rFonts w:ascii="SimSun" w:hAnsi="SimSun" w:eastAsia="SimSun" w:cs="SimSun"/>
          <w:color w:val="000000"/>
          <w:sz w:val="24"/>
        </w:rPr>
        <w:t xml:space="preserve">已经从</w:t>
      </w:r>
      <w:r>
        <w:rPr>
          <w:rFonts w:ascii="SimSun" w:hAnsi="SimSun" w:eastAsia="SimSun" w:cs="SimSun"/>
          <w:color w:val="000000"/>
          <w:sz w:val="24"/>
          <w:u w:val="single"/>
        </w:rPr>
        <w:t xml:space="preserve">      </w:t>
      </w:r>
      <w:r>
        <w:rPr>
          <w:rFonts w:ascii="SimSun" w:hAnsi="SimSun" w:eastAsia="SimSun" w:cs="SimSun"/>
          <w:color w:val="000000"/>
          <w:sz w:val="24"/>
        </w:rPr>
        <w:t xml:space="preserve">获得其向第三人许可使用该项权利的权利。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甲方在使用乙方提供的属于第三方软件时，应当依照乙方与第三方对该软件使用的约定进行。乙方应将该约定的书面文件的复印件交甲方参阅。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甲方在领受本合同项下的软件后，应严格遵守相关的知识产权及软件版权保护的法律、法规，并在本合同所规定的范围内使用本软件。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本合同以人民币付款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付款方式：现行银行结算方式（含数字人民币）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w:t>
      </w:r>
      <w:r>
        <w:rPr>
          <w:rFonts w:ascii="SimSun" w:hAnsi="SimSun" w:eastAsia="SimSun" w:cs="SimSun"/>
          <w:color w:val="000000"/>
          <w:sz w:val="24"/>
        </w:rPr>
        <w:t xml:space="preserve"> </w:t>
      </w:r>
      <w:r>
        <w:rPr>
          <w:rFonts w:ascii="SimSun" w:hAnsi="SimSun" w:eastAsia="SimSun" w:cs="SimSun"/>
          <w:b/>
          <w:color w:val="000000"/>
          <w:sz w:val="24"/>
        </w:rPr>
        <w:t xml:space="preserve">项目运维保障要求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自项目验收起提供免费维保</w:t>
      </w:r>
      <w:r>
        <w:rPr>
          <w:rFonts w:ascii="SimSun" w:hAnsi="SimSun" w:eastAsia="SimSun" w:cs="SimSun"/>
          <w:color w:val="000000"/>
          <w:sz w:val="24"/>
          <w:u w:val="single"/>
        </w:rPr>
        <w:t xml:space="preserve">    </w:t>
      </w:r>
      <w:r>
        <w:rPr>
          <w:rFonts w:ascii="SimSun" w:hAnsi="SimSun" w:eastAsia="SimSun" w:cs="SimSun"/>
          <w:color w:val="000000"/>
          <w:sz w:val="24"/>
        </w:rPr>
        <w:t xml:space="preserve">年，维保期内乙方需派至少</w:t>
      </w:r>
      <w:r>
        <w:rPr>
          <w:rFonts w:ascii="SimSun" w:hAnsi="SimSun" w:eastAsia="SimSun" w:cs="SimSun"/>
          <w:color w:val="000000"/>
          <w:sz w:val="24"/>
          <w:u w:val="single"/>
        </w:rPr>
        <w:t xml:space="preserve">    </w:t>
      </w:r>
      <w:r>
        <w:rPr>
          <w:rFonts w:ascii="SimSun" w:hAnsi="SimSun" w:eastAsia="SimSun" w:cs="SimSun"/>
          <w:color w:val="000000"/>
          <w:sz w:val="24"/>
        </w:rPr>
        <w:t xml:space="preserve">名技术人员驻场服务，产品出现故障或者需要维修时，乙方在接到通知后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小时内响应，</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小时内到达现场，</w:t>
      </w:r>
      <w:r>
        <w:rPr>
          <w:rFonts w:ascii="SimSun" w:hAnsi="SimSun" w:eastAsia="SimSun" w:cs="SimSun"/>
          <w:color w:val="000000"/>
          <w:sz w:val="24"/>
          <w:u w:val="single"/>
        </w:rPr>
        <w:t xml:space="preserve">   </w:t>
      </w:r>
      <w:r>
        <w:rPr>
          <w:rFonts w:ascii="SimSun" w:hAnsi="SimSun" w:eastAsia="SimSun" w:cs="SimSun"/>
          <w:color w:val="000000"/>
          <w:sz w:val="24"/>
        </w:rPr>
        <w:t xml:space="preserve">小时内处理完毕。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11.技术文档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乙方所提供的技术文档包括但不局限以下文档：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技术文件：乙方必须向建设单位提供安装、运行、使用、检测检验报告等。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安装计划：安装日期是乙方执行合同的开始，最少包括：运输/交货、测试、调试、正常运行。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安装指南：乙方应当提供所购软件的安装指南。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12.进度要求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。在项目设计、施工、验收等阶段，全权负责本项目的一切协调、管理工作。每一项目实施，乙方必须有指定负责人现场管理。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12.2自合同签订之日起18个月内完成全部建设工作。</w:t>
      </w:r>
      <w:r/>
    </w:p>
    <w:p>
      <w:pPr>
        <w:ind w:left="0" w:right="0" w:firstLine="480"/>
        <w:jc w:val="both"/>
        <w:spacing w:before="0" w:after="0" w:line="85" w:lineRule="atLeast"/>
        <w:tabs>
          <w:tab w:val="left" w:pos="6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个月内完成项目准备、业务需求分析、实施方案编制；</w:t>
      </w:r>
      <w:r/>
    </w:p>
    <w:p>
      <w:pPr>
        <w:ind w:left="0" w:right="0" w:firstLine="480"/>
        <w:jc w:val="both"/>
        <w:spacing w:before="0" w:after="0" w:line="85" w:lineRule="atLeast"/>
        <w:tabs>
          <w:tab w:val="left" w:pos="6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个月内，完成标准规范整合；</w:t>
      </w:r>
      <w:r/>
    </w:p>
    <w:p>
      <w:pPr>
        <w:ind w:left="0" w:right="0" w:firstLine="480"/>
        <w:jc w:val="both"/>
        <w:spacing w:before="0" w:after="0" w:line="85" w:lineRule="atLeast"/>
        <w:tabs>
          <w:tab w:val="left" w:pos="6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个月内，完成市本级数据转换建库及系统上线，并完成扬中、句容、丹阳数据转换迁移及系统上线应用；</w:t>
      </w:r>
      <w:r/>
    </w:p>
    <w:p>
      <w:pPr>
        <w:ind w:left="0" w:right="0" w:firstLine="480"/>
        <w:jc w:val="both"/>
        <w:spacing w:before="0" w:after="0" w:line="85" w:lineRule="atLeast"/>
        <w:tabs>
          <w:tab w:val="left" w:pos="6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个月内，完成合同约定全部建设任务；</w:t>
      </w:r>
      <w:r/>
    </w:p>
    <w:p>
      <w:pPr>
        <w:ind w:left="0" w:right="0" w:firstLine="480"/>
        <w:jc w:val="both"/>
        <w:spacing w:before="0" w:after="0" w:line="85" w:lineRule="atLeast"/>
        <w:tabs>
          <w:tab w:val="left" w:pos="6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个月内，完成系统验收总结。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信息传递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在本合同的履行期内，任何一方可以获得对方与本项目相关的涉密内容，对此双方皆应谨慎地进行披露和接受。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对方涉密内容的一方仅可将该涉密内容用于履行其在本合同项下的义务，且只能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应当在</w:t>
      </w:r>
      <w:r>
        <w:rPr>
          <w:rFonts w:ascii="SimSun" w:hAnsi="SimSun" w:eastAsia="SimSun" w:cs="SimSun"/>
          <w:color w:val="000000"/>
          <w:sz w:val="24"/>
          <w:u w:val="single"/>
        </w:rPr>
        <w:t xml:space="preserve">3</w:t>
      </w:r>
      <w:r>
        <w:rPr>
          <w:rFonts w:ascii="SimSun" w:hAnsi="SimSun" w:eastAsia="SimSun" w:cs="SimSun"/>
          <w:color w:val="000000"/>
          <w:sz w:val="24"/>
        </w:rPr>
        <w:t xml:space="preserve">年内不得对外披露。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非竞争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甲、乙双方同意，在本合同实施过程中以及本合同履行完毕后的</w:t>
      </w:r>
      <w:r>
        <w:rPr>
          <w:rFonts w:ascii="SimSun" w:hAnsi="SimSun" w:eastAsia="SimSun" w:cs="SimSun"/>
          <w:color w:val="000000"/>
          <w:sz w:val="24"/>
          <w:u w:val="single"/>
        </w:rPr>
        <w:t xml:space="preserve">3</w:t>
      </w:r>
      <w:r>
        <w:rPr>
          <w:rFonts w:ascii="SimSun" w:hAnsi="SimSun" w:eastAsia="SimSun" w:cs="SimSun"/>
          <w:color w:val="000000"/>
          <w:sz w:val="24"/>
        </w:rPr>
        <w:t xml:space="preserve">年内，双方均不得使用在履行本项目过程中得到的对方涉密内容，从事与对方有竞争性的业务。</w:t>
        <w:br/>
        <w:t xml:space="preserve">     13.4 任何一方可以根据其经营需要对外披露本合同的存在或其性质，但本合同的具体条款属于保密范围，未经对方的同意，不得向第三方披露。但以下情况除外：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 法院或政府有关部门的要求；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13.4.2 法律规定；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13.4.3 一方向为自己服务的法律顾问披露；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13.4.4 一方向为自己服务的会计、银行、其他的金融机构及其顾问（采取保密措施）披露；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13.4.5 当事人实施收购、兼并或相类似的行为（采取保密措施）。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上述保密义务不适用以下情况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13.5.1 获取该信息一方在对方披露之前，已经知晓该信息；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13.5.2 获取该信息一方可以通过合法渠道获取该信息；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13.5.3 获取该信息一方从第三人处合法获取，并且不承担保密义务；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13.5.4 向第三人披露过的，且第三人不承担保密义务；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13.5.5 独立建设或获取的信息；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13.5.6 法律强制披露；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13.5.7 经披露方书面许可。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信息安全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甲、乙双方同意采取相应的安全措施以遵守和履行上述条款所规定的义务。经一方的合理请求，该方可以检查对方所采取的安全措施是否符合上述规定的义务。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13.7.1乙方应严格执行《网络安全法》及国家、省、市相关网络安全、保密规定，须按照网络安全等级保护三级要求、网络安全等级保护2.0标准，加强项目驻场及后台实施人员管理。乙方因本项目人员、技术、管理等原因直接或间接产生的各类网络安全事件，乙方承担法律、经济及社会责任，并接受甲方处罚。乙方对参加项目的人员开展网络安全、保密教育以及人员背景审查，项目实施人员须按照甲方人员管理要求，在甲方监理单位处备案并签订保密协议后进入项目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13.7.2乙方项目实施人员管理要求：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网络安全法》及国家、省、市相关网络安全、保密规定，在规定的区域开展职责范围的工作，不得进入与之无关的工作区域；不得在机房设备上建立与工作无关的网站、网页和服务；不得在设备中传输、粘贴有害信息或与工作无关的信息；不得擅自对设备进行扫描、探测和入侵信息系统；不得对工作信息和资源越权访问、违规使用；不得私自允许他人接触和使用机房设备；严禁将工作用设备和文件带离机房；未经甲方同意，严禁以任何方式和介质拷贝服务器上的任何信息及项目中涉及的信息；对工作中接触到的信息做到保密；不准擅自摘抄、下载、复制、拍摄、提</w:t>
      </w:r>
      <w:r>
        <w:rPr>
          <w:rFonts w:ascii="SimSun" w:hAnsi="SimSun" w:eastAsia="SimSun" w:cs="SimSun"/>
          <w:color w:val="000000"/>
          <w:sz w:val="24"/>
        </w:rPr>
        <w:t xml:space="preserve">供、销毁或私自留存相关文件、资料（含电子文档）；严禁违反“一机两用”规定；不得在私人交往中谈论相关工作；不得有其他任何危害信息安全的行为。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13.7.3凡以直接、间接、口头或书面等形式提供涉及保密内容的行为均属泄密，将追究当事人及乙方的责任。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13.7.4项目结束后，乙方在本项目服务期内产生的所有资料（包括纸质、电子类）装订成册，经项目监理及甲方确认无误后全部移交给甲方。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13.7.5该项目的项目成果（包括但不限于数据资产、软件著作权等）产权均属于甲方，乙方未经甲方书面同意不得对该项目成果应用于该项目之外。在每次验收前，乙方须将代码审计后的项目源代码移交甲方。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13.7.6乙方人员违反上述保密规定，乙方应承担相应法律责任。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13.7.7本保密义务应在本协议期满、解除或终止后仍然有效。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14违约与赔偿责任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交付违约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乙方应在合同所规定的时间内完成和交付本合同规定的项目。如建设工作延时，甲方同意给予乙方</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个工作日的宽限期，宽限期内不追究乙方延期的违约责任。如乙方在宽限期内仍未依据本合同的规定完成和交付本合同所规定的项目，除依约支付违约金</w:t>
      </w:r>
      <w:r>
        <w:rPr>
          <w:rFonts w:ascii="SimSun" w:hAnsi="SimSun" w:eastAsia="SimSun" w:cs="SimSun"/>
          <w:color w:val="000000"/>
          <w:sz w:val="24"/>
          <w:u w:val="single"/>
        </w:rPr>
        <w:t xml:space="preserve">    </w:t>
      </w:r>
      <w:r>
        <w:rPr>
          <w:rFonts w:ascii="SimSun" w:hAnsi="SimSun" w:eastAsia="SimSun" w:cs="SimSun"/>
          <w:color w:val="000000"/>
          <w:sz w:val="24"/>
        </w:rPr>
        <w:t xml:space="preserve">元外，甲方有权要求乙方作出赔偿（具体赔偿由甲乙双方可采取合同附件形式另行约定）和采取补救措施，并继续履行本合同所规定的义务。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违约及违约金的具体确定方式为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（1）超过宽限期的，每宽限</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个工作日，乙方应向甲方支付合同总</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﹪的违约金，但违约金的总数不超过合同总价的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（2）如超过宽限期达到</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个工作日，甲方有权解除合同，除前款所约定的违约金外，并要求乙方支付合同总价的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﹪作为对甲方的赔偿。如甲方由此解除本合同，乙方应在十个工作日内返还甲方所支付的费用和报酬并依甲方的指示退还或销毁所有的基础性文件和原始资料。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付款违约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14.3.1 如甲方未按合同规定的期限付款，每延期</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个工作日，甲方应向乙方支付合同总价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﹪的违约金，但违约金的总数不超过合同总价的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14.3.2 如合同继续履行，甲方除支付上述违约金外，仍应按照合同规定的金额付款，乙方履行本合同的日期相应顺延。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保密违约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任何一方违反本合同所规定的保密义务，违约方应按本合同总价的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﹪支付违约金。如包括利润在内的实际损失超过该违约金的，受损失一方有权要求对方赔偿超过部分。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其它条款违约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任何一方违反本合同所规定的义务，除本合同另有规定外，违约方应按合同总价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﹪的金额向对方支付违约金。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 如发生违约事件，守约方要求违约方支付违约金时，应以书面方式通知违约方，内容包括违约事件、违约金、支付时间和方式等。违约方在收到上述通知后，应于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个工作日内答复对方，并支付违约金。如双方不能就此达成一致意见，将按照本合同所规定的争议解决条款解决双方的纠纷，但任何一方不得采取非法手段或以损害本项目的方式实现违约金。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网络安全：乙方如因网络安全问题，造成系统大范围、长时间无法正常使用或用户数据泄露而引起严重舆论事故，被国家、省或市级网络安全等监管部门通报或指出，每发生1起在本项目每次验收后支付的款项中分别扣除当年计划支付合同额5%、3%、2%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14.8.1系统稳定性：乙方如因系统设计、测试、功能完成度、参数配置等问题，造成系统大范围、长时间无法正常使用而引起严重舆论事故或造成甲方经济损失，每发生1起在本项目每次验收后支付的款项分别扣除当年计划支付合同额2%的费用，造成经济损失的由乙方赔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14.8.2系统功能未达到甲方基础需求的，将根据问题严重程度进行相应处罚。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累计扣费达到合同总额的10%时，合同终止。以合同自动终止之日为时间节点，确定乙方实际提供服务天数，占完整服务期天数的比例，按此比例确定阶段应付合同金额，在扣除合同总额10%的罚则款后，确定实际应付合同金额，按照多退少补原则，由乙方与甲方进行结算，并于合同自动终止日起三个月内付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15.1 </w:t>
      </w:r>
      <w:r>
        <w:rPr>
          <w:rFonts w:ascii="SimSun" w:hAnsi="SimSun" w:eastAsia="SimSun" w:cs="SimSun"/>
          <w:color w:val="000000"/>
          <w:sz w:val="24"/>
        </w:rPr>
        <w:t xml:space="preserve">如果双方由于不可抗拒力的任何事故（须经双方认同），致使影响合同履行时，履行合同的期限应予延长，延长期限相当于事故影响的时间。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本条所述的“不可抗拒力”系指双方无法控制、不可预见的事件。这些事件包括但不限于：战争、严重水灾、台风、地震以及其他双方商定的事件。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受事故影响的一方应在不可抗拒力事故发生后尽快以传真通知对方，双方应通过友好协商在合理时间内达成进一步履行合同的协议。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16.税费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16.1中国政府根据现行税法规定对甲方征收的与本合同有关的一切税费均由甲方负担（免税部分除外），采购文件另有规定的除外。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中国政府根据现行税法规定对乙方征收的与本合同有关的一切税费均由乙方负担（免税部分除外），采购文件另有规定的除外。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17.纠纷解决办法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在执行本合同中所发生的或与本合同有关的一切争端，甲方和乙方应通过友好协商的办法进行解决。如协商仍不能解决，则通过由甲方所在地人民法院诉讼。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在诉讼期间，本合同应继续执行。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18.违约终止合同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在甲方对乙方违约而采取的任何补救措施不受影响的情况下，甲方可向乙方发出终止部分或全部合同的书面通知书。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如果乙方未能按合同规定的期限或甲方同意延长的限期内完成部分或全部服务交付及相关的服务工作；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乙方在收到甲方发出的违约通知后20天内，或经甲方书面认可延长的时间内未能纠正其过失；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如果乙方未能履行合同规定的其他义务。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18.2在履行合同期间，出现未能响应上述服务要求，将每次从合同价款中扣除</w:t>
      </w:r>
      <w:r>
        <w:rPr>
          <w:rFonts w:ascii="SimSun" w:hAnsi="SimSun" w:eastAsia="SimSun" w:cs="SimSun"/>
          <w:color w:val="000000"/>
          <w:sz w:val="24"/>
          <w:u w:val="single"/>
        </w:rPr>
        <w:t xml:space="preserve">     </w:t>
      </w:r>
      <w:r>
        <w:rPr>
          <w:rFonts w:ascii="SimSun" w:hAnsi="SimSun" w:eastAsia="SimSun" w:cs="SimSun"/>
          <w:color w:val="000000"/>
          <w:sz w:val="24"/>
        </w:rPr>
        <w:t xml:space="preserve">元，出现此类情况达到3次的，甲方可以无条件终止合同并且有权拒绝付款。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甲方根据上述规定，终止了全部或部分合同后，甲方可以依其认为适当的条件和方法购买与未交服务类似的服务，乙方应对甲方购买类似服务所超出的那部分费用负责。但是，乙方应继续执行合同中未终止的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19.破产终止合同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如果乙方破产或无清偿能力时，甲方在任何时候书面通知乙方终止合同而不给乙方补偿。该终止合同将不损害或影响甲方已经或将要采取的补救措施的权利。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20.转让和分包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本合同不得转让与分包。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合同经甲方、乙方签章后生效。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本合同有效期为合同生效之日起至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本合同服务和服务交付使用后所发生的合同纠纷，甲方与乙方协商处理。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如需修改（指非主要合同条款）或补充合同内容，应经甲方、乙方协商，且修改及补充内容不得对本合同主要条款、采购文件和中标人的响应文件作实质性修改，并签署书面修改或补充协议，该协议将作为本合同不可分割的一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本合同应按照中华人民共和国的现行法律进行解释。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rPr>
          <w:sz w:val="24"/>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szCs w:val="22"/>
        </w:rPr>
        <w:t xml:space="preserve">合    同（采购包1）</w:t>
      </w:r>
      <w:r>
        <w:rPr>
          <w:sz w:val="22"/>
          <w:szCs w:val="22"/>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镇江市人力资源社会保障信息中心</w:t>
      </w:r>
      <w:r>
        <w:rPr>
          <w:rFonts w:ascii="SimSun" w:hAnsi="SimSun" w:eastAsia="SimSun" w:cs="SimSun"/>
          <w:color w:val="000000"/>
          <w:sz w:val="24"/>
        </w:rPr>
        <w:t xml:space="preserve">（以下简称 “甲方”） 和</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 “乙方”）按下述条款和条件签订本合同（以下简称“合同”）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1、合同文件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下列关于镇江市公共资源交易中心 JSZC-321100-JZCG-G2024-0048的招标文件、乙方提交的投标文件是构成本合同不可分割的部分：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（1）合同条款； </w:t>
      </w:r>
      <w:r>
        <w:rPr>
          <w:rFonts w:ascii="SimSun" w:hAnsi="SimSun" w:eastAsia="SimSun" w:cs="SimSun"/>
          <w:color w:val="000000"/>
          <w:sz w:val="24"/>
        </w:rPr>
        <w:t xml:space="preserve">（2）投标承诺函； </w:t>
      </w:r>
      <w:r>
        <w:rPr>
          <w:rFonts w:ascii="SimSun" w:hAnsi="SimSun" w:eastAsia="SimSun" w:cs="SimSun"/>
          <w:color w:val="000000"/>
          <w:sz w:val="24"/>
        </w:rPr>
        <w:t xml:space="preserve">（3）报价一览表；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（4）明细报价表； </w:t>
      </w:r>
      <w:r>
        <w:rPr>
          <w:rFonts w:ascii="SimSun" w:hAnsi="SimSun" w:eastAsia="SimSun" w:cs="SimSun"/>
          <w:color w:val="000000"/>
          <w:sz w:val="24"/>
        </w:rPr>
        <w:t xml:space="preserve">（5）技术方案及服务水平（售后）方案；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（6）成交通知书； </w:t>
      </w:r>
      <w:r>
        <w:rPr>
          <w:rFonts w:ascii="SimSun" w:hAnsi="SimSun" w:eastAsia="SimSun" w:cs="SimSun"/>
          <w:color w:val="000000"/>
          <w:sz w:val="24"/>
        </w:rPr>
        <w:t xml:space="preserve">（7）甲方、乙方商定的其他必要文件。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2、合同范围和条件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本合同的范围和条件应与上述合同文件的规定相一致。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3、标的物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本合同所提供的标的物详见“明细报价表”（本项目为交钥匙项目，乙方必须完全实现招标文件中的采购需求，如有不足或缺陷，由乙方自行负责弥补，甲方不再承担任何相关费用）。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4、合同金额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根据上述合同文件要求，合同金额（大写）为人民币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 ，￥</w:t>
      </w:r>
      <w:r>
        <w:rPr>
          <w:rFonts w:ascii="SimSun" w:hAnsi="SimSun" w:eastAsia="SimSun" w:cs="SimSun"/>
          <w:color w:val="000000"/>
          <w:sz w:val="24"/>
          <w:u w:val="single"/>
        </w:rPr>
        <w:t xml:space="preserve">     </w:t>
      </w:r>
      <w:r>
        <w:rPr>
          <w:rFonts w:ascii="SimSun" w:hAnsi="SimSun" w:eastAsia="SimSun" w:cs="SimSun"/>
          <w:color w:val="000000"/>
          <w:sz w:val="24"/>
        </w:rPr>
        <w:t xml:space="preserve">元（项目增加费用不得超过原合同金额的10％，同时双方必须签订补充合同），分项价格在乙方提交的报价表中有明确规定。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5、付款方式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w:t>
      </w:r>
      <w:r>
        <w:rPr>
          <w:rFonts w:ascii="SimSun" w:hAnsi="SimSun" w:eastAsia="SimSun" w:cs="SimSun"/>
          <w:color w:val="000000"/>
          <w:sz w:val="24"/>
        </w:rPr>
        <w:t xml:space="preserve">：合同签订后的10个工作日内甲方支付合同总价的50%，合同验收合格后支付合同总价的50%。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6、交货时间和服务地点</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本合同标的交付时间在“报价一览表”中有明确规定，服务（货物）交付及服务地点由甲方指定。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7、合同纠纷处理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本合同软件交付验收使用后及服务期间所发生的合同纠纷，由甲方与乙方进行处理。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8、合同生效及其它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本合同经甲方、乙方盖章后生效。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3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甲方（单位盖章）：镇江市人力资源社会保障信息中心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地址：镇江市运河路79号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电话：0511-85340332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经办人：佘劲森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乙方（单位盖章）：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地址：</w:t>
      </w:r>
      <w:r/>
    </w:p>
    <w:p>
      <w:pPr>
        <w:ind w:left="0" w:right="0" w:firstLine="0"/>
        <w:jc w:val="both"/>
        <w:spacing w:before="0" w:after="0" w:line="85" w:lineRule="atLeast"/>
        <w:rPr>
          <w:rFonts w:ascii="SimSun" w:hAnsi="SimSun" w:eastAsia="SimSun" w:cs="SimSun"/>
          <w:b/>
          <w:bCs/>
          <w:color w:val="000000"/>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电话：</w:t>
      </w:r>
      <w:r>
        <w:rPr>
          <w:rFonts w:ascii="SimSun" w:hAnsi="SimSun" w:eastAsia="SimSun" w:cs="SimSun"/>
          <w:b/>
          <w:bCs/>
          <w:color w:val="000000"/>
          <w:sz w:val="28"/>
          <w:szCs w:val="28"/>
        </w:rPr>
      </w:r>
      <w:r/>
    </w:p>
    <w:p>
      <w:pPr>
        <w:ind w:left="0" w:right="0" w:firstLine="0"/>
        <w:jc w:val="both"/>
        <w:spacing w:before="0" w:after="0" w:line="85" w:lineRule="atLeast"/>
        <w:rPr>
          <w:rFonts w:ascii="SimSun" w:hAnsi="SimSun" w:eastAsia="SimSun" w:cs="SimSun"/>
          <w:b/>
          <w:bCs/>
          <w:color w:val="000000"/>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r>
      <w:r>
        <w:rPr>
          <w:rFonts w:ascii="SimSun" w:hAnsi="SimSun" w:eastAsia="SimSun" w:cs="SimSun"/>
          <w:b/>
          <w:color w:val="000000"/>
          <w:sz w:val="28"/>
        </w:rPr>
        <w:t xml:space="preserve">经办人：</w:t>
      </w:r>
      <w:r>
        <w:rPr>
          <w:rFonts w:ascii="SimSun" w:hAnsi="SimSun" w:eastAsia="SimSun" w:cs="SimSun"/>
          <w:b/>
          <w:color w:val="000000"/>
          <w:sz w:val="28"/>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合同签订日期： </w:t>
      </w:r>
      <w:r/>
    </w:p>
    <w:p>
      <w:pPr>
        <w:ind w:left="0" w:right="0" w:firstLine="0"/>
        <w:jc w:val="right"/>
        <w:spacing w:before="0" w:after="0" w:line="85" w:lineRule="atLeast"/>
        <w:rPr>
          <w:rFonts w:ascii="SimSun" w:hAnsi="SimSun" w:eastAsia="SimSun" w:cs="SimSun"/>
          <w:b/>
          <w:bCs/>
          <w:color w:val="000000"/>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r>
      <w:r>
        <w:rPr>
          <w:rFonts w:ascii="SimSun" w:hAnsi="SimSun" w:eastAsia="SimSun" w:cs="SimSun"/>
          <w:b/>
          <w:color w:val="000000"/>
          <w:sz w:val="28"/>
        </w:rPr>
        <w:t xml:space="preserve">                          </w:t>
      </w:r>
      <w:r>
        <w:rPr>
          <w:rFonts w:ascii="SimSun" w:hAnsi="SimSun" w:eastAsia="SimSun" w:cs="SimSun"/>
          <w:b/>
          <w:color w:val="000000"/>
          <w:sz w:val="28"/>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28"/>
        </w:rPr>
        <w:t xml:space="preserve">2024年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 （采购包2）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政府采购货物买卖合同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4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p>
    <w:p>
      <w:pPr>
        <w:ind w:left="4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合同编号：</w:t>
      </w:r>
      <w:r/>
    </w:p>
    <w:p>
      <w:pPr>
        <w:ind w:left="4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    方：</w:t>
      </w:r>
      <w:r/>
    </w:p>
    <w:p>
      <w:pPr>
        <w:ind w:left="4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乙   方：</w:t>
      </w:r>
      <w:r/>
    </w:p>
    <w:p>
      <w:pPr>
        <w:ind w:left="44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rPr>
          <w:sz w:val="18"/>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szCs w:val="16"/>
        </w:rPr>
        <w:t xml:space="preserve">使用说明</w:t>
      </w:r>
      <w:r>
        <w:rPr>
          <w:sz w:val="16"/>
          <w:szCs w:val="16"/>
        </w:rPr>
      </w:r>
      <w:r/>
    </w:p>
    <w:p>
      <w:pPr>
        <w:ind w:left="0" w:right="0" w:firstLine="640"/>
        <w:jc w:val="both"/>
        <w:spacing w:before="0" w:after="0"/>
        <w:rPr>
          <w:sz w:val="20"/>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18"/>
        </w:rPr>
        <w:t xml:space="preserve"> </w:t>
      </w:r>
      <w:r>
        <w:rPr>
          <w:sz w:val="18"/>
          <w:szCs w:val="18"/>
        </w:rPr>
      </w:r>
      <w:r/>
    </w:p>
    <w:p>
      <w:pPr>
        <w:ind w:left="0" w:right="0" w:firstLine="640"/>
        <w:jc w:val="both"/>
        <w:spacing w:before="0" w:after="0"/>
        <w:rPr>
          <w:sz w:val="20"/>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18"/>
        </w:rPr>
        <w:t xml:space="preserve">1.本合同标准文本适用于购买现成货物的采购项目，不包括需要供应商定制开发、创新研发的货物采购项目。</w:t>
      </w:r>
      <w:r>
        <w:rPr>
          <w:sz w:val="18"/>
          <w:szCs w:val="18"/>
        </w:rPr>
      </w:r>
      <w:r/>
    </w:p>
    <w:p>
      <w:pPr>
        <w:ind w:left="0" w:right="0" w:firstLine="640"/>
        <w:jc w:val="both"/>
        <w:spacing w:before="0" w:after="0"/>
        <w:rPr>
          <w:sz w:val="20"/>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18"/>
        </w:rPr>
        <w:t xml:space="preserve">2.本合同标准文本为政府采购货物买卖合同编制提供参考，可以结合采购项目具体情况，对文本作必要的调整修订后使用。</w:t>
      </w:r>
      <w:r>
        <w:rPr>
          <w:sz w:val="18"/>
          <w:szCs w:val="18"/>
        </w:rPr>
      </w:r>
      <w:r/>
    </w:p>
    <w:p>
      <w:pPr>
        <w:ind w:left="0" w:right="0" w:firstLine="640"/>
        <w:jc w:val="both"/>
        <w:spacing w:before="0" w:after="0"/>
        <w:rPr>
          <w:sz w:val="20"/>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18"/>
        </w:rPr>
        <w:t xml:space="preserve">3.本合同标准文本各条款中，如涉及填写多家供应商、制造商，多种采购标的、分包主要内容等信息的，可根据采购项目具体情况添加信息项。</w:t>
      </w:r>
      <w:r>
        <w:rPr>
          <w:sz w:val="18"/>
          <w:szCs w:val="18"/>
        </w:rPr>
      </w:r>
      <w:r/>
    </w:p>
    <w:p>
      <w:pPr>
        <w:ind w:left="0" w:right="0" w:firstLine="0"/>
        <w:spacing w:before="0" w:after="0"/>
        <w:pBdr>
          <w:top w:val="none" w:color="000000" w:sz="4" w:space="0"/>
          <w:left w:val="none" w:color="000000" w:sz="4" w:space="0"/>
          <w:bottom w:val="none" w:color="000000" w:sz="4" w:space="0"/>
          <w:right w:val="none" w:color="000000" w:sz="4" w:space="0"/>
        </w:pBdr>
      </w:pPr>
      <w:r>
        <w:rPr>
          <w:sz w:val="18"/>
          <w:szCs w:val="18"/>
        </w:rP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Sun" w:hAnsi="SimSun" w:eastAsia="SimSun" w:cs="SimSun"/>
          <w:b/>
          <w:color w:val="000000"/>
          <w:sz w:val="28"/>
        </w:rPr>
        <w:t xml:space="preserve"> </w:t>
      </w:r>
      <w:r>
        <w:rPr>
          <w:rFonts w:ascii="SimSun" w:hAnsi="SimSun" w:eastAsia="SimSun" w:cs="SimSun"/>
          <w:sz w:val="44"/>
        </w:rPr>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第一节 政府采购合同协议书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甲方（全称）：镇江市机关事务管理局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项目信息</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rPr>
          <w:rFonts w:ascii="SimSun" w:hAnsi="SimSun" w:eastAsia="SimSun" w:cs="SimSun"/>
          <w:b/>
          <w:color w:val="000000"/>
          <w:sz w:val="24"/>
        </w:rPr>
        <w:t xml:space="preserve">镇江市社银数据共享应用法律风控平台项目（采购包2）</w:t>
      </w:r>
      <w:r/>
    </w:p>
    <w:p>
      <w:pPr>
        <w:ind w:left="0" w:right="0" w:firstLine="0"/>
        <w:jc w:val="both"/>
        <w:spacing w:before="0" w:after="0" w:line="85"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采购项目编号：JSZC-321100-JZCG-G2024-0048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采购标的及数量（台/套/个/架/组等）：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采购标的的技术要求、商务要求具体见附件。</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①涉及信息类产品，请填写该产品关键部件的品牌、型号：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标的名称：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关键部件：品牌：型号：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关键部件：品牌：型号：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关键部件：品牌：型号：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w:t>
      </w:r>
      <w:r>
        <w:rPr>
          <w:rFonts w:ascii="Wingdings" w:hAnsi="Wingdings" w:eastAsia="Wingdings" w:cs="Wingdings"/>
          <w:color w:val="000000"/>
          <w:sz w:val="24"/>
        </w:rPr>
        <w:t xml:space="preserve">¨</w:t>
      </w:r>
      <w:r>
        <w:rPr>
          <w:rFonts w:ascii="SimSun" w:hAnsi="SimSun" w:eastAsia="SimSun" w:cs="SimSun"/>
          <w:color w:val="000000"/>
          <w:sz w:val="24"/>
        </w:rPr>
        <w:t xml:space="preserve">政府集中采购</w:t>
      </w:r>
      <w:r>
        <w:rPr>
          <w:rFonts w:ascii="Wingdings" w:hAnsi="Wingdings" w:eastAsia="Wingdings" w:cs="Wingdings"/>
          <w:color w:val="000000"/>
          <w:sz w:val="24"/>
        </w:rPr>
        <w:t xml:space="preserve">¨</w:t>
      </w:r>
      <w:r>
        <w:rPr>
          <w:rFonts w:ascii="SimSun" w:hAnsi="SimSun" w:eastAsia="SimSun" w:cs="SimSun"/>
          <w:color w:val="000000"/>
          <w:sz w:val="24"/>
        </w:rPr>
        <w:t xml:space="preserve">部门集中采购  </w:t>
      </w:r>
      <w:r>
        <w:rPr>
          <w:rFonts w:ascii="Wingdings" w:hAnsi="Wingdings" w:eastAsia="Wingdings" w:cs="Wingdings"/>
          <w:color w:val="000000"/>
          <w:sz w:val="24"/>
        </w:rPr>
        <w:t xml:space="preserve">¨</w:t>
      </w:r>
      <w:r>
        <w:rPr>
          <w:rFonts w:ascii="SimSun" w:hAnsi="SimSun" w:eastAsia="SimSun" w:cs="SimSun"/>
          <w:color w:val="000000"/>
          <w:sz w:val="24"/>
        </w:rPr>
        <w:t xml:space="preserve">分散采购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w:t>
      </w:r>
      <w:r>
        <w:rPr>
          <w:rFonts w:ascii="Wingdings" w:hAnsi="Wingdings" w:eastAsia="Wingdings" w:cs="Wingdings"/>
          <w:color w:val="000000"/>
          <w:sz w:val="24"/>
        </w:rPr>
        <w:t xml:space="preserve">¨</w:t>
      </w:r>
      <w:r>
        <w:rPr>
          <w:rFonts w:ascii="SimSun" w:hAnsi="SimSun" w:eastAsia="SimSun" w:cs="SimSun"/>
          <w:color w:val="000000"/>
          <w:sz w:val="24"/>
        </w:rPr>
        <w:t xml:space="preserve">公开招标</w:t>
      </w:r>
      <w:r>
        <w:rPr>
          <w:rFonts w:ascii="Wingdings" w:hAnsi="Wingdings" w:eastAsia="Wingdings" w:cs="Wingdings"/>
          <w:color w:val="000000"/>
          <w:sz w:val="24"/>
        </w:rPr>
        <w:t xml:space="preserve">¨</w:t>
      </w:r>
      <w:r>
        <w:rPr>
          <w:rFonts w:ascii="SimSun" w:hAnsi="SimSun" w:eastAsia="SimSun" w:cs="SimSun"/>
          <w:color w:val="000000"/>
          <w:sz w:val="24"/>
        </w:rPr>
        <w:t xml:space="preserve">邀请招标</w:t>
      </w:r>
      <w:r>
        <w:rPr>
          <w:rFonts w:ascii="Wingdings" w:hAnsi="Wingdings" w:eastAsia="Wingdings" w:cs="Wingdings"/>
          <w:color w:val="000000"/>
          <w:sz w:val="24"/>
        </w:rPr>
        <w:t xml:space="preserve">¨</w:t>
      </w:r>
      <w:r>
        <w:rPr>
          <w:rFonts w:ascii="SimSun" w:hAnsi="SimSun" w:eastAsia="SimSun" w:cs="SimSun"/>
          <w:color w:val="000000"/>
          <w:sz w:val="24"/>
        </w:rPr>
        <w:t xml:space="preserve">竞争性谈判</w:t>
      </w:r>
      <w:r>
        <w:rPr>
          <w:rFonts w:ascii="Wingdings" w:hAnsi="Wingdings" w:eastAsia="Wingdings" w:cs="Wingdings"/>
          <w:color w:val="000000"/>
          <w:sz w:val="24"/>
        </w:rPr>
        <w:t xml:space="preserve">¨</w:t>
      </w:r>
      <w:r>
        <w:rPr>
          <w:rFonts w:ascii="SimSun" w:hAnsi="SimSun" w:eastAsia="SimSun" w:cs="SimSun"/>
          <w:color w:val="000000"/>
          <w:sz w:val="24"/>
        </w:rPr>
        <w:t xml:space="preserve">竞争性磋商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询价</w:t>
      </w:r>
      <w:r>
        <w:rPr>
          <w:rFonts w:ascii="Wingdings" w:hAnsi="Wingdings" w:eastAsia="Wingdings" w:cs="Wingdings"/>
          <w:color w:val="000000"/>
          <w:sz w:val="24"/>
        </w:rPr>
        <w:t xml:space="preserve">¨</w:t>
      </w:r>
      <w:r>
        <w:rPr>
          <w:rFonts w:ascii="SimSun" w:hAnsi="SimSun" w:eastAsia="SimSun" w:cs="SimSun"/>
          <w:color w:val="000000"/>
          <w:sz w:val="24"/>
        </w:rPr>
        <w:t xml:space="preserve">单一来源</w:t>
      </w:r>
      <w:r>
        <w:rPr>
          <w:rFonts w:ascii="Wingdings" w:hAnsi="Wingdings" w:eastAsia="Wingdings" w:cs="Wingdings"/>
          <w:color w:val="000000"/>
          <w:sz w:val="24"/>
        </w:rPr>
        <w:t xml:space="preserve">¨</w:t>
      </w:r>
      <w:r>
        <w:rPr>
          <w:rFonts w:ascii="SimSun" w:hAnsi="SimSun" w:eastAsia="SimSun" w:cs="SimSun"/>
          <w:color w:val="000000"/>
          <w:sz w:val="24"/>
        </w:rPr>
        <w:t xml:space="preserve">框架协议</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（注：在框架协议采购的第二阶段，可选择使用该合同文本）</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（6）中标（成交）采购标的制造商是否为中小企业：</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本合同是否为专门面向中小企业的采购合同（中小企业预留合同）：</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若本项目不专门面向中小企业采购，是否给予小微企业评审优惠：</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中标（成交）采购标的制造商是否为残疾人福利性单位：</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中标（成交）采购标的制造商是否为监狱企业：</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（7）合同是否分包：</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分包主要内容：</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分包供应商/制造商名称（如供应商和制造商不同，请分别填写）：</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分包供应商/制造商类型（如果供应商和制造商不同，只填写制造商类型）：</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小微型企业</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w:t>
      </w:r>
      <w:r>
        <w:rPr>
          <w:rFonts w:ascii="Wingdings" w:hAnsi="Wingdings" w:eastAsia="Wingdings" w:cs="Wingdings"/>
          <w:color w:val="000000"/>
          <w:sz w:val="24"/>
        </w:rPr>
        <w:t xml:space="preserve">¨</w:t>
      </w:r>
      <w:r>
        <w:rPr>
          <w:rFonts w:ascii="SimSun" w:hAnsi="SimSun" w:eastAsia="SimSun" w:cs="SimSun"/>
          <w:color w:val="000000"/>
          <w:sz w:val="24"/>
        </w:rPr>
        <w:t xml:space="preserve">监狱企业</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（8）中标（成交）供应商是否为外商投资企业：</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spacing w:before="0" w:after="0" w:line="85" w:lineRule="atLeast"/>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外商投资企业类型：</w:t>
      </w:r>
      <w:r>
        <w:rPr>
          <w:rFonts w:ascii="Wingdings" w:hAnsi="Wingdings" w:eastAsia="Wingdings" w:cs="Wingdings"/>
          <w:color w:val="000000"/>
          <w:sz w:val="24"/>
        </w:rPr>
        <w:t xml:space="preserve">¨</w:t>
      </w:r>
      <w:r>
        <w:rPr>
          <w:rFonts w:ascii="SimSun" w:hAnsi="SimSun" w:eastAsia="SimSun" w:cs="SimSun"/>
          <w:color w:val="000000"/>
          <w:sz w:val="24"/>
        </w:rPr>
        <w:t xml:space="preserve">全部由外国投资者投资  </w:t>
      </w:r>
      <w:r>
        <w:rPr>
          <w:rFonts w:ascii="Wingdings" w:hAnsi="Wingdings" w:eastAsia="Wingdings" w:cs="Wingdings"/>
          <w:color w:val="000000"/>
          <w:sz w:val="24"/>
        </w:rPr>
        <w:t xml:space="preserve">¨</w:t>
      </w:r>
      <w:r>
        <w:rPr>
          <w:rFonts w:ascii="SimSun" w:hAnsi="SimSun" w:eastAsia="SimSun" w:cs="SimSun"/>
          <w:color w:val="000000"/>
          <w:sz w:val="24"/>
        </w:rPr>
        <w:t xml:space="preserve">部分由外国投资者投资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（9）是否涉及进口产品：</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是，《政府采购品目分类目录》底级品目名称：金额：</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国别：品牌： 规格型号：</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（10）是否涉及节能产品：</w:t>
      </w:r>
      <w:r/>
    </w:p>
    <w:p>
      <w:pPr>
        <w:ind w:left="0" w:right="0" w:firstLine="96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是，《节能产品政府采购品目清单》的底级品目名称：</w:t>
      </w:r>
      <w:r/>
    </w:p>
    <w:p>
      <w:pPr>
        <w:ind w:left="0" w:right="0" w:firstLine="96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96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是否涉及环境标志产品：</w:t>
      </w:r>
      <w:r/>
    </w:p>
    <w:p>
      <w:pPr>
        <w:ind w:left="0" w:right="0" w:firstLine="96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是，《环境标志产品政府采购品目清单》的底级品目名称：</w:t>
      </w:r>
      <w:r/>
    </w:p>
    <w:p>
      <w:pPr>
        <w:ind w:left="0" w:right="0" w:firstLine="84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96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是否涉及绿色产品：</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是，绿色产品政府采购相关政策确定的底级品目名称：</w:t>
      </w:r>
      <w:r/>
    </w:p>
    <w:p>
      <w:pPr>
        <w:ind w:left="0" w:right="0" w:firstLine="84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（11）涉及商品包装和快递包装的，是否参考《商品包装政府采购需求标准（试行）》、《快递包装政府采购需求标准（试行）》明确产品及相关快递服务的具体包装要求：</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rPr>
          <w:rFonts w:ascii="Wingdings" w:hAnsi="Wingdings" w:eastAsia="Wingdings" w:cs="Wingdings"/>
          <w:color w:val="000000"/>
          <w:sz w:val="24"/>
        </w:rPr>
        <w:t xml:space="preserve">¨</w:t>
      </w:r>
      <w:r>
        <w:rPr>
          <w:rFonts w:ascii="SimSun" w:hAnsi="SimSun" w:eastAsia="SimSun" w:cs="SimSun"/>
          <w:color w:val="000000"/>
          <w:sz w:val="24"/>
        </w:rPr>
        <w:t xml:space="preserve">不涉及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（1）合同金额小写：</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分包金额（如有）小写：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（2）付款方式：</w:t>
      </w:r>
      <w:r/>
    </w:p>
    <w:p>
      <w:pPr>
        <w:ind w:left="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合同签订收到发票后的10个工作日内支付合同总价的60%，验收合格收到发票后支付合同总价的40%。</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（1）起始日期：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日，完成日期：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（3）履约担保：本项目不收取履约保证金。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（4）分期履行要求：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（5）风险处置措施和替代方案：</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合同验收</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验收组织方式：</w:t>
      </w:r>
      <w:r>
        <w:rPr>
          <w:rFonts w:ascii="Wingdings" w:hAnsi="Wingdings" w:eastAsia="Wingdings" w:cs="Wingdings"/>
          <w:color w:val="000000"/>
          <w:sz w:val="24"/>
        </w:rPr>
        <w:t xml:space="preserve">¨</w:t>
      </w:r>
      <w:r>
        <w:rPr>
          <w:rFonts w:ascii="SimSun" w:hAnsi="SimSun" w:eastAsia="SimSun" w:cs="SimSun"/>
          <w:color w:val="000000"/>
          <w:sz w:val="24"/>
        </w:rPr>
        <w:t xml:space="preserve">自行组织</w:t>
      </w:r>
      <w:r>
        <w:rPr>
          <w:rFonts w:ascii="Wingdings" w:hAnsi="Wingdings" w:eastAsia="Wingdings" w:cs="Wingdings"/>
          <w:color w:val="000000"/>
          <w:sz w:val="24"/>
        </w:rPr>
        <w:t xml:space="preserve">¨</w:t>
      </w:r>
      <w:r>
        <w:rPr>
          <w:rFonts w:ascii="SimSun" w:hAnsi="SimSun" w:eastAsia="SimSun" w:cs="SimSun"/>
          <w:color w:val="000000"/>
          <w:sz w:val="24"/>
        </w:rPr>
        <w:t xml:space="preserve">委托第三方组织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验收主体：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是否邀请本项目的其他供应商参加验收：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是否邀请专家参加验收：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是否邀请服务对象参加验收：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是否邀请第三方检测机构参加验收：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是否进行抽查检测：</w:t>
      </w:r>
      <w:r>
        <w:rPr>
          <w:rFonts w:ascii="Wingdings" w:hAnsi="Wingdings" w:eastAsia="Wingdings" w:cs="Wingdings"/>
          <w:color w:val="000000"/>
          <w:sz w:val="24"/>
        </w:rPr>
        <w:t xml:space="preserve">¨</w:t>
      </w:r>
      <w:r>
        <w:rPr>
          <w:rFonts w:ascii="SimSun" w:hAnsi="SimSun" w:eastAsia="SimSun" w:cs="SimSun"/>
          <w:color w:val="000000"/>
          <w:sz w:val="24"/>
        </w:rPr>
        <w:t xml:space="preserve">是，抽查比例：</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是否存在破坏性检测：</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SimSun" w:hAnsi="SimSun" w:eastAsia="SimSun" w:cs="SimSun"/>
          <w:color w:val="000000"/>
          <w:sz w:val="24"/>
          <w:u w:val="single"/>
        </w:rPr>
        <w:t xml:space="preserve">（应明确对被破坏的检测产品的处理方式）</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验收组织的其他事项：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w:t>
      </w:r>
      <w:r>
        <w:rPr>
          <w:rFonts w:ascii="SimSun" w:hAnsi="SimSun" w:eastAsia="SimSun" w:cs="SimSun"/>
          <w:color w:val="000000"/>
          <w:sz w:val="24"/>
          <w:u w:val="single"/>
        </w:rPr>
        <w:t xml:space="preserve">（计划于何时验收/供应商提出验收申请之日起   日内组织验收）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w:t>
      </w:r>
      <w:r>
        <w:rPr>
          <w:rFonts w:ascii="Wingdings" w:hAnsi="Wingdings" w:eastAsia="Wingdings" w:cs="Wingdings"/>
          <w:color w:val="000000"/>
          <w:sz w:val="24"/>
        </w:rPr>
        <w:t xml:space="preserve">¨</w:t>
      </w:r>
      <w:r>
        <w:rPr>
          <w:rFonts w:ascii="SimSun" w:hAnsi="SimSun" w:eastAsia="SimSun" w:cs="SimSun"/>
          <w:color w:val="000000"/>
          <w:sz w:val="24"/>
        </w:rPr>
        <w:t xml:space="preserve">一次性验收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分期/分项验收：</w:t>
      </w:r>
      <w:r>
        <w:rPr>
          <w:rFonts w:ascii="SimSun" w:hAnsi="SimSun" w:eastAsia="SimSun" w:cs="SimSun"/>
          <w:color w:val="000000"/>
          <w:sz w:val="24"/>
          <w:u w:val="single"/>
        </w:rPr>
        <w:t xml:space="preserve">（应明确分期/分项验收的工作安排）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（5）履约验收的内容：</w:t>
      </w:r>
      <w:r>
        <w:rPr>
          <w:rFonts w:ascii="SimSun" w:hAnsi="SimSun" w:eastAsia="SimSun" w:cs="SimSun"/>
          <w:color w:val="000000"/>
          <w:sz w:val="24"/>
          <w:u w:val="single"/>
        </w:rPr>
        <w:t xml:space="preserve">（应当包括每一项技术和商务要求的履约情况，特别是落实政府采购扶持中小企业，支持绿色发展和乡村振兴等政策情况）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（7）是否以采购活动中供应商提供的样品作为参考：</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（8）履约验收其他事项：</w:t>
      </w:r>
      <w:r>
        <w:rPr>
          <w:rFonts w:ascii="SimSun" w:hAnsi="SimSun" w:eastAsia="SimSun" w:cs="SimSun"/>
          <w:color w:val="000000"/>
          <w:sz w:val="24"/>
          <w:u w:val="single"/>
        </w:rPr>
        <w:t xml:space="preserve">（产权过户登记等）</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组成合同的文件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（2）投标书（函）；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（5）技术方案及服务承诺；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（7）甲方、乙方商定的其他必要文件。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6"/>
        <w:gridCol w:w="2691"/>
        <w:gridCol w:w="2178"/>
        <w:gridCol w:w="2374"/>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11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第二节 政府采购合同通用条款</w:t>
      </w:r>
      <w:r/>
    </w:p>
    <w:p>
      <w:pPr>
        <w:ind w:left="0" w:right="0" w:firstLine="0"/>
        <w:spacing w:before="0" w:after="0" w:line="85"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整合、调试、培训、维修、废弃处置、技术支持等以及合同中规定乙方应承担的其他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rPr>
        <w:t xml:space="preserve">、</w:t>
      </w:r>
      <w:r>
        <w:rPr>
          <w:rFonts w:ascii="SimSun" w:hAnsi="SimSun" w:eastAsia="SimSun" w:cs="SimSun"/>
          <w:b/>
          <w:color w:val="000000"/>
          <w:sz w:val="24"/>
        </w:rPr>
        <w:t xml:space="preserve">合同标的及金额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4.3甲方有权要求乙方对缺陷部分予以修复，并按合同约定享有货物保修及其他合同约定的权利。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4.5甲方应当根据合同约定及时向乙方支付合同价款，不得以内部人员变更、履行内部付款流程等为由，拒绝或迟延支付。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SimSun" w:hAnsi="SimSun" w:eastAsia="SimSun" w:cs="SimSun"/>
          <w:b/>
          <w:color w:val="000000"/>
          <w:sz w:val="24"/>
        </w:rPr>
        <w:t xml:space="preserve">、</w:t>
      </w:r>
      <w:r>
        <w:rPr>
          <w:rFonts w:ascii="SimSun" w:hAnsi="SimSun" w:eastAsia="SimSun" w:cs="SimSun"/>
          <w:b/>
          <w:color w:val="000000"/>
          <w:sz w:val="24"/>
        </w:rPr>
        <w:t xml:space="preserve">合同履行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9.权利瑕疵担保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10.知识产权保护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w:t>
      </w:r>
      <w:r>
        <w:rPr>
          <w:rFonts w:ascii="SimSun" w:hAnsi="SimSun" w:eastAsia="SimSun" w:cs="SimSun"/>
          <w:color w:val="000000"/>
          <w:sz w:val="24"/>
          <w:u w:val="none"/>
        </w:rPr>
        <w:t xml:space="preserve">因违反前述约定对第三人构成侵权的，应当由乙方向第三人承担法律责任；甲方依法向第三人赔偿后，有权向乙方追偿。甲方有其他损失的，乙方应当赔偿</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12.合同价款支付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15.2迟延交货的违约责任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firstLine="0"/>
        <w:jc w:val="both"/>
        <w:spacing w:before="0" w:after="0" w:line="85"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w:t>
      </w:r>
      <w:r>
        <w:rPr>
          <w:rFonts w:ascii="SimSun" w:hAnsi="SimSun" w:eastAsia="SimSun" w:cs="SimSun"/>
          <w:b/>
          <w:color w:val="000000"/>
          <w:sz w:val="24"/>
        </w:rPr>
        <w:t xml:space="preserve">合同变更、中止与终止</w:t>
      </w:r>
      <w:r>
        <w:rPr>
          <w:rFonts w:ascii="SimSun" w:hAnsi="SimSun" w:eastAsia="SimSun" w:cs="SimSun"/>
          <w:b/>
          <w:bCs/>
          <w:color w:val="000000"/>
          <w:sz w:val="24"/>
          <w:szCs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16.1合同的变更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本项目不接受分包和转包。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19.解决争议的方法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20.政府采购政策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21.法律适用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21.1本合同的订立、生效、解释、履行及与本合同有关的争议解决，均适用法律、行政法规。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21.2本合同条款与法律、行政法规的强制性规定不一致的，双方当事人应按照法律、行政法规的强制性规定修改本合同的相关条款。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22.1本合同任何一方向对方发出的通知、信件、数据电文等，应当发送至本合同第一部分《政府采购合同协议书》所约定的通讯地址、联系人、联系电话或电子邮箱。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22.2一方当事人变更名称、住所、联系人、联系电话或电子邮箱等信息的，应当在变更后3日内及时书面通知对方，对方实际收到变更通知前的送达仍为有效送达。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23.合同未尽事项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第三节 政府采购合同专用条款</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98"/>
        <w:gridCol w:w="1606"/>
        <w:gridCol w:w="5933"/>
      </w:tblGrid>
      <w:tr>
        <w:trPr>
          <w:trHeight w:val="73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0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7天</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镇江市镇江市人力资源社会保障信息中心</w:t>
            </w:r>
            <w:r/>
          </w:p>
        </w:tc>
      </w:tr>
      <w:tr>
        <w:trPr>
          <w:trHeight w:val="77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货物交货前由乙方承担保险义务</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48小时</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合同签订收到发票后的10个工作日内支付合同总价的60%，验收合格收到发票后支付合同总价的40%。</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本合同总金额的10%的款项作为迟延交货赔偿费</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7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甲方所在地</w:t>
            </w:r>
            <w:r/>
          </w:p>
        </w:tc>
      </w:tr>
      <w:tr>
        <w:trPr>
          <w:trHeight w:val="7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甲方所在地</w:t>
            </w:r>
            <w:r/>
          </w:p>
        </w:tc>
      </w:tr>
      <w:tr>
        <w:trPr>
          <w:trHeight w:val="7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54" w:right="85" w:hanging="25"/>
              <w:spacing w:before="181"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1、中国政府根据现行税法规定对甲方征收的、与本合同有关的一切税费，均由甲方负担，招标文件另有规定的除外。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2、中国政府根据现行税法规定对乙方征收的、与本合同有关的一切税费，均由乙方负担。</w:t>
            </w:r>
            <w:r/>
          </w:p>
        </w:tc>
      </w:tr>
      <w:tr>
        <w:trPr>
          <w:trHeight w:val="7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1、在甲方对乙方违约而采取的任何补救措施不受影响的情况下，甲方可向乙方发出终止部分或全部合同的书面通知书。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如果乙方未能按合同规定的期限或甲方同意延长的限期内完成部分或全部服务工作;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乙方在收到甲方发出的违约通知后10天内，或经甲方书面认可延长的时间内未能纠正其过失;</w:t>
            </w:r>
            <w:r/>
          </w:p>
          <w:p>
            <w:pPr>
              <w:ind w:left="66" w:right="0" w:firstLine="0"/>
              <w:spacing w:before="182"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如果乙方未能履行合同规定的其他义务。</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合同生效及其它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59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本合同自双方签定之日起生效，至服务完成并付清费用结束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4"/>
          <w:highlight w:val="whit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第四部分 采购需求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 社银数据共享应用法律风控平台软件采购</w:t>
      </w:r>
      <w:r/>
    </w:p>
    <w:p>
      <w:pPr>
        <w:ind w:left="70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24"/>
        </w:rPr>
        <w:t xml:space="preserve">、</w:t>
      </w:r>
      <w:r>
        <w:rPr>
          <w:rFonts w:ascii="SimSun" w:hAnsi="SimSun" w:eastAsia="SimSun" w:cs="SimSun"/>
          <w:b/>
          <w:color w:val="000000"/>
          <w:sz w:val="24"/>
        </w:rPr>
        <w:t xml:space="preserve">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年来，国家、部委积极推进业数字化转型工作，2022年12月，国家发布《中共中央国务院关于构建数据基础制度更好发挥数据要素作用的意见》，提出加快构建数据基础制度，充分发挥我国海量数据规模和丰富应用场景优势，激活数据要素潜能，做强做优做大数字经济，增强经济发展新动能，构筑国家竞争新优势。2023年6月，人社部发布《人力资源社会保障部关于印发数字人社建设行动实施方案的通知》，决定实施数字人社建设行动，全面推行数字化改革，为推进人力资源社会保障领域治理体系和治理能力现代化提供有力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数字化转型的大背景下，镇江市人社局不断强化数据开放共享和探索数字化创新赋能应用，根据相关工作统一部署，拟进一步加强与社保卡合作金融机构（银行）间的数据共享利用，已与各相关意向合作银行签订了应用合作协议。此类面向非政务部门的第三方开展的“数据对外应用”工作在我市人社行业尚属首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当前日益严峻的网络安全形势下，《网络安全法》、《个人信息保护条例》等相关法律法规要求的不断提高，对本次数据对接的网络安全保障工作提出了新的要求。市人社局拟建设“镇江市社银数据共享应用法律风控平台项目”（后简称“平台”），依托该平台来规范和保障社银双方数据共享合作全过程、全生命周期的网络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本项目所属行业：软件和信息技术服务业。</w:t>
      </w:r>
      <w:r/>
    </w:p>
    <w:p>
      <w:pPr>
        <w:ind w:lef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b/>
          <w:color w:val="000000"/>
          <w:sz w:val="24"/>
        </w:rPr>
        <w:t xml:space="preserve">、</w:t>
      </w:r>
      <w:r>
        <w:rPr>
          <w:rFonts w:ascii="SimSun" w:hAnsi="SimSun" w:eastAsia="SimSun" w:cs="SimSun"/>
          <w:b/>
          <w:color w:val="000000"/>
          <w:sz w:val="24"/>
        </w:rPr>
        <w:t xml:space="preserve">项目建设总体要求</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总体建设思路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依托江苏省人社一体化信息平台系统回流数据以及本地数据资源，整合现有信息化成果，依据相关法律、法规要求，按照“一事一授权”和“可用不可见、数据不搬家”的原则，在确保数据安全、风险可控的前提下，开展镇江人社与社会保障卡合作金融机构（银行）间的数据共享工作。人社部门不直接提供原始数据，由服务对象（个人或企事业单位）经银行系统向平台发起申请，平台根据《个人信息保法》相关要求并结合授权书模版生成授权书，个人签署确认，核验通过后进行模型算法计算，生成必要的核验评价数据加密后返回给相应金融机构，金融机构实时解密。全流</w:t>
      </w:r>
      <w:r>
        <w:rPr>
          <w:rFonts w:ascii="SimSun" w:hAnsi="SimSun" w:eastAsia="SimSun" w:cs="SimSun"/>
          <w:color w:val="000000"/>
          <w:sz w:val="24"/>
        </w:rPr>
        <w:t xml:space="preserve">程采用公证平台的“电子公证+司法区块链”技术实现服务对象的身份认证、电子签名，确保签署人身份及签署意思表示的真实性，同时对数据调用相关的证据实施固定，并将必要数据记入至具有法定管辖权的公证区块链，以保障数据共享工作的合规性及全调用流程的可追溯、可证明。</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项目采购范围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本项目采购内容包括“镇江人社数据安全共享法律风控系统平台”全部软件开发费用。</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项目建设周期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本项目应在2024年10月底前完成全部开发部署及对接测试工作并试运行上线，2024年11月底前正式上线运行。</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项目主要建设内容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总体规划设计，推动人社公共数据开发利用、赋能经济社会发展创新尝试，围绕镇江人社与金融机构数据数据安全共享，建设镇江人社数据安全共享法律风控系统平台，赋能金融机构创新金融业务，为人社数据安全共享提供便捷渠道和风险控制手段，实现一次投入、多方受益、安全可控、服务提升。</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项目建设原则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系统设计应遵循以下原则：</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规范标准，统筹规划。遵循国家、部、省、市及人社行业相关标准规范，统筹规划系统整体设计，确保系统达到目标效果。</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保障安全，保护隐私。系统设计应把安全性放在首位，既要考虑数据安全共享，也要考虑隐私数据保护，在各个层次对访问进行控制，设置严格的操作权限，保障系统安全。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融合协同、集约建设。系统建设充分考虑当前镇江一体化公共服务体系，支持融合协同，进行集约化建设。</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突出应用，注重服务。在具体设计层面秉承全面务实、注重实效，坚持实用、经济的原则，为用户提供实用、便捷的管理及服务功能。</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前瞻性和可持续发展。设计时充分考虑业务在未来若干年内的发展趋势，具有一定的前瞻性，并充分考虑系统服务内容、服务渠道、接入机构的扩充。</w:t>
      </w:r>
      <w:r/>
    </w:p>
    <w:p>
      <w:pPr>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b/>
          <w:color w:val="000000"/>
          <w:sz w:val="24"/>
        </w:rPr>
        <w:t xml:space="preserve">、</w:t>
      </w:r>
      <w:r>
        <w:rPr>
          <w:rFonts w:ascii="SimSun" w:hAnsi="SimSun" w:eastAsia="SimSun" w:cs="SimSun"/>
          <w:b/>
          <w:color w:val="000000"/>
          <w:sz w:val="24"/>
        </w:rPr>
        <w:t xml:space="preserve">业务需求</w:t>
      </w:r>
      <w:r/>
    </w:p>
    <w:p>
      <w:pPr>
        <w:numPr>
          <w:ilvl w:val="0"/>
          <w:numId w:val="3"/>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数据安全共享业务管理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提供金融机构入驻及入驻后的数据共享服务管理功能，主要功能应包括：系统管理、机构管理、模板管理、付费管理、查询统计、系统对接等模块。</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提供统一权限管理、审批、账号管理、电子签章管理、消息通知功能，实现权限统一配置、审批工作流统一配置，提供金融机构信息管理和电子签章配置管理，实现系统内交互反馈等消息通知。</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金融机构管理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实现金融机构入驻申请、基础信息维护及权限管理功能。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计算模型管理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金融机构算法计算模型的配置、审核功能及授权管理功能。由金融机构提出申请，人社部门审核通过后，根据模型计算方法、字段等，设定系统对接的接口调用规则和口径（具体数据提取及模型计算在人社部门接口平台系统层面实现）。</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授权书模板管理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提供授权书模板配置、审核和查询功能。基于现有数据资源，按实际需要为各金融机构统一定制或个性化提供符合人社数据安全的授权书模板申请配置、审核和查询服务。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存证管理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对权利人安全共享的数据授权书、数据报告，以及人脸、签字等操作过程数据同步上传至具有法定管辖权的公证区块链平台，实现授权存证和数据报告存证的两次存证服务。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付费管理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提供服务账单查询、按日对账和年度清算等账务服务功能，实现对数据申请方（银行）服务费用的查询管理。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查询统计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满足系统的日常查询和统计功能，包括但不限于金融机构查询统计、金融机构授权书查询统计、金融机构数据报告查询统计、权利人服务情况查询统计、公证存证查询统计等。</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系统对接管理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实现平台与人社信息系统及金融机构系统的对接管理配置。</w:t>
      </w:r>
      <w:r/>
    </w:p>
    <w:p>
      <w:pPr>
        <w:numPr>
          <w:ilvl w:val="0"/>
          <w:numId w:val="3"/>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数据安全共享风控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提供数据安全共享服务全过程数据模型分析，发现可疑及异常数据，进行干预控制。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实现对权利人的协议签署、金融机构的数据获取、共享服务数据的存证的实时监控和预警，并以图形化展示权利人类别、日期、区划等多维度主题分析。</w:t>
      </w:r>
      <w:r/>
    </w:p>
    <w:p>
      <w:pPr>
        <w:numPr>
          <w:ilvl w:val="0"/>
          <w:numId w:val="3"/>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权利人服务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小程序的方式，实现人社数据安全共享的个人端数据自主权应用事项功能。利用现有公共服务用户体系，用户信息核验后，进行人脸识别，完成实人认证。权利人可进行在线文件签署，同时支持签署文件查询和撤销、支持数据报告的查看、支持删除权、更正权的行使。实现对签署人的意愿表示进行有效判别的同时，还具有对签署人完备的抗抵赖能力。</w:t>
      </w:r>
      <w:r/>
    </w:p>
    <w:p>
      <w:pPr>
        <w:numPr>
          <w:ilvl w:val="0"/>
          <w:numId w:val="3"/>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系统对接服务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提供接入对象服务接入整合及能力输出管理，支持能力输出到多端。</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开放服务管理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开放服务管理包括服务能力接入、服务能力输出。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（1）服务能力接入，支持对接人社系统或第三方服务渠道，可进一步拓宽服务范围及深度。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（2）服务能力输出，支持将各类服务能力输出给金融机构，同时也支持对接第三方渠道。</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金融机构服务输出对接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通过开放服务管理，为金融机构提供数据安全共享相关服务功能，供金融机构调用，支持与金融机构业务经办系统整合。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（1）提供服务接入申请：实现金融机构入驻和服务对接。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（2）数据报告模板申请: 银行提交数据报告的需求模板，人社审核通过后进行后续任务的发起。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（3）数据报告查看和模型标签服务：系统提供数据报告查看服务，或提供数据报告中的各项数据结果的标签服务。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（4）业务进度跟踪：可查看授权书的签署、数据报告的进度等。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（5）对账和清算管理等对接服务：银行在使用过程中需要有对账和清算的服务机制，可以实时查询当前的套餐使用情况等。</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公证平台服务对接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（1）司法区块链对接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解决数据申请机构、数据权利人以及人社部门之间的授权关系是否真实、有效、合法、可证明，并符合《中华人民共和国个人信息保护法》要求，规避数据开放过程中的风险问题，系统需引入全流程公证服务，包括且不限于数据权利人公证身份认证、电子公证签名、公证区块链存证、公证证明等，其中公证区块链需采用具有法定管辖权的公证区块链，当发生权利人诉讼时，支持诉讼事项对接。要求投标人依据《中华人民共和国电子签名法》、《公证法》、《公证程序规则》等法律法规依据，详细描述满足以上需求的实现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（2）公证平台移动端能力整合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集成由授权服务公证机构提供的电子公证应用系统，该系统需具有公证身份在线核验、电子公证签名、公证授权管理、撤销授权管理、数据删除申请、数据更正申请等基本功能，且该系统需满足《中华人民共和国个人信息保护法》、《中华人民共和国电子签名法》要求，投标人需提供该系统的详细方案和实施方案。</w:t>
      </w:r>
      <w:r/>
    </w:p>
    <w:p>
      <w:pPr>
        <w:ind w:lef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b/>
          <w:color w:val="000000"/>
          <w:sz w:val="24"/>
        </w:rPr>
        <w:t xml:space="preserve">数据安全共享要求</w:t>
      </w:r>
      <w:r/>
    </w:p>
    <w:p>
      <w:pPr>
        <w:pStyle w:val="696"/>
        <w:numPr>
          <w:ilvl w:val="0"/>
          <w:numId w:val="16"/>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数据访问边界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平台一律不直接获取社保服务对象的原始业务数据。通过国密加密技术实现对评估结果数据进行电子签名、数据上链和成果固化，并保障数据传输过程的数据安全。</w:t>
      </w:r>
      <w:r/>
    </w:p>
    <w:p>
      <w:pPr>
        <w:ind w:lef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数据合规性要求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设计应当满足个人信息保护的法律合规要求，合规依据应当以《中共中央国务院关于构建数据基础制度更好发挥数据要素作用的意见》、《中华人民共和国民法典》、《中华人民共和国网络安全法》、《中华人民共和国数据安全法》、《中华人民共和国个人信息保护法》、《中华人民共和国电子签名法》、《江苏省公共数据管理办法》、《人力资源社会保障数据安全管理规范(试行)》、《信息安全技术个人信息安全规范》等文件为依据，要求投标人结合个人信息数据合规的要求阐述系统功能及功能所涉文书的合规性，阐述方式包括但不限于个人信息数据合规要求、系统</w:t>
      </w:r>
      <w:r>
        <w:rPr>
          <w:rFonts w:ascii="SimSun" w:hAnsi="SimSun" w:eastAsia="SimSun" w:cs="SimSun"/>
          <w:color w:val="000000"/>
          <w:sz w:val="24"/>
        </w:rPr>
        <w:t xml:space="preserve">设计中合规需求分析、系统设计的合规说明、授权书模版等。</w:t>
      </w:r>
      <w:r/>
    </w:p>
    <w:p>
      <w:pPr>
        <w:ind w:lef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系统安全性要求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系统的安全性需要综合考虑，并制定相应的安全措施，主要要求包括：</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数据网络安全要求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社业务数据涉及服务对象的相关隐私与商业秘密，本项目在建设过程中应严格遵守相关网络安全法律、法规及市人社局的网络安全管理制度的要求，严格履行各项网络安全义务，在管理、技术上杜绝各类风险隐患，严把数据安全关，做到核心数据全生命周期的安全保障。</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密码应用安全需求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输加密需求：业务信息、用户帐号等数据采用国密加密算法处理后进行传输。投标人方案中如涉及签名人数字证书，系统必须具备高度可靠的抗抵赖性能，需采用基于公钥密码学的公私钥对作为用户电子签名与签名验签的依据，为此作为签名人（用户）签名制作数据的私钥必须依照《电子签名法》第13条的规定，由签名人（用户）唯一控制，私钥应由用户端产生并安全管理，系统不得采用任何方式传输、留存或使用用户的私钥；如采用手机等智能设备作为用户管理私钥的载体，对应的小程序不得保存用户的完整私钥，且不得具备诱导或探知用户完整私钥的能力，在小程序</w:t>
      </w:r>
      <w:r>
        <w:rPr>
          <w:rFonts w:ascii="SimSun" w:hAnsi="SimSun" w:eastAsia="SimSun" w:cs="SimSun"/>
          <w:color w:val="000000"/>
          <w:sz w:val="24"/>
        </w:rPr>
        <w:t xml:space="preserve">被攻击的情况下，仍然不能伪造用户的电子签名；签名人数字证书私钥使用后不得留存于互联网、本地服务器、PC客户端、小程序中，必须由签名人唯一控制，投标人需给出详细方案。</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数据容灾备份要求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完成后产生的签约人身份、授权行为数据、文件验真数据等电子公证证据数据由授权合作公证机构存证，电子公证数据存储周期应为公证档案保管期限规定的60年。所有数据及文件，需满足镇江人社现有信息安全要求，投标人需给出完整的容灾/备份方案(包括软硬件、数据库等各个层面）。</w:t>
      </w:r>
      <w:r/>
    </w:p>
    <w:p>
      <w:pPr>
        <w:ind w:lef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（6）</w:t>
      </w:r>
      <w:r>
        <w:rPr>
          <w:rFonts w:ascii="SimSun" w:hAnsi="SimSun" w:eastAsia="SimSun" w:cs="SimSun"/>
          <w:b/>
          <w:color w:val="000000"/>
          <w:sz w:val="24"/>
        </w:rPr>
        <w:t xml:space="preserve">网络安全设计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网络安全设计是确保“镇江人社数据安全共享法律风控系统平台”能够安全、稳定、可靠地运行的重要组成部分。平台的网络安全设计需要全面考虑系统的安全性、可靠性和稳定性，采取多种措施加强防护和管理，确保系统能够安全、稳定、可靠地运行。</w:t>
      </w:r>
      <w:r/>
    </w:p>
    <w:p>
      <w:pPr>
        <w:numPr>
          <w:ilvl w:val="0"/>
          <w:numId w:val="8"/>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设应严格按照网络安全相关法律、法规及市人社局各相关制度予以实施，本项目作为镇江人社金保内、外网的组成部分，须整体上以等级保护（三级）、风险评估及数据安全风险评估等标准为准绳，坚持适度安全、技术与管理并重、分级与多层次保护等原则，确保相关系统及数据的网络安全。</w:t>
      </w:r>
      <w:r/>
    </w:p>
    <w:p>
      <w:pPr>
        <w:numPr>
          <w:ilvl w:val="0"/>
          <w:numId w:val="8"/>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针对本项目信息安全现状和实际需求，进行网络安全体系设计，主要涵盖物理安全、网络安全、数据安全、系统安全、应用安全、管理安全等方面内容：</w:t>
      </w:r>
      <w:r/>
    </w:p>
    <w:p>
      <w:pPr>
        <w:numPr>
          <w:ilvl w:val="0"/>
          <w:numId w:val="9"/>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物理安全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重点关注机房物理环境是否安全，系统相关的各级服务器、存储、主机等硬件设备是否稳定可靠运行，是否存在安全风险隐患。</w:t>
      </w:r>
      <w:r/>
    </w:p>
    <w:p>
      <w:pPr>
        <w:numPr>
          <w:ilvl w:val="0"/>
          <w:numId w:val="9"/>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关注网络通信设备、通信网络的网络安全管理等方面，优化网络结构，针对本项目中存在业务专网、互联网相结合的建设特点，结合市人社局现有网络安全体系，合理设置网络安全防护边界和安全区域，实现纵深防御、区域访问控制和有效安全隔离，确保数据传输中的网络安全。</w:t>
      </w:r>
      <w:r/>
    </w:p>
    <w:p>
      <w:pPr>
        <w:numPr>
          <w:ilvl w:val="0"/>
          <w:numId w:val="9"/>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多种安全技术、管理手段和备份措施，确保网络数据的机密性、完整性和可用性。建立网络安全保护措施的目的是确保经过网络传输和交换的数据不会发生增加、修改、丢失和泄露，做好数据长期保存的安全管理工作。</w:t>
      </w:r>
      <w:r/>
    </w:p>
    <w:p>
      <w:pPr>
        <w:numPr>
          <w:ilvl w:val="0"/>
          <w:numId w:val="9"/>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重点关注服务器、主机的操作系统、应用系统、中间件、数据库系统四个方面的安全配置、入侵检测、身份认证、身份鉴别、资源监控、数据完整性和保密性等网络安全方面的监控和管理。</w:t>
      </w:r>
      <w:r/>
    </w:p>
    <w:p>
      <w:pPr>
        <w:numPr>
          <w:ilvl w:val="0"/>
          <w:numId w:val="9"/>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应用安全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针对应用程序或工具在开发、调试及使用过程中可能出现计算、传输数据的泄露和失窃，通过安全工具或策略来消除隐患，保障应用程序使用过程和结果的安全。</w:t>
      </w:r>
      <w:r/>
    </w:p>
    <w:p>
      <w:pPr>
        <w:numPr>
          <w:ilvl w:val="0"/>
          <w:numId w:val="9"/>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制定和规范系统各相关网络安全管理规范，项目实施过程中严格落实到位，确保系统开发全生命周期的安全可控。</w:t>
      </w:r>
      <w:r/>
    </w:p>
    <w:p>
      <w:pPr>
        <w:numPr>
          <w:ilvl w:val="0"/>
          <w:numId w:val="8"/>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系统建设过程中应同步实施网络安全保障工作，在相关系统试运行阶段应配合用户方开展等保测评、风险评估、数据安全风险评估、渗透测试及代码安全设计等网络安全检测，并及时按照检测结论进行整改处置。相关检测报告将作为项目验收文档的重要组成部分。</w:t>
      </w:r>
      <w:r/>
    </w:p>
    <w:p>
      <w:pPr>
        <w:ind w:lef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rPr>
          <w:rFonts w:ascii="SimSun" w:hAnsi="SimSun" w:eastAsia="SimSun" w:cs="SimSun"/>
          <w:b/>
          <w:color w:val="000000"/>
          <w:sz w:val="24"/>
        </w:rPr>
        <w:t xml:space="preserve">、</w:t>
      </w:r>
      <w:r>
        <w:rPr>
          <w:rFonts w:ascii="SimSun" w:hAnsi="SimSun" w:eastAsia="SimSun" w:cs="SimSun"/>
          <w:b/>
          <w:color w:val="000000"/>
          <w:sz w:val="24"/>
        </w:rPr>
        <w:t xml:space="preserve">服务需求</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根据《中华人民共和国公证法》第25条的相关规定，中标方必须书面承诺选择具有管辖权的公证机构作为公证服务能力的提供方。本项目所选司法公证链必须为具有法定管辖权的公证区块链，出现司法争议时应当由具有管辖权的公证机构提供必要的电子公证或公证书予以证明。</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须承诺在项目实施过程中制定科学的项目实施方案，应当充分考虑用户方的实际业务需求，并支持满足用户方提出的个性化要求。实施方案经采购认可后方可予以实施。同时，中标方应在用户方统一领导下，牵头</w:t>
      </w:r>
      <w:r>
        <w:rPr>
          <w:rFonts w:ascii="SimSun" w:hAnsi="SimSun" w:eastAsia="SimSun" w:cs="SimSun"/>
          <w:color w:val="000000"/>
          <w:sz w:val="24"/>
        </w:rPr>
        <w:t xml:space="preserve">采购</w:t>
      </w:r>
      <w:r>
        <w:rPr>
          <w:rFonts w:ascii="SimSun" w:hAnsi="SimSun" w:eastAsia="SimSun" w:cs="SimSun"/>
          <w:color w:val="000000"/>
          <w:sz w:val="24"/>
        </w:rPr>
        <w:t xml:space="preserve">包1</w:t>
      </w:r>
      <w:r>
        <w:rPr>
          <w:rFonts w:ascii="SimSun" w:hAnsi="SimSun" w:eastAsia="SimSun" w:cs="SimSun"/>
          <w:color w:val="000000"/>
          <w:sz w:val="24"/>
        </w:rPr>
        <w:t xml:space="preserve">、2</w:t>
      </w:r>
      <w:r>
        <w:rPr>
          <w:rFonts w:ascii="SimSun" w:hAnsi="SimSun" w:eastAsia="SimSun" w:cs="SimSun"/>
          <w:color w:val="000000"/>
          <w:sz w:val="24"/>
        </w:rPr>
        <w:t xml:space="preserve">项目实施的统筹协调工作，确保项目整体推进，按期上线。</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方根据项目质量和进度的需要，可以要求中标方及时充实相应的项目管理人员和技术实施人员。未经用户方允许不得更换项目负责人和主要技术人员。确有必要变更的，须提前以书面形式报用户方审核，经同意后方可更换。因中标方人员变更原因所造成的任何项目质量、进度滞后的后果，由中标方承担一切责任。</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★本项目免费运维期为验收合格之日起三年。运维到期后，每年的续保费用不得高于本项目成交价的10%。</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应与用户方签订保密协议，必须配合用户方做好与本项目的网络安全保障工作，遵守相关法律、法规及用户方制定的网络安全管理制度，不得违反。否则用户方有权终止合同，并由中标方承担一切相应的责任和后果。</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在系统开发期间，中标方应配备不少于5人的驻场开发团队，设置项目负责人、技术负责人、系统安全负责人等角色，具备项目实施所需的各项技术能力，具有相关资质证书，项目组人员必须按照投标时列出的配备人员，全员驻用户现场开发，服从用户方有关人员驻场和供应链管理的相关管理制度要求。在系统免费运维期间，提供不少于1人的驻场运维服务人员，且该人员应为前期参与项目开发实施的核心技术人员，具备系统日常维护能力，服从用户方有关人员驻场和供应链管理的相关管理制度要求。相关人员均应自行配备开发设备工具且内外网电脑不得混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必须提供5×8小时的驻场服务，全年应急服务时间7×24小时，应急响应时间要求在1小时以内。在发生一般信息安全事件时，必须立即响应并根据用户方要求提供远程或现场技术支持。出现重大信息安全事件时，项目组在接报后必须立即安排技术骨干赶往现场进行应急响应处置。</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与银行系统对接在设计时需要考虑一定的灵活性和可配置性。针对金融合作机构的共性需求，设计通用数据计算模型，从而获得用户方认可的、且符合银行相关评估系统计算要求的评估结果数据。后续银行如存在个性化差异需求需要另行设计开发，须经用户方审核同意后，需与中标方具体协商开发需求及工作量事宜。</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★本项目相关全部源代码必须对用户方开放。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上述内容需逐条承诺，加★有负偏离的被定义为非实质性响应招标文件。</w:t>
      </w:r>
      <w:r/>
    </w:p>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司法公证链的公证职能的要求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由镇江人社部门搭建数据安全共享法律风控系统平台，金融机构向人社部门申请数据查询，由服务对象（数据权利人）在公证移动端完成授权书的签署，确认签署时通过公证数字CA证书，完成授权签名。签署全过程由公证授权服务平台提供全流程监管及公证认证服务，并通过电子公证+司法区块链方式进行证据实时固定，保障数据服务的合规性及可追溯、可证明，且存证期60年满足长期档案保管期限，保证签署人身份及签署意思表示的真实性。</w:t>
      </w:r>
      <w:r/>
    </w:p>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文档交付要求</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开发过程中所提交文档应严格按照国家软件工程规范标准进行，必须根据开发进度及时提供有关文档，文档质量达到用户要求。系统开发应严格按照国家软件工程规范进行，开发商必须根据开发进度及时提供有关文档，文档质量达到用户要求。文档包括但不仅限于以下内容：</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87"/>
        <w:gridCol w:w="1787"/>
        <w:gridCol w:w="5192"/>
        <w:gridCol w:w="1413"/>
      </w:tblGrid>
      <w:tr>
        <w:trPr>
          <w:trHeight w:val="7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阶段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产出成果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介质</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准备阶段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《系统开发与实施计划》、《项目组织机构与人员安排》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需求分析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《需求分析规格说明书》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《需求分析确认书》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r>
        <w:trPr>
          <w:trHeight w:val="2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应用软件系统设计开发阶段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《系统概要设计说明书》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《系统详细设计说明书》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《数据字典》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《核心算法设计方案》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上线阶段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《系统试运行/上线方案》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《系统试运行/上线报告》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《系统维护手册》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基盘、应用的程序源码及发布包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《项目总结报告》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纸介、电子</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提供的软件产品应包括本项目开发的各种软件系统、各阶段开发文档、运行稳定可靠的本系统安装程序、注释清晰明了的能够编译生成目前正在运行的应用程序的全部源代码和发布包（未明确承诺提供源代码的，视为未实质性响应，其投标将被拒绝）等，并且须提供相关的《源代码使用情况说明》：即应用模块使用的对应源代码说明及具体的版本号，在开发商及用户间建立统一的版本控制平台，明确相应的版本控制管理流程，以避免应用应用程序部署中版本管理的风险。根据用户方需要，提供用户方依据本项目申请专利、软著、论文等所需的各种文档。</w:t>
      </w:r>
      <w:r/>
    </w:p>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培训要求</w:t>
      </w:r>
      <w:r/>
    </w:p>
    <w:p>
      <w:pPr>
        <w:ind w:left="624"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1)培训内容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中标供应商需要按照用户方要求适时提供本项目相关的各类培训,包括技术培训、管理培训和原厂技术培训。</w:t>
      </w:r>
      <w:r/>
    </w:p>
    <w:p>
      <w:pPr>
        <w:ind w:left="624"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2)培训要求</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1)技术和管理培训的对象主要是用户方技术人员及部分业务部门的经办人员（不少于20人×3次）。</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2)业务培训的对象主要是用户方相关业务工作人员（不少于30人×3次）。</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3)培训形式包括集中培训、现场指导培训所需的费用均由中标方承担。</w:t>
      </w:r>
      <w:r/>
    </w:p>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人员要求</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1)项目经理需具有信息系统项目管理师证书或PMP证书；</w:t>
      </w:r>
      <w:r/>
    </w:p>
    <w:p>
      <w:p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2)项目组成人员项目组成员需具备以下技术能力：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软件设计师证书或计算机程序设计员职业资格证书或国产数据库认证证书或系统集成项目管理工程师证书或注册信息安全专业人员（CISP）证书或</w:t>
      </w:r>
      <w:hyperlink r:id="rId10" w:tooltip="https://baike.baidu.com/item/%E4%BF%A1%E6%81%AF%E5%AE%89%E5%85%A8%E4%BF%9D%E9%9A%9C?fromModule=lemma_inlink" w:history="1">
        <w:r>
          <w:rPr>
            <w:rStyle w:val="838"/>
            <w:rFonts w:ascii="SimSun" w:hAnsi="SimSun" w:eastAsia="SimSun" w:cs="SimSun"/>
            <w:color w:val="000000"/>
            <w:sz w:val="24"/>
            <w:u w:val="single"/>
          </w:rPr>
          <w:t xml:space="preserve">信息安全保障</w:t>
        </w:r>
      </w:hyperlink>
      <w:r>
        <w:rPr>
          <w:rFonts w:ascii="SimSun" w:hAnsi="SimSun" w:eastAsia="SimSun" w:cs="SimSun"/>
          <w:color w:val="000000"/>
          <w:sz w:val="24"/>
        </w:rPr>
        <w:t xml:space="preserve">人员认证（CISAW ）或系统架构师资质或法律职业资格认证证书。</w:t>
      </w:r>
      <w:r/>
    </w:p>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演示要求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本项须提供真实系统或系统原型设计演示，演示使用录播上传形式，各投标人自行将录播内容上传至镇江市公共资源交易服务平台的演示视频上传模块，视频时长不超过15分钟。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1）人社端演示：人社管理员在人社端业务系统中开通金融系统用户，并可实现对用户权限的授权、冻结等管理。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2）银行端演示：银行通过银行PC端系统发起数据申请任务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3）移动端公证服务小程序系统演示：数据权利人通过点击手机短信中链接，打开移动端微信小程序，实现个人用户身份核验（企业用户身份核验）、授权内容展示、手绘签名、用户输入 PIN 码或公证短信签署码完成签署后提示“签署完成”。数据权利人可对已授权文件进行管理，包括“撤回授权”、“获取副本”、“要求删除”、“提请更正”等功能点。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4）银行端演示：银行通过银行PC端系统获取该数据申请任务下的人社返回的数据文件。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5）人社端演示：人社管理员在人社端业务系统中可查看所有的授权记录及该授权任务下的数据信息，也可根据银行名称、数据权利人、时间段进行数据查询，系统提供数据大屏展示。</w:t>
      </w:r>
      <w:r/>
    </w:p>
    <w:p>
      <w:pPr>
        <w:numPr>
          <w:ilvl w:val="0"/>
          <w:numId w:val="1"/>
        </w:numPr>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其它事项</w:t>
      </w:r>
      <w:r/>
    </w:p>
    <w:p>
      <w:pPr>
        <w:ind w:left="624"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rPr>
        <w:t xml:space="preserve">、</w:t>
      </w:r>
      <w:r>
        <w:rPr>
          <w:rFonts w:ascii="SimSun" w:hAnsi="SimSun" w:eastAsia="SimSun" w:cs="SimSun"/>
          <w:b/>
          <w:color w:val="000000"/>
          <w:sz w:val="24"/>
        </w:rPr>
        <w:t xml:space="preserve">项目预算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本项目预算85万，根据相关采购规定，本项目专门面向中小微企业。</w:t>
      </w:r>
      <w:r/>
    </w:p>
    <w:p>
      <w:pPr>
        <w:ind w:lef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w:t>
      </w:r>
      <w:r>
        <w:rPr>
          <w:rFonts w:ascii="SimSun" w:hAnsi="SimSun" w:eastAsia="SimSun" w:cs="SimSun"/>
          <w:b/>
          <w:color w:val="000000"/>
          <w:sz w:val="24"/>
        </w:rPr>
        <w:t xml:space="preserve">、</w:t>
      </w:r>
      <w:r>
        <w:rPr>
          <w:rFonts w:ascii="SimSun" w:hAnsi="SimSun" w:eastAsia="SimSun" w:cs="SimSun"/>
          <w:b/>
          <w:color w:val="000000"/>
          <w:sz w:val="24"/>
        </w:rPr>
        <w:t xml:space="preserve">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合同签订收到发票后的10个工作日内支付合同总价的50%，合同验收合格收到发票后支付合同总价的50%。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rPr>
          <w:sz w:val="22"/>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采购包2：镇江市社银数据共享应用法律风控平台硬件及系统软件采购需求</w:t>
      </w:r>
      <w:r/>
    </w:p>
    <w:p>
      <w:pPr>
        <w:ind w:left="6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w:t>
      </w:r>
      <w:r>
        <w:rPr>
          <w:rFonts w:ascii="SimSun" w:hAnsi="SimSun" w:eastAsia="SimSun" w:cs="SimSun"/>
          <w:b/>
          <w:color w:val="000000"/>
          <w:sz w:val="24"/>
        </w:rPr>
        <w:t xml:space="preserve">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年来，国家、部委积极推进业数字化转型工作，2022年12月，国家发布《中共中央国务院关于构建数据基础制度更好发挥数据要素作用的意见》，提出加快构建数据基础制度，充分发挥我国海量数据规模和丰富应用场景优势，激活数据要素潜能，做强做优做大数字经济，增强经济发展新动能，构筑国家竞争新优势。2023年6月，人社部发布《人力资源社会保障部关于印发数字人社建设行动实施方案的通知》，决定实施数字人社建设行动，全面推行数字化改革，为推进人力资源社会保障领域治理体系和治理能力现代化提供有力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数字化转型的大背景下，镇江市人社局不断强化数据开放共享和探索数字化创新赋能应用，根据相关工作统一部署，拟进一步加强与社保卡合作金融机构（银行）间的数据共享利用，已与各相关意向合作银行签订了应用合作协议。此类面向非政务部门的第三方开展的“数据对外应用”工作在我市人社行业尚属首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当前日益严峻的网络安全形势下，《网络安全法》、《个人信息保护条例》等相关法律法规要求的不断提高，对本次数据对接的网络安全保障工作提出了新的要求。市人社局拟建设“镇江市社银数据共享应用法律风控平台项目”（后简称“平台”），依托该平台来规范和保障社银双方数据共享合作全过程、全生命周期的网络安全。</w:t>
      </w:r>
      <w:r/>
    </w:p>
    <w:p>
      <w:pPr>
        <w:ind w:left="284" w:righ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二、项目建设总体要求</w:t>
      </w:r>
      <w:r/>
    </w:p>
    <w:p>
      <w:pPr>
        <w:ind w:left="56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总体建设思路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依托江苏省人社一体化信息平台系统回流数据以及本地数据资源，整合现有信息化成果，依据相关法律、法规要求，按照“一事一授权”和“可用不可见、数据不搬家”的原则，在确保数据安全、风险可控的前提下，开展镇江人社与社会保障卡合作金融机构（银行）间的数据共享工作。本采购包为平台提供基础硬件设备安装调试。</w:t>
      </w:r>
      <w:r/>
    </w:p>
    <w:p>
      <w:pPr>
        <w:ind w:left="56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项目采购范围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本项目采购内容包括“镇江人社数据安全共享法律风控系统平台”硬件设备、系统软件及相关服务（设备清单及具体要求详见第七章“平台硬件设备及系统软件采购需求”）。</w:t>
      </w:r>
      <w:r/>
    </w:p>
    <w:p>
      <w:pPr>
        <w:ind w:left="56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项目建设周期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本项目应在签订合同后30个工作日内完成供货、部署及上电测试工作。</w:t>
      </w:r>
      <w:r/>
    </w:p>
    <w:p>
      <w:pPr>
        <w:ind w:left="56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项目主要建设内容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建设“镇江人社数据安全共享法律风控系统平台”的硬件支撑平台，采购部署服务器、存储和整合开发环境，同时添置必要的安全设备对相关网络和通信实施安全加固。</w:t>
      </w:r>
      <w:r/>
    </w:p>
    <w:p>
      <w:pPr>
        <w:ind w:left="56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项目建设原则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系统设计应遵循以下原则：</w:t>
      </w:r>
      <w:r/>
    </w:p>
    <w:p>
      <w:pPr>
        <w:ind w:left="42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rPr>
        <w:t xml:space="preserve">规范标准，统筹规划。遵循国家、部、省、市及人社行业相关标准规范，统筹规划系统整体设计，确保系统达到目标效果。</w:t>
      </w:r>
      <w:r/>
    </w:p>
    <w:p>
      <w:pPr>
        <w:ind w:left="42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w:t>
      </w:r>
      <w:r>
        <w:rPr>
          <w:rFonts w:ascii="SimSun" w:hAnsi="SimSun" w:eastAsia="SimSun" w:cs="SimSun"/>
          <w:color w:val="000000"/>
          <w:sz w:val="24"/>
        </w:rPr>
        <w:t xml:space="preserve">保障安全，保护隐私。系统设计应把安全性放在首位，在各相关层面加强访问控制，设置严格的安全策略，保障系统安全。</w:t>
      </w:r>
      <w:r/>
    </w:p>
    <w:p>
      <w:pPr>
        <w:ind w:left="42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rPr>
        <w:t xml:space="preserve">融合协同、集约建设。系统建设充分考虑当前现有物理计算环境和网络安全体系，支持融合协同，进行集约化建设。</w:t>
      </w:r>
      <w:r/>
    </w:p>
    <w:p>
      <w:pPr>
        <w:ind w:left="42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rPr>
        <w:t xml:space="preserve">前瞻性和可持续发展。设计时充分考虑业务在未来若干年内的发展趋势，具有一定的前瞻性，并充分考虑预留一定的扩充能力。</w:t>
      </w:r>
      <w:r/>
    </w:p>
    <w:p>
      <w:pPr>
        <w:ind w:left="624" w:righ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w:t>
      </w:r>
      <w:r>
        <w:rPr>
          <w:rFonts w:ascii="SimSun" w:hAnsi="SimSun" w:eastAsia="SimSun" w:cs="SimSun"/>
          <w:b/>
          <w:color w:val="000000"/>
          <w:sz w:val="24"/>
        </w:rPr>
        <w:t xml:space="preserve">网络安全设计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网络安全设计是确保“镇江人社数据安全共享法律风控系统平台”能够安全、稳定、可靠地运行的重要组成部分。平台的网络安全设计需要全面考虑系统的安全性、可靠性和稳定性，采取多种措施加强防护和管理，确保系统能够安全、稳定、可靠地运行。</w:t>
      </w:r>
      <w:r/>
    </w:p>
    <w:p>
      <w:pPr>
        <w:ind w:left="71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rPr>
          <w:rFonts w:ascii="SimSun" w:hAnsi="SimSun" w:eastAsia="SimSun" w:cs="SimSun"/>
          <w:b/>
          <w:color w:val="000000"/>
          <w:sz w:val="24"/>
        </w:rPr>
        <w:t xml:space="preserve">、</w:t>
      </w:r>
      <w:r>
        <w:rPr>
          <w:rFonts w:ascii="SimSun" w:hAnsi="SimSun" w:eastAsia="SimSun" w:cs="SimSun"/>
          <w:b/>
          <w:color w:val="000000"/>
          <w:sz w:val="24"/>
        </w:rPr>
        <w:t xml:space="preserve">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设应严格按照网络安全相关法律、法规及市人社局各相关制度予以实施，本项目作为镇江人社金保内、外网的组成部分，须整体上以等级保护（三级）、风险评估及数据安全风险评估等标准为准绳，坚持适度安全、技术与管理并重、分级与多层次保护等原则，确保相关系统及数据的网络安全。</w:t>
      </w:r>
      <w:r/>
    </w:p>
    <w:p>
      <w:pPr>
        <w:ind w:left="71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b/>
          <w:color w:val="000000"/>
          <w:sz w:val="24"/>
        </w:rPr>
        <w:t xml:space="preserve">、</w:t>
      </w:r>
      <w:r>
        <w:rPr>
          <w:rFonts w:ascii="SimSun" w:hAnsi="SimSun" w:eastAsia="SimSun" w:cs="SimSun"/>
          <w:b/>
          <w:color w:val="000000"/>
          <w:sz w:val="24"/>
        </w:rPr>
        <w:t xml:space="preserve">具体要求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针对本项目信息安全现状和实际需求，进行网络安全体系设计，主要涵盖物理安全、网络安全、数据安全、系统安全、应用安全、管理安全等方面内容：</w:t>
      </w:r>
      <w:r/>
    </w:p>
    <w:p>
      <w:p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w:t>
      </w:r>
      <w:r>
        <w:rPr>
          <w:rFonts w:ascii="SimSun" w:hAnsi="SimSun" w:eastAsia="SimSun" w:cs="SimSun"/>
          <w:b/>
          <w:color w:val="000000"/>
          <w:sz w:val="24"/>
        </w:rPr>
        <w:t xml:space="preserve">、</w:t>
      </w:r>
      <w:r>
        <w:rPr>
          <w:rFonts w:ascii="SimSun" w:hAnsi="SimSun" w:eastAsia="SimSun" w:cs="SimSun"/>
          <w:b/>
          <w:color w:val="000000"/>
          <w:sz w:val="24"/>
        </w:rPr>
        <w:t xml:space="preserve">物理安全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重点关注机房物理环境是否安全，系统相关的各级服务器、存储、主机等硬件设备是否稳定可靠运行，是否存在安全风险隐患。</w:t>
      </w:r>
      <w:r/>
    </w:p>
    <w:p>
      <w:p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w:t>
      </w:r>
      <w:r>
        <w:rPr>
          <w:rFonts w:ascii="SimSun" w:hAnsi="SimSun" w:eastAsia="SimSun" w:cs="SimSun"/>
          <w:b/>
          <w:color w:val="000000"/>
          <w:sz w:val="24"/>
        </w:rPr>
        <w:t xml:space="preserve">、</w:t>
      </w:r>
      <w:r>
        <w:rPr>
          <w:rFonts w:ascii="SimSun" w:hAnsi="SimSun" w:eastAsia="SimSun" w:cs="SimSun"/>
          <w:b/>
          <w:color w:val="000000"/>
          <w:sz w:val="24"/>
        </w:rPr>
        <w:t xml:space="preserve">网络安全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关注网络通信设备、通信网络的网络安全管理等方面，优化网络结构，针对本项目中存在业务专网、互联网相结合的建设特点，结合市人社局现有网络安全体系，合理设置网络安全防护边界和安全区域，实现纵深防御、区域访问控制和有效安全隔离，确保数据传输中的网络安全。</w:t>
      </w:r>
      <w:r/>
    </w:p>
    <w:p>
      <w:pPr>
        <w:ind w:lef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w:t>
      </w:r>
      <w:r>
        <w:rPr>
          <w:rFonts w:ascii="SimSun" w:hAnsi="SimSun" w:eastAsia="SimSun" w:cs="SimSun"/>
          <w:b/>
          <w:color w:val="000000"/>
          <w:sz w:val="24"/>
        </w:rPr>
        <w:t xml:space="preserve">、</w:t>
      </w:r>
      <w:r>
        <w:rPr>
          <w:rFonts w:ascii="SimSun" w:hAnsi="SimSun" w:eastAsia="SimSun" w:cs="SimSun"/>
          <w:b/>
          <w:color w:val="000000"/>
          <w:sz w:val="24"/>
        </w:rPr>
        <w:t xml:space="preserve">数据安全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多种安全技术、管理手段和备份措施，确保网络数据的机密性、完整性和可用性。建立网络安全保护措施的目的是确保经过网络传输和交换的数据不会发生增加、修改、丢失和泄露，做好数据长期保存的安全管理工作。</w:t>
      </w:r>
      <w:r/>
    </w:p>
    <w:p>
      <w:pPr>
        <w:ind w:left="425"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b/>
          <w:color w:val="000000"/>
          <w:sz w:val="24"/>
        </w:rPr>
        <w:t xml:space="preserve">、</w:t>
      </w:r>
      <w:r>
        <w:rPr>
          <w:rFonts w:ascii="SimSun" w:hAnsi="SimSun" w:eastAsia="SimSun" w:cs="SimSun"/>
          <w:b/>
          <w:color w:val="000000"/>
          <w:sz w:val="24"/>
        </w:rPr>
        <w:t xml:space="preserve">系统安全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重点关注服务器、主机的操作系统、应用系统、中间件、数据库系统四个方面的安全配置、入侵检测、身份认证、身份鉴别、资源监控、数据完整性和保密性等网络安全方面的监控和管理。</w:t>
      </w:r>
      <w:r/>
    </w:p>
    <w:p>
      <w:pPr>
        <w:ind w:left="425"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b/>
          <w:color w:val="000000"/>
          <w:sz w:val="24"/>
        </w:rPr>
        <w:t xml:space="preserve">、</w:t>
      </w:r>
      <w:r>
        <w:rPr>
          <w:rFonts w:ascii="SimSun" w:hAnsi="SimSun" w:eastAsia="SimSun" w:cs="SimSun"/>
          <w:b/>
          <w:color w:val="000000"/>
          <w:sz w:val="24"/>
        </w:rPr>
        <w:t xml:space="preserve">应用安全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针对应用程序或工具在开发、调试及使用过程中可能出现计算、传输数据的泄露和失窃，通过安全工具或策略来消除隐患，保障应用程序使用过程和结果的安全。</w:t>
      </w:r>
      <w:r/>
    </w:p>
    <w:p>
      <w:pPr>
        <w:ind w:lef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6</w:t>
      </w:r>
      <w:r>
        <w:rPr>
          <w:rFonts w:ascii="SimSun" w:hAnsi="SimSun" w:eastAsia="SimSun" w:cs="SimSun"/>
          <w:b/>
          <w:color w:val="000000"/>
          <w:sz w:val="24"/>
        </w:rPr>
        <w:t xml:space="preserve">、</w:t>
      </w:r>
      <w:r>
        <w:rPr>
          <w:rFonts w:ascii="SimSun" w:hAnsi="SimSun" w:eastAsia="SimSun" w:cs="SimSun"/>
          <w:b/>
          <w:color w:val="000000"/>
          <w:sz w:val="24"/>
        </w:rPr>
        <w:t xml:space="preserve">管理安全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制定和规范系统各相关网络安全管理规范，项目实施过程中严格落实到位，确保系统开发全生命周期的安全可控。</w:t>
      </w:r>
      <w:r/>
    </w:p>
    <w:p>
      <w:pPr>
        <w:ind w:lef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7</w:t>
      </w:r>
      <w:r>
        <w:rPr>
          <w:rFonts w:ascii="SimSun" w:hAnsi="SimSun" w:eastAsia="SimSun" w:cs="SimSun"/>
          <w:b/>
          <w:color w:val="000000"/>
          <w:sz w:val="24"/>
        </w:rPr>
        <w:t xml:space="preserve">、</w:t>
      </w:r>
      <w:r>
        <w:rPr>
          <w:rFonts w:ascii="SimSun" w:hAnsi="SimSun" w:eastAsia="SimSun" w:cs="SimSun"/>
          <w:b/>
          <w:color w:val="000000"/>
          <w:sz w:val="24"/>
        </w:rPr>
        <w:t xml:space="preserve">安全检测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系统建设过程中应同步实施网络安全保障工作，在相关系统试运行阶段应配合用户方开展等保测评、风险评估、数据安全风险评估、渗透测试及代码安全设计等网络安全检测，并及时按照检测结论进行整改处置。相关检测报告将作为项目验收文档的重要组成部分。</w:t>
      </w:r>
      <w:r/>
    </w:p>
    <w:p>
      <w:pPr>
        <w:ind w:lef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六</w:t>
      </w:r>
      <w:r>
        <w:rPr>
          <w:rFonts w:ascii="SimSun" w:hAnsi="SimSun" w:eastAsia="SimSun" w:cs="SimSun"/>
          <w:b/>
          <w:color w:val="000000"/>
          <w:sz w:val="24"/>
        </w:rPr>
        <w:t xml:space="preserve">、</w:t>
      </w:r>
      <w:r>
        <w:rPr>
          <w:rFonts w:ascii="SimSun" w:hAnsi="SimSun" w:eastAsia="SimSun" w:cs="SimSun"/>
          <w:b/>
          <w:color w:val="000000"/>
          <w:sz w:val="24"/>
        </w:rPr>
        <w:t xml:space="preserve">平台硬件设备及系统软件采购需求</w:t>
      </w:r>
      <w:r/>
    </w:p>
    <w:p>
      <w:pPr>
        <w:pStyle w:val="696"/>
        <w:numPr>
          <w:ilvl w:val="0"/>
          <w:numId w:val="11"/>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设备及系统软件清单</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1"/>
        <w:gridCol w:w="2278"/>
        <w:gridCol w:w="2558"/>
        <w:gridCol w:w="746"/>
        <w:gridCol w:w="1194"/>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5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1、服务器（核心产品，5台服务器须为同一品牌）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外网WEB服务器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外网应用服务器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内网应用服务器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内网数据库服务器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6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2、存储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3、系统软件</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虚拟化平台软件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4、网络及安全设备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入侵防御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详见主要设备技术要求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24"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rPr>
        <w:t xml:space="preserve">、 </w:t>
      </w:r>
      <w:r>
        <w:rPr>
          <w:rFonts w:ascii="SimSun" w:hAnsi="SimSun" w:eastAsia="SimSun" w:cs="SimSun"/>
          <w:b/>
          <w:color w:val="000000"/>
          <w:sz w:val="24"/>
        </w:rPr>
        <w:t xml:space="preserve">设备及系统软件参数要求</w:t>
      </w:r>
      <w:r/>
    </w:p>
    <w:p>
      <w:pPr>
        <w:pStyle w:val="696"/>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服务器</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20"/>
        <w:gridCol w:w="1056"/>
        <w:gridCol w:w="1645"/>
        <w:gridCol w:w="5258"/>
      </w:tblGrid>
      <w:tr>
        <w:trPr>
          <w:trHeight w:val="6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指标分类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一级指标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二级指标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10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供应商给出 CPU信息，包含CPU型号、物理核心数、主频、末级缓存容量、线程数、热设计功耗及支持内存的最高速率、通道数和位宽</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★主板规格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★主板支持的 CPU 和内存情况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供应商给出主板支持的 CPU 和内存的型号数量</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★主板内存槽数量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非板载内存的可扩展插槽数量应不少于16个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★主板存储接口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至少支持 SATA、SAS、M.2、U.2 等存储接口中的 3 种</w:t>
            </w:r>
            <w:r/>
          </w:p>
        </w:tc>
      </w:tr>
      <w:tr>
        <w:trPr>
          <w:trHeight w:val="9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★PCIe 插槽接口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 PCIe4.0 或以上的高速串行计算机扩展总线标准，PCIe 的接口速率与位宽需保证向下兼容</w:t>
            </w:r>
            <w:r/>
          </w:p>
        </w:tc>
      </w:tr>
      <w:tr>
        <w:trPr>
          <w:trHeight w:val="1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★主板 PCIe 插槽数量及规格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高度大于 44.45mm 双路或以上服务器 PCIe 插槽或接口应不少于 8 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单路服务器 PCIe 插槽或接口应不少于 4 个，可通过扩展卡进行插槽扩展</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特殊孔位及接口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a)服务器机箱内主板可根据用户实际使用需求支持安装多功能导入装置板卡，机箱内需预留多功能导入装置板卡安装位置，容量不小于55mm×45mm×15mm（长×宽×高，单位毫米）；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b)服务器主板可根据用户实际使用需求预留满足USB2.0或USB3.0数据传输规范的接口，工作电压5V，采用 USB2.0 时，最大过电流应不小于 0.5A，采用USB3.0时，最大过电流应不小于1A</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板载网络接口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若支持板载网络接口应不少于 1 个1GE网口</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 OCP 插槽数量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OCP3.0及以上插槽的数量不少于1个</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≥DDR4</w:t>
            </w:r>
            <w:r/>
          </w:p>
        </w:tc>
      </w:tr>
      <w:tr>
        <w:trPr>
          <w:trHeight w:val="1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支持多个内存接口通道，每个通道可支持 1DPC 或 2DPC，当支持 2DPC 时，印制电路板上应具备插槽的序号标识，具体通道数应在随机文件中明确</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硬盘类型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供应商给出服务器支持硬磁盘和固态盘类型及规格</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★硬磁盘实配容量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配备固态盘，实配固态盘单盘可用容量不小于 480GB</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硬盘接口类型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a)若配备硬磁盘，应提供 SAS 3.0 或 SATA 3.0 及以上接口；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b)若配备固态盘，应提供至少 1 种类型固态盘接口，如 UFS、SATA、PCIe等</w:t>
            </w:r>
            <w:r/>
          </w:p>
        </w:tc>
      </w:tr>
      <w:tr>
        <w:trPr>
          <w:trHeight w:val="6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★硬盘实配数量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配备固态盘，实配盘数应≥2块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★硬盘插槽数量及规格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a)供应商应给出配置的硬盘尺寸， 如 2.5 英寸、3.5 英寸硬磁盘；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b)机箱高度为 88.9mm 的服务器可支持的硬盘数量应不少于 8 块，机箱高度为 44.45mm 的服务器可支持的硬盘数量应不少于 4 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c)存储型服务器可支持硬盘数量应不少于 24 块</w:t>
            </w:r>
            <w:r/>
          </w:p>
        </w:tc>
      </w:tr>
      <w:tr>
        <w:trPr>
          <w:trHeight w:val="1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硬盘其他参数要求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a)机械硬盘准备时间应不大于 30s； 侧面固定螺丝孔数量可为 4 孔或 6 孔；工作状态环境温度应满足 5℃~40℃，其它参数应符合 GB/T 12628 的相关规定；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b)若服务器支持固态盘，固态盘符合 SJ/T 11654 相关规定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RAID卡规格（若支持RAID卡）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 卡支持的 SAS接口数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SAS 直通卡规格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(若支持 SAS直通卡)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SAS 直通卡 SAS 接口数量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r>
      <w:tr>
        <w:trPr>
          <w:trHeight w:val="11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HBA卡规格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(若支持HBA直通卡)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HBA卡端口数量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★网口速率和数量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配备网口数量不少于 4 个，且网口速率不少于 1GE</w:t>
            </w:r>
            <w:r/>
          </w:p>
        </w:tc>
      </w:tr>
      <w:tr>
        <w:trPr>
          <w:trHeight w:val="8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存储型服务器网口速率和数量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存储型服务器 1GE 网口数量不少于2 个，10GE 以上网口数量不少于 2 个</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独立网卡网口数量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若配备独立网卡，独立网卡网口数量≥0</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独立网卡接口类型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RJ45/QSFP/SFP 等</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板载网卡接口类型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RJ45/QSFP/SFP 等</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★外部接口规格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★显示接口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显示接口类型应不少于 1 种，如：VGA、DP、HDMI等</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★USB 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配备 USB 接口，如 USB2.0、USB3.0 等</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特殊接口及孔位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前面板预留 1 个专用 USB 母座接口孔位</w:t>
            </w:r>
            <w:r/>
          </w:p>
        </w:tc>
      </w:tr>
      <w:tr>
        <w:trPr>
          <w:trHeight w:val="12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a)串口数量不少于 1 个，并可实现GB/T 6107 或 GB/T 26803.2 的相关功能；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b)服务器主机前面板可根据用户实际使用需求预留 1 个专用 USB 母座接口孔位</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电源冗余模式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整机电源模块按 1+1 冗余或 N+1 冗余配置</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★电源模块数量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电源模块功率应有一定冗余，满足处理器满载时的需求</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电源指示灯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配备电源指示灯，指示待机、工作异常等状态</w:t>
            </w:r>
            <w:r/>
          </w:p>
        </w:tc>
      </w:tr>
      <w:tr>
        <w:trPr>
          <w:trHeight w:val="59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★整机规格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★外观和结构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a)服务器的零部件应紧固无松动， 可插拔部件应可靠连接，开关、按钮和其它控制部件应灵活可靠，布局应方便使用；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产品表面不应有明显的凹痕、划伤、裂缝、变形和污染等。表面涂层均匀，不应起泡、龟裂、脱落和磨损，金属零部件无锈蚀及其它机械损伤；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   产品表面说明功能的文字、符号和标志应清晰、端正且牢固；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   应在服务器的显著位置提供运行状态的指示功能，并在随机文件中明确具体含义；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e)   机架、机箱的尺寸应符合通用机柜的安装要求，插入总线插座的电路板接口外形尺寸应符合有关总线标准的规定，将机箱固定在机柜上， 机箱底面最大下垂变形不得干涉相邻机体；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f)   高密度服务器应给出 CPU 个数与机柜高度；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g) 服务器尺寸具体要求在随机文件中明确</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★尺寸（高×宽×深）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供应商给出产品尺寸；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设计应遵循标准化、系列化的要求； 机箱的内部结构符合通用部件的安装需要</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服务器导轨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供应商给出导轨尺寸、安装方式等信息</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个数与机柜高度单位(U) 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供应商给出 CPU 个数与机柜高度</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★环境适应性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气候环境适应性应符合 GB/T9813.3 的有关规定，工作温度5～35℃，贮存运输温度-30～55℃；工作相对湿度 35%～80%，贮存运输相对湿度 20％～85%（40℃）；大气压86～106kPa</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特殊机型环境适应性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边缘应用服务器，工作环境温度宜为 0～45℃，短期工作可承受环境温度宜为-5～55℃，液冷服务器贮存运输温度宜为-30～55℃</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★机械环境适应性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机械环境适应性应符合 GB/T9813.3 的有关规定</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★噪声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 GB/T 9813.3 的有关规定，在产品说明中给出具体测试值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塔式服务器噪声在空闲状态下不大于50dB</w:t>
            </w:r>
            <w:r/>
          </w:p>
        </w:tc>
      </w:tr>
      <w:tr>
        <w:trPr>
          <w:trHeight w:val="2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 计算单元规格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 计算单元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 AI 计算单元应符合如下要求：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a)具备人工智能加速处理器，计算精度至少支持 FP16、BF16、FP32、FP64、INT8 和 INT16 等中的 1 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b)单推理卡或模块，具备视频解析、文本识别、语音分析等推理能力；在视觉场景下配备可直接调用的接口实现视觉计算加速，路数不小于 64（1080P 0FPS）</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一键式迁移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若服务器配备 AI 计算单元，提供训练脚本迁移工具</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机柜规格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★机柜尺寸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供应商给出长度、高度和深度</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机柜管理板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配备机柜管理板</w:t>
            </w:r>
            <w:r/>
          </w:p>
        </w:tc>
      </w:tr>
      <w:tr>
        <w:trPr>
          <w:trHeight w:val="1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机柜电源规格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a)机柜电源支持集中供电，电源输入不少于 2 路且支持自动切换；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b)机柜电源模块支持 N+1 冗余配置，电源模块可独立更换</w:t>
            </w:r>
            <w:r/>
          </w:p>
        </w:tc>
      </w:tr>
      <w:tr>
        <w:trPr>
          <w:trHeight w:val="8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★主板功能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★主板外部接口种类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 USB、显示、管理等接口，如：VGA、DP、HDMI、USB3.0、PS/2 接口、BMC 管理端口</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主板防烧板设计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支持主板防烧板设计，保证电源故障后不扩散</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扩展功能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实现至少一种扩展功能，如存储功能卡、显示功能卡、运算加速功能卡及网络功能卡等扩展功能</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支持网络连接、网络访问、数据交换和网络管控功能</w:t>
            </w:r>
            <w:r/>
          </w:p>
        </w:tc>
      </w:tr>
      <w:tr>
        <w:trPr>
          <w:trHeight w:val="1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★计算处理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支持通用计算及虚拟化功能。处理器需集成整型计算单元、浮点计算单元、内存控制器、I/O 模块等，处理器与存储部件、网络部件、I/O 部件等组成计算系统，提供数据处理、网络接入等计算相关功能</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★密码算法实现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 芯片应符合 GM/T 0008 的相关规定，或芯片密码模块应符合 GB/T37092 或 GM/T 0028 的相关规定</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内存校验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支持内存校验或内存增强型纠错功能</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SATA SSD NAND 健康状态上报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支持关键外部存储器（硬磁盘、SSD 等）的健康状态上报并进行故障诊断</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SATA SSD单die故障隔离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SSD 关键外部存储器中单存储晶元故障隔离</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RAID卡功能（若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支持RAID卡）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 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 级别支持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 模式支持 RAID 0/1/10/5，存储型支持 RAID 0/1/5/6/10/50/60</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BBU单元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 卡支持电池或电容备份单元</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光驱类型（是否支持 RW，以及光盘类型CD/DVD）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若配备光驱，应提供光驱的安装形式（如内置、外置）、光驱读写类型（如只读、可刻录等）、光盘类型的兼容列表（如 CD-ROM、CD-RW、DVD±RW 等）</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★电源热插拔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整机电源模块应具备热插拔功能</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★电源过流保护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支持过流及短路保护的功能</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★整机功能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★散热方式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支持风冷或液冷等散热方式</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支持关键部件冗余（包括电源、风扇等）；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支持熔断保护与恢复功能</w:t>
            </w:r>
            <w:r/>
          </w:p>
        </w:tc>
      </w:tr>
      <w:tr>
        <w:trPr>
          <w:trHeight w:val="11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★管理系统功能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★BMC 固件基础功能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支持 DHCP 设置网络功能；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2)支持静态 IP 设置网络功能；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3)支持设备日志记录，包括但不限于登录日志、操作日志和报警日志等功能；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4)支持日志信息导出和记录删除功能；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5)支持通过管理接口向外输出准确的报警信息功能；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6)设备的 BMC 管理软件应能够按报警的严重程度进行区分；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7)支持 IPMI2.0、SNMP 或 Redfish 等接口功能；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8)支持键盘、鼠标和视频的重定向、文本控制台的重定向、远程虚拟媒体、高可靠的硬件监控和管理功能；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9)支持基于网络开启、关闭和重启设备的功能，并查询当前设备开机运行状态；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10)支持故障提示功能，并可通过接口读取服务器故障信息；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11)支持基于网络的固件更新功能，包括 BMC 和 BIOS 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12)支持基于网络安装操作系统的功能，并可通过网络控制台访问设备；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13)支持通过本地的硬盘或光驱等存储设备，基于网络完成设备的操作系统安装功能；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14)支持通过浏览器打开管理界面并登录功能；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15)支持设置口令策略功能；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16)支持访问权限设置功能，并通过日志记录访问事件；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17)支持对出厂默认的用户名及口令进行安全保护功能，并提供默认口令修改提示；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18)支持读取设备主板的工作环境温度功能；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19)支持读取服务器 CPU 等核心器件的温度功能；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20)支持通过外部管理工具进行BMC参数设置的功能，并可基于网络通过外部管理工具对 BMC 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21)应支持固件版本查询、固件升级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22)支持基于网络实现开关机和复位控制的功能；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23)BMC 启动时间应不超过 180s，实现功能包括网络、IPMI、散热、传感器服务可用；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24)支持 BMC 固件设置的恢复出厂功能</w:t>
            </w:r>
            <w:r/>
          </w:p>
        </w:tc>
      </w:tr>
      <w:tr>
        <w:trPr>
          <w:trHeight w:val="1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BMC 固件增强功能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a）网络控制、安装提供图形访问界面网络；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b）设备的 BMC 管理软件界面显示报警信息，且能够按报警的严重程度进行区分；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c）Web GUI 采用 BMC 端口直连，平均响应时间为不大于1s</w:t>
            </w:r>
            <w:r/>
          </w:p>
        </w:tc>
      </w:tr>
      <w:tr>
        <w:trPr>
          <w:trHeight w:val="6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★BIOS 固件基础功能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a）支持查看固件版本、内存信息、主板信息、处理器信息和系统时间信息功能；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b）支持上电初始化界面显示 CPU 信息、内存信息、固件版本和部分快捷键信息功能；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c）支持设置界面中英文显示切换功能；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d）支持查看 PCIe 设备信息，SATA 设备信息功能；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e）支持操作系统安装和引导功能，应并向操作系统提供计算机主板信息和服务接口；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f）支持设置启动顺序，并按照设置的启动顺序启动功能；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g）支持安全启动功能；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h）支持设置口令、修改口令、验证口令功能；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i）支持板载显示控制或独立显卡的显示控制功能；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j）支持 RAID 识别和启动功能；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k）支持串口重定向功能；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l）支持固件更新功能；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m）支持 BIOS 固件设置的恢复出厂功能；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n）支持网络引导启用和关闭功能</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★远程控制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支持远程关机和重新启动功能</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★操作系统及驱动功能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★操作系统及驱动的升级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支持通过网络、闪存盘对操作系统、驱动进行升级</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操作系统及驱动的备份还原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支持操作系统备份及还原功能</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★操作系统功能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支持访问控制、安全审计、网络接入鉴别等功能；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操作系统其他功能应满足操作系统政府采购需求标准中加★的指标要求</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★中文信息处理功能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★中文信息处理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 GB 18030 的有关规定</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机柜管理功能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机柜管理系统包括服务器节点 BMC 管理系统、机柜管理系统或交换节点管理系统</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机柜通信方式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若配备机柜管理板可实现包括：资产管理、电源模块、功耗管理和液冷漏液检测等功能</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多集群作业管理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支持多集群作业管理功能</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★关键部件安全要求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★关键部件安全要求3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 和操作系统等关键部件应当符合安全可靠测评要求</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★固件安全要求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★故障检测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支持故障检测功能，可以检测到具体的 FRU（内存、硬盘等）的故障并发出告警</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内存故障智能预测和自愈修复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支持内存故障智能预测和自愈修 复，提前自动硬隔离，避免内存故障引起的非预期宕机以及内存寿命的降低</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硬盘故障智能预测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支持硬盘故障智能预测，基于故障模型预测出硬盘的故障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PCIe 链路故障智能诊断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PCIe 链路故障智能诊断，判断出现故障的 PCIe 链路</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内存故障隔离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支持内存故障隔离，在内存产生 CE 故障时，内存地址被隔离成功，服务器正常运行，业务系统不中断</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内存、PCIe 卡的故障精准告警功能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支持内存、PCIe 卡的故障精准告警功能，触发告警并明确指示具体的故障位置</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异常下电关键数据保护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支持异常下电关键数据保护，支持数据备份恢复机制，防止系统异常掉电导致的数据文件丢失</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BMC/BIOS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固件双镜像保护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BMC/BIOS 固件双镜像保护，运行异常时自动切换到备份镜像运行，提升系统稳定性</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 核重启隔离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 CPU 核发生不可纠正故障后， 重启后由 BIOS 隔离该故障核，OS 不可见，防止 OS 再次使用导致系统异常，核 0 除外</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内存地隔离址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在硬件支持的情况下，支持故障内存地址重启后隔离</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内存存储阵列替换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在硬件支持的情况下，支持故障内存存储阵列替换</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安全启动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支持执行环境要求在整个系统启动的过程中，系统应提供一个机制来保护平台的完整性</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syslog 双向鉴别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支持系统日志双向鉴别，对服务器根证书和客户端根证书进行鉴别</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★弱口令字典检查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支持弱口令字典检查功能，出现在弱口令字典中的字符串不能被设置为用户口令</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★白名单访问控制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支持基于时间、IP 或 MAC 白名单访问控制</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双因素鉴别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支持使用客户端证书和证书密码的双因素鉴别方式登录管理系统</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★二次鉴别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支持二次鉴别功能。对于用户配置、权限配置、公钥导入等重要的管理操作，已登录用户应通过二次鉴别后，才能执行操作</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匿名化用户告警接收邮箱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支持带外管理系统中的用户告警接收邮箱进行匿名化处理</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★密码证书安全加密存储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支持对带外管理系统中的用户口令和证书等敏感信息进行加密存储， 禁止使用私有的和业界已知不安全的密码算法</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★敏感信息安全加密传输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支持使用安全的传输加密协议（如SSH 或 HTTPS 等）传输用户的敏感信息</w:t>
            </w:r>
            <w:r/>
          </w:p>
        </w:tc>
      </w:tr>
      <w:tr>
        <w:trPr>
          <w:trHeight w:val="1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★信息安全要求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★研发过程安全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漏洞管理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供应商承诺，生产商已建立漏洞全量视图，保证产品版本涉及到的所有漏洞(如驱动程序、BMC 软件等) 都可以查看</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网络关键设备服务器要求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作为网络关键设备的服务器应符合GB 40050 的相关规定</w:t>
            </w:r>
            <w:r/>
          </w:p>
        </w:tc>
      </w:tr>
      <w:tr>
        <w:trPr>
          <w:trHeight w:val="4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a)嵌入物理可信根，实现设备的信任链构建；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b)支持可信平台控制模块(TPCM)；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c)支持在固件系统（BMC、BIOS） 启动前实现对固件度量的功能，支持物理可信根对 BMC 固件或 BIOS 固件进行完整性检测、更新和恢复；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d)支持对 CPU、网络控制器等关键处理器进行身份识别与度量的功能；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e)支持基于处理器或可信计算模块度量的功能；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f)所采用的可信密码模块接口应符合 GM/T 0012 的相关规定；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g)可信安全管理模块、处理器等硬件载体应通过国家相关部门的认证和许可</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★物理安全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★物理安全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安全要求应符合 GB 4943.1 的规定</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★限用物质的限量要求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★限用物质的限量要求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限用物质的限量应符合 GB/T 26572 的要求</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 主频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≥2.6GHz</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 CPU 核数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≥24,实际配置的CUP数量≥2</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 CPU 末级缓存容量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≥24MB</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单内存模块容量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≥32GB</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≥3200MT/s</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硬盘转速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安装的硬磁盘转速不小于 7200rpm</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RAID卡性能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 卡缓存容量大小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 RAID 卡且 RAID 卡有缓存容量，容量不少于4GB</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FC HBA卡性能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FC HBA 卡速率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若配备 FC HBA 卡，单端口最大的连接速率不少于 16Gb/s</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独立网卡速率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≥10GE</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板载网卡速率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≥1GE</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★电源能耗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★电源能耗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 GB/T 9813.3 的有关规定</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★部件兼容性要求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适配 3 种及以上厂商的内存产品， 且均不低于产品支持的内存规格</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★固态存储兼容性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适配 3 种或以上厂商的固态存储产品，且均不低于产品支持的固态存储设备规格</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FC HBA卡兼容性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FC HBA应适配两种或以上厂商产品</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 卡兼容性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 卡应适配两种或以上厂商产品</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★网卡兼容性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网卡应适配两种或以上厂商产品</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★功能卡兼容性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内置或适配符合PCIe 的功能卡，如： 网络功能卡、存储功能卡及图形显示功能卡</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★外设兼容性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★外设兼容性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兼容多种主流生产商的外部设备， 包括显示器、键盘、鼠标、闪存盘、移动硬盘、USB 光驱及 KVM 等，要求使用不同厂商的外部设备时，系统均能正常识别和安装驱动</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★软件兼容性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兼容 3 个及以上厂商的数据库产品</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★中间件兼容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兼容 3 个及以上厂商的中间件产品</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★平台软件兼容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兼容 3 个及以上厂商的大数据平台</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虚拟化软件兼容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 2 款及以上虚拟化软件</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SATA SSD可靠性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SSD 的 m1 值（MTBF 的不可接受值） 不低于 200000h</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★整机可靠性要求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★整机可靠性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m1 值（MTBF 的不可接受值）不得低于 30000h</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★风扇可靠性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风扇寿命应不低于 40000h</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★部件可靠性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支持硬盘、电源、风扇热插拔(内置风扇除外)</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包装及运输要求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★包装及运输要求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★标志、包装、运输和贮存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 GB/T 9813.3 和商品包装政府采购需求标准的相关规定</w:t>
            </w:r>
            <w:r/>
          </w:p>
        </w:tc>
      </w:tr>
      <w:tr>
        <w:trPr>
          <w:trHeight w:val="21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提供电话、电子邮件、远程连接等多种形式服务；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提供同城 4h、异地 12h 技术响应服务，2 个工作日解决问题，对于未能解决的问题和故障应提供可行的升级方案，并提供周转设备；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  建立全国技术服务体系和服务 团体，符合专业服务体系标准要求， 提供原厂中文服务；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  服务周期内提供产品的维修、换件和升级服务</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供应商提供培训材料、产品手册、培训视频等培训相关内容</w:t>
            </w:r>
            <w:r/>
          </w:p>
        </w:tc>
      </w:tr>
      <w:tr>
        <w:trPr>
          <w:trHeight w:val="21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a)产品免费服务周期（含换件和维修）应不小于 3 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b)设备停产后继续提供质量保障服务（含备品备件），服务终止时间与最后一批设备交付时间间隔不低于 6 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c)产品停止服务时间应提前 1 年告知客户；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d)产品发布日期需在随机文件中明确</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★服务工具要求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供应商提供设置服务器硬件、辅助操作系统安装等功能的辅助工具和管理软件。且随附软件应具有合法授权或版权</w:t>
            </w:r>
            <w:r/>
          </w:p>
        </w:tc>
      </w:tr>
      <w:tr>
        <w:trPr>
          <w:trHeight w:val="1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支持如下功能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本地的数据备份和还原功能；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网络的数据备份和还原功能；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服务器操作系统的自动安装功能；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  服务器所配硬件需要的驱动程序和系统补丁</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★驱动安装升级指引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供应商提供出厂安装的配件所需的驱动程序，形式包括但不限于驱动光盘、驱动下载链接等。其他配件应提供指引</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随机附开盖工具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随服务器打包提供开机箱工具</w:t>
            </w:r>
            <w:r/>
          </w:p>
        </w:tc>
      </w:tr>
      <w:tr>
        <w:trPr>
          <w:trHeight w:val="21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代码迁移工具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供应商提供从其他 CPU 架构到当前服务器 CPU 架构的软件迁移工具产品，支持软件包迁移评估，对满足产品重构要求的软件包，能重构为当前服务器 CPU 架构的软件包。提供源码迁移功能，检查分析C/C++/Fortran/Go/解释型语言/汇编等源码文件，基于产品功能给出迁移指导</w:t>
            </w:r>
            <w:r/>
          </w:p>
        </w:tc>
      </w:tr>
      <w:tr>
        <w:trPr>
          <w:trHeight w:val="1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性能分析工具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供应商提供支持当前服务器 CPU 架构的性能分析工具产品，支持系统性能分析、Java 性能分析和系统诊断，可分析系统或应用在 CPU、内存、IO、网络等方面的性能，并给出优化建议</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跨架构平台应用兼容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 CPU 架构平台应用兼容工具，可兼容一种或者一种以上不同架构平台的应用</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具备资源管理、系统管理、性能监控、健康监控、基于网络控制、报警设置功能</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★增值服务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★厂家升级产品软件与扩容服务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供应商提供原厂级的部件/软件产品升级和扩容能力</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服务保障升级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供应商有偿提供远程技术支持、软件授权服务、备件更换服务、现场支承服务</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★提供上门服务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供应商具备提供上门服务的能力(可收费)</w:t>
            </w:r>
            <w:r/>
          </w:p>
        </w:tc>
      </w:tr>
      <w:tr>
        <w:trPr>
          <w:trHeight w:val="1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业务场景性能优化服务及整体架构升级服务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供应商提供针对特定业务场景性能优化服务及整体架构升级服务</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供保要求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★抗干扰性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当产品部件出现供应风险时，应通知客户并提供风险应对方案确保产品的服务保障，必要时应停止相关受影响产品的销售</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供保要求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★供应链质量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★供应能力证明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供应商提供供应链稳定承诺书，确保产品的部件在产品服务周期内稳定供货</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产品可再生利用率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42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供电模块效率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20%负载率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6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≥0.95</w:t>
            </w:r>
            <w:r/>
          </w:p>
        </w:tc>
      </w:tr>
      <w:tr>
        <w:trPr>
          <w:trHeight w:val="36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50%负载率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r>
      <w:tr>
        <w:trPr>
          <w:trHeight w:val="6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≥0.95</w:t>
            </w:r>
            <w:r/>
          </w:p>
        </w:tc>
      </w:tr>
      <w:tr>
        <w:trPr>
          <w:trHeight w:val="48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100%负载率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r>
      <w:tr>
        <w:trPr>
          <w:trHeight w:val="6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611"/>
        <w:gridCol w:w="7568"/>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体系架构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实配SAN与NAS统一存储，配置NAS协议（包括NFS和CIFS）、IP SAN和FC SAN协议，不需额外配置NAS网关，存储操作界面同时支持块存储和文件存储功能。</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★控制器处理器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采用国产核心处理器（非Intel）芯片，采用多核处理器，配置每控制器处理器总物理核心数≥18核。</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控制器扩展能力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支持控制器扩展，最大支持≥2控。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控制器配置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配置双Active-Active控制器；采用2U盘控一体架构；存储缓存容量：系统内总一级缓存容量配置≥32GB，且任意控制器一级缓存容量≥16GB（不含任何性能加速模块、FlashCache、PAM卡，SSD Cache、SCM等）</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前端主机通道接口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配置8*1Gbps Ethernet，4*10Gb ETH(含多模SFP+)，2*4端口 Smartl0 I/O模块(SFP+,16Gb FC)，4*SAS 3.0端口。</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后端磁盘通道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配置后端磁盘通道带宽≥192Gbps。</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配置≥6块4TB 7.2K RPM NL SAS 硬盘单元(3.5")； 配置≥4块480GB SSD SAS硬盘单元(3.5")；支持SAS SSD、SAS、NLSAS硬盘，并支持混插，最大支持磁盘插槽个数≥12。</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任意三盘同时失效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支持RAID组内，任意三盘同时故障，业务连续，数据不丢失。</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配置智能数据精简、镜像、快照、复制、克隆、远程复制软件功能，提供设备管理功能。</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闪存加速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同时支持全闪存及混合闪存两种存储模式</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文件系统全局命名空间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多个文件系统能够挂载在根目录，实现全局统一命名空间访问。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存储专用多路径软件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存储厂商提供专有多路径（非操作系统自带多路径）软件，提供故障切换和负载均衡功能，支持Windows\Linux（提供国家认可检测机构出具的检测报告扫描件）。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★通过中国CCC强制性产品认证。</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通过中国CQC节能认证。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提供3年原厂质保服务。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产品可再生利用率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br/>
              <w:t xml:space="preserve">根据GB/T 32355.2及附录C要求进行判定；</w:t>
              <w:br/>
              <w:t xml:space="preserve">合规性验证方式：查验数据中心提供的第三方检测报告或第三方认证证书。</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供电模块效率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（1）20%负载率：</w:t>
              <w:br/>
              <w:t xml:space="preserve">电源效率≥90%</w:t>
              <w:br/>
              <w:t xml:space="preserve">功率因数（PF）≥0.95；</w:t>
              <w:br/>
              <w:t xml:space="preserve">（2）50%负载率：</w:t>
              <w:br/>
              <w:t xml:space="preserve">电源效率≥94%</w:t>
              <w:br/>
              <w:t xml:space="preserve">功率因数（PF）≥0.95；</w:t>
              <w:br/>
              <w:t xml:space="preserve">（3）100%负载率：</w:t>
              <w:br/>
              <w:t xml:space="preserve">电源效率≥91%</w:t>
              <w:br/>
              <w:t xml:space="preserve">功率因数（PF）≥0.95。</w:t>
              <w:br/>
              <w:t xml:space="preserve">检测方法按照HJ 2507附录B要求执行；</w:t>
              <w:br/>
              <w:t xml:space="preserve">合规性验证方式：查验数据中心提供的第三方检测报告或第三方认证证书。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操作系统</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25"/>
        <w:gridCol w:w="2693"/>
        <w:gridCol w:w="1984"/>
        <w:gridCol w:w="3368"/>
      </w:tblGrid>
      <w:tr>
        <w:trPr>
          <w:trHeight w:val="8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一级指标4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二级指标4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★操作系统支持多CPU架构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★同源兼容多CPU平台架构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操作系统支持同源兼容ARM架构的CPU</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★操作系统支持CPU内置功能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★多核支持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操作系统支持双核及多核处理器，包括核间负载均衡、线程绑定等，并提供接口，通过访问接口获取运行状态和控制多核调度</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★CPU虚拟化支持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操作系统支持CPU虚拟化技术</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★动态调节CPU运行频率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操作系统根据负载情况，自动调节CPU的运行频率</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★支持多CPU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支持跨路内存访问，支持CPU间负载均衡，支持并优化NUMA体系架构</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★支持CPU内置安全功能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操作系统支持CPU硬件密码运算与随机数生成等功能；提供编程接口供应用程序调用；支持通过硬件指令判别临界区冲突；支持调用CPU指令，实现自旋锁</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★安装部署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操作系统支持光盘安装、USB闪存盘安装、网络安装和无人值守安装</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操作系统支持文本安装模式</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★安装过程配置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安装界面文种设置、逻辑分区配置（如LVM）、自定义分区设置、安装组件设置、时区设置、键盘布局设置、初始用户设置、计算机名设置和网络设置，支持通过USB闪存盘等方式加载硬件驱动、支持设置加密文件系统</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★系统引导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a)操作系统应支持UEFI2.0及以上规范固件引导，当计算机以UEFI模式启动安装时，安装程序应分配ESP，并在ESP中放置启动引导文件，使系统能以UEFI模式引导；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b)支持bootloader引导，支持MBR及GPT</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★引导修复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操作系统安装媒体提供系统引导修复功能，当已安装的系统引导被破坏时，可重建系统引导</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★引导参数编辑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操作系统支持用户编辑引导参数，支持GRUB口令保护</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安装程序在安装执行前明确提示用户可能会删除已有数据，并提供退出/取消功能，当用户取消安装时，不改变硬盘上已有数据</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★分辨率自适应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操作系统安装完成后应自动适配显示器最佳分辨率</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★安装配置正确性校验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操作系统安装和配置过程中，如用户自定义的某些配置可能会影响系统启动或正常使用，予以明确提示</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★系统内核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★内核要求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a)若操作系统是基于Linux内核的服务器操作系统应兼容4.19版内核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b)若操作系统属于其他类型内核不做要求</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★进程、线程调度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★NUMA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操作系统支持基于NUMA的亲和调度</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★多核轮询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操作系统支持CPU多核轮询调度</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★进程调度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操作系统具备进程优先级动态调整能力，允许在进程运行时对优先级进行调整；区分实时进程与非实时进程，分别进行调度；支持进程运行状态检查</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操作系统支持最大内存不小于4TB</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★内存大页管理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操作系统允许应用申请内存大页降低页表转换</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★NUMA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操作系统支持NUMA近节点优化</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内存超分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操作系统支持虚拟内存超分，提升内存的使用率</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★RAID支持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操作系统支持硬RAID和软RAID，支持软RAID级别0、1、5、6、10</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★虚拟文件系统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操作系统支持将不同功能的外部设备抽象为统一的文件操作接口，包括存储、输入输出设备</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操作系统支持文件存储、检索和共享</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★可移动存储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操作系统支持对可移动外部存储的管理，包括启停、禁用、恢复等</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★外部独立存储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操作系统支持使用外部独立存储设备</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★多路径聚合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操作系统支持存储多路径聚合及I/O动态负载均衡</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★故障检测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操作系统支持硬盘损坏或老化检测及信息收集</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★虚拟内存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操作系统支持将硬盘的特定分区或文件作为虚拟扩展内存用于存放内存数据，支持虚拟内存压缩</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★网络块设备挂载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操作系统支持FCoE、iSCSI，支持将Ceph块设备视为常规存储设备挂载到某个目录并作为标准文件系统使用</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存储缓存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操作系统支持快速块设备作为慢速块设备缓存以加速I/O</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★网络链路检测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操作系统支持网络链路故障检测、链路事件通知和链路状态查询</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★TCP卸载引擎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操作系统支持运行TCP协议卸载引擎的网卡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操作系统支持IPv4、IPv6</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★多网卡绑定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操作系统支持多网卡绑定</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用户态TCP/IP协议栈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操作系统支持用户态TCP/IP协议栈</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★文件系统支持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操作系统支持XFS、EXT3、EXT4、NTFS、FAT32等文件系统，支持相应格式分区创建、删除、格式化等</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★日志式文件系统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操作系统支持日志式文件系统</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★文件处理能力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操作系统支持最大文件不小于4TB，最大分区与文件系统不小于10PB，最大文件名长度不小于255字节</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★分区大小调整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操作系统支持动态调整分区大小，对系统分区容量进行改变</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授权激活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产品许可机制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a)操作系统支持序列号授权，未激活期间，系统不频繁提示干扰用户正常使用；未激活系统不得影响用户数据安全与完整性；</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★应用开发运行环境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★集成开发环境/开发框架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操作系统通过附加光盘等方式提供开发环境，包括Qt、Eclipse、VSCode等</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★开发工具库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操作系统通过附加光盘等方式提供开发库，包括GNUC、GNUC++、Java、Qt、Gtk+、Cairo、OpenGL、Perl、Python、Ruby、Rust、Golang、JS等</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★编译器开发工具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操作系统通过附加光盘等方式提供编译开发工具，包括GCC、G++、Binutils、GDB、Make、CMake等</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★文本编辑工具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操作系统附加光盘等方式提供文本编辑工具，包括Emacs、Vim等</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★软件包管理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操作系统支持查询软件包描述和包含文件，以及软件包依赖；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支持在安装时自动提示并下载安装缺失的依赖软件包</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★开发文档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供应商提供软件开发参考文档、驱动开发参考文档、应用移植开发文档、API文档</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操作系统支持TCP/UDP</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★网络共享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操作系统支持基于NFS、SMB、FTP、CIFS等协议的数据网络共享服务</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★WEB服务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操作系统支持基于HTTP、HTTPS、FastCGI等协议WEB服务</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★加密传输服务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操作系统支持基于IPSec和SSL协议的隧道加密传输服务</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★数字证书服务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操作系统支持基于PKI体系的数字证书服务</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★访问控制服务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操作系统支持基于RBAC(基于角色的访问控制)机制的访问控制服务</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操作系统支持基于SNMP、NETCONF、RESTCONF等协议的网络管理服务</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★时间同步服务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操作系统支持基于NTP协议网络时间同步服务</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★远程连接服务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操作系统支持RPC、rsync、SSH等远程服务</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★邮件服务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操作系统支持基于SMTP、POP3、IMAP等的邮件服务</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★身份鉴别服务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操作系统支持基于轻量级目录访问协议的统一身份鉴别服务</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★数据存储和查询服务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操作系统支持结构化和非结构化格式数据的存储和查询服务</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操作系统支持块、文件、对象等类型的数据存储服务</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操作系统支持SQL、NoSQL、键值等类型的数据库</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操作系统支持多种传输速率和存储协议的SAN和NAS存储</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★集群支持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操作系统支持服务基于主备机制的分布式集群、高可用集群的部署模式</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操作系统支持服务基于分布式通信协议的分布式集群、高可用集群的部署模式</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操作系统支持基于虚拟路由器冗余协议的高可用集群部署模式</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★分布式服务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操作系统支持基于同步、异步请求处理机制的分布式服务</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操作系统支持基于OSI模型的4/7层和链路层的负载均衡模式</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★负载均衡模式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操作系统支持基于不同调度算法的负载均衡模式</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★高可用服务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操作系统提供对HA的支持，支持多种集群配置模式，包括主主模式、主备模式、N+1模式和N+M模式，支持资源及节点故障检测</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开源组件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开源数据库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供应商可通过安装附加光盘方式提供开源数据库，并对提供的开源组件进行签名认证，确保组件的安全性、稳定性、可靠性</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开源中间件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供应商可通过安装附加光盘等方式提供开源中间件，并对提供的开源组件进行签名认证，确保组件的安全性、稳定性、可靠性</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单机虚拟化管理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供应商可通过安装附加光盘等方式提供开源单机虚拟化管理软件，并对提供的开源组件进行签名认证，确保组件的安全性、稳定性、可靠性</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容器虚拟化软件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供应商可通过安装附加光盘等方式提供开源容器虚拟化软件，并对提供的开源组件进行签名认证，确保组件的安全性、稳定性、可靠性</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容器管理工具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供应商可通过安装附加光盘等方式提供开源容器管理工具，并对提供的开源组件进行签名认证，确保组件的安全性、稳定性、可靠性</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分布式存储软件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供应商可通过安装附加光盘等方式提供开源分布式存储软件，并对提供的开源组件进行签名认证，确保组件的安全性、稳定性、可靠性</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云计算管理平台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供应商可通过安装附加光盘等方式提供开源云计算管理平台，并对提供的开源组件进行签名认证，确保组件的安全性、稳定性、可靠性</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★虚拟化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★虚拟化部署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操作系统支持在KVM、Xen、Hyper-V虚拟机上安装部署操作系统</w:t>
            </w:r>
            <w:r/>
          </w:p>
        </w:tc>
      </w:tr>
      <w:tr>
        <w:trPr>
          <w:trHeight w:val="4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★内核虚拟化(KVM)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操作系统支持KVM虚拟化：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对虚拟机进行启、停等管理操作；对虚拟机硬盘做快照并从快照恢复；兼容qemu、libvirt标准接口；支持UEFI或legacyBIOS方式启动；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支持虚拟时钟arch-timer；支持虚拟鼠标、键盘、触控板、声卡、显卡、硬盘、CDROM、串口pty/pipe/file等设备；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Virtio协议下的虚拟设备，包括串口、blk驱动硬盘、SCSI驱动硬盘、不同后端控制器类型的Virtio网卡(包括内核态、用户态、qemu)、GPU、vsock设备等；支持硬盘和网卡选择类型VFIO设备；支持虚拟机CPU、内存、网卡、硬盘等离线调整；支持虚拟机网卡、硬盘、USB设备热插拔；支持PCI/PCIE设备直通；支持虚拟机热迁移和加密传输；支持虚拟机远程访问；支持虚拟机CPU和I/O线程绑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★KVM虚拟机管理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虚拟机对主机的访问控制；虚拟机可以拥有独立的物理资源，且各个虚拟机之间严格隔离；支持大页内存运行虚拟机；支持三种CPU型号模拟模式，包括直通、宿主模型、自定义；支持虚拟机资源调配控制，包括Numa、CPU、内存、I/O、网卡；支持CPU拓扑模拟和透传</w:t>
            </w:r>
            <w:r/>
          </w:p>
        </w:tc>
      </w:tr>
      <w:tr>
        <w:trPr>
          <w:trHeight w:val="3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★容器虚拟化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OCI；支持进程命名空间隔离技术包括不限于mnt、pid、ipc、uts、user、network等；支持在同CPU指令架构下的不同规格硬件上无缝分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支持通过控制终端对容器内新建进程的标准输入输出对接交互；支持容器存储卷管理（新增、删除、卷容量配置、自动回收）、卷共享；支持面向容器的网络设备资源分</w:t>
            </w:r>
            <w:r>
              <w:rPr>
                <w:rFonts w:ascii="SimSun" w:hAnsi="SimSun" w:eastAsia="SimSun" w:cs="SimSun"/>
                <w:color w:val="000000"/>
                <w:sz w:val="24"/>
              </w:rPr>
              <w:t xml:space="preserve">配和使用；支持CNI；支持容器获取物理节点资源信息</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★容器镜像和存储管理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操作系统支持容器镜像导入、导出；支持容器镜像分层保存、导入</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★容器资源隔离和调配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容器资源在线调整，包括CPU资源、内存资源、I/O资源等；支持文件配额分配、存储带宽资源使用量监控等机制，实现容器级I/O控制能力；支持面向容器的网络带宽调度策略，实现容器级网络带宽分配、使用量监控等机制；支持面向容器的存储空间使用监控、分配机制；支持容器CPU核独占；支持面向容器的CPU时间片资源按需划分机制；支持面向容器的内存分配和回收机制，实现内存使用量跟踪和管理；支持同一集群在线、离线业务混合部署；支持对容器的编排、负载均衡、调度等能力；支持根据容器在线与离线混合部署状态进行资源优先调度</w:t>
            </w:r>
            <w:r>
              <w:rPr>
                <w:rFonts w:ascii="SimSun" w:hAnsi="SimSun" w:eastAsia="SimSun" w:cs="SimSun"/>
                <w:color w:val="000000"/>
                <w:sz w:val="24"/>
              </w:rPr>
              <w:t xml:space="preserve">，提高计算机资源利用率</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★中文支持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★字符编码集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操作系统应符合GB18030的要求</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★中文帮助文档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操作系统内置中文帮助文档</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多语言图形界面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操作系统的多文种图形用户界面应支持GB18030规定</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中文图形界面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操作系统支持中文图形操作界面</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★系统信息查看工具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操作系统支持查看系统版本、内核版本、内存容量、CPU型号等信息</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操作系统支持多网口自动连接、网络地址（常被称为“IP地址”）设置、DNS设置、路由设置；支持多网卡链路聚合，模式类型包括但不仅限于轮询、主备、802.3AD动态链路聚合</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★日期和时间管理工具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操作系统可设置时间同步服务器地址，支持局域网和广域网的同步设置</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★日志服务管理工具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操作系统支持收集系统日志</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★帐户管理工具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操作系统支持帐户添加、删除、属性修改等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★用户操作审计工具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操作系统支持用户操作痕迹查询</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操作系统支持EXT、XFS、NTFS、FAT、SWAP等多种格式的分区管理</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★SNMP协议工具包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操作系统支持SNMP设备和操作信息检索</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★文本终端连接工具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操作系统支持多终端协同管理</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★服务管理工具集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操作系统支持服务启动与停止，查看服务状态及日志，查询服务启动顺序及依赖关系</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★配置管理工具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操作系统提供配置管理工具，可以简化任务配置及服务管理</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★监控管理工具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安全加固功能，支持以命令行工具和图形化界面的方式提供安全服务、安全网络、磁盘检查、潜在危险、系统安全等15大类安全加固检查项，同时符合操作系统安全三级技术要求，为用户提供加固扫描、一键加固、自定义加固、一键还原和安全报告等功能。（提供证明材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★守护进程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操作系统支持按需启动守护进程，用户可自定义设定需求守护的进程，如遇异常可重新加载，实现应用持续运行</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★基础组件兼容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★版本兼容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操作系统基础运行库或开发环境向后（向下）兼容，即系统版本升级后，能兼容上一版本所运行的软件与设备</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★兼容周期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操作系统主版本兼容维护时间自发布之日起不低于5年，包括但不限于安全修复、功能升级、新硬件支持等</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操作系统支持以增量升级包的方式实现版本更新</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★运行环境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★文件系统层次结构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提供自研安全中心，支持以命令行工具和图形化界面的方式对系统进行安全加固、账户保护、网络保护、应用保护、可信度量、安全内存和指令流预检测方面的安全防护。（提供软著及功能截图）</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★运行库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供应商应给出长期兼容支持的运行库</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★命令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供应商应给出长期兼容支持的常用命令</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软件包格式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软件包格式转换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操作系统支持RPM或DEB格式的软件包，当系统不支持RPM或DEB格式的软件包时，提供工具对软件包格式进行转换</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★集群软件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中标麒麟高可用集群软件</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★虚拟化云平台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银河麒麟云平台软件、华为云Stack、腾讯蓝鲸智云平台软件</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★容器云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银河麒麟容器云平台软件、久远银海容器云平台软件、博云容器云产品族软件</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海康智存</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达梦数据库管理系统、金仓数据库管理系统、华为GaussDB</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★中间件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宝兰德数据交换平台、东方通应用服务器软件、金蝶Apusic应用服务器</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★运维平台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银河麒麟服务器运维管理平台</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★备份软件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数腾数据备份与恢复系统</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★大数据平台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灵睿大数据平台软件</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★终端防护及杀毒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瑞星ESM防病毒终端安全防护系统</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世纪网通信息安全管理系统</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东方电子双因子认证系统</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★服务器整机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华为TaiShanServer、浪潮英政服务器</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北联国芯AI服务器</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华为Dorado系列存储产品</w:t>
            </w:r>
            <w:r/>
          </w:p>
        </w:tc>
      </w:tr>
      <w:tr>
        <w:trPr>
          <w:trHeight w:val="1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★部件兼容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系统总线：PCIE3.0接口总线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HBA卡：博通HBA卡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RAID卡：LSISAS3008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网卡：Intel AX203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光纤卡：IntelX710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AI加速卡：NvidiaTesla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GPU：弈安云GPU显卡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NPU：寒武纪MLU370-S4</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★稳定性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★操作系统连续运行168小时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操作系统高负载下连续常态运行168小时无故障</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★备份还原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★备份还原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操作系统提供备份还原功能，支持生成系统状态快照及恢复系统状态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★内存纠错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★内存纠错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操作系统支持DDR3、DDR4等内存上的ECC查错、纠错</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★热插拔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CPU热插拔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硬件支持时，操作系统支持CPU热插拔</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内存热插拔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硬件支持时，操作系统支持内存热插拔</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★硬盘热插拔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硬件支持时，操作系统支持硬盘热插拔</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★远程维护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操作系统提供远程控制管理工具，支持RDP、SSH、SPICE、VNC等协议，方便用户进行文本或图形化形式的远程连接及维护</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★文件完整检查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操作系统提供文件系统检查工具，对文件系统完整性进行检测和修复</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★维护工具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★内核分析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操作系统提供内核性能分析工具，提供性能分析框架，支持对内核函数层面进行分析；提供内核探测工具，支持对内核及用户态程序动态追踪</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集中管可控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操作系统提供集中管控工具，支持对区域内服务器操作系统进行集中管理维护</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操作系统提供软硬件兼容性检查工具，自动分析应用软件、硬件兼容性，定位兼容性问题；提供操作系统跨版本兼容性分析工具，在迁移前检查分析软硬件，定位兼容性问题。</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性能调优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操作系统提供性能测试调优工具，按系统工作特点（如计算为主、存储为主等）自动优化系统配置</w:t>
            </w:r>
            <w:r/>
          </w:p>
        </w:tc>
      </w:tr>
      <w:tr>
        <w:trPr>
          <w:trHeight w:val="2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★日志管理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★日志记录与存储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对安全事件的日志记录，包括帐户增删改、成功登录、失败登录、敏感服务开启关闭、配置修改等，日志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★日志处理与分析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操作系统提供系统错误问题回溯分析工具，对系统崩溃问题及错误问题进行回溯；支持日志切分、一键收集、转储、同步机制</w:t>
            </w:r>
            <w:r/>
          </w:p>
        </w:tc>
      </w:tr>
      <w:tr>
        <w:trPr>
          <w:trHeight w:val="3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★脆弱性管理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★脆弱性管理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CPU、内存及PCIe设备等硬件的故障；支持诊断/响应组件动态加载机制；提供或支持第三方远程诊断框架及调测工具集，实现远程诊断及调试断点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支持物理机、虚拟机中操作系统的故障恢复</w:t>
            </w:r>
            <w:r/>
          </w:p>
        </w:tc>
      </w:tr>
      <w:tr>
        <w:trPr>
          <w:trHeight w:val="1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★热补丁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★热补丁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对内核热补丁进行编号，每个热补丁拥有独立编号；支持增量修复以及回滚机制；提供热补丁合法性和一致性校验功能；提供热补丁管理机制和工具，功能至少覆盖补丁查询、安装、移除；提供热补丁升级和回滚系统日志，便于查询或回溯</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★升级内容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操作系统支持系统增量升级功能，对系统部件、安全补丁等升级</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★升级方式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操作系统支持在线升级和离线升级</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操作系统升级不得修改破坏用户数据</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操作系统升级不得影响原有软硬件兼容性，如有影响应显式的提示告知用户</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★回退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操作系统提供升级回退机制，能卸载已升级的软件包，恢复系统原有状态，如升级为不可回退，则系统升级前以显式的提示告知用户</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供应商提供USB闪存盘交付方式</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★产品维护周期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产品自发布之日起至产品停止功能升级（包含不限于新特性、新硬件支持、问题修复、安全补丁等）之日止≥5年</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★产品延伸服务周期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产品停止功能升级之日起至产品停止功能维护（包括问题修复、安全补丁等）之日止≥5年</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★产品延伸安全服务周期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★售后服务最小保障期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≥8年</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★原厂服务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服务由操作系统厂商的正式员工提供，不由代理商提供</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★服务热线电话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操作系统厂商为最终用户提供工作日每日不少于8h（覆盖一般工作时间，具体时间由企业标准给出）中文技术服务热线</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★技术服务标准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操作系统厂商提供工作日每日不少于8h技术支持服务</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定制优化增值服务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操作系统厂商提供代码级定制优化服务</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★技术服务时效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操作系统厂商满足同城4h、异地12h响要求，两个工作日解决问题，对于未能解决的问题和故障提供可行的升级方案</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★技术服务保障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发生非人为因素故障，在七日内由操作系统厂商原厂人员免费对产品进行补充或更换</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★现场交付与安装调试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★现场安装调试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操作系统厂商提供产品安装与现场调试，并提供安装与调试所需的工具和设备</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★配套资料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交付产品时操作系统厂商提供配套的技术资料，包括但不限于系统说明文件、用户手册（用户安装、操作、维护、故障排除）等</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服务期内，操作系统厂商支持版本免费更换（注：更换后不延长服务期）</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★厂商能力要求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★服务团队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操作系统厂商建立全国技术服务体系和服务团队，为客户提供专业的原厂中文服务</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★数据安全保障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★数据收集安全保障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除用户授权采集的信息外不采集其他数据，相关信息采集无安全风险，相关数据存储在大陆境内</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★数据供给安全保障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涉及数据下载的线上服务物理服务器不出境，包括代码仓库、系统补丁、安全补丁、服务网站等</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★代码无风险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★代码无风险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操作系统厂商提供源代码，源代码可供第三方机构审查，开源许可合规，代码知识产权无风险，无恶意安全漏洞或后门，代码可追溯、可重构</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供应保障要求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工程构建体系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工程构建体系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操作系统厂商具备统一的工程构建体系，能用一套操作系统源码构建用于云侧计算、边侧计算场景中部署运行的操作系统，降低部署后系统维护、使用复杂度</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操作系统应当符合安全可靠测评要求</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★密码算法支持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★密码算法实现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操作系统支持GM/T0002、GM/T0003和GM/T0004规定的密码算法运算</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★随机数生成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操作系统随机数质量符合GM/T0005《随机性检测规范》或GB/T32915《信息安全技术二元序列随机性检测方法》</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★内置数字证书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操作系统内置国家电子认证根CA的根证书</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★密码协议实现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操作系统支持符合GB/T38636—2020的TLCP</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操作系统提供防火墙配置管理工具，支持基于协议、网络地址、端口的访问控制规则配置，规则修改后立即生效；支持关闭指定服务和端口，包括但不限于关闭远程访问、共享访问等；支持防止ARP欺骗攻击</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操作系统提供统一访问控制安全框架</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操作系统支持系统管理员、安全管理员、审计管理员分权管理</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操作系统支持静态文件度量（如IMA）和动态内存度量，保障特定文件及内存中运行程序的完整性</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可信计算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操作系统支持机密计算框架，提供机密计算SDK，能接入1种以上可信执行环境</w:t>
            </w:r>
            <w:r/>
          </w:p>
        </w:tc>
      </w:tr>
      <w:tr>
        <w:trPr>
          <w:trHeight w:val="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内核保护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操作系统支持内核完整性保护，保障内核不被非授权改变；提供内核模块加载黑名单机制</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★身份鉴别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★身份鉴别服务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标识使用帐户名和帐户ID，在操作系统的整个生存周期内用户标识具有唯一性；支持用户口令复杂度校验及强口令管理；支持用户口令有效期配置；支持口令鉴别失败控制；支持口令加密算法配置，用户口令进行加密后以不可逆的密文形式保存；支持禁止根帐户（root）远程登录设置</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★自主访问控制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客体拥有者以普通帐户决定并控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组对该客体的访问权则由客体拥有者授予</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★访问控制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★强制访问控制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操作系统支持对应用程序的访问控制与资源限制，包括对文件、网络等客体的访问控制；支持应用安装控制、应用执行控制</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★安全审计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能对身份鉴别的使用、自主访问控制、标记和强制访问控制策略的修改等生成审计日志；审计记录包括：事件类型、事件发生的日期、触发事件的用户、事件成功或失败等字段；支持审计日志查询和导出功能</w:t>
            </w:r>
            <w:r/>
          </w:p>
        </w:tc>
      </w:tr>
      <w:tr>
        <w:trPr>
          <w:trHeight w:val="20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★漏洞管理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★漏洞管理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支持漏洞编号，每个漏洞独立编号，可直接使用NVDB、CNVD或CVE编号；漏洞提醒，发现或获悉漏洞信息时，通过系统推送、电子邮件或官方网站等方式通知用户；漏洞修复，对已发现的安全漏洞通过补丁等方式对系统漏洞进行修复；漏洞列表，提供每个版本已修复的漏洞列表，提供命令或网页等方式方便用户查询漏洞及其修复情况</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虚拟化平台软件</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702"/>
        <w:gridCol w:w="7193"/>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#虚拟化平台为国产自研产品（不基于国外开源虚拟化平台项目），所有代码自主可控。</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支持虚拟化平台一键无缝升级，同时支持跨大版本升级，升级过程不影响虚拟主机业务。</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支持ARM和X86两种CPU架构体系，同一管理平台下可同时支持接管ARM和X86两种CPU架构集群。</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虚拟化平台须采用管控面和数据面分离设计方式，管理节点宕机不能影响虚拟主机业务的正常服务。</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#支持国产处理器，提供不少于6家主流芯片厂商（如飞腾、海光、鲲鹏、龙芯、申威、兆芯）的认证证书复印件。（提供兼容互认证明复印件并加盖投标人公章）</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★云平台支持任意界面一键开启API调用请求实时查看功能，并可根据API请求类型进行分类查看。（提供功能截图证明并加盖投标人公章）</w:t>
            </w:r>
            <w:r/>
          </w:p>
        </w:tc>
      </w:tr>
      <w:tr>
        <w:trPr>
          <w:trHeight w:val="50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单集群支持管理物理主机个数≥10000台。</w:t>
            </w:r>
            <w:r/>
          </w:p>
        </w:tc>
      </w:tr>
      <w:tr>
        <w:trPr>
          <w:trHeight w:val="101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70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支持虚拟主机生命周期管理，包括创建、启动、暂停、恢复、关闭电源、删除、更换和重置操作系统，支持在线修改虚拟主机管理员密码，通过虚拟化平台重置虚拟主机管理密码，满足日常运维需求操作。</w:t>
            </w:r>
            <w:r/>
          </w:p>
        </w:tc>
      </w:tr>
      <w:tr>
        <w:trPr>
          <w:trHeight w:val="10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支持虚拟主机生命周期管理，包括创建、启动、暂停、恢复、关闭电源、删除、更换和重置操作系统，支持在线修改虚拟主机管理员密码，通过虚拟化平台重置虚拟主机管理密码，满足日常运维需求操作。</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支持虚拟CPU与物理CPU绑定，可给虚拟主机分配特定的vCPU，带来更强大的计算能力以及低延迟。</w:t>
            </w:r>
            <w:r/>
          </w:p>
        </w:tc>
      </w:tr>
      <w:tr>
        <w:trPr>
          <w:trHeight w:val="50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支持为虚拟主机配置IPv6、IPv4或双栈网络，根据需求选择地址类型。</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支持虚拟主机网络防欺诈，虚拟化平台有开关阻止用户非法修改IP地址和MAC地址后发出的数据包。</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提供VXLAN和PVLAN功能，满足规模化和精细化的网络管理需求。（提供功能截图证明并加盖投标人公章）</w:t>
            </w:r>
            <w:r/>
          </w:p>
        </w:tc>
      </w:tr>
      <w:tr>
        <w:trPr>
          <w:trHeight w:val="10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支持并配置虚拟主机弹性伸缩功能，根据对虚拟主机CPU使用率、内存使用率进行监控，按照既定策略动态增加或减少虚拟主机数量；支持对弹性伸缩组虚拟主机进行健康检查，自动隔离不健康虚拟主机。</w:t>
            </w:r>
            <w:r/>
          </w:p>
        </w:tc>
      </w:tr>
      <w:tr>
        <w:trPr>
          <w:trHeight w:val="134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主机热迁移。可以将虚拟主机迁移到指定的物理服务器，便于服务器的检查保养，同时保证业务的连续性。同时迁移虚拟主机时，目标节点须支持直观查看CPU、内存使用率以及按照使用率排序，迁移过程须支持自动收敛，以保证对IO密集型业务虚拟主机的迁移效率。</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支持虚拟主机HA。当某台物理节点发生意外故障，在其上运行的虚拟主机能够在其他正常的物理节点上重新启动。</w:t>
            </w:r>
            <w:r/>
          </w:p>
        </w:tc>
      </w:tr>
      <w:tr>
        <w:trPr>
          <w:trHeight w:val="10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支持虚拟主机在线快照，用户能够在不影响现有业务的情况下，对虚拟主机创建快照；同时须支持对虚拟主机在线批量克隆、对虚拟主机和硬盘进行整机克隆，帮助用户快速复制已有环境。</w:t>
            </w:r>
            <w:r/>
          </w:p>
        </w:tc>
      </w:tr>
      <w:tr>
        <w:trPr>
          <w:trHeight w:val="10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同时支持主流GPU设备的直通和虚拟化，通过全图形化界面操作能够将GPU设备或vGPU设备加载到虚拟化主机中，满足在虚拟主机中承载机器学习、图形运算、虚拟桌面工作站等相关业务应用场景需求。</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支持将USB设备映射到虚拟主机中，并支持该已挂载USB设备的虚拟主机在线迁移到其他计算节点位置。</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支持虚拟主机资源优先级设置，当物理机出现CPU资源竞争时，优先级较高的虚拟主机具备更高的资源使用权力。</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支持从虚拟主机内部获取监控数据，须支持主流Linux/Windows以及国产操作系统虚拟主机的内部负载实时监控，且监控项须支持平台自定义报警。</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虚拟化平台需支持动态资源调度（DRS），能够以集群为单位监控物理机CPU或内存负载情况，用户可按照调度建议手动迁移虚拟主机。</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支持计算节点集群化管理，能够为指定集群针对性配置CPU超分、内存超分、集群大页开关等配置项</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支持性能分析，能够统计不同资源对象指定时间内对于虚拟化平台资源的使用情况，资源对象须包含虚拟主机、物理机、三层网络，统计结果可以报表形式进行导出。</w:t>
            </w:r>
            <w:r/>
          </w:p>
        </w:tc>
      </w:tr>
      <w:tr>
        <w:trPr>
          <w:trHeight w:val="10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支持在云主机、VPC路由器、负载均衡等实例的VNC控制台粘贴命令文本，在控制台内无需返回资源列表即可进行停止、重启、恢复、暂停的操作，重启资源后自动重连，方便在非SSH的情况下对云主机的维护。（提供功能截图证明并加盖公章）</w:t>
            </w:r>
            <w:r/>
          </w:p>
        </w:tc>
      </w:tr>
      <w:tr>
        <w:trPr>
          <w:trHeight w:val="10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云平台支持第三方监控运维平台通过配置SNMP参数监控采集平台内虚拟机、物理机、网卡、磁盘等资源的运行情况。可将SNMPTrap接收端加为告警对象，用户可以自行决定推送条目。（提供功能截图证明并加盖投标人公章）</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支持操作审计，能够以详细信息展示不用操作员对虚拟化平台的相关操作，便于事件追溯审计。</w:t>
            </w:r>
            <w:r/>
          </w:p>
        </w:tc>
      </w:tr>
      <w:tr>
        <w:trPr>
          <w:trHeight w:val="50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支持邮件、钉钉、HTTP应用、短信接收告警消息。</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虚拟化平台v2v迁移要求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支持一键将VMware vCenter环境中的指定虚拟主机迁移至虚拟化平台中来，支持迁移任务QoS，保证迁移任务的稳定性。</w:t>
            </w:r>
            <w:r/>
          </w:p>
        </w:tc>
      </w:tr>
      <w:tr>
        <w:trPr>
          <w:trHeight w:val="6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支持将任意基于KVM虚拟化平台的虚拟机热迁移到当前平台，迁移过程不需要停止虚拟机，并且迁移过程可进行监控和管理。</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★平台要求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本次虚拟化套件需配置一套管理平台，管理所有的虚拟化主机和虚拟机。</w:t>
            </w:r>
            <w:r/>
          </w:p>
        </w:tc>
      </w:tr>
      <w:tr>
        <w:trPr>
          <w:trHeight w:val="5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本次虚拟化套件需配置6颗CPU授权。</w:t>
            </w:r>
            <w:r/>
          </w:p>
        </w:tc>
      </w:tr>
    </w:tbl>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43"/>
        <w:gridCol w:w="1017"/>
        <w:gridCol w:w="1200"/>
        <w:gridCol w:w="6119"/>
      </w:tblGrid>
      <w:tr>
        <w:trPr>
          <w:trHeight w:val="12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指标分类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一级指标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二级指标</w:t>
            </w: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★安装与升级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支持命令行或图形化的安装；</w:t>
              <w:br/>
              <w:t xml:space="preserve"> b) 支持命令行或图形化的可配置安装</w:t>
              <w:br/>
              <w:t xml:space="preserve">能力；</w:t>
              <w:br/>
              <w:t xml:space="preserve"> c) 依据安装环境提供相应的初始化参</w:t>
              <w:br/>
              <w:t xml:space="preserve">数配置值；</w:t>
              <w:br/>
              <w:t xml:space="preserve"> d) 提供图形化软件组件管理向导工具</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★数据库重启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支持命令行或图形化的方式关闭和</w:t>
              <w:br/>
              <w:t xml:space="preserve">启动服务；</w:t>
              <w:br/>
              <w:t xml:space="preserve"> b) 关闭服务后，再启动服务，服务正</w:t>
              <w:br/>
              <w:t xml:space="preserve">常</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★安装配置日志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提供软件安装的日志记录功能；</w:t>
              <w:br/>
              <w:t xml:space="preserve"> b) 记录的软件安装信息完整正确；</w:t>
              <w:br/>
              <w:t xml:space="preserve"> c) 提供安装配置操作的日志记录功</w:t>
              <w:br/>
              <w:t xml:space="preserve">能；</w:t>
              <w:br/>
              <w:t xml:space="preserve"> d) 记录的配置操作信息完整正确</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★升级维护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支持版本升级，保证版本间功能和</w:t>
              <w:br/>
              <w:t xml:space="preserve">数据的兼容性；</w:t>
              <w:br/>
              <w:t xml:space="preserve"> b) 厂商提供当前版本与历史版本的差</w:t>
              <w:br/>
              <w:t xml:space="preserve">异说明文档，包含新版本对软件和硬件</w:t>
              <w:br/>
              <w:t xml:space="preserve">的支持情况</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安装和升级</w:t>
              <w:br/>
              <w:t xml:space="preserve">的兼容性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支持在不同 CPU 架构的节点上安装配</w:t>
              <w:br/>
              <w:t xml:space="preserve">置、升级，且安装配置、升级数据库的</w:t>
              <w:br/>
              <w:t xml:space="preserve">命令行或图形界面相同或相似</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节点部署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支持节点安装配置；</w:t>
              <w:br/>
              <w:t xml:space="preserve"> b) 支持通过单一节点发起并将数据库</w:t>
              <w:br/>
              <w:t xml:space="preserve">部署在多个节点上</w:t>
            </w:r>
            <w:r/>
          </w:p>
        </w:tc>
      </w:tr>
      <w:tr>
        <w:trPr>
          <w:trHeight w:val="1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★参数配置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依据工作负载和运行环境，提供配</w:t>
              <w:br/>
              <w:t xml:space="preserve">置参数修改的能力</w:t>
              <w:br/>
              <w:t xml:space="preserve"> b) 修改数据库配置参数后，配置参数</w:t>
              <w:br/>
              <w:t xml:space="preserve">立即生效或数据库重新启动生效，立即</w:t>
              <w:br/>
              <w:t xml:space="preserve">生效的配置参数和需要数据库重新启</w:t>
              <w:br/>
              <w:t xml:space="preserve">动方可生效的配置参数在相关文档中</w:t>
              <w:br/>
              <w:t xml:space="preserve">明确</w:t>
            </w:r>
            <w:r/>
          </w:p>
        </w:tc>
      </w:tr>
      <w:tr>
        <w:trPr>
          <w:trHeight w:val="1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存储配置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提供数据库级物理存储位置、逻辑</w:t>
              <w:br/>
              <w:t xml:space="preserve">存储参数配置功能；</w:t>
              <w:br/>
              <w:t xml:space="preserve"> b) 在数据库初始化阶段，提供数据库</w:t>
              <w:br/>
              <w:t xml:space="preserve">物理读写块大小的配置功能；</w:t>
              <w:br/>
              <w:t xml:space="preserve"> c) 提供数据库存储对象空间使用参数</w:t>
              <w:br/>
              <w:t xml:space="preserve">的配置功能；</w:t>
              <w:br/>
              <w:t xml:space="preserve"> d) 提供索引数据存储参数管理功能</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提供数据库内存规划和配置建议；</w:t>
              <w:br/>
              <w:t xml:space="preserve"> b) 依据物理内存规划数据库可用内</w:t>
              <w:br/>
              <w:t xml:space="preserve">存；</w:t>
              <w:br/>
              <w:t xml:space="preserve"> c) 依据可用内存或负载情况，自动设</w:t>
              <w:br/>
              <w:t xml:space="preserve">置或向用户建议不同数据缓存区大小</w:t>
            </w:r>
            <w:r/>
          </w:p>
        </w:tc>
      </w:tr>
      <w:tr>
        <w:trPr>
          <w:trHeight w:val="1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★SQL 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★基础数据类型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a) 支持数值类型；</w:t>
              <w:br/>
              <w:t xml:space="preserve"> b) 支持字符类型；</w:t>
              <w:br/>
              <w:t xml:space="preserve"> c) 支持二进制类型；</w:t>
              <w:br/>
              <w:t xml:space="preserve"> d) 支持日期和时间类型；</w:t>
              <w:br/>
              <w:t xml:space="preserve"> e) 支持布尔类型；</w:t>
              <w:br/>
              <w:t xml:space="preserve"> f) 支持（大）文本类型；</w:t>
              <w:br/>
              <w:t xml:space="preserve"> g) 支持大对象类型</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★SQL 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扩展数据类</w:t>
              <w:br/>
              <w:t xml:space="preserve">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支持间隔、XML、JSON 等数据类型</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自定义数据</w:t>
              <w:br/>
              <w:t xml:space="preserve">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具备用户自定义数据类型的能力，可支</w:t>
              <w:br/>
              <w:t xml:space="preserve">持不同应用场景的数据类型需求</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★数据存储基础功能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支持基础数据类型</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数据存储增</w:t>
              <w:br/>
              <w:t xml:space="preserve">强功能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支持扩展数据类型；</w:t>
              <w:br/>
              <w:t xml:space="preserve"> b) 支持自定义数据类型</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★数据检索基础功能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支持基础数据类型</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数据检索增</w:t>
              <w:br/>
              <w:t xml:space="preserve">强功能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支持扩展数据类型；</w:t>
              <w:br/>
              <w:t xml:space="preserve"> b) 支持自定义数据类型；</w:t>
              <w:br/>
              <w:t xml:space="preserve"> c) 支持中文检索功能，如使用中国纪</w:t>
              <w:br/>
              <w:t xml:space="preserve">年历法进行检索</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★核心SQL 能</w:t>
              <w:br/>
              <w:t xml:space="preserve">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支持左外连接；</w:t>
              <w:br/>
              <w:t xml:space="preserve"> b) 支持右外连接；</w:t>
              <w:br/>
              <w:t xml:space="preserve"> c) 支持内连接；</w:t>
              <w:br/>
              <w:t xml:space="preserve"> d) 支持全连接</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字符集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中文字符集符合 GB 18030 的要求</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★常用操作符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支持逻辑操作符及相关运算；</w:t>
              <w:br/>
              <w:t xml:space="preserve"> b) 支持比较操作符及相关运算；</w:t>
              <w:br/>
              <w:t xml:space="preserve"> c) 支持算术运算符及相关运算</w:t>
            </w:r>
            <w:r/>
          </w:p>
        </w:tc>
      </w:tr>
      <w:tr>
        <w:trPr>
          <w:trHeight w:val="2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★条件表达式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支持对比条件表达式；</w:t>
              <w:br/>
              <w:t xml:space="preserve"> b) 支持逻辑条件表达式；</w:t>
              <w:br/>
              <w:t xml:space="preserve"> c) 支持空值条件表达式；</w:t>
              <w:br/>
              <w:t xml:space="preserve"> d) 支持等于条件表达式；</w:t>
              <w:br/>
              <w:t xml:space="preserve"> e) 支持模式匹配条件表达式；</w:t>
              <w:br/>
              <w:t xml:space="preserve"> f) 支持区间条件表达式；</w:t>
              <w:br/>
              <w:t xml:space="preserve"> g) 支持 IN 条件表达式；</w:t>
              <w:br/>
              <w:t xml:space="preserve"> h) 支持存在条件表达式；</w:t>
              <w:br/>
              <w:t xml:space="preserve"> i) 支持以上条件表达式的复合表达式</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★SQL 执行计划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 SQL 计划，使 SQL 按照指定的语句</w:t>
              <w:br/>
              <w:t xml:space="preserve">执行，并实现预期结果</w:t>
            </w:r>
            <w:r/>
          </w:p>
        </w:tc>
      </w:tr>
      <w:tr>
        <w:trPr>
          <w:trHeight w:val="3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★数据库对象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★基础对象</w:t>
              <w:br/>
              <w:t xml:space="preserve">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支持用户的创建、删除、修改；</w:t>
              <w:br/>
              <w:t xml:space="preserve"> b) 支持角色的创建、删除、修改；</w:t>
              <w:br/>
              <w:t xml:space="preserve"> c) 支持存储过程的创建、删除、修改；</w:t>
              <w:br/>
              <w:t xml:space="preserve"> d) 支持表操作功能；</w:t>
              <w:br/>
              <w:t xml:space="preserve"> e) 支持自增序列；</w:t>
              <w:br/>
              <w:t xml:space="preserve"> f) 支持主键约束、外键约束、唯一性</w:t>
              <w:br/>
              <w:t xml:space="preserve">约束、检查约束和联合主键约束；</w:t>
              <w:br/>
              <w:t xml:space="preserve"> g) 支持游标功能；</w:t>
              <w:br/>
              <w:t xml:space="preserve"> h) 支持视图的创建、删除、修改；</w:t>
              <w:br/>
              <w:t xml:space="preserve"> i) 支持数值计算函数、字符处理函数、</w:t>
              <w:br/>
              <w:t xml:space="preserve">日期时间值函数、间隔函数、类型转换</w:t>
              <w:br/>
              <w:t xml:space="preserve">函数、位运算函数、聚合函数、格式化、</w:t>
              <w:br/>
              <w:t xml:space="preserve">系统信息等常用函数</w:t>
            </w:r>
            <w:r/>
          </w:p>
        </w:tc>
      </w:tr>
      <w:tr>
        <w:trPr>
          <w:trHeight w:val="1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扩展对象类</w:t>
              <w:br/>
              <w:t xml:space="preserve">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支持包的创建、删除、修改；</w:t>
              <w:br/>
              <w:t xml:space="preserve"> b) 支持触发器的创建、删除、修改；</w:t>
              <w:br/>
              <w:t xml:space="preserve"> c) 支持外部链接的创建、删除，并可</w:t>
              <w:br/>
              <w:t xml:space="preserve">以通过外部链接进行外部访问；</w:t>
              <w:br/>
              <w:t xml:space="preserve"> d) 支持作业的创建、删除、修改；</w:t>
              <w:br/>
              <w:t xml:space="preserve"> e) 支持全局唯一的自增序列；</w:t>
              <w:br/>
              <w:t xml:space="preserve"> f) 支持创建函数索引；</w:t>
              <w:br/>
              <w:t xml:space="preserve"> g) 支持定义同义词</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★基础表分区管理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哈希分区方式；</w:t>
              <w:br/>
              <w:t xml:space="preserve"> b) 范围分区方式；</w:t>
              <w:br/>
              <w:t xml:space="preserve"> c) 列表分区方式</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扩展表分区</w:t>
              <w:br/>
              <w:t xml:space="preserve">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支持数据库表分区及二级分区能</w:t>
              <w:br/>
              <w:t xml:space="preserve">力；</w:t>
              <w:br/>
              <w:t xml:space="preserve"> b) 支持建立分区索引</w:t>
            </w:r>
            <w:r/>
          </w:p>
        </w:tc>
      </w:tr>
      <w:tr>
        <w:trPr>
          <w:trHeight w:val="1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查看对象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支持查看数据库信息；</w:t>
              <w:br/>
              <w:t xml:space="preserve"> b) 支持查看表对象信息；</w:t>
              <w:br/>
              <w:t xml:space="preserve"> c) 支持查看索引对象信息；</w:t>
              <w:br/>
              <w:t xml:space="preserve"> d) 支持查看字段对象信息；</w:t>
              <w:br/>
              <w:t xml:space="preserve"> e）支持查看约束对象信息；</w:t>
              <w:br/>
              <w:t xml:space="preserve"> f）支持查看数据库实例信息；</w:t>
              <w:br/>
              <w:t xml:space="preserve"> g）支持查看表空间信息</w:t>
            </w:r>
            <w:r/>
          </w:p>
        </w:tc>
      </w:tr>
      <w:tr>
        <w:trPr>
          <w:trHeight w:val="1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查看日志、</w:t>
              <w:br/>
              <w:t xml:space="preserve">系统信息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支持查看日志文件的能力；</w:t>
              <w:br/>
              <w:t xml:space="preserve"> b）厂商提供查看实例数据缓存的视图</w:t>
              <w:br/>
              <w:t xml:space="preserve">或图形化管理工具；</w:t>
              <w:br/>
              <w:t xml:space="preserve"> c）厂商提供查看日志缓存的视图或图</w:t>
              <w:br/>
              <w:t xml:space="preserve">形化管理工具；</w:t>
              <w:br/>
              <w:t xml:space="preserve"> d）厂商提供查看数据字典的视图或图</w:t>
              <w:br/>
              <w:t xml:space="preserve">形化管理工具</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★对象变更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a)支持数据库的创建、删除、更新以及</w:t>
              <w:br/>
              <w:t xml:space="preserve">数据库属性的查询；</w:t>
              <w:br/>
              <w:t xml:space="preserve"> b)支持在线变更表结构、索引；</w:t>
              <w:br/>
              <w:t xml:space="preserve"> c)支持数据的增加、删除、修改和查询</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查看会话系</w:t>
              <w:br/>
              <w:t xml:space="preserve">统表/视图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提供查看会话标识的视图或图形化</w:t>
              <w:br/>
              <w:t xml:space="preserve">管理工具；</w:t>
              <w:br/>
              <w:t xml:space="preserve"> b) 提供查看进程/线程标识的视图或</w:t>
              <w:br/>
              <w:t xml:space="preserve">图形化管理工具；</w:t>
              <w:br/>
              <w:t xml:space="preserve"> c) 提供查看用户标识的视图或图形化</w:t>
              <w:br/>
              <w:t xml:space="preserve">管理工具；</w:t>
              <w:br/>
              <w:t xml:space="preserve"> d) 提供查看最近的用户请求命令的视</w:t>
              <w:br/>
              <w:t xml:space="preserve">图或图形化管理工具；</w:t>
              <w:br/>
              <w:t xml:space="preserve"> e) 提供查看缺省模式的视图或图形化</w:t>
              <w:br/>
              <w:t xml:space="preserve">管理工具；</w:t>
              <w:br/>
              <w:t xml:space="preserve"> f) 提供查看登录时间/会话状态的视</w:t>
              <w:br/>
              <w:t xml:space="preserve">图或图形化管理工具；</w:t>
              <w:br/>
              <w:t xml:space="preserve"> g) 提供查看会话状态的视图或图形化</w:t>
              <w:br/>
              <w:t xml:space="preserve">管理工具；</w:t>
              <w:br/>
              <w:t xml:space="preserve"> h) 提供查看等待会话的锁信息的视图</w:t>
              <w:br/>
              <w:t xml:space="preserve">或图形化管理工具；</w:t>
              <w:br/>
              <w:t xml:space="preserve"> i) 提供查看等待时间统计信息的视图</w:t>
              <w:br/>
              <w:t xml:space="preserve">或图形化管理工具；</w:t>
              <w:br/>
              <w:t xml:space="preserve"> </w:t>
            </w:r>
            <w:r>
              <w:rPr>
                <w:rFonts w:ascii="SimSun" w:hAnsi="SimSun" w:eastAsia="SimSun" w:cs="SimSun"/>
                <w:color w:val="000000"/>
                <w:sz w:val="24"/>
              </w:rPr>
              <w:t xml:space="preserve">j) 提供查看使用时间统计信息的视图</w:t>
              <w:br/>
              <w:t xml:space="preserve">或图形化管理工具</w:t>
            </w:r>
            <w:r/>
          </w:p>
        </w:tc>
      </w:tr>
      <w:tr>
        <w:trPr>
          <w:trHeight w:val="2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查看监控连</w:t>
              <w:br/>
              <w:t xml:space="preserve">接系统表/</w:t>
              <w:br/>
              <w:t xml:space="preserve">视图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提供查看连接标识的视图或图形化</w:t>
              <w:br/>
              <w:t xml:space="preserve">管理工具；</w:t>
              <w:br/>
              <w:t xml:space="preserve"> b) 提供查看连接状态的视图或图形化</w:t>
              <w:br/>
              <w:t xml:space="preserve">管理工具；</w:t>
              <w:br/>
              <w:t xml:space="preserve"> c) 提供查看连接用户的视图或图形化</w:t>
              <w:br/>
              <w:t xml:space="preserve">管理工具；</w:t>
              <w:br/>
              <w:t xml:space="preserve"> d) 提供查看连接类型的视图或图形化</w:t>
              <w:br/>
              <w:t xml:space="preserve">管理工具；</w:t>
              <w:br/>
              <w:t xml:space="preserve"> e) 提供查看当前事务信息的视图或图</w:t>
              <w:br/>
              <w:t xml:space="preserve">形化管理工具</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异构数据库</w:t>
              <w:br/>
              <w:t xml:space="preserve">联机访问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提供异构数据库数据联机访问功能</w:t>
            </w:r>
            <w:r/>
          </w:p>
        </w:tc>
      </w:tr>
      <w:tr>
        <w:trPr>
          <w:trHeight w:val="1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完整性管理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支持验证表存储完整性；</w:t>
              <w:br/>
              <w:t xml:space="preserve"> b) 支持验证索引存储完整性；</w:t>
              <w:br/>
              <w:t xml:space="preserve"> c) 支持验证数据库存储结构完整性；</w:t>
              <w:br/>
              <w:t xml:space="preserve"> d) 支持查看视图定义完整性；</w:t>
              <w:br/>
              <w:t xml:space="preserve"> e) 支持查看存储过程/函数定义完整</w:t>
              <w:br/>
              <w:t xml:space="preserve">性</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★事务能力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★事务基础特性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支持事务的ACID</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★死锁检测与处理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在并发执行过程中，能检测到死锁；</w:t>
              <w:br/>
              <w:t xml:space="preserve"> b) 提供解决全局死锁的机制；</w:t>
              <w:br/>
              <w:t xml:space="preserve"> c) 具备死锁处理能力；</w:t>
              <w:br/>
              <w:t xml:space="preserve"> d) 具备死锁超时回滚的能力；</w:t>
              <w:br/>
              <w:t xml:space="preserve"> e) 具备死锁检测与处理记录功能</w:t>
            </w:r>
            <w:r/>
          </w:p>
        </w:tc>
      </w:tr>
      <w:tr>
        <w:trPr>
          <w:trHeight w:val="2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★运行时统计信息基础功能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a）数据库慢 SQL 统计：</w:t>
              <w:br/>
              <w:t xml:space="preserve"> 1）支持统计 SQL 语句；</w:t>
              <w:br/>
              <w:t xml:space="preserve"> 2）支持统计用户名；</w:t>
              <w:br/>
              <w:t xml:space="preserve"> 3）支持统计数据库名；</w:t>
              <w:br/>
              <w:t xml:space="preserve"> 4）支持统计执行时长；</w:t>
              <w:br/>
              <w:t xml:space="preserve"> b）数据库性能状态统计：</w:t>
              <w:br/>
              <w:t xml:space="preserve"> 1）支持统计每秒事务数和查询数；</w:t>
              <w:br/>
              <w:t xml:space="preserve"> 2）支持统计 SQL 平均响应时间；</w:t>
              <w:br/>
              <w:t xml:space="preserve"> 3）支持统计高频 SQL</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运行时统计信息增强功能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a)支持统计集群节点 CPU 使用情况；</w:t>
              <w:br/>
              <w:t xml:space="preserve"> b)支持统计集群节点内存使用情况；</w:t>
              <w:br/>
              <w:t xml:space="preserve"> c)支持统计集群节点磁盘使用情况；</w:t>
              <w:br/>
              <w:t xml:space="preserve"> d)支持统计集群节点网络使用情况</w:t>
            </w:r>
            <w:r/>
          </w:p>
        </w:tc>
      </w:tr>
      <w:tr>
        <w:trPr>
          <w:trHeight w:val="2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a) 具备对各类事件进行日志记录的功</w:t>
              <w:br/>
              <w:t xml:space="preserve">能，可通过日志查看操作内容、执行过</w:t>
              <w:br/>
              <w:t xml:space="preserve">程和结果；</w:t>
              <w:br/>
              <w:t xml:space="preserve"> b) 具备提示和警告功能，提示或警告</w:t>
              <w:br/>
              <w:t xml:space="preserve">数据库结构修改、数据库运行配置修改</w:t>
              <w:br/>
              <w:t xml:space="preserve">等重要操作；</w:t>
              <w:br/>
              <w:t xml:space="preserve"> c) 日志完整正确，并且提供可读文本</w:t>
              <w:br/>
            </w:r>
            <w:r>
              <w:rPr>
                <w:rFonts w:ascii="SimSun" w:hAnsi="SimSun" w:eastAsia="SimSun" w:cs="SimSun"/>
                <w:color w:val="000000"/>
                <w:sz w:val="24"/>
              </w:rPr>
              <w:t xml:space="preserve">的形式；</w:t>
              <w:br/>
              <w:t xml:space="preserve"> d) 支持中文日志</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★远程运维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具备远程维护功能</w:t>
            </w:r>
            <w:r/>
          </w:p>
        </w:tc>
      </w:tr>
      <w:tr>
        <w:trPr>
          <w:trHeight w:val="1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厂商提供通知管理员的方法或工</w:t>
              <w:br/>
              <w:t xml:space="preserve">具；</w:t>
              <w:br/>
              <w:t xml:space="preserve"> b) 支持设置报警基线，数据库运行中</w:t>
              <w:br/>
              <w:t xml:space="preserve">遇到重要事件、异常事件和状态、超过</w:t>
              <w:br/>
              <w:t xml:space="preserve">报警阈值等情况时，通知管理员；</w:t>
              <w:br/>
              <w:t xml:space="preserve"> c) 提供报警 API；</w:t>
              <w:br/>
              <w:t xml:space="preserve"> d) 报警发生时，支持报警信息的实时</w:t>
              <w:br/>
              <w:t xml:space="preserve">展示</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SQL 监测与</w:t>
              <w:br/>
              <w:t xml:space="preserve">优化建议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实时监测 SQL 执行过程中资源使用</w:t>
              <w:br/>
              <w:t xml:space="preserve">情况；</w:t>
              <w:br/>
              <w:t xml:space="preserve"> b) 提供查询计划的缓存管理功能；</w:t>
              <w:br/>
              <w:t xml:space="preserve"> c) 提供 SQL 改写的优化建议</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★迁移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应用迁移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提供 SQL、存储过程等价语法转换，</w:t>
              <w:br/>
              <w:t xml:space="preserve">并将转换后的语法在目标库进行校验，</w:t>
              <w:br/>
              <w:t xml:space="preserve">转换后语法可编译可执行；</w:t>
              <w:br/>
              <w:t xml:space="preserve"> b) 对转换出错或校验出错的语法进行</w:t>
              <w:br/>
              <w:t xml:space="preserve">定位，引导用户进行错误校正后再次编</w:t>
              <w:br/>
              <w:t xml:space="preserve">译校验；</w:t>
              <w:br/>
              <w:t xml:space="preserve"> c) 尽量减少应用的修改，从源数据库</w:t>
              <w:br/>
              <w:t xml:space="preserve">迁移到目标数据库，并可运行</w:t>
            </w:r>
            <w:r/>
          </w:p>
        </w:tc>
      </w:tr>
      <w:tr>
        <w:trPr>
          <w:trHeight w:val="3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★数据迁移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提供元数据、数据库、数据库对象、</w:t>
              <w:br/>
              <w:t xml:space="preserve">表数据快速迁移的功能；</w:t>
              <w:br/>
              <w:t xml:space="preserve"> b) 支持数据迁移工具实现同构或异构</w:t>
              <w:br/>
              <w:t xml:space="preserve">数据库之间的数据迁移；</w:t>
              <w:br/>
              <w:t xml:space="preserve"> c) 支持全量数据迁移、增量数据持续</w:t>
              <w:br/>
              <w:t xml:space="preserve">同步等迁移模式；</w:t>
              <w:br/>
              <w:t xml:space="preserve"> d) 在数据迁移过程中具备应对传输异</w:t>
              <w:br/>
              <w:t xml:space="preserve">常的能力，保障数据迁移的稳定性、连</w:t>
              <w:br/>
              <w:t xml:space="preserve">续性和一致性；</w:t>
              <w:br/>
              <w:t xml:space="preserve"> e) 支持存量数据的一次性迁移和增量</w:t>
              <w:br/>
              <w:t xml:space="preserve">数据库的持续同步；</w:t>
              <w:br/>
              <w:t xml:space="preserve"> f) 支持多种不同类型的源数据库和目</w:t>
              <w:br/>
              <w:t xml:space="preserve">标数据库之间的数据迁移</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★数据比对基础功能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对源数据库和目标数据库之间的数据</w:t>
              <w:br/>
              <w:t xml:space="preserve">进行比对，支持数据一致性，并提供一</w:t>
              <w:br/>
              <w:t xml:space="preserve">致性比对报告</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数据比对增</w:t>
              <w:br/>
              <w:t xml:space="preserve">强功能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数据比对规模是可配置的，用户可根据</w:t>
              <w:br/>
              <w:t xml:space="preserve">业务需求，进行库级、表级等级别的比</w:t>
              <w:br/>
              <w:t xml:space="preserve">对，提供数据修复功能</w:t>
            </w:r>
            <w:r/>
          </w:p>
        </w:tc>
      </w:tr>
      <w:tr>
        <w:trPr>
          <w:trHeight w:val="1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★备份恢复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★数据备份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运行状态下支持对数据库进行全库</w:t>
              <w:br/>
              <w:t xml:space="preserve">备份；</w:t>
              <w:br/>
              <w:t xml:space="preserve"> b) 运行状态下支持对数据库进行部分</w:t>
              <w:br/>
              <w:t xml:space="preserve">备份；</w:t>
              <w:br/>
              <w:t xml:space="preserve"> c) 运行状态下支持对数据库进行增量</w:t>
              <w:br/>
              <w:t xml:space="preserve">备份</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备份数据管</w:t>
              <w:br/>
              <w:t xml:space="preserve">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支持备份数据的加密；</w:t>
              <w:br/>
              <w:t xml:space="preserve"> b) 支持备份数据的压缩；</w:t>
              <w:br/>
              <w:t xml:space="preserve"> c) 支持备份数据的存储</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用户/模式</w:t>
              <w:br/>
              <w:t xml:space="preserve">备份、恢复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支持对数据库的所有或指定用户/</w:t>
              <w:br/>
              <w:t xml:space="preserve">模式下的数据进行备份；</w:t>
              <w:br/>
              <w:t xml:space="preserve"> b) 支持对数据库的所有或指定用户/</w:t>
              <w:br/>
              <w:t xml:space="preserve">模式下的数据备份进行恢复</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★多种存储媒体备份、还原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支持多种备份存储媒体，支持多种存储</w:t>
              <w:br/>
              <w:t xml:space="preserve">媒体的部分、完整数据库数据还原处理</w:t>
              <w:br/>
              <w:t xml:space="preserve">能力</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★备份还原的一致性校验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提供数据库备份数据一致性校验的命</w:t>
              <w:br/>
              <w:t xml:space="preserve">令或工具</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★集群管理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★集群构建与管理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支持集群的运行环境；</w:t>
              <w:br/>
              <w:t xml:space="preserve"> b) 支持创建并配置数据库集群；</w:t>
              <w:br/>
              <w:t xml:space="preserve"> c) 配置信息至少包括日常运维管理、</w:t>
              <w:br/>
              <w:t xml:space="preserve">容灾管理、日志管理、备份管理、监控</w:t>
              <w:br/>
              <w:t xml:space="preserve">等</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集群构建与管理扩展要</w:t>
              <w:br/>
              <w:t xml:space="preserve">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在读写操作负载差距较大时，提供读写</w:t>
              <w:br/>
              <w:t xml:space="preserve">分离能力</w:t>
            </w:r>
            <w:r/>
          </w:p>
        </w:tc>
      </w:tr>
      <w:tr>
        <w:trPr>
          <w:trHeight w:val="1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共享存储架</w:t>
              <w:br/>
              <w:t xml:space="preserve">构下的集群</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在共享存储集群架构的基础上：</w:t>
              <w:br/>
              <w:t xml:space="preserve"> a) 支持管理硬件存储资源，包括为共</w:t>
              <w:br/>
              <w:t xml:space="preserve">享存储扩展存储容量；</w:t>
              <w:br/>
              <w:t xml:space="preserve"> b) 支持集群多个节点同时写入或一写</w:t>
              <w:br/>
              <w:t xml:space="preserve">多读，事务支持 ACID 特性；</w:t>
              <w:br/>
              <w:t xml:space="preserve"> c) 支持节点间的缓存一致性</w:t>
            </w:r>
            <w:r/>
          </w:p>
        </w:tc>
      </w:tr>
      <w:tr>
        <w:trPr>
          <w:trHeight w:val="1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★数据库开发调试工具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具备图形化功能，提高易用性；</w:t>
              <w:br/>
              <w:t xml:space="preserve"> b) 具备导入、编辑、保存、执行 SQL</w:t>
              <w:br/>
              <w:t xml:space="preserve">语句和 SQL 脚本功能；</w:t>
              <w:br/>
              <w:t xml:space="preserve"> c) 具备复制、编辑现有数据库对象功</w:t>
              <w:br/>
              <w:t xml:space="preserve">能；</w:t>
              <w:br/>
              <w:t xml:space="preserve"> d) 具备关键词显示标记、动态语法提</w:t>
              <w:br/>
              <w:t xml:space="preserve">示的 SQL 编辑器功能</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数据库预编</w:t>
              <w:br/>
              <w:t xml:space="preserve">译工具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厂商提供预编译工具，支持嵌入式 SQL</w:t>
              <w:br/>
              <w:t xml:space="preserve">编程</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网络配置工</w:t>
              <w:br/>
              <w:t xml:space="preserve">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提供客户端、服务器端网络配置向</w:t>
              <w:br/>
              <w:t xml:space="preserve">导；</w:t>
              <w:br/>
              <w:t xml:space="preserve"> b) 支持配置网络连接参数、主机、端</w:t>
              <w:br/>
              <w:t xml:space="preserve">口、协议等内容</w:t>
            </w:r>
            <w:r/>
          </w:p>
        </w:tc>
      </w:tr>
      <w:tr>
        <w:trPr>
          <w:trHeight w:val="1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创建、修改、</w:t>
              <w:br/>
              <w:t xml:space="preserve">删除工具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支持数据库的创建、修改和删除；</w:t>
              <w:br/>
              <w:t xml:space="preserve"> b) 支持配置数据库数据文件、日志文</w:t>
              <w:br/>
              <w:t xml:space="preserve">件、归档文件的存储位置、逻辑空间（如</w:t>
              <w:br/>
              <w:t xml:space="preserve">表空间）等参数；</w:t>
              <w:br/>
              <w:t xml:space="preserve"> c) 支持配置数据库属性相关参数（如</w:t>
              <w:br/>
              <w:t xml:space="preserve">最大连接数等）</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★用户、角色管理工具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支持创建、修改、删除用户的功能；</w:t>
              <w:br/>
              <w:t xml:space="preserve"> b）提供定义用户的功能；</w:t>
              <w:br/>
              <w:t xml:space="preserve"> c) 支持创建、修改、删除角色的功能，</w:t>
              <w:br/>
              <w:t xml:space="preserve">且提供用户自定义角色的功能</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★SQL 执行计划查看工具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提供与数据库管理系统进行 SQL 交</w:t>
              <w:br/>
              <w:t xml:space="preserve">互的工具，方便运维工作；</w:t>
              <w:br/>
              <w:t xml:space="preserve"> b) 支持查看 SQL 语句查询执行计划与</w:t>
              <w:br/>
              <w:t xml:space="preserve">统计信息</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★数据库对象工具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支持创建、修改、删除表的功能，</w:t>
              <w:br/>
              <w:t xml:space="preserve">支持定义表结构、约束、存储配置管理</w:t>
              <w:br/>
              <w:t xml:space="preserve">的功能；</w:t>
              <w:br/>
              <w:t xml:space="preserve"> b) 支持创建、修改、删除索引的功能，</w:t>
              <w:br/>
              <w:t xml:space="preserve">支持定义索引结构、类型、存储配置管</w:t>
              <w:br/>
              <w:t xml:space="preserve">理的功能；</w:t>
              <w:br/>
              <w:t xml:space="preserve"> c) 支持创建、修改、删除视图的功能，</w:t>
              <w:br/>
              <w:t xml:space="preserve">支持视图定义的功能；</w:t>
              <w:br/>
              <w:t xml:space="preserve"> d) 支持创建、修改、删除约束的功能，</w:t>
              <w:br/>
              <w:t xml:space="preserve">支持约束定义的功能</w:t>
            </w:r>
            <w:r/>
          </w:p>
        </w:tc>
      </w:tr>
      <w:tr>
        <w:trPr>
          <w:trHeight w:val="1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★导入导出工具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支持导出不同格式，可以将不同格</w:t>
              <w:br/>
              <w:t xml:space="preserve">式数据导入到数据库中；</w:t>
              <w:br/>
              <w:t xml:space="preserve"> b) 支持不同级别和不同数据库对象的</w:t>
              <w:br/>
              <w:t xml:space="preserve">导入/导出功能；</w:t>
              <w:br/>
              <w:t xml:space="preserve"> c) 支持从文本文件或者其他上游数据</w:t>
              <w:br/>
              <w:t xml:space="preserve">源将数据导入；</w:t>
              <w:br/>
              <w:t xml:space="preserve"> d) 支持 SQL 脚本进行导入导出</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触发器、存</w:t>
              <w:br/>
              <w:t xml:space="preserve">储过程/函</w:t>
              <w:br/>
              <w:t xml:space="preserve">数工具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支持创建、修改、删除触发器的功</w:t>
              <w:br/>
              <w:t xml:space="preserve">能，支持触发条件、事件的设置；</w:t>
              <w:br/>
              <w:t xml:space="preserve"> b) 支持创建、修改、删除存储过程/</w:t>
              <w:br/>
              <w:t xml:space="preserve">函数的功能，提供定义存储过程/函数</w:t>
              <w:br/>
              <w:t xml:space="preserve">的工具</w:t>
            </w:r>
            <w:r/>
          </w:p>
        </w:tc>
      </w:tr>
      <w:tr>
        <w:trPr>
          <w:trHeight w:val="2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★数据库运维工具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支持数据库、数据库存储对象结构、</w:t>
              <w:br/>
              <w:t xml:space="preserve">数据、统计信息更新维护；</w:t>
              <w:br/>
              <w:t xml:space="preserve"> b) 支持数据库创建、数据库修改、数</w:t>
              <w:br/>
              <w:t xml:space="preserve">据库删除、数据库模板维护；</w:t>
              <w:br/>
              <w:t xml:space="preserve"> c) 支持数据库任务自动化调度作业管</w:t>
              <w:br/>
              <w:t xml:space="preserve">理；</w:t>
              <w:br/>
              <w:t xml:space="preserve"> d) 支持图形化展示数据库管理的各种</w:t>
              <w:br/>
              <w:t xml:space="preserve">元数据界面，展示的内容具有层次性，</w:t>
              <w:br/>
              <w:t xml:space="preserve">包括模式、非模式数据字典信息</w:t>
            </w:r>
            <w:r/>
          </w:p>
        </w:tc>
      </w:tr>
      <w:tr>
        <w:trPr>
          <w:trHeight w:val="3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监控跟踪工</w:t>
              <w:br/>
              <w:t xml:space="preserve">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收集和统计数据库某时间段的运行</w:t>
              <w:br/>
              <w:t xml:space="preserve">状态及性能信息，判断该时间的数据库</w:t>
              <w:br/>
              <w:t xml:space="preserve">运行性能瓶颈；</w:t>
              <w:br/>
              <w:t xml:space="preserve"> b) 支持系统状态监控能力，包括对集</w:t>
              <w:br/>
              <w:t xml:space="preserve">群、服务器和数据库状态的监控等；</w:t>
              <w:br/>
              <w:t xml:space="preserve"> c) 支持性能瓶颈跟踪、运行过程监测</w:t>
              <w:br/>
              <w:t xml:space="preserve">与调优；</w:t>
              <w:br/>
              <w:t xml:space="preserve"> d) 提供数据库实例、网络通信、数据</w:t>
              <w:br/>
              <w:t xml:space="preserve">库对象的跟踪日志，日志数据准确、完</w:t>
              <w:br/>
              <w:t xml:space="preserve">整；</w:t>
              <w:br/>
              <w:t xml:space="preserve"> e) 支持特定事件或事务发生时收集监</w:t>
              <w:br/>
              <w:t xml:space="preserve">控数据库活动事务数据；</w:t>
              <w:br/>
              <w:t xml:space="preserve"> f) 支持跟踪数据库等待事件；</w:t>
              <w:br/>
              <w:t xml:space="preserve"> g) 提供捕获并记录实例、数据库在特</w:t>
              <w:br/>
              <w:t xml:space="preserve">定时间点的状态</w:t>
            </w:r>
            <w:r/>
          </w:p>
        </w:tc>
      </w:tr>
      <w:tr>
        <w:trPr>
          <w:trHeight w:val="1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★图形化管理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图形化远程</w:t>
              <w:br/>
              <w:t xml:space="preserve">启动、关闭</w:t>
              <w:br/>
              <w:t xml:space="preserve">数据库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提供数据库资源配置向导；</w:t>
              <w:br/>
              <w:t xml:space="preserve"> b) 提供远程数据库服务启动、关闭功</w:t>
              <w:br/>
              <w:t xml:space="preserve">能</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★图形化的开发工具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厂商提供图形化的开发工具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★图形化运维工具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厂商提供图形化的运维工具</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图形化展示工具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厂商提供图形化数据展示工具</w:t>
            </w:r>
            <w:r/>
          </w:p>
        </w:tc>
      </w:tr>
      <w:tr>
        <w:trPr>
          <w:trHeight w:val="3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图形界面配</w:t>
              <w:br/>
              <w:t xml:space="preserve">置参数基础</w:t>
              <w:br/>
              <w:t xml:space="preserve">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a）基本配置参数：</w:t>
              <w:br/>
              <w:t xml:space="preserve"> 1）配置资源使用限额；</w:t>
              <w:br/>
              <w:t xml:space="preserve"> 2）配置连接数；</w:t>
              <w:br/>
              <w:t xml:space="preserve"> 3）配置白名单；</w:t>
              <w:br/>
              <w:t xml:space="preserve"> b）逻辑存储配置：</w:t>
              <w:br/>
              <w:t xml:space="preserve"> 1）图形界面支持逻辑存储配置；</w:t>
              <w:br/>
              <w:t xml:space="preserve"> 2）提供图形化界面管理数据库对象逻</w:t>
              <w:br/>
              <w:t xml:space="preserve">辑空间分配功能；</w:t>
              <w:br/>
              <w:t xml:space="preserve"> c）提供图形界面配置参数功能，支持</w:t>
              <w:br/>
              <w:t xml:space="preserve">图形界面配置用户口令；</w:t>
              <w:br/>
              <w:t xml:space="preserve"> d）配置审计：</w:t>
              <w:br/>
              <w:t xml:space="preserve"> 1）支持图形化界面配置审计策略；</w:t>
              <w:br/>
              <w:t xml:space="preserve"> 2）支持查看审计数据</w:t>
            </w:r>
            <w:r/>
          </w:p>
        </w:tc>
      </w:tr>
      <w:tr>
        <w:trPr>
          <w:trHeight w:val="1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图形化管理</w:t>
              <w:br/>
              <w:t xml:space="preserve">数据库对象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支持图形化管理统一的数据库实例、数</w:t>
              <w:br/>
              <w:t xml:space="preserve">据库日志文件、数据库运行模式、表对</w:t>
              <w:br/>
              <w:t xml:space="preserve">象、表数据存储空间、索引定义类型、</w:t>
              <w:br/>
              <w:t xml:space="preserve">视图、触发器、存储过程/函数、角色/</w:t>
              <w:br/>
              <w:t xml:space="preserve">用户权限、同义词、序列、外部表、物</w:t>
              <w:br/>
              <w:t xml:space="preserve">化视图、作业调度、数据库链接、分区</w:t>
              <w:br/>
              <w:t xml:space="preserve">表数据、服务器资源分配、自增列</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图形化监控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a）支持多实例集成监控与管理；</w:t>
              <w:br/>
              <w:t xml:space="preserve"> b）支持操作系统和网络资源集成监控</w:t>
              <w:br/>
              <w:t xml:space="preserve">与管理</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图形化管理</w:t>
              <w:br/>
              <w:t xml:space="preserve">归档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支持对归档模式、归档文件位置、归档</w:t>
              <w:br/>
              <w:t xml:space="preserve">启用/停用进行管理</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图形化管理</w:t>
              <w:br/>
              <w:t xml:space="preserve">数据的备</w:t>
              <w:br/>
              <w:t xml:space="preserve">份、还原/恢</w:t>
              <w:br/>
              <w:t xml:space="preserve">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提供图形化管理数据的备份、还原/恢</w:t>
              <w:br/>
              <w:t xml:space="preserve">复的功能</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图形化界面</w:t>
              <w:br/>
              <w:t xml:space="preserve">易用性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支持浏览器图形界面管理；</w:t>
              <w:br/>
              <w:t xml:space="preserve"> b) 图形化管理工具界面窗口、选单、</w:t>
              <w:br/>
              <w:t xml:space="preserve">图标、文字、快捷键统一并易于理解</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w:t>
              <w:br/>
              <w:t xml:space="preserve">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★稳定运行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★稳定运行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支持连续稳定运行；</w:t>
              <w:br/>
              <w:t xml:space="preserve"> b) 支持数据库管理系统运行风险的报</w:t>
              <w:br/>
              <w:t xml:space="preserve">警能力</w:t>
            </w:r>
            <w:r/>
          </w:p>
        </w:tc>
      </w:tr>
      <w:tr>
        <w:trPr>
          <w:trHeight w:val="7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★故障切换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★快速切换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支持快速切换，在主数据库出现故障</w:t>
              <w:br/>
              <w:t xml:space="preserve">时，能够快速切换到备用数据库，保障</w:t>
              <w:br/>
              <w:t xml:space="preserve">业务正常运行</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★恢复无断点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支持无断点恢复能力</w:t>
            </w:r>
            <w:r/>
          </w:p>
        </w:tc>
      </w:tr>
      <w:tr>
        <w:trPr>
          <w:trHeight w:val="1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★容灾能力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★主备备份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支持多副本，支持主副本与从副本</w:t>
              <w:br/>
              <w:t xml:space="preserve">之间的数据同步，最低时延由生产厂商</w:t>
              <w:br/>
              <w:t xml:space="preserve">提供；</w:t>
              <w:br/>
              <w:t xml:space="preserve"> b) 提供基于主机的数据库复制技术，</w:t>
              <w:br/>
              <w:t xml:space="preserve">包括基于日志的备用数据库远程数据</w:t>
              <w:br/>
              <w:t xml:space="preserve">库备份技术，并具备数据副本间的复制</w:t>
              <w:br/>
              <w:t xml:space="preserve">能力</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★实例容灾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在任意数据库实例出现故障时，集</w:t>
              <w:br/>
              <w:t xml:space="preserve">群内服务正常运行，数据不丢失，集群</w:t>
              <w:br/>
              <w:t xml:space="preserve">整体业务可用；</w:t>
              <w:br/>
              <w:t xml:space="preserve"> b) 在实例故障、节点故障等单数据库</w:t>
              <w:br/>
              <w:t xml:space="preserve">实例故障时，RPO 时间等于 0，RTO 时</w:t>
              <w:br/>
              <w:t xml:space="preserve">间小于 30s</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★容灾部署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a)提供远程容灾部署与管理功能；</w:t>
              <w:br/>
              <w:t xml:space="preserve"> b)提供生产中心与备份中心之间的容</w:t>
              <w:br/>
              <w:t xml:space="preserve">灾部署与管理功能</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★同城容灾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支持同城双中心部署，当主中心故</w:t>
              <w:br/>
              <w:t xml:space="preserve">障时，业务切换到备中心；</w:t>
              <w:br/>
              <w:t xml:space="preserve"> b) 由于网络、供电等原因造成的可用</w:t>
              <w:br/>
              <w:t xml:space="preserve">区级故障，触发集群计划外停机，在同</w:t>
              <w:br/>
              <w:t xml:space="preserve">城多可用区场景下，RPO 时间等于 0，</w:t>
              <w:br/>
              <w:t xml:space="preserve"> RTO 时间小于 1 分钟</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异地容灾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城市级故障，比如地震，业务可以</w:t>
              <w:br/>
              <w:t xml:space="preserve">切换到异地；</w:t>
              <w:br/>
              <w:t xml:space="preserve"> b) 异地灾备场景支持两地三中心部署</w:t>
              <w:br/>
              <w:t xml:space="preserve">架构，在本地建立同城灾备中心，在异</w:t>
              <w:br/>
              <w:t xml:space="preserve">地建立异地灾备中心，RPO 时间小于 1</w:t>
              <w:br/>
              <w:t xml:space="preserve">分钟，RTO 时间小于 10 分钟</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★容错性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★服务端编</w:t>
              <w:br/>
              <w:t xml:space="preserve">程稳定性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支持当用户自定义的存储过程、函数运</w:t>
              <w:br/>
              <w:t xml:space="preserve">行异常时，数据库稳定运行</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★网络容错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支持网络中断时，保障事务一致性</w:t>
            </w:r>
            <w:r/>
          </w:p>
        </w:tc>
      </w:tr>
      <w:tr>
        <w:trPr>
          <w:trHeight w:val="2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★检测报警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支持数据库实例启动时错误检测能</w:t>
              <w:br/>
              <w:t xml:space="preserve">力；</w:t>
              <w:br/>
              <w:t xml:space="preserve"> b) 支持加载不同文件格式、不同大小</w:t>
              <w:br/>
              <w:t xml:space="preserve">数据出现错误时的故障检测和处理能</w:t>
              <w:br/>
              <w:t xml:space="preserve">力；</w:t>
              <w:br/>
              <w:t xml:space="preserve"> c) 支持数据库备份执行过程中发生故</w:t>
              <w:br/>
              <w:t xml:space="preserve">障时报错或者报警能力；</w:t>
              <w:br/>
              <w:t xml:space="preserve"> d) 支持数据库恢复发生故障时报错或</w:t>
              <w:br/>
              <w:t xml:space="preserve">者报警能力</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系统故障重启后能正常运行且支持</w:t>
              <w:br/>
              <w:t xml:space="preserve">数据一致性；</w:t>
              <w:br/>
              <w:t xml:space="preserve"> b) 支持完全媒体故障恢复的能力；</w:t>
              <w:br/>
              <w:t xml:space="preserve"> c) 提供基于时间点故障恢复功能</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w:t>
              <w:br/>
              <w:t xml:space="preserve">性要</w:t>
              <w:br/>
              <w:t xml:space="preserve">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★不同级别故障可恢复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支持数据库事务故障、系统故障、存储</w:t>
              <w:br/>
              <w:t xml:space="preserve">媒体故障不同级别的可恢复能力</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云化部署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持虚拟化部署或容器化部署等云化部</w:t>
              <w:br/>
              <w:t xml:space="preserve">署方式</w:t>
            </w:r>
            <w:r/>
          </w:p>
        </w:tc>
      </w:tr>
      <w:tr>
        <w:trPr>
          <w:trHeight w:val="1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★硬件兼容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★硬件平台兼容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a) 同源支持以下至少三种 CPU 平台架</w:t>
              <w:br/>
              <w:t xml:space="preserve">构：</w:t>
              <w:br/>
              <w:t xml:space="preserve"> 1) ARM；</w:t>
              <w:br/>
              <w:t xml:space="preserve"> 2) LoongArch；</w:t>
              <w:br/>
              <w:t xml:space="preserve"> 3) MIPS；</w:t>
              <w:br/>
              <w:t xml:space="preserve"> 4) SW64；</w:t>
              <w:br/>
              <w:t xml:space="preserve"> 5) x86；</w:t>
              <w:br/>
              <w:t xml:space="preserve"> b) 支持 SMP 和 NUMA 的运行环境</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★标准兼容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★ODBC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 ODBC</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★JDBC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 JDBC</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以光盘、便携式移动设备、镜像文件、</w:t>
              <w:br/>
              <w:t xml:space="preserve">在线下载等交付方式提供产品交付物</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并发稳定测试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产品具备在鲲鹏、飞腾、海光等CPU技术路线和麒麟、统信等操作系统下稳定运行的能力，在不少于100仓数据和100用户并发场景下，产品在不同数据库环境7*24小时的TPC-C测试中能够稳定正常运行</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单机TPC-C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机单实例TPC-C性能测试，在X86环境不少于3000仓3000并发下持续运行60分钟，测试数据库性能指标可达到170万tpmC以上，在不少于100仓200并发下持续运行10分钟，可达到195万tpmC以上；在双路国产CPU环境不少于100仓100并发下持续运行10分钟，测试数据库性能指标可达到115万tpmC以上。</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单表插入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单表插入100万数据小于1.3秒，平均存储性能可达到80万条/秒以上，单库单表导入200万行数据小于3秒，批量导入性能可达到70万条/秒以上；支持1GB以上数据备份完成时间在7秒以内，恢复完成时间在21秒以内。</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亿级数据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系统支持亿级数据量进行操作，在十亿数据量级下单表索引字段范围查询，能够在10ms内检索返回199行符合条件的记录，并在15ms内加载显示这199行结果。</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千万级数据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系统可以处理千万级别的数据，在十亿数据量级下至少100个用户同时进行单表多条件组合查询操作，返回数据条数＜200时的平均查询时间不高于170ms。</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★产品维护</w:t>
              <w:br/>
              <w:t xml:space="preserve">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产品自发布之日起至产品停止功能升</w:t>
              <w:br/>
              <w:t xml:space="preserve">级（包含不限于新特性、新硬件支持、</w:t>
              <w:br/>
              <w:t xml:space="preserve">问题修复、安全补丁等）之日止≥5 年</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★产品延伸</w:t>
              <w:br/>
              <w:t xml:space="preserve">服务周期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产品停止功能升级之日起至产品停止</w:t>
              <w:br/>
              <w:t xml:space="preserve">功能维护（包括问题修复、安全补丁等）</w:t>
              <w:br/>
              <w:t xml:space="preserve">之日止≥4 年</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★产品延伸</w:t>
              <w:br/>
              <w:t xml:space="preserve">安全服务周</w:t>
              <w:br/>
              <w:t xml:space="preserve">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产品功能维护停止之日起至产品停止</w:t>
              <w:br/>
              <w:t xml:space="preserve">安全维护（包括中高风险漏洞修复）之</w:t>
              <w:br/>
              <w:t xml:space="preserve">日止≥2 年</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w:t>
              <w:br/>
              <w:t xml:space="preserve">最小保障期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自销售之日起，产品售后服务周期≥6</w:t>
              <w:br/>
              <w:t xml:space="preserve">年</w:t>
            </w:r>
            <w:r/>
          </w:p>
        </w:tc>
      </w:tr>
      <w:tr>
        <w:trPr>
          <w:trHeight w:val="4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★供应链与服</w:t>
              <w:br/>
              <w:t xml:space="preserve"> 务保障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供应链与服务保障基础要求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a) 提供多种形式支持服务，包含电话、</w:t>
              <w:br/>
              <w:t xml:space="preserve">电子邮件、远程连接等；</w:t>
              <w:br/>
              <w:t xml:space="preserve"> b) 提供技术支持服务，支持同城4h、</w:t>
              <w:br/>
              <w:t xml:space="preserve">异地 12h 响应要求，两个工作日解决问</w:t>
              <w:br/>
              <w:t xml:space="preserve">题，对于未能解决的问题和故障提供可</w:t>
              <w:br/>
              <w:t xml:space="preserve">行的升级方案；</w:t>
              <w:br/>
              <w:t xml:space="preserve"> c) 提供培训材料、产品手册、培训视</w:t>
              <w:br/>
              <w:t xml:space="preserve">频等培训相关内容；</w:t>
              <w:br/>
              <w:t xml:space="preserve"> d) 建立全国技术服务体系和服务团</w:t>
              <w:br/>
              <w:t xml:space="preserve">队，符合专业服务体系标准要求，提供</w:t>
              <w:br/>
              <w:t xml:space="preserve">原厂中文服务；</w:t>
              <w:br/>
              <w:t xml:space="preserve"> e) 服务周期内支持版本免费升级；</w:t>
              <w:br/>
              <w:t xml:space="preserve"> f) 开源产品对获得的社区源代码进行</w:t>
              <w:br/>
              <w:t xml:space="preserve">安全性和知识产权审查与管理；</w:t>
              <w:br/>
              <w:t xml:space="preserve"> g) 提供数据库参数、慢 SQL 语句的性</w:t>
              <w:br/>
              <w:t xml:space="preserve">能优化指</w:t>
            </w:r>
            <w:r>
              <w:rPr>
                <w:rFonts w:ascii="SimSun" w:hAnsi="SimSun" w:eastAsia="SimSun" w:cs="SimSun"/>
                <w:b/>
                <w:color w:val="000000"/>
                <w:sz w:val="24"/>
              </w:rPr>
              <w:t xml:space="preserve">南，包含性能优化的具体措</w:t>
              <w:br/>
              <w:t xml:space="preserve">施、技巧、案例及建议等</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针对关键客户提供代码级定制优化服</w:t>
              <w:br/>
              <w:t xml:space="preserve">务</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提供原厂团队驻场服务</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在线反馈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支持在线问题反馈</w:t>
            </w:r>
            <w:r/>
          </w:p>
        </w:tc>
      </w:tr>
      <w:tr>
        <w:trPr>
          <w:trHeight w:val="1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数据库应当符合安全可靠测评要求</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★基础安全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安全架构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将系统管理员分为数据库管理员、数据</w:t>
              <w:br/>
              <w:t xml:space="preserve">库安全员和数据库审计员三种类型</w:t>
            </w:r>
            <w:r/>
          </w:p>
        </w:tc>
      </w:tr>
      <w:tr>
        <w:trPr>
          <w:trHeight w:val="7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★漏洞管理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建立漏洞管理机制，及时通过邮件、网</w:t>
              <w:br/>
              <w:t xml:space="preserve">站等方式将安全漏洞告知用户，并提供</w:t>
              <w:br/>
              <w:t xml:space="preserve">安全补丁对漏洞进行修复</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★身份鉴别</w:t>
              <w:br/>
              <w:t xml:space="preserve">及访问控制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提供身份鉴别及访问控制，加解密的密</w:t>
              <w:br/>
              <w:t xml:space="preserve">码要求符合GM/T0028 的相关规定</w:t>
            </w:r>
            <w:r/>
          </w:p>
        </w:tc>
      </w:tr>
      <w:tr>
        <w:trPr>
          <w:trHeight w:val="1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增强安全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防篡改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 支持对指定的表开启防篡改能力，</w:t>
              <w:br/>
              <w:t xml:space="preserve">开启后，对重要数据的增、删、改操作，</w:t>
              <w:br/>
              <w:t xml:space="preserve">记录篡改校验信息，并提供篡改校验能</w:t>
              <w:br/>
              <w:t xml:space="preserve">力；</w:t>
              <w:br/>
              <w:t xml:space="preserve"> b) 支持对指定的表开启追溯能力，开</w:t>
              <w:br/>
              <w:t xml:space="preserve">启后，对数据的变更具有全向追溯能</w:t>
              <w:br/>
              <w:t xml:space="preserve">力，能够记录数据变更的历史信息以及</w:t>
              <w:br/>
              <w:t xml:space="preserve">相应的操作记录</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全密态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支持全密态的等值、非等值查询能力</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安全扩展要</w:t>
              <w:br/>
              <w:t xml:space="preserve">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支持自身数据的动态脱敏和透明加密</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闪回查询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支持数据库闪回查询</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br/>
              <w:t xml:space="preserve">要求</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闪回恢复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支持闪回查询实时恢复数据，支持不同</w:t>
              <w:br/>
              <w:t xml:space="preserve">级别（如库级、表级等）的闪回恢复</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中间件</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0"/>
        <w:gridCol w:w="761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本次中间件采购必须包含负载均衡和缓存管理的功能模块授权。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自主可控要求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符合自主可控要求：国产化企业版中间件，已通过信创测试，进入信创名录，符合未来中间件技术的发展潮流。</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提供不少于4种主流国产技术路线兼容性互认证证明。</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提供不少于2种主流符合信创要求的国产操作系统兼容性互认证证明。</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数据库支持要求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支持多种主流数据库系统，包括Oracle、Sybase、DB2、MS SQL SERVER、MySQL、ArteryBase、神通、达梦、人大金仓等。（提供截图证明）</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国密支持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支持国密SM2、SM3、SM4算法。支持国密SSL的单项和双向配置。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标准规范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通过Jakarta EE 8、JakartaEE9.1兼容性产品认证。（提供官网截图）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应用开发支持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提供支持springboot开发的jar包。</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提供一键式安装命令行工具，方便运维管理。</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支持安装文件一体化：同一安装文件支持市面上主流的“芯片+操作系统”技术路线，更换平台不需更换安装文件，且安装文件中自带负载均衡功能，使用时开启即可，不需额外安装部署，需厂商出具承诺。</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容器功能要求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提供完整的Web容器、EJB容器、JDBC连接池和Web Service支持。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数据源可靠性功能要求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支持优化的JDBC连接池，支持连接池自动回收泄露连接、自动检查数据库连接有效性、数据库驱动的动态加载、连接池监控等。</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中文支持功能要求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支持中文，如当页面中的超链接URL中包含中文、重定向到中文文件名的JSP时不能够出现页面错误或乱码。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等保2.0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满足等级保护2.0有关要求，如支持审计、三员分立等要求。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访问过滤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提供访问过滤配置功能，能够拒绝某IP或IP段的机器访问Web应用，达到防攻击效果。</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数据传输安全保证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支持SSL、TLS协议，可配置协议版本禁用，密码套件策略。（提供产品功能截图）</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提供开放，可扩展的安全架构，提供认证，授权，身份识别，角色识别，角色映射等功能。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支持三员管理，提供对服务器操作的审计记录等。支持文件、JDBC、JNDI、JAAS安全域等功能。</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支持HTTP2协议，在确保数据传输安全的同时提高了应用访问的效率。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具备标准的B/S模式管理控制台，可对远程的应用服务器环境进行应用部署、管理维护和监控。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支持集群的集中管理，包括：节点安装、负载集群的自动配置、实例管理（如：集中部署、启停、状态监控等），集中监控（资源、实例）等。</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支持在管理控制台页面上配置JVM参数，无需手工修改启动脚本，就可以完成增加和修改启动应用服务器的参数。</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日志管理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有日志配置功能,支持日志查看、过滤、下载，支持服务器日志文件配置，轮转周期配置，日志级别配置。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拥有IDE开发工具,支持图形化的配置。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Session共享技术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支持Session超时配置功能，提供Session集群设置功能。</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Session服务集群技术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支持多种Session服务集群技术：包括Redis、JDBC、文件、MongoDB、Hazelcast、Memcached等多种技术。</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提供监控接口功能要求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提供基于JMX或rest的接口访问，方便第三方插件调用。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扩展能力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在业务系统不宕机的情况下，支持动态增加服务器，扩充系统性能。</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负载均衡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内置集群负载均衡器，提供可视化控制台对应用负载均衡进行配置，用户可动态添加集群服务器，配置集群负载均衡策略，包括Session粘滞、轮询、hash等多种策略。支持在集群内统一管理服务器应用文件，监控集群服务器状态与应用状态。（提供产品功能截图）</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★内置类加载冲突检测工具，可以检测出应用部署和运行过程中哪些类存在类加载冲突问题，并能自动生成冲突检测报告，方便快速定位和解决应用类加载问题。提供产品功能截图。</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缓存管理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包含缓存管理授权，支持session的缓存共享，支持外部缓存对接管理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流量监控统计功能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不需要额外配置和部署服务，自带应用的流量统计功能，可以按天、按月查看应用的PV、UV指标。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快照管理功能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可以在可视化的Web界面里一键生成当前时刻服务器的系统配置信息、系统日志、dump日志、jstack、jmap信息，方便进行问题排查和性能分析。</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未授权接口扫描功能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可以在控制台上扫描出部署的应用系统接口和页面无需登录即可访问的安全风险。</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应用成效分析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中间件可以按配置信息自动生成对应功能模块的访问量，支持将统计数据推送到第三方监控平台。</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安全防御功能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以对应用无侵入的方式，为应用提供运行时安全防护功能，并能在控制台实时查看拦截的攻击信息及次数。</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防火墙</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95"/>
        <w:gridCol w:w="7459"/>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★硬件配置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≤2U机架式，国产自主可控芯片及操作系统，配置为≥6个10/100/1000BASE-T接口和≥4个SFP插槽，≥2个万兆光插槽，≥1个可插拨的扩展槽，双电源。提供3年病毒库升级授权服务（提供证明材料）。</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防火墙最大吞吐量≥10G，每秒新建连接数≥80万,并发连接速率≥800万；支持IPsec VPN和SSL VPN。（提供证明材料）。</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系统具有良好的扩展性，支持扩展病毒防御、入侵防御、应用识别、网站分类库过滤、WAF、僵木蠕防御、IPSEC VPN、SSLVPN等功能。</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支持路由、透明以及混合接入模式，满足复杂应用环境的接入需求。</w:t>
            </w:r>
            <w:r/>
          </w:p>
        </w:tc>
      </w:tr>
      <w:tr>
        <w:trPr>
          <w:trHeight w:val="47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支持静态路由、OSPF\OSPFv3\BGP\RIP\RIPNG等动态路由、SD-WAN路由、MPLS路由。</w:t>
            </w:r>
            <w:r/>
          </w:p>
        </w:tc>
      </w:tr>
      <w:tr>
        <w:trPr>
          <w:trHeight w:val="47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支持ISP路由，至少内置8个不同运营商的地址库，并可进行升级。</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状态检测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支持多元组的访问控制规则，至少支持基于源MAC、源端口、目的端口、时间、域名、URL等多个元素进行访问控制。</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IP/MAC绑定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具有IP/MAC绑定功能，保证IP地址唯一性；支持手动绑定和自动探测两种方式进行IP/MAC绑定。</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带宽管理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基于链路和多层通道嵌套的流量控制功能，提供至少四层通道嵌套，支持基于接口/区域的上下行带宽管理，可基于应用/应用组、角色、地址、服务\服务组和时间等带宽策略，支持带宽策略优先级和针对IP、应用设置白名单。</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访问控制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支持IPv6安全控制策略设置，能针对IPv6的目的/源地址、源服务端口、区域、服务、时间、扩展头属性等条件进行安全访问规则的设置。</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应用协议访问控制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支持云应用、移动应用、WEB应用、传统应用、加密流量等多种类型应用的识别，如百度网盘、微云网盘、微信、APP Store、环球时报、维基百科、QQ、SKY、淘宝等。</w:t>
            </w:r>
            <w:r/>
          </w:p>
        </w:tc>
      </w:tr>
      <w:tr>
        <w:trPr>
          <w:trHeight w:val="6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支持对P2P流量的识别，在界面中体现，如PPTV、风行等P2P视频应用可划分HTTP下载和P2P下载。</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应用内容访问控制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支持基于本地IP黑白名单、邮件地址黑白名单方式的反垃圾邮件功能，并提供反垃圾邮件统计功能。</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恶意代码防护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支持恶意代码防护功能，可针对HTTP、SMTP、POP3、FTP协议进行动态阻断；恶意代码特征库总数大于200万。</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用户管控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支持RADIUS、LDAP、TACACS等第三方外部认证设置。</w:t>
            </w:r>
            <w:r/>
          </w:p>
        </w:tc>
      </w:tr>
      <w:tr>
        <w:trPr>
          <w:trHeight w:val="47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支持本地PORTAL、外部PORTAL、802.1X等接入认证功能。</w:t>
            </w:r>
            <w:r/>
          </w:p>
        </w:tc>
      </w:tr>
      <w:tr>
        <w:trPr>
          <w:trHeight w:val="9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支持本地CA和第三方CA，支持作为CA认证中心为其他人签发证书，也可采用第三方CA为其他人签发证书；支持证书撤销；支持标准CRL列表，支持CRL下载及删除，同时支持 CRL 自动下载，通过HTTP协议定时自动下载更新 CRL文件。</w:t>
            </w:r>
            <w:r/>
          </w:p>
        </w:tc>
      </w:tr>
      <w:tr>
        <w:trPr>
          <w:trHeight w:val="47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支持对攻击总数、高风险攻击、受攻击主机等进行监控统计，并可进行可视化展示。</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连接控制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支持对指定的源/目的地址对象、源/目的地理对象、应用制定连接限制策略，可控制所有或单IP会话总数及单IP新建连接数；（提供截图证明）。</w:t>
            </w:r>
            <w:r/>
          </w:p>
        </w:tc>
      </w:tr>
      <w:tr>
        <w:trPr>
          <w:trHeight w:val="6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支持监控功能，显示被拦截的IP、地址对象、应用的限制条件、被拒次数、最近被拒时间等信息；（提供截图证明）。</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攻击防护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支持针对IP、ICMP、TCP、UDP、DNS、HTTP、NTP等协议进行DDOS防护；支持预定义和自定义策略模板；（提供截图证明）。</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DNS Doctoring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支持DNS Doctoring功能，能够将来自内部网络的域名解析请求定向到真实内网资源，提高访问效率，同时支持通过配置多条 DNS Doctoring，实现内网资源服务器的负载均衡（提供截图证明）。</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支持通过手动添加、资产扫描准入、EDR 联动等方式获取资产信息，资产信息包括但不限于IP地址、安全评分、操作系统、物理MAC地址，并可对资产进行统一管理与一键防护。</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支持系统管理员能够通过本地认证及外部认证方式进行登录管理，外部认证失败时可转本地认证。</w:t>
            </w:r>
            <w:r/>
          </w:p>
        </w:tc>
      </w:tr>
      <w:tr>
        <w:trPr>
          <w:trHeight w:val="9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本地多配置文件存储及配置回滚功能，并且可以有选择性的下载“运行配置”、“存盘配置”、“备份配置”、配置文件加密下载以及按对象、策略等分类的部分配置文件下载/上传功能；要求具有配置文件自动定时上传到指定外部服务器功能。</w:t>
            </w:r>
            <w:r/>
          </w:p>
        </w:tc>
      </w:tr>
      <w:tr>
        <w:trPr>
          <w:trHeight w:val="6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可将多条日志合并成一条日志传送到日志服务器中，可选择对日志传输是否加密，且可设定大于或等于8位的加密密钥，保障日志传输的安全性。</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提供信息安全产品自主原创证明。</w:t>
            </w:r>
            <w:r/>
          </w:p>
        </w:tc>
      </w:tr>
      <w:tr>
        <w:trPr>
          <w:trHeight w:val="48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★具有防火墙密码检测证书，符合国家密码管理局商用密码要求(提供检测证书)。</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固定端口防火墙产品轻量化指标要求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适用吞吐量档位10G以上~20G限制：</w:t>
              <w:br/>
              <w:t xml:space="preserve">体积上限：12 dm3，功耗/吞吐量≤23 W/Gbps；</w:t>
              <w:br/>
              <w:t xml:space="preserve"> 1．体积指产品长*高*深（不含挂耳、走线齿）</w:t>
              <w:br/>
              <w:t xml:space="preserve"> 2．吞吐量采用IPV4协议类型</w:t>
              <w:br/>
              <w:t xml:space="preserve">合规性验证方式：查验数据中心提供的第三方检测报告或第三方认证证书。</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固定端口防火墙外部电源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能耗：GB20943的节能评价值</w:t>
              <w:br/>
              <w:t xml:space="preserve">检测方法依据GB 20943要求执行，</w:t>
              <w:br/>
              <w:t xml:space="preserve">合规性验证方式：查验数据中心提供的第三方检测报告或第三方认证证书。</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内部电源输出效率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20%负载：≥85%；</w:t>
              <w:br/>
              <w:t xml:space="preserve"> 50%负载：≥89%；</w:t>
              <w:br/>
              <w:t xml:space="preserve"> 100%负载：≥85%；</w:t>
              <w:br/>
              <w:t xml:space="preserve">检测方法依据HJ2507要求执行。</w:t>
              <w:br/>
              <w:t xml:space="preserve">合规性验证方式：查验数据中心提供的第三方检测报告或第三方认证证书。</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单路电源最低功率因数(50%负载下的)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w:t>
              <w:br/>
              <w:t xml:space="preserve">合规性验证方式：查验数据中心提供的第三方检测报告或第三方认证证书。</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噪声发射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有人值守：≤7.6 Bels；</w:t>
              <w:br/>
              <w:t xml:space="preserve">无人值守：≤8.1 Bels；</w:t>
              <w:br/>
              <w:t xml:space="preserve">检测方法依据YD/T1816要求执行；</w:t>
              <w:br/>
              <w:t xml:space="preserve">合规性验证方式：查验数据中心提供的第三方检测报告或第三方认证证书。</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入侵防御</w:t>
      </w:r>
      <w:r/>
    </w:p>
    <w:p>
      <w:pPr>
        <w:ind w:left="0" w:right="0" w:firstLine="0"/>
        <w:jc w:val="both"/>
        <w:spacing w:before="0" w:after="0"/>
        <w:rPr>
          <w:rFonts w:ascii="Calibri" w:hAnsi="Calibri" w:eastAsia="Calibri" w:cs="Calibri"/>
          <w:color w:val="000000"/>
          <w:sz w:val="28"/>
          <w:szCs w:val="28"/>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935"/>
        <w:gridCol w:w="538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★硬件配置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≤2U机架式，国产自主可控芯片及操作系统，≧5个千兆电口（支持2对Bypass），≥4个千兆光口,双电源。3年攻击检测规则库、应用识别库、地理信息库升级许可。</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IPS满检速率：≥5 Gbps。</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接入模式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要求支持直连、路由、VLAN、旁路监听、混合部署等多种接入模式。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要求支持多端口链路聚合，支持多种链路负载均衡算法。</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要求支持基于源/目的地址、接口的策略路由。</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部署环境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要求支持VLAN、MPLS、PPPoE网络，能够在该网络环境中检测出攻击事件。</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要求支持IPv6、IPv6 over IPv4、IPv6和IPv4混合网络，能够在该网络环境中检测出攻击事件。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支持流量采集功能，支持在设备界面对服务器地址、端口、以及采样百分比进行设置。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攻击规则库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要求攻击规则库单独分开，可支持手动、自动、以及离线升级。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应用识别规则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要求应用识别规则库单独分开，可支持手动、自动、以及离线升级。</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URL过滤库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要求URL过滤库单独分开，可支持手动、自动、以及离线升级。（提供截图证明）</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入侵防御引擎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系统应具备：融合模式匹配、协议分析、异常检测、会话关联分析，逃逸等多种技术，准确识别入侵攻击行为，为用户提供2~7层深度入侵防御。</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要求支持丢弃报文、记录日志、禁止连接、TCP reset结束TCP会话等多种响应动作。</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要求支持自定义攻击检测规则。</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要求支持黑名单，将攻击源加入黑名单，一段时间内禁止访问。</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要求支持攻击报文取证功能，检测到攻击事件后将原始报文完整记录下来，作为电子证据。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自定义规则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支持自定义规则，并且自定义规则库可以导入导出。（提供截图证明）</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URL过滤引擎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系统应具备独立的URL检测过滤引擎。</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支持黑白名单，精确匹配和模糊匹配。</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支持阻断、URL重定向、返回默认页面、返回自定义页面等多种动作。</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支持包括恶意网站、违反国家政策法规、潜在不安全、浪费带宽、大众兴趣、多种论坛、行业、计算机技术、等多种分类的URL过滤。</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URL特征库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支持URL地址分类库，超过1000万种。</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DDoS防御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系统应支持独立的DDoS检测、阻断及防御基线自学习的能力。</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系统支持防御包括land、Smurf、Pingofdeath、winnuke、tcp_sscan、ip_option、teardrop、targa3、ipspoof、Synflood、Icmpflood、Udpflood、Portscan、ipsweep等在内的DoS/DDoS攻击。</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系统支持DNS异常包及DNS Flood攻击防御。系统支持DHCP异常包及DHCP Flood攻击防御。系统支持ARP异常包及ARP Flood攻击防御。系统支持CC攻击防御，且能够对Web服务器上的指定URI页面进行防护设置。系统支持主机并发连接数和半连接数的限制。</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系统支持DDoS 机器人自学习功能，学习时间可设置。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自定义应用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支持协议自定义功能。</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网络冗余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支持双机热备。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日志管理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系统应支持多种形式的日志存储，本地存储、发送至日志服务器、本地日志服务器双存储、自动方式判断日志服务器状态自动决定日志的记录方式。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系统应提供基于告警级别、时间、IP地址、事件类型、等条件的日志检索功能，具备日志导出备份、清除功能。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系统支持攻击检测日志中可以直观的展示攻击事件中的攻击特征编码。</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支持外发日志服务器时，自定义字符编码格式GBK/UTF8。（提供截图证明）</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系统应具备日志归并功能，避免日志风暴。</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系统应支持按照时间、源IP、源端口、目的IP、目的端口、网络接口、风险级别等条件生成统计分析报表，报表内容包括攻击防护、应用管控、URL过滤三大类。</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系统应支持支持生成日报、周报、月报。</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系统应支持报表以word、html格式导出。</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系统应提供报表定时通过邮件方式自动发送。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告警系统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系统应提供全方位的包含管理、系统、策略、安全、流量等告警。</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系统应提供邮件、声音、snmp多形式的告警方式。</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具有《国家信息安全测评信息技术产品安全测评证书》EAL3+级证书。</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具有IPv6支持资质证书。</w:t>
            </w:r>
            <w:r/>
          </w:p>
        </w:tc>
      </w:tr>
    </w:tbl>
    <w:p>
      <w:pPr>
        <w:ind w:left="0" w:firstLine="0"/>
        <w:jc w:val="both"/>
        <w:spacing w:before="260" w:after="260" w:line="98" w:lineRule="atLeast"/>
        <w:rPr>
          <w:sz w:val="22"/>
          <w:szCs w:val="22"/>
        </w:rPr>
        <w:pBdr>
          <w:top w:val="none" w:color="000000" w:sz="4" w:space="0"/>
          <w:left w:val="none" w:color="000000" w:sz="4" w:space="0"/>
          <w:bottom w:val="none" w:color="000000" w:sz="4" w:space="0"/>
          <w:right w:val="none" w:color="000000" w:sz="4" w:space="0"/>
        </w:pBdr>
      </w:pPr>
      <w:r>
        <w:rPr>
          <w:sz w:val="22"/>
          <w:szCs w:val="22"/>
        </w:rPr>
      </w:r>
      <w:r>
        <w:rPr>
          <w:sz w:val="22"/>
          <w:szCs w:val="22"/>
        </w:rPr>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网闸</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849"/>
        <w:gridCol w:w="7471"/>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系统架构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“2+1”系统结构，内外端机为TCP/IP网络协议的终点，阻断TCP/IP协议的直接贯通。内外端机之间采用专用硬件和专用协议进行连接，不可编程。</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管理架构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管理控制层和业务数据层分离，管理系统部署于内端机上， 只能通过内端机上的管理口对网闸进行配置，不允许外端机存在任何形式的管理接口。可避免黑客从外部网络入侵，导致隔离网闸被黑客完全控制的现象。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≤2U机架式机箱，冗余电源。国产自主可控芯片及操作系统，内外网各≥8个100M/1000M 电口（内含1个独立管理口，1个HA口），共≥4个USB口和2个console口，≥8个千兆光口，≥1个拓展卡槽，吞吐量≥1Gbps。并发连接数≥12万，延时≤5ms，内外端机各≥8G内存，内外端机各≥1T机械硬盘。</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安全浏览功能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提供HTTP页面访问和WEB代理上网功能；支持IP地址、端口、时间以及基于源用户身份的访问控制策略；支持访问控制日志记录和告警功能；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支持最大活动会话数的控制和统计；支持IPV6扩展头的安全设置。</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支持http消息头、消息体，上下行方向，命令及关键字的管控，支持允许、阻断、告警三种处理方式。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支持http、https、Active MQ、Openwire等协议的识别和通信功能。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支持基于单一域名的黑白名单访问控制，支持基于URL分类地址库的访问控制，支持允许、阻断、告警三种处理方式。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支持50种以上文件类型特征识别，非扩展名过滤，包括可执行文件、文本文件、压缩文件、图片文件、多媒体文件等，支持上下行方向过滤单独控制，支持允许、阻断、告警三种处理方式。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支持JavaScript脚本、ActiveX插件、Applet插件过滤。</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内置HTTP安全模块，支持URL过滤引擎、内容过滤引擎、文件过滤引擎、病毒过滤引擎、网页过滤引擎安全防护及单独启停控制。（提供截图证明）</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文件传输功能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提供基于FTP协议和NFS协议的文件传输功能。支持有客户端和无客户端文件同步。支持代理、透明、路由三种接入方式。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支持IP地址、端口、时间以及基于源用户身份的访问控制策略。</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支持访问控制日志记录和告警功能；支持最大活动会话数的控制和统计；支持IPV6扩展头的安全设置。</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支持FTP协议内部命令及数据层内容过滤，支持允许、阻断、告警三种处理方式。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支持多种文件类型特征识别，非扩展名过滤，包括可执行文件、文本文件、压缩文件、图片文件、多媒体文件等，支持上下行方向过滤单独控制，支持允许、阻断、告警三种处理方式。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内置FTP安全模块，支持内容过滤引擎、文件过滤引擎、病毒过滤引擎安全防护及单独启停控制。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数据库访问功能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提供至少五种主流数据库的安全访问；支持代理、透明、路由三种接入方式；支持访问控制日志记录和告警功能。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支持IP地址、端口、时间以及基于源用户身份的访问控制策略。</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支持最大活动会话数的控制和统计；支持长连接设置；支持IPV6扩展头的安全设置。</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内置数据库安全模块，支持内容过滤引擎，能够对数据库用户名、命令、关键字等内容进行管控，支持允许、阻断、告警三种处理方式（提供截图证明）。</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安全邮件功能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提供安全的邮件访问功能，支持POP3、SMTP协议。支持代理、透明、路由三种接入方式。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支持IP地址、端口、时间以及基于源用户身份的访问控制策略。</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支持访问控制日志记录和告警功能；支持最大活动会话数的控制和统计；支持IPV6扩展头的安全设置。</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支持发件人、收件人、邮件标题、邮件正文、邮件附件等数据内容过滤，支持允许、阻断、告警三种处理方式。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内置邮件安全模块，支持内容过滤引擎、文件过滤引擎、病毒过滤引擎安全防护及单独启停控制。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安全VOIP功能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提供音视频通话访问功能，支持SIP、H323、RTSP、GB28181等音视频协议。支持代理、透明、路由三种接入方式。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支持IP地址、端口、时间以及基于源用户身份的访问控制策略。</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支持访问控制日志记录和告警功能；支持最大活动会话数的控制和统计；支持IPV6扩展头的安全设置。</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支持对音视频历史回放、下载以及视频实时点播进行控制。</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提供多种音视频检查，如信令类型检查、消息内容类型检查、回访控制检查、音视频格式检查等。</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内置VOIP安全模块，内置VOIP安全引擎，支持主被叫用户黑名单的控制。</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支持海康、大华、宇视、科达等视频厂商。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自定义访问功能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支持自定义的TCP、UDP协议的数据访问功能，用户自定义应用无需对自定义协议软件进行二次修改开发。</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支持代理、透明、路由三种接入方式。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支持IP地址、端口、时间以及基于源用户身份的访问控制策略。</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支持访问控制日志记录和告警功能；支持最大活动会话数的控制和统计；支持IPV6扩展头的安全设置。</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文件同步功能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提供有客户端和无客户端两种文件同步方式，客户端支持Windows、Linux操作系统。</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无客户端方式无需在用户服务器上安装任何插件，网闸不开放任何服务端口；有客户端方式可提供专用文件同步客户端安装在用户服务器上，提供安全的文件同步服务。</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支持NFS、FTP等多种文件服务器类型，支持实时同步和周期性同步。支持文件同步重名策略处理，可选覆盖、不同步、重命名三种处理方式。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支持首次同步策略处理，可选合并和完全一致两种处理方式。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支持源文件处理策略，包括保留、删除、转存三种处理方式。支持同步删除、文件续传、子目录同步、日志记录开关控制；支持单一任务的线程数和缓冲时间设置，可手动设置同步任务的线程数。</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支持基于文件大小和文件修改时间的同步策略，可手动指定上下限阈值；支持基于MD5的文件完整性校验。</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文件名和文件类型的黑白名单过滤，文件类型过滤基于文件特征识别，非扩展名识别，且支持不小于50种文件类型识别。支持文件同步信息统计，包括每个任务的开始时间、同步数据量、同步成功数、同步失败数，并能够以图表的方式进行实时可视化展现。</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数据库同步功能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提供有客户端和无客户端两种数据据库同步方式。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无客户端方式无需在用户服务器上安装任何插件，网闸不开放任何服务端口；有客户端方式可提供专用文件同步客户端安装在用户服务器上，提供安全的数据库同步服务。</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提供多种主流数据库系统如：ORACLE、SQLSERVER、MYSQL、达梦数据库的同步。</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支持一对一、一对多、多对一方式的数据库同步；支持同构、异构数据库之间的同步，同步可具体设置到字段级别。</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支持网闸同侧数据库之间的数据同步，网闸可旁路部署实现数据库同步。</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支持自动读取数据库表名和字段名，无需手动录入表名和字段名，降低配置复杂度。</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快速配置支持全库表同步，可直接映射两个独立数据库进行同步，支持每策略映射表数量控制，支持每策略映射同步方向控制。</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支持首次同步策略处理，可选合并、完全一致、以源为准、以目的为准四种处理方式。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支持数据库同步冲突策略处理，包括覆盖、忽略、以源为准、以目的为准等处理方式。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支持实时同步和周期性同步方式，可分别控制插入、删除、更新的同步操作。</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支持数据库同步信息统计，包括每个任务的开始时间、同步成功数、同步失败数，同步忽略数，并能够以图表的方式进行实时可视化展现（提供截图证明）。</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安全防护功能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提供连接保护功能，支持基于源和目的IP地址的并发连接数和新建连接数控制，并可以手动设置相关阈值，超过阈值后可选限制和警告两种处理方式。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提供IPV4\IPV6双栈IP+MAC绑定功能，支持基于物理接口和IP网段的IP+MAC主动探测，支持IP、MAC信息查询功能。</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用户认证功能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提供本地认证功能和外部认证功能，外部认证支持Radius、Ldap、Tacacs等类型的认证服务器。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支持认证页面的门户配置，支持认证用户的界面保活，可手动设置保活时间。</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网络管理功能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网络接口支持IPV4\IPV6双栈IP地址配置，支持MTU、双工模式、接口速度的手动设置。</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支持接口聚合，可手动设置聚合接口的负载均衡算法。</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支持IPV4/IPV6双栈基础路由配置和邻居学习。</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提供服务器负载均衡功能，支持轮询、加权轮询、最少连接、加权最少连接等负载均衡算法。</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日志审计功能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支持日志审计功能，包括管理日志、系统日志、策略日志、同步日志和应用行为日志。支持日志记录查询、删除、导出，日志记录可导出文本文件和数据库文件两种格式。</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支持日志记录本地数据库存储，也可以将日志传输到独立的日志服务器上，传输日志格式支持syslog和welf，支持日志加密传输。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具有公安部GB/T28181-2016《公共安全视频监控联网系统信息传输、交换、控制技术要求》检测报告。</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2"/>
        </w:numPr>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交换机</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935"/>
        <w:gridCol w:w="5636"/>
      </w:tblGrid>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★≥24个10/100/1000Base-T以太网端口；≥4个1000Base-X以太网端口；</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★交换容量≥336 Gbps</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★包转发率≥108 Mpps</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★支持端口镜像；</w:t>
            </w:r>
            <w:r/>
          </w:p>
        </w:tc>
      </w:tr>
      <w:tr>
        <w:trPr>
          <w:trHeight w:val="3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支持静态路由，RIP，RIPng，等价路由</w:t>
            </w:r>
            <w:r/>
          </w:p>
        </w:tc>
      </w:tr>
      <w:tr>
        <w:trPr>
          <w:trHeight w:val="3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支持手工隧道、ISATAP、GRE隧道，自动隧道</w:t>
            </w:r>
            <w:r/>
          </w:p>
        </w:tc>
      </w:tr>
      <w:tr>
        <w:trPr>
          <w:trHeight w:val="3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支持ACL功能：出方向ACL、标准IP ACL、扩展IP ACL、MAC扩展ACL、专家级ACL、时间ACL， </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支持CPU保护技术，对发往CPU的数据流，进行流区分和优先级队列分级处理，并根据需要实施带宽限速，充分保护CPU不被非法流量占用、恶意攻击和资源消耗，保障了CPU安全，充分保护了交换机的安全。</w:t>
            </w:r>
            <w:r/>
          </w:p>
        </w:tc>
      </w:tr>
      <w:tr>
        <w:trPr>
          <w:trHeight w:val="3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支持可信ARP功能，能够有效防止针对网关欺骗的行为， </w:t>
            </w:r>
            <w:r/>
          </w:p>
        </w:tc>
      </w:tr>
      <w:tr>
        <w:trPr>
          <w:trHeight w:val="40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所投设备能满足不同场景下认证的需求，要求支持802.1X和WEB功能，并且端口能够同时开启，同时工作。</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支持SNMPv1/v2c/v3、CLI(Telnet/Console)、RMON(1,2,3,9)、SSH、Syslog、NTP/SNTP 、Telnet v6、SSH v6、FTP/TFTP v6、DNS v6、NTP for v6</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支持智能控温（风扇自动调速，异常通告，状态查看），电源功率管理与监控</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提供工信部IPv4/IPv6进网许可证复印件</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所投设备是支持IPv6的产品</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固定端口以太网交换机能效比值（TEER）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br/>
              <w:t xml:space="preserve">合规性验证方式：查验数据中心提供的第三方检测报告或第三方认证证书。</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单路电源输出效率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20%负载：≥88%；</w:t>
              <w:br/>
              <w:t xml:space="preserve"> 50%负载：≥92%；</w:t>
              <w:br/>
              <w:t xml:space="preserve"> 100%负载：≥88%；</w:t>
              <w:br/>
              <w:t xml:space="preserve">检测方法依据HJ2507要求执行。</w:t>
              <w:br/>
              <w:t xml:space="preserve">合规性验证方式：查验数据中心提供的第三方检测报告或第三方认证证书。</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单路电源最低功率因数(50%负载下的)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多路电源输出效率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20%负载：≥85%；</w:t>
              <w:br/>
              <w:t xml:space="preserve"> 50%负载：≥89%；</w:t>
              <w:br/>
              <w:t xml:space="preserve"> 100%负载：≥85%；</w:t>
              <w:br/>
              <w:t xml:space="preserve">检测方法依据HJ2507要求执行。</w:t>
              <w:br/>
              <w:t xml:space="preserve">合规性验证方式：查验数据中心提供的第三方检测报告或第三方认证证书。</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多路电源最低功率因数(50%负载下的)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w:t>
            </w:r>
            <w:r/>
          </w:p>
        </w:tc>
      </w:tr>
    </w:tbl>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b/>
          <w:color w:val="000000"/>
          <w:sz w:val="24"/>
        </w:rPr>
        <w:t xml:space="preserve">、服务要求</w:t>
      </w:r>
      <w:r/>
    </w:p>
    <w:p>
      <w:pPr>
        <w:numPr>
          <w:ilvl w:val="0"/>
          <w:numId w:val="13"/>
        </w:numPr>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中标方须承诺在项目实施过程中制定科学的实施方案，应当充分考虑用户方的实际业务需求，并支持满足用户方提出的个性化要求。实施方案经采购认可后方可予以实施。</w:t>
      </w:r>
      <w:r/>
    </w:p>
    <w:p>
      <w:pPr>
        <w:numPr>
          <w:ilvl w:val="0"/>
          <w:numId w:val="13"/>
        </w:numPr>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方根据项目质量和进度的需要，可以要求中标方及时充实相应的项目管理人员和技术实施人员。未经用户方允许不得更换项目负责人和主要技术人员。确有必要变更的，须提前以书面形式报用户方审核，经同意后方可更换。因中标方人员变更原因所造成的任何项目质量、进度滞后的后果，由中标方承担一切责任。</w:t>
      </w:r>
      <w:r/>
    </w:p>
    <w:p>
      <w:pPr>
        <w:numPr>
          <w:ilvl w:val="0"/>
          <w:numId w:val="13"/>
        </w:numPr>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应在合同签订之日起一个月内完成本项目所有硬件设备和操作系统、中间件、数据库等软件的供货、安装部署及调试工作，确保提供安全可靠、运行正常的计算资源。中标方应提供工具部署所需的各种接口、模块、线缆（电源线、网线、光纤、光模块等），完成设备上架、安装、设备与线缆标签制作粘贴、理线。本项目费用含所涉及全部硬件及相关部署、调试、联调等全部费用。</w:t>
      </w:r>
      <w:r/>
    </w:p>
    <w:p>
      <w:pPr>
        <w:numPr>
          <w:ilvl w:val="0"/>
          <w:numId w:val="13"/>
        </w:numPr>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★本项目所涉服务工具、设备或产品等均应符合信创工作相关要求，所有相关加密算法应采用国密算法。服务器、操作系统及数据库应符合财政部、工业和信息化部2023年发布的政府采购需求标准。</w:t>
      </w:r>
      <w:r/>
    </w:p>
    <w:p>
      <w:pPr>
        <w:numPr>
          <w:ilvl w:val="0"/>
          <w:numId w:val="13"/>
        </w:numPr>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★本次项目服务所使用的硬件工具平台必须为全新产品，平台硬件设备要求提供3年原厂质保，时间从本项目验收之日起计算。运维到期后，每年的续保费用不得高于本项目成交价的10%。</w:t>
      </w:r>
      <w:r/>
    </w:p>
    <w:p>
      <w:pPr>
        <w:numPr>
          <w:ilvl w:val="0"/>
          <w:numId w:val="13"/>
        </w:numPr>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★操作系统、虚拟化平台、数据库、中间件均必须提供官方授权文件及至少1年原厂运维，且授权对象是用户方。</w:t>
      </w:r>
      <w:r/>
    </w:p>
    <w:p>
      <w:pPr>
        <w:numPr>
          <w:ilvl w:val="0"/>
          <w:numId w:val="13"/>
        </w:numPr>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应与用户方签订保密协议，必须配合用户方做好与本项目的网络安全保障工作，遵守相关法律、法规及用户方制定的网络安全管理制度，不得违反。否则用户方有权终止合同，并由中标方承担一切相应的责任和后果。</w:t>
      </w:r>
      <w:r/>
    </w:p>
    <w:p>
      <w:pPr>
        <w:numPr>
          <w:ilvl w:val="0"/>
          <w:numId w:val="13"/>
        </w:numPr>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必须提供全年应急服务时间7×24小时，应急响应时间要求在1小时以内。在发生一般信息安全事件时，必须立即响应并根据用户方要求提供远程或现场技术支持。出现重大信息安全事件时，项目组在接报后必须立即安排技术骨干赶往现场进行应急响应处置。</w:t>
      </w:r>
      <w:r/>
    </w:p>
    <w:p>
      <w:pPr>
        <w:ind w:left="0" w:right="0" w:firstLine="72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本采购包提供的硬件、系统软件是为镇江市社银数据共享应用法律风控平台项目</w:t>
      </w:r>
      <w:r>
        <w:rPr>
          <w:rFonts w:ascii="SimSun" w:hAnsi="SimSun" w:eastAsia="SimSun" w:cs="SimSun"/>
          <w:b/>
          <w:color w:val="000000"/>
          <w:sz w:val="24"/>
          <w:u w:val="single"/>
        </w:rPr>
        <w:t xml:space="preserve">软件应用系统平台提供全方位的支撑服务，因此，中标方须承诺在项目建设过程中及时按软件应用系统平台采购包中标方要求提供对上述支撑平台进行安装、调试、优化等服务，以软件应用系统平台采购包应用系统平台的开发和运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上述内容需逐条承诺，加★有负偏离的被定义为非实质性响应招标文件。</w:t>
      </w:r>
      <w:r/>
    </w:p>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b/>
          <w:color w:val="000000"/>
          <w:sz w:val="24"/>
        </w:rPr>
        <w:t xml:space="preserve">、文档交付要求</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中标方必须在对其所提供的硬件及系统软件进行安装、测试、验收过程中提供和准备的相关文档，主要包括：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（1）技术文档：中标方必须向用户方提供产品的安装、运行、使用、测试、诊断和维修的技术文档资料。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（2）安装指南：中标方应当提供所提供硬件及相关系统软件的安装指南。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（3）培训资料：中标方应提供本采购包涉及的所有硬件和系统软件的使用手册、管理维护培训资料及用户手册。</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b/>
          <w:color w:val="000000"/>
          <w:sz w:val="24"/>
        </w:rPr>
        <w:t xml:space="preserve">、培训要求</w:t>
      </w:r>
      <w:r/>
    </w:p>
    <w:p>
      <w:pPr>
        <w:ind w:left="624"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1、培训内容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中标供应商需要按照用户方要求适时提供本项目相关的各类培训,包括技术培训、管理培训和原厂技术培训。</w:t>
      </w:r>
      <w:r/>
    </w:p>
    <w:p>
      <w:pPr>
        <w:ind w:left="624"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2、培训要求</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技术和管理培训的对象主要是用户方技术人员（不少于10人×3次）。</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培训形式包括集中培训、现场指导培训所需的费用均由中标方承担。</w:t>
      </w:r>
      <w:r/>
    </w:p>
    <w:p>
      <w:pPr>
        <w:ind w:left="0" w:right="0" w:firstLine="62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十、人员要求</w:t>
      </w:r>
      <w:r/>
    </w:p>
    <w:p>
      <w:pPr>
        <w:ind w:left="6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1、项目经理需具有系统集成项目管理工程师证书或ITSS服务经理认证证书；</w:t>
      </w:r>
      <w:r/>
    </w:p>
    <w:p>
      <w:pPr>
        <w:ind w:left="6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2、项目组成人员项目组成员需具备以下技术能力：系统架构师资质或系统集成项目管理工程师证书或ITSS服务经理认证证书或ITSS服务工程师认证证书或国产数据库认证证书或注册信息安全专业人员（CISP）证书或</w:t>
      </w:r>
      <w:hyperlink r:id="rId11" w:tooltip="https://baike.baidu.com/item/%E4%BF%A1%E6%81%AF%E5%AE%89%E5%85%A8%E4%BF%9D%E9%9A%9C?fromModule=lemma_inlink" w:history="1">
        <w:r>
          <w:rPr>
            <w:rStyle w:val="838"/>
            <w:rFonts w:ascii="SimSun" w:hAnsi="SimSun" w:eastAsia="SimSun" w:cs="SimSun"/>
            <w:color w:val="000000"/>
            <w:sz w:val="24"/>
            <w:u w:val="single"/>
          </w:rPr>
          <w:t xml:space="preserve">信息安全保障</w:t>
        </w:r>
      </w:hyperlink>
      <w:r>
        <w:rPr>
          <w:rFonts w:ascii="SimSun" w:hAnsi="SimSun" w:eastAsia="SimSun" w:cs="SimSun"/>
          <w:color w:val="000000"/>
          <w:sz w:val="24"/>
        </w:rPr>
        <w:t xml:space="preserve">人员认证（CISAW ）或计算机技术与软件专业技术资格网络工程师（中级或以上）证书。</w:t>
      </w:r>
      <w:r/>
    </w:p>
    <w:p>
      <w:pPr>
        <w:ind w:left="624" w:righ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w:t>
      </w:r>
      <w:r>
        <w:rPr>
          <w:rFonts w:ascii="SimSun" w:hAnsi="SimSun" w:eastAsia="SimSun" w:cs="SimSun"/>
          <w:b/>
          <w:color w:val="000000"/>
          <w:sz w:val="24"/>
          <w:highlight w:val="none"/>
        </w:rPr>
        <w:t xml:space="preserve">一</w:t>
      </w:r>
      <w:r>
        <w:rPr>
          <w:rFonts w:ascii="SimSun" w:hAnsi="SimSun" w:eastAsia="SimSun" w:cs="SimSun"/>
          <w:b/>
          <w:color w:val="000000"/>
          <w:sz w:val="24"/>
          <w:highlight w:val="none"/>
        </w:rPr>
        <w:t xml:space="preserve">、</w:t>
      </w:r>
      <w:r>
        <w:rPr>
          <w:rFonts w:ascii="SimSun" w:hAnsi="SimSun" w:eastAsia="SimSun" w:cs="SimSun"/>
          <w:b/>
          <w:color w:val="000000"/>
          <w:sz w:val="24"/>
        </w:rPr>
        <w:t xml:space="preserve">其它事项</w:t>
      </w:r>
      <w:r/>
    </w:p>
    <w:p>
      <w:pPr>
        <w:ind w:left="0" w:firstLine="0"/>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w:t>
      </w:r>
      <w:r>
        <w:rPr>
          <w:rFonts w:ascii="SimSun" w:hAnsi="SimSun" w:eastAsia="SimSun" w:cs="SimSun"/>
          <w:b/>
          <w:color w:val="000000"/>
          <w:sz w:val="24"/>
        </w:rPr>
        <w:t xml:space="preserve">、</w:t>
      </w:r>
      <w:r>
        <w:rPr>
          <w:rFonts w:ascii="SimSun" w:hAnsi="SimSun" w:eastAsia="SimSun" w:cs="SimSun"/>
          <w:b/>
          <w:color w:val="000000"/>
          <w:sz w:val="24"/>
        </w:rPr>
        <w:t xml:space="preserve">项目预算</w:t>
      </w:r>
      <w:r/>
    </w:p>
    <w:p>
      <w:pPr>
        <w:ind w:left="0" w:right="0" w:firstLine="0"/>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w:t>
      </w:r>
      <w:r>
        <w:rPr>
          <w:rFonts w:ascii="SimSun" w:hAnsi="SimSun" w:eastAsia="SimSun" w:cs="SimSun"/>
          <w:color w:val="000000"/>
          <w:sz w:val="24"/>
        </w:rPr>
        <w:t xml:space="preserve">采购包</w:t>
      </w:r>
      <w:r>
        <w:rPr>
          <w:rFonts w:ascii="SimSun" w:hAnsi="SimSun" w:eastAsia="SimSun" w:cs="SimSun"/>
          <w:color w:val="000000"/>
          <w:sz w:val="24"/>
        </w:rPr>
        <w:t xml:space="preserve">预算</w:t>
      </w:r>
      <w:r>
        <w:rPr>
          <w:rFonts w:ascii="SimSun" w:hAnsi="SimSun" w:eastAsia="SimSun" w:cs="SimSun"/>
          <w:color w:val="000000"/>
          <w:sz w:val="24"/>
        </w:rPr>
        <w:t xml:space="preserve">为</w:t>
      </w:r>
      <w:r>
        <w:rPr>
          <w:rFonts w:ascii="SimSun" w:hAnsi="SimSun" w:eastAsia="SimSun" w:cs="SimSun"/>
          <w:color w:val="000000"/>
          <w:sz w:val="24"/>
        </w:rPr>
        <w:t xml:space="preserve">65万。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w:t>
      </w:r>
      <w:r>
        <w:rPr>
          <w:rFonts w:ascii="SimSun" w:hAnsi="SimSun" w:eastAsia="SimSun" w:cs="SimSun"/>
          <w:color w:val="000000"/>
          <w:sz w:val="24"/>
        </w:rPr>
        <w:t xml:space="preserve">、</w:t>
      </w:r>
      <w:r>
        <w:rPr>
          <w:rFonts w:ascii="SimSun" w:hAnsi="SimSun" w:eastAsia="SimSun" w:cs="SimSun"/>
          <w:b/>
          <w:color w:val="000000"/>
          <w:sz w:val="24"/>
        </w:rPr>
        <w:t xml:space="preserve">付款方式</w:t>
      </w:r>
      <w:r/>
    </w:p>
    <w:p>
      <w:pPr>
        <w:ind w:left="0" w:right="0" w:firstLine="480"/>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合同签订收到发票后的10个工作日内支付合同总价的60%，验收合格收到发票后支付合同总价的40%。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rPr>
        <w:t xml:space="preserve">、</w:t>
      </w:r>
      <w:r>
        <w:rPr>
          <w:rFonts w:ascii="SimSun" w:hAnsi="SimSun" w:eastAsia="SimSun" w:cs="SimSun"/>
          <w:b/>
          <w:color w:val="000000"/>
          <w:sz w:val="24"/>
        </w:rPr>
        <w:t xml:space="preserve">硬件包装要求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包装需满足《商品包装政府采购需求标准（试行）》要求。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第五部分   评标办法和标准</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2.评标委员会职责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rPr>
          <w:rFonts w:ascii="SimSun" w:hAnsi="SimSun" w:eastAsia="SimSun" w:cs="SimSun"/>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4.1评标开始后，至向中标的投标人授予合同时止，与审查、澄清、评价和比较投标的有关资料以及授标建议等，均不得向投标人以及与评标无关的其他人员透露。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3621"/>
        <w:gridCol w:w="49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提供2023年度财务报告，成立不满一年的提供至少一个月财务报告，或银行出具的资信证明，或财政部门认可的政府采购专业担保机构出具的投标担保函等；或提供资格承诺函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提供投标人相关信息一览表；或提供资格承诺函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提供参加本次政府采购活动前半年内（至少1个月）依法缴纳税收和社会保险资金的相关材料；或提供资格承诺函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（1）投标函或资格承诺函。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采购包1：本项目专门面向中小微企业，须出具《中小企业声明函》；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44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7.投标人符合性审查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6"/>
        <w:gridCol w:w="3117"/>
        <w:gridCol w:w="53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投标文件的有效电子签章。</w:t>
            </w:r>
            <w:r/>
          </w:p>
        </w:tc>
      </w:tr>
      <w:tr>
        <w:trPr>
          <w:trHeight w:val="56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60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未发现属无效投标的情形。</w:t>
            </w:r>
            <w:r/>
          </w:p>
        </w:tc>
      </w:tr>
      <w:tr>
        <w:trPr>
          <w:trHeight w:val="1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审查投标文件，以确定其是否满足招标文件的实质性要求。不满足招标文件的实质性要求的，投标无效。</w:t>
            </w:r>
            <w:r/>
          </w:p>
        </w:tc>
      </w:tr>
    </w:tbl>
    <w:p>
      <w:pPr>
        <w:ind w:left="0" w:right="0" w:firstLine="44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MS Mincho" w:hAnsi="MS Mincho" w:eastAsia="MS Mincho" w:cs="MS Mincho"/>
          <w:color w:val="000000"/>
          <w:sz w:val="24"/>
        </w:rPr>
        <w:t xml:space="preserve">☑</w:t>
      </w:r>
      <w:r>
        <w:rPr>
          <w:rFonts w:ascii="SimSun" w:hAnsi="SimSun" w:eastAsia="SimSun" w:cs="SimSun"/>
          <w:color w:val="000000"/>
          <w:sz w:val="24"/>
        </w:rPr>
        <w:t xml:space="preserve">8.1 </w:t>
      </w:r>
      <w:r>
        <w:rPr>
          <w:rFonts w:ascii="SimSun" w:hAnsi="SimSun" w:eastAsia="SimSun" w:cs="SimSun"/>
          <w:b/>
          <w:color w:val="000000"/>
          <w:sz w:val="24"/>
        </w:rPr>
        <w:t xml:space="preserve">本项目采用综合评分法。</w:t>
      </w:r>
      <w:r/>
    </w:p>
    <w:p>
      <w:pPr>
        <w:ind w:left="0" w:right="0" w:firstLine="444"/>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采购包1评分标准</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0"/>
        <w:gridCol w:w="2017"/>
        <w:gridCol w:w="1299"/>
        <w:gridCol w:w="34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4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价格评估</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4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（一）技术评估</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1522"/>
        <w:gridCol w:w="6385"/>
        <w:gridCol w:w="736"/>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3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9"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技术评估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66分</w:t>
            </w:r>
            <w:r/>
          </w:p>
        </w:tc>
      </w:tr>
      <w:tr>
        <w:trPr>
          <w:trHeight w:val="2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项目总体理解方案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根据投标人提供的项目总体理解方案：方案内容应包括但不限于：系统架构、业务流程设计、授权流程设计、系统拓扑和安全设计、与用户原有系统关联方面。完全包含上述要点的得 6 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left"/>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系统功能实现方案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系统功能实现方案：方案内容应包括但不限于：业务管理系统、集成授权公证机构提供的公证能力服务平台、集成授权公证机构提供的移动端（小程序）业务系统、与人社系统对接方案、与银行业务系统对接方案、私钥安全管理实现方案（实现方式和流程架构图）。完全包含上述要点的得 6 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1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公证服务方案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42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公证服务方案，方案内容应包括但不限于：对本项目提供全流程公证服务的方案，方案须全面、可行及详细程度高，提供公证身份认证凭证、公证签署凭证的模版、公证区块链平台数据验真界面截图及接入能力证明。完全包含上述要点的得 6 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项目组织实施及后期运维实施方案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考察投标人提供的项目组织实施及后期运维实施方案。方案内容应包括但不限于：对本项目服务需求的理解，团队配置及人员安排，实施计划、与采购包2项目的统筹协调方案：完全包含上述要点的得 6 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风控服务方案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42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风控服务方案，方案内容应包括但不限于：系统中涉及个人隐私与企业商业秘密数据开放的合规风控具体实现方案，方案须全面、可行及详细程度高，包含合规需求分析（含数据授权、撤销授权、数据删除、数据更正、数据提供一致性等内容）、合规需求所对应的系统功能合规设计说明、授权书模版及设计依据。完全包含上述要点的得 4分，有缺项或未提供方案的不得分。方案贴合采购人实际的加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rPr>
                <w:rFonts w:ascii="宋体" w:hAnsi="宋体" w:cs="宋体"/>
                <w:sz w:val="24"/>
                <w:szCs w:val="24"/>
              </w:rPr>
            </w:pPr>
            <w:r>
              <w:rPr>
                <w:rFonts w:ascii="宋体" w:hAnsi="宋体" w:eastAsia="宋体" w:cs="宋体"/>
                <w:sz w:val="24"/>
                <w:szCs w:val="24"/>
              </w:rPr>
              <w:t xml:space="preserve">本项演示须提供真实系统或系统原型设计演示，需按照下述评分点进行完整演示，有负偏离或无演示不得分。使用图片和 PPT 等形式演示的不得分。本项目演示使用录播上传形式，各投标人自行将录播内容上传至镇江市公共资源交易服务平台的演示视频上传模块，视频时长不超过15分钟。</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1）人社端演示：人社管理员在人社端业务系统中开通金融系统用户，并可实现对用户权限的授权、冻结等管理。完整演示此项评分点的得1分，有负偏离或无演示不得分。</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2）银行端演示：银行通过银行PC端系统发起数据申请任务。完整演示此项评分点的得1分，有负偏离或无演示不得分。</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3）移动端公证服务小程序系统演示：数据权利人通过点击手机短信中链接，打开移动端微信小程序，实现个人用户身份核验（企业用户身份核验）、授权内容展示、手绘签名、用户输入 PIN 码或公证短信签署码完成签署后提示“签署完成”。数据权利人可对已授权文件进行管理，包括“撤回授权”、“获取副本”、“要求删除”、“提请更正”等功能点。完整演示此项评分点的得 6 分，未能完整演示的得2分，有负偏离或无演示不得分。</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4）银行端演示：银行通过银行PC端系统获取该数据申请任务下的人社返回的数据文件。完整演示此项评分点的得 1分，有负偏离或无演示不得分。</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5）人社端演示：人社管理员在人社端业务系统中可查看所有的授权记录及该授权任务下的数据信息，也可根据银行名称、数据权利人、时间段进行数据查询，系统提供数据大屏展示。完整演示此项评分点的得 1分，有负偏离或无演示不得分。</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根据供应商提供的服务方案，方案内容应包括但不限于：响应时间、服务方式、服务内容、应急措施和预案，完全包含上述要点的得 4 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网络安全保障方案评价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根据供应商提供的网络安全保障方案，方案内容应包括但不限于：按需求第五条网络安全设计逐项响应给出方案，完全包含上述要点的得4分，有缺项或未提供方案的不得分。方案贴合采购人实际的加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5" w:type="dxa"/>
            <w:vAlign w:val="center"/>
            <w:textDirection w:val="lrTb"/>
            <w:noWrap w:val="false"/>
          </w:tcPr>
          <w:p>
            <w:pPr>
              <w:ind w:left="0" w:right="0" w:firstLine="42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根据投标人提供的培训方案，方案包括但不限于：培训计划、培训内容。完全包含上述要点的得 4 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top"/>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（二）商务评估</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468"/>
        <w:gridCol w:w="6629"/>
        <w:gridCol w:w="721"/>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24分</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供应商资质评价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供应商具有ISO9001质量管理体系认证证书、ISO20000信息技术服务管理体系认证证书、ISO27001信息安全管理体系认证证书、ITSS信息技术服务认证证书, 每有一项得1.5分，满分得6分。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注：需提供有效的相关证书扫描件（能够官网查询的，可提供官网链接及官网截图）。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供应商近2021年1月1日以来签订的具有类似的电子公证相关信息化项目案例的，每提供一个得2分，至多得4分。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提供2021年1月1日以来签订的政府部门与金融机构数据共享交互利用项目的应用案例，每提供一个得2分，至多得4分。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本项合计至多得8分。注：需提供须提供合同及验收报告扫描件（或用户出具的服务良好的证明），否则不得分。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项目经理能力评价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项目经理具备以下技术能力的，每项给予1分加分，至多加2分：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（1）信息系统项目管理师证书或PMP项目管理证书的；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（2）注册信息安全专业人员（CISP）证书或信息安全保障人员认证（CISAW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（3）系统集成项目管理工程师证书。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注：需提供供应商近半年内（至少一个月）为其缴纳社会保险的证明材料，并提供有效证书扫描件，否则不得分。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r>
      <w:tr>
        <w:trPr>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项目团队其他人员评价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项目组成员具备以下技术能力的，一人多证和一证多人均最多算2次计分，每次计1分，本项合计至多得8分。得分项包括：</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rPr>
              <w:t xml:space="preserve">具有软件设计师证书；</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w:t>
            </w:r>
            <w:r>
              <w:rPr>
                <w:rFonts w:ascii="SimSun" w:hAnsi="SimSun" w:eastAsia="SimSun" w:cs="SimSun"/>
                <w:color w:val="000000"/>
                <w:sz w:val="24"/>
              </w:rPr>
              <w:t xml:space="preserve">具有计算机程序设计员职业资格证书；</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rPr>
              <w:t xml:space="preserve">具有国产数据库认证证书；</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rPr>
              <w:t xml:space="preserve">具有系统集成项目管理工程师证书；</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rPr>
              <w:t xml:space="preserve">具有注册信息安全专业人员（CISP）证书或信息安全保障人员认证（CISAW ）；</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rPr>
              <w:t xml:space="preserve">、</w:t>
            </w:r>
            <w:r>
              <w:rPr>
                <w:rFonts w:ascii="SimSun" w:hAnsi="SimSun" w:eastAsia="SimSun" w:cs="SimSun"/>
                <w:color w:val="000000"/>
                <w:sz w:val="24"/>
              </w:rPr>
              <w:t xml:space="preserve">具有系统架构师资质；</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rPr>
              <w:t xml:space="preserve">、</w:t>
            </w:r>
            <w:r>
              <w:rPr>
                <w:rFonts w:ascii="SimSun" w:hAnsi="SimSun" w:eastAsia="SimSun" w:cs="SimSun"/>
                <w:color w:val="000000"/>
                <w:sz w:val="24"/>
              </w:rPr>
              <w:t xml:space="preserve">法律职业资格认证证书。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注：1.项目组成员与项目经理不得兼任；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2.需提供供应商近半年内（至少一个月）为其缴纳社会保险的证明材料，并提供有效证书扫描件，否则不得分。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（三）价格评估</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
        <w:gridCol w:w="1427"/>
        <w:gridCol w:w="6344"/>
        <w:gridCol w:w="751"/>
      </w:tblGrid>
      <w:tr>
        <w:trPr>
          <w:trHeight w:val="1060"/>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4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4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3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综合评分法中的价格分采用低价优先法计算，即满足招标文件要求且投标价格最低的投标报价为评标基准价，其价格分为满分10分。其他投标人的价格分统一按照下列公式计算：投标报价得分= (评标基准价／投标报价)×10。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bl>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 评分标准</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0"/>
        <w:gridCol w:w="2017"/>
        <w:gridCol w:w="1299"/>
        <w:gridCol w:w="34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4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价格评估</w:t>
            </w:r>
            <w:r/>
          </w:p>
        </w:tc>
      </w:tr>
      <w:tr>
        <w:trPr>
          <w:trHeight w:val="29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4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（一）技术评估</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4"/>
        <w:gridCol w:w="985"/>
        <w:gridCol w:w="7121"/>
        <w:gridCol w:w="695"/>
      </w:tblGrid>
      <w:tr>
        <w:trPr>
          <w:trHeight w:val="2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8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项目建设方案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的总体建设方案，方案包括但不限于响应采购人需求中“建设内容”要求，硬件平台的搭建、系统软件整合、与金保内网的网络和安全整合。完全包含上述要点的得4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项目实施方案，项目实施方案应在响应采购人工期要求前提下，包括但不限于项目供货和实施进度安排、进度和质量保障措施、风险管控措施、联调测试和验收方案、应急保障预案、与采购包1中标方协调对接方案。完全包含上述要点的得4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安全整合方案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建设拟部署在镇江市“金保工程”内外网中，投标方应充分了解“金保工程”的等保安全级别（三级）和各项安全管理规定，提出本项目与现有“金保工程”安全整合和边界防范的方案。完全包含上述要点的得4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节能与环境标志产品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投标人所提供产品属于节能产品政府采购品目清单范围中优先采购的，且提供依据国家确定的认证机构出具的、处于有效期之内的节能产品认证证书的，每有一个得1分。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投标人所提供产品属于环境标志产品政府采购品目清单范围中优先采购的，且提供依据国家确定的认证机构出具的、处于有效期之内的环境标志产品认证证书的，每有一个得1分。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注：如所投产品名称与认证证书名称不完全一致的，经评标委员会认定为同一产品的予以得分。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重要要求及参数评价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技术要求响应及偏离表》，结合投标人提供的相关厂商图册或检测检验报告及响应承诺函等，就其对各设备的理解是否响应招标文件要求，功能是否合理、参数是否响应、设备性能是否满足进行详细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标注★项必须完全响应，如有负偏离，其投标响应无效</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标注“</w:t>
            </w:r>
            <w:r>
              <w:rPr>
                <w:rFonts w:ascii="SimSun" w:hAnsi="SimSun" w:eastAsia="SimSun" w:cs="SimSun"/>
                <w:b/>
                <w:color w:val="000000"/>
                <w:sz w:val="24"/>
              </w:rPr>
              <w:t xml:space="preserve">#</w:t>
            </w:r>
            <w:r>
              <w:rPr>
                <w:rFonts w:ascii="SimSun" w:hAnsi="SimSun" w:eastAsia="SimSun" w:cs="SimSun"/>
                <w:color w:val="000000"/>
                <w:sz w:val="24"/>
              </w:rPr>
              <w:t xml:space="preserve">”项参数为重要要求及参数，完全响应的得10分。负偏离每项扣0.5分，扣完为止。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号要求及参数已响应，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一般要求及参数评价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技术要求响应及偏离表》等，结合投标人提供的相关厂商图册或检测检验报告（如有）等，就其对各设备的理解是否响应招标文件要求，功能是否合理、参数是否响应、设备性能是否满足进行详细评审。</w:t>
            </w:r>
            <w:r/>
          </w:p>
          <w:p>
            <w:pPr>
              <w:ind w:left="22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未标注★或</w:t>
            </w:r>
            <w:r>
              <w:rPr>
                <w:rFonts w:ascii="SimSun" w:hAnsi="SimSun" w:eastAsia="SimSun" w:cs="SimSun"/>
                <w:b/>
                <w:color w:val="000000"/>
                <w:sz w:val="24"/>
              </w:rPr>
              <w:t xml:space="preserve">#</w:t>
            </w:r>
            <w:r>
              <w:rPr>
                <w:rFonts w:ascii="SimSun" w:hAnsi="SimSun" w:eastAsia="SimSun" w:cs="SimSun"/>
                <w:color w:val="000000"/>
                <w:sz w:val="24"/>
              </w:rPr>
              <w:t xml:space="preserve">项的为一般要求及参数，完全响应的得5分。负偏离总数≤10条的，得分=5-（0.25×负偏离总数）注：5为本项总分值，0.25为每条负偏离分值；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负偏离总数≥10条的，得分=2.5×未标注★或</w:t>
            </w:r>
            <w:r>
              <w:rPr>
                <w:rFonts w:ascii="SimSun" w:hAnsi="SimSun" w:eastAsia="SimSun" w:cs="SimSun"/>
                <w:b/>
                <w:color w:val="000000"/>
                <w:sz w:val="24"/>
              </w:rPr>
              <w:t xml:space="preserve">#</w:t>
            </w:r>
            <w:r>
              <w:rPr>
                <w:rFonts w:ascii="SimSun" w:hAnsi="SimSun" w:eastAsia="SimSun" w:cs="SimSun"/>
                <w:color w:val="000000"/>
                <w:sz w:val="24"/>
              </w:rPr>
              <w:t xml:space="preserve">项响应条数/（未标注★或</w:t>
            </w:r>
            <w:r>
              <w:rPr>
                <w:rFonts w:ascii="SimSun" w:hAnsi="SimSun" w:eastAsia="SimSun" w:cs="SimSun"/>
                <w:b/>
                <w:color w:val="000000"/>
                <w:sz w:val="24"/>
              </w:rPr>
              <w:t xml:space="preserve">#</w:t>
            </w:r>
            <w:r>
              <w:rPr>
                <w:rFonts w:ascii="SimSun" w:hAnsi="SimSun" w:eastAsia="SimSun" w:cs="SimSun"/>
                <w:color w:val="000000"/>
                <w:sz w:val="24"/>
              </w:rPr>
              <w:t xml:space="preserve">项要求及参数总数-10）注：2.5为负偏离总数为10条时的临界分值。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结果四舍五入保留两位小数。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注：1.未按要求响应或要求提供但未提供相关证明材料的视为负偏离。2.证明材料内容与原文相同或经评委认定功能或指标不低于招标文件要求的视为符合，否则为负偏离。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2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考察供应商提供的服务方案，包括但不限于：响应时间、服务方式、服务内容、应急措施和预案、备品备件准备情况，完全包含上述要点的得3分，有缺项或未提供方案的不得分。</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网络安全保障方案评价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根据供应商提供的网络安全保障方案，包括但不限于按需求第三条网络安全设计逐项响应给出方案，完全包含上述要点的得3分，有缺项或未提供方案的不得分。</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根据投标人提供的培训方案，包括但不限于：培训计划、培训内容等。完全包含上述要点的得3分，有缺项或未提供方案的不得分。方案贴合采购人实际的加 1 分；方案切实可行的加 1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（二）商务评估</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3"/>
        <w:gridCol w:w="1201"/>
        <w:gridCol w:w="6919"/>
        <w:gridCol w:w="77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供应商资质评价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9" w:type="dxa"/>
            <w:vAlign w:val="center"/>
            <w:textDirection w:val="lrTb"/>
            <w:noWrap w:val="false"/>
          </w:tcPr>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供应商具有ISO9001质量管理体系认证证书、ISO20000信息技术服务管理体系认证证书、ISO27001信息安全管理体系认证证书、ITSS信息技术服务认证证书, 每有一项得1.5分，满分得6分。注：需提供有效的相关证书扫描件（能够官网查询的，可提供官网链接及官网截图）。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成功案例评价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9" w:type="dxa"/>
            <w:vAlign w:val="center"/>
            <w:textDirection w:val="lrTb"/>
            <w:noWrap w:val="false"/>
          </w:tcPr>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年1月1日以来签订的类似成功案例（必须提供合同、验收材料或法人用户使用良好的证明，缺一不可），根据投标文件中提供的成功案例，考察成功案例的项目建设内容，涵盖或与本项目要求基本一致的（基本一致须包括服务器、网络安全设备），每有一个得2分，最高得6分；如建设内容、项目规模与本项目要求不完全一致的，每有1个得1分，最高得3分。</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注：需提供须提供合同及验收报告复印件（或用户出具的服务良好的证明）并加盖公章，否则不得分。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项目经理能力评价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9" w:type="dxa"/>
            <w:vAlign w:val="top"/>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（1）具有系统集成项目管理工程师证书，得1分；</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（2）具有ITSS服务经理认证证书，得1分。</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注：需提供供应商近半年内（至少一个月）为其缴纳社会保险的证明材料，并提供有效证书扫描件，否则不得分。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项目团队其他人员评价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9" w:type="dxa"/>
            <w:vAlign w:val="top"/>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项目组成员具备以下技术能力的，一人多证和一证多人均最多算2次计分，每次计1分，本项合计至多得6分。得分项包括：</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（1）具有系统架构师资质；</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（2）具有系统集成项目管理工程师证书；</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（3）具有ITSS服务经理认证证书或ITSS服务工程师认证证书；</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（4）具有国产数据库认证证书；</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（5）具有注册信息安全专业人员（CISP）证书或信息安全保障人员认证（CISAW ）；</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（6）具有计算机技术与软件专业技术资格网络工程师（中级或以上）证书。</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注：1.项目组成员与项目经理不得兼任；</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2.需提供供应商近半年内（至少一个月）为其缴纳社会保险的证明材料，并提供有效证书扫描件，否则不得分。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（三）价格评估</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
        <w:gridCol w:w="1429"/>
        <w:gridCol w:w="6365"/>
        <w:gridCol w:w="748"/>
      </w:tblGrid>
      <w:tr>
        <w:trPr>
          <w:trHeight w:val="166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4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1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4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3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注：根据财政部、工信部《政府采购促进中小企业发展管理办法》的相关要求，对小型和微型企业提供服务的，对其价格给予 10%的调减，以调减后的价格计算价格分。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中小企业声明函》填写格式见第六部分投标文件格式。</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bl>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9.相同品牌产品的处理原则</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11.推荐中标候选人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2"/>
        </w:rPr>
        <w:t xml:space="preserve">第六部分    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72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72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项目编号：JSZC-321100-JZCG-G2024-0048</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项目名称：镇江市社银数据共享应用法律风控平台项目</w:t>
      </w:r>
      <w:r/>
    </w:p>
    <w:p>
      <w:pPr>
        <w:ind w:left="0" w:right="0" w:firstLine="96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（采购包1/2）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1"/>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 标 人（公章）：</w:t>
      </w:r>
      <w:r>
        <w:rPr>
          <w:rFonts w:ascii="SimSun" w:hAnsi="SimSun" w:eastAsia="SimSun" w:cs="SimSun"/>
          <w:b/>
          <w:color w:val="000000"/>
          <w:sz w:val="28"/>
          <w:u w:val="single"/>
        </w:rPr>
        <w:t xml:space="preserve">××××</w:t>
      </w:r>
      <w:r/>
    </w:p>
    <w:p>
      <w:pPr>
        <w:ind w:left="0" w:right="0" w:firstLine="72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2024</w:t>
      </w:r>
      <w:r>
        <w:rPr>
          <w:rFonts w:ascii="SimSun" w:hAnsi="SimSun" w:eastAsia="SimSun" w:cs="SimSun"/>
          <w:b/>
          <w:color w:val="000000"/>
          <w:sz w:val="28"/>
        </w:rPr>
        <w:t xml:space="preserve">年8月</w:t>
      </w:r>
      <w:r>
        <w:rPr>
          <w:rFonts w:ascii="SimSun" w:hAnsi="SimSun" w:eastAsia="SimSun" w:cs="SimSun"/>
          <w:b/>
          <w:color w:val="000000"/>
          <w:sz w:val="28"/>
          <w:u w:val="single"/>
        </w:rPr>
        <w:t xml:space="preserve">××</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一、资格部分</w:t>
      </w:r>
      <w:r/>
    </w:p>
    <w:p>
      <w:pPr>
        <w:ind w:left="0" w:right="0" w:firstLine="64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致镇江市公共资源交易中心</w:t>
      </w:r>
      <w:r>
        <w:rPr>
          <w:rFonts w:ascii="SimSun" w:hAnsi="SimSun" w:eastAsia="SimSun" w:cs="SimSun"/>
          <w:b/>
          <w:color w:val="000000"/>
          <w:sz w:val="24"/>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根据贵方关于镇江市社银数据共享应用法律风控平台项目</w:t>
      </w:r>
      <w:r>
        <w:rPr>
          <w:rFonts w:ascii="SimSun" w:hAnsi="SimSun" w:eastAsia="SimSun" w:cs="SimSun"/>
          <w:b/>
          <w:color w:val="000000"/>
          <w:sz w:val="24"/>
          <w:u w:val="single"/>
        </w:rPr>
        <w:t xml:space="preserve">（JSZC-321100-JZCG-G2024-0048）</w:t>
      </w:r>
      <w:r>
        <w:rPr>
          <w:rFonts w:ascii="SimSun" w:hAnsi="SimSun" w:eastAsia="SimSun" w:cs="SimSun"/>
          <w:color w:val="000000"/>
          <w:sz w:val="24"/>
        </w:rPr>
        <w:t xml:space="preserve">的投标邀请，我方已完全理解招标文件的所有内容。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1．按招标文件规定提供货物（服务）的唯一投标报价见开标一览表。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b/>
          <w:color w:val="000000"/>
          <w:sz w:val="24"/>
          <w:u w:val="single"/>
        </w:rPr>
        <w:t xml:space="preserve">××</w:t>
      </w:r>
      <w:r>
        <w:rPr>
          <w:rFonts w:ascii="SimSun" w:hAnsi="SimSun" w:eastAsia="SimSun" w:cs="SimSun"/>
          <w:color w:val="000000"/>
          <w:sz w:val="24"/>
        </w:rPr>
        <w:t xml:space="preserve">                  电话： </w:t>
      </w:r>
      <w:r>
        <w:rPr>
          <w:rFonts w:ascii="SimSun" w:hAnsi="SimSun" w:eastAsia="SimSun" w:cs="SimSun"/>
          <w:b/>
          <w:color w:val="000000"/>
          <w:sz w:val="24"/>
          <w:u w:val="single"/>
        </w:rPr>
        <w:t xml:space="preserve">××</w:t>
      </w: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b/>
          <w:color w:val="000000"/>
          <w:sz w:val="24"/>
          <w:u w:val="single"/>
        </w:rPr>
        <w:t xml:space="preserve">××</w:t>
      </w:r>
      <w:r>
        <w:rPr>
          <w:rFonts w:ascii="SimSun" w:hAnsi="SimSun" w:eastAsia="SimSun" w:cs="SimSun"/>
          <w:color w:val="000000"/>
          <w:sz w:val="24"/>
        </w:rPr>
        <w:t xml:space="preserve">                  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rPr>
          <w:rFonts w:ascii="SimSun" w:hAnsi="SimSun" w:eastAsia="SimSun" w:cs="SimSun"/>
          <w:b/>
          <w:color w:val="000000"/>
          <w:sz w:val="24"/>
          <w:u w:val="single"/>
        </w:rPr>
        <w:t xml:space="preserve">××  </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b/>
          <w:color w:val="000000"/>
          <w:sz w:val="24"/>
          <w:u w:val="single"/>
        </w:rPr>
        <w:t xml:space="preserve">××××</w:t>
      </w:r>
      <w:r>
        <w:rPr>
          <w:rFonts w:ascii="SimSun" w:hAnsi="SimSun" w:eastAsia="SimSun" w:cs="SimSun"/>
          <w:color w:val="000000"/>
          <w:sz w:val="24"/>
        </w:rPr>
        <w:t xml:space="preserve">年</w:t>
      </w:r>
      <w:r>
        <w:rPr>
          <w:rFonts w:ascii="SimSun" w:hAnsi="SimSun" w:eastAsia="SimSun" w:cs="SimSun"/>
          <w:b/>
          <w:color w:val="000000"/>
          <w:sz w:val="24"/>
          <w:u w:val="single"/>
        </w:rPr>
        <w:t xml:space="preserve">××</w:t>
      </w:r>
      <w:r>
        <w:rPr>
          <w:rFonts w:ascii="SimSun" w:hAnsi="SimSun" w:eastAsia="SimSun" w:cs="SimSun"/>
          <w:color w:val="000000"/>
          <w:sz w:val="24"/>
        </w:rPr>
        <w:t xml:space="preserve">月</w:t>
      </w:r>
      <w:r>
        <w:rPr>
          <w:rFonts w:ascii="SimSun" w:hAnsi="SimSun" w:eastAsia="SimSun" w:cs="SimSun"/>
          <w:b/>
          <w:color w:val="000000"/>
          <w:sz w:val="24"/>
          <w:u w:val="single"/>
        </w:rPr>
        <w:t xml:space="preserve">××</w:t>
      </w:r>
      <w:r>
        <w:rPr>
          <w:rFonts w:ascii="SimSun" w:hAnsi="SimSun" w:eastAsia="SimSun" w:cs="SimSun"/>
          <w:color w:val="000000"/>
          <w:sz w:val="24"/>
        </w:rPr>
        <w:t xml:space="preserve">日</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br w:type="page" w:clear="all"/>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（二）独立承担民事责任的能力</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提供法人或者其他组织的营业执照等证明文件复印件；投标人为自然人的，提供其身份证扫描件。</w:t>
        <w:br w:type="page" w:clear="all"/>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提供2023年度财务报告、成立不满一年的提供至少一个月财务报告，或银行出具的资信证明，或财政部门认可的政府采购专业担保机构出具的投标担保函等，或提供资格承诺函（见本部分（六）资格承诺函）。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填写下述表格或提供资格承诺函（见本部分（六）资格承诺函）</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4"/>
        <w:gridCol w:w="277"/>
        <w:gridCol w:w="1153"/>
        <w:gridCol w:w="1283"/>
        <w:gridCol w:w="653"/>
        <w:gridCol w:w="40"/>
        <w:gridCol w:w="1095"/>
        <w:gridCol w:w="756"/>
        <w:gridCol w:w="81"/>
        <w:gridCol w:w="950"/>
        <w:gridCol w:w="1992"/>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spacing w:before="0" w:after="0" w:line="57" w:lineRule="atLeast"/>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2023</w:t>
            </w:r>
            <w:r>
              <w:rPr>
                <w:rFonts w:ascii="SimSun" w:hAnsi="SimSun" w:eastAsia="SimSun" w:cs="SimSun"/>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SimSun" w:hAnsi="SimSun" w:eastAsia="SimSun" w:cs="SimSun"/>
                <w:b/>
                <w:color w:val="000000"/>
                <w:sz w:val="24"/>
                <w:u w:val="single"/>
              </w:rPr>
              <w:t xml:space="preserve">2020</w:t>
            </w:r>
            <w:r>
              <w:rPr>
                <w:rFonts w:ascii="SimSun" w:hAnsi="SimSun" w:eastAsia="SimSun" w:cs="SimSun"/>
                <w:color w:val="000000"/>
                <w:sz w:val="24"/>
              </w:rPr>
              <w:t xml:space="preserve">年度后获得的荣誉及表彰情况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5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5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（五）依法缴纳税收和社会保障资金的良好记录</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提供参加本次政府采购活动前半年内至少一个月依法缴纳税收和社会保险的凭据，或提供资格承诺函</w:t>
      </w:r>
      <w:r>
        <w:rPr>
          <w:rFonts w:ascii="SimSun" w:hAnsi="SimSun" w:eastAsia="SimSun" w:cs="SimSun"/>
          <w:b/>
          <w:color w:val="000000"/>
          <w:sz w:val="24"/>
        </w:rPr>
        <w:t xml:space="preserve">（见本部分（六）资格承诺函）</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（六）资格承诺函（采购包1\2）</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（采购人、采购代理机构）  </w:t>
      </w:r>
      <w:r>
        <w:rPr>
          <w:rFonts w:ascii="SimSun" w:hAnsi="SimSun" w:eastAsia="SimSun" w:cs="SimSun"/>
          <w:color w:val="000000"/>
          <w:sz w:val="24"/>
        </w:rPr>
        <w:t xml:space="preserve"> </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  （项目名称）  （项目编号：    ）</w:t>
      </w:r>
      <w:r>
        <w:rPr>
          <w:rFonts w:ascii="SimSun" w:hAnsi="SimSun" w:eastAsia="SimSun" w:cs="SimSun"/>
          <w:color w:val="000000"/>
          <w:sz w:val="24"/>
        </w:rPr>
        <w:t xml:space="preserve">项目的政府采购活动，现承诺如下：</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         </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    </w:t>
      </w:r>
      <w:r/>
    </w:p>
    <w:p>
      <w:pPr>
        <w:ind w:left="0" w:right="0" w:firstLine="56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（八）落实政府采购政策需满足的资格要求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4"/>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4"/>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4"/>
        </w:rPr>
        <w:t xml:space="preserve">，在我单位任</w:t>
      </w:r>
      <w:r>
        <w:rPr>
          <w:rFonts w:ascii="SimSun" w:hAnsi="SimSun" w:eastAsia="SimSun" w:cs="SimSun"/>
          <w:color w:val="000000"/>
          <w:sz w:val="24"/>
          <w:u w:val="single"/>
        </w:rPr>
        <w:t xml:space="preserve">              </w:t>
      </w:r>
      <w:r>
        <w:rPr>
          <w:rFonts w:ascii="SimSun" w:hAnsi="SimSun" w:eastAsia="SimSun" w:cs="SimSun"/>
          <w:color w:val="000000"/>
          <w:sz w:val="24"/>
        </w:rPr>
        <w:t xml:space="preserve">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    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6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注：1.“法定代表人”直接参加投标响应活动的仅需填写本身份证明</w:t>
      </w:r>
      <w:r>
        <w:rPr>
          <w:rFonts w:ascii="SimSun" w:hAnsi="SimSun" w:eastAsia="SimSun" w:cs="SimSun"/>
          <w:color w:val="000000"/>
          <w:sz w:val="24"/>
        </w:rPr>
        <w:t xml:space="preserve">。</w:t>
      </w:r>
      <w:r/>
    </w:p>
    <w:p>
      <w:pPr>
        <w:ind w:left="0" w:right="0" w:firstLine="561"/>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2.投标人属于非法人组织的，按照法律、行政法规规定能够对外代表其从事民事活动的主要负责人，视同法定代表人。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三、法定代表人授权委托书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b/>
          <w:color w:val="000000"/>
          <w:sz w:val="24"/>
          <w:u w:val="single"/>
        </w:rPr>
        <w:t xml:space="preserve">×××（投标人名称）</w:t>
      </w:r>
      <w:r>
        <w:rPr>
          <w:rFonts w:ascii="SimSun" w:hAnsi="SimSun" w:eastAsia="SimSun" w:cs="SimSun"/>
          <w:color w:val="000000"/>
          <w:sz w:val="24"/>
        </w:rPr>
        <w:t xml:space="preserve">法定代表人</w:t>
      </w:r>
      <w:r>
        <w:rPr>
          <w:rFonts w:ascii="SimSun" w:hAnsi="SimSun" w:eastAsia="SimSun" w:cs="SimSun"/>
          <w:b/>
          <w:color w:val="000000"/>
          <w:sz w:val="24"/>
          <w:u w:val="single"/>
        </w:rPr>
        <w:t xml:space="preserve">×××（姓名）</w:t>
      </w:r>
      <w:r>
        <w:rPr>
          <w:rFonts w:ascii="SimSun" w:hAnsi="SimSun" w:eastAsia="SimSun" w:cs="SimSun"/>
          <w:color w:val="000000"/>
          <w:sz w:val="24"/>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4"/>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4"/>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委托代理人身份证号码：</w:t>
      </w:r>
      <w:r>
        <w:rPr>
          <w:rFonts w:ascii="SimSun" w:hAnsi="SimSun" w:eastAsia="SimSun" w:cs="SimSun"/>
          <w:color w:val="000000"/>
          <w:sz w:val="24"/>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委托代理人联系电话：（手机）</w:t>
      </w:r>
      <w:r>
        <w:rPr>
          <w:rFonts w:ascii="SimSun" w:hAnsi="SimSun" w:eastAsia="SimSun" w:cs="SimSun"/>
          <w:color w:val="000000"/>
          <w:sz w:val="24"/>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附：委托代理人居民身份证扫描件</w:t>
      </w:r>
      <w:r/>
    </w:p>
    <w:p>
      <w:pPr>
        <w:ind w:left="0" w:right="0" w:firstLine="561"/>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注：“法定代表人”授权其他人（必须为投标人正式员工，证明材料：近半年内至少一个月社会保险缴纳材料附后）投标的，须填写法定代表人身份证明书和本委托书</w:t>
      </w:r>
      <w:r>
        <w:rPr>
          <w:rFonts w:ascii="SimSun" w:hAnsi="SimSun" w:eastAsia="SimSun" w:cs="SimSun"/>
          <w:b/>
          <w:color w:val="000000"/>
          <w:sz w:val="24"/>
        </w:rPr>
        <w:t xml:space="preserve">。</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7"/>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四、价格部分</w:t>
      </w:r>
      <w:r/>
    </w:p>
    <w:p>
      <w:pPr>
        <w:ind w:left="0" w:right="0" w:firstLine="881"/>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开标一览表（采购包1/2）</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47"/>
        <w:gridCol w:w="7007"/>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w:t>
            </w:r>
            <w:r>
              <w:rPr>
                <w:rFonts w:ascii="SimSun" w:hAnsi="SimSun" w:eastAsia="SimSun" w:cs="SimSun"/>
                <w:b/>
                <w:color w:val="000000"/>
                <w:sz w:val="24"/>
                <w:u w:val="single"/>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SimSun" w:hAnsi="SimSun" w:eastAsia="SimSun" w:cs="SimSun"/>
                <w:b/>
                <w:color w:val="000000"/>
                <w:sz w:val="24"/>
                <w:u w:val="single"/>
              </w:rPr>
              <w:t xml:space="preserve">××××</w:t>
            </w:r>
            <w:r>
              <w:rPr>
                <w:rFonts w:ascii="SimSun" w:hAnsi="SimSun" w:eastAsia="SimSun" w:cs="SimSun"/>
                <w:color w:val="000000"/>
                <w:sz w:val="24"/>
              </w:rPr>
              <w:t xml:space="preserve">元人民币                </w:t>
            </w:r>
            <w:r/>
          </w:p>
          <w:p>
            <w:pPr>
              <w:ind w:left="0" w:right="0" w:firstLine="0"/>
              <w:jc w:val="both"/>
              <w:spacing w:before="0" w:after="0" w:line="85" w:lineRule="atLeast"/>
              <w:tabs>
                <w:tab w:val="left" w:pos="21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u w:val="single"/>
              </w:rPr>
              <w:t xml:space="preserve">××××××元</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采购包1项目周期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7" w:type="dxa"/>
            <w:vAlign w:val="center"/>
            <w:textDirection w:val="lrTb"/>
            <w:noWrap w:val="false"/>
          </w:tcPr>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2024年11月底前正式上线运行</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采购包2免费质保期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7" w:type="dxa"/>
            <w:vAlign w:val="center"/>
            <w:textDirection w:val="lrTb"/>
            <w:noWrap w:val="false"/>
          </w:tcPr>
          <w:p>
            <w:pPr>
              <w:ind w:left="0" w:right="0" w:firstLine="21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三年</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w:t>
      </w:r>
      <w:r>
        <w:rPr>
          <w:rFonts w:ascii="SimSun" w:hAnsi="SimSun" w:eastAsia="SimSun" w:cs="SimSun"/>
          <w:color w:val="000000"/>
          <w:sz w:val="24"/>
          <w:u w:val="single"/>
        </w:rPr>
        <w:t xml:space="preserve">1.“项目总报价”包括本次招标要求提供的货物（服务）已支付或将支付的所有费用；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2.投标人必须据实填写此表，报价所含与招标文件要求的内容一致；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3.报价保留至小数点后两位，四舍五入。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4.与所投采购包无关的内容可自行删除。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b/>
          <w:color w:val="000000"/>
          <w:sz w:val="24"/>
          <w:u w:val="single"/>
        </w:rPr>
        <w:t xml:space="preserve">××××</w:t>
      </w:r>
      <w:r>
        <w:rPr>
          <w:rFonts w:ascii="SimSun" w:hAnsi="SimSun" w:eastAsia="SimSun" w:cs="SimSun"/>
          <w:color w:val="000000"/>
          <w:sz w:val="24"/>
        </w:rPr>
        <w:t xml:space="preserve">年</w:t>
      </w:r>
      <w:r>
        <w:rPr>
          <w:rFonts w:ascii="SimSun" w:hAnsi="SimSun" w:eastAsia="SimSun" w:cs="SimSun"/>
          <w:b/>
          <w:color w:val="000000"/>
          <w:sz w:val="24"/>
          <w:u w:val="single"/>
        </w:rPr>
        <w:t xml:space="preserve">××</w:t>
      </w:r>
      <w:r>
        <w:rPr>
          <w:rFonts w:ascii="SimSun" w:hAnsi="SimSun" w:eastAsia="SimSun" w:cs="SimSun"/>
          <w:color w:val="000000"/>
          <w:sz w:val="24"/>
        </w:rPr>
        <w:t xml:space="preserve">月</w:t>
      </w:r>
      <w:r>
        <w:rPr>
          <w:rFonts w:ascii="SimSun" w:hAnsi="SimSun" w:eastAsia="SimSun" w:cs="SimSun"/>
          <w:b/>
          <w:color w:val="000000"/>
          <w:sz w:val="24"/>
          <w:u w:val="single"/>
        </w:rPr>
        <w:t xml:space="preserve">××</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清单及明细报价表（采购包1）</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2"/>
        <w:gridCol w:w="1354"/>
        <w:gridCol w:w="3542"/>
        <w:gridCol w:w="583"/>
        <w:gridCol w:w="789"/>
        <w:gridCol w:w="1522"/>
        <w:gridCol w:w="676"/>
      </w:tblGrid>
      <w:tr>
        <w:trPr>
          <w:trHeight w:val="1182"/>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3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gridSpan w:val="2"/>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5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价格（元）</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82"/>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3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5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3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5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3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5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3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5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gridSpan w:val="7"/>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3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 元</w:t>
            </w:r>
            <w:r/>
          </w:p>
        </w:tc>
      </w:tr>
      <w:tr>
        <w:trPr>
          <w:trHeight w:val="563"/>
        </w:trPr>
        <w:tc>
          <w:tcPr>
            <w:gridSpan w:val="4"/>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63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其它相关费用(培训、税费等与项目相关的一切费用)</w:t>
            </w:r>
            <w:r/>
          </w:p>
        </w:tc>
        <w:tc>
          <w:tcPr>
            <w:gridSpan w:val="3"/>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rHeight w:val="591"/>
        </w:trPr>
        <w:tc>
          <w:tcPr>
            <w:gridSpan w:val="4"/>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63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采购包1总报价</w:t>
            </w:r>
            <w:r/>
          </w:p>
        </w:tc>
        <w:tc>
          <w:tcPr>
            <w:gridSpan w:val="3"/>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4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2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6" w:type="dxa"/>
            <w:vAlign w:val="center"/>
            <w:textDirection w:val="lrTb"/>
            <w:noWrap w:val="false"/>
          </w:tcPr>
          <w:p>
            <w:pPr>
              <w:spacing w:before="0" w:after="0" w:line="57" w:lineRule="atLeast"/>
            </w:pPr>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注：1、投标人应当按照招标文件采购需求及相关报价要求填写。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表中“其它相关费用”由投标人根据采购包1需求及自身经验进行补充填写。采购包1实施时，除采购人明确提出需要变更增加外，不再增加任何费用，投标人应确保本采购包能安全、正常运行并达到采购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3、本表中采购包1总报价应与开标一览表中采购包1总报价保持一致。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4、报价保留至小数点后两位，四舍五入。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清单及明细报价表（采购包2）</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4"/>
        <w:gridCol w:w="2341"/>
        <w:gridCol w:w="2005"/>
        <w:gridCol w:w="334"/>
        <w:gridCol w:w="676"/>
        <w:gridCol w:w="816"/>
        <w:gridCol w:w="1254"/>
        <w:gridCol w:w="1410"/>
      </w:tblGrid>
      <w:tr>
        <w:trPr>
          <w:trHeight w:val="152"/>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一、分项报价</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品牌型号（如有）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免费服务期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外网WEB服务器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外网应用服务器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内网应用服务器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内网数据库服务器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虚拟化平台软件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防火墙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入侵防御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1" w:type="dxa"/>
            <w:vAlign w:val="center"/>
            <w:textDirection w:val="lrTb"/>
            <w:noWrap w:val="false"/>
          </w:tcPr>
          <w:p>
            <w:pPr>
              <w:ind w:left="0" w:right="0" w:firstLine="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2"/>
              </w:rPr>
              <w:t xml:space="preserve">      分项费用小计：     元</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二、其它相关费用(培训、对接、测试、税费等与项目相关的一切费用)</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采购包2总报价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0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5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0" w:type="dxa"/>
            <w:vAlign w:val="center"/>
            <w:textDirection w:val="lrTb"/>
            <w:noWrap w:val="false"/>
          </w:tcPr>
          <w:p>
            <w:pPr>
              <w:spacing w:before="0" w:after="0" w:line="57" w:lineRule="atLeast"/>
            </w:pPr>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1、投标人应当按照招标文件采购需求及相关报价要求填写。2、本表中“其它相关费用”由投标人根据采购包2需求及自身经验进行补充填写。采购包2实施时，除采购人明确提出需要变更增加外，不再增加任何费用，投标人应确保本采购包能安全、正常运行并达到采购要求。3、本表中采购包2总报价应与开标一览表中采购包2总报价保持一致。4、报价保留至小数点后两位，四舍五入。</w:t>
      </w:r>
      <w:r/>
    </w:p>
    <w:p>
      <w:pPr>
        <w:ind w:left="0" w:right="0" w:firstLine="0"/>
        <w:jc w:val="center"/>
        <w:spacing w:before="260" w:after="26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五、技术部分（与评分标准对应）</w:t>
      </w:r>
      <w:r>
        <w:rPr>
          <w:rFonts w:ascii="SimSun" w:hAnsi="SimSun" w:eastAsia="SimSun" w:cs="SimSun"/>
          <w:b/>
          <w:color w:val="000000"/>
          <w:sz w:val="3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1.技术响应及偏离表</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1"/>
        <w:gridCol w:w="1301"/>
        <w:gridCol w:w="1021"/>
        <w:gridCol w:w="896"/>
        <w:gridCol w:w="896"/>
        <w:gridCol w:w="1271"/>
        <w:gridCol w:w="1273"/>
        <w:gridCol w:w="1041"/>
        <w:gridCol w:w="1054"/>
      </w:tblGrid>
      <w:tr>
        <w:trPr>
          <w:trHeight w:val="96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01" w:type="dxa"/>
            <w:vAlign w:val="center"/>
            <w:textDirection w:val="lrTb"/>
            <w:noWrap w:val="false"/>
          </w:tcPr>
          <w:p>
            <w:pPr>
              <w:spacing w:before="0" w:after="0" w:line="57" w:lineRule="atLeast"/>
            </w:pPr>
            <w:r>
              <w:br w:type="page" w:clear="all"/>
            </w:r>
            <w:r/>
          </w:p>
          <w:p>
            <w:pPr>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01" w:type="dxa"/>
            <w:vAlign w:val="center"/>
            <w:textDirection w:val="lrTb"/>
            <w:noWrap w:val="false"/>
          </w:tcPr>
          <w:p>
            <w:pPr>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重要性（</w:t>
            </w:r>
            <w:r>
              <w:rPr>
                <w:rFonts w:ascii="KaiTi" w:hAnsi="KaiTi" w:eastAsia="KaiTi" w:cs="KaiTi"/>
                <w:color w:val="000000"/>
                <w:spacing w:val="-4"/>
                <w:sz w:val="21"/>
              </w:rPr>
              <w:t xml:space="preserve">★</w:t>
            </w:r>
            <w:r>
              <w:rPr>
                <w:rFonts w:ascii="SimSun" w:hAnsi="SimSun" w:eastAsia="SimSun" w:cs="SimSun"/>
                <w:b/>
                <w:color w:val="000000"/>
                <w:sz w:val="21"/>
              </w:rPr>
              <w:t xml:space="preserve">#或◇）</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21" w:type="dxa"/>
            <w:vAlign w:val="center"/>
            <w:textDirection w:val="lrTb"/>
            <w:noWrap w:val="false"/>
          </w:tcPr>
          <w:p>
            <w:pPr>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标的名称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896" w:type="dxa"/>
            <w:vAlign w:val="center"/>
            <w:textDirection w:val="lrTb"/>
            <w:noWrap w:val="false"/>
          </w:tcPr>
          <w:p>
            <w:pPr>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响应产品名称及型号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896" w:type="dxa"/>
            <w:vAlign w:val="center"/>
            <w:textDirection w:val="lrTb"/>
            <w:noWrap w:val="false"/>
          </w:tcPr>
          <w:p>
            <w:pPr>
              <w:ind w:left="0" w:right="0" w:firstLine="0"/>
              <w:jc w:val="both"/>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0" w:right="0" w:firstLine="0"/>
              <w:jc w:val="both"/>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73" w:type="dxa"/>
            <w:vAlign w:val="center"/>
            <w:textDirection w:val="lrTb"/>
            <w:noWrap w:val="false"/>
          </w:tcPr>
          <w:p>
            <w:pPr>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响应情况</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41" w:type="dxa"/>
            <w:vAlign w:val="center"/>
            <w:textDirection w:val="lrTb"/>
            <w:noWrap w:val="false"/>
          </w:tcPr>
          <w:p>
            <w:pPr>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偏离情况（正偏离/无偏离/负偏离）</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4" w:type="dxa"/>
            <w:vAlign w:val="center"/>
            <w:textDirection w:val="lrTb"/>
            <w:noWrap w:val="false"/>
          </w:tcPr>
          <w:p>
            <w:pPr>
              <w:ind w:left="0" w:right="0" w:firstLine="0"/>
              <w:jc w:val="center"/>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备注（证明材料所在位置）</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2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注：1.按实际如实填写偏离表，行数不够可自行添加。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u w:val="single"/>
        </w:rPr>
        <w:t xml:space="preserve">4.投标人完全响应（满足）</w:t>
      </w:r>
      <w:r>
        <w:rPr>
          <w:rFonts w:ascii="SimSun" w:hAnsi="SimSun" w:eastAsia="SimSun" w:cs="SimSun"/>
          <w:b/>
          <w:color w:val="000000"/>
          <w:sz w:val="21"/>
          <w:highlight w:val="yellow"/>
          <w:u w:val="single"/>
        </w:rPr>
        <w:t xml:space="preserve">“#”“◇”</w:t>
      </w:r>
      <w:r>
        <w:rPr>
          <w:rFonts w:ascii="SimSun" w:hAnsi="SimSun" w:eastAsia="SimSun" w:cs="SimSun"/>
          <w:b/>
          <w:color w:val="000000"/>
          <w:sz w:val="24"/>
          <w:highlight w:val="yellow"/>
          <w:u w:val="single"/>
        </w:rPr>
        <w:t xml:space="preserve">项的，可不填写上表，直接在下方做出完全满足</w:t>
      </w:r>
      <w:r>
        <w:rPr>
          <w:rFonts w:ascii="SimSun" w:hAnsi="SimSun" w:eastAsia="SimSun" w:cs="SimSun"/>
          <w:b/>
          <w:color w:val="000000"/>
          <w:sz w:val="21"/>
          <w:highlight w:val="yellow"/>
          <w:u w:val="single"/>
        </w:rPr>
        <w:t xml:space="preserve">“#”“◇”</w:t>
      </w:r>
      <w:r>
        <w:rPr>
          <w:rFonts w:ascii="SimSun" w:hAnsi="SimSun" w:eastAsia="SimSun" w:cs="SimSun"/>
          <w:b/>
          <w:color w:val="000000"/>
          <w:sz w:val="24"/>
          <w:highlight w:val="yellow"/>
          <w:u w:val="single"/>
        </w:rPr>
        <w:t xml:space="preserve">项要求的承诺。如要求提供证明材料的，请将证明材料附后，并做好标识，以便评委正确评审，如要求提供证明材料未提供的视为负偏离。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u w:val="single"/>
        </w:rPr>
        <w:t xml:space="preserve">5.投标人完全响应（满足）“★”项的，可不填写上表，直接在下方做出完全满足“★”项要求的承诺。加“★”参数要求提供而未提供证明材料的视为负偏离的，加“★”参数有偏离的将被定义为非实质性响应招标文件。</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六、商务部分（与评分标准对应）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80"/>
        <w:ind w:left="0" w:right="0" w:firstLine="0"/>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1、项目经理</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2"/>
        <w:gridCol w:w="1707"/>
        <w:gridCol w:w="5231"/>
      </w:tblGrid>
      <w:tr>
        <w:trPr>
          <w:trHeight w:val="6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spacing w:before="0" w:after="0" w:line="57" w:lineRule="atLeast"/>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231"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近3年工作业绩及承担的主要工作</w:t>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231" w:type="dxa"/>
            <w:vAlign w:val="center"/>
            <w:vMerge w:val="restart"/>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val="false"/>
          </w:tcPr>
          <w:p>
            <w:pPr>
              <w:ind w:left="-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曾担任项目技术负责人的项目</w:t>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937" w:type="dxa"/>
            <w:vAlign w:val="center"/>
            <w:textDirection w:val="lrTb"/>
            <w:noWrap w:val="false"/>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color w:val="000000"/>
          <w:sz w:val="24"/>
          <w:u w:val="single"/>
        </w:rPr>
        <w:t xml:space="preserve">技术负责人具有资格证书的，应在本栏目提交相关证书扫描件。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列入本表人员如要更换，需经采购人同意。擅自更换属违约行为。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项目经理须提供近半年（至少一个月）投标人为其缴纳社会保险的证明材料。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2、项目实施成员能力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3"/>
        <w:gridCol w:w="892"/>
        <w:gridCol w:w="1540"/>
        <w:gridCol w:w="1410"/>
        <w:gridCol w:w="1930"/>
        <w:gridCol w:w="1928"/>
        <w:gridCol w:w="892"/>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3、列入上表人员需提供近半年（至少一个月）投标人为其缴纳社会保险的证明材料。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4、列入上表人员具有相关证书、工作经验的，应在本栏目提交相关证明材料扫描件。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七、其他部分</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（一）中小企业声明函（采购包1：服务类）</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采购活动，服务全部由符合政策要求的中小企业承接。相关企业（含联合体中的中小企业、签订分包意向协议的中小企业）的具体情况如下：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，属于（采购文件中明确的所属行业）行业；承接企业为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注：1.从业人员、营业收入、资产总额填报上一年度数据，无上一年度数据的新成立企业可不填报。</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line="85" w:lineRule="atLeast"/>
        <w:rPr>
          <w:rFonts w:ascii="SimSun" w:hAnsi="SimSun" w:eastAsia="SimSun" w:cs="SimSun"/>
          <w:color w:val="000000"/>
          <w:spacing w:val="6"/>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r>
      <w:r>
        <w:rPr>
          <w:rFonts w:ascii="SimSun" w:hAnsi="SimSun" w:eastAsia="SimSun" w:cs="SimSun"/>
          <w:color w:val="000000"/>
          <w:spacing w:val="6"/>
          <w:sz w:val="24"/>
          <w:highlight w:val="none"/>
        </w:r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中小企业声明函（采购包2：货物类）</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采购活动，服务全部由符合政策要求的中小企业承接。相关企业（含联合体中的中小企业、签订分包意向协议的中小企业）的具体情况如下：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，属于（采购文件中明确的所属行业）行业；承接企业为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注：1.从业人员、营业收入、资产总额填报上一年度数据，无上一年度数据的新成立企业可不填报。</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584"/>
        <w:spacing w:before="0" w:after="0" w:line="85" w:lineRule="atLeast"/>
        <w:rPr>
          <w:rFonts w:ascii="SimSun" w:hAnsi="SimSun" w:eastAsia="SimSun" w:cs="SimSun"/>
          <w:color w:val="000000"/>
          <w:spacing w:val="6"/>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highlight w:val="none"/>
        </w:rPr>
      </w:r>
      <w:r>
        <w:rPr>
          <w:rFonts w:ascii="SimSun" w:hAnsi="SimSun" w:eastAsia="SimSun" w:cs="SimSun"/>
          <w:color w:val="000000"/>
          <w:spacing w:val="6"/>
          <w:sz w:val="24"/>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（二）按招标文件要求投标人所能提供的其他文件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告供应商书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如您需要帮助，请致电镇江市财政局政府采购管理处，电话：0511-80909958。我们将竭诚为您服务！</w:t>
      </w:r>
      <w:r/>
    </w:p>
    <w:p>
      <w:pPr>
        <w:ind w:left="0" w:right="0" w:firstLine="6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镇江市财政局</w:t>
      </w:r>
      <w:r>
        <w:rPr>
          <w:rFonts w:ascii="SimSun" w:hAnsi="SimSun" w:eastAsia="SimSun" w:cs="SimSun"/>
          <w:b/>
          <w:color w:val="000000"/>
          <w:sz w:val="24"/>
        </w:rPr>
        <w:t xml:space="preserve"> </w:t>
      </w:r>
      <w:r/>
    </w:p>
    <w:p>
      <w:pPr>
        <w:rPr>
          <w:b/>
          <w:bCs/>
        </w:rPr>
      </w:pPr>
      <w:r>
        <w:rPr>
          <w:b/>
          <w:bCs/>
        </w:rPr>
      </w:r>
      <w:r/>
    </w:p>
    <w:sectPr>
      <w:head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icrosoft YaHei">
    <w:panose1 w:val="020B0503020204020204"/>
  </w:font>
  <w:font w:name="MS Mincho">
    <w:panose1 w:val="02020603050405090304"/>
  </w:font>
  <w:font w:name="宋体">
    <w:panose1 w:val="02010600030101010101"/>
  </w:font>
  <w:font w:name="SimSun">
    <w:panose1 w:val="0201060003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 w:firstLine="624"/>
      </w:p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0" w:firstLine="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624"/>
      </w:p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6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6" w:firstLine="624"/>
      </w:pPr>
      <w:rPr>
        <w:rFonts w:ascii="SimHei" w:hAnsi="SimHei" w:eastAsia="SimHei" w:cs="SimHei"/>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right"/>
      <w:pPr>
        <w:ind w:left="0" w:firstLine="6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624" w:hanging="360"/>
      </w:pPr>
      <w:rPr>
        <w:rFonts w:hint="default" w:ascii="Symbol" w:hAnsi="Symbol" w:eastAsia="Symbol" w:cs="Symbol"/>
      </w:rPr>
    </w:lvl>
    <w:lvl w:ilvl="1">
      <w:start w:val="1"/>
      <w:numFmt w:val="lowerLetter"/>
      <w:isLgl w:val="false"/>
      <w:suff w:val="tab"/>
      <w:lvlText w:val="%2."/>
      <w:lvlJc w:val="left"/>
      <w:pPr>
        <w:ind w:left="1344" w:hanging="360"/>
      </w:pPr>
    </w:lvl>
    <w:lvl w:ilvl="2">
      <w:start w:val="1"/>
      <w:numFmt w:val="lowerRoman"/>
      <w:isLgl w:val="false"/>
      <w:suff w:val="tab"/>
      <w:lvlText w:val="%3."/>
      <w:lvlJc w:val="right"/>
      <w:pPr>
        <w:ind w:left="2064" w:hanging="180"/>
      </w:pPr>
    </w:lvl>
    <w:lvl w:ilvl="3">
      <w:start w:val="1"/>
      <w:numFmt w:val="decimal"/>
      <w:isLgl w:val="false"/>
      <w:suff w:val="tab"/>
      <w:lvlText w:val="%4."/>
      <w:lvlJc w:val="left"/>
      <w:pPr>
        <w:ind w:left="2784" w:hanging="360"/>
      </w:pPr>
    </w:lvl>
    <w:lvl w:ilvl="4">
      <w:start w:val="1"/>
      <w:numFmt w:val="lowerLetter"/>
      <w:isLgl w:val="false"/>
      <w:suff w:val="tab"/>
      <w:lvlText w:val="%5."/>
      <w:lvlJc w:val="left"/>
      <w:pPr>
        <w:ind w:left="3504" w:hanging="360"/>
      </w:pPr>
    </w:lvl>
    <w:lvl w:ilvl="5">
      <w:start w:val="1"/>
      <w:numFmt w:val="lowerRoman"/>
      <w:isLgl w:val="false"/>
      <w:suff w:val="tab"/>
      <w:lvlText w:val="%6."/>
      <w:lvlJc w:val="right"/>
      <w:pPr>
        <w:ind w:left="4224" w:hanging="180"/>
      </w:pPr>
    </w:lvl>
    <w:lvl w:ilvl="6">
      <w:start w:val="1"/>
      <w:numFmt w:val="decimal"/>
      <w:isLgl w:val="false"/>
      <w:suff w:val="tab"/>
      <w:lvlText w:val="%7."/>
      <w:lvlJc w:val="left"/>
      <w:pPr>
        <w:ind w:left="4944" w:hanging="360"/>
      </w:pPr>
    </w:lvl>
    <w:lvl w:ilvl="7">
      <w:start w:val="1"/>
      <w:numFmt w:val="lowerLetter"/>
      <w:isLgl w:val="false"/>
      <w:suff w:val="tab"/>
      <w:lvlText w:val="%8."/>
      <w:lvlJc w:val="left"/>
      <w:pPr>
        <w:ind w:left="5664" w:hanging="360"/>
      </w:pPr>
    </w:lvl>
    <w:lvl w:ilvl="8">
      <w:start w:val="1"/>
      <w:numFmt w:val="lowerRoman"/>
      <w:isLgl w:val="false"/>
      <w:suff w:val="tab"/>
      <w:lvlText w:val="%9."/>
      <w:lvlJc w:val="right"/>
      <w:pPr>
        <w:ind w:left="6384" w:hanging="180"/>
      </w:pPr>
    </w:lvl>
  </w:abstractNum>
  <w:abstractNum w:abstractNumId="10">
    <w:multiLevelType w:val="hybridMultilevel"/>
    <w:lvl w:ilvl="0">
      <w:start w:val="1"/>
      <w:numFmt w:val="decimal"/>
      <w:isLgl w:val="false"/>
      <w:suff w:val="tab"/>
      <w:lvlText w:val="%1."/>
      <w:lvlJc w:val="right"/>
      <w:pPr>
        <w:ind w:left="1333" w:hanging="360"/>
      </w:pPr>
    </w:lvl>
    <w:lvl w:ilvl="1">
      <w:start w:val="1"/>
      <w:numFmt w:val="lowerLetter"/>
      <w:isLgl w:val="false"/>
      <w:suff w:val="tab"/>
      <w:lvlText w:val="%2."/>
      <w:lvlJc w:val="left"/>
      <w:pPr>
        <w:ind w:left="2053" w:hanging="360"/>
      </w:pPr>
    </w:lvl>
    <w:lvl w:ilvl="2">
      <w:start w:val="1"/>
      <w:numFmt w:val="lowerRoman"/>
      <w:isLgl w:val="false"/>
      <w:suff w:val="tab"/>
      <w:lvlText w:val="%3."/>
      <w:lvlJc w:val="right"/>
      <w:pPr>
        <w:ind w:left="2773" w:hanging="180"/>
      </w:pPr>
    </w:lvl>
    <w:lvl w:ilvl="3">
      <w:start w:val="1"/>
      <w:numFmt w:val="decimal"/>
      <w:isLgl w:val="false"/>
      <w:suff w:val="tab"/>
      <w:lvlText w:val="%4."/>
      <w:lvlJc w:val="left"/>
      <w:pPr>
        <w:ind w:left="3493" w:hanging="360"/>
      </w:pPr>
    </w:lvl>
    <w:lvl w:ilvl="4">
      <w:start w:val="1"/>
      <w:numFmt w:val="lowerLetter"/>
      <w:isLgl w:val="false"/>
      <w:suff w:val="tab"/>
      <w:lvlText w:val="%5."/>
      <w:lvlJc w:val="left"/>
      <w:pPr>
        <w:ind w:left="4213" w:hanging="360"/>
      </w:pPr>
    </w:lvl>
    <w:lvl w:ilvl="5">
      <w:start w:val="1"/>
      <w:numFmt w:val="lowerRoman"/>
      <w:isLgl w:val="false"/>
      <w:suff w:val="tab"/>
      <w:lvlText w:val="%6."/>
      <w:lvlJc w:val="right"/>
      <w:pPr>
        <w:ind w:left="4933" w:hanging="180"/>
      </w:pPr>
    </w:lvl>
    <w:lvl w:ilvl="6">
      <w:start w:val="1"/>
      <w:numFmt w:val="decimal"/>
      <w:isLgl w:val="false"/>
      <w:suff w:val="tab"/>
      <w:lvlText w:val="%7."/>
      <w:lvlJc w:val="left"/>
      <w:pPr>
        <w:ind w:left="5653" w:hanging="360"/>
      </w:pPr>
    </w:lvl>
    <w:lvl w:ilvl="7">
      <w:start w:val="1"/>
      <w:numFmt w:val="lowerLetter"/>
      <w:isLgl w:val="false"/>
      <w:suff w:val="tab"/>
      <w:lvlText w:val="%8."/>
      <w:lvlJc w:val="left"/>
      <w:pPr>
        <w:ind w:left="6373" w:hanging="360"/>
      </w:pPr>
    </w:lvl>
    <w:lvl w:ilvl="8">
      <w:start w:val="1"/>
      <w:numFmt w:val="lowerRoman"/>
      <w:isLgl w:val="false"/>
      <w:suff w:val="tab"/>
      <w:lvlText w:val="%9."/>
      <w:lvlJc w:val="right"/>
      <w:pPr>
        <w:ind w:left="7093" w:hanging="180"/>
      </w:pPr>
    </w:lvl>
  </w:abstractNum>
  <w:abstractNum w:abstractNumId="11">
    <w:multiLevelType w:val="hybridMultilevel"/>
    <w:lvl w:ilvl="0">
      <w:start w:val="1"/>
      <w:numFmt w:val="decimal"/>
      <w:isLgl w:val="false"/>
      <w:suff w:val="tab"/>
      <w:lvlText w:val="%1)"/>
      <w:lvlJc w:val="right"/>
      <w:pPr>
        <w:ind w:left="1333"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isLgl w:val="false"/>
      <w:suff w:val="tab"/>
      <w:lvlText w:val="%1)"/>
      <w:lvlJc w:val="right"/>
      <w:pPr>
        <w:ind w:left="1333"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right"/>
      <w:pPr>
        <w:ind w:left="1333"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righ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abstractNum w:abstractNumId="16">
    <w:multiLevelType w:val="hybridMultilevel"/>
    <w:lvl w:ilvl="0">
      <w:start w:val="1"/>
      <w:numFmt w:val="decimal"/>
      <w:isLgl w:val="false"/>
      <w:suff w:val="tab"/>
      <w:lvlText w:val="%1)"/>
      <w:lvlJc w:val="right"/>
      <w:pPr>
        <w:ind w:left="0" w:firstLine="6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uiPriority w:val="34"/>
    <w:qFormat/>
    <w:pPr>
      <w:contextualSpacing/>
      <w:ind w:left="720"/>
    </w:pPr>
  </w:style>
  <w:style w:type="paragraph" w:styleId="697">
    <w:name w:val="No Spacing"/>
    <w:uiPriority w:val="1"/>
    <w:qFormat/>
    <w:pPr>
      <w:spacing w:before="0" w:after="0" w:line="240" w:lineRule="auto"/>
    </w:pPr>
  </w:style>
  <w:style w:type="paragraph" w:styleId="698">
    <w:name w:val="Title"/>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link w:val="703"/>
    <w:uiPriority w:val="29"/>
    <w:qFormat/>
    <w:pPr>
      <w:ind w:left="720" w:right="720"/>
    </w:pPr>
    <w:rPr>
      <w:i/>
    </w:rPr>
  </w:style>
  <w:style w:type="character" w:styleId="703">
    <w:name w:val="Quote Char"/>
    <w:link w:val="702"/>
    <w:uiPriority w:val="29"/>
    <w:rPr>
      <w:i/>
    </w:rPr>
  </w:style>
  <w:style w:type="paragraph" w:styleId="704">
    <w:name w:val="Intense Quote"/>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uiPriority w:val="39"/>
    <w:unhideWhenUsed/>
    <w:pPr>
      <w:ind w:left="0" w:right="0" w:firstLine="0"/>
      <w:spacing w:after="57"/>
    </w:pPr>
  </w:style>
  <w:style w:type="paragraph" w:styleId="846">
    <w:name w:val="toc 2"/>
    <w:uiPriority w:val="39"/>
    <w:unhideWhenUsed/>
    <w:pPr>
      <w:ind w:left="283" w:right="0" w:firstLine="0"/>
      <w:spacing w:after="57"/>
    </w:pPr>
  </w:style>
  <w:style w:type="paragraph" w:styleId="847">
    <w:name w:val="toc 3"/>
    <w:uiPriority w:val="39"/>
    <w:unhideWhenUsed/>
    <w:pPr>
      <w:ind w:left="567" w:right="0" w:firstLine="0"/>
      <w:spacing w:after="57"/>
    </w:pPr>
  </w:style>
  <w:style w:type="paragraph" w:styleId="848">
    <w:name w:val="toc 4"/>
    <w:uiPriority w:val="39"/>
    <w:unhideWhenUsed/>
    <w:pPr>
      <w:ind w:left="850" w:right="0" w:firstLine="0"/>
      <w:spacing w:after="57"/>
    </w:pPr>
  </w:style>
  <w:style w:type="paragraph" w:styleId="849">
    <w:name w:val="toc 5"/>
    <w:uiPriority w:val="39"/>
    <w:unhideWhenUsed/>
    <w:pPr>
      <w:ind w:left="1134" w:right="0" w:firstLine="0"/>
      <w:spacing w:after="57"/>
    </w:pPr>
  </w:style>
  <w:style w:type="paragraph" w:styleId="850">
    <w:name w:val="toc 6"/>
    <w:uiPriority w:val="39"/>
    <w:unhideWhenUsed/>
    <w:pPr>
      <w:ind w:left="1417" w:right="0" w:firstLine="0"/>
      <w:spacing w:after="57"/>
    </w:pPr>
  </w:style>
  <w:style w:type="paragraph" w:styleId="851">
    <w:name w:val="toc 7"/>
    <w:uiPriority w:val="39"/>
    <w:unhideWhenUsed/>
    <w:pPr>
      <w:ind w:left="1701" w:right="0" w:firstLine="0"/>
      <w:spacing w:after="57"/>
    </w:pPr>
  </w:style>
  <w:style w:type="paragraph" w:styleId="852">
    <w:name w:val="toc 8"/>
    <w:uiPriority w:val="39"/>
    <w:unhideWhenUsed/>
    <w:pPr>
      <w:ind w:left="1984" w:right="0" w:firstLine="0"/>
      <w:spacing w:after="57"/>
    </w:pPr>
  </w:style>
  <w:style w:type="paragraph" w:styleId="853">
    <w:name w:val="toc 9"/>
    <w:uiPriority w:val="39"/>
    <w:unhideWhenUsed/>
    <w:pPr>
      <w:ind w:left="2268" w:right="0" w:firstLine="0"/>
      <w:spacing w:after="57"/>
    </w:pPr>
  </w:style>
  <w:style w:type="paragraph" w:styleId="854">
    <w:name w:val="TOC Heading"/>
    <w:uiPriority w:val="39"/>
    <w:unhideWhenUsed/>
  </w:style>
  <w:style w:type="paragraph" w:styleId="855">
    <w:name w:val="table of figures"/>
    <w:uiPriority w:val="99"/>
    <w:unhideWhenUsed/>
    <w:pPr>
      <w:spacing w:after="0" w:afterAutospacing="0"/>
    </w:pPr>
  </w:style>
  <w:style w:type="character" w:styleId="856" w:default="1">
    <w:name w:val="Default Paragraph Font"/>
    <w:uiPriority w:val="1"/>
    <w:semiHidden/>
    <w:unhideWhenUsed/>
  </w:style>
  <w:style w:type="numbering" w:styleId="857" w:default="1">
    <w:name w:val="No List"/>
    <w:uiPriority w:val="99"/>
    <w:semiHidden/>
    <w:unhideWhenUsed/>
  </w:style>
  <w:style w:type="paragraph" w:styleId="858" w:default="1">
    <w:name w:val="Normal"/>
    <w:qFormat/>
  </w:style>
  <w:style w:type="table" w:styleId="8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yperlink" Target="https://baike.baidu.com/item/%E4%BF%A1%E6%81%AF%E5%AE%89%E5%85%A8%E4%BF%9D%E9%9A%9C?fromModule=lemma_inlink" TargetMode="External"/><Relationship Id="rId11" Type="http://schemas.openxmlformats.org/officeDocument/2006/relationships/hyperlink" Target="https://baike.baidu.com/item/%E4%BF%A1%E6%81%AF%E5%AE%89%E5%85%A8%E4%BF%9D%E9%9A%9C?fromModule=lemma_inlink"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冷玲</cp:lastModifiedBy>
  <cp:revision>8</cp:revision>
  <dcterms:created xsi:type="dcterms:W3CDTF">2024-07-17T02:48:35Z</dcterms:created>
  <dcterms:modified xsi:type="dcterms:W3CDTF">2024-07-18T08:27:18Z</dcterms:modified>
</cp:coreProperties>
</file>