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color w:val="000000"/>
          <w:sz w:val="72"/>
          <w:lang w:eastAsia="zh-CN"/>
        </w:rPr>
        <w:t>太仓市政府采购</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color w:val="000000"/>
          <w:sz w:val="72"/>
          <w:lang w:eastAsia="zh-CN"/>
        </w:rPr>
        <w:t> </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color w:val="000000"/>
          <w:sz w:val="72"/>
          <w:lang w:eastAsia="zh-CN"/>
        </w:rPr>
        <w:t>招 标 文 件</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color w:val="000000"/>
          <w:sz w:val="21"/>
          <w:lang w:eastAsia="zh-CN"/>
        </w:rPr>
        <w:t> </w:t>
      </w:r>
    </w:p>
    <w:p>
      <w:pPr>
        <w:pBdr>
          <w:top w:val="none" w:color="000000" w:sz="0" w:space="0"/>
          <w:left w:val="none" w:color="000000" w:sz="0" w:space="0"/>
          <w:bottom w:val="none" w:color="000000" w:sz="0" w:space="0"/>
          <w:right w:val="none" w:color="000000" w:sz="0" w:space="0"/>
        </w:pBdr>
        <w:spacing w:after="0" w:line="85" w:lineRule="atLeast"/>
        <w:ind w:firstLine="630"/>
        <w:jc w:val="both"/>
        <w:rPr>
          <w:lang w:eastAsia="zh-CN"/>
        </w:rPr>
      </w:pPr>
      <w:r>
        <w:rPr>
          <w:rFonts w:ascii="宋体" w:hAnsi="宋体" w:eastAsia="宋体" w:cs="宋体"/>
          <w:color w:val="000000"/>
          <w:sz w:val="21"/>
          <w:lang w:eastAsia="zh-CN"/>
        </w:rPr>
        <w:t> </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1"/>
          <w:lang w:eastAsia="zh-CN"/>
        </w:rPr>
        <w:t> </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1"/>
          <w:lang w:eastAsia="zh-CN"/>
        </w:rPr>
        <w:t> </w:t>
      </w:r>
    </w:p>
    <w:p>
      <w:pPr>
        <w:pBdr>
          <w:top w:val="none" w:color="000000" w:sz="0" w:space="0"/>
          <w:left w:val="none" w:color="000000" w:sz="0" w:space="0"/>
          <w:bottom w:val="none" w:color="000000" w:sz="0" w:space="0"/>
          <w:right w:val="none" w:color="000000" w:sz="0" w:space="0"/>
        </w:pBdr>
        <w:spacing w:after="0" w:line="85" w:lineRule="atLeast"/>
        <w:jc w:val="right"/>
        <w:rPr>
          <w:lang w:eastAsia="zh-CN"/>
        </w:rPr>
      </w:pPr>
      <w:r>
        <w:rPr>
          <w:rFonts w:ascii="宋体" w:hAnsi="宋体" w:eastAsia="宋体" w:cs="宋体"/>
          <w:color w:val="000000"/>
          <w:sz w:val="32"/>
          <w:lang w:eastAsia="zh-CN"/>
        </w:rPr>
        <w:t> </w:t>
      </w:r>
    </w:p>
    <w:p>
      <w:pPr>
        <w:pBdr>
          <w:top w:val="none" w:color="000000" w:sz="0" w:space="0"/>
          <w:left w:val="none" w:color="000000" w:sz="0" w:space="0"/>
          <w:bottom w:val="none" w:color="000000" w:sz="0" w:space="0"/>
          <w:right w:val="none" w:color="000000" w:sz="0" w:space="0"/>
        </w:pBdr>
        <w:spacing w:after="0" w:line="85" w:lineRule="atLeast"/>
        <w:ind w:firstLine="1084"/>
        <w:jc w:val="both"/>
        <w:rPr>
          <w:rFonts w:eastAsia="宋体"/>
          <w:lang w:eastAsia="zh-CN"/>
        </w:rPr>
      </w:pPr>
      <w:r>
        <w:rPr>
          <w:rFonts w:ascii="宋体" w:hAnsi="宋体" w:eastAsia="宋体" w:cs="宋体"/>
          <w:b/>
          <w:color w:val="000000"/>
          <w:sz w:val="36"/>
          <w:lang w:eastAsia="zh-CN"/>
        </w:rPr>
        <w:t>项目编号：</w:t>
      </w:r>
      <w:r>
        <w:rPr>
          <w:rFonts w:hint="eastAsia" w:ascii="宋体" w:hAnsi="宋体" w:eastAsia="宋体" w:cs="宋体"/>
          <w:b/>
          <w:color w:val="000000"/>
          <w:sz w:val="36"/>
          <w:lang w:eastAsia="zh-CN"/>
        </w:rPr>
        <w:t>JSZC-320585-JZCG-G2024-0128</w:t>
      </w:r>
    </w:p>
    <w:p>
      <w:pPr>
        <w:pBdr>
          <w:top w:val="none" w:color="000000" w:sz="0" w:space="0"/>
          <w:left w:val="none" w:color="000000" w:sz="0" w:space="0"/>
          <w:bottom w:val="none" w:color="000000" w:sz="0" w:space="0"/>
          <w:right w:val="none" w:color="000000" w:sz="0" w:space="0"/>
        </w:pBdr>
        <w:spacing w:after="0" w:line="85" w:lineRule="atLeast"/>
        <w:ind w:firstLine="1084"/>
        <w:jc w:val="both"/>
        <w:rPr>
          <w:rFonts w:hint="eastAsia" w:ascii="宋体" w:hAnsi="宋体" w:eastAsia="宋体" w:cs="宋体"/>
          <w:b/>
          <w:color w:val="000000"/>
          <w:sz w:val="36"/>
          <w:lang w:eastAsia="zh-CN"/>
        </w:rPr>
      </w:pPr>
      <w:r>
        <w:rPr>
          <w:rFonts w:ascii="宋体" w:hAnsi="宋体" w:eastAsia="宋体" w:cs="宋体"/>
          <w:b/>
          <w:color w:val="000000"/>
          <w:sz w:val="36"/>
          <w:lang w:eastAsia="zh-CN"/>
        </w:rPr>
        <w:t>项目名称：</w:t>
      </w:r>
      <w:r>
        <w:rPr>
          <w:rFonts w:hint="eastAsia" w:ascii="宋体" w:hAnsi="宋体" w:eastAsia="宋体" w:cs="宋体"/>
          <w:b/>
          <w:color w:val="000000"/>
          <w:sz w:val="36"/>
          <w:lang w:eastAsia="zh-CN"/>
        </w:rPr>
        <w:t>智慧社区管理平台（低收入家庭帮扶综</w:t>
      </w:r>
    </w:p>
    <w:p>
      <w:pPr>
        <w:pBdr>
          <w:top w:val="none" w:color="000000" w:sz="0" w:space="0"/>
          <w:left w:val="none" w:color="000000" w:sz="0" w:space="0"/>
          <w:bottom w:val="none" w:color="000000" w:sz="0" w:space="0"/>
          <w:right w:val="none" w:color="000000" w:sz="0" w:space="0"/>
        </w:pBdr>
        <w:spacing w:after="0" w:line="85" w:lineRule="atLeast"/>
        <w:ind w:firstLine="2862" w:firstLineChars="792"/>
        <w:jc w:val="both"/>
        <w:rPr>
          <w:lang w:eastAsia="zh-CN"/>
        </w:rPr>
      </w:pPr>
      <w:r>
        <w:rPr>
          <w:rFonts w:hint="eastAsia" w:ascii="宋体" w:hAnsi="宋体" w:eastAsia="宋体" w:cs="宋体"/>
          <w:b/>
          <w:color w:val="000000"/>
          <w:sz w:val="36"/>
          <w:lang w:eastAsia="zh-CN"/>
        </w:rPr>
        <w:t>合信息平台）项目</w:t>
      </w:r>
    </w:p>
    <w:p>
      <w:pPr>
        <w:pBdr>
          <w:top w:val="none" w:color="000000" w:sz="0" w:space="0"/>
          <w:left w:val="none" w:color="000000" w:sz="0" w:space="0"/>
          <w:bottom w:val="none" w:color="000000" w:sz="0" w:space="0"/>
          <w:right w:val="none" w:color="000000" w:sz="0" w:space="0"/>
        </w:pBdr>
        <w:spacing w:after="0" w:line="85" w:lineRule="atLeast"/>
        <w:ind w:firstLine="1084"/>
        <w:jc w:val="both"/>
        <w:rPr>
          <w:rFonts w:eastAsia="宋体"/>
          <w:lang w:eastAsia="zh-CN"/>
        </w:rPr>
      </w:pPr>
      <w:r>
        <w:rPr>
          <w:rFonts w:ascii="宋体" w:hAnsi="宋体" w:eastAsia="宋体" w:cs="宋体"/>
          <w:b/>
          <w:color w:val="000000"/>
          <w:sz w:val="36"/>
          <w:lang w:eastAsia="zh-CN"/>
        </w:rPr>
        <w:t>采购单位：</w:t>
      </w:r>
      <w:r>
        <w:rPr>
          <w:rFonts w:hint="eastAsia" w:ascii="宋体" w:hAnsi="宋体" w:eastAsia="宋体" w:cs="宋体"/>
          <w:b/>
          <w:color w:val="000000"/>
          <w:sz w:val="36"/>
          <w:lang w:eastAsia="zh-CN"/>
        </w:rPr>
        <w:t>太仓市民政局</w:t>
      </w:r>
    </w:p>
    <w:p>
      <w:pPr>
        <w:pBdr>
          <w:top w:val="none" w:color="000000" w:sz="0" w:space="0"/>
          <w:left w:val="none" w:color="000000" w:sz="0" w:space="0"/>
          <w:bottom w:val="none" w:color="000000" w:sz="0" w:space="0"/>
          <w:right w:val="none" w:color="000000" w:sz="0" w:space="0"/>
        </w:pBdr>
        <w:spacing w:after="0" w:line="85" w:lineRule="atLeast"/>
        <w:ind w:firstLine="1084"/>
        <w:jc w:val="both"/>
        <w:rPr>
          <w:rFonts w:ascii="宋体" w:hAnsi="宋体" w:eastAsia="宋体" w:cs="宋体"/>
          <w:b/>
          <w:color w:val="000000"/>
          <w:sz w:val="36"/>
          <w:lang w:eastAsia="zh-CN"/>
        </w:rPr>
      </w:pPr>
      <w:r>
        <w:rPr>
          <w:rFonts w:ascii="宋体" w:hAnsi="宋体" w:eastAsia="宋体" w:cs="宋体"/>
          <w:b/>
          <w:color w:val="000000"/>
          <w:sz w:val="36"/>
          <w:lang w:eastAsia="zh-CN"/>
        </w:rPr>
        <w:t>采购项目类别：服务类</w:t>
      </w:r>
    </w:p>
    <w:p>
      <w:pPr>
        <w:pBdr>
          <w:top w:val="none" w:color="000000" w:sz="0" w:space="0"/>
          <w:left w:val="none" w:color="000000" w:sz="0" w:space="0"/>
          <w:bottom w:val="none" w:color="000000" w:sz="0" w:space="0"/>
          <w:right w:val="none" w:color="000000" w:sz="0" w:space="0"/>
        </w:pBdr>
        <w:spacing w:after="0" w:line="85" w:lineRule="atLeast"/>
        <w:ind w:firstLine="1084"/>
        <w:jc w:val="both"/>
        <w:rPr>
          <w:rFonts w:ascii="宋体" w:hAnsi="宋体" w:eastAsia="宋体" w:cs="宋体"/>
          <w:b/>
          <w:color w:val="000000"/>
          <w:sz w:val="36"/>
          <w:lang w:eastAsia="zh-CN"/>
        </w:rPr>
      </w:pPr>
      <w:r>
        <w:rPr>
          <w:rFonts w:ascii="宋体" w:hAnsi="宋体" w:eastAsia="宋体" w:cs="宋体"/>
          <w:b/>
          <w:color w:val="000000"/>
          <w:sz w:val="36"/>
          <w:lang w:eastAsia="zh-CN"/>
        </w:rPr>
        <w:t>标的所属行业：</w:t>
      </w:r>
      <w:r>
        <w:rPr>
          <w:rFonts w:hint="eastAsia" w:ascii="宋体" w:hAnsi="宋体" w:eastAsia="宋体" w:cs="宋体"/>
          <w:b/>
          <w:color w:val="000000"/>
          <w:sz w:val="36"/>
          <w:lang w:eastAsia="zh-CN"/>
        </w:rPr>
        <w:t>（十二）软件和信息技术服务业</w:t>
      </w:r>
    </w:p>
    <w:p>
      <w:pPr>
        <w:pBdr>
          <w:top w:val="none" w:color="000000" w:sz="0" w:space="0"/>
          <w:left w:val="none" w:color="000000" w:sz="0" w:space="0"/>
          <w:bottom w:val="none" w:color="000000" w:sz="0" w:space="0"/>
          <w:right w:val="none" w:color="000000" w:sz="0" w:space="0"/>
        </w:pBdr>
        <w:spacing w:after="0" w:line="85" w:lineRule="atLeast"/>
        <w:ind w:firstLine="1084"/>
        <w:jc w:val="both"/>
        <w:rPr>
          <w:lang w:eastAsia="zh-CN"/>
        </w:rPr>
      </w:pP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8"/>
          <w:lang w:eastAsia="zh-CN"/>
        </w:rPr>
        <w:t> </w:t>
      </w:r>
    </w:p>
    <w:p>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000000"/>
          <w:sz w:val="44"/>
          <w:lang w:eastAsia="zh-CN"/>
        </w:rPr>
      </w:pPr>
      <w:r>
        <w:rPr>
          <w:rFonts w:ascii="宋体" w:hAnsi="宋体" w:eastAsia="宋体" w:cs="宋体"/>
          <w:color w:val="000000"/>
          <w:sz w:val="44"/>
          <w:lang w:eastAsia="zh-CN"/>
        </w:rPr>
        <w:t> </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color w:val="000000"/>
          <w:sz w:val="44"/>
          <w:lang w:eastAsia="zh-CN"/>
        </w:rPr>
        <w:t>苏州市公共资源交易中心太仓分中心</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color w:val="000000"/>
          <w:sz w:val="44"/>
          <w:lang w:eastAsia="zh-CN"/>
        </w:rPr>
        <w:t>202</w:t>
      </w:r>
      <w:r>
        <w:rPr>
          <w:rFonts w:hint="eastAsia" w:ascii="宋体" w:hAnsi="宋体" w:eastAsia="宋体" w:cs="宋体"/>
          <w:color w:val="000000"/>
          <w:sz w:val="44"/>
          <w:lang w:eastAsia="zh-CN"/>
        </w:rPr>
        <w:t>4</w:t>
      </w:r>
      <w:r>
        <w:rPr>
          <w:rFonts w:ascii="宋体" w:hAnsi="宋体" w:eastAsia="宋体" w:cs="宋体"/>
          <w:color w:val="000000"/>
          <w:sz w:val="44"/>
          <w:lang w:eastAsia="zh-CN"/>
        </w:rPr>
        <w:t>年</w:t>
      </w:r>
      <w:r>
        <w:rPr>
          <w:rFonts w:hint="eastAsia" w:ascii="宋体" w:hAnsi="宋体" w:eastAsia="宋体" w:cs="宋体"/>
          <w:color w:val="000000"/>
          <w:sz w:val="44"/>
          <w:lang w:val="en-US" w:eastAsia="zh-CN"/>
        </w:rPr>
        <w:t>11</w:t>
      </w:r>
      <w:r>
        <w:rPr>
          <w:rFonts w:ascii="宋体" w:hAnsi="宋体" w:eastAsia="宋体" w:cs="宋体"/>
          <w:color w:val="000000"/>
          <w:sz w:val="44"/>
          <w:lang w:eastAsia="zh-CN"/>
        </w:rPr>
        <w:t>月</w:t>
      </w:r>
      <w:r>
        <w:rPr>
          <w:rFonts w:ascii="宋体" w:hAnsi="宋体" w:eastAsia="宋体" w:cs="宋体"/>
          <w:color w:val="000000"/>
          <w:sz w:val="44"/>
          <w:lang w:eastAsia="zh-CN"/>
        </w:rPr>
        <w:br w:type="page" w:clear="all"/>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color w:val="000000"/>
          <w:sz w:val="36"/>
          <w:lang w:eastAsia="zh-CN"/>
        </w:rPr>
        <w:t>目录</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第一部分：招标公告</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第二部分：投标人须知</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第三部分：项目需求</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第四部分：投标文件格式</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第五部分：评标方法与评标标准</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第六部分：合同主要条款</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jc w:val="center"/>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before="240" w:after="240"/>
        <w:jc w:val="center"/>
        <w:rPr>
          <w:lang w:eastAsia="zh-CN"/>
        </w:rPr>
      </w:pPr>
      <w:r>
        <w:rPr>
          <w:rFonts w:ascii="宋体" w:hAnsi="宋体" w:eastAsia="宋体" w:cs="宋体"/>
          <w:b/>
          <w:color w:val="000000"/>
          <w:sz w:val="44"/>
          <w:lang w:eastAsia="zh-CN"/>
        </w:rPr>
        <w:t>第一部分</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招标公告</w:t>
      </w:r>
    </w:p>
    <w:tbl>
      <w:tblPr>
        <w:tblStyle w:val="38"/>
        <w:tblW w:w="868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8681"/>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8681" w:type="dxa"/>
            <w:tcBorders>
              <w:top w:val="single" w:color="000000" w:sz="6" w:space="0"/>
              <w:left w:val="single" w:color="000000" w:sz="6" w:space="0"/>
              <w:bottom w:val="single" w:color="000000" w:sz="6" w:space="0"/>
              <w:right w:val="single" w:color="000000" w:sz="6" w:space="0"/>
            </w:tcBorders>
            <w:shd w:val="clear" w:color="auto" w:fill="FFFFFF"/>
            <w:vAlign w:val="center"/>
          </w:tcPr>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项目概况</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智慧社区管理平台（低收入家庭帮扶综合信息平台）项目JSZC-320585-JZCG-G2024-0128招标项目的潜在投标人应在“苏采云”系统（网址：http://jszfcg.jsczt.cn/）自行下载 获取招标文件，并于2024-12-19 09:30 （北京时间）前递交投标文件。</w:t>
            </w:r>
          </w:p>
        </w:tc>
      </w:tr>
    </w:tbl>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一、项目基本情况</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项目编号：JSZC-320585-JZCG-G2024-0128</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项目名称：智慧社区管理平台（低收入家庭帮扶综合信息平台）项目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预算金额：68 万元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最高限价（如有）：68 万元</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采购方式：公开招标 </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highlight w:val="none"/>
          <w:lang w:eastAsia="zh-CN"/>
        </w:rPr>
      </w:pPr>
      <w:r>
        <w:rPr>
          <w:rFonts w:hint="eastAsia" w:ascii="仿宋" w:hAnsi="仿宋" w:eastAsia="仿宋" w:cs="仿宋"/>
          <w:sz w:val="24"/>
          <w:szCs w:val="24"/>
          <w:lang w:eastAsia="zh-CN"/>
        </w:rPr>
        <w:t>采购需求：社会救助信息化建设的开展，有利于推进互联网、大数据、和社会救助工作的深度融合，为实现救助管理跨部门、跨领域、跨层级信息共享和创新发展提供有力支撑</w:t>
      </w:r>
      <w:r>
        <w:rPr>
          <w:rFonts w:hint="eastAsia" w:ascii="仿宋" w:hAnsi="仿宋" w:eastAsia="仿宋" w:cs="仿宋"/>
          <w:sz w:val="24"/>
          <w:szCs w:val="24"/>
          <w:highlight w:val="none"/>
          <w:lang w:eastAsia="zh-CN"/>
        </w:rPr>
        <w:t>，更好的助力我市温情救助、精准帮扶。</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highlight w:val="none"/>
          <w:lang w:eastAsia="zh-CN"/>
        </w:rPr>
        <w:t>具体内容</w:t>
      </w:r>
      <w:r>
        <w:rPr>
          <w:rFonts w:hint="eastAsia" w:ascii="仿宋" w:hAnsi="仿宋" w:eastAsia="仿宋" w:cs="仿宋"/>
          <w:sz w:val="24"/>
          <w:szCs w:val="24"/>
          <w:lang w:eastAsia="zh-CN"/>
        </w:rPr>
        <w:t>详见第三部分项目需求</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合同履行期限：合同签订后7个月内完成系统建设并通过验收交付。免费维保期为项目验收后1年。</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本项目（是/否）接受联合体投标：不接受联合体</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本项目拒绝进口产品投标。</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二、申请人的资格要求</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（一）满足《中华人民共和国政府采购法》第二十二条规定；</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1.具有独立承担民事责任的能力</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2.具有良好的商业信誉和健全的财务会计制度</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3.具有履行合同所必需的设备和专业技术能力</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4.有依法缴纳税收和社会保障资金的良好记录</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5.参加政府采购活动前三年内，在经营活动中没有重大违法记录</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6.法律、行政法规规定的其他条件</w:t>
      </w:r>
    </w:p>
    <w:p>
      <w:pP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（二）落实政府采购政策需满足的资格要求：</w:t>
      </w:r>
    </w:p>
    <w:p>
      <w:pPr>
        <w:spacing w:after="0" w:line="480" w:lineRule="atLeast"/>
        <w:rPr>
          <w:rFonts w:hint="eastAsia" w:ascii="仿宋" w:hAnsi="仿宋" w:eastAsia="仿宋" w:cs="仿宋"/>
          <w:sz w:val="24"/>
          <w:szCs w:val="24"/>
        </w:rPr>
      </w:pPr>
      <w:r>
        <w:rPr>
          <w:rFonts w:hint="eastAsia" w:ascii="仿宋" w:hAnsi="仿宋" w:eastAsia="仿宋" w:cs="仿宋"/>
          <w:sz w:val="24"/>
          <w:szCs w:val="24"/>
        </w:rPr>
        <w:t>本项目专门面向中小企业采购，投标人必须提供《中小企业声明函》或《残疾人福利性单位声明函》或由省级以上监狱管理局、戒毒管理局（含新疆生产建设兵团）出具的属于监狱企业的证明文件。</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（三）本项目的特定资格要求：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1.未被“信用中国”网站（www.creditchina.gov.cn）或中国政府采购网（https://www.ccgp.gov.cn/search/cr/）列入失信被执行人、重大税收违法案件当事人名单、政府采购严重违法失信行为记录名单。</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2.落实政府采购政策需满足的资格要求</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（四）拒绝下述供应商参加本次采购活动：</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1、供应商单位负责人为同一人或者存在直接控股、管理关系的不同供应商，不得参加同一合同项下的政府采购活动。</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2、凡为采购项目提供整体设计、规范编制或者项目管理、监理、检测等服务的供应商，不得再参加本项目的采购活动。</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3、法人的分支机构不得参加响应活动（除银行、保险、石油石化、电力、电信等行业特殊情况外）。</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三、获取招标文件</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时间：</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2024年11月</w:t>
      </w:r>
      <w:r>
        <w:rPr>
          <w:rFonts w:hint="eastAsia" w:ascii="仿宋" w:hAnsi="仿宋" w:eastAsia="仿宋" w:cs="仿宋"/>
          <w:sz w:val="24"/>
          <w:szCs w:val="24"/>
          <w:lang w:val="en-US" w:eastAsia="zh-CN"/>
        </w:rPr>
        <w:t>25</w:t>
      </w:r>
      <w:r>
        <w:rPr>
          <w:rFonts w:hint="eastAsia" w:ascii="仿宋" w:hAnsi="仿宋" w:eastAsia="仿宋" w:cs="仿宋"/>
          <w:sz w:val="24"/>
          <w:szCs w:val="24"/>
          <w:lang w:eastAsia="zh-CN"/>
        </w:rPr>
        <w:t>日至12月</w:t>
      </w:r>
      <w:r>
        <w:rPr>
          <w:rFonts w:hint="eastAsia" w:ascii="仿宋" w:hAnsi="仿宋" w:eastAsia="仿宋" w:cs="仿宋"/>
          <w:sz w:val="24"/>
          <w:szCs w:val="24"/>
          <w:lang w:val="en-US" w:eastAsia="zh-CN"/>
        </w:rPr>
        <w:t>3</w:t>
      </w:r>
      <w:bookmarkStart w:id="8" w:name="_GoBack"/>
      <w:bookmarkEnd w:id="8"/>
      <w:r>
        <w:rPr>
          <w:rFonts w:hint="eastAsia" w:ascii="仿宋" w:hAnsi="仿宋" w:eastAsia="仿宋" w:cs="仿宋"/>
          <w:sz w:val="24"/>
          <w:szCs w:val="24"/>
          <w:lang w:eastAsia="zh-CN"/>
        </w:rPr>
        <w:t>日，每天上午00:00-12:00，下午12:00-</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23:59（北京时间，法定节假日除外）</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地点：“苏采云”系统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方式：自行下载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售价：0.00元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四、提交投标文件截止时间、开标时间和地点</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2024-12-19 09:30 （北京时间）</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地点：苏采云系统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五、公告期限</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自本公告发布之日起5个工作日。</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六、其他补充事宜</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1、本项目需要使用CA数字证书制作、上传电子投标文件完成电子投标，请供应商在参加投标活动前办理好CA数字证书申领及电子签章等操作。</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sz w:val="24"/>
          <w:szCs w:val="24"/>
          <w:lang w:eastAsia="zh-CN"/>
        </w:rPr>
      </w:pPr>
      <w:r>
        <w:rPr>
          <w:rFonts w:hint="eastAsia" w:ascii="仿宋" w:hAnsi="仿宋" w:eastAsia="仿宋" w:cs="仿宋"/>
          <w:b/>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ascii="仿宋" w:hAnsi="仿宋" w:eastAsia="仿宋" w:cs="仿宋"/>
          <w:b/>
          <w:sz w:val="24"/>
          <w:szCs w:val="24"/>
          <w:lang w:eastAsia="zh-CN"/>
        </w:rPr>
        <w:t>3</w:t>
      </w:r>
      <w:r>
        <w:rPr>
          <w:rFonts w:hint="eastAsia" w:ascii="仿宋" w:hAnsi="仿宋" w:eastAsia="仿宋" w:cs="仿宋"/>
          <w:b/>
          <w:sz w:val="24"/>
          <w:szCs w:val="24"/>
          <w:lang w:eastAsia="zh-CN"/>
        </w:rPr>
        <w:t>、本项目采用不见面开标，投标人开标时无需到开标现场进行解密，采取网上开标大厅解密电子投标文件，投标人远程解密要求如下：</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1）投标人使用CA数字证书进行远程解密，解密的CA数字证书与生成加密电子投标文件时的CA数字证书需为同一个CA数字证书，否则无法解密，造成的后果由投标人自行负责。</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2）投标人登录苏采云系统，点击开标大厅，选择开标项目，完成不见面开标流程。</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3）投标截止时间后根据系统提示解密电子投标文件。</w:t>
      </w:r>
      <w:r>
        <w:rPr>
          <w:rFonts w:hint="eastAsia" w:ascii="仿宋" w:hAnsi="仿宋" w:eastAsia="仿宋" w:cs="仿宋"/>
          <w:b/>
          <w:sz w:val="24"/>
          <w:szCs w:val="24"/>
          <w:lang w:eastAsia="zh-CN"/>
        </w:rPr>
        <w:t>解密时间为15分钟，</w:t>
      </w:r>
      <w:r>
        <w:rPr>
          <w:rFonts w:hint="eastAsia" w:ascii="仿宋" w:hAnsi="仿宋" w:eastAsia="仿宋" w:cs="仿宋"/>
          <w:sz w:val="24"/>
          <w:szCs w:val="24"/>
          <w:lang w:eastAsia="zh-CN"/>
        </w:rPr>
        <w:t>未在规定时间内完成解密，其投标文件将被拒绝，不参与后续投标流程。</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4）在开标、评标过程中投标单位代表须在网上不见面开标系统中保持在线状态，以应对可能发生的澄清、说明等回复，由于投标单位代表不在线所造成的一切后果由投标人自行承担。</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4、</w:t>
      </w:r>
      <w:r>
        <w:rPr>
          <w:rFonts w:hint="eastAsia" w:ascii="仿宋" w:hAnsi="仿宋" w:eastAsia="仿宋" w:cs="仿宋"/>
          <w:b/>
          <w:sz w:val="24"/>
          <w:szCs w:val="24"/>
          <w:lang w:eastAsia="zh-CN"/>
        </w:rPr>
        <w:t>有关苏采云系统驱动安装，</w:t>
      </w:r>
      <w:r>
        <w:rPr>
          <w:rFonts w:hint="eastAsia" w:ascii="仿宋" w:hAnsi="仿宋" w:eastAsia="仿宋" w:cs="仿宋"/>
          <w:sz w:val="24"/>
          <w:szCs w:val="24"/>
          <w:lang w:eastAsia="zh-CN"/>
        </w:rPr>
        <w:t>登录苏州政府采购网，点击页面底部苏采云图标，进入苏采云政府采购一体化平台，点击“驱动下载”，下载</w:t>
      </w:r>
      <w:r>
        <w:rPr>
          <w:rFonts w:hint="eastAsia" w:ascii="仿宋" w:hAnsi="仿宋" w:eastAsia="仿宋" w:cs="仿宋"/>
          <w:b/>
          <w:sz w:val="24"/>
          <w:szCs w:val="24"/>
          <w:lang w:eastAsia="zh-CN"/>
        </w:rPr>
        <w:t>“政务CA、方正签章控件驱动安装包及安装说明”</w:t>
      </w:r>
      <w:r>
        <w:rPr>
          <w:rFonts w:hint="eastAsia" w:ascii="仿宋" w:hAnsi="仿宋" w:eastAsia="仿宋" w:cs="仿宋"/>
          <w:sz w:val="24"/>
          <w:szCs w:val="24"/>
          <w:lang w:eastAsia="zh-CN"/>
        </w:rPr>
        <w:t>文件，按要求安装驱动。</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5、</w:t>
      </w:r>
      <w:r>
        <w:rPr>
          <w:rFonts w:hint="eastAsia" w:ascii="仿宋" w:hAnsi="仿宋" w:eastAsia="仿宋" w:cs="仿宋"/>
          <w:b/>
          <w:sz w:val="24"/>
          <w:szCs w:val="24"/>
          <w:lang w:eastAsia="zh-CN"/>
        </w:rPr>
        <w:t>有关供应商注册、报名、下载电子招标文件、制作上传电子投标文件</w:t>
      </w:r>
      <w:r>
        <w:rPr>
          <w:rFonts w:hint="eastAsia" w:ascii="仿宋" w:hAnsi="仿宋" w:eastAsia="仿宋" w:cs="仿宋"/>
          <w:sz w:val="24"/>
          <w:szCs w:val="24"/>
          <w:lang w:eastAsia="zh-CN"/>
        </w:rPr>
        <w:t>、不见面开标及其他注意事项登录苏州政府采购网，在“下载中心”栏目下载“</w:t>
      </w:r>
      <w:r>
        <w:rPr>
          <w:rFonts w:hint="eastAsia" w:ascii="仿宋" w:hAnsi="仿宋" w:eastAsia="仿宋" w:cs="仿宋"/>
          <w:b/>
          <w:sz w:val="24"/>
          <w:szCs w:val="24"/>
          <w:lang w:eastAsia="zh-CN"/>
        </w:rPr>
        <w:t>苏采云系统供应商操作</w:t>
      </w:r>
      <w:r>
        <w:rPr>
          <w:rFonts w:hint="eastAsia" w:ascii="仿宋" w:hAnsi="仿宋" w:eastAsia="仿宋" w:cs="仿宋"/>
          <w:b/>
          <w:bCs/>
          <w:sz w:val="24"/>
          <w:szCs w:val="24"/>
          <w:lang w:eastAsia="zh-CN"/>
        </w:rPr>
        <w:t>手册</w:t>
      </w:r>
      <w:r>
        <w:rPr>
          <w:rFonts w:hint="eastAsia" w:ascii="仿宋" w:hAnsi="仿宋" w:eastAsia="仿宋" w:cs="仿宋"/>
          <w:sz w:val="24"/>
          <w:szCs w:val="24"/>
          <w:lang w:eastAsia="zh-CN"/>
        </w:rPr>
        <w:t>”查阅。</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6、有关办理CA数字申领及电子签章事项，登录苏州政府采购网，点击页面底部苏采云图标，进入苏采云政府采购一体化平台，下载“新CA办理指南”文件查阅。</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7、有关电子投标制作技术疑问，请咨询苏采云软件公司客服：18261002950、0512-69820854、0519-86722802</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8、政府采购监督电话：0512-53512539</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9、本次招标投标保证金：本项目无须缴纳投标保证金。</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ascii="仿宋" w:hAnsi="仿宋" w:eastAsia="仿宋" w:cs="仿宋"/>
          <w:sz w:val="24"/>
          <w:szCs w:val="24"/>
          <w:lang w:eastAsia="zh-CN"/>
        </w:rPr>
        <w:t>10、政府采购信用融资政策：中标供应商可凭政府采购合同办理融资贷款，详情请见江苏政府采购网“政采贷”专栏。</w:t>
      </w:r>
      <w:r>
        <w:rPr>
          <w:rFonts w:ascii="仿宋" w:hAnsi="仿宋" w:eastAsia="仿宋" w:cs="仿宋"/>
          <w:sz w:val="24"/>
          <w:szCs w:val="24"/>
          <w:lang w:eastAsia="zh-CN"/>
        </w:rPr>
        <w:br w:type="textWrapping"/>
      </w:r>
      <w:r>
        <w:rPr>
          <w:rFonts w:ascii="仿宋" w:hAnsi="仿宋" w:eastAsia="仿宋" w:cs="仿宋"/>
          <w:sz w:val="24"/>
          <w:szCs w:val="24"/>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七、对本次招标提出询问，请按以下方式联系</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1.采购人信息 </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单位名称： 太仓市民政局</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单位地址： 县府东街99号6号楼</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联系人： 王晨</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联系电话： 0512-53452877</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2.采购代理机构信息（如有）</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单位名称：苏州市公共资源交易中心太仓分中心</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单位地址：太仓市县府东街99号</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 xml:space="preserve">联系人：周萌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联系电话：0512-53890581</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3.项目联系方式</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项目联系人：周萌</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电话：0512-53890581</w:t>
      </w: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Style w:val="17"/>
        <w:rPr>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bCs/>
          <w:color w:val="000000"/>
          <w:sz w:val="44"/>
          <w:szCs w:val="44"/>
          <w:lang w:eastAsia="zh-CN"/>
        </w:rPr>
      </w:pPr>
      <w:r>
        <w:rPr>
          <w:rFonts w:ascii="宋体" w:hAnsi="宋体" w:eastAsia="宋体" w:cs="宋体"/>
          <w:b/>
          <w:color w:val="000000"/>
          <w:sz w:val="44"/>
          <w:lang w:eastAsia="zh-CN"/>
        </w:rPr>
        <w:t>第二部分  投标人须知</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一、说明和释义</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 说明</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1.1本招标文件仅适用于苏州市公共资源交易中心太仓分中心组织的招标活动。</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1.2本次招标活动及因本次招标产生的合同受中国法律制约和保护。</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1.3本招标文件的解释权属于苏州市公共资源交易中心太仓分中心。</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 词语释义</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2.1采购代理机构：具体组织实施招标活动的法人。本项目采购代理机构是苏州市公共资源交易中心太仓分中心。</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2.2投标人：经认定有资格响应招标，参加投标竞争的法人或其他组织和自然人。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2.3响应：投标人根据采购人或采购代理机构发布的招标文件，编制投标文件并按规定投标的行为。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2.4合同：采供双方根据招标文件和中标的投标文件及中标通知书规定的内容签署的以书面形式所达成的协议，包括所有的附件、附录和构成协议的所有文件。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2.5甲方（采购方）：合同中明确规定的实际购买货物和服务的法人或其他组织和自然人（采购人）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2.6乙方（供应商）：合同中规定的向采购方提供货物和服务的法人或其他组织和自然人（中标人）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2.7货物：系指乙方按招标采购文件规定，应向甲方提供的一切设备、备品、备件、工具、手册及其它有关技术资料和材料。</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2.9知识产权：指专利权、商标权、著作权等无形财产专有权的统称。</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2.10天：日历日。</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2.11交货地点：合同中明确约定的乙方提交的货物和服务最终到达地点。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2.12 合同价款：根据合同规定，乙方在正确地履行合同义务后甲方应支付乙方的价款。</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2.13 产地：货物开采、生长、生产、最终制造、加工或提供服务的来源地。</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2.14不可抗力：不能预见、不能避免并且不能克服的客观情况。</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2.15 实质性响应：满足有关本次采购标的、数量、质量、价款或者报酬、履行期限、履行地点和方式、违约责任和解决争议方法等要求。</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2.17进口产品：指通过中国海关报关验收进入中国境内且产自境外的产品。本项目不接受进口产品投标。</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2.18书面形式：指书面文字、合同书、信件和传真等可以有形地表现所载内容的形式。</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二、 投标人</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 合格投标人的基本条件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3.1符合《中华人民共和国政府采购法》第二十二条第一款之规定；</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3.2满足本文件实质性条款的规定。</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4．合格投标人的特定条件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4.1 按招标公告规定。</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5. 投标人代表</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5.1指全权代表投标人参加投标活动并签署投标文件的人，如果投标人代表不是法人代表，须持有《法人代表授权委托书》（详见统一格式）。</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sz w:val="24"/>
          <w:lang w:eastAsia="zh-CN"/>
        </w:rPr>
        <w:t>6. 联合投标及转包、分包</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lang w:eastAsia="zh-CN"/>
        </w:rPr>
      </w:pPr>
      <w:r>
        <w:rPr>
          <w:rFonts w:ascii="宋体" w:hAnsi="宋体" w:eastAsia="宋体" w:cs="宋体"/>
          <w:sz w:val="24"/>
          <w:lang w:eastAsia="zh-CN"/>
        </w:rPr>
        <w:t>6.1</w:t>
      </w:r>
      <w:r>
        <w:rPr>
          <w:rFonts w:hint="eastAsia" w:ascii="宋体" w:hAnsi="宋体" w:eastAsia="宋体" w:cs="宋体"/>
          <w:sz w:val="24"/>
          <w:lang w:eastAsia="zh-CN"/>
        </w:rPr>
        <w:t>本项目不接受联合体投标</w:t>
      </w:r>
      <w:r>
        <w:rPr>
          <w:rFonts w:ascii="宋体" w:hAnsi="宋体" w:eastAsia="宋体" w:cs="宋体"/>
          <w:sz w:val="24"/>
          <w:lang w:eastAsia="zh-CN"/>
        </w:rPr>
        <w:t>。</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lang w:eastAsia="zh-CN"/>
        </w:rPr>
      </w:pPr>
      <w:r>
        <w:rPr>
          <w:rFonts w:hint="eastAsia" w:ascii="宋体" w:hAnsi="宋体" w:eastAsia="宋体" w:cs="宋体"/>
          <w:sz w:val="24"/>
          <w:lang w:eastAsia="zh-CN"/>
        </w:rPr>
        <w:t>6.2本项目不接受转包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hint="eastAsia" w:ascii="宋体" w:hAnsi="宋体" w:eastAsia="宋体" w:cs="宋体"/>
          <w:sz w:val="24"/>
          <w:lang w:eastAsia="zh-CN"/>
        </w:rPr>
        <w:t>6</w:t>
      </w:r>
      <w:r>
        <w:rPr>
          <w:rFonts w:ascii="宋体" w:hAnsi="宋体" w:eastAsia="宋体" w:cs="宋体"/>
          <w:sz w:val="24"/>
          <w:lang w:eastAsia="zh-CN"/>
        </w:rPr>
        <w:t>.3</w:t>
      </w:r>
      <w:r>
        <w:rPr>
          <w:rFonts w:hint="eastAsia" w:ascii="宋体" w:hAnsi="宋体" w:eastAsia="宋体" w:cs="宋体"/>
          <w:sz w:val="24"/>
          <w:lang w:eastAsia="zh-CN"/>
        </w:rPr>
        <w:t>本项目不接受分包。</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 xml:space="preserve">7. 投标费用 </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7.1投标人应自行承担所有准备及参加投标的相关费用。不论投标结果如何，采购代理机构在任何情况下均无义务也无责任承担这些费用。</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7.2 本次招标项目不收取标书费及中标服务费，请投标人在投标时充分考虑这一因素。</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三、招标文件说明</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8. 招标文件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8.2招标文件及其更正文件不是直接从采购代理机构或指定媒体获得的，采购代理机构对招标文件及其补遗的真实性、完整性不承担任何责任。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9. 招标文件的澄清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9.1投标人在获取招标文件后，若有疑问，应于投标截止时间之前，向采购代理机构提出，采购代理机构将予以解答。</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9.2如有必要，问题答复将以“变更公告”形式由采购代理机构按照本须知第10条的规定发出。</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10.招标文件的修改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10.1采购代理机构无论出于自己的考虑，还是出于对投标人提问的澄清，均可对已发出的招标文件用补充文件的方式进行必要澄清或者修改。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10.3招标文件的更正（含澄清、修改等）内容与原招标文件在同一内容上表述不一致时，以发出日期最接近开标时间的公告为准。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pPr>
        <w:pBdr>
          <w:top w:val="none" w:color="000000" w:sz="0" w:space="0"/>
          <w:left w:val="none" w:color="000000" w:sz="0" w:space="0"/>
          <w:bottom w:val="none" w:color="000000" w:sz="0" w:space="0"/>
          <w:right w:val="none" w:color="000000" w:sz="0" w:space="0"/>
        </w:pBdr>
        <w:spacing w:after="0" w:line="439" w:lineRule="atLeast"/>
        <w:ind w:firstLine="361"/>
        <w:jc w:val="both"/>
        <w:rPr>
          <w:lang w:eastAsia="zh-CN"/>
        </w:rPr>
      </w:pPr>
      <w:r>
        <w:rPr>
          <w:rFonts w:ascii="宋体" w:hAnsi="宋体" w:eastAsia="宋体" w:cs="宋体"/>
          <w:b/>
          <w:color w:val="000000"/>
          <w:sz w:val="24"/>
          <w:lang w:eastAsia="zh-CN"/>
        </w:rPr>
        <w:t>10.5招标文件若有最新的答疑文件，投标供应商必须下载并使用该文件制作新的电子投标文件，否则将无法完成电子投标文件的上传及投标。</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11.质疑</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11.2 提出质疑的供应商应当是参与所质疑项目采购活动的供应商，未参加投标活动的供应商或在投标活动中自身权益未受到损害的供应商所提出的质疑不予受理。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11.3上述应知其权益受到损害之日是指：</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11.3.1对采购文件提出质疑的，为获取采购文件或者采购文件公告期限届满之日起计算；</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11.3.2对采购过程提出质疑的，自采购程序环节结束之日起计算；</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11.3.3对中标结果提出质疑的，自中标结果公告期限届满之日起计算。</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 供应商提出质疑应当提交质疑函和必要的证明材料。质疑函应当包括下列内容：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11.4.1 供应商的姓名或者名称、地址、邮编、联系人及联系电话；</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11.4.2 质疑项目的名称、编号；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11.4.3 具体、明确的质疑事项和与质疑事项相关的请求；</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11.4.4 事实依据；</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11.4.5 必要的法律依据；</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11.4.6 提出质疑的日期。</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11.5质疑函的格式和内容应当符合财政部《政府采购供应商质疑函范本》 要求，质疑函范本在财政部官网上提供下载。</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11.6 提交质疑函同时应当附如下证明材料：</w:t>
      </w:r>
    </w:p>
    <w:p>
      <w:pPr>
        <w:pBdr>
          <w:top w:val="none" w:color="000000" w:sz="0" w:space="0"/>
          <w:left w:val="none" w:color="000000" w:sz="0" w:space="0"/>
          <w:bottom w:val="none" w:color="000000" w:sz="0" w:space="0"/>
          <w:right w:val="none" w:color="000000" w:sz="0" w:space="0"/>
        </w:pBdr>
        <w:spacing w:after="0" w:line="439" w:lineRule="atLeast"/>
        <w:ind w:left="568" w:hanging="88"/>
        <w:jc w:val="both"/>
        <w:rPr>
          <w:rFonts w:ascii="宋体" w:hAnsi="宋体" w:eastAsia="宋体" w:cs="宋体"/>
          <w:color w:val="000000"/>
          <w:sz w:val="24"/>
          <w:lang w:eastAsia="zh-CN"/>
        </w:rPr>
      </w:pPr>
      <w:r>
        <w:rPr>
          <w:rFonts w:ascii="宋体" w:hAnsi="宋体" w:eastAsia="宋体" w:cs="宋体"/>
          <w:color w:val="000000"/>
          <w:sz w:val="24"/>
          <w:lang w:eastAsia="zh-CN"/>
        </w:rPr>
        <w:t>11.6.1</w:t>
      </w:r>
      <w:r>
        <w:rPr>
          <w:rFonts w:hint="eastAsia" w:ascii="宋体" w:hAnsi="宋体" w:eastAsia="宋体" w:cs="宋体"/>
          <w:color w:val="000000"/>
          <w:sz w:val="24"/>
          <w:lang w:eastAsia="zh-CN"/>
        </w:rPr>
        <w:t>对采购文件提出质疑的供应商提供参加本项目的《投标供应商确认函》</w:t>
      </w:r>
      <w:r>
        <w:rPr>
          <w:rFonts w:ascii="宋体" w:hAnsi="宋体" w:eastAsia="宋体" w:cs="宋体"/>
          <w:color w:val="000000"/>
          <w:sz w:val="24"/>
          <w:lang w:eastAsia="zh-CN"/>
        </w:rPr>
        <w:t>；11.6.2质疑供应商的营业执照复印件加盖单位公章；</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11.6.3质疑供应商法定代表人身份证复印件加盖单位公章；</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11.6.4质疑供应商若委托代理人进行质疑的，提供法人授权委托书及代理人身份证复印件加盖单位公章，授权委托书应载明代理人的姓名或者名称、代理事项、具体权限、期限和相关事项；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11.8供应商对招标项目技术、商务及其他要求，以及评审细则、标准提出询问或质疑的，应向采购人提出；供应商对采购过程及中标结果提出询问或质疑的，应向采购机代理构提出；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11.9 供应商如对本项目提出质疑须在法定质疑期内一次性提出针对同一采购程序环节的质疑。</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lang w:eastAsia="zh-CN"/>
        </w:rPr>
      </w:pPr>
      <w:r>
        <w:rPr>
          <w:rFonts w:ascii="宋体" w:hAnsi="宋体" w:eastAsia="宋体" w:cs="宋体"/>
          <w:sz w:val="24"/>
          <w:lang w:eastAsia="zh-CN"/>
        </w:rPr>
        <w:t>11.1</w:t>
      </w:r>
      <w:r>
        <w:rPr>
          <w:rFonts w:hint="eastAsia" w:ascii="宋体" w:hAnsi="宋体" w:eastAsia="宋体" w:cs="宋体"/>
          <w:sz w:val="24"/>
          <w:lang w:eastAsia="zh-CN"/>
        </w:rPr>
        <w:t>0</w:t>
      </w:r>
      <w:r>
        <w:rPr>
          <w:rFonts w:ascii="宋体" w:hAnsi="宋体" w:eastAsia="宋体" w:cs="宋体"/>
          <w:sz w:val="24"/>
          <w:lang w:eastAsia="zh-CN"/>
        </w:rPr>
        <w:t xml:space="preserve"> </w:t>
      </w:r>
      <w:r>
        <w:rPr>
          <w:rFonts w:hint="eastAsia" w:ascii="宋体" w:hAnsi="宋体" w:eastAsia="宋体" w:cs="宋体"/>
          <w:sz w:val="24"/>
          <w:lang w:eastAsia="zh-CN"/>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lang w:eastAsia="zh-CN"/>
        </w:rPr>
        <w:t>（即《投标供应商确认函》）</w:t>
      </w:r>
      <w:r>
        <w:rPr>
          <w:rFonts w:hint="eastAsia" w:ascii="宋体" w:hAnsi="宋体" w:eastAsia="宋体" w:cs="宋体"/>
          <w:sz w:val="24"/>
          <w:lang w:eastAsia="zh-CN"/>
        </w:rPr>
        <w:t>与质疑函一起递交，否则不予受理。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sz w:val="24"/>
          <w:lang w:eastAsia="zh-CN"/>
        </w:rPr>
        <w:t>11.11 接受质疑函联系方式见采购公告联系事项。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四、 投标文件说明</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12、提示与要求</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12.1投标人应仔细阅读招标文件的所有内容，按招标文件的要求提供投标文件，并保证所提供的全部资料的真实性，以使其投标对招标文件做出实质性响应，否则，其投标可能被拒绝。</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12.2无论是否递交投标文件，投标人都应将招标文件及以后的所有通知、文件等视为保密文件。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13. 投标文件计量单位和使用文字</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13.1投标文件中所使用的计量单位，除招标文件中有特殊要求外，均应使用中华人民共和国法定计量单位。</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14. 知识产权</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15. 投标文件的组成</w:t>
      </w:r>
      <w:r>
        <w:rPr>
          <w:rFonts w:hint="eastAsia" w:ascii="宋体" w:hAnsi="宋体" w:eastAsia="宋体" w:cs="宋体"/>
          <w:b/>
          <w:color w:val="000000"/>
          <w:sz w:val="24"/>
          <w:lang w:val="en-US" w:eastAsia="zh-CN"/>
        </w:rPr>
        <w:t xml:space="preserve"> </w:t>
      </w:r>
    </w:p>
    <w:p>
      <w:pPr>
        <w:pBdr>
          <w:top w:val="none" w:color="000000" w:sz="0" w:space="0"/>
          <w:left w:val="none" w:color="000000" w:sz="0" w:space="0"/>
          <w:bottom w:val="none" w:color="000000" w:sz="0" w:space="0"/>
          <w:right w:val="none" w:color="000000" w:sz="0" w:space="0"/>
        </w:pBdr>
        <w:spacing w:after="0" w:line="439" w:lineRule="atLeast"/>
        <w:ind w:firstLine="120"/>
        <w:jc w:val="both"/>
        <w:rPr>
          <w:lang w:eastAsia="zh-CN"/>
        </w:rPr>
      </w:pPr>
      <w:r>
        <w:rPr>
          <w:rFonts w:ascii="宋体" w:hAnsi="宋体" w:eastAsia="宋体" w:cs="宋体"/>
          <w:b/>
          <w:color w:val="000000"/>
          <w:sz w:val="24"/>
          <w:lang w:eastAsia="zh-CN"/>
        </w:rPr>
        <w:t>15.1报价部分（详见投标文件格式）：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15.1.1封面</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15.1.2《开标一览表》(统一格式)；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15.1.3公开分项报价表；</w:t>
      </w:r>
    </w:p>
    <w:p>
      <w:pPr>
        <w:pBdr>
          <w:top w:val="none" w:color="000000" w:sz="0" w:space="0"/>
          <w:left w:val="none" w:color="000000" w:sz="0" w:space="0"/>
          <w:bottom w:val="none" w:color="000000" w:sz="0" w:space="0"/>
          <w:right w:val="none" w:color="000000" w:sz="0" w:space="0"/>
        </w:pBdr>
        <w:spacing w:after="0" w:line="439" w:lineRule="atLeast"/>
        <w:ind w:firstLine="120"/>
        <w:jc w:val="both"/>
        <w:rPr>
          <w:lang w:eastAsia="zh-CN"/>
        </w:rPr>
      </w:pPr>
      <w:r>
        <w:rPr>
          <w:rFonts w:ascii="宋体" w:hAnsi="宋体" w:eastAsia="宋体" w:cs="宋体"/>
          <w:b/>
          <w:color w:val="000000"/>
          <w:sz w:val="24"/>
          <w:lang w:eastAsia="zh-CN"/>
        </w:rPr>
        <w:t>15.2 投标正文部分（包含资质证明和技术部分）</w:t>
      </w:r>
    </w:p>
    <w:p>
      <w:pPr>
        <w:pBdr>
          <w:top w:val="none" w:color="000000" w:sz="0" w:space="0"/>
          <w:left w:val="none" w:color="000000" w:sz="0" w:space="0"/>
          <w:bottom w:val="none" w:color="000000" w:sz="0" w:space="0"/>
          <w:right w:val="none" w:color="000000" w:sz="0" w:space="0"/>
        </w:pBdr>
        <w:spacing w:after="0" w:line="439" w:lineRule="atLeast"/>
        <w:ind w:firstLine="361"/>
        <w:jc w:val="both"/>
        <w:rPr>
          <w:lang w:eastAsia="zh-CN"/>
        </w:rPr>
      </w:pPr>
      <w:r>
        <w:rPr>
          <w:rFonts w:ascii="宋体" w:hAnsi="宋体" w:eastAsia="宋体" w:cs="宋体"/>
          <w:b/>
          <w:color w:val="000000"/>
          <w:sz w:val="24"/>
          <w:lang w:eastAsia="zh-CN"/>
        </w:rPr>
        <w:t>15.2.1资质证明文件部分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15.2.1.1关于资格文件的声明函（详见投标文件格式）；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15.2.1.2投标承诺函（详见投标文件格式）；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15.2.1.3投标人基本情况表（详见投标文件格式）；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15.2.1.4投标人法定代表人身份证复印件；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15.2.1.5投标人法定代表人授权委托书原件（如有授权）（详见投标文件格式）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15.2.1.6投标人授权代理人身份证复印件（如有授权）</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15.2.1.7投标单位营业执照副本或三证合一营业执照复印件；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15.2.1.8投标人参加本次政府采购活动前的财务状况报告或者银行出具的资信证明；</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15.2.1.9投标人根据项目需求提供履行合同所必需的设备和专业技术能力的证明材料；</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15.2.1.10投标人参加本次政府采购活动前半年（至少一个月）依法缴纳税收和社会保障资金的证明材料；</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15.2.1.11投标人参加政府采购活动前三年在经营活动中没有重大违法记录的书面申明（详见投标文件格式）；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15.2.1.12投标人证明其符合招标文件规定的投标人特定资格条件的证书、证明和文件材料；（如有）</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15.2.1.13中小企业声明函</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15.2.1.14残疾人福利性单位声明函（如有）；</w:t>
      </w:r>
    </w:p>
    <w:p>
      <w:pPr>
        <w:pBdr>
          <w:top w:val="none" w:color="000000" w:sz="0" w:space="0"/>
          <w:left w:val="none" w:color="000000" w:sz="0" w:space="0"/>
          <w:bottom w:val="none" w:color="000000" w:sz="0" w:space="0"/>
          <w:right w:val="none" w:color="000000" w:sz="0" w:space="0"/>
        </w:pBdr>
        <w:spacing w:after="0" w:line="439" w:lineRule="atLeast"/>
        <w:ind w:firstLine="361"/>
        <w:jc w:val="both"/>
        <w:rPr>
          <w:lang w:eastAsia="zh-CN"/>
        </w:rPr>
      </w:pPr>
      <w:r>
        <w:rPr>
          <w:rFonts w:ascii="宋体" w:hAnsi="宋体" w:eastAsia="宋体" w:cs="宋体"/>
          <w:b/>
          <w:color w:val="000000"/>
          <w:sz w:val="24"/>
          <w:lang w:eastAsia="zh-CN"/>
        </w:rPr>
        <w:t>15.2.2技术部分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15.2.2.1服务要求偏离表（详见投标文件格式）；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15.2.2.2商务要求偏离表（详见投标文件格式）；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15.2.2.3项目的技术及服务方案；</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15.2.2.4项目实施方案和进度方案；</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15.2.2.5质量保证措施和承诺；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15.2.2.6售后服务内容；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15.2.2.7投入本项目技术（服务）人员一览表及相关证明材料；</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15.2.2.8</w:t>
      </w:r>
      <w:r>
        <w:rPr>
          <w:rFonts w:hint="eastAsia" w:ascii="宋体" w:hAnsi="宋体" w:eastAsia="宋体" w:cs="宋体"/>
          <w:color w:val="000000"/>
          <w:sz w:val="24"/>
          <w:lang w:val="en-US" w:eastAsia="zh-CN"/>
        </w:rPr>
        <w:t>业绩一览表</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w:t>
      </w:r>
      <w:r>
        <w:rPr>
          <w:rFonts w:hint="eastAsia" w:ascii="宋体" w:hAnsi="宋体" w:eastAsia="宋体" w:cs="宋体"/>
          <w:color w:val="000000"/>
          <w:sz w:val="24"/>
          <w:lang w:val="en-US" w:eastAsia="zh-CN"/>
        </w:rPr>
        <w:t>9</w:t>
      </w:r>
      <w:r>
        <w:rPr>
          <w:rFonts w:ascii="宋体" w:hAnsi="宋体" w:eastAsia="宋体" w:cs="宋体"/>
          <w:color w:val="000000"/>
          <w:sz w:val="24"/>
          <w:lang w:eastAsia="zh-CN"/>
        </w:rPr>
        <w:t>其他投标人认为需要提供的材料；</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pPr>
        <w:pBdr>
          <w:top w:val="none" w:color="000000" w:sz="0" w:space="0"/>
          <w:left w:val="none" w:color="000000" w:sz="0" w:space="0"/>
          <w:bottom w:val="none" w:color="000000" w:sz="0" w:space="0"/>
          <w:right w:val="none" w:color="000000" w:sz="0" w:space="0"/>
        </w:pBdr>
        <w:spacing w:after="0" w:line="439" w:lineRule="atLeast"/>
        <w:ind w:firstLine="142"/>
        <w:jc w:val="both"/>
        <w:rPr>
          <w:lang w:eastAsia="zh-CN"/>
        </w:rPr>
      </w:pPr>
      <w:r>
        <w:rPr>
          <w:rFonts w:ascii="宋体" w:hAnsi="宋体" w:eastAsia="宋体" w:cs="宋体"/>
          <w:b/>
          <w:color w:val="000000"/>
          <w:sz w:val="24"/>
          <w:lang w:eastAsia="zh-CN"/>
        </w:rPr>
        <w:t>15.3投标文件由15.1、15.2款规定的内容共同组成。</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16. 投标文件编制要求   </w:t>
      </w:r>
    </w:p>
    <w:p>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color w:val="000000"/>
          <w:sz w:val="24"/>
          <w:lang w:eastAsia="zh-CN"/>
        </w:rPr>
      </w:pPr>
      <w:r>
        <w:rPr>
          <w:rFonts w:ascii="宋体" w:hAnsi="宋体" w:eastAsia="宋体" w:cs="宋体"/>
          <w:color w:val="000000"/>
          <w:sz w:val="24"/>
          <w:lang w:eastAsia="zh-CN"/>
        </w:rPr>
        <w:t>16.1</w:t>
      </w:r>
      <w:r>
        <w:rPr>
          <w:rFonts w:ascii="宋体" w:hAnsi="宋体" w:eastAsia="宋体" w:cs="宋体"/>
          <w:b/>
          <w:color w:val="000000"/>
          <w:sz w:val="24"/>
          <w:lang w:eastAsia="zh-CN"/>
        </w:rPr>
        <w:t>电子投标文件编制要求：</w:t>
      </w:r>
      <w:r>
        <w:rPr>
          <w:rFonts w:ascii="宋体" w:hAnsi="宋体" w:eastAsia="宋体" w:cs="宋体"/>
          <w:color w:val="000000"/>
          <w:sz w:val="24"/>
          <w:lang w:eastAsia="zh-CN"/>
        </w:rPr>
        <w:t>投标人应使用</w:t>
      </w:r>
      <w:r>
        <w:rPr>
          <w:rFonts w:ascii="宋体" w:hAnsi="宋体" w:eastAsia="宋体" w:cs="宋体"/>
          <w:b/>
          <w:color w:val="000000"/>
          <w:sz w:val="24"/>
          <w:lang w:eastAsia="zh-CN"/>
        </w:rPr>
        <w:t>招标文件要求的投标文件制作软件制作电子投标文件</w:t>
      </w:r>
      <w:r>
        <w:rPr>
          <w:rFonts w:ascii="宋体" w:hAnsi="宋体" w:eastAsia="宋体" w:cs="宋体"/>
          <w:color w:val="000000"/>
          <w:sz w:val="24"/>
          <w:lang w:eastAsia="zh-CN"/>
        </w:rPr>
        <w:t>，电子投标文件按招标文件规定的格式制作，如果未按要求制作上传，可能导致投标无效。</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17. 投标报价（编制）要求的说明</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17.3 一项投标内容只允许一个报价，采购代理机构不接受任何有选择性的投标报价。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17.4投标文件报价中的单价和总价全部采用人民币表示，除非合同的特殊条款另有规定。</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17.5最低的投标报价或最高的折扣比例是中标的重要条件，但不是中标的唯一条件。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18. 投标保证金</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本项目无须缴纳投标保证金</w:t>
      </w:r>
      <w:r>
        <w:rPr>
          <w:rFonts w:ascii="宋体" w:hAnsi="宋体" w:eastAsia="宋体" w:cs="宋体"/>
          <w:b/>
          <w:color w:val="000000"/>
          <w:sz w:val="24"/>
          <w:lang w:eastAsia="zh-CN"/>
        </w:rPr>
        <w:t>。</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19. 投标文件的有效期</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19.1在本招标文件规定的开标之日起九十（90）天内，投标人所提交的投标文件应保持有效。</w:t>
      </w:r>
      <w:r>
        <w:rPr>
          <w:rFonts w:ascii="宋体" w:hAnsi="宋体" w:eastAsia="宋体" w:cs="宋体"/>
          <w:b/>
          <w:color w:val="000000"/>
          <w:sz w:val="24"/>
          <w:lang w:eastAsia="zh-CN"/>
        </w:rPr>
        <w:t>有效期短于这个规定期限的投标文件，将被认定为未实质性响应招标文件要求。</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五、 投标文件的提交、撤回和修改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20. 投标文件的上传、提交</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color w:val="000000"/>
          <w:sz w:val="24"/>
          <w:lang w:eastAsia="zh-CN"/>
        </w:rPr>
        <w:t>20.</w:t>
      </w:r>
      <w:r>
        <w:rPr>
          <w:rFonts w:ascii="宋体" w:hAnsi="宋体" w:eastAsia="宋体" w:cs="宋体"/>
          <w:b/>
          <w:color w:val="000000"/>
          <w:sz w:val="24"/>
          <w:lang w:eastAsia="zh-CN"/>
        </w:rPr>
        <w:t>1投标人应将制作好的加密电子投标文件按要求在投标截止时间前上传到交易系统平台中。</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21. 投标截止时间</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color w:val="000000"/>
          <w:sz w:val="24"/>
          <w:lang w:eastAsia="zh-CN"/>
        </w:rPr>
        <w:t>21.1</w:t>
      </w:r>
      <w:r>
        <w:rPr>
          <w:rFonts w:ascii="宋体" w:hAnsi="宋体" w:eastAsia="宋体" w:cs="宋体"/>
          <w:b/>
          <w:color w:val="000000"/>
          <w:sz w:val="24"/>
          <w:lang w:eastAsia="zh-CN"/>
        </w:rPr>
        <w:t>电子投标文件必须按招标公告中规定的网上投标截止时间前提交</w:t>
      </w:r>
      <w:r>
        <w:rPr>
          <w:rFonts w:ascii="宋体" w:hAnsi="宋体" w:eastAsia="宋体" w:cs="宋体"/>
          <w:color w:val="000000"/>
          <w:sz w:val="24"/>
          <w:lang w:eastAsia="zh-CN"/>
        </w:rPr>
        <w:t>，</w:t>
      </w:r>
      <w:r>
        <w:rPr>
          <w:rFonts w:ascii="宋体" w:hAnsi="宋体" w:eastAsia="宋体" w:cs="宋体"/>
          <w:b/>
          <w:color w:val="000000"/>
          <w:sz w:val="24"/>
          <w:lang w:eastAsia="zh-CN"/>
        </w:rPr>
        <w:t>否则投标无效</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21.2采购代理机构推迟投标截止时间时，应以更正公告的形式，通知所有投标人。在这种情况下，采购代理机构和投标人的权利和义务将受到新的截止期的约束。</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21.3在投标截止时间止，采购代理机构于本项目（或标段）收到的电子投标文件少于三份的，采购代理机构有权宣布本项目（或标段）招标失败。</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22. 投标文件的修改和撤回</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22.1投标人在提交投标文件截止时间前，可对其投标文件进行撤回或修改。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23.2开标后投标人不得撤回投标。</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六、开标和评标</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23. 开标</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23.1采购代理机构按采购公告规定的时间、地点主持不见面开标活动。开标仪式由采购代理机构、采购人等主持。</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23.2</w:t>
      </w:r>
      <w:r>
        <w:rPr>
          <w:rFonts w:ascii="宋体" w:hAnsi="宋体" w:eastAsia="宋体" w:cs="宋体"/>
          <w:b/>
          <w:color w:val="000000"/>
          <w:sz w:val="24"/>
          <w:lang w:eastAsia="zh-CN"/>
        </w:rPr>
        <w:t>参加开标的投标法定代表人或授权代理人须在项目开标前登录苏采云不见面开标系统，进入网上不见面开标大厅，做好相关准备工作。</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23.3</w:t>
      </w:r>
      <w:r>
        <w:rPr>
          <w:rFonts w:ascii="宋体" w:hAnsi="宋体" w:eastAsia="宋体" w:cs="宋体"/>
          <w:b/>
          <w:color w:val="000000"/>
          <w:sz w:val="24"/>
          <w:lang w:eastAsia="zh-CN"/>
        </w:rPr>
        <w:t>本项目开标后在规定的解密时间内，投标人须自行登录网上开标大厅解密投标文件，解密时间为</w:t>
      </w:r>
      <w:r>
        <w:rPr>
          <w:rFonts w:hint="eastAsia" w:ascii="宋体" w:hAnsi="宋体" w:eastAsia="宋体" w:cs="宋体"/>
          <w:b/>
          <w:color w:val="000000"/>
          <w:sz w:val="24"/>
          <w:lang w:eastAsia="zh-CN"/>
        </w:rPr>
        <w:t>15</w:t>
      </w:r>
      <w:r>
        <w:rPr>
          <w:rFonts w:ascii="宋体" w:hAnsi="宋体" w:eastAsia="宋体" w:cs="宋体"/>
          <w:b/>
          <w:color w:val="000000"/>
          <w:sz w:val="24"/>
          <w:lang w:eastAsia="zh-CN"/>
        </w:rPr>
        <w:t>分钟，因自身原因导致解密失败的，由投标人自行承担相关责任。</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23.4采购代理机构在开标仪式上，将公布投标人的名称、投标价格，并将作唱标记录。</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23.5投标人代表对开标过程和开标记录有疑义，以及认为采购人、采购代理机构相关工作人员有需要回避的情形的，</w:t>
      </w:r>
      <w:r>
        <w:rPr>
          <w:rFonts w:ascii="宋体" w:hAnsi="宋体" w:eastAsia="宋体" w:cs="宋体"/>
          <w:b/>
          <w:color w:val="000000"/>
          <w:sz w:val="24"/>
          <w:lang w:eastAsia="zh-CN"/>
        </w:rPr>
        <w:t>应通过不见面开标大厅提出</w:t>
      </w:r>
      <w:r>
        <w:rPr>
          <w:rFonts w:ascii="宋体" w:hAnsi="宋体" w:eastAsia="宋体" w:cs="宋体"/>
          <w:color w:val="000000"/>
          <w:sz w:val="24"/>
          <w:lang w:eastAsia="zh-CN"/>
        </w:rPr>
        <w:t>询问或者回避申请。采购人、采购代理机构对投标人代表提出的询问或者回避申请应当及时处理。</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24. 评标委员会</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24.1评标委员会由采购人或委托采购代理机构依法组建，负责本项目的评标事务。</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24.2评标委员会独立履行下列职责：</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24.2.1审查投标文件是否符合招标文件的要求，并作出评价；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24.2.2可以要求投标供应商对投标文件有关事项作出解释或澄清；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24.2.3推荐中标候选供应商名单，或者受采购人委托按照事先确定的办法直接确定中标供应商；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24.2.4向采购代理机构或者有关部门报告非法干预评标工作的行为；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24.3评标委员会成员应当履行下列义务：</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24.3.1遵纪守法，客观、公正、廉洁地履行职责；</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24.3.2按照招标文件规定的评标办法和评标标准进行评标，对评审意见承担个人责任；</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24.3.3对评标过程和结果，以及投标人的商业秘密保密；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24.3.4参与评标报告的起草；</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24.3.5配合采购代理机构答复投标供应商提出的质疑；</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24.3.6配合相关部门的投诉处理工作；</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25. 评标内容的保密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25.1公开开标后，直到宣布授予中标供应商合同为止，凡属于审查、澄清、评价和比较投标的所有资料，有关授予合同的信息都不应向投标人或与评标无关的其他人泄露。</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25.2 在投标文件的审查、澄清、评价和比较以及授予合同的过程中，投标人对采购代理机构和评标委员会成员施加影响的任何行为，都将取消其投标资格。</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25.3在评标期间，采购代理机构将通过指定联络人与投标人进行联系。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26.对投标文件初审</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26.1投标文件初审分为资格性检查和符合性检查。</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26.1.2 关于信用记录查询：</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26.1.2.1查询时间：评标开始前</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26.1.2.2查询渠道：通过“信用中国”网站、中国政府采购网等渠道查询相关主体信用记录。</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26.1.2.4信用记录使用规则：评审小组在对供应商进行资格性审查时，应根据查询结果对供应商的不良信用记录逐项甄别确认。</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26.1.3符合性检查。依据招标文件的规定，从投标文件的有效性、完整性和对招标文件的响应程度进行审查，以确定是否对招标文件的实质性要求作出响应。</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26.2.1 不同投标人的投标文件由同一单位或者个人编制；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26.2.2不同投标人委托同一单位或者个人办理投标事宜；</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26.2.3不同投标人的投标文件载明的项目管理成员或者联系人员为同一人；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26.2.4不同投标人的投标文件异常一致或者投标报价呈规律性差异；</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26.2.5不同投标人的投标文件相互混装；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26.6评标委员会将对确定为实质性响应的投标进行审核，看其是否有计算上或累加上的算术错误，修正错误的原则如下：</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26.6.1投标文件中开标一览表（报价表）内容与投标文件中相应内容不一致的，以开标一览表（报价表）为准；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26.6.2大写金额和小写金额不一致的，以大写金额为准；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26.6.3单价金额小数点或者百分比有明显错位的，以开标一览表的总价为准，并修改单价；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26.6.4总价金额与按单价汇总金额不一致的，以单价金额计算结果为准。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同时出现两种以上不一致的，按照前款规定的顺序修正。修正后的报价按照本须知26.6条规定经投标人确认后产生约束力，投标人不确认的，其投标无效。</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26.7</w:t>
      </w:r>
      <w:r>
        <w:rPr>
          <w:rFonts w:ascii="宋体" w:hAnsi="宋体" w:eastAsia="宋体" w:cs="宋体"/>
          <w:b/>
          <w:color w:val="000000"/>
          <w:sz w:val="24"/>
          <w:lang w:eastAsia="zh-CN"/>
        </w:rPr>
        <w:t>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26.8对不同文字文本投标文件的解释发生异议的，以中文文本为准。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26.9评标委员会对投标文件的判定，只依据投标内容本身，不依靠开标后的任何外来证明。</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26.10评标委员会将拒绝被确定为非实质性响应的投标，投标人不能通过修正或撤销不符之处而使其投标成为实质性响应的投标。</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27.投标的澄清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28.无效投标和废标</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28.1无效投标的具体情形有：  </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28.1.1投标文件未按招标文件要求签署、盖章或电子签章的；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28.1.2不具备招标文件中规定的资格要求的；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28.1.3报价超过招标文件中规定的预算金额或者最高限价的；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28.1.4</w:t>
      </w:r>
      <w:r>
        <w:rPr>
          <w:rFonts w:ascii="宋体" w:hAnsi="宋体" w:eastAsia="宋体" w:cs="宋体"/>
          <w:b/>
          <w:color w:val="000000"/>
          <w:sz w:val="24"/>
          <w:lang w:eastAsia="zh-CN"/>
        </w:rPr>
        <w:t>不同投标人的投标文件使用同一台电脑编制的；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28.1.5投标文件含有采购人不能接受的附加条件的；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28.1.6法律、法规和招标文件规定的其他无效情形。</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28.2 在招标采购中，出现下列情形之一的，应予废标：</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28.2.1符合专业条件的供应商或者对招标文件作实质响应的供应商不足三家的；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28.2.2出现影响采购公正的违法、违规行为的；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28.2.3投标人的报价均超过了采购预算，采购人不能支付的；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28.2.4因重大变故，采购任务取消的。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28.3 废标后，采购人应当将废标理由通知所有投标人。</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29. 投标文件的评价和比较</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29.1评标委员会按招标文件规定的评标方法和标准，仅对资格性检查和符合性检查合格的投标文件进行商务和技术评估，综合比较与评价。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29.2.1服务的质量保证（保障）内容；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29.2.2服务配备的人员；</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29.2.3投标者的资信情况和履约能力；</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29.2.4投标者提供的其他优惠条件；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29.2.5参与本项目政府采购工作的态度及信誉；</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29.2.6最低的投标报价或最高的折扣比例是中标的重要条件，但不是唯一条件。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七、授予合同</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30. 中标供应商的确认          </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30.1评标委员会按招标文件规定的评标方法和标准进行详细评审后，按采购人的委托向采购人推荐中标候选单位或根据采购人授权直接确定中标供应商。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30.2经评标委员会评审并确定中标供应商后，采购人或授权采购代理机构将在规定的时间内将中标结果在相关媒体上予以公告。</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30.4质疑函递交地点及联系方式详见公告内容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31. 合同授予标准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31.1采购人将把合同授予其投标文件在实质上响应招标文件要求和按本须知规定评选出的投标人。确定为中标的投标人必须具有实施本合同的能力和资源。</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32. 中标通知书</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pPr>
        <w:pBdr>
          <w:top w:val="none" w:color="000000" w:sz="0" w:space="0"/>
          <w:left w:val="none" w:color="000000" w:sz="0" w:space="0"/>
          <w:bottom w:val="none" w:color="000000" w:sz="0" w:space="0"/>
          <w:right w:val="none" w:color="000000" w:sz="0" w:space="0"/>
        </w:pBdr>
        <w:spacing w:after="0" w:line="439" w:lineRule="atLeast"/>
        <w:ind w:firstLine="361"/>
        <w:jc w:val="both"/>
        <w:rPr>
          <w:lang w:eastAsia="zh-CN"/>
        </w:rPr>
      </w:pPr>
      <w:r>
        <w:rPr>
          <w:rFonts w:ascii="宋体" w:hAnsi="宋体" w:eastAsia="宋体" w:cs="宋体"/>
          <w:b/>
          <w:sz w:val="24"/>
          <w:lang w:eastAsia="zh-CN"/>
        </w:rPr>
        <w:t>32.2中标通知书在中标公告发布后将发布在苏采云系统中，中标通知书发布之日视为中标供应商领取之日，中标供应商在中标结果公告届满之日起</w:t>
      </w:r>
      <w:r>
        <w:rPr>
          <w:rFonts w:hint="eastAsia" w:ascii="宋体" w:hAnsi="宋体" w:eastAsia="宋体" w:cs="宋体"/>
          <w:b/>
          <w:sz w:val="24"/>
          <w:lang w:eastAsia="zh-CN"/>
        </w:rPr>
        <w:t>3</w:t>
      </w:r>
      <w:r>
        <w:rPr>
          <w:rFonts w:ascii="宋体" w:hAnsi="宋体" w:eastAsia="宋体" w:cs="宋体"/>
          <w:b/>
          <w:sz w:val="24"/>
          <w:lang w:eastAsia="zh-CN"/>
        </w:rPr>
        <w:t>0日内自行在苏采云系统中下载打印。</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lang w:eastAsia="zh-CN"/>
        </w:rPr>
      </w:pPr>
      <w:r>
        <w:rPr>
          <w:rFonts w:ascii="宋体" w:hAnsi="宋体" w:eastAsia="宋体" w:cs="宋体"/>
          <w:b/>
          <w:sz w:val="24"/>
          <w:lang w:eastAsia="zh-CN"/>
        </w:rPr>
        <w:t>32.3</w:t>
      </w:r>
      <w:r>
        <w:rPr>
          <w:rFonts w:hint="eastAsia" w:ascii="宋体" w:hAnsi="宋体" w:eastAsia="宋体" w:cs="宋体"/>
          <w:sz w:val="24"/>
          <w:lang w:eastAsia="zh-CN"/>
        </w:rPr>
        <w:t>因系统存储空间有限，自中标结果公告届满之日起30日后，“苏采云”系统不再保证提供下载中标通知书服务,因未及时下载而造成的不利后果由中标供应商自行承担。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sz w:val="24"/>
          <w:lang w:eastAsia="zh-CN"/>
        </w:rPr>
        <w:t>32.4中标通知书将成为合同的组成部分。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sz w:val="24"/>
          <w:lang w:eastAsia="zh-CN"/>
        </w:rPr>
        <w:t>32.5采购代理机构对未中标供应商不承担解释未中标原因的义务。</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33.履约保证金</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33.1中标供应商按合同约定要求提交履约保证金。</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33.2履约保证金用以约束供应商在合同履行中的行为，弥补合同执行中由于自身行为可能给采购人带来的各种损失。</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33.3履约保证金（无息）将在中标供应商合同履行完毕且质保期满后，采购人在五个工作日内退返中标供应商。</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34. 合同的签订</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34.2中标供应商应按中标通知书中中规定，由法定代表人或授权代理人与采购人代表签订合同，否则按放弃中标权处理。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34.3签订合同及合同条款应以招标文件和中标供应商的投标文件及其澄清文件为依据。</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34.4中标人无正当理由拒签合同的，或在签订合同时向采购人提出附加条件或者更改合同实质性内容的，采购人可取消其中标资格，同时由中标人承担相应的法律责任。</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八、政府采购相关政策</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35.政府采购节能产品和环境标志产品</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35.2</w:t>
      </w:r>
      <w:r>
        <w:rPr>
          <w:rFonts w:hint="eastAsia" w:ascii="宋体" w:hAnsi="宋体" w:eastAsia="宋体" w:cs="宋体"/>
          <w:color w:val="000000"/>
          <w:sz w:val="24"/>
          <w:lang w:eastAsia="zh-CN"/>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35.3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pPr>
        <w:numPr>
          <w:ilvl w:val="0"/>
          <w:numId w:val="0"/>
        </w:num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val="0"/>
          <w:bCs/>
          <w:color w:val="000000"/>
          <w:sz w:val="24"/>
          <w:lang w:eastAsia="zh-CN"/>
        </w:rPr>
      </w:pPr>
      <w:r>
        <w:rPr>
          <w:rFonts w:hint="eastAsia" w:ascii="宋体" w:hAnsi="宋体" w:eastAsia="宋体" w:cs="宋体"/>
          <w:b/>
          <w:bCs/>
          <w:sz w:val="24"/>
          <w:szCs w:val="24"/>
          <w:lang w:val="en-US" w:eastAsia="zh-CN"/>
        </w:rPr>
        <w:t>36.</w:t>
      </w:r>
      <w:r>
        <w:rPr>
          <w:rFonts w:ascii="宋体" w:hAnsi="宋体" w:eastAsia="宋体" w:cs="宋体"/>
          <w:b/>
          <w:bCs/>
          <w:sz w:val="24"/>
          <w:szCs w:val="24"/>
        </w:rPr>
        <w:t>中小企业相关政策：</w:t>
      </w:r>
      <w:r>
        <w:rPr>
          <w:rFonts w:ascii="宋体" w:hAnsi="宋体" w:eastAsia="宋体" w:cs="宋体"/>
          <w:sz w:val="24"/>
          <w:szCs w:val="24"/>
        </w:rPr>
        <w:br w:type="textWrapping"/>
      </w:r>
      <w:r>
        <w:rPr>
          <w:rFonts w:hint="eastAsia" w:ascii="宋体" w:hAnsi="宋体" w:eastAsia="宋体" w:cs="宋体"/>
          <w:b w:val="0"/>
          <w:bCs/>
          <w:color w:val="000000"/>
          <w:sz w:val="24"/>
          <w:lang w:eastAsia="zh-CN"/>
        </w:rPr>
        <w:t>36.1本项目专门面向中小企业采购，执行以下相关政策：</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lang w:eastAsia="zh-CN"/>
        </w:rPr>
        <w:t>36.1.1中小企业划分：</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eastAsia="zh-CN"/>
        </w:rPr>
        <w:t>（1）符合中小企业划分标准的个体工商户，在政府采购活动中视同中小企业。</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eastAsia="zh-CN"/>
        </w:rPr>
        <w:t>（2）中小企业划分标准详见“工信部联企业〔2011〕300号通知”</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lang w:eastAsia="zh-CN"/>
        </w:rPr>
        <w:t>36.1.2残疾人福利性单位政策：</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lang w:eastAsia="zh-CN"/>
        </w:rPr>
        <w:t>36.1.3监狱企业发展政策：</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lang w:eastAsia="zh-CN"/>
        </w:rPr>
        <w:t>36.1.4、中标、成交供应商享受规定的中小企业扶持政策的，其声明函及相关证明材料应当随中标、成交结果同时公告，接受社会监督。</w:t>
      </w:r>
      <w:r>
        <w:rPr>
          <w:rFonts w:hint="eastAsia" w:ascii="宋体" w:hAnsi="宋体" w:eastAsia="宋体" w:cs="宋体"/>
          <w:b w:val="0"/>
          <w:bCs/>
          <w:color w:val="000000"/>
          <w:sz w:val="24"/>
          <w:lang w:eastAsia="zh-CN"/>
        </w:rPr>
        <w:br w:type="textWrapping"/>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lang w:eastAsia="zh-CN"/>
        </w:rPr>
        <w:t>36.1.5、专门面向中小企业采购的项目，不再执行价格评审优惠的扶持政策。</w:t>
      </w:r>
    </w:p>
    <w:p>
      <w:pPr>
        <w:numPr>
          <w:ilvl w:val="0"/>
          <w:numId w:val="0"/>
        </w:num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r>
        <w:rPr>
          <w:rFonts w:ascii="宋体" w:hAnsi="宋体" w:eastAsia="宋体" w:cs="宋体"/>
          <w:b/>
          <w:color w:val="000000"/>
          <w:sz w:val="24"/>
          <w:lang w:eastAsia="zh-CN"/>
        </w:rPr>
        <w:t>37.绿色数据中心政策</w:t>
      </w:r>
    </w:p>
    <w:p>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color w:val="000000"/>
          <w:sz w:val="24"/>
          <w:lang w:eastAsia="zh-CN"/>
        </w:rPr>
      </w:pPr>
      <w:r>
        <w:rPr>
          <w:rFonts w:ascii="宋体" w:hAnsi="宋体" w:eastAsiaTheme="minorEastAsia"/>
          <w:sz w:val="24"/>
          <w:lang w:eastAsia="zh-CN"/>
        </w:rPr>
        <w:t xml:space="preserve">37.1 </w:t>
      </w:r>
      <w:r>
        <w:rPr>
          <w:rFonts w:hint="eastAsia" w:ascii="宋体" w:hAnsi="宋体"/>
          <w:sz w:val="24"/>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r>
        <w:rPr>
          <w:rFonts w:ascii="宋体" w:hAnsi="宋体" w:eastAsia="宋体" w:cs="宋体"/>
          <w:b/>
          <w:color w:val="000000"/>
          <w:sz w:val="24"/>
          <w:lang w:eastAsia="zh-CN"/>
        </w:rPr>
        <w:t>38.商品包装、快递包装政策</w:t>
      </w:r>
    </w:p>
    <w:p>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color w:val="000000"/>
          <w:sz w:val="24"/>
          <w:lang w:eastAsia="zh-CN"/>
        </w:rPr>
      </w:pPr>
      <w:r>
        <w:rPr>
          <w:rFonts w:ascii="宋体" w:hAnsi="宋体" w:eastAsiaTheme="minorEastAsia"/>
          <w:sz w:val="24"/>
          <w:lang w:eastAsia="zh-CN"/>
        </w:rPr>
        <w:t xml:space="preserve">38.1 </w:t>
      </w:r>
      <w:r>
        <w:rPr>
          <w:rFonts w:hint="eastAsia" w:ascii="宋体" w:hAnsi="宋体"/>
          <w:sz w:val="24"/>
          <w:lang w:eastAsia="zh-CN"/>
        </w:rPr>
        <w:t>依据</w:t>
      </w:r>
      <w:r>
        <w:rPr>
          <w:rFonts w:ascii="宋体" w:hAnsi="宋体"/>
          <w:sz w:val="24"/>
          <w:lang w:eastAsia="zh-CN"/>
        </w:rPr>
        <w:t>《关于印发〈商品包装政府采购需求标准（试行）〉、〈快递包装政府采购需求标准（试行）〉的通知》（财办库〔2020〕123号）</w:t>
      </w:r>
      <w:r>
        <w:rPr>
          <w:rFonts w:hint="eastAsia" w:ascii="宋体" w:hAnsi="宋体"/>
          <w:sz w:val="24"/>
          <w:lang w:eastAsia="zh-CN"/>
        </w:rPr>
        <w:t>文件</w:t>
      </w:r>
      <w:r>
        <w:rPr>
          <w:rFonts w:ascii="宋体" w:hAnsi="宋体"/>
          <w:sz w:val="24"/>
          <w:lang w:eastAsia="zh-CN"/>
        </w:rPr>
        <w:t>精神</w:t>
      </w:r>
      <w:r>
        <w:rPr>
          <w:rFonts w:hint="eastAsia" w:ascii="宋体" w:hAnsi="宋体"/>
          <w:sz w:val="24"/>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九、其他事项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39. 监督和公证</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w:t>
      </w:r>
      <w:r>
        <w:rPr>
          <w:rFonts w:hint="eastAsia" w:ascii="宋体" w:hAnsi="宋体" w:eastAsia="宋体" w:cs="宋体"/>
          <w:color w:val="000000"/>
          <w:sz w:val="24"/>
          <w:lang w:val="en-US" w:eastAsia="zh-CN"/>
        </w:rPr>
        <w:t>9</w:t>
      </w:r>
      <w:r>
        <w:rPr>
          <w:rFonts w:ascii="宋体" w:hAnsi="宋体" w:eastAsia="宋体" w:cs="宋体"/>
          <w:color w:val="000000"/>
          <w:sz w:val="24"/>
          <w:lang w:eastAsia="zh-CN"/>
        </w:rPr>
        <w:t>.1政府有关监督部门将对招投标全过程进行监督。</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w:t>
      </w:r>
      <w:r>
        <w:rPr>
          <w:rFonts w:hint="eastAsia" w:ascii="宋体" w:hAnsi="宋体" w:eastAsia="宋体" w:cs="宋体"/>
          <w:color w:val="000000"/>
          <w:sz w:val="24"/>
          <w:lang w:val="en-US" w:eastAsia="zh-CN"/>
        </w:rPr>
        <w:t>9</w:t>
      </w:r>
      <w:r>
        <w:rPr>
          <w:rFonts w:ascii="宋体" w:hAnsi="宋体" w:eastAsia="宋体" w:cs="宋体"/>
          <w:color w:val="000000"/>
          <w:sz w:val="24"/>
          <w:lang w:eastAsia="zh-CN"/>
        </w:rPr>
        <w:t>.2采购代理机构的招标过程将通过公证机关进行公证。</w:t>
      </w: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Arial" w:cs="Arial"/>
          <w:b/>
          <w:bCs/>
          <w:sz w:val="24"/>
          <w:lang w:eastAsia="zh-CN"/>
        </w:rPr>
      </w:pPr>
      <w:r>
        <w:rPr>
          <w:rFonts w:hint="eastAsia" w:ascii="宋体" w:hAnsi="宋体" w:eastAsia="Arial" w:cs="Arial"/>
          <w:b/>
          <w:bCs/>
          <w:sz w:val="24"/>
          <w:lang w:eastAsia="zh-CN"/>
        </w:rPr>
        <w:t>40.未尽事宜</w:t>
      </w:r>
    </w:p>
    <w:p>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lang w:eastAsia="zh-CN"/>
        </w:rPr>
      </w:pPr>
      <w:r>
        <w:rPr>
          <w:rFonts w:hint="eastAsia" w:ascii="宋体" w:hAnsi="宋体" w:eastAsia="Arial" w:cs="Arial"/>
          <w:sz w:val="24"/>
          <w:lang w:eastAsia="zh-CN"/>
        </w:rPr>
        <w:t>按《中华人民共和国政府采购法》及其他有关法律法规的规定执行。</w:t>
      </w:r>
      <w:r>
        <w:rPr>
          <w:lang w:eastAsia="zh-CN"/>
        </w:rPr>
        <w:br w:type="page" w:clear="all"/>
      </w:r>
      <w:r>
        <w:rPr>
          <w:rFonts w:ascii="宋体" w:hAnsi="宋体" w:eastAsia="宋体" w:cs="宋体"/>
          <w:b/>
          <w:color w:val="000000"/>
          <w:sz w:val="44"/>
          <w:lang w:eastAsia="zh-CN"/>
        </w:rPr>
        <w:t>第三部分</w:t>
      </w:r>
      <w:r>
        <w:rPr>
          <w:rFonts w:hint="eastAsia" w:ascii="宋体" w:hAnsi="宋体" w:eastAsia="宋体" w:cs="宋体"/>
          <w:b/>
          <w:color w:val="000000"/>
          <w:sz w:val="44"/>
          <w:lang w:val="en-US" w:eastAsia="zh-CN"/>
        </w:rPr>
        <w:t xml:space="preserve">   </w:t>
      </w:r>
      <w:r>
        <w:rPr>
          <w:rFonts w:ascii="宋体" w:hAnsi="宋体" w:eastAsia="宋体" w:cs="宋体"/>
          <w:b/>
          <w:color w:val="000000"/>
          <w:sz w:val="44"/>
          <w:lang w:eastAsia="zh-CN"/>
        </w:rPr>
        <w:t>项目需求</w:t>
      </w:r>
      <w:bookmarkStart w:id="0" w:name="_Toc27991"/>
      <w:bookmarkEnd w:id="0"/>
      <w:bookmarkStart w:id="1" w:name="_Toc6403"/>
      <w:bookmarkEnd w:id="1"/>
      <w:bookmarkStart w:id="2" w:name="_Toc21510"/>
      <w:bookmarkEnd w:id="2"/>
    </w:p>
    <w:p>
      <w:pPr>
        <w:pStyle w:val="238"/>
        <w:spacing w:line="460" w:lineRule="exact"/>
        <w:rPr>
          <w:rFonts w:asciiTheme="minorEastAsia" w:hAnsiTheme="minorEastAsia" w:eastAsiaTheme="minorEastAsia"/>
          <w:b/>
          <w:sz w:val="24"/>
          <w:szCs w:val="24"/>
          <w:lang w:eastAsia="zh-CN"/>
        </w:rPr>
      </w:pPr>
      <w:bookmarkStart w:id="3" w:name="_Toc10318"/>
      <w:bookmarkStart w:id="4" w:name="_Toc138065532"/>
      <w:bookmarkStart w:id="5" w:name="_Toc139881072"/>
      <w:bookmarkStart w:id="6" w:name="_Toc12175"/>
      <w:bookmarkStart w:id="7" w:name="_Toc31862"/>
      <w:r>
        <w:rPr>
          <w:rFonts w:asciiTheme="minorEastAsia" w:hAnsiTheme="minorEastAsia" w:eastAsiaTheme="minorEastAsia"/>
          <w:b/>
          <w:sz w:val="24"/>
          <w:szCs w:val="24"/>
          <w:lang w:eastAsia="zh-CN"/>
        </w:rPr>
        <w:t>一、</w:t>
      </w:r>
      <w:r>
        <w:rPr>
          <w:rFonts w:hint="eastAsia" w:cs="微软雅黑" w:asciiTheme="minorEastAsia" w:hAnsiTheme="minorEastAsia" w:eastAsiaTheme="minorEastAsia"/>
          <w:b/>
          <w:sz w:val="24"/>
          <w:szCs w:val="24"/>
          <w:lang w:eastAsia="zh-CN"/>
        </w:rPr>
        <w:t>项</w:t>
      </w:r>
      <w:r>
        <w:rPr>
          <w:rFonts w:hint="eastAsia" w:cs="MS Gothic" w:asciiTheme="minorEastAsia" w:hAnsiTheme="minorEastAsia" w:eastAsiaTheme="minorEastAsia"/>
          <w:b/>
          <w:sz w:val="24"/>
          <w:szCs w:val="24"/>
          <w:lang w:eastAsia="zh-CN"/>
        </w:rPr>
        <w:t>目背景</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社会救助体系是社会保障中的重要组成部分，社会救助的范围、类型、方式不断发生变化，救助对象的服务需求也变得复杂化、多样化。社会救助信息化建设的开展，有利于推进互联网、大数据、和社会救助工作的深度融合，为实现救助管理跨部门、跨领域、跨层级信息共享和创新发展提供有力支撑，更好的助力我市温情救助、精准帮扶。今年</w:t>
      </w:r>
      <w:r>
        <w:rPr>
          <w:rFonts w:cs="微软雅黑" w:asciiTheme="minorEastAsia" w:hAnsiTheme="minorEastAsia" w:eastAsiaTheme="minorEastAsia"/>
          <w:sz w:val="24"/>
          <w:szCs w:val="24"/>
          <w:lang w:eastAsia="zh-CN"/>
        </w:rPr>
        <w:t>9</w:t>
      </w:r>
      <w:r>
        <w:rPr>
          <w:rFonts w:hint="eastAsia" w:cs="微软雅黑" w:asciiTheme="minorEastAsia" w:hAnsiTheme="minorEastAsia" w:eastAsiaTheme="minorEastAsia"/>
          <w:sz w:val="24"/>
          <w:szCs w:val="24"/>
          <w:lang w:eastAsia="zh-CN"/>
        </w:rPr>
        <w:t>月苏州市人民政府印发了《关于加强困难群众综合帮扶工作的实施意见的通知》，其中提到“加强低收入人口动态监测，建立健全基层困难群众救助服务平台，健全低收入人口基数数据库，推进有关部门帮扶数据定期汇集和比对预警，完善低收入家庭一户一档一策帮扶机制，做到底数清、情况明、动态准，形成困难群众综合帮扶清单。”根据上级文件指示精神，我市在推动社会救助服务工作高质量发展的同时，亟需进一步更新完善太仓市低收入家庭帮扶综合信息平台功能，助力精准识别困难群体，为社会救助工作新要求提供信息化支撑。</w:t>
      </w:r>
    </w:p>
    <w:p>
      <w:pPr>
        <w:pStyle w:val="238"/>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二、需求内容</w:t>
      </w:r>
    </w:p>
    <w:p>
      <w:pPr>
        <w:pStyle w:val="238"/>
        <w:spacing w:line="46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（一）项目概况</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1、</w:t>
      </w:r>
      <w:r>
        <w:rPr>
          <w:rFonts w:hint="eastAsia" w:asciiTheme="minorEastAsia" w:hAnsiTheme="minorEastAsia" w:eastAsiaTheme="minorEastAsia"/>
          <w:b/>
          <w:sz w:val="24"/>
          <w:szCs w:val="24"/>
          <w:lang w:eastAsia="zh-CN"/>
        </w:rPr>
        <w:t>风险预警全覆盖</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新设风险预警模块，分类标记为高、中、低风险。预警范围包括未及时发放、重复发放、退回重发、同人多卡发放、同卡多人发放等资金发放预警，以及死亡、业务互斥、大病、医疗费用、残疾情况变更、退休待遇、失业金待遇、工伤保险待遇等影响救助补贴待遇资格的预警，通过先行预警堵住“漏发”“多发”缺口。</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2、</w:t>
      </w:r>
      <w:r>
        <w:rPr>
          <w:rFonts w:hint="eastAsia" w:asciiTheme="minorEastAsia" w:hAnsiTheme="minorEastAsia" w:eastAsiaTheme="minorEastAsia"/>
          <w:b/>
          <w:sz w:val="24"/>
          <w:szCs w:val="24"/>
          <w:lang w:eastAsia="zh-CN"/>
        </w:rPr>
        <w:t>预警处置全留痕</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所有最新风险预警与历史风险预警在系统内长期保留，条目式展示。每条风险预警由基层对应录入核实情况、核实人、核实时间，同时增加监管记录、监管人、监管时间，由市级对预警核实情况进行二次复核，如问题不实或基层已妥善处理，可排除异常；如问题存在且基层未妥善处理，可予以记录。</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3、</w:t>
      </w:r>
      <w:r>
        <w:rPr>
          <w:rFonts w:hint="eastAsia" w:asciiTheme="minorEastAsia" w:hAnsiTheme="minorEastAsia" w:eastAsiaTheme="minorEastAsia"/>
          <w:b/>
          <w:sz w:val="24"/>
          <w:szCs w:val="24"/>
          <w:lang w:eastAsia="zh-CN"/>
        </w:rPr>
        <w:t>异常数据全分析</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增设数据统计分析。一方面数字化分析预警情况，发现不同区镇、不同业务类别容易出现的问题；另一方面增加处置进度显示与处置情况分析，可通报基层预警处置效率，存在问题的数量，进而体现监管开展情况。</w:t>
      </w:r>
    </w:p>
    <w:p>
      <w:pPr>
        <w:pStyle w:val="238"/>
        <w:spacing w:line="46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（二）技术要求</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1、</w:t>
      </w:r>
      <w:r>
        <w:rPr>
          <w:rFonts w:hint="eastAsia" w:asciiTheme="minorEastAsia" w:hAnsiTheme="minorEastAsia" w:eastAsiaTheme="minorEastAsia"/>
          <w:b/>
          <w:sz w:val="24"/>
          <w:szCs w:val="24"/>
          <w:lang w:eastAsia="zh-CN"/>
        </w:rPr>
        <w:t>系统构架</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总体架构在平台规划上包括资源层、数据层、支撑层、业务应用层和服务对象：</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eastAsia="zh-CN"/>
        </w:rPr>
        <w:t>）资源层：利用政务云资源，如主机、存储、网络、安全软硬件和其他设备，为上层应用提供基础支撑。</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2</w:t>
      </w:r>
      <w:r>
        <w:rPr>
          <w:rFonts w:hint="eastAsia" w:asciiTheme="minorEastAsia" w:hAnsiTheme="minorEastAsia" w:eastAsiaTheme="minorEastAsia"/>
          <w:sz w:val="24"/>
          <w:szCs w:val="24"/>
          <w:lang w:eastAsia="zh-CN"/>
        </w:rPr>
        <w:t>）数据层：根据统一标准规范体系，定义数据标准规范，包括发放数据、收入数据。</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3</w:t>
      </w:r>
      <w:r>
        <w:rPr>
          <w:rFonts w:hint="eastAsia" w:asciiTheme="minorEastAsia" w:hAnsiTheme="minorEastAsia" w:eastAsiaTheme="minorEastAsia"/>
          <w:sz w:val="24"/>
          <w:szCs w:val="24"/>
          <w:lang w:eastAsia="zh-CN"/>
        </w:rPr>
        <w:t>）支撑层：提供表单引擎、流程引擎，实现统一服务能力的支撑。</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4</w:t>
      </w:r>
      <w:r>
        <w:rPr>
          <w:rFonts w:hint="eastAsia" w:asciiTheme="minorEastAsia" w:hAnsiTheme="minorEastAsia" w:eastAsiaTheme="minorEastAsia"/>
          <w:sz w:val="24"/>
          <w:szCs w:val="24"/>
          <w:lang w:eastAsia="zh-CN"/>
        </w:rPr>
        <w:t>）业务应用层：业务应用层是平台各类应用功能的集合，在原有应用基础上优化和新增应用，系统优化包括安全升级、界面优化和功能修改，新增应用包括风险预警、比对监管和政策计算器。</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5</w:t>
      </w:r>
      <w:r>
        <w:rPr>
          <w:rFonts w:hint="eastAsia" w:asciiTheme="minorEastAsia" w:hAnsiTheme="minorEastAsia" w:eastAsiaTheme="minorEastAsia"/>
          <w:sz w:val="24"/>
          <w:szCs w:val="24"/>
          <w:lang w:eastAsia="zh-CN"/>
        </w:rPr>
        <w:t>）服务对象：用户主要包括市、镇、村三级民政工作人员、社会组织工作人员、其他救助部门和社会群众。</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2、</w:t>
      </w:r>
      <w:r>
        <w:rPr>
          <w:rFonts w:hint="eastAsia" w:asciiTheme="minorEastAsia" w:hAnsiTheme="minorEastAsia" w:eastAsiaTheme="minorEastAsia"/>
          <w:b/>
          <w:sz w:val="24"/>
          <w:szCs w:val="24"/>
          <w:lang w:eastAsia="zh-CN"/>
        </w:rPr>
        <w:t>功能建设需求</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2.1、</w:t>
      </w:r>
      <w:r>
        <w:rPr>
          <w:rFonts w:hint="eastAsia" w:asciiTheme="minorEastAsia" w:hAnsiTheme="minorEastAsia" w:eastAsiaTheme="minorEastAsia"/>
          <w:b/>
          <w:sz w:val="24"/>
          <w:szCs w:val="24"/>
          <w:lang w:eastAsia="zh-CN"/>
        </w:rPr>
        <w:t>系统优化</w:t>
      </w:r>
    </w:p>
    <w:p>
      <w:pPr>
        <w:pStyle w:val="238"/>
        <w:spacing w:line="460" w:lineRule="exact"/>
        <w:ind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2.1.1</w:t>
      </w:r>
      <w:r>
        <w:rPr>
          <w:rFonts w:hint="eastAsia" w:asciiTheme="minorEastAsia" w:hAnsiTheme="minorEastAsia" w:eastAsiaTheme="minorEastAsia"/>
          <w:sz w:val="24"/>
          <w:szCs w:val="24"/>
          <w:lang w:eastAsia="zh-CN"/>
        </w:rPr>
        <w:t>安全升级</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需支持安全性能优化，包括系统的自我防御，漏洞的扫描及修复，接入安全系统定期主动查找修补系统漏洞。</w:t>
      </w:r>
    </w:p>
    <w:p>
      <w:pPr>
        <w:pStyle w:val="238"/>
        <w:spacing w:line="460" w:lineRule="exact"/>
        <w:ind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2.1.2</w:t>
      </w:r>
      <w:r>
        <w:rPr>
          <w:rFonts w:hint="eastAsia" w:asciiTheme="minorEastAsia" w:hAnsiTheme="minorEastAsia" w:eastAsiaTheme="minorEastAsia"/>
          <w:sz w:val="24"/>
          <w:szCs w:val="24"/>
          <w:lang w:eastAsia="zh-CN"/>
        </w:rPr>
        <w:t>界面优化</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需对功能分区进行调整，去除使用频率低的功能，结合新增模块，重新调整页面菜单。改为基本数据、一户一档、帮扶服务（含社会救助社会化服务、太暖心项目服务）、主动发现、风险预警、比对监管、统计分析、部门数据、后台管理、政策计算器、数据大屏。</w:t>
      </w:r>
    </w:p>
    <w:p>
      <w:pPr>
        <w:pStyle w:val="238"/>
        <w:spacing w:line="460" w:lineRule="exact"/>
        <w:ind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2.1.3</w:t>
      </w:r>
      <w:r>
        <w:rPr>
          <w:rFonts w:hint="eastAsia" w:asciiTheme="minorEastAsia" w:hAnsiTheme="minorEastAsia" w:eastAsiaTheme="minorEastAsia"/>
          <w:sz w:val="24"/>
          <w:szCs w:val="24"/>
          <w:lang w:eastAsia="zh-CN"/>
        </w:rPr>
        <w:t>功能修改</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系统需将对殡葬比对、基础数据库（原低收入人员管理模块）、一户一档、统计报表、后台管理、资金发放、救助大数据以及小程序在内的多个功能模块进行升级和优化，实现全量数据自动比对、确保数据精准及时、完善电子档和查询功能、优化报表查询和导出、增开小程序账号设置、排查资金发放误差以及重新设计大屏展示，以提升整体管理效率和数据准确性。</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2.2、</w:t>
      </w:r>
      <w:r>
        <w:rPr>
          <w:rFonts w:hint="eastAsia" w:asciiTheme="minorEastAsia" w:hAnsiTheme="minorEastAsia" w:eastAsiaTheme="minorEastAsia"/>
          <w:b/>
          <w:sz w:val="24"/>
          <w:szCs w:val="24"/>
          <w:lang w:eastAsia="zh-CN"/>
        </w:rPr>
        <w:t>功能新增</w:t>
      </w:r>
    </w:p>
    <w:p>
      <w:pPr>
        <w:pStyle w:val="238"/>
        <w:spacing w:line="460" w:lineRule="exact"/>
        <w:ind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2.2.1</w:t>
      </w:r>
      <w:r>
        <w:rPr>
          <w:rFonts w:hint="eastAsia" w:asciiTheme="minorEastAsia" w:hAnsiTheme="minorEastAsia" w:eastAsiaTheme="minorEastAsia"/>
          <w:sz w:val="24"/>
          <w:szCs w:val="24"/>
          <w:lang w:eastAsia="zh-CN"/>
        </w:rPr>
        <w:t>风险预警</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需新增风险预警功能，对系统中所有最新预警及历史预警处理情况均保留存档，无预警也留痕体现。主要内容需包含资金发放预警、重复发放预警、退回重发预警、同人多卡发放预警、同卡多人发放预警、死亡预警、互斥业务预警、收入预警、大病预警、医疗费用预警、残疾情况预警、户籍变化预警。</w:t>
      </w:r>
    </w:p>
    <w:p>
      <w:pPr>
        <w:pStyle w:val="238"/>
        <w:spacing w:line="460" w:lineRule="exact"/>
        <w:ind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2.2.2</w:t>
      </w:r>
      <w:r>
        <w:rPr>
          <w:rFonts w:hint="eastAsia" w:asciiTheme="minorEastAsia" w:hAnsiTheme="minorEastAsia" w:eastAsiaTheme="minorEastAsia"/>
          <w:sz w:val="24"/>
          <w:szCs w:val="24"/>
          <w:lang w:eastAsia="zh-CN"/>
        </w:rPr>
        <w:t>比对监管</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需增加自定义比对功能，保留人工导入数据的入口，按实际需求比重。增加导入功能按钮，工作人员可分别上传多张表格，系统根据身份证号码自动比对多张表格是否存在重复数据。要求可筛选并导出重复数据或去重后的数据。</w:t>
      </w:r>
    </w:p>
    <w:p>
      <w:pPr>
        <w:pStyle w:val="238"/>
        <w:spacing w:line="460" w:lineRule="exact"/>
        <w:ind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2.2.3</w:t>
      </w:r>
      <w:r>
        <w:rPr>
          <w:rFonts w:hint="eastAsia" w:asciiTheme="minorEastAsia" w:hAnsiTheme="minorEastAsia" w:eastAsiaTheme="minorEastAsia"/>
          <w:sz w:val="24"/>
          <w:szCs w:val="24"/>
          <w:lang w:eastAsia="zh-CN"/>
        </w:rPr>
        <w:t>政策计算器</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基于</w:t>
      </w:r>
      <w:r>
        <w:rPr>
          <w:rFonts w:asciiTheme="minorEastAsia" w:hAnsiTheme="minorEastAsia" w:eastAsiaTheme="minorEastAsia"/>
          <w:sz w:val="24"/>
          <w:szCs w:val="24"/>
          <w:lang w:eastAsia="zh-CN"/>
        </w:rPr>
        <w:t>PC</w:t>
      </w:r>
      <w:r>
        <w:rPr>
          <w:rFonts w:hint="eastAsia" w:asciiTheme="minorEastAsia" w:hAnsiTheme="minorEastAsia" w:eastAsiaTheme="minorEastAsia"/>
          <w:sz w:val="24"/>
          <w:szCs w:val="24"/>
          <w:lang w:eastAsia="zh-CN"/>
        </w:rPr>
        <w:t>端建设政策计算器功能，需实现救助、残疾人、儿童、老年人政策匹配，选出可能符合条件的政策以便工作人员能够主动帮扶。主要内容需包含政策库建设、政策匹配。</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3、</w:t>
      </w:r>
      <w:r>
        <w:rPr>
          <w:rFonts w:hint="eastAsia" w:asciiTheme="minorEastAsia" w:hAnsiTheme="minorEastAsia" w:eastAsiaTheme="minorEastAsia"/>
          <w:b/>
          <w:sz w:val="24"/>
          <w:szCs w:val="24"/>
          <w:lang w:eastAsia="zh-CN"/>
        </w:rPr>
        <w:t>整体要求</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华文仿宋" w:hAnsi="华文仿宋" w:eastAsia="华文仿宋"/>
          <w:sz w:val="24"/>
          <w:szCs w:val="24"/>
          <w:lang w:eastAsia="zh-CN"/>
        </w:rPr>
        <w:t>◆</w:t>
      </w:r>
      <w:r>
        <w:rPr>
          <w:rFonts w:hint="eastAsia" w:asciiTheme="minorEastAsia" w:hAnsiTheme="minorEastAsia" w:eastAsiaTheme="minorEastAsia"/>
          <w:sz w:val="24"/>
          <w:szCs w:val="24"/>
          <w:lang w:eastAsia="zh-CN"/>
        </w:rPr>
        <w:t>满足高可用性，确保</w:t>
      </w:r>
      <w:r>
        <w:rPr>
          <w:rFonts w:asciiTheme="minorEastAsia" w:hAnsiTheme="minorEastAsia" w:eastAsiaTheme="minorEastAsia"/>
          <w:sz w:val="24"/>
          <w:szCs w:val="24"/>
          <w:lang w:eastAsia="zh-CN"/>
        </w:rPr>
        <w:t>7*24</w:t>
      </w:r>
      <w:r>
        <w:rPr>
          <w:rFonts w:hint="eastAsia" w:asciiTheme="minorEastAsia" w:hAnsiTheme="minorEastAsia" w:eastAsiaTheme="minorEastAsia"/>
          <w:sz w:val="24"/>
          <w:szCs w:val="24"/>
          <w:lang w:eastAsia="zh-CN"/>
        </w:rPr>
        <w:t>小时不间断工作。</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华文仿宋" w:hAnsi="华文仿宋" w:eastAsia="华文仿宋"/>
          <w:sz w:val="24"/>
          <w:szCs w:val="24"/>
          <w:lang w:eastAsia="zh-CN"/>
        </w:rPr>
        <w:t>◆</w:t>
      </w:r>
      <w:r>
        <w:rPr>
          <w:rFonts w:hint="eastAsia" w:asciiTheme="minorEastAsia" w:hAnsiTheme="minorEastAsia" w:eastAsiaTheme="minorEastAsia"/>
          <w:sz w:val="24"/>
          <w:szCs w:val="24"/>
          <w:lang w:eastAsia="zh-CN"/>
        </w:rPr>
        <w:t>充分考虑信息资源整合、共享、利用，为做好与市级或其他部门的共享交换平台对接。</w:t>
      </w:r>
      <w:r>
        <w:rPr>
          <w:rFonts w:asciiTheme="minorEastAsia" w:hAnsiTheme="minorEastAsia" w:eastAsiaTheme="minorEastAsia"/>
          <w:sz w:val="24"/>
          <w:szCs w:val="24"/>
          <w:lang w:eastAsia="zh-CN"/>
        </w:rPr>
        <w:t xml:space="preserve"> 1</w:t>
      </w:r>
      <w:r>
        <w:rPr>
          <w:rFonts w:hint="eastAsia" w:asciiTheme="minorEastAsia" w:hAnsiTheme="minorEastAsia" w:eastAsiaTheme="minorEastAsia"/>
          <w:sz w:val="24"/>
          <w:szCs w:val="24"/>
          <w:lang w:eastAsia="zh-CN"/>
        </w:rPr>
        <w:t>、可配置推送的目的前置数据库（支持国产操作系统，至少支持前置数据库）。</w:t>
      </w:r>
      <w:r>
        <w:rPr>
          <w:rFonts w:asciiTheme="minorEastAsia" w:hAnsiTheme="minorEastAsia" w:eastAsiaTheme="minorEastAsia"/>
          <w:sz w:val="24"/>
          <w:szCs w:val="24"/>
          <w:lang w:eastAsia="zh-CN"/>
        </w:rPr>
        <w:t>2</w:t>
      </w:r>
      <w:r>
        <w:rPr>
          <w:rFonts w:hint="eastAsia" w:asciiTheme="minorEastAsia" w:hAnsiTheme="minorEastAsia" w:eastAsiaTheme="minorEastAsia"/>
          <w:sz w:val="24"/>
          <w:szCs w:val="24"/>
          <w:lang w:eastAsia="zh-CN"/>
        </w:rPr>
        <w:t>、支持数据的全量，增量推送。</w:t>
      </w:r>
      <w:r>
        <w:rPr>
          <w:rFonts w:asciiTheme="minorEastAsia" w:hAnsiTheme="minorEastAsia" w:eastAsiaTheme="minorEastAsia"/>
          <w:sz w:val="24"/>
          <w:szCs w:val="24"/>
          <w:lang w:eastAsia="zh-CN"/>
        </w:rPr>
        <w:t>3</w:t>
      </w:r>
      <w:r>
        <w:rPr>
          <w:rFonts w:hint="eastAsia" w:asciiTheme="minorEastAsia" w:hAnsiTheme="minorEastAsia" w:eastAsiaTheme="minorEastAsia"/>
          <w:sz w:val="24"/>
          <w:szCs w:val="24"/>
          <w:lang w:eastAsia="zh-CN"/>
        </w:rPr>
        <w:t>、支持数据定时、定期推送。</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华文仿宋" w:hAnsi="华文仿宋" w:eastAsia="华文仿宋"/>
          <w:sz w:val="24"/>
          <w:szCs w:val="24"/>
          <w:lang w:eastAsia="zh-CN"/>
        </w:rPr>
        <w:t>◆</w:t>
      </w:r>
      <w:r>
        <w:rPr>
          <w:rFonts w:hint="eastAsia" w:asciiTheme="minorEastAsia" w:hAnsiTheme="minorEastAsia" w:eastAsiaTheme="minorEastAsia"/>
          <w:sz w:val="24"/>
          <w:szCs w:val="24"/>
          <w:lang w:eastAsia="zh-CN"/>
        </w:rPr>
        <w:t>遵循国家和省市及太仓市有关计算机信息系统的安全保密规定，同步实施系统的安全保密体系，以确保数据的保密、完整、可用，确保系统的安全、可靠、稳定和实用。同时要求平台内所有敏感信息支持加密传输及脱敏展示。</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华文仿宋" w:hAnsi="华文仿宋" w:eastAsia="华文仿宋"/>
          <w:sz w:val="24"/>
          <w:szCs w:val="24"/>
          <w:lang w:eastAsia="zh-CN"/>
        </w:rPr>
        <w:t>◆</w:t>
      </w:r>
      <w:r>
        <w:rPr>
          <w:rFonts w:hint="eastAsia" w:asciiTheme="minorEastAsia" w:hAnsiTheme="minorEastAsia" w:eastAsiaTheme="minorEastAsia"/>
          <w:sz w:val="24"/>
          <w:szCs w:val="24"/>
          <w:lang w:eastAsia="zh-CN"/>
        </w:rPr>
        <w:t>满足业务变更平滑扩展，不需要改变系统架构。</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华文仿宋" w:hAnsi="华文仿宋" w:eastAsia="华文仿宋"/>
          <w:sz w:val="24"/>
          <w:szCs w:val="24"/>
          <w:lang w:eastAsia="zh-CN"/>
        </w:rPr>
        <w:t>◆</w:t>
      </w:r>
      <w:r>
        <w:rPr>
          <w:rFonts w:hint="eastAsia" w:asciiTheme="minorEastAsia" w:hAnsiTheme="minorEastAsia" w:eastAsiaTheme="minorEastAsia"/>
          <w:sz w:val="24"/>
          <w:szCs w:val="24"/>
          <w:lang w:eastAsia="zh-CN"/>
        </w:rPr>
        <w:t>满足空间数据资源访问的高效性，核心服务响应时间不超过</w:t>
      </w:r>
      <w:r>
        <w:rPr>
          <w:rFonts w:asciiTheme="minorEastAsia" w:hAnsiTheme="minorEastAsia" w:eastAsiaTheme="minorEastAsia"/>
          <w:sz w:val="24"/>
          <w:szCs w:val="24"/>
          <w:lang w:eastAsia="zh-CN"/>
        </w:rPr>
        <w:t>3s</w:t>
      </w:r>
      <w:r>
        <w:rPr>
          <w:rFonts w:hint="eastAsia" w:asciiTheme="minorEastAsia" w:hAnsiTheme="minorEastAsia" w:eastAsiaTheme="minorEastAsia"/>
          <w:sz w:val="24"/>
          <w:szCs w:val="24"/>
          <w:lang w:eastAsia="zh-CN"/>
        </w:rPr>
        <w:t>。</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华文仿宋" w:hAnsi="华文仿宋" w:eastAsia="华文仿宋"/>
          <w:sz w:val="24"/>
          <w:szCs w:val="24"/>
          <w:lang w:eastAsia="zh-CN"/>
        </w:rPr>
        <w:t>◆</w:t>
      </w:r>
      <w:r>
        <w:rPr>
          <w:rFonts w:hint="eastAsia" w:asciiTheme="minorEastAsia" w:hAnsiTheme="minorEastAsia" w:eastAsiaTheme="minorEastAsia"/>
          <w:sz w:val="24"/>
          <w:szCs w:val="24"/>
          <w:lang w:eastAsia="zh-CN"/>
        </w:rPr>
        <w:t>系统应提供友好的人机操作界面，符合不同类型的用户角色固有的管理和使用习惯，能使用户以较快的速度找到自己最关注的功能操作和数据信息，方便用户学习和掌握，提高系统使用效率。</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4、</w:t>
      </w:r>
      <w:r>
        <w:rPr>
          <w:rFonts w:hint="eastAsia" w:asciiTheme="minorEastAsia" w:hAnsiTheme="minorEastAsia" w:eastAsiaTheme="minorEastAsia"/>
          <w:b/>
          <w:sz w:val="24"/>
          <w:szCs w:val="24"/>
          <w:lang w:eastAsia="zh-CN"/>
        </w:rPr>
        <w:t>项目建设周期</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项目建设期预计</w:t>
      </w:r>
      <w:r>
        <w:rPr>
          <w:rFonts w:asciiTheme="minorEastAsia" w:hAnsiTheme="minorEastAsia" w:eastAsiaTheme="minorEastAsia"/>
          <w:sz w:val="24"/>
          <w:szCs w:val="24"/>
          <w:lang w:eastAsia="zh-CN"/>
        </w:rPr>
        <w:t>7</w:t>
      </w:r>
      <w:r>
        <w:rPr>
          <w:rFonts w:hint="eastAsia" w:asciiTheme="minorEastAsia" w:hAnsiTheme="minorEastAsia" w:eastAsiaTheme="minorEastAsia"/>
          <w:sz w:val="24"/>
          <w:szCs w:val="24"/>
          <w:lang w:eastAsia="zh-CN"/>
        </w:rPr>
        <w:t>个月。总体开发计划如下：</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5"/>
        <w:gridCol w:w="4573"/>
        <w:gridCol w:w="2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251" w:type="pct"/>
            <w:shd w:val="clear" w:color="000000" w:fill="auto"/>
            <w:vAlign w:val="center"/>
          </w:tcPr>
          <w:p>
            <w:pPr>
              <w:jc w:val="center"/>
              <w:rPr>
                <w:rFonts w:cs="仿宋_GB2312" w:asciiTheme="minorEastAsia" w:hAnsiTheme="minorEastAsia" w:eastAsiaTheme="minorEastAsia"/>
                <w:b/>
                <w:bCs/>
                <w:color w:val="000000"/>
                <w:sz w:val="24"/>
                <w:szCs w:val="24"/>
              </w:rPr>
            </w:pPr>
            <w:r>
              <w:rPr>
                <w:rFonts w:hint="eastAsia" w:cs="仿宋_GB2312" w:asciiTheme="minorEastAsia" w:hAnsiTheme="minorEastAsia" w:eastAsiaTheme="minorEastAsia"/>
                <w:b/>
                <w:bCs/>
                <w:color w:val="000000"/>
                <w:sz w:val="24"/>
                <w:szCs w:val="24"/>
              </w:rPr>
              <w:t>实施推进</w:t>
            </w:r>
          </w:p>
        </w:tc>
        <w:tc>
          <w:tcPr>
            <w:tcW w:w="2389" w:type="pct"/>
            <w:shd w:val="clear" w:color="000000" w:fill="auto"/>
            <w:vAlign w:val="center"/>
          </w:tcPr>
          <w:p>
            <w:pPr>
              <w:jc w:val="center"/>
              <w:rPr>
                <w:rFonts w:cs="仿宋_GB2312" w:asciiTheme="minorEastAsia" w:hAnsiTheme="minorEastAsia" w:eastAsiaTheme="minorEastAsia"/>
                <w:b/>
                <w:bCs/>
                <w:color w:val="000000"/>
                <w:sz w:val="24"/>
                <w:szCs w:val="24"/>
              </w:rPr>
            </w:pPr>
            <w:r>
              <w:rPr>
                <w:rFonts w:hint="eastAsia" w:cs="仿宋_GB2312" w:asciiTheme="minorEastAsia" w:hAnsiTheme="minorEastAsia" w:eastAsiaTheme="minorEastAsia"/>
                <w:b/>
                <w:bCs/>
                <w:color w:val="000000"/>
                <w:sz w:val="24"/>
                <w:szCs w:val="24"/>
              </w:rPr>
              <w:t>工作内容</w:t>
            </w:r>
          </w:p>
        </w:tc>
        <w:tc>
          <w:tcPr>
            <w:tcW w:w="1360" w:type="pct"/>
            <w:shd w:val="clear" w:color="000000" w:fill="auto"/>
            <w:vAlign w:val="center"/>
          </w:tcPr>
          <w:p>
            <w:pPr>
              <w:jc w:val="center"/>
              <w:rPr>
                <w:rFonts w:cs="仿宋_GB2312" w:asciiTheme="minorEastAsia" w:hAnsiTheme="minorEastAsia" w:eastAsiaTheme="minorEastAsia"/>
                <w:b/>
                <w:bCs/>
                <w:color w:val="000000"/>
                <w:sz w:val="24"/>
                <w:szCs w:val="24"/>
                <w:lang w:eastAsia="zh-CN"/>
              </w:rPr>
            </w:pPr>
            <w:r>
              <w:rPr>
                <w:rFonts w:hint="eastAsia" w:cs="仿宋_GB2312" w:asciiTheme="minorEastAsia" w:hAnsiTheme="minorEastAsia" w:eastAsiaTheme="minorEastAsia"/>
                <w:b/>
                <w:bCs/>
                <w:color w:val="000000"/>
                <w:sz w:val="24"/>
                <w:szCs w:val="24"/>
                <w:lang w:eastAsia="zh-CN"/>
              </w:rPr>
              <w:t>时间安排</w:t>
            </w:r>
          </w:p>
          <w:p>
            <w:pPr>
              <w:jc w:val="center"/>
              <w:rPr>
                <w:rFonts w:cs="仿宋_GB2312" w:asciiTheme="minorEastAsia" w:hAnsiTheme="minorEastAsia" w:eastAsiaTheme="minorEastAsia"/>
                <w:b/>
                <w:bCs/>
                <w:color w:val="000000"/>
                <w:sz w:val="24"/>
                <w:szCs w:val="24"/>
                <w:lang w:eastAsia="zh-CN"/>
              </w:rPr>
            </w:pPr>
            <w:r>
              <w:rPr>
                <w:rFonts w:hint="eastAsia" w:cs="仿宋_GB2312" w:asciiTheme="minorEastAsia" w:hAnsiTheme="minorEastAsia" w:eastAsiaTheme="minorEastAsia"/>
                <w:b/>
                <w:bCs/>
                <w:color w:val="000000"/>
                <w:sz w:val="24"/>
                <w:szCs w:val="24"/>
                <w:lang w:eastAsia="zh-CN"/>
              </w:rPr>
              <w:t>（计划周期/周）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251" w:type="pct"/>
            <w:shd w:val="clear" w:color="000000" w:fill="FFFFFF"/>
            <w:noWrap/>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计划阶段</w:t>
            </w:r>
          </w:p>
        </w:tc>
        <w:tc>
          <w:tcPr>
            <w:tcW w:w="2389" w:type="pct"/>
            <w:shd w:val="clear" w:color="auto" w:fill="auto"/>
            <w:vAlign w:val="center"/>
          </w:tcPr>
          <w:p>
            <w:pPr>
              <w:jc w:val="center"/>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项目规划与监控管理、项目蓝图设计评审</w:t>
            </w:r>
          </w:p>
        </w:tc>
        <w:tc>
          <w:tcPr>
            <w:tcW w:w="1360" w:type="pct"/>
            <w:shd w:val="clear" w:color="auto" w:fill="auto"/>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2周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251" w:type="pct"/>
            <w:shd w:val="clear" w:color="000000" w:fill="FFFFFF"/>
            <w:noWrap/>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需求阶段</w:t>
            </w:r>
          </w:p>
        </w:tc>
        <w:tc>
          <w:tcPr>
            <w:tcW w:w="2389" w:type="pct"/>
            <w:shd w:val="clear" w:color="auto" w:fill="auto"/>
            <w:vAlign w:val="center"/>
          </w:tcPr>
          <w:p>
            <w:pPr>
              <w:jc w:val="center"/>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需求和设计评审、项目需求调研</w:t>
            </w:r>
          </w:p>
        </w:tc>
        <w:tc>
          <w:tcPr>
            <w:tcW w:w="1360" w:type="pct"/>
            <w:shd w:val="clear" w:color="auto" w:fill="auto"/>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2周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1251" w:type="pct"/>
            <w:shd w:val="clear" w:color="000000" w:fill="FFFFFF"/>
            <w:noWrap/>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设计阶段</w:t>
            </w:r>
          </w:p>
        </w:tc>
        <w:tc>
          <w:tcPr>
            <w:tcW w:w="2389" w:type="pct"/>
            <w:shd w:val="clear" w:color="auto" w:fill="auto"/>
            <w:vAlign w:val="center"/>
          </w:tcPr>
          <w:p>
            <w:pPr>
              <w:jc w:val="center"/>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数据库设计、交互设计、开发负责人对需求评估、系统设计</w:t>
            </w:r>
          </w:p>
        </w:tc>
        <w:tc>
          <w:tcPr>
            <w:tcW w:w="1360" w:type="pct"/>
            <w:shd w:val="clear" w:color="auto" w:fill="auto"/>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2周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251" w:type="pct"/>
            <w:shd w:val="clear" w:color="000000" w:fill="FFFFFF"/>
            <w:noWrap/>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开发阶段</w:t>
            </w:r>
          </w:p>
        </w:tc>
        <w:tc>
          <w:tcPr>
            <w:tcW w:w="2389" w:type="pct"/>
            <w:shd w:val="clear" w:color="auto" w:fill="auto"/>
            <w:vAlign w:val="center"/>
          </w:tcPr>
          <w:p>
            <w:pPr>
              <w:jc w:val="center"/>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产品和项目测试、代码评审、单元测试、项目接口联调测试</w:t>
            </w:r>
          </w:p>
        </w:tc>
        <w:tc>
          <w:tcPr>
            <w:tcW w:w="1360" w:type="pct"/>
            <w:shd w:val="clear" w:color="auto" w:fill="auto"/>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12周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251" w:type="pct"/>
            <w:shd w:val="clear" w:color="000000" w:fill="FFFFFF"/>
            <w:noWrap/>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测试阶段</w:t>
            </w:r>
          </w:p>
        </w:tc>
        <w:tc>
          <w:tcPr>
            <w:tcW w:w="2389" w:type="pct"/>
            <w:shd w:val="clear" w:color="auto" w:fill="auto"/>
            <w:vAlign w:val="center"/>
          </w:tcPr>
          <w:p>
            <w:pPr>
              <w:jc w:val="center"/>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项目UAT测试、敏捷测试、研发群测试、美观度测试、测试前评审</w:t>
            </w:r>
          </w:p>
        </w:tc>
        <w:tc>
          <w:tcPr>
            <w:tcW w:w="1360" w:type="pct"/>
            <w:shd w:val="clear" w:color="auto" w:fill="auto"/>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2周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251" w:type="pct"/>
            <w:shd w:val="clear" w:color="000000" w:fill="FFFFFF"/>
            <w:noWrap/>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实施阶段</w:t>
            </w:r>
          </w:p>
        </w:tc>
        <w:tc>
          <w:tcPr>
            <w:tcW w:w="2389" w:type="pct"/>
            <w:shd w:val="clear" w:color="auto" w:fill="auto"/>
            <w:vAlign w:val="center"/>
          </w:tcPr>
          <w:p>
            <w:pPr>
              <w:jc w:val="center"/>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客户意见收集、项目巡检、人员培训、安全漏洞共性整改、项目网络安全攻防演练、系统升级方案评审</w:t>
            </w:r>
          </w:p>
        </w:tc>
        <w:tc>
          <w:tcPr>
            <w:tcW w:w="1360" w:type="pct"/>
            <w:shd w:val="clear" w:color="auto" w:fill="auto"/>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4周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251" w:type="pct"/>
            <w:shd w:val="clear" w:color="000000" w:fill="FFFFFF"/>
            <w:noWrap/>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试运行阶段</w:t>
            </w:r>
          </w:p>
        </w:tc>
        <w:tc>
          <w:tcPr>
            <w:tcW w:w="2389" w:type="pct"/>
            <w:shd w:val="clear" w:color="auto" w:fill="auto"/>
            <w:vAlign w:val="center"/>
          </w:tcPr>
          <w:p>
            <w:pPr>
              <w:jc w:val="center"/>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项目上线、更新、发布</w:t>
            </w:r>
          </w:p>
        </w:tc>
        <w:tc>
          <w:tcPr>
            <w:tcW w:w="1360" w:type="pct"/>
            <w:shd w:val="clear" w:color="auto" w:fill="auto"/>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2周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251" w:type="pct"/>
            <w:shd w:val="clear" w:color="000000" w:fill="FFFFFF"/>
            <w:noWrap/>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验收阶段</w:t>
            </w:r>
          </w:p>
        </w:tc>
        <w:tc>
          <w:tcPr>
            <w:tcW w:w="2389" w:type="pct"/>
            <w:shd w:val="clear" w:color="auto" w:fill="auto"/>
            <w:vAlign w:val="center"/>
          </w:tcPr>
          <w:p>
            <w:pPr>
              <w:jc w:val="center"/>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合同验收、项目验收、编写项目总结报告</w:t>
            </w:r>
          </w:p>
        </w:tc>
        <w:tc>
          <w:tcPr>
            <w:tcW w:w="1360" w:type="pct"/>
            <w:shd w:val="clear" w:color="auto" w:fill="auto"/>
            <w:vAlign w:val="center"/>
          </w:tcPr>
          <w:p>
            <w:pPr>
              <w:jc w:val="center"/>
              <w:rPr>
                <w:rFonts w:cs="仿宋_GB2312" w:asciiTheme="minorEastAsia" w:hAnsiTheme="minorEastAsia" w:eastAsiaTheme="minorEastAsia"/>
                <w:color w:val="000000"/>
                <w:sz w:val="24"/>
                <w:szCs w:val="24"/>
              </w:rPr>
            </w:pPr>
            <w:r>
              <w:rPr>
                <w:rFonts w:hint="eastAsia" w:cs="仿宋_GB2312" w:asciiTheme="minorEastAsia" w:hAnsiTheme="minorEastAsia" w:eastAsiaTheme="minorEastAsia"/>
                <w:color w:val="000000"/>
                <w:sz w:val="24"/>
                <w:szCs w:val="24"/>
              </w:rPr>
              <w:t>2周</w:t>
            </w:r>
          </w:p>
        </w:tc>
      </w:tr>
    </w:tbl>
    <w:p>
      <w:pPr>
        <w:pStyle w:val="238"/>
        <w:spacing w:line="460" w:lineRule="exact"/>
        <w:rPr>
          <w:rFonts w:asciiTheme="minorEastAsia" w:hAnsiTheme="minorEastAsia" w:eastAsiaTheme="minorEastAsia"/>
          <w:sz w:val="24"/>
          <w:szCs w:val="24"/>
          <w:lang w:eastAsia="zh-CN"/>
        </w:rPr>
      </w:pP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5、</w:t>
      </w:r>
      <w:r>
        <w:rPr>
          <w:rFonts w:hint="eastAsia" w:asciiTheme="minorEastAsia" w:hAnsiTheme="minorEastAsia" w:eastAsiaTheme="minorEastAsia"/>
          <w:b/>
          <w:sz w:val="24"/>
          <w:szCs w:val="24"/>
          <w:lang w:eastAsia="zh-CN"/>
        </w:rPr>
        <w:t>项目实施要求</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5.1、</w:t>
      </w:r>
      <w:r>
        <w:rPr>
          <w:rFonts w:hint="eastAsia" w:asciiTheme="minorEastAsia" w:hAnsiTheme="minorEastAsia" w:eastAsiaTheme="minorEastAsia"/>
          <w:b/>
          <w:sz w:val="24"/>
          <w:szCs w:val="24"/>
          <w:lang w:eastAsia="zh-CN"/>
        </w:rPr>
        <w:t>项目组织与人员</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投标人必须承诺在中标后，立刻提供本项目的详细工作进度安排和项目组人员配备方案，项目实施过程中，常驻现场项目人员应保持为</w:t>
      </w: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eastAsia="zh-CN"/>
        </w:rPr>
        <w:t>人的固定团队，系统联调、上线切换时应为</w:t>
      </w: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eastAsia="zh-CN"/>
        </w:rPr>
        <w:t>人；项目经理须通过项目采购方的考核，且须常驻现场。</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为保障本项目建设过程中，沟通和协调的便利，中标方必须指定一名项目总协调人，项目总协调人必须是公司管理层领导。项目建设过程中一旦出现重大问题，项目总协调人应能及时赶到现场。</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更换项目负责人和主要技术人员，须将变更人及其工作影响、替换人资历等情况以书面材料报告项目采购方审核，经同意后方可更换。因中标方人员变更原因所造成的任何项目质量、进度滞后的后果，由中标方承担一切责任。</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项目经理：</w:t>
      </w: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eastAsia="zh-CN"/>
        </w:rPr>
        <w:t>人，全职参与全过程活动，常驻现场；</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其他辅助人员：掌握资源的相关公司管理人员，按项目过程中的支持保障要求部分参与项目活动。</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所有人员均必须与本项目规模相适应的技能、项目经验和沟通能力。</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5.2、</w:t>
      </w:r>
      <w:r>
        <w:rPr>
          <w:rFonts w:hint="eastAsia" w:asciiTheme="minorEastAsia" w:hAnsiTheme="minorEastAsia" w:eastAsiaTheme="minorEastAsia"/>
          <w:b/>
          <w:sz w:val="24"/>
          <w:szCs w:val="24"/>
          <w:lang w:eastAsia="zh-CN"/>
        </w:rPr>
        <w:t>质量保障体系</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需要有公司级的质量保障体系，并保障该体系有效正常运作；</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需要在软件开发与系统售后服务的公司级保障体系之下，建立本项目的质量保障体系并获得公司的资源支持；</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不得缩小项目人员的组成或者其他资源，核心人员在项目结束前未经允许，不得更换或者中途退出。</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5.3、</w:t>
      </w:r>
      <w:r>
        <w:rPr>
          <w:rFonts w:hint="eastAsia" w:asciiTheme="minorEastAsia" w:hAnsiTheme="minorEastAsia" w:eastAsiaTheme="minorEastAsia"/>
          <w:b/>
          <w:sz w:val="24"/>
          <w:szCs w:val="24"/>
          <w:lang w:eastAsia="zh-CN"/>
        </w:rPr>
        <w:t>培训与试运行要求</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需要对所有的系统使用者进行培训，按不同类型用户，提供针对性培训。无法确定培训对象的，需要在系统中通过帮助的形式提供快速入门和详细操作指导文件；</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试运行应由选择合适的单位先试点，再扩大；</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试运行时应在发现并解决一定数量的问题基础上，完善系统并建立系统常见问题的</w:t>
      </w:r>
      <w:r>
        <w:rPr>
          <w:rFonts w:asciiTheme="minorEastAsia" w:hAnsiTheme="minorEastAsia" w:eastAsiaTheme="minorEastAsia"/>
          <w:sz w:val="24"/>
          <w:szCs w:val="24"/>
          <w:lang w:eastAsia="zh-CN"/>
        </w:rPr>
        <w:t>QA</w:t>
      </w:r>
      <w:r>
        <w:rPr>
          <w:rFonts w:hint="eastAsia" w:asciiTheme="minorEastAsia" w:hAnsiTheme="minorEastAsia" w:eastAsiaTheme="minorEastAsia"/>
          <w:sz w:val="24"/>
          <w:szCs w:val="24"/>
          <w:lang w:eastAsia="zh-CN"/>
        </w:rPr>
        <w:t>列表，供管理与使用者参考；</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试运行效果不理想的，可以中止并要求返工。</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5.4、</w:t>
      </w:r>
      <w:r>
        <w:rPr>
          <w:rFonts w:hint="eastAsia" w:asciiTheme="minorEastAsia" w:hAnsiTheme="minorEastAsia" w:eastAsiaTheme="minorEastAsia"/>
          <w:b/>
          <w:sz w:val="24"/>
          <w:szCs w:val="24"/>
          <w:lang w:eastAsia="zh-CN"/>
        </w:rPr>
        <w:t>售后服务要求</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免费质保期为</w:t>
      </w: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eastAsia="zh-CN"/>
        </w:rPr>
        <w:t>年。免费质保期内，除人为损坏和不可抗拒因素外，供应方对软件进行免费质保。（自需方代表在验收报告上签字之日起计算。）</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人必须为本项目建立技术支持和售后服务队伍，并提供项目终验之日起一年的免费质保期，提供无偿现场技术支持和售后服务。中标方在质保期内应为采购方开发的软件业务功能的正常运行进行保障，在接到采购方系统故障报修通知后，</w:t>
      </w: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eastAsia="zh-CN"/>
        </w:rPr>
        <w:t>小时内提出解决方案、</w:t>
      </w:r>
      <w:r>
        <w:rPr>
          <w:rFonts w:asciiTheme="minorEastAsia" w:hAnsiTheme="minorEastAsia" w:eastAsiaTheme="minorEastAsia"/>
          <w:sz w:val="24"/>
          <w:szCs w:val="24"/>
          <w:lang w:eastAsia="zh-CN"/>
        </w:rPr>
        <w:t>4</w:t>
      </w:r>
      <w:r>
        <w:rPr>
          <w:rFonts w:hint="eastAsia" w:asciiTheme="minorEastAsia" w:hAnsiTheme="minorEastAsia" w:eastAsiaTheme="minorEastAsia"/>
          <w:sz w:val="24"/>
          <w:szCs w:val="24"/>
          <w:lang w:eastAsia="zh-CN"/>
        </w:rPr>
        <w:t>小时内修复（系统恢复正常运行）。</w:t>
      </w:r>
    </w:p>
    <w:p>
      <w:pPr>
        <w:pStyle w:val="238"/>
        <w:spacing w:line="460" w:lineRule="exact"/>
        <w:ind w:firstLine="480" w:firstLineChars="200"/>
        <w:rPr>
          <w:rFonts w:hint="eastAsia" w:eastAsia="宋体" w:asciiTheme="minorEastAsia" w:hAnsiTheme="minorEastAsia"/>
          <w:sz w:val="24"/>
          <w:szCs w:val="24"/>
          <w:lang w:eastAsia="zh-CN"/>
        </w:rPr>
      </w:pPr>
      <w:r>
        <w:rPr>
          <w:rFonts w:ascii="宋体" w:hAnsi="宋体" w:eastAsia="宋体" w:cs="宋体"/>
          <w:sz w:val="24"/>
          <w:szCs w:val="24"/>
        </w:rPr>
        <w:t>投标人应提供特殊措施，无论由于哪一方产生的问题而使系统发生不正常情况时，在得到采购方通知后，全力协助采购方使系统尽快恢复正常</w:t>
      </w:r>
      <w:r>
        <w:rPr>
          <w:rFonts w:hint="eastAsia" w:ascii="宋体" w:hAnsi="宋体" w:eastAsia="宋体" w:cs="宋体"/>
          <w:sz w:val="24"/>
          <w:szCs w:val="24"/>
          <w:lang w:eastAsia="zh-CN"/>
        </w:rPr>
        <w:t>。</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售后服务期间，提供</w:t>
      </w:r>
      <w:r>
        <w:rPr>
          <w:rFonts w:asciiTheme="minorEastAsia" w:hAnsiTheme="minorEastAsia" w:eastAsiaTheme="minorEastAsia"/>
          <w:sz w:val="24"/>
          <w:szCs w:val="24"/>
          <w:lang w:eastAsia="zh-CN"/>
        </w:rPr>
        <w:t>5*8</w:t>
      </w:r>
      <w:r>
        <w:rPr>
          <w:rFonts w:hint="eastAsia" w:asciiTheme="minorEastAsia" w:hAnsiTheme="minorEastAsia" w:eastAsiaTheme="minorEastAsia"/>
          <w:sz w:val="24"/>
          <w:szCs w:val="24"/>
          <w:lang w:eastAsia="zh-CN"/>
        </w:rPr>
        <w:t>小时响应服务。对于用户方提出的相关技术问题，服务形式包括热线电话、网站、电子邮件和现场服务等。要求有熟悉系统和系统运行情况的专职技术人员负责与采购方的联系对接，对采购方提出的服务要求（系统故障除外）响应时间为</w:t>
      </w:r>
      <w:r>
        <w:rPr>
          <w:rFonts w:asciiTheme="minorEastAsia" w:hAnsiTheme="minorEastAsia" w:eastAsiaTheme="minorEastAsia"/>
          <w:sz w:val="24"/>
          <w:szCs w:val="24"/>
          <w:lang w:eastAsia="zh-CN"/>
        </w:rPr>
        <w:t>30</w:t>
      </w:r>
      <w:r>
        <w:rPr>
          <w:rFonts w:hint="eastAsia" w:asciiTheme="minorEastAsia" w:hAnsiTheme="minorEastAsia" w:eastAsiaTheme="minorEastAsia"/>
          <w:sz w:val="24"/>
          <w:szCs w:val="24"/>
          <w:lang w:eastAsia="zh-CN"/>
        </w:rPr>
        <w:t>分钟，如需现场对接，从现场服务请求至到达现场为</w:t>
      </w:r>
      <w:r>
        <w:rPr>
          <w:rFonts w:asciiTheme="minorEastAsia" w:hAnsiTheme="minorEastAsia" w:eastAsiaTheme="minorEastAsia"/>
          <w:sz w:val="24"/>
          <w:szCs w:val="24"/>
          <w:lang w:eastAsia="zh-CN"/>
        </w:rPr>
        <w:t>4</w:t>
      </w:r>
      <w:r>
        <w:rPr>
          <w:rFonts w:hint="eastAsia" w:asciiTheme="minorEastAsia" w:hAnsiTheme="minorEastAsia" w:eastAsiaTheme="minorEastAsia"/>
          <w:sz w:val="24"/>
          <w:szCs w:val="24"/>
          <w:lang w:eastAsia="zh-CN"/>
        </w:rPr>
        <w:t>小时内。</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5.5、</w:t>
      </w:r>
      <w:r>
        <w:rPr>
          <w:rFonts w:hint="eastAsia" w:asciiTheme="minorEastAsia" w:hAnsiTheme="minorEastAsia" w:eastAsiaTheme="minorEastAsia"/>
          <w:b/>
          <w:sz w:val="24"/>
          <w:szCs w:val="24"/>
          <w:lang w:eastAsia="zh-CN"/>
        </w:rPr>
        <w:t>知识产权说明</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方应保证在本项目使用的任何产品和服务（包括部分使用）时，不会产生因第三方提出侵犯其专利权、商标权或其它知识产权而引起的法律和经济纠纷，如因专利权、商标权或其它知识产权而引起法律和经济纠纷，由投标方承担所有相关责任。</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5.6、</w:t>
      </w:r>
      <w:r>
        <w:rPr>
          <w:rFonts w:hint="eastAsia" w:asciiTheme="minorEastAsia" w:hAnsiTheme="minorEastAsia" w:eastAsiaTheme="minorEastAsia"/>
          <w:b/>
          <w:sz w:val="24"/>
          <w:szCs w:val="24"/>
          <w:lang w:eastAsia="zh-CN"/>
        </w:rPr>
        <w:t>项目实施保密要求</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方应承诺，加强内部保密和信息安全管理，因投标方造成的数据泄密、网络与信息安全问题，由投标方承担所有责任。项目建设和运维过程中所产生的一切数据及资料的所有权和使用权均归属于采购方，未经采购方同意，服务提供方不得使用或者处置相应数据和资料。如中标，服务提供方应和采购方签署相应保密协议，同时，服务提供方应与参与本服务项目的人员签订保密协议。</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6、</w:t>
      </w:r>
      <w:r>
        <w:rPr>
          <w:rFonts w:hint="eastAsia" w:asciiTheme="minorEastAsia" w:hAnsiTheme="minorEastAsia" w:eastAsiaTheme="minorEastAsia"/>
          <w:b/>
          <w:sz w:val="24"/>
          <w:szCs w:val="24"/>
          <w:lang w:eastAsia="zh-CN"/>
        </w:rPr>
        <w:t>质保服务</w:t>
      </w:r>
    </w:p>
    <w:p>
      <w:pPr>
        <w:pStyle w:val="238"/>
        <w:spacing w:line="460" w:lineRule="exact"/>
        <w:ind w:firstLine="480" w:firstLineChars="200"/>
        <w:rPr>
          <w:rFonts w:asciiTheme="minorEastAsia" w:hAnsiTheme="minorEastAsia" w:eastAsiaTheme="minorEastAsia"/>
          <w:b/>
          <w:sz w:val="24"/>
          <w:szCs w:val="24"/>
          <w:lang w:eastAsia="zh-CN"/>
        </w:rPr>
      </w:pPr>
      <w:r>
        <w:rPr>
          <w:rFonts w:hint="eastAsia" w:asciiTheme="minorEastAsia" w:hAnsiTheme="minorEastAsia" w:eastAsiaTheme="minorEastAsia"/>
          <w:sz w:val="24"/>
          <w:szCs w:val="24"/>
          <w:lang w:eastAsia="zh-CN"/>
        </w:rPr>
        <w:t>中标方提供自项目验收完成之日起为期一年的免费维护。第二年起维护费用另行结算。</w:t>
      </w:r>
    </w:p>
    <w:p>
      <w:pPr>
        <w:pStyle w:val="238"/>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三、</w:t>
      </w:r>
      <w:r>
        <w:rPr>
          <w:rFonts w:hint="eastAsia" w:asciiTheme="minorEastAsia" w:hAnsiTheme="minorEastAsia" w:eastAsiaTheme="minorEastAsia"/>
          <w:b/>
          <w:sz w:val="24"/>
          <w:szCs w:val="24"/>
          <w:lang w:eastAsia="zh-CN"/>
        </w:rPr>
        <w:t>报价要求</w:t>
      </w:r>
    </w:p>
    <w:p>
      <w:pPr>
        <w:pStyle w:val="238"/>
        <w:spacing w:line="460" w:lineRule="exact"/>
        <w:ind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eastAsia="zh-CN"/>
        </w:rPr>
        <w:t>、投标人须对本项目中的所有内容进行投报，否则作无效投标处理。</w:t>
      </w:r>
    </w:p>
    <w:p>
      <w:pPr>
        <w:pStyle w:val="238"/>
        <w:spacing w:line="460" w:lineRule="exact"/>
        <w:ind w:firstLine="480" w:firstLineChars="2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2</w:t>
      </w:r>
      <w:r>
        <w:rPr>
          <w:rFonts w:hint="eastAsia" w:asciiTheme="minorEastAsia" w:hAnsiTheme="minorEastAsia" w:eastAsiaTheme="minorEastAsia"/>
          <w:sz w:val="24"/>
          <w:szCs w:val="24"/>
          <w:lang w:eastAsia="zh-CN"/>
        </w:rPr>
        <w:t>、投标应以人民币报价，投标总价应包括所投产品及其备品、备件费用、税费及包装、运至最终目的地的运输、保险、检测验收、技术支持、售后服务、维保及相关劳务支出等工作所发生的全部费用以及投标人企业利润、税金和政策性文件规定及合同包含的所有风险、责任等各项应有费用。</w:t>
      </w:r>
    </w:p>
    <w:p>
      <w:pPr>
        <w:pStyle w:val="238"/>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四、</w:t>
      </w:r>
      <w:r>
        <w:rPr>
          <w:rFonts w:hint="eastAsia" w:asciiTheme="minorEastAsia" w:hAnsiTheme="minorEastAsia" w:eastAsiaTheme="minorEastAsia"/>
          <w:b/>
          <w:sz w:val="24"/>
          <w:szCs w:val="24"/>
          <w:lang w:eastAsia="zh-CN"/>
        </w:rPr>
        <w:t>付款方式</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合同签订后，</w:t>
      </w:r>
      <w:r>
        <w:rPr>
          <w:rFonts w:asciiTheme="minorEastAsia" w:hAnsiTheme="minorEastAsia" w:eastAsiaTheme="minorEastAsia"/>
          <w:sz w:val="24"/>
          <w:szCs w:val="24"/>
          <w:lang w:eastAsia="zh-CN"/>
        </w:rPr>
        <w:t>10</w:t>
      </w:r>
      <w:r>
        <w:rPr>
          <w:rFonts w:hint="eastAsia" w:asciiTheme="minorEastAsia" w:hAnsiTheme="minorEastAsia" w:eastAsiaTheme="minorEastAsia"/>
          <w:sz w:val="24"/>
          <w:szCs w:val="24"/>
          <w:lang w:eastAsia="zh-CN"/>
        </w:rPr>
        <w:t>个工作日内，甲方支付乙方总价款的</w:t>
      </w:r>
      <w:r>
        <w:rPr>
          <w:rFonts w:asciiTheme="minorEastAsia" w:hAnsiTheme="minorEastAsia" w:eastAsiaTheme="minorEastAsia"/>
          <w:sz w:val="24"/>
          <w:szCs w:val="24"/>
          <w:lang w:eastAsia="zh-CN"/>
        </w:rPr>
        <w:t>30%</w:t>
      </w:r>
      <w:r>
        <w:rPr>
          <w:rFonts w:hint="eastAsia" w:asciiTheme="minorEastAsia" w:hAnsiTheme="minorEastAsia" w:eastAsiaTheme="minorEastAsia"/>
          <w:sz w:val="24"/>
          <w:szCs w:val="24"/>
          <w:lang w:eastAsia="zh-CN"/>
        </w:rPr>
        <w:t>。系统验收合格后</w:t>
      </w:r>
      <w:r>
        <w:rPr>
          <w:rFonts w:asciiTheme="minorEastAsia" w:hAnsiTheme="minorEastAsia" w:eastAsiaTheme="minorEastAsia"/>
          <w:sz w:val="24"/>
          <w:szCs w:val="24"/>
          <w:lang w:eastAsia="zh-CN"/>
        </w:rPr>
        <w:t>10</w:t>
      </w:r>
      <w:r>
        <w:rPr>
          <w:rFonts w:hint="eastAsia" w:asciiTheme="minorEastAsia" w:hAnsiTheme="minorEastAsia" w:eastAsiaTheme="minorEastAsia"/>
          <w:sz w:val="24"/>
          <w:szCs w:val="24"/>
          <w:lang w:eastAsia="zh-CN"/>
        </w:rPr>
        <w:t>个工作日内，甲方支付乙方总价款的</w:t>
      </w:r>
      <w:r>
        <w:rPr>
          <w:rFonts w:asciiTheme="minorEastAsia" w:hAnsiTheme="minorEastAsia" w:eastAsiaTheme="minorEastAsia"/>
          <w:sz w:val="24"/>
          <w:szCs w:val="24"/>
          <w:lang w:eastAsia="zh-CN"/>
        </w:rPr>
        <w:t>60%</w:t>
      </w:r>
      <w:r>
        <w:rPr>
          <w:rFonts w:hint="eastAsia" w:asciiTheme="minorEastAsia" w:hAnsiTheme="minorEastAsia" w:eastAsiaTheme="minorEastAsia"/>
          <w:sz w:val="24"/>
          <w:szCs w:val="24"/>
          <w:lang w:eastAsia="zh-CN"/>
        </w:rPr>
        <w:t>。在验收合格后满</w:t>
      </w: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eastAsia="zh-CN"/>
        </w:rPr>
        <w:t>年，甲方支付乙方尾款，为总价款的</w:t>
      </w:r>
      <w:r>
        <w:rPr>
          <w:rFonts w:asciiTheme="minorEastAsia" w:hAnsiTheme="minorEastAsia" w:eastAsiaTheme="minorEastAsia"/>
          <w:sz w:val="24"/>
          <w:szCs w:val="24"/>
          <w:lang w:eastAsia="zh-CN"/>
        </w:rPr>
        <w:t>10%</w:t>
      </w:r>
      <w:r>
        <w:rPr>
          <w:rFonts w:hint="eastAsia" w:asciiTheme="minorEastAsia" w:hAnsiTheme="minorEastAsia" w:eastAsiaTheme="minorEastAsia"/>
          <w:sz w:val="24"/>
          <w:szCs w:val="24"/>
          <w:lang w:eastAsia="zh-CN"/>
        </w:rPr>
        <w:t>。</w:t>
      </w:r>
    </w:p>
    <w:p>
      <w:pPr>
        <w:pStyle w:val="238"/>
        <w:spacing w:line="460" w:lineRule="exact"/>
        <w:ind w:firstLine="480" w:firstLineChars="200"/>
        <w:rPr>
          <w:rFonts w:asciiTheme="minorEastAsia" w:hAnsiTheme="minorEastAsia" w:eastAsiaTheme="minorEastAsia"/>
          <w:sz w:val="24"/>
          <w:szCs w:val="24"/>
          <w:lang w:eastAsia="zh-CN"/>
        </w:rPr>
      </w:pPr>
    </w:p>
    <w:p>
      <w:pPr>
        <w:pStyle w:val="238"/>
        <w:spacing w:line="460" w:lineRule="exact"/>
        <w:rPr>
          <w:rFonts w:cs="微软雅黑" w:asciiTheme="minorEastAsia" w:hAnsiTheme="minorEastAsia" w:eastAsiaTheme="minorEastAsia"/>
          <w:sz w:val="24"/>
          <w:szCs w:val="24"/>
          <w:lang w:eastAsia="zh-CN"/>
        </w:rPr>
      </w:pPr>
      <w:r>
        <w:rPr>
          <w:rFonts w:hint="eastAsia" w:asciiTheme="minorEastAsia" w:hAnsiTheme="minorEastAsia" w:eastAsiaTheme="minorEastAsia"/>
          <w:b/>
          <w:bCs/>
          <w:sz w:val="24"/>
          <w:szCs w:val="24"/>
          <w:lang w:eastAsia="zh-CN"/>
        </w:rPr>
        <w:t>五、</w:t>
      </w:r>
      <w:r>
        <w:rPr>
          <w:rFonts w:hint="eastAsia" w:cs="微软雅黑" w:asciiTheme="minorEastAsia" w:hAnsiTheme="minorEastAsia" w:eastAsiaTheme="minorEastAsia"/>
          <w:b/>
          <w:sz w:val="24"/>
          <w:szCs w:val="24"/>
          <w:lang w:eastAsia="zh-CN"/>
        </w:rPr>
        <w:t>凡涉及招标文件的补</w:t>
      </w:r>
      <w:r>
        <w:rPr>
          <w:rFonts w:hint="eastAsia" w:cs="微软雅黑" w:asciiTheme="minorEastAsia" w:hAnsiTheme="minorEastAsia" w:eastAsiaTheme="minorEastAsia"/>
          <w:sz w:val="24"/>
          <w:szCs w:val="24"/>
          <w:lang w:eastAsia="zh-CN"/>
        </w:rPr>
        <w:t>充说明和修改，均以苏州政府采购网、江苏省政府采购网发布的内容为准。</w:t>
      </w:r>
      <w:bookmarkEnd w:id="3"/>
      <w:bookmarkEnd w:id="4"/>
      <w:bookmarkEnd w:id="5"/>
      <w:bookmarkEnd w:id="6"/>
      <w:bookmarkEnd w:id="7"/>
    </w:p>
    <w:p>
      <w:pPr>
        <w:pBdr>
          <w:top w:val="none" w:color="000000" w:sz="0" w:space="0"/>
          <w:left w:val="none" w:color="000000" w:sz="0" w:space="0"/>
          <w:bottom w:val="none" w:color="000000" w:sz="0" w:space="0"/>
          <w:right w:val="none" w:color="000000" w:sz="0" w:space="0"/>
        </w:pBdr>
        <w:spacing w:before="240" w:after="240" w:line="440" w:lineRule="exact"/>
        <w:jc w:val="center"/>
        <w:rPr>
          <w:rFonts w:ascii="宋体" w:hAnsi="宋体" w:eastAsia="宋体" w:cs="宋体"/>
          <w:b/>
          <w:color w:val="000000"/>
          <w:sz w:val="24"/>
          <w:szCs w:val="24"/>
          <w:lang w:eastAsia="zh-CN"/>
        </w:rPr>
      </w:pPr>
    </w:p>
    <w:p>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pPr>
        <w:pStyle w:val="3"/>
        <w:rPr>
          <w:lang w:eastAsia="zh-CN"/>
        </w:rPr>
      </w:pPr>
    </w:p>
    <w:p>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pPr>
        <w:pStyle w:val="3"/>
        <w:rPr>
          <w:lang w:eastAsia="zh-CN"/>
        </w:rPr>
      </w:pPr>
    </w:p>
    <w:p>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before="240" w:after="240" w:line="439" w:lineRule="atLeast"/>
        <w:jc w:val="center"/>
        <w:rPr>
          <w:lang w:eastAsia="zh-CN"/>
        </w:rPr>
      </w:pPr>
      <w:r>
        <w:rPr>
          <w:rFonts w:ascii="宋体" w:hAnsi="宋体" w:eastAsia="宋体" w:cs="宋体"/>
          <w:b/>
          <w:color w:val="000000"/>
          <w:sz w:val="44"/>
          <w:lang w:eastAsia="zh-CN"/>
        </w:rPr>
        <w:t>第四部分 投标文件格式</w:t>
      </w:r>
    </w:p>
    <w:p>
      <w:pPr>
        <w:pBdr>
          <w:top w:val="none" w:color="000000" w:sz="0" w:space="0"/>
          <w:left w:val="none" w:color="000000" w:sz="0" w:space="0"/>
          <w:bottom w:val="none" w:color="000000" w:sz="0" w:space="0"/>
          <w:right w:val="none" w:color="000000" w:sz="0" w:space="0"/>
        </w:pBdr>
        <w:spacing w:after="0" w:line="380" w:lineRule="atLeast"/>
        <w:jc w:val="center"/>
        <w:rPr>
          <w:lang w:eastAsia="zh-CN"/>
        </w:rPr>
      </w:pPr>
      <w:r>
        <w:rPr>
          <w:rFonts w:ascii="宋体" w:hAnsi="宋体" w:eastAsia="宋体" w:cs="宋体"/>
          <w:b/>
          <w:color w:val="000000"/>
          <w:sz w:val="24"/>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rPr>
          <w:lang w:eastAsia="zh-CN"/>
        </w:rPr>
      </w:pPr>
      <w:r>
        <w:rPr>
          <w:rFonts w:ascii="宋体" w:hAnsi="宋体" w:eastAsia="宋体" w:cs="宋体"/>
          <w:color w:val="000000"/>
          <w:sz w:val="24"/>
          <w:lang w:eastAsia="zh-CN"/>
        </w:rPr>
        <w:t>说明：</w:t>
      </w: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r>
        <w:rPr>
          <w:rFonts w:ascii="宋体" w:hAnsi="宋体" w:eastAsia="宋体" w:cs="宋体"/>
          <w:color w:val="000000"/>
          <w:sz w:val="24"/>
          <w:lang w:eastAsia="zh-CN"/>
        </w:rPr>
        <w:t>对本章所有的投标书格式，投标方可根据自身情况进行补充和修改，但补充和修改不得造成与本格式内容有实质性的违背。</w:t>
      </w: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lang w:eastAsia="zh-CN"/>
        </w:rPr>
      </w:pPr>
      <w:r>
        <w:rPr>
          <w:rFonts w:ascii="宋体" w:hAnsi="宋体" w:eastAsia="宋体" w:cs="宋体"/>
          <w:b/>
          <w:color w:val="000000"/>
          <w:sz w:val="32"/>
          <w:lang w:eastAsia="zh-CN"/>
        </w:rPr>
        <w:t>1、</w:t>
      </w:r>
      <w:r>
        <w:rPr>
          <w:rFonts w:ascii="宋体" w:hAnsi="宋体" w:eastAsia="宋体" w:cs="宋体"/>
          <w:b/>
          <w:color w:val="000000"/>
          <w:sz w:val="28"/>
          <w:lang w:eastAsia="zh-CN"/>
        </w:rPr>
        <w:t>关于资格文件的声明函</w:t>
      </w:r>
    </w:p>
    <w:p>
      <w:pPr>
        <w:pBdr>
          <w:top w:val="none" w:color="000000" w:sz="0" w:space="0"/>
          <w:left w:val="none" w:color="000000" w:sz="0" w:space="0"/>
          <w:bottom w:val="none" w:color="000000" w:sz="0" w:space="0"/>
          <w:right w:val="none" w:color="000000" w:sz="0" w:space="0"/>
        </w:pBdr>
        <w:spacing w:after="0"/>
        <w:ind w:left="1260" w:firstLine="420"/>
        <w:jc w:val="both"/>
        <w:rPr>
          <w:lang w:eastAsia="zh-CN"/>
        </w:rPr>
      </w:pPr>
      <w:r>
        <w:rPr>
          <w:rFonts w:ascii="宋体" w:hAnsi="宋体" w:eastAsia="宋体" w:cs="宋体"/>
          <w:color w:val="000000"/>
          <w:sz w:val="30"/>
          <w:lang w:eastAsia="zh-CN"/>
        </w:rPr>
        <w:t> </w:t>
      </w:r>
    </w:p>
    <w:p>
      <w:pPr>
        <w:pBdr>
          <w:top w:val="none" w:color="000000" w:sz="0" w:space="0"/>
          <w:left w:val="none" w:color="000000" w:sz="0" w:space="0"/>
          <w:bottom w:val="none" w:color="000000" w:sz="0" w:space="0"/>
          <w:right w:val="none" w:color="000000" w:sz="0" w:space="0"/>
        </w:pBdr>
        <w:spacing w:after="0"/>
        <w:ind w:left="1260" w:firstLine="420"/>
        <w:jc w:val="both"/>
        <w:rPr>
          <w:lang w:eastAsia="zh-CN"/>
        </w:rPr>
      </w:pPr>
      <w:r>
        <w:rPr>
          <w:rFonts w:ascii="宋体" w:hAnsi="宋体" w:eastAsia="宋体" w:cs="宋体"/>
          <w:color w:val="000000"/>
          <w:sz w:val="30"/>
          <w:lang w:eastAsia="zh-CN"/>
        </w:rPr>
        <w:t> </w:t>
      </w:r>
    </w:p>
    <w:p>
      <w:pPr>
        <w:pBdr>
          <w:top w:val="none" w:color="000000" w:sz="0" w:space="0"/>
          <w:left w:val="none" w:color="000000" w:sz="0" w:space="0"/>
          <w:bottom w:val="none" w:color="000000" w:sz="0" w:space="0"/>
          <w:right w:val="none" w:color="000000" w:sz="0" w:space="0"/>
        </w:pBdr>
        <w:spacing w:after="0"/>
        <w:ind w:left="1260" w:firstLine="1770"/>
        <w:jc w:val="both"/>
        <w:rPr>
          <w:lang w:eastAsia="zh-CN"/>
        </w:rPr>
      </w:pPr>
      <w:r>
        <w:rPr>
          <w:rFonts w:ascii="宋体" w:hAnsi="宋体" w:eastAsia="宋体" w:cs="宋体"/>
          <w:color w:val="000000"/>
          <w:sz w:val="30"/>
          <w:lang w:eastAsia="zh-CN"/>
        </w:rPr>
        <w:t>关于资格文件的声明函</w:t>
      </w:r>
    </w:p>
    <w:p>
      <w:pPr>
        <w:pBdr>
          <w:top w:val="none" w:color="000000" w:sz="0" w:space="0"/>
          <w:left w:val="none" w:color="000000" w:sz="0" w:space="0"/>
          <w:bottom w:val="none" w:color="000000" w:sz="0" w:space="0"/>
          <w:right w:val="none" w:color="000000" w:sz="0" w:space="0"/>
        </w:pBdr>
        <w:spacing w:after="0"/>
        <w:ind w:left="1260" w:firstLine="420"/>
        <w:jc w:val="center"/>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99" w:lineRule="atLeast"/>
        <w:ind w:firstLine="240"/>
        <w:jc w:val="both"/>
        <w:rPr>
          <w:lang w:eastAsia="zh-CN"/>
        </w:rPr>
      </w:pPr>
      <w:r>
        <w:rPr>
          <w:rFonts w:ascii="宋体" w:hAnsi="宋体" w:eastAsia="宋体" w:cs="宋体"/>
          <w:color w:val="000000"/>
          <w:sz w:val="24"/>
          <w:u w:val="single"/>
          <w:lang w:eastAsia="zh-CN"/>
        </w:rPr>
        <w:t>苏州市公共资源交易中心太仓分中心</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99" w:lineRule="atLeast"/>
        <w:ind w:left="283" w:right="445" w:firstLine="540"/>
        <w:rPr>
          <w:lang w:eastAsia="zh-CN"/>
        </w:rPr>
      </w:pPr>
      <w:r>
        <w:rPr>
          <w:rFonts w:ascii="宋体" w:hAnsi="宋体" w:eastAsia="宋体" w:cs="宋体"/>
          <w:color w:val="000000"/>
          <w:sz w:val="24"/>
          <w:lang w:eastAsia="zh-CN"/>
        </w:rPr>
        <w:t>本公司愿就由贵单位组织实施的编号为</w:t>
      </w:r>
      <w:r>
        <w:rPr>
          <w:rFonts w:hint="eastAsia" w:ascii="宋体" w:hAnsi="宋体" w:eastAsia="宋体" w:cs="宋体"/>
          <w:b/>
          <w:color w:val="000000"/>
          <w:sz w:val="24"/>
          <w:u w:val="single"/>
          <w:lang w:eastAsia="zh-CN"/>
        </w:rPr>
        <w:t>JSZC-320585-JZCG-G2024-0128</w:t>
      </w:r>
      <w:r>
        <w:rPr>
          <w:rFonts w:ascii="宋体" w:hAnsi="宋体" w:eastAsia="宋体" w:cs="宋体"/>
          <w:color w:val="000000"/>
          <w:sz w:val="24"/>
          <w:lang w:eastAsia="zh-CN"/>
        </w:rPr>
        <w:t>号的招标活动进行投标。本公司所提交的投标文件中所有关于投标资格的文件、证明和陈述均是真实的、准确的。若与真实情况不符，本公司愿意承担由此而产生的一切后果。</w:t>
      </w:r>
    </w:p>
    <w:p>
      <w:pPr>
        <w:pBdr>
          <w:top w:val="none" w:color="000000" w:sz="0" w:space="0"/>
          <w:left w:val="none" w:color="000000" w:sz="0" w:space="0"/>
          <w:bottom w:val="none" w:color="000000" w:sz="0" w:space="0"/>
          <w:right w:val="none" w:color="000000" w:sz="0" w:space="0"/>
        </w:pBdr>
        <w:spacing w:after="0" w:line="499" w:lineRule="atLeast"/>
        <w:ind w:left="1259" w:firstLine="426"/>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99" w:lineRule="atLeast"/>
        <w:ind w:left="1259" w:firstLine="426"/>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99" w:lineRule="atLeast"/>
        <w:ind w:firstLine="420"/>
        <w:jc w:val="both"/>
        <w:rPr>
          <w:lang w:eastAsia="zh-CN"/>
        </w:rPr>
      </w:pPr>
      <w:r>
        <w:rPr>
          <w:rFonts w:ascii="宋体" w:hAnsi="宋体" w:eastAsia="宋体" w:cs="宋体"/>
          <w:color w:val="000000"/>
          <w:sz w:val="24"/>
          <w:lang w:eastAsia="zh-CN"/>
        </w:rPr>
        <w:t>投标单位（单位盖章）：</w:t>
      </w:r>
    </w:p>
    <w:p>
      <w:pPr>
        <w:pBdr>
          <w:top w:val="none" w:color="000000" w:sz="0" w:space="0"/>
          <w:left w:val="none" w:color="000000" w:sz="0" w:space="0"/>
          <w:bottom w:val="none" w:color="000000" w:sz="0" w:space="0"/>
          <w:right w:val="none" w:color="000000" w:sz="0" w:space="0"/>
        </w:pBdr>
        <w:spacing w:after="0" w:line="499" w:lineRule="atLeast"/>
        <w:ind w:firstLine="420"/>
        <w:jc w:val="both"/>
        <w:rPr>
          <w:lang w:eastAsia="zh-CN"/>
        </w:rPr>
      </w:pPr>
      <w:r>
        <w:rPr>
          <w:rFonts w:ascii="宋体" w:hAnsi="宋体" w:eastAsia="宋体" w:cs="宋体"/>
          <w:color w:val="000000"/>
          <w:sz w:val="24"/>
          <w:lang w:eastAsia="zh-CN"/>
        </w:rPr>
        <w:t>法定代表人或授权代理人（签字或盖章）：</w:t>
      </w:r>
    </w:p>
    <w:p>
      <w:pPr>
        <w:pBdr>
          <w:top w:val="none" w:color="000000" w:sz="0" w:space="0"/>
          <w:left w:val="none" w:color="000000" w:sz="0" w:space="0"/>
          <w:bottom w:val="none" w:color="000000" w:sz="0" w:space="0"/>
          <w:right w:val="none" w:color="000000" w:sz="0" w:space="0"/>
        </w:pBdr>
        <w:spacing w:after="0" w:line="499" w:lineRule="atLeast"/>
        <w:ind w:firstLine="420"/>
        <w:jc w:val="both"/>
        <w:rPr>
          <w:lang w:eastAsia="zh-CN"/>
        </w:rPr>
      </w:pPr>
      <w:r>
        <w:rPr>
          <w:rFonts w:ascii="宋体" w:hAnsi="宋体" w:eastAsia="宋体" w:cs="宋体"/>
          <w:color w:val="000000"/>
          <w:sz w:val="24"/>
          <w:lang w:eastAsia="zh-CN"/>
        </w:rPr>
        <w:t>投标日期：年月日</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000000"/>
          <w:sz w:val="24"/>
          <w:szCs w:val="24"/>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bCs/>
          <w:color w:val="000000"/>
          <w:sz w:val="28"/>
          <w:szCs w:val="28"/>
          <w:lang w:eastAsia="zh-CN"/>
        </w:rPr>
      </w:pP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bCs/>
          <w:color w:val="000000"/>
          <w:sz w:val="28"/>
          <w:szCs w:val="28"/>
          <w:lang w:eastAsia="zh-CN"/>
        </w:rPr>
      </w:pPr>
      <w:r>
        <w:rPr>
          <w:rFonts w:ascii="宋体" w:hAnsi="宋体" w:eastAsia="宋体" w:cs="宋体"/>
          <w:b/>
          <w:color w:val="000000"/>
          <w:sz w:val="28"/>
          <w:lang w:eastAsia="zh-CN"/>
        </w:rPr>
        <w:t>2、投标承诺函</w:t>
      </w:r>
    </w:p>
    <w:p>
      <w:pPr>
        <w:pBdr>
          <w:top w:val="none" w:color="000000" w:sz="0" w:space="0"/>
          <w:left w:val="none" w:color="000000" w:sz="0" w:space="0"/>
          <w:bottom w:val="none" w:color="000000" w:sz="0" w:space="0"/>
          <w:right w:val="none" w:color="000000" w:sz="0" w:space="0"/>
        </w:pBdr>
        <w:spacing w:after="0" w:line="360" w:lineRule="atLeast"/>
        <w:jc w:val="center"/>
        <w:rPr>
          <w:lang w:eastAsia="zh-CN"/>
        </w:rPr>
      </w:pPr>
      <w:r>
        <w:rPr>
          <w:rFonts w:ascii="宋体" w:hAnsi="宋体" w:eastAsia="宋体" w:cs="宋体"/>
          <w:b/>
          <w:color w:val="000000"/>
          <w:sz w:val="32"/>
          <w:lang w:eastAsia="zh-CN"/>
        </w:rPr>
        <w:t>投标承诺函</w:t>
      </w:r>
    </w:p>
    <w:p>
      <w:pPr>
        <w:pBdr>
          <w:top w:val="none" w:color="000000" w:sz="0" w:space="0"/>
          <w:left w:val="none" w:color="000000" w:sz="0" w:space="0"/>
          <w:bottom w:val="none" w:color="000000" w:sz="0" w:space="0"/>
          <w:right w:val="none" w:color="000000" w:sz="0" w:space="0"/>
        </w:pBdr>
        <w:spacing w:after="0" w:line="360" w:lineRule="atLeast"/>
        <w:ind w:firstLine="240"/>
        <w:jc w:val="both"/>
        <w:rPr>
          <w:lang w:eastAsia="zh-CN"/>
        </w:rP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我们收到贵单位</w:t>
      </w:r>
      <w:r>
        <w:rPr>
          <w:rFonts w:hint="eastAsia" w:ascii="宋体" w:hAnsi="宋体" w:eastAsia="宋体" w:cs="宋体"/>
          <w:b/>
          <w:color w:val="000000"/>
          <w:sz w:val="24"/>
          <w:u w:val="single"/>
          <w:lang w:eastAsia="zh-CN"/>
        </w:rPr>
        <w:t>智慧社区管理平台（低收入家庭帮扶综合信息平台）项目</w:t>
      </w:r>
      <w:r>
        <w:rPr>
          <w:rFonts w:ascii="宋体" w:hAnsi="宋体" w:eastAsia="宋体" w:cs="宋体"/>
          <w:color w:val="000000"/>
          <w:sz w:val="24"/>
          <w:lang w:eastAsia="zh-CN"/>
        </w:rPr>
        <w:t>招标文件（项目编号：</w:t>
      </w:r>
      <w:r>
        <w:rPr>
          <w:rFonts w:hint="eastAsia" w:ascii="宋体" w:hAnsi="宋体" w:eastAsia="宋体" w:cs="宋体"/>
          <w:b/>
          <w:color w:val="000000"/>
          <w:sz w:val="24"/>
          <w:u w:val="single"/>
          <w:lang w:eastAsia="zh-CN"/>
        </w:rPr>
        <w:t>JSZC-320585-JZCG-G2024-0128</w:t>
      </w:r>
      <w:r>
        <w:rPr>
          <w:rFonts w:ascii="宋体" w:hAnsi="宋体" w:eastAsia="宋体" w:cs="宋体"/>
          <w:color w:val="000000"/>
          <w:sz w:val="24"/>
          <w:lang w:eastAsia="zh-CN"/>
        </w:rPr>
        <w:t> ），经仔细阅读和研究，我们决定参加投标。</w:t>
      </w:r>
    </w:p>
    <w:p>
      <w:pPr>
        <w:pBdr>
          <w:top w:val="none" w:color="000000" w:sz="0" w:space="0"/>
          <w:left w:val="none" w:color="000000" w:sz="0" w:space="0"/>
          <w:bottom w:val="none" w:color="000000" w:sz="0" w:space="0"/>
          <w:right w:val="none" w:color="000000" w:sz="0" w:space="0"/>
        </w:pBdr>
        <w:spacing w:after="0" w:line="440" w:lineRule="exact"/>
        <w:ind w:firstLine="240"/>
        <w:jc w:val="both"/>
        <w:rPr>
          <w:lang w:eastAsia="zh-CN"/>
        </w:rPr>
      </w:pPr>
      <w:r>
        <w:rPr>
          <w:rFonts w:ascii="宋体" w:hAnsi="宋体" w:eastAsia="宋体" w:cs="宋体"/>
          <w:color w:val="000000"/>
          <w:sz w:val="24"/>
          <w:lang w:eastAsia="zh-CN"/>
        </w:rPr>
        <w:t>  1、我们愿意按照招标文件的一切要求，提供包括完成该项目全部内容的设备、材料及人工、机械、保险、劳保、各种税费以及质保期间的一切费用。</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2、如果我们的投标书被接受，我们将严格履行招标文件中规定的每一项要求，按期、按质、按量履行合同的义务。</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3、我们同意按招标文件中的规定，本投标书的有效期限为开标后</w:t>
      </w:r>
      <w:r>
        <w:rPr>
          <w:rFonts w:ascii="宋体" w:hAnsi="宋体" w:eastAsia="宋体" w:cs="宋体"/>
          <w:b/>
          <w:color w:val="000000"/>
          <w:sz w:val="24"/>
          <w:u w:val="single"/>
          <w:lang w:eastAsia="zh-CN"/>
        </w:rPr>
        <w:t>90</w:t>
      </w:r>
      <w:r>
        <w:rPr>
          <w:rFonts w:ascii="宋体" w:hAnsi="宋体" w:eastAsia="宋体" w:cs="宋体"/>
          <w:color w:val="000000"/>
          <w:sz w:val="24"/>
          <w:lang w:eastAsia="zh-CN"/>
        </w:rPr>
        <w:t>天。</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4、我们愿意提供招标方在招标文件中要求的所有资料。</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5、我们认为你们有权决定中标者，还认为你们有权接受或拒绝所有的投标者。</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6、我们完全理解贵方不一定要接受最低报价的投标或收到的任何投标。</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7、我们承诺该项投标在开标后的全过程中保持有效，不作任何更改和变动。</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8、</w:t>
      </w:r>
      <w:r>
        <w:rPr>
          <w:rFonts w:ascii="宋体" w:hAnsi="宋体" w:eastAsia="宋体" w:cs="宋体"/>
          <w:b/>
          <w:color w:val="000000"/>
          <w:sz w:val="24"/>
          <w:lang w:eastAsia="zh-CN"/>
        </w:rPr>
        <w:t>如果中标，我们同意并知晓中标通知书发出方式及发出时间，遵守招标文件和中标通知书规定，在指定时间和地点和采购人签订合同。</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9、综合说明：</w:t>
      </w:r>
    </w:p>
    <w:p>
      <w:pPr>
        <w:pBdr>
          <w:top w:val="none" w:color="000000" w:sz="0" w:space="0"/>
          <w:left w:val="none" w:color="000000" w:sz="0" w:space="0"/>
          <w:bottom w:val="none" w:color="000000" w:sz="0" w:space="0"/>
          <w:right w:val="none" w:color="000000" w:sz="0" w:space="0"/>
        </w:pBdr>
        <w:spacing w:after="0" w:line="440" w:lineRule="exact"/>
        <w:ind w:firstLine="420"/>
        <w:jc w:val="both"/>
        <w:rPr>
          <w:lang w:eastAsia="zh-CN"/>
        </w:rPr>
      </w:pPr>
      <w:r>
        <w:rPr>
          <w:rFonts w:ascii="宋体" w:hAnsi="宋体" w:eastAsia="宋体" w:cs="宋体"/>
          <w:color w:val="000000"/>
          <w:sz w:val="24"/>
          <w:lang w:eastAsia="zh-CN"/>
        </w:rPr>
        <w:t>（1）伴随服务及配合措施；</w:t>
      </w:r>
    </w:p>
    <w:p>
      <w:pPr>
        <w:pBdr>
          <w:top w:val="none" w:color="000000" w:sz="0" w:space="0"/>
          <w:left w:val="none" w:color="000000" w:sz="0" w:space="0"/>
          <w:bottom w:val="none" w:color="000000" w:sz="0" w:space="0"/>
          <w:right w:val="none" w:color="000000" w:sz="0" w:space="0"/>
        </w:pBdr>
        <w:spacing w:after="0" w:line="440" w:lineRule="exact"/>
        <w:ind w:firstLine="420"/>
        <w:jc w:val="both"/>
        <w:rPr>
          <w:lang w:eastAsia="zh-CN"/>
        </w:rPr>
      </w:pPr>
      <w:r>
        <w:rPr>
          <w:rFonts w:ascii="宋体" w:hAnsi="宋体" w:eastAsia="宋体" w:cs="宋体"/>
          <w:color w:val="000000"/>
          <w:sz w:val="24"/>
          <w:lang w:eastAsia="zh-CN"/>
        </w:rPr>
        <w:t>（2）要求甲方提供的配合；</w:t>
      </w:r>
    </w:p>
    <w:p>
      <w:pPr>
        <w:pBdr>
          <w:top w:val="none" w:color="000000" w:sz="0" w:space="0"/>
          <w:left w:val="none" w:color="000000" w:sz="0" w:space="0"/>
          <w:bottom w:val="none" w:color="000000" w:sz="0" w:space="0"/>
          <w:right w:val="none" w:color="000000" w:sz="0" w:space="0"/>
        </w:pBdr>
        <w:spacing w:after="0" w:line="440" w:lineRule="exact"/>
        <w:ind w:firstLine="420"/>
        <w:jc w:val="both"/>
        <w:rPr>
          <w:lang w:eastAsia="zh-CN"/>
        </w:rPr>
      </w:pPr>
      <w:r>
        <w:rPr>
          <w:rFonts w:ascii="宋体" w:hAnsi="宋体" w:eastAsia="宋体" w:cs="宋体"/>
          <w:color w:val="000000"/>
          <w:sz w:val="24"/>
          <w:lang w:eastAsia="zh-CN"/>
        </w:rPr>
        <w:t>（3）对招标文件有不同意见的偏离说明；</w:t>
      </w:r>
    </w:p>
    <w:p>
      <w:pPr>
        <w:pBdr>
          <w:top w:val="none" w:color="000000" w:sz="0" w:space="0"/>
          <w:left w:val="none" w:color="000000" w:sz="0" w:space="0"/>
          <w:bottom w:val="none" w:color="000000" w:sz="0" w:space="0"/>
          <w:right w:val="none" w:color="000000" w:sz="0" w:space="0"/>
        </w:pBdr>
        <w:spacing w:after="0" w:line="440" w:lineRule="exact"/>
        <w:ind w:firstLine="420"/>
        <w:jc w:val="both"/>
        <w:rPr>
          <w:lang w:eastAsia="zh-CN"/>
        </w:rPr>
      </w:pPr>
      <w:r>
        <w:rPr>
          <w:rFonts w:ascii="宋体" w:hAnsi="宋体" w:eastAsia="宋体" w:cs="宋体"/>
          <w:color w:val="000000"/>
          <w:sz w:val="24"/>
          <w:lang w:eastAsia="zh-CN"/>
        </w:rPr>
        <w:t>（4）其它说明。</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所有有关标书的函电，请按下列地址联系：</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单位：联系人：</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地址：邮政编码：</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联系电话：传真：</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投标单位：（单位盖章）</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法定代表人或授权代理人（签字或盖章）</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日</w:t>
      </w:r>
    </w:p>
    <w:p>
      <w:pPr>
        <w:pBdr>
          <w:top w:val="none" w:color="000000" w:sz="0" w:space="0"/>
          <w:left w:val="none" w:color="000000" w:sz="0" w:space="0"/>
          <w:bottom w:val="none" w:color="000000" w:sz="0" w:space="0"/>
          <w:right w:val="none" w:color="000000" w:sz="0" w:space="0"/>
        </w:pBdr>
        <w:spacing w:after="0" w:line="312" w:lineRule="atLeast"/>
        <w:jc w:val="both"/>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after="0" w:line="312" w:lineRule="atLeast"/>
        <w:jc w:val="both"/>
        <w:rPr>
          <w:lang w:eastAsia="zh-CN"/>
        </w:rPr>
      </w:pPr>
      <w:r>
        <w:rPr>
          <w:rFonts w:ascii="宋体" w:hAnsi="宋体" w:eastAsia="宋体" w:cs="宋体"/>
          <w:b/>
          <w:color w:val="000000"/>
          <w:sz w:val="32"/>
          <w:lang w:eastAsia="zh-CN"/>
        </w:rPr>
        <w:t>3、参加政府采购活动前三年内，在经营活动中没有重大违法记录声明</w:t>
      </w:r>
    </w:p>
    <w:p>
      <w:pPr>
        <w:pBdr>
          <w:top w:val="none" w:color="000000" w:sz="0" w:space="0"/>
          <w:left w:val="none" w:color="000000" w:sz="0" w:space="0"/>
          <w:bottom w:val="none" w:color="000000" w:sz="0" w:space="0"/>
          <w:right w:val="none" w:color="000000" w:sz="0" w:space="0"/>
        </w:pBdr>
        <w:spacing w:after="0" w:line="85" w:lineRule="atLeast"/>
        <w:ind w:left="-210" w:right="-210"/>
        <w:jc w:val="both"/>
        <w:rPr>
          <w:lang w:eastAsia="zh-CN"/>
        </w:rPr>
      </w:pPr>
      <w:r>
        <w:rPr>
          <w:rFonts w:ascii="宋体" w:hAnsi="宋体" w:eastAsia="宋体" w:cs="宋体"/>
          <w:b/>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color w:val="000000"/>
          <w:sz w:val="24"/>
          <w:lang w:eastAsia="zh-CN"/>
        </w:rPr>
        <w:t>参加政府采购活动前三年内，在经营活动中没有重大违法记录声明</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4"/>
          <w:lang w:eastAsia="zh-CN"/>
        </w:rPr>
        <w:t>致：苏州市公共资源交易中心太仓分中心：</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我单位</w:t>
      </w:r>
      <w:r>
        <w:rPr>
          <w:rFonts w:ascii="宋体" w:hAnsi="宋体" w:eastAsia="宋体" w:cs="宋体"/>
          <w:color w:val="000000"/>
          <w:sz w:val="24"/>
          <w:u w:val="single"/>
          <w:lang w:eastAsia="zh-CN"/>
        </w:rPr>
        <w:t>         （供应商名称）</w:t>
      </w:r>
      <w:r>
        <w:rPr>
          <w:rFonts w:ascii="宋体" w:hAnsi="宋体" w:eastAsia="宋体" w:cs="宋体"/>
          <w:color w:val="000000"/>
          <w:sz w:val="24"/>
          <w:lang w:eastAsia="zh-CN"/>
        </w:rPr>
        <w:t> 在参加政府采购活动前三年内，没有重大违法记录，特此声明。</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若采购代理机构在本项目采购过程中发现我单位近三年内在经营活动中有重大违法记录，我单位将无条件退出本项目的招标，并承担因此引起的一起后果。</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供应商名称（单位公章）：</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法定代表人（负责人）或代理人（签字或盖章）：</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投标日期：年月日</w:t>
      </w:r>
    </w:p>
    <w:p>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b/>
          <w:color w:val="000000"/>
          <w:sz w:val="28"/>
          <w:lang w:eastAsia="zh-CN"/>
        </w:rPr>
        <w:t>4、投标单位情况表</w:t>
      </w:r>
    </w:p>
    <w:p>
      <w:pPr>
        <w:pBdr>
          <w:top w:val="none" w:color="000000" w:sz="0" w:space="0"/>
          <w:left w:val="none" w:color="000000" w:sz="0" w:space="0"/>
          <w:bottom w:val="none" w:color="000000" w:sz="0" w:space="0"/>
          <w:right w:val="none" w:color="000000" w:sz="0" w:space="0"/>
        </w:pBdr>
        <w:spacing w:after="0"/>
        <w:ind w:left="1260" w:firstLine="2175"/>
        <w:jc w:val="both"/>
        <w:rPr>
          <w:lang w:eastAsia="zh-CN"/>
        </w:rPr>
      </w:pPr>
      <w:r>
        <w:rPr>
          <w:rFonts w:ascii="宋体" w:hAnsi="宋体" w:eastAsia="宋体" w:cs="宋体"/>
          <w:color w:val="000000"/>
          <w:sz w:val="30"/>
          <w:lang w:eastAsia="zh-CN"/>
        </w:rPr>
        <w:t>投标单位情况表</w:t>
      </w:r>
    </w:p>
    <w:p>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color w:val="000000"/>
          <w:sz w:val="24"/>
          <w:lang w:eastAsia="zh-CN"/>
        </w:rPr>
        <w:t>单位名称（盖章）：</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950"/>
        <w:gridCol w:w="1968"/>
        <w:gridCol w:w="1560"/>
        <w:gridCol w:w="2040"/>
        <w:gridCol w:w="744"/>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95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法定代表人</w:t>
            </w:r>
          </w:p>
        </w:tc>
        <w:tc>
          <w:tcPr>
            <w:tcW w:w="196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c>
          <w:tcPr>
            <w:tcW w:w="156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成立日期</w:t>
            </w:r>
          </w:p>
        </w:tc>
        <w:tc>
          <w:tcPr>
            <w:tcW w:w="2784"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企业地址</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c>
          <w:tcPr>
            <w:tcW w:w="15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注册资本</w:t>
            </w:r>
          </w:p>
        </w:tc>
        <w:tc>
          <w:tcPr>
            <w:tcW w:w="278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        万元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经营范围</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职工人数</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 </w:t>
            </w:r>
          </w:p>
        </w:tc>
        <w:tc>
          <w:tcPr>
            <w:tcW w:w="3600"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其中：有中高级以上职称的人数</w:t>
            </w:r>
          </w:p>
        </w:tc>
        <w:tc>
          <w:tcPr>
            <w:tcW w:w="74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资产总计</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ind w:firstLine="120"/>
              <w:jc w:val="both"/>
            </w:pPr>
            <w:r>
              <w:rPr>
                <w:rFonts w:ascii="宋体" w:hAnsi="宋体" w:eastAsia="宋体" w:cs="宋体"/>
                <w:color w:val="000000"/>
                <w:sz w:val="24"/>
              </w:rPr>
              <w:t>    万元</w:t>
            </w:r>
          </w:p>
        </w:tc>
        <w:tc>
          <w:tcPr>
            <w:tcW w:w="15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净资产</w:t>
            </w:r>
          </w:p>
        </w:tc>
        <w:tc>
          <w:tcPr>
            <w:tcW w:w="278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ind w:left="1260"/>
              <w:jc w:val="center"/>
            </w:pPr>
            <w:r>
              <w:rPr>
                <w:rFonts w:ascii="宋体" w:hAnsi="宋体" w:eastAsia="宋体" w:cs="宋体"/>
                <w:color w:val="000000"/>
                <w:sz w:val="24"/>
              </w:rPr>
              <w:t>  万元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股东权益</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ind w:firstLine="960"/>
              <w:jc w:val="both"/>
            </w:pPr>
            <w:r>
              <w:rPr>
                <w:rFonts w:ascii="宋体" w:hAnsi="宋体" w:eastAsia="宋体" w:cs="宋体"/>
                <w:color w:val="000000"/>
                <w:sz w:val="24"/>
              </w:rPr>
              <w:t>万元</w:t>
            </w:r>
          </w:p>
        </w:tc>
        <w:tc>
          <w:tcPr>
            <w:tcW w:w="15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销售收入</w:t>
            </w:r>
          </w:p>
        </w:tc>
        <w:tc>
          <w:tcPr>
            <w:tcW w:w="278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b/>
                <w:color w:val="000000"/>
                <w:sz w:val="24"/>
              </w:rPr>
              <w:t>202</w:t>
            </w:r>
            <w:r>
              <w:rPr>
                <w:rFonts w:hint="eastAsia" w:ascii="宋体" w:hAnsi="宋体" w:eastAsia="宋体" w:cs="宋体"/>
                <w:b/>
                <w:color w:val="000000"/>
                <w:sz w:val="24"/>
                <w:lang w:eastAsia="zh-CN"/>
              </w:rPr>
              <w:t>3</w:t>
            </w:r>
            <w:r>
              <w:rPr>
                <w:rFonts w:ascii="宋体" w:hAnsi="宋体" w:eastAsia="宋体" w:cs="宋体"/>
                <w:b/>
                <w:color w:val="000000"/>
                <w:sz w:val="24"/>
              </w:rPr>
              <w:t>年 万元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实现利润</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b/>
                <w:color w:val="000000"/>
                <w:sz w:val="24"/>
              </w:rPr>
              <w:t>202</w:t>
            </w:r>
            <w:r>
              <w:rPr>
                <w:rFonts w:hint="eastAsia" w:ascii="宋体" w:hAnsi="宋体" w:eastAsia="宋体" w:cs="宋体"/>
                <w:b/>
                <w:color w:val="000000"/>
                <w:sz w:val="24"/>
                <w:lang w:eastAsia="zh-CN"/>
              </w:rPr>
              <w:t>3</w:t>
            </w:r>
            <w:r>
              <w:rPr>
                <w:rFonts w:ascii="宋体" w:hAnsi="宋体" w:eastAsia="宋体" w:cs="宋体"/>
                <w:b/>
                <w:color w:val="000000"/>
                <w:sz w:val="24"/>
              </w:rPr>
              <w:t>年  万元</w:t>
            </w:r>
          </w:p>
        </w:tc>
        <w:tc>
          <w:tcPr>
            <w:tcW w:w="15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c>
          <w:tcPr>
            <w:tcW w:w="278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营业面积（含厂房面积）</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lang w:eastAsia="zh-CN"/>
              </w:rPr>
              <w:t>    </w:t>
            </w:r>
            <w:r>
              <w:rPr>
                <w:rFonts w:ascii="宋体" w:hAnsi="宋体" w:eastAsia="宋体" w:cs="宋体"/>
                <w:color w:val="000000"/>
                <w:sz w:val="24"/>
              </w:rPr>
              <w:t>平方米</w:t>
            </w:r>
          </w:p>
        </w:tc>
        <w:tc>
          <w:tcPr>
            <w:tcW w:w="15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其中</w:t>
            </w:r>
          </w:p>
        </w:tc>
        <w:tc>
          <w:tcPr>
            <w:tcW w:w="278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自有面积平方米</w:t>
            </w:r>
          </w:p>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承租面积平方米</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单位简历及内设机构情况</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单位优势及特长</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近两年来完成或正在履行的重大合同情况</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最近2年内在经营过程中受到何种奖励或处分（包括情况和结果）</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最近3年内有无因售假、售劣或是其他原因被消费者投诉或起诉的情况及说明（包括解决方式和结果）</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最近3年内主要负责人有无因经济犯罪被司法机关追究的情况及说明</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获得技术认证的工程师及简介</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其他需要说明的情况</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r>
    </w:tbl>
    <w:p>
      <w:pPr>
        <w:pBdr>
          <w:top w:val="none" w:color="000000" w:sz="0" w:space="0"/>
          <w:left w:val="none" w:color="000000" w:sz="0" w:space="0"/>
          <w:bottom w:val="none" w:color="000000" w:sz="0" w:space="0"/>
          <w:right w:val="none" w:color="000000" w:sz="0" w:space="0"/>
        </w:pBdr>
        <w:spacing w:after="0"/>
        <w:jc w:val="both"/>
      </w:pPr>
      <w:r>
        <w:rPr/>
        <w:br w:type="page" w:clear="all"/>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5、法定代表人授权委托书 （如有）</w:t>
      </w:r>
    </w:p>
    <w:p>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color w:val="000000"/>
          <w:sz w:val="32"/>
          <w:lang w:eastAsia="zh-CN"/>
        </w:rPr>
        <w:t>授权委托书</w:t>
      </w:r>
    </w:p>
    <w:p>
      <w:pPr>
        <w:pBdr>
          <w:top w:val="none" w:color="000000" w:sz="0" w:space="0"/>
          <w:left w:val="none" w:color="000000" w:sz="0" w:space="0"/>
          <w:bottom w:val="none" w:color="000000" w:sz="0" w:space="0"/>
          <w:right w:val="none" w:color="000000" w:sz="0" w:space="0"/>
        </w:pBdr>
        <w:spacing w:after="0"/>
        <w:ind w:firstLine="42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42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39" w:lineRule="atLeast"/>
        <w:ind w:firstLine="420"/>
        <w:jc w:val="both"/>
        <w:rPr>
          <w:lang w:eastAsia="zh-CN"/>
        </w:rPr>
      </w:pPr>
      <w:r>
        <w:rPr>
          <w:rFonts w:ascii="宋体" w:hAnsi="宋体" w:eastAsia="宋体" w:cs="宋体"/>
          <w:color w:val="000000"/>
          <w:sz w:val="24"/>
          <w:lang w:eastAsia="zh-CN"/>
        </w:rPr>
        <w:t>本授权委托书声明：我</w:t>
      </w:r>
      <w:r>
        <w:rPr>
          <w:rFonts w:ascii="宋体" w:hAnsi="宋体" w:eastAsia="宋体" w:cs="宋体"/>
          <w:color w:val="000000"/>
          <w:sz w:val="24"/>
          <w:u w:val="single"/>
          <w:lang w:eastAsia="zh-CN"/>
        </w:rPr>
        <w:t>（姓名）</w:t>
      </w:r>
      <w:r>
        <w:rPr>
          <w:rFonts w:ascii="宋体" w:hAnsi="宋体" w:eastAsia="宋体" w:cs="宋体"/>
          <w:color w:val="000000"/>
          <w:sz w:val="24"/>
          <w:lang w:eastAsia="zh-CN"/>
        </w:rPr>
        <w:t>系</w:t>
      </w:r>
      <w:r>
        <w:rPr>
          <w:rFonts w:ascii="宋体" w:hAnsi="宋体" w:eastAsia="宋体" w:cs="宋体"/>
          <w:color w:val="000000"/>
          <w:sz w:val="24"/>
          <w:u w:val="single"/>
          <w:lang w:eastAsia="zh-CN"/>
        </w:rPr>
        <w:t>（投标单位名称）</w:t>
      </w:r>
      <w:r>
        <w:rPr>
          <w:rFonts w:ascii="宋体" w:hAnsi="宋体" w:eastAsia="宋体" w:cs="宋体"/>
          <w:color w:val="000000"/>
          <w:sz w:val="24"/>
          <w:lang w:eastAsia="zh-CN"/>
        </w:rPr>
        <w:t>的法定代表人，现授权委托</w:t>
      </w:r>
      <w:r>
        <w:rPr>
          <w:rFonts w:ascii="宋体" w:hAnsi="宋体" w:eastAsia="宋体" w:cs="宋体"/>
          <w:color w:val="000000"/>
          <w:sz w:val="24"/>
          <w:u w:val="single"/>
          <w:lang w:eastAsia="zh-CN"/>
        </w:rPr>
        <w:t>（单位名称）</w:t>
      </w:r>
      <w:r>
        <w:rPr>
          <w:rFonts w:ascii="宋体" w:hAnsi="宋体" w:eastAsia="宋体" w:cs="宋体"/>
          <w:color w:val="000000"/>
          <w:sz w:val="24"/>
          <w:lang w:eastAsia="zh-CN"/>
        </w:rPr>
        <w:t>的</w:t>
      </w:r>
      <w:r>
        <w:rPr>
          <w:rFonts w:ascii="宋体" w:hAnsi="宋体" w:eastAsia="宋体" w:cs="宋体"/>
          <w:color w:val="000000"/>
          <w:sz w:val="24"/>
          <w:u w:val="single"/>
          <w:lang w:eastAsia="zh-CN"/>
        </w:rPr>
        <w:t>（姓名）</w:t>
      </w:r>
      <w:r>
        <w:rPr>
          <w:rFonts w:ascii="宋体" w:hAnsi="宋体" w:eastAsia="宋体" w:cs="宋体"/>
          <w:color w:val="000000"/>
          <w:sz w:val="24"/>
          <w:lang w:eastAsia="zh-CN"/>
        </w:rPr>
        <w:t>为我公司代理人，以本公司的名义参加</w:t>
      </w:r>
      <w:r>
        <w:rPr>
          <w:rFonts w:ascii="宋体" w:hAnsi="宋体" w:eastAsia="宋体" w:cs="宋体"/>
          <w:b/>
          <w:color w:val="000000"/>
          <w:sz w:val="24"/>
          <w:u w:val="single"/>
          <w:lang w:eastAsia="zh-CN"/>
        </w:rPr>
        <w:t>苏州市公共资源交易中心太仓分中心</w:t>
      </w:r>
      <w:r>
        <w:rPr>
          <w:rFonts w:ascii="宋体" w:hAnsi="宋体" w:eastAsia="宋体" w:cs="宋体"/>
          <w:color w:val="000000"/>
          <w:sz w:val="24"/>
          <w:lang w:eastAsia="zh-CN"/>
        </w:rPr>
        <w:t>组织实施的编号为</w:t>
      </w:r>
      <w:r>
        <w:rPr>
          <w:rFonts w:hint="eastAsia" w:ascii="宋体" w:hAnsi="宋体" w:eastAsia="宋体" w:cs="宋体"/>
          <w:b/>
          <w:color w:val="000000"/>
          <w:sz w:val="24"/>
          <w:u w:val="single"/>
          <w:lang w:eastAsia="zh-CN"/>
        </w:rPr>
        <w:t>JSZC-320585-JZCG-G2024-0128</w:t>
      </w:r>
      <w:r>
        <w:rPr>
          <w:rFonts w:ascii="宋体" w:hAnsi="宋体" w:eastAsia="宋体" w:cs="宋体"/>
          <w:color w:val="000000"/>
          <w:sz w:val="24"/>
          <w:lang w:eastAsia="zh-CN"/>
        </w:rPr>
        <w:t>号的招标活动。代理人在开标、评标、合同谈判过程中所签署的一切文件和处理与这有关的一切事务，我均予以承认。</w:t>
      </w:r>
    </w:p>
    <w:p>
      <w:pPr>
        <w:pBdr>
          <w:top w:val="none" w:color="000000" w:sz="0" w:space="0"/>
          <w:left w:val="none" w:color="000000" w:sz="0" w:space="0"/>
          <w:bottom w:val="none" w:color="000000" w:sz="0" w:space="0"/>
          <w:right w:val="none" w:color="000000" w:sz="0" w:space="0"/>
        </w:pBdr>
        <w:spacing w:after="0" w:line="439" w:lineRule="atLeast"/>
        <w:ind w:firstLine="420"/>
        <w:jc w:val="both"/>
        <w:rPr>
          <w:lang w:eastAsia="zh-CN"/>
        </w:rPr>
      </w:pPr>
      <w:r>
        <w:rPr>
          <w:rFonts w:ascii="宋体" w:hAnsi="宋体" w:eastAsia="宋体" w:cs="宋体"/>
          <w:color w:val="000000"/>
          <w:sz w:val="24"/>
          <w:lang w:eastAsia="zh-CN"/>
        </w:rPr>
        <w:t>代理人在授权委托书有效期内签署的所有文件不因授权委托的撤销而失效，除非有撤销授权委托的书面通知，本授权委托书自投标开始至合同履行完毕止。</w:t>
      </w:r>
    </w:p>
    <w:p>
      <w:pPr>
        <w:pBdr>
          <w:top w:val="none" w:color="000000" w:sz="0" w:space="0"/>
          <w:left w:val="none" w:color="000000" w:sz="0" w:space="0"/>
          <w:bottom w:val="none" w:color="000000" w:sz="0" w:space="0"/>
          <w:right w:val="none" w:color="000000" w:sz="0" w:space="0"/>
        </w:pBdr>
        <w:spacing w:after="0" w:line="439" w:lineRule="atLeast"/>
        <w:ind w:firstLine="420"/>
        <w:jc w:val="both"/>
        <w:rPr>
          <w:lang w:eastAsia="zh-CN"/>
        </w:rPr>
      </w:pPr>
      <w:r>
        <w:rPr>
          <w:rFonts w:ascii="宋体" w:hAnsi="宋体" w:eastAsia="宋体" w:cs="宋体"/>
          <w:color w:val="000000"/>
          <w:sz w:val="24"/>
          <w:lang w:eastAsia="zh-CN"/>
        </w:rPr>
        <w:t>代理人无转委托权。特此委托！</w:t>
      </w:r>
    </w:p>
    <w:p>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color w:val="000000"/>
          <w:sz w:val="24"/>
          <w:lang w:eastAsia="zh-CN"/>
        </w:rPr>
        <w:t>投标单位：（盖章）</w:t>
      </w:r>
    </w:p>
    <w:p>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color w:val="000000"/>
          <w:sz w:val="24"/>
          <w:lang w:eastAsia="zh-CN"/>
        </w:rPr>
        <w:t>法定代表人：（签字或盖章）</w:t>
      </w:r>
    </w:p>
    <w:p>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color w:val="000000"/>
          <w:sz w:val="24"/>
          <w:lang w:eastAsia="zh-CN"/>
        </w:rPr>
        <w:t>授权代理人：（签字或盖章）</w:t>
      </w:r>
    </w:p>
    <w:p>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color w:val="000000"/>
          <w:sz w:val="24"/>
          <w:lang w:eastAsia="zh-CN"/>
        </w:rPr>
        <w:t>投标日期：年月日</w:t>
      </w:r>
    </w:p>
    <w:p>
      <w:pPr>
        <w:pBdr>
          <w:top w:val="none" w:color="000000" w:sz="0" w:space="0"/>
          <w:left w:val="none" w:color="000000" w:sz="0" w:space="0"/>
          <w:bottom w:val="none" w:color="000000" w:sz="0" w:space="0"/>
          <w:right w:val="none" w:color="000000" w:sz="0" w:space="0"/>
        </w:pBdr>
        <w:spacing w:after="0" w:line="360" w:lineRule="atLeast"/>
        <w:jc w:val="both"/>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after="0" w:line="360" w:lineRule="atLeast"/>
        <w:jc w:val="both"/>
        <w:rPr>
          <w:lang w:eastAsia="zh-CN"/>
        </w:rPr>
      </w:pPr>
      <w:r>
        <w:rPr>
          <w:rFonts w:ascii="宋体" w:hAnsi="宋体" w:eastAsia="宋体" w:cs="宋体"/>
          <w:b/>
          <w:color w:val="000000"/>
          <w:sz w:val="32"/>
          <w:lang w:eastAsia="zh-CN"/>
        </w:rPr>
        <w:t>6、开标一览表</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21"/>
          <w:lang w:eastAsia="zh-CN"/>
        </w:rPr>
        <w:t> </w:t>
      </w:r>
    </w:p>
    <w:p>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color w:val="000000"/>
          <w:sz w:val="21"/>
          <w:lang w:eastAsia="zh-CN"/>
        </w:rPr>
        <w:t> </w:t>
      </w:r>
    </w:p>
    <w:p>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color w:val="000000"/>
          <w:sz w:val="32"/>
          <w:lang w:eastAsia="zh-CN"/>
        </w:rPr>
        <w:t>开标一览表</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720"/>
        <w:jc w:val="both"/>
        <w:rPr>
          <w:lang w:eastAsia="zh-CN"/>
        </w:rPr>
      </w:pPr>
      <w:r>
        <w:rPr>
          <w:rFonts w:ascii="宋体" w:hAnsi="宋体" w:eastAsia="宋体" w:cs="宋体"/>
          <w:color w:val="000000"/>
          <w:sz w:val="24"/>
          <w:lang w:eastAsia="zh-CN"/>
        </w:rPr>
        <w:t>投标人全称（加盖公章）：供应商名称</w:t>
      </w:r>
    </w:p>
    <w:p>
      <w:pPr>
        <w:pBdr>
          <w:top w:val="none" w:color="000000" w:sz="0" w:space="0"/>
          <w:left w:val="none" w:color="000000" w:sz="0" w:space="0"/>
          <w:bottom w:val="none" w:color="000000" w:sz="0" w:space="0"/>
          <w:right w:val="none" w:color="000000" w:sz="0" w:space="0"/>
        </w:pBdr>
        <w:spacing w:after="0"/>
        <w:ind w:firstLine="720"/>
        <w:rPr>
          <w:rFonts w:eastAsia="宋体"/>
          <w:lang w:eastAsia="zh-CN"/>
        </w:rPr>
      </w:pPr>
      <w:r>
        <w:rPr>
          <w:rFonts w:ascii="宋体" w:hAnsi="宋体" w:eastAsia="宋体" w:cs="宋体"/>
          <w:color w:val="000000"/>
          <w:sz w:val="24"/>
          <w:lang w:eastAsia="zh-CN"/>
        </w:rPr>
        <w:t>项目编号：</w:t>
      </w:r>
      <w:r>
        <w:rPr>
          <w:rFonts w:hint="eastAsia" w:ascii="宋体" w:hAnsi="宋体" w:eastAsia="宋体" w:cs="宋体"/>
          <w:color w:val="000000"/>
          <w:sz w:val="24"/>
          <w:lang w:eastAsia="zh-CN"/>
        </w:rPr>
        <w:t>JSZC-320585-JZCG-G2024-0128</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870"/>
        <w:gridCol w:w="489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387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color w:val="000000"/>
                <w:sz w:val="24"/>
              </w:rPr>
              <w:t>项目名称</w:t>
            </w:r>
          </w:p>
        </w:tc>
        <w:tc>
          <w:tcPr>
            <w:tcW w:w="489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color w:val="000000"/>
                <w:sz w:val="24"/>
              </w:rPr>
              <w:t>投标总价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38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jc w:val="center"/>
              <w:rPr>
                <w:lang w:eastAsia="zh-CN"/>
              </w:rPr>
            </w:pPr>
            <w:r>
              <w:rPr>
                <w:rFonts w:hint="eastAsia" w:ascii="宋体" w:hAnsi="宋体" w:eastAsia="宋体" w:cs="宋体"/>
                <w:color w:val="000000"/>
                <w:sz w:val="24"/>
                <w:lang w:eastAsia="zh-CN"/>
              </w:rPr>
              <w:t>智慧社区管理平台（低收入家庭帮扶综合信息平台）项目</w:t>
            </w:r>
          </w:p>
        </w:tc>
        <w:tc>
          <w:tcPr>
            <w:tcW w:w="48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pPr>
            <w:r>
              <w:rPr>
                <w:rFonts w:ascii="宋体" w:hAnsi="宋体" w:eastAsia="宋体" w:cs="宋体"/>
                <w:color w:val="000000"/>
                <w:sz w:val="24"/>
              </w:rPr>
              <w:t>小写          （元人民币）</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38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color w:val="000000"/>
                <w:sz w:val="24"/>
              </w:rPr>
              <w:t>投标报价大写金额</w:t>
            </w:r>
          </w:p>
        </w:tc>
        <w:tc>
          <w:tcPr>
            <w:tcW w:w="48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pPr>
            <w:r>
              <w:rPr>
                <w:rFonts w:ascii="宋体" w:hAnsi="宋体" w:eastAsia="宋体" w:cs="宋体"/>
                <w:color w:val="000000"/>
                <w:sz w:val="24"/>
              </w:rPr>
              <w:t>金额大写：</w:t>
            </w:r>
          </w:p>
        </w:tc>
      </w:tr>
    </w:tbl>
    <w:p>
      <w:pPr>
        <w:pBdr>
          <w:top w:val="none" w:color="000000" w:sz="0" w:space="0"/>
          <w:left w:val="none" w:color="000000" w:sz="0" w:space="0"/>
          <w:bottom w:val="none" w:color="000000" w:sz="0" w:space="0"/>
          <w:right w:val="none" w:color="000000" w:sz="0" w:space="0"/>
        </w:pBdr>
        <w:spacing w:after="0"/>
        <w:ind w:firstLine="723"/>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after="0" w:line="460" w:lineRule="atLeast"/>
        <w:ind w:firstLine="3360"/>
        <w:jc w:val="both"/>
      </w:pPr>
      <w:r>
        <w:rPr>
          <w:rFonts w:ascii="宋体" w:hAnsi="宋体" w:eastAsia="宋体" w:cs="宋体"/>
          <w:color w:val="000000"/>
          <w:sz w:val="24"/>
        </w:rPr>
        <w:t>日期：年月日</w:t>
      </w:r>
    </w:p>
    <w:p>
      <w:pPr>
        <w:pBdr>
          <w:top w:val="none" w:color="000000" w:sz="0" w:space="0"/>
          <w:left w:val="none" w:color="000000" w:sz="0" w:space="0"/>
          <w:bottom w:val="none" w:color="000000" w:sz="0" w:space="0"/>
          <w:right w:val="none" w:color="000000" w:sz="0" w:space="0"/>
        </w:pBdr>
        <w:spacing w:after="0" w:line="460" w:lineRule="atLeast"/>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after="0"/>
        <w:jc w:val="both"/>
      </w:pPr>
      <w:r>
        <w:rPr/>
        <w:br w:type="page" w:clear="all"/>
      </w:r>
    </w:p>
    <w:p>
      <w:pPr>
        <w:pBdr>
          <w:top w:val="none" w:color="000000" w:sz="0" w:space="0"/>
          <w:left w:val="none" w:color="000000" w:sz="0" w:space="0"/>
          <w:bottom w:val="none" w:color="000000" w:sz="0" w:space="0"/>
          <w:right w:val="none" w:color="000000" w:sz="0" w:space="0"/>
        </w:pBdr>
        <w:spacing w:after="0"/>
        <w:jc w:val="both"/>
      </w:pPr>
      <w:r>
        <w:rPr>
          <w:rFonts w:ascii="宋体" w:hAnsi="宋体" w:eastAsia="宋体" w:cs="宋体"/>
          <w:b/>
          <w:color w:val="000000"/>
          <w:sz w:val="28"/>
        </w:rPr>
        <w:t>7、投标报价明细表</w:t>
      </w:r>
    </w:p>
    <w:p>
      <w:pPr>
        <w:pBdr>
          <w:top w:val="none" w:color="000000" w:sz="0" w:space="0"/>
          <w:left w:val="none" w:color="000000" w:sz="0" w:space="0"/>
          <w:bottom w:val="none" w:color="000000" w:sz="0" w:space="0"/>
          <w:right w:val="none" w:color="000000" w:sz="0" w:space="0"/>
        </w:pBdr>
        <w:spacing w:after="0"/>
        <w:ind w:firstLine="3012"/>
        <w:jc w:val="both"/>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after="0"/>
        <w:ind w:firstLine="2811"/>
        <w:jc w:val="both"/>
      </w:pPr>
      <w:r>
        <w:rPr>
          <w:rFonts w:ascii="宋体" w:hAnsi="宋体" w:eastAsia="宋体" w:cs="宋体"/>
          <w:b/>
          <w:color w:val="000000"/>
          <w:sz w:val="28"/>
        </w:rPr>
        <w:t>（一）投标报价明细表</w:t>
      </w:r>
    </w:p>
    <w:p>
      <w:pPr>
        <w:pBdr>
          <w:top w:val="none" w:color="000000" w:sz="0" w:space="0"/>
          <w:left w:val="none" w:color="000000" w:sz="0" w:space="0"/>
          <w:bottom w:val="none" w:color="000000" w:sz="0" w:space="0"/>
          <w:right w:val="none" w:color="000000" w:sz="0" w:space="0"/>
        </w:pBdr>
        <w:spacing w:after="0"/>
        <w:ind w:firstLine="3012"/>
        <w:jc w:val="both"/>
      </w:pPr>
      <w:r>
        <w:rPr>
          <w:rFonts w:ascii="宋体" w:hAnsi="宋体" w:eastAsia="宋体" w:cs="宋体"/>
          <w:b/>
          <w:color w:val="000000"/>
          <w:sz w:val="30"/>
        </w:rPr>
        <w:t> </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9"/>
        <w:gridCol w:w="2027"/>
        <w:gridCol w:w="1260"/>
        <w:gridCol w:w="1332"/>
        <w:gridCol w:w="1500"/>
        <w:gridCol w:w="1416"/>
        <w:gridCol w:w="114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59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序号</w:t>
            </w:r>
          </w:p>
        </w:tc>
        <w:tc>
          <w:tcPr>
            <w:tcW w:w="2027"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分项名称</w:t>
            </w:r>
          </w:p>
        </w:tc>
        <w:tc>
          <w:tcPr>
            <w:tcW w:w="126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数量</w:t>
            </w:r>
          </w:p>
        </w:tc>
        <w:tc>
          <w:tcPr>
            <w:tcW w:w="133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单位</w:t>
            </w:r>
          </w:p>
        </w:tc>
        <w:tc>
          <w:tcPr>
            <w:tcW w:w="150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单价</w:t>
            </w:r>
          </w:p>
        </w:tc>
        <w:tc>
          <w:tcPr>
            <w:tcW w:w="141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总价</w:t>
            </w:r>
          </w:p>
        </w:tc>
        <w:tc>
          <w:tcPr>
            <w:tcW w:w="114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备注</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1</w:t>
            </w:r>
          </w:p>
        </w:tc>
        <w:tc>
          <w:tcPr>
            <w:tcW w:w="202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ind w:right="-199"/>
              <w:jc w:val="center"/>
            </w:pPr>
            <w:r>
              <w:rPr>
                <w:rFonts w:ascii="Times New Roman" w:hAnsi="Times New Roman" w:eastAsia="Times New Roman" w:cs="Times New Roman"/>
                <w:color w:val="000000"/>
                <w:sz w:val="24"/>
              </w:rPr>
              <w:t> </w:t>
            </w:r>
          </w:p>
        </w:tc>
        <w:tc>
          <w:tcPr>
            <w:tcW w:w="126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 </w:t>
            </w:r>
          </w:p>
        </w:tc>
        <w:tc>
          <w:tcPr>
            <w:tcW w:w="133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 </w:t>
            </w:r>
          </w:p>
        </w:tc>
        <w:tc>
          <w:tcPr>
            <w:tcW w:w="15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 </w:t>
            </w:r>
          </w:p>
        </w:tc>
        <w:tc>
          <w:tcPr>
            <w:tcW w:w="14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 </w:t>
            </w:r>
          </w:p>
        </w:tc>
        <w:tc>
          <w:tcPr>
            <w:tcW w:w="11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2</w:t>
            </w:r>
          </w:p>
        </w:tc>
        <w:tc>
          <w:tcPr>
            <w:tcW w:w="202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26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33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5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4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1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3</w:t>
            </w:r>
          </w:p>
        </w:tc>
        <w:tc>
          <w:tcPr>
            <w:tcW w:w="202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26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33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5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4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1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w:t>
            </w:r>
          </w:p>
        </w:tc>
        <w:tc>
          <w:tcPr>
            <w:tcW w:w="202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w:t>
            </w:r>
          </w:p>
        </w:tc>
        <w:tc>
          <w:tcPr>
            <w:tcW w:w="126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33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5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4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1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6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投标总报价</w:t>
            </w:r>
          </w:p>
        </w:tc>
        <w:tc>
          <w:tcPr>
            <w:tcW w:w="6648" w:type="dxa"/>
            <w:gridSpan w:val="5"/>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大写：元；小写：元</w:t>
            </w:r>
          </w:p>
        </w:tc>
      </w:tr>
    </w:tbl>
    <w:p>
      <w:pPr>
        <w:pBdr>
          <w:top w:val="none" w:color="000000" w:sz="0" w:space="0"/>
          <w:left w:val="none" w:color="000000" w:sz="0" w:space="0"/>
          <w:bottom w:val="none" w:color="000000" w:sz="0" w:space="0"/>
          <w:right w:val="none" w:color="000000" w:sz="0" w:space="0"/>
        </w:pBdr>
        <w:spacing w:after="0" w:line="499" w:lineRule="atLeast"/>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after="0" w:line="499" w:lineRule="atLeast"/>
        <w:jc w:val="both"/>
        <w:rPr>
          <w:lang w:eastAsia="zh-CN"/>
        </w:rPr>
      </w:pPr>
      <w:r>
        <w:rPr>
          <w:rFonts w:ascii="宋体" w:hAnsi="宋体" w:eastAsia="宋体" w:cs="宋体"/>
          <w:color w:val="000000"/>
          <w:sz w:val="24"/>
          <w:lang w:eastAsia="zh-CN"/>
        </w:rPr>
        <w:t>注：1、本表报价的合计金额应与开标一览表报价一致</w:t>
      </w:r>
    </w:p>
    <w:p>
      <w:pPr>
        <w:pBdr>
          <w:top w:val="none" w:color="000000" w:sz="0" w:space="0"/>
          <w:left w:val="none" w:color="000000" w:sz="0" w:space="0"/>
          <w:bottom w:val="none" w:color="000000" w:sz="0" w:space="0"/>
          <w:right w:val="none" w:color="000000" w:sz="0" w:space="0"/>
        </w:pBdr>
        <w:spacing w:after="0" w:line="312" w:lineRule="atLeast"/>
        <w:ind w:firstLine="574"/>
        <w:jc w:val="both"/>
        <w:rPr>
          <w:lang w:eastAsia="zh-CN"/>
        </w:rPr>
      </w:pPr>
      <w:r>
        <w:rPr>
          <w:rFonts w:hint="eastAsia" w:ascii="宋体" w:hAnsi="宋体" w:eastAsia="宋体" w:cs="宋体"/>
          <w:color w:val="000000"/>
          <w:sz w:val="24"/>
          <w:lang w:val="en-US" w:eastAsia="zh-CN"/>
        </w:rPr>
        <w:t xml:space="preserve"> </w:t>
      </w:r>
    </w:p>
    <w:p>
      <w:pPr>
        <w:pBdr>
          <w:top w:val="none" w:color="000000" w:sz="0" w:space="0"/>
          <w:left w:val="none" w:color="000000" w:sz="0" w:space="0"/>
          <w:bottom w:val="none" w:color="000000" w:sz="0" w:space="0"/>
          <w:right w:val="none" w:color="000000" w:sz="0" w:space="0"/>
        </w:pBdr>
        <w:spacing w:after="0" w:line="499" w:lineRule="atLeast"/>
        <w:rPr>
          <w:lang w:eastAsia="zh-CN"/>
        </w:rPr>
      </w:pPr>
      <w:r>
        <w:rPr>
          <w:rFonts w:ascii="宋体" w:hAnsi="宋体" w:eastAsia="宋体" w:cs="宋体"/>
          <w:color w:val="000000"/>
          <w:sz w:val="24"/>
          <w:lang w:eastAsia="zh-CN"/>
        </w:rPr>
        <w:t>投标单位：（公章）</w:t>
      </w:r>
    </w:p>
    <w:p>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szCs w:val="24"/>
          <w:lang w:eastAsia="zh-CN"/>
        </w:rPr>
      </w:pPr>
      <w:r>
        <w:rPr>
          <w:rFonts w:ascii="宋体" w:hAnsi="宋体" w:eastAsia="宋体" w:cs="宋体"/>
          <w:color w:val="000000"/>
          <w:sz w:val="24"/>
          <w:lang w:eastAsia="zh-CN"/>
        </w:rPr>
        <w:t xml:space="preserve">法定代表人或委托代理人（签字或盖章）： </w:t>
      </w:r>
    </w:p>
    <w:p>
      <w:pPr>
        <w:pBdr>
          <w:top w:val="none" w:color="000000" w:sz="0" w:space="0"/>
          <w:left w:val="none" w:color="000000" w:sz="0" w:space="0"/>
          <w:bottom w:val="none" w:color="000000" w:sz="0" w:space="0"/>
          <w:right w:val="none" w:color="000000" w:sz="0" w:space="0"/>
        </w:pBdr>
        <w:spacing w:after="0" w:line="499" w:lineRule="atLeast"/>
        <w:rPr>
          <w:rFonts w:ascii="Times New Roman" w:hAnsi="Times New Roman" w:eastAsia="Times New Roman" w:cs="Times New Roman"/>
          <w:sz w:val="21"/>
          <w:szCs w:val="21"/>
          <w:lang w:eastAsia="zh-CN"/>
        </w:rPr>
      </w:pPr>
      <w:r>
        <w:rPr>
          <w:rFonts w:ascii="宋体" w:hAnsi="宋体" w:eastAsia="宋体" w:cs="宋体"/>
          <w:color w:val="000000"/>
          <w:sz w:val="24"/>
          <w:lang w:eastAsia="zh-CN"/>
        </w:rPr>
        <w:t>日期： 年 月 日</w:t>
      </w:r>
    </w:p>
    <w:p>
      <w:pPr>
        <w:pBdr>
          <w:top w:val="none" w:color="000000" w:sz="0" w:space="0"/>
          <w:left w:val="none" w:color="000000" w:sz="0" w:space="0"/>
          <w:bottom w:val="none" w:color="000000" w:sz="0" w:space="0"/>
          <w:right w:val="none" w:color="000000" w:sz="0" w:space="0"/>
        </w:pBdr>
        <w:spacing w:after="0"/>
        <w:ind w:firstLine="1506"/>
        <w:jc w:val="both"/>
        <w:rPr>
          <w:lang w:eastAsia="zh-CN"/>
        </w:rPr>
      </w:pPr>
      <w:r>
        <w:rPr>
          <w:rFonts w:ascii="宋体" w:hAnsi="宋体" w:eastAsia="宋体" w:cs="宋体"/>
          <w:b/>
          <w:color w:val="000000"/>
          <w:sz w:val="30"/>
          <w:lang w:eastAsia="zh-CN"/>
        </w:rPr>
        <w:t> </w:t>
      </w:r>
    </w:p>
    <w:p>
      <w:pPr>
        <w:ind w:firstLine="1200"/>
        <w:rPr>
          <w:rFonts w:ascii="宋体" w:hAnsi="宋体"/>
          <w:b/>
          <w:bCs/>
          <w:sz w:val="24"/>
          <w:szCs w:val="24"/>
          <w:lang w:eastAsia="zh-CN"/>
        </w:rPr>
      </w:pPr>
      <w:r>
        <w:rPr>
          <w:rFonts w:ascii="宋体" w:hAnsi="宋体" w:eastAsia="宋体" w:cs="宋体"/>
          <w:color w:val="000000"/>
          <w:sz w:val="24"/>
          <w:lang w:eastAsia="zh-CN"/>
        </w:rPr>
        <w:t> </w:t>
      </w:r>
      <w:r>
        <w:rPr>
          <w:rFonts w:hint="eastAsia" w:ascii="宋体" w:hAnsi="宋体"/>
          <w:b/>
          <w:sz w:val="30"/>
          <w:szCs w:val="30"/>
          <w:lang w:eastAsia="zh-CN"/>
        </w:rPr>
        <w:t>（二）投标报价合理性说明（如有）</w:t>
      </w:r>
    </w:p>
    <w:p>
      <w:pPr>
        <w:spacing w:line="420" w:lineRule="exact"/>
        <w:rPr>
          <w:rFonts w:ascii="宋体" w:hAnsi="宋体"/>
          <w:b/>
          <w:bCs/>
          <w:sz w:val="24"/>
          <w:szCs w:val="24"/>
          <w:lang w:eastAsia="zh-CN"/>
        </w:rPr>
      </w:pPr>
      <w:r>
        <w:rPr>
          <w:rFonts w:hint="eastAsia" w:ascii="宋体" w:hAnsi="宋体"/>
          <w:b/>
          <w:sz w:val="24"/>
          <w:szCs w:val="24"/>
          <w:lang w:eastAsia="zh-CN"/>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pPr>
        <w:spacing w:line="500" w:lineRule="exact"/>
        <w:rPr>
          <w:rFonts w:ascii="宋体" w:hAnsi="宋体"/>
          <w:sz w:val="24"/>
          <w:lang w:eastAsia="zh-CN"/>
        </w:rPr>
      </w:pPr>
      <w:r>
        <w:rPr>
          <w:rFonts w:hint="eastAsia" w:ascii="宋体" w:hAnsi="宋体"/>
          <w:sz w:val="24"/>
          <w:lang w:eastAsia="zh-CN"/>
        </w:rPr>
        <w:t>投标单位：（公章）</w:t>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p>
    <w:p>
      <w:pPr>
        <w:pStyle w:val="17"/>
        <w:ind w:firstLine="0"/>
        <w:rPr>
          <w:rFonts w:hAnsi="宋体"/>
          <w:sz w:val="24"/>
          <w:lang w:eastAsia="zh-CN"/>
        </w:rPr>
      </w:pPr>
      <w:r>
        <w:rPr>
          <w:rFonts w:hint="eastAsia" w:hAnsi="宋体"/>
          <w:sz w:val="24"/>
          <w:lang w:eastAsia="zh-CN"/>
        </w:rPr>
        <w:t>日期：      年     月     日</w:t>
      </w:r>
    </w:p>
    <w:p>
      <w:pPr>
        <w:pBdr>
          <w:top w:val="none" w:color="000000" w:sz="0" w:space="0"/>
          <w:left w:val="none" w:color="000000" w:sz="0" w:space="0"/>
          <w:bottom w:val="none" w:color="000000" w:sz="0" w:space="0"/>
          <w:right w:val="none" w:color="000000" w:sz="0" w:space="0"/>
        </w:pBdr>
        <w:spacing w:after="0" w:line="312" w:lineRule="atLeast"/>
        <w:jc w:val="both"/>
        <w:rPr>
          <w:lang w:eastAsia="zh-CN"/>
        </w:rPr>
      </w:pPr>
    </w:p>
    <w:p>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8、服务要求偏离表</w:t>
      </w:r>
    </w:p>
    <w:p>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b/>
          <w:color w:val="000000"/>
          <w:sz w:val="30"/>
        </w:rPr>
        <w:t>服务要求偏离表</w:t>
      </w:r>
    </w:p>
    <w:p>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000000"/>
          <w:spacing w:val="20"/>
          <w:sz w:val="30"/>
        </w:rPr>
      </w:pPr>
    </w:p>
    <w:tbl>
      <w:tblPr>
        <w:tblStyle w:val="3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pPr>
              <w:spacing w:line="420" w:lineRule="atLeast"/>
              <w:jc w:val="center"/>
              <w:rPr>
                <w:rFonts w:ascii="宋体" w:hAnsi="宋体"/>
                <w:sz w:val="24"/>
              </w:rPr>
            </w:pPr>
            <w:r>
              <w:rPr>
                <w:rFonts w:hint="eastAsia" w:ascii="宋体" w:hAnsi="宋体"/>
                <w:sz w:val="24"/>
              </w:rPr>
              <w:t>序号</w:t>
            </w:r>
          </w:p>
        </w:tc>
        <w:tc>
          <w:tcPr>
            <w:tcW w:w="2010" w:type="dxa"/>
            <w:vAlign w:val="center"/>
          </w:tcPr>
          <w:p>
            <w:pPr>
              <w:spacing w:line="420" w:lineRule="atLeast"/>
              <w:jc w:val="center"/>
              <w:rPr>
                <w:rFonts w:ascii="宋体" w:hAnsi="宋体"/>
                <w:sz w:val="24"/>
              </w:rPr>
            </w:pPr>
            <w:r>
              <w:rPr>
                <w:rFonts w:hint="eastAsia" w:ascii="宋体" w:hAnsi="宋体"/>
                <w:sz w:val="24"/>
              </w:rPr>
              <w:t>内容</w:t>
            </w:r>
          </w:p>
        </w:tc>
        <w:tc>
          <w:tcPr>
            <w:tcW w:w="2526" w:type="dxa"/>
            <w:vAlign w:val="center"/>
          </w:tcPr>
          <w:p>
            <w:pPr>
              <w:spacing w:line="420" w:lineRule="atLeast"/>
              <w:jc w:val="center"/>
              <w:rPr>
                <w:rFonts w:ascii="宋体" w:hAnsi="宋体"/>
                <w:sz w:val="24"/>
              </w:rPr>
            </w:pPr>
            <w:r>
              <w:rPr>
                <w:rFonts w:hint="eastAsia" w:ascii="宋体" w:hAnsi="宋体"/>
                <w:sz w:val="24"/>
              </w:rPr>
              <w:t>招标文件</w:t>
            </w:r>
          </w:p>
          <w:p>
            <w:pPr>
              <w:spacing w:line="420" w:lineRule="atLeast"/>
              <w:jc w:val="center"/>
              <w:rPr>
                <w:rFonts w:ascii="宋体" w:hAnsi="宋体"/>
                <w:sz w:val="24"/>
              </w:rPr>
            </w:pPr>
            <w:r>
              <w:rPr>
                <w:rFonts w:hint="eastAsia" w:ascii="宋体" w:hAnsi="宋体"/>
                <w:sz w:val="24"/>
              </w:rPr>
              <w:t>技术要求</w:t>
            </w:r>
          </w:p>
        </w:tc>
        <w:tc>
          <w:tcPr>
            <w:tcW w:w="1843" w:type="dxa"/>
            <w:vAlign w:val="center"/>
          </w:tcPr>
          <w:p>
            <w:pPr>
              <w:spacing w:line="420" w:lineRule="atLeast"/>
              <w:jc w:val="center"/>
              <w:rPr>
                <w:rFonts w:ascii="宋体" w:hAnsi="宋体"/>
                <w:sz w:val="24"/>
              </w:rPr>
            </w:pPr>
            <w:r>
              <w:rPr>
                <w:rFonts w:hint="eastAsia" w:ascii="宋体" w:hAnsi="宋体"/>
                <w:sz w:val="24"/>
              </w:rPr>
              <w:t>投标文件</w:t>
            </w:r>
          </w:p>
          <w:p>
            <w:pPr>
              <w:spacing w:line="420" w:lineRule="atLeast"/>
              <w:jc w:val="center"/>
              <w:rPr>
                <w:rFonts w:ascii="宋体" w:hAnsi="宋体"/>
                <w:sz w:val="24"/>
              </w:rPr>
            </w:pPr>
            <w:r>
              <w:rPr>
                <w:rFonts w:hint="eastAsia" w:ascii="宋体" w:hAnsi="宋体"/>
                <w:sz w:val="24"/>
              </w:rPr>
              <w:t>响应要求</w:t>
            </w:r>
          </w:p>
        </w:tc>
        <w:tc>
          <w:tcPr>
            <w:tcW w:w="1559" w:type="dxa"/>
            <w:vAlign w:val="center"/>
          </w:tcPr>
          <w:p>
            <w:pPr>
              <w:spacing w:line="420" w:lineRule="atLeast"/>
              <w:jc w:val="center"/>
              <w:rPr>
                <w:rFonts w:ascii="宋体" w:hAnsi="宋体"/>
                <w:sz w:val="24"/>
              </w:rPr>
            </w:pPr>
            <w:r>
              <w:rPr>
                <w:rFonts w:hint="eastAsia" w:ascii="宋体" w:hAnsi="宋体"/>
                <w:sz w:val="24"/>
              </w:rPr>
              <w:t xml:space="preserve"> 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1</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2</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3</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4</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5</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6</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7</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8</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bl>
    <w:p>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b/>
          <w:color w:val="000000"/>
          <w:spacing w:val="20"/>
          <w:sz w:val="30"/>
        </w:rPr>
        <w:t> </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4"/>
          <w:lang w:eastAsia="zh-CN"/>
        </w:rPr>
        <w:t>注：1.投标人应在本表中对照招标文件技术要求与实际投标技术要求逐项对应列出，并在“偏离说明”项下填写以下内容：优于的，填写“正偏离”；符合的，填写“无偏离”；低于的，填写“负偏离”。</w:t>
      </w:r>
    </w:p>
    <w:p>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color w:val="000000"/>
          <w:sz w:val="24"/>
          <w:lang w:eastAsia="zh-CN"/>
        </w:rPr>
        <w:t>2.若事项较多，投标人可根据响应内容的实际情况另纸说明。</w:t>
      </w:r>
    </w:p>
    <w:p>
      <w:pPr>
        <w:pBdr>
          <w:top w:val="none" w:color="000000" w:sz="0" w:space="0"/>
          <w:left w:val="none" w:color="000000" w:sz="0" w:space="0"/>
          <w:bottom w:val="none" w:color="000000" w:sz="0" w:space="0"/>
          <w:right w:val="none" w:color="000000" w:sz="0" w:space="0"/>
        </w:pBdr>
        <w:spacing w:after="0" w:line="460" w:lineRule="atLeast"/>
        <w:ind w:firstLine="48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60" w:lineRule="atLeast"/>
        <w:ind w:firstLine="480"/>
        <w:rPr>
          <w:lang w:eastAsia="zh-CN"/>
        </w:rPr>
      </w:pPr>
      <w:r>
        <w:rPr>
          <w:rFonts w:ascii="宋体" w:hAnsi="宋体" w:eastAsia="宋体" w:cs="宋体"/>
          <w:color w:val="000000"/>
          <w:sz w:val="24"/>
          <w:lang w:eastAsia="zh-CN"/>
        </w:rPr>
        <w:t>投标单位：（公章）</w:t>
      </w:r>
    </w:p>
    <w:p>
      <w:pPr>
        <w:pBdr>
          <w:top w:val="none" w:color="000000" w:sz="0" w:space="0"/>
          <w:left w:val="none" w:color="000000" w:sz="0" w:space="0"/>
          <w:bottom w:val="none" w:color="000000" w:sz="0" w:space="0"/>
          <w:right w:val="none" w:color="000000" w:sz="0" w:space="0"/>
        </w:pBdr>
        <w:spacing w:after="0" w:line="460" w:lineRule="atLeast"/>
        <w:ind w:firstLine="480"/>
        <w:rPr>
          <w:lang w:eastAsia="zh-CN"/>
        </w:rPr>
      </w:pPr>
      <w:r>
        <w:rPr>
          <w:rFonts w:ascii="宋体" w:hAnsi="宋体" w:eastAsia="宋体" w:cs="宋体"/>
          <w:color w:val="000000"/>
          <w:sz w:val="24"/>
          <w:lang w:eastAsia="zh-CN"/>
        </w:rPr>
        <w:t>法定代表人或代理人（签字或盖章）：</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日期：年月日</w:t>
      </w:r>
    </w:p>
    <w:p>
      <w:pPr>
        <w:spacing w:line="360" w:lineRule="auto"/>
        <w:rPr>
          <w:rFonts w:hAnsi="宋体"/>
          <w:b/>
          <w:bCs/>
          <w:sz w:val="32"/>
          <w:szCs w:val="32"/>
          <w:lang w:eastAsia="zh-CN"/>
        </w:rPr>
      </w:pPr>
    </w:p>
    <w:p>
      <w:pPr>
        <w:spacing w:line="360" w:lineRule="auto"/>
        <w:rPr>
          <w:rFonts w:hAnsi="宋体"/>
          <w:b/>
          <w:bCs/>
          <w:sz w:val="32"/>
          <w:szCs w:val="32"/>
          <w:lang w:eastAsia="zh-CN"/>
        </w:rPr>
      </w:pPr>
    </w:p>
    <w:p>
      <w:pPr>
        <w:spacing w:line="360" w:lineRule="auto"/>
        <w:rPr>
          <w:rFonts w:hAnsi="宋体"/>
          <w:b/>
          <w:bCs/>
          <w:sz w:val="32"/>
          <w:szCs w:val="32"/>
          <w:lang w:eastAsia="zh-CN"/>
        </w:rPr>
      </w:pPr>
      <w:r>
        <w:rPr>
          <w:rFonts w:hint="eastAsia" w:hAnsi="宋体"/>
          <w:b/>
          <w:bCs/>
          <w:sz w:val="32"/>
          <w:szCs w:val="32"/>
          <w:lang w:eastAsia="zh-CN"/>
        </w:rPr>
        <w:t>9、商务要求偏离表</w:t>
      </w:r>
    </w:p>
    <w:p>
      <w:pPr>
        <w:spacing w:line="360" w:lineRule="auto"/>
        <w:jc w:val="center"/>
        <w:rPr>
          <w:rFonts w:ascii="宋体" w:hAnsi="宋体"/>
          <w:b/>
          <w:spacing w:val="20"/>
          <w:sz w:val="32"/>
          <w:szCs w:val="32"/>
        </w:rPr>
      </w:pPr>
      <w:r>
        <w:rPr>
          <w:rFonts w:hint="eastAsia" w:ascii="宋体" w:hAnsi="宋体"/>
          <w:b/>
          <w:spacing w:val="20"/>
          <w:sz w:val="32"/>
          <w:szCs w:val="32"/>
        </w:rPr>
        <w:t>商务要求偏离表</w:t>
      </w:r>
    </w:p>
    <w:tbl>
      <w:tblPr>
        <w:tblStyle w:val="38"/>
        <w:tblW w:w="846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562"/>
        <w:gridCol w:w="1560"/>
        <w:gridCol w:w="1512"/>
        <w:gridCol w:w="88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bCs/>
                <w:sz w:val="24"/>
                <w:szCs w:val="24"/>
              </w:rPr>
            </w:pPr>
            <w:r>
              <w:rPr>
                <w:rFonts w:hint="eastAsia" w:ascii="宋体" w:hAnsi="宋体"/>
                <w:bCs/>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bCs/>
                <w:sz w:val="24"/>
                <w:szCs w:val="24"/>
              </w:rPr>
            </w:pPr>
            <w:r>
              <w:rPr>
                <w:rFonts w:hint="eastAsia" w:ascii="宋体" w:hAnsi="宋体"/>
                <w:bCs/>
                <w:sz w:val="24"/>
                <w:szCs w:val="24"/>
              </w:rPr>
              <w:t>内容</w:t>
            </w:r>
          </w:p>
        </w:tc>
        <w:tc>
          <w:tcPr>
            <w:tcW w:w="1562"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bCs/>
                <w:sz w:val="24"/>
                <w:szCs w:val="24"/>
              </w:rPr>
            </w:pPr>
            <w:r>
              <w:rPr>
                <w:rFonts w:ascii="宋体" w:hAnsi="宋体" w:cs="宋体"/>
                <w:sz w:val="24"/>
                <w:szCs w:val="24"/>
              </w:rPr>
              <w:t>招标文件的商务条款</w:t>
            </w:r>
          </w:p>
        </w:tc>
        <w:tc>
          <w:tcPr>
            <w:tcW w:w="1560"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bCs/>
                <w:sz w:val="24"/>
                <w:szCs w:val="24"/>
              </w:rPr>
            </w:pPr>
            <w:r>
              <w:rPr>
                <w:rFonts w:ascii="宋体" w:hAnsi="宋体" w:cs="宋体"/>
                <w:sz w:val="24"/>
                <w:szCs w:val="24"/>
              </w:rPr>
              <w:t>投标文件的商务条款</w:t>
            </w:r>
          </w:p>
        </w:tc>
        <w:tc>
          <w:tcPr>
            <w:tcW w:w="1512"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偏离说明</w:t>
            </w:r>
          </w:p>
        </w:tc>
        <w:tc>
          <w:tcPr>
            <w:tcW w:w="888"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bCs/>
                <w:sz w:val="24"/>
                <w:szCs w:val="24"/>
              </w:rPr>
            </w:pPr>
            <w:r>
              <w:rPr>
                <w:rFonts w:hint="eastAsia" w:ascii="宋体" w:hAnsi="宋体"/>
                <w:bCs/>
                <w:sz w:val="24"/>
                <w:szCs w:val="24"/>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1</w:t>
            </w:r>
          </w:p>
        </w:tc>
        <w:tc>
          <w:tcPr>
            <w:tcW w:w="2213" w:type="dxa"/>
            <w:tcBorders>
              <w:top w:val="single" w:color="auto" w:sz="8" w:space="0"/>
              <w:left w:val="single" w:color="auto" w:sz="8" w:space="0"/>
              <w:bottom w:val="single" w:color="auto" w:sz="8" w:space="0"/>
              <w:right w:val="single" w:color="auto" w:sz="8" w:space="0"/>
            </w:tcBorders>
            <w:vAlign w:val="center"/>
          </w:tcPr>
          <w:p>
            <w:pPr>
              <w:spacing w:line="360" w:lineRule="auto"/>
              <w:rPr>
                <w:rFonts w:ascii="宋体" w:hAnsi="宋体" w:cs="仿宋_GB2312"/>
                <w:sz w:val="24"/>
                <w:szCs w:val="24"/>
                <w:lang w:val="zh-CN"/>
              </w:rPr>
            </w:pPr>
            <w:r>
              <w:rPr>
                <w:rFonts w:hint="eastAsia" w:ascii="宋体" w:hAnsi="宋体" w:cs="仿宋_GB2312"/>
                <w:sz w:val="24"/>
              </w:rPr>
              <w:t>服务</w:t>
            </w:r>
            <w:r>
              <w:rPr>
                <w:rFonts w:hint="eastAsia" w:ascii="宋体" w:hAnsi="宋体" w:cs="仿宋_GB2312"/>
                <w:sz w:val="24"/>
                <w:lang w:val="zh-CN"/>
              </w:rPr>
              <w:t>时间</w:t>
            </w: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2</w:t>
            </w:r>
          </w:p>
        </w:tc>
        <w:tc>
          <w:tcPr>
            <w:tcW w:w="2213" w:type="dxa"/>
            <w:tcBorders>
              <w:top w:val="single" w:color="auto" w:sz="8" w:space="0"/>
              <w:left w:val="single" w:color="auto" w:sz="8" w:space="0"/>
              <w:bottom w:val="single" w:color="auto" w:sz="8" w:space="0"/>
              <w:right w:val="single" w:color="auto" w:sz="8" w:space="0"/>
            </w:tcBorders>
            <w:vAlign w:val="center"/>
          </w:tcPr>
          <w:p>
            <w:pPr>
              <w:spacing w:line="360" w:lineRule="auto"/>
              <w:rPr>
                <w:rFonts w:ascii="宋体" w:hAnsi="宋体" w:cs="仿宋_GB2312"/>
                <w:sz w:val="24"/>
                <w:szCs w:val="24"/>
                <w:lang w:val="zh-CN"/>
              </w:rPr>
            </w:pPr>
            <w:r>
              <w:rPr>
                <w:rFonts w:hint="eastAsia" w:ascii="宋体" w:hAnsi="宋体" w:cs="仿宋_GB2312"/>
                <w:sz w:val="24"/>
              </w:rPr>
              <w:t>服务</w:t>
            </w:r>
            <w:r>
              <w:rPr>
                <w:rFonts w:hint="eastAsia" w:ascii="宋体" w:hAnsi="宋体" w:cs="仿宋_GB2312"/>
                <w:sz w:val="24"/>
                <w:lang w:val="zh-CN"/>
              </w:rPr>
              <w:t>地点</w:t>
            </w: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3</w:t>
            </w:r>
          </w:p>
        </w:tc>
        <w:tc>
          <w:tcPr>
            <w:tcW w:w="2213" w:type="dxa"/>
            <w:tcBorders>
              <w:top w:val="single" w:color="auto" w:sz="8" w:space="0"/>
              <w:left w:val="single" w:color="auto" w:sz="8" w:space="0"/>
              <w:bottom w:val="single" w:color="auto" w:sz="8" w:space="0"/>
              <w:right w:val="single" w:color="auto" w:sz="8" w:space="0"/>
            </w:tcBorders>
            <w:vAlign w:val="center"/>
          </w:tcPr>
          <w:p>
            <w:pPr>
              <w:spacing w:line="360" w:lineRule="auto"/>
              <w:rPr>
                <w:rFonts w:ascii="宋体" w:hAnsi="宋体" w:cs="仿宋_GB2312"/>
                <w:sz w:val="24"/>
                <w:szCs w:val="24"/>
                <w:lang w:val="zh-CN"/>
              </w:rPr>
            </w:pPr>
            <w:r>
              <w:rPr>
                <w:rFonts w:hint="eastAsia" w:ascii="宋体" w:hAnsi="宋体" w:cs="仿宋_GB2312"/>
                <w:sz w:val="24"/>
                <w:lang w:val="zh-CN"/>
              </w:rPr>
              <w:t>付款方式</w:t>
            </w: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4</w:t>
            </w:r>
          </w:p>
        </w:tc>
        <w:tc>
          <w:tcPr>
            <w:tcW w:w="2213" w:type="dxa"/>
            <w:tcBorders>
              <w:top w:val="single" w:color="auto" w:sz="8" w:space="0"/>
              <w:left w:val="single" w:color="auto" w:sz="8" w:space="0"/>
              <w:bottom w:val="single" w:color="auto" w:sz="8" w:space="0"/>
              <w:right w:val="single" w:color="auto" w:sz="8" w:space="0"/>
            </w:tcBorders>
            <w:vAlign w:val="center"/>
          </w:tcPr>
          <w:p>
            <w:pPr>
              <w:spacing w:line="360" w:lineRule="auto"/>
              <w:rPr>
                <w:rFonts w:ascii="宋体" w:hAnsi="宋体"/>
                <w:bCs/>
                <w:sz w:val="24"/>
                <w:szCs w:val="24"/>
              </w:rPr>
            </w:pPr>
            <w:r>
              <w:rPr>
                <w:rFonts w:hint="eastAsia" w:ascii="宋体" w:hAnsi="宋体" w:cs="仿宋_GB2312"/>
                <w:sz w:val="24"/>
                <w:lang w:val="zh-CN"/>
              </w:rPr>
              <w:t>其他商务要求</w:t>
            </w: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5</w:t>
            </w:r>
          </w:p>
        </w:tc>
        <w:tc>
          <w:tcPr>
            <w:tcW w:w="2213"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bCs/>
                <w:sz w:val="24"/>
                <w:szCs w:val="24"/>
              </w:rPr>
            </w:pPr>
            <w:r>
              <w:rPr>
                <w:rFonts w:ascii="宋体" w:hAnsi="宋体"/>
                <w:bCs/>
                <w:sz w:val="24"/>
                <w:szCs w:val="24"/>
              </w:rPr>
              <w:t>…</w:t>
            </w: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6</w:t>
            </w:r>
          </w:p>
        </w:tc>
        <w:tc>
          <w:tcPr>
            <w:tcW w:w="2213"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cs="仿宋_GB2312"/>
                <w:sz w:val="24"/>
                <w:szCs w:val="24"/>
                <w:lang w:val="zh-CN"/>
              </w:rPr>
            </w:pP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7</w:t>
            </w:r>
          </w:p>
        </w:tc>
        <w:tc>
          <w:tcPr>
            <w:tcW w:w="2213"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cs="仿宋_GB2312"/>
                <w:sz w:val="24"/>
                <w:szCs w:val="24"/>
                <w:lang w:val="zh-CN"/>
              </w:rPr>
            </w:pP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ascii="宋体" w:hAnsi="宋体"/>
                <w:bCs/>
                <w:sz w:val="24"/>
                <w:szCs w:val="24"/>
              </w:rPr>
              <w:t>…</w:t>
            </w:r>
          </w:p>
        </w:tc>
        <w:tc>
          <w:tcPr>
            <w:tcW w:w="2213"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cs="仿宋_GB2312"/>
                <w:sz w:val="24"/>
                <w:szCs w:val="24"/>
                <w:lang w:val="zh-CN"/>
              </w:rPr>
            </w:pP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p>
        </w:tc>
        <w:tc>
          <w:tcPr>
            <w:tcW w:w="2213"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cs="仿宋_GB2312"/>
                <w:sz w:val="24"/>
                <w:szCs w:val="24"/>
                <w:lang w:val="zh-CN"/>
              </w:rPr>
            </w:pP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bl>
    <w:p>
      <w:pPr>
        <w:spacing w:line="360" w:lineRule="auto"/>
        <w:ind w:firstLine="480"/>
        <w:rPr>
          <w:rFonts w:ascii="宋体" w:hAnsi="宋体"/>
          <w:b/>
          <w:sz w:val="24"/>
          <w:szCs w:val="24"/>
        </w:rPr>
      </w:pPr>
    </w:p>
    <w:p>
      <w:pPr>
        <w:spacing w:line="360" w:lineRule="auto"/>
        <w:rPr>
          <w:rFonts w:ascii="宋体" w:hAnsi="宋体"/>
          <w:sz w:val="24"/>
          <w:szCs w:val="24"/>
          <w:lang w:eastAsia="zh-CN"/>
        </w:rPr>
      </w:pPr>
      <w:r>
        <w:rPr>
          <w:rFonts w:hint="eastAsia" w:ascii="宋体" w:hAnsi="宋体"/>
          <w:sz w:val="24"/>
          <w:szCs w:val="24"/>
          <w:lang w:val="zh-CN" w:eastAsia="zh-CN"/>
        </w:rPr>
        <w:t>注：</w:t>
      </w:r>
      <w:r>
        <w:rPr>
          <w:rFonts w:hint="eastAsia" w:ascii="宋体" w:hAnsi="宋体"/>
          <w:sz w:val="24"/>
          <w:szCs w:val="24"/>
          <w:lang w:eastAsia="zh-CN"/>
        </w:rPr>
        <w:t>1.供应商应在本表中把招标文件商务要求与实际投标商务要求逐项对应列出，并在“偏离说明”项下填写以下内容：优于的，填写“正偏离”；符合的，填写“无偏离”；低于的，填写“负偏离”。</w:t>
      </w:r>
    </w:p>
    <w:p>
      <w:pPr>
        <w:pStyle w:val="4"/>
        <w:spacing w:line="360" w:lineRule="auto"/>
        <w:ind w:firstLine="0"/>
        <w:rPr>
          <w:rFonts w:ascii="宋体" w:hAnsi="宋体"/>
          <w:sz w:val="24"/>
          <w:szCs w:val="24"/>
          <w:lang w:eastAsia="zh-CN"/>
        </w:rPr>
      </w:pPr>
      <w:r>
        <w:rPr>
          <w:rFonts w:hint="eastAsia" w:ascii="宋体" w:hAnsi="宋体"/>
          <w:sz w:val="24"/>
          <w:szCs w:val="24"/>
          <w:lang w:eastAsia="zh-CN"/>
        </w:rPr>
        <w:t>2.若事项较多，投标人可根据响应内容的实际情况另纸说明。</w:t>
      </w:r>
    </w:p>
    <w:p>
      <w:pPr>
        <w:spacing w:line="360" w:lineRule="auto"/>
        <w:ind w:firstLine="480"/>
        <w:rPr>
          <w:rFonts w:ascii="宋体" w:hAnsi="宋体"/>
          <w:sz w:val="24"/>
          <w:szCs w:val="24"/>
          <w:lang w:eastAsia="zh-CN"/>
        </w:rPr>
      </w:pPr>
      <w:r>
        <w:rPr>
          <w:rFonts w:hint="eastAsia" w:ascii="宋体" w:hAnsi="宋体"/>
          <w:sz w:val="24"/>
          <w:szCs w:val="24"/>
          <w:lang w:eastAsia="zh-CN"/>
        </w:rPr>
        <w:t>供应商：（公章）</w:t>
      </w:r>
    </w:p>
    <w:p>
      <w:pPr>
        <w:spacing w:line="360" w:lineRule="auto"/>
        <w:ind w:firstLine="480"/>
        <w:rPr>
          <w:rFonts w:ascii="宋体" w:hAnsi="宋体"/>
          <w:sz w:val="24"/>
          <w:szCs w:val="24"/>
          <w:lang w:eastAsia="zh-CN"/>
        </w:rPr>
      </w:pPr>
      <w:r>
        <w:rPr>
          <w:rFonts w:hint="eastAsia" w:ascii="宋体" w:hAnsi="宋体"/>
          <w:sz w:val="24"/>
          <w:szCs w:val="24"/>
          <w:lang w:eastAsia="zh-CN"/>
        </w:rPr>
        <w:t>法定代表人或代理人（签字或盖章）</w:t>
      </w:r>
      <w:r>
        <w:rPr>
          <w:rFonts w:hint="eastAsia" w:ascii="宋体" w:hAnsi="宋体"/>
          <w:bCs/>
          <w:sz w:val="24"/>
          <w:szCs w:val="24"/>
          <w:lang w:eastAsia="zh-CN"/>
        </w:rPr>
        <w:t>：</w:t>
      </w:r>
    </w:p>
    <w:p>
      <w:pPr>
        <w:spacing w:line="360" w:lineRule="auto"/>
        <w:ind w:firstLine="480"/>
        <w:rPr>
          <w:rFonts w:ascii="宋体" w:hAnsi="宋体"/>
          <w:sz w:val="24"/>
          <w:szCs w:val="24"/>
          <w:lang w:eastAsia="zh-CN"/>
        </w:rPr>
      </w:pPr>
      <w:r>
        <w:rPr>
          <w:rFonts w:hint="eastAsia" w:ascii="宋体" w:hAnsi="宋体"/>
          <w:bCs/>
          <w:sz w:val="24"/>
          <w:szCs w:val="24"/>
          <w:lang w:eastAsia="zh-CN"/>
        </w:rPr>
        <w:t>投标日期</w:t>
      </w:r>
      <w:r>
        <w:rPr>
          <w:rFonts w:ascii="宋体" w:hAnsi="宋体"/>
          <w:bCs/>
          <w:sz w:val="24"/>
          <w:szCs w:val="24"/>
          <w:lang w:eastAsia="zh-CN"/>
        </w:rPr>
        <w:t>:年</w:t>
      </w:r>
      <w:r>
        <w:rPr>
          <w:rFonts w:hint="eastAsia" w:ascii="宋体" w:hAnsi="宋体"/>
          <w:bCs/>
          <w:sz w:val="24"/>
          <w:szCs w:val="24"/>
          <w:lang w:eastAsia="zh-CN"/>
        </w:rPr>
        <w:t xml:space="preserve">  月   日</w:t>
      </w: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10、项目技术方案及服务方案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color w:val="000000"/>
          <w:sz w:val="24"/>
          <w:lang w:eastAsia="zh-CN"/>
        </w:rPr>
        <w:t>投标人根据项目需求编写针对本项目的技术方案及服务方案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11、项目实施方案及进度方案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color w:val="000000"/>
          <w:sz w:val="24"/>
          <w:lang w:eastAsia="zh-CN"/>
        </w:rPr>
        <w:t>投标人根据项目需求编写针对本项目的实施方案及进度方案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12、项目质量保证措施及承诺</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color w:val="000000"/>
          <w:sz w:val="24"/>
          <w:lang w:eastAsia="zh-CN"/>
        </w:rPr>
        <w:t>投标人根据项目需求编写针对本项目的质量保证措施及承诺</w:t>
      </w: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13、项目售后服务方案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投标人根据项目需求编写针对本项目的售后服务方案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rPr>
          <w:rFonts w:ascii="宋体" w:hAnsi="宋体"/>
          <w:b/>
          <w:bCs/>
          <w:sz w:val="32"/>
          <w:szCs w:val="32"/>
          <w:lang w:eastAsia="zh-CN"/>
        </w:rPr>
      </w:pPr>
    </w:p>
    <w:p>
      <w:pPr>
        <w:rPr>
          <w:rFonts w:hint="eastAsia" w:ascii="宋体" w:hAnsi="宋体"/>
          <w:b/>
          <w:bCs/>
          <w:sz w:val="32"/>
          <w:szCs w:val="32"/>
          <w:lang w:eastAsia="zh-CN"/>
        </w:rPr>
      </w:pPr>
    </w:p>
    <w:p>
      <w:pPr>
        <w:rPr>
          <w:rFonts w:ascii="宋体" w:hAnsi="宋体"/>
          <w:b/>
          <w:sz w:val="32"/>
          <w:szCs w:val="32"/>
          <w:lang w:eastAsia="zh-CN"/>
        </w:rPr>
      </w:pPr>
      <w:r>
        <w:rPr>
          <w:rFonts w:hint="eastAsia" w:ascii="宋体" w:hAnsi="宋体"/>
          <w:b/>
          <w:bCs/>
          <w:sz w:val="32"/>
          <w:szCs w:val="32"/>
          <w:lang w:eastAsia="zh-CN"/>
        </w:rPr>
        <w:t>14、</w:t>
      </w:r>
      <w:r>
        <w:rPr>
          <w:rFonts w:hint="eastAsia" w:ascii="宋体" w:hAnsi="宋体"/>
          <w:b/>
          <w:sz w:val="32"/>
          <w:szCs w:val="32"/>
          <w:lang w:eastAsia="zh-CN"/>
        </w:rPr>
        <w:t>企业类似业绩一览表</w:t>
      </w:r>
    </w:p>
    <w:p>
      <w:pPr>
        <w:spacing w:line="360" w:lineRule="auto"/>
        <w:jc w:val="center"/>
        <w:rPr>
          <w:rFonts w:ascii="宋体" w:hAnsi="宋体"/>
          <w:b/>
          <w:sz w:val="28"/>
          <w:szCs w:val="28"/>
          <w:lang w:eastAsia="zh-CN"/>
        </w:rPr>
      </w:pPr>
    </w:p>
    <w:p>
      <w:pPr>
        <w:spacing w:line="360" w:lineRule="auto"/>
        <w:jc w:val="center"/>
        <w:rPr>
          <w:rFonts w:ascii="宋体" w:hAnsi="宋体"/>
          <w:b/>
          <w:sz w:val="28"/>
          <w:szCs w:val="28"/>
          <w:lang w:eastAsia="zh-CN"/>
        </w:rPr>
      </w:pPr>
      <w:r>
        <w:rPr>
          <w:rFonts w:hint="eastAsia" w:ascii="宋体" w:hAnsi="宋体"/>
          <w:b/>
          <w:sz w:val="28"/>
          <w:szCs w:val="28"/>
          <w:lang w:eastAsia="zh-CN"/>
        </w:rPr>
        <w:t>企业类似业绩一览表</w:t>
      </w:r>
    </w:p>
    <w:tbl>
      <w:tblPr>
        <w:tblStyle w:val="38"/>
        <w:tblW w:w="770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514"/>
        <w:gridCol w:w="1368"/>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序号</w:t>
            </w:r>
          </w:p>
        </w:tc>
        <w:tc>
          <w:tcPr>
            <w:tcW w:w="1356" w:type="dxa"/>
            <w:vAlign w:val="center"/>
          </w:tcPr>
          <w:p>
            <w:pPr>
              <w:spacing w:line="360" w:lineRule="auto"/>
              <w:jc w:val="center"/>
              <w:rPr>
                <w:rFonts w:ascii="宋体" w:hAnsi="宋体"/>
                <w:sz w:val="24"/>
              </w:rPr>
            </w:pPr>
            <w:r>
              <w:rPr>
                <w:rFonts w:hint="eastAsia" w:ascii="宋体" w:hAnsi="宋体"/>
                <w:sz w:val="24"/>
              </w:rPr>
              <w:t>项目名称</w:t>
            </w:r>
          </w:p>
        </w:tc>
        <w:tc>
          <w:tcPr>
            <w:tcW w:w="1327" w:type="dxa"/>
            <w:vAlign w:val="center"/>
          </w:tcPr>
          <w:p>
            <w:pPr>
              <w:spacing w:line="360" w:lineRule="auto"/>
              <w:jc w:val="center"/>
              <w:rPr>
                <w:rFonts w:ascii="宋体" w:hAnsi="宋体"/>
                <w:sz w:val="24"/>
              </w:rPr>
            </w:pPr>
            <w:r>
              <w:rPr>
                <w:rFonts w:hint="eastAsia" w:ascii="宋体" w:hAnsi="宋体"/>
                <w:sz w:val="24"/>
              </w:rPr>
              <w:t>项目时间</w:t>
            </w:r>
          </w:p>
        </w:tc>
        <w:tc>
          <w:tcPr>
            <w:tcW w:w="1514" w:type="dxa"/>
            <w:vAlign w:val="center"/>
          </w:tcPr>
          <w:p>
            <w:pPr>
              <w:tabs>
                <w:tab w:val="left" w:pos="6252"/>
              </w:tabs>
              <w:jc w:val="center"/>
              <w:rPr>
                <w:rFonts w:ascii="宋体" w:hAnsi="宋体"/>
                <w:sz w:val="24"/>
              </w:rPr>
            </w:pPr>
            <w:r>
              <w:rPr>
                <w:rFonts w:hint="eastAsia" w:ascii="宋体" w:hAnsi="宋体"/>
                <w:sz w:val="24"/>
              </w:rPr>
              <w:t>合同金额</w:t>
            </w:r>
          </w:p>
          <w:p>
            <w:pPr>
              <w:tabs>
                <w:tab w:val="left" w:pos="6252"/>
              </w:tabs>
              <w:jc w:val="center"/>
              <w:rPr>
                <w:rFonts w:ascii="宋体" w:hAnsi="宋体"/>
                <w:sz w:val="24"/>
              </w:rPr>
            </w:pPr>
            <w:r>
              <w:rPr>
                <w:rFonts w:hint="eastAsia" w:ascii="宋体" w:hAnsi="宋体"/>
                <w:sz w:val="24"/>
              </w:rPr>
              <w:t>（人民币）</w:t>
            </w:r>
          </w:p>
        </w:tc>
        <w:tc>
          <w:tcPr>
            <w:tcW w:w="1368" w:type="dxa"/>
            <w:vAlign w:val="center"/>
          </w:tcPr>
          <w:p>
            <w:pPr>
              <w:spacing w:line="360" w:lineRule="auto"/>
              <w:jc w:val="center"/>
              <w:rPr>
                <w:rFonts w:ascii="宋体" w:hAnsi="宋体"/>
                <w:sz w:val="24"/>
              </w:rPr>
            </w:pPr>
            <w:r>
              <w:rPr>
                <w:rFonts w:hint="eastAsia" w:ascii="宋体" w:hAnsi="宋体"/>
                <w:sz w:val="24"/>
              </w:rPr>
              <w:t>业主单位</w:t>
            </w:r>
          </w:p>
        </w:tc>
        <w:tc>
          <w:tcPr>
            <w:tcW w:w="900" w:type="dxa"/>
            <w:vAlign w:val="center"/>
          </w:tcPr>
          <w:p>
            <w:pPr>
              <w:spacing w:line="360" w:lineRule="auto"/>
              <w:jc w:val="center"/>
              <w:rPr>
                <w:rFonts w:ascii="宋体" w:hAns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1</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2</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3</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4</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5</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6</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bl>
    <w:p>
      <w:pPr>
        <w:spacing w:line="440" w:lineRule="exact"/>
        <w:ind w:firstLine="240"/>
        <w:rPr>
          <w:rFonts w:ascii="宋体" w:hAnsi="宋体"/>
          <w:sz w:val="24"/>
          <w:lang w:eastAsia="zh-CN"/>
        </w:rPr>
      </w:pPr>
      <w:r>
        <w:rPr>
          <w:rFonts w:ascii="宋体" w:hAnsi="宋体"/>
          <w:sz w:val="24"/>
          <w:lang w:eastAsia="zh-CN"/>
        </w:rPr>
        <w:t>附：</w:t>
      </w:r>
      <w:r>
        <w:rPr>
          <w:rFonts w:hint="eastAsia" w:ascii="宋体" w:hAnsi="宋体"/>
          <w:sz w:val="24"/>
          <w:lang w:eastAsia="zh-CN"/>
        </w:rPr>
        <w:t>按照招标文件要求及评分标准提供相应证明材料</w:t>
      </w:r>
    </w:p>
    <w:p>
      <w:pPr>
        <w:spacing w:line="500" w:lineRule="exact"/>
        <w:ind w:firstLine="480"/>
        <w:rPr>
          <w:rFonts w:ascii="宋体" w:hAnsi="宋体"/>
          <w:sz w:val="24"/>
          <w:lang w:eastAsia="zh-CN"/>
        </w:rPr>
      </w:pPr>
      <w:r>
        <w:rPr>
          <w:rFonts w:hint="eastAsia" w:ascii="宋体" w:hAnsi="宋体"/>
          <w:sz w:val="24"/>
          <w:lang w:eastAsia="zh-CN"/>
        </w:rPr>
        <w:t xml:space="preserve">投标单位（单位盖章）： </w:t>
      </w:r>
    </w:p>
    <w:p>
      <w:pPr>
        <w:spacing w:line="500" w:lineRule="exact"/>
        <w:ind w:firstLine="480"/>
        <w:rPr>
          <w:rFonts w:ascii="宋体" w:hAnsi="宋体"/>
          <w:sz w:val="24"/>
          <w:lang w:eastAsia="zh-CN"/>
        </w:rPr>
      </w:pPr>
      <w:r>
        <w:rPr>
          <w:rFonts w:hint="eastAsia" w:ascii="宋体" w:hAnsi="宋体"/>
          <w:sz w:val="24"/>
          <w:lang w:eastAsia="zh-CN"/>
        </w:rPr>
        <w:t>法定代表人或代理人（</w:t>
      </w:r>
      <w:r>
        <w:rPr>
          <w:rFonts w:ascii="宋体" w:hAnsi="宋体"/>
          <w:sz w:val="24"/>
          <w:lang w:eastAsia="zh-CN"/>
        </w:rPr>
        <w:t>签字或盖章</w:t>
      </w:r>
      <w:r>
        <w:rPr>
          <w:rFonts w:hint="eastAsia" w:ascii="宋体" w:hAnsi="宋体"/>
          <w:sz w:val="24"/>
          <w:lang w:eastAsia="zh-CN"/>
        </w:rPr>
        <w:t>）：</w:t>
      </w:r>
    </w:p>
    <w:p>
      <w:pPr>
        <w:ind w:firstLine="480"/>
        <w:rPr>
          <w:lang w:eastAsia="zh-CN"/>
        </w:rPr>
      </w:pPr>
      <w:r>
        <w:rPr>
          <w:rFonts w:hint="eastAsia" w:ascii="宋体" w:hAnsi="宋体"/>
          <w:sz w:val="24"/>
          <w:szCs w:val="24"/>
          <w:lang w:eastAsia="zh-CN"/>
        </w:rPr>
        <w:t>日期：年月日</w:t>
      </w:r>
    </w:p>
    <w:p>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pPr>
        <w:rPr>
          <w:rFonts w:ascii="宋体" w:hAnsi="宋体"/>
          <w:b/>
          <w:bCs/>
          <w:sz w:val="32"/>
          <w:szCs w:val="32"/>
          <w:lang w:eastAsia="zh-CN"/>
        </w:rPr>
      </w:pPr>
      <w:r>
        <w:rPr>
          <w:rFonts w:hint="eastAsia" w:ascii="宋体" w:hAnsi="宋体"/>
          <w:b/>
          <w:bCs/>
          <w:sz w:val="32"/>
          <w:szCs w:val="32"/>
          <w:lang w:eastAsia="zh-CN"/>
        </w:rPr>
        <w:t>15、拟投入本项目的专业技术（服务）人员情况一览表</w:t>
      </w:r>
    </w:p>
    <w:p>
      <w:pPr>
        <w:pStyle w:val="242"/>
        <w:ind w:firstLine="1039"/>
        <w:rPr>
          <w:b/>
          <w:sz w:val="28"/>
          <w:szCs w:val="28"/>
          <w:lang w:eastAsia="zh-CN"/>
        </w:rPr>
      </w:pPr>
      <w:r>
        <w:rPr>
          <w:rFonts w:hint="eastAsia"/>
          <w:b/>
          <w:sz w:val="28"/>
          <w:szCs w:val="28"/>
          <w:lang w:eastAsia="zh-CN"/>
        </w:rPr>
        <w:t>拟投入本项目的专业技术（服务）人员情况一览表</w:t>
      </w:r>
    </w:p>
    <w:tbl>
      <w:tblPr>
        <w:tblStyle w:val="38"/>
        <w:tblW w:w="83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952"/>
        <w:gridCol w:w="852"/>
        <w:gridCol w:w="732"/>
        <w:gridCol w:w="768"/>
        <w:gridCol w:w="1548"/>
        <w:gridCol w:w="1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pPr>
              <w:jc w:val="center"/>
              <w:rPr>
                <w:rFonts w:ascii="宋体" w:hAnsi="宋体"/>
                <w:b/>
              </w:rPr>
            </w:pPr>
            <w:r>
              <w:rPr>
                <w:rFonts w:hint="eastAsia" w:ascii="宋体" w:hAnsi="宋体"/>
                <w:b/>
              </w:rPr>
              <w:t>序号</w:t>
            </w:r>
          </w:p>
        </w:tc>
        <w:tc>
          <w:tcPr>
            <w:tcW w:w="1766" w:type="dxa"/>
            <w:tcBorders>
              <w:top w:val="single" w:color="000000" w:sz="2" w:space="0"/>
              <w:left w:val="single" w:color="auto" w:sz="4" w:space="0"/>
              <w:bottom w:val="single" w:color="000000" w:sz="2" w:space="0"/>
              <w:right w:val="single" w:color="auto" w:sz="4" w:space="0"/>
            </w:tcBorders>
            <w:vAlign w:val="center"/>
          </w:tcPr>
          <w:p>
            <w:pPr>
              <w:jc w:val="center"/>
              <w:rPr>
                <w:rFonts w:ascii="宋体" w:hAnsi="宋体"/>
                <w:b/>
              </w:rPr>
            </w:pPr>
            <w:r>
              <w:rPr>
                <w:rFonts w:hint="eastAsia" w:ascii="宋体" w:hAnsi="宋体"/>
                <w:b/>
              </w:rPr>
              <w:t>岗位</w:t>
            </w:r>
          </w:p>
        </w:tc>
        <w:tc>
          <w:tcPr>
            <w:tcW w:w="952" w:type="dxa"/>
            <w:tcBorders>
              <w:top w:val="single" w:color="000000" w:sz="2" w:space="0"/>
              <w:left w:val="single" w:color="auto" w:sz="4" w:space="0"/>
              <w:bottom w:val="single" w:color="000000" w:sz="2" w:space="0"/>
              <w:right w:val="single" w:color="000000" w:sz="2" w:space="0"/>
            </w:tcBorders>
            <w:vAlign w:val="center"/>
          </w:tcPr>
          <w:p>
            <w:pPr>
              <w:jc w:val="center"/>
              <w:rPr>
                <w:rFonts w:ascii="宋体" w:hAnsi="宋体"/>
                <w:b/>
              </w:rPr>
            </w:pPr>
            <w:r>
              <w:rPr>
                <w:rFonts w:hint="eastAsia" w:ascii="宋体" w:hAnsi="宋体"/>
                <w:b/>
              </w:rPr>
              <w:t>姓名</w:t>
            </w:r>
          </w:p>
        </w:tc>
        <w:tc>
          <w:tcPr>
            <w:tcW w:w="852" w:type="dxa"/>
            <w:tcBorders>
              <w:top w:val="single" w:color="000000" w:sz="2" w:space="0"/>
              <w:left w:val="single" w:color="auto" w:sz="4" w:space="0"/>
              <w:bottom w:val="single" w:color="000000" w:sz="2" w:space="0"/>
              <w:right w:val="single" w:color="auto" w:sz="4" w:space="0"/>
            </w:tcBorders>
            <w:vAlign w:val="center"/>
          </w:tcPr>
          <w:p>
            <w:pPr>
              <w:jc w:val="center"/>
              <w:rPr>
                <w:rFonts w:ascii="宋体" w:hAnsi="宋体"/>
                <w:b/>
              </w:rPr>
            </w:pPr>
            <w:r>
              <w:rPr>
                <w:rFonts w:hint="eastAsia" w:ascii="宋体" w:hAnsi="宋体"/>
                <w:b/>
              </w:rPr>
              <w:t>性别</w:t>
            </w:r>
          </w:p>
        </w:tc>
        <w:tc>
          <w:tcPr>
            <w:tcW w:w="732" w:type="dxa"/>
            <w:tcBorders>
              <w:top w:val="single" w:color="000000" w:sz="2" w:space="0"/>
              <w:left w:val="single" w:color="auto" w:sz="4" w:space="0"/>
              <w:bottom w:val="single" w:color="000000" w:sz="2" w:space="0"/>
              <w:right w:val="single" w:color="auto" w:sz="4" w:space="0"/>
            </w:tcBorders>
            <w:vAlign w:val="center"/>
          </w:tcPr>
          <w:p>
            <w:pPr>
              <w:jc w:val="center"/>
              <w:rPr>
                <w:rFonts w:ascii="宋体" w:hAnsi="宋体"/>
                <w:b/>
              </w:rPr>
            </w:pPr>
            <w:r>
              <w:rPr>
                <w:rFonts w:hint="eastAsia" w:ascii="宋体" w:hAnsi="宋体"/>
                <w:b/>
              </w:rPr>
              <w:t>年龄</w:t>
            </w:r>
          </w:p>
        </w:tc>
        <w:tc>
          <w:tcPr>
            <w:tcW w:w="768" w:type="dxa"/>
            <w:tcBorders>
              <w:top w:val="single" w:color="000000" w:sz="2" w:space="0"/>
              <w:left w:val="single" w:color="auto" w:sz="4" w:space="0"/>
              <w:bottom w:val="single" w:color="000000" w:sz="2" w:space="0"/>
              <w:right w:val="single" w:color="auto" w:sz="4" w:space="0"/>
            </w:tcBorders>
            <w:vAlign w:val="center"/>
          </w:tcPr>
          <w:p>
            <w:pPr>
              <w:jc w:val="center"/>
              <w:rPr>
                <w:rFonts w:ascii="宋体" w:hAnsi="宋体"/>
                <w:b/>
              </w:rPr>
            </w:pPr>
            <w:r>
              <w:rPr>
                <w:rFonts w:hint="eastAsia" w:ascii="宋体" w:hAnsi="宋体"/>
                <w:b/>
              </w:rPr>
              <w:t>学历</w:t>
            </w:r>
          </w:p>
        </w:tc>
        <w:tc>
          <w:tcPr>
            <w:tcW w:w="1548" w:type="dxa"/>
            <w:tcBorders>
              <w:top w:val="single" w:color="000000" w:sz="2" w:space="0"/>
              <w:left w:val="single" w:color="auto" w:sz="4" w:space="0"/>
              <w:bottom w:val="single" w:color="000000" w:sz="2" w:space="0"/>
              <w:right w:val="single" w:color="000000" w:sz="2" w:space="0"/>
            </w:tcBorders>
            <w:vAlign w:val="center"/>
          </w:tcPr>
          <w:p>
            <w:pPr>
              <w:jc w:val="center"/>
              <w:rPr>
                <w:rFonts w:ascii="宋体" w:hAnsi="宋体" w:cs="宋体"/>
                <w:b/>
              </w:rPr>
            </w:pPr>
            <w:r>
              <w:rPr>
                <w:rFonts w:hint="eastAsia" w:ascii="宋体" w:hAnsi="宋体"/>
                <w:b/>
              </w:rPr>
              <w:t>专业</w:t>
            </w:r>
            <w:r>
              <w:rPr>
                <w:rFonts w:hint="eastAsia" w:ascii="宋体" w:hAnsi="宋体" w:cs="宋体"/>
                <w:b/>
              </w:rPr>
              <w:t>技术职称</w:t>
            </w:r>
          </w:p>
        </w:tc>
        <w:tc>
          <w:tcPr>
            <w:tcW w:w="1104" w:type="dxa"/>
            <w:tcBorders>
              <w:top w:val="single" w:color="000000" w:sz="2" w:space="0"/>
              <w:left w:val="single" w:color="auto" w:sz="4" w:space="0"/>
              <w:bottom w:val="single" w:color="000000" w:sz="2" w:space="0"/>
              <w:right w:val="single" w:color="000000" w:sz="2" w:space="0"/>
            </w:tcBorders>
            <w:vAlign w:val="center"/>
          </w:tcPr>
          <w:p>
            <w:pPr>
              <w:ind w:firstLine="220"/>
              <w:rPr>
                <w:rFonts w:ascii="宋体" w:hAnsi="宋体"/>
                <w:b/>
              </w:rPr>
            </w:pPr>
            <w:r>
              <w:rPr>
                <w:rFonts w:hint="eastAsia" w:ascii="宋体" w:hAnsi="宋体"/>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220"/>
              <w:rPr>
                <w:rFonts w:ascii="宋体" w:hAnsi="宋体"/>
              </w:rPr>
            </w:pPr>
            <w:r>
              <w:rPr>
                <w:rFonts w:hint="eastAsia" w:ascii="宋体" w:hAnsi="宋体"/>
              </w:rPr>
              <w:t>1</w:t>
            </w:r>
          </w:p>
        </w:tc>
        <w:tc>
          <w:tcPr>
            <w:tcW w:w="1766" w:type="dxa"/>
            <w:tcBorders>
              <w:top w:val="single" w:color="auto" w:sz="4" w:space="0"/>
              <w:left w:val="single" w:color="auto" w:sz="4" w:space="0"/>
              <w:bottom w:val="single" w:color="000000" w:sz="2" w:space="0"/>
              <w:right w:val="single" w:color="auto" w:sz="4" w:space="0"/>
            </w:tcBorders>
            <w:vAlign w:val="center"/>
          </w:tcPr>
          <w:p>
            <w:pPr>
              <w:jc w:val="center"/>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220"/>
              <w:rPr>
                <w:rFonts w:ascii="宋体" w:hAnsi="宋体"/>
              </w:rPr>
            </w:pPr>
            <w:r>
              <w:rPr>
                <w:rFonts w:hint="eastAsia" w:ascii="宋体" w:hAnsi="宋体"/>
              </w:rPr>
              <w:t>2</w:t>
            </w:r>
          </w:p>
        </w:tc>
        <w:tc>
          <w:tcPr>
            <w:tcW w:w="1766" w:type="dxa"/>
            <w:tcBorders>
              <w:top w:val="single" w:color="auto" w:sz="4" w:space="0"/>
              <w:left w:val="single" w:color="auto" w:sz="4" w:space="0"/>
              <w:bottom w:val="single" w:color="000000" w:sz="2" w:space="0"/>
              <w:right w:val="single" w:color="auto" w:sz="4" w:space="0"/>
            </w:tcBorders>
            <w:vAlign w:val="center"/>
          </w:tcPr>
          <w:p>
            <w:pPr>
              <w:jc w:val="center"/>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220"/>
              <w:rPr>
                <w:rFonts w:ascii="宋体" w:hAnsi="宋体"/>
              </w:rPr>
            </w:pPr>
            <w:r>
              <w:rPr>
                <w:rFonts w:hint="eastAsia" w:ascii="宋体" w:hAnsi="宋体"/>
              </w:rPr>
              <w:t>3</w:t>
            </w:r>
          </w:p>
        </w:tc>
        <w:tc>
          <w:tcPr>
            <w:tcW w:w="1766" w:type="dxa"/>
            <w:tcBorders>
              <w:top w:val="single" w:color="auto" w:sz="4" w:space="0"/>
              <w:left w:val="single" w:color="auto" w:sz="4" w:space="0"/>
              <w:bottom w:val="single" w:color="000000" w:sz="2" w:space="0"/>
              <w:right w:val="single" w:color="auto" w:sz="4" w:space="0"/>
            </w:tcBorders>
            <w:vAlign w:val="center"/>
          </w:tcPr>
          <w:p>
            <w:pPr>
              <w:jc w:val="center"/>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r>
              <w:rPr>
                <w:rFonts w:hint="eastAsia" w:ascii="宋体" w:hAnsi="宋体"/>
              </w:rPr>
              <w:t>····</w:t>
            </w: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left w:val="single" w:color="000000" w:sz="2" w:space="0"/>
              <w:right w:val="single" w:color="000000" w:sz="2" w:space="0"/>
            </w:tcBorders>
            <w:vAlign w:val="center"/>
          </w:tcPr>
          <w:p>
            <w:pPr>
              <w:ind w:firstLine="480"/>
              <w:rPr>
                <w:rFonts w:ascii="宋体" w:hAnsi="宋体"/>
              </w:rPr>
            </w:pPr>
          </w:p>
        </w:tc>
        <w:tc>
          <w:tcPr>
            <w:tcW w:w="1766" w:type="dxa"/>
            <w:tcBorders>
              <w:left w:val="single" w:color="auto" w:sz="4" w:space="0"/>
              <w:right w:val="single" w:color="auto" w:sz="4" w:space="0"/>
            </w:tcBorders>
            <w:vAlign w:val="center"/>
          </w:tcPr>
          <w:p>
            <w:pPr>
              <w:ind w:firstLine="480"/>
              <w:rPr>
                <w:rFonts w:ascii="宋体" w:hAnsi="宋体"/>
              </w:rPr>
            </w:pPr>
          </w:p>
        </w:tc>
        <w:tc>
          <w:tcPr>
            <w:tcW w:w="952" w:type="dxa"/>
            <w:tcBorders>
              <w:left w:val="single" w:color="auto" w:sz="4" w:space="0"/>
              <w:right w:val="single" w:color="000000" w:sz="2" w:space="0"/>
            </w:tcBorders>
            <w:vAlign w:val="center"/>
          </w:tcPr>
          <w:p>
            <w:pPr>
              <w:ind w:firstLine="480"/>
              <w:rPr>
                <w:rFonts w:ascii="宋体" w:hAnsi="宋体"/>
              </w:rPr>
            </w:pPr>
          </w:p>
        </w:tc>
        <w:tc>
          <w:tcPr>
            <w:tcW w:w="852" w:type="dxa"/>
            <w:tcBorders>
              <w:left w:val="single" w:color="auto" w:sz="4" w:space="0"/>
              <w:right w:val="single" w:color="auto" w:sz="4" w:space="0"/>
            </w:tcBorders>
            <w:vAlign w:val="center"/>
          </w:tcPr>
          <w:p>
            <w:pPr>
              <w:ind w:firstLine="480"/>
              <w:rPr>
                <w:rFonts w:ascii="宋体" w:hAnsi="宋体"/>
              </w:rPr>
            </w:pPr>
          </w:p>
        </w:tc>
        <w:tc>
          <w:tcPr>
            <w:tcW w:w="732" w:type="dxa"/>
            <w:tcBorders>
              <w:left w:val="single" w:color="auto" w:sz="4"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c>
          <w:tcPr>
            <w:tcW w:w="1548"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left w:val="single" w:color="000000" w:sz="2" w:space="0"/>
              <w:bottom w:val="single" w:color="auto" w:sz="4" w:space="0"/>
              <w:right w:val="single" w:color="000000" w:sz="2" w:space="0"/>
            </w:tcBorders>
            <w:vAlign w:val="center"/>
          </w:tcPr>
          <w:p>
            <w:pPr>
              <w:ind w:firstLine="480"/>
              <w:rPr>
                <w:rFonts w:ascii="宋体" w:hAnsi="宋体"/>
              </w:rPr>
            </w:pPr>
          </w:p>
        </w:tc>
        <w:tc>
          <w:tcPr>
            <w:tcW w:w="1766" w:type="dxa"/>
            <w:tcBorders>
              <w:left w:val="single" w:color="auto" w:sz="4" w:space="0"/>
              <w:bottom w:val="single" w:color="auto" w:sz="4" w:space="0"/>
              <w:right w:val="single" w:color="auto" w:sz="4" w:space="0"/>
            </w:tcBorders>
            <w:vAlign w:val="center"/>
          </w:tcPr>
          <w:p>
            <w:pPr>
              <w:ind w:firstLine="480"/>
              <w:rPr>
                <w:rFonts w:ascii="宋体" w:hAnsi="宋体"/>
              </w:rPr>
            </w:pPr>
          </w:p>
        </w:tc>
        <w:tc>
          <w:tcPr>
            <w:tcW w:w="952" w:type="dxa"/>
            <w:tcBorders>
              <w:left w:val="single" w:color="auto" w:sz="4" w:space="0"/>
              <w:bottom w:val="single" w:color="auto" w:sz="4" w:space="0"/>
              <w:right w:val="single" w:color="000000" w:sz="2" w:space="0"/>
            </w:tcBorders>
            <w:vAlign w:val="center"/>
          </w:tcPr>
          <w:p>
            <w:pPr>
              <w:ind w:firstLine="480"/>
              <w:rPr>
                <w:rFonts w:ascii="宋体" w:hAnsi="宋体"/>
              </w:rPr>
            </w:pPr>
          </w:p>
        </w:tc>
        <w:tc>
          <w:tcPr>
            <w:tcW w:w="852" w:type="dxa"/>
            <w:tcBorders>
              <w:left w:val="single" w:color="auto" w:sz="4" w:space="0"/>
              <w:bottom w:val="single" w:color="auto" w:sz="4" w:space="0"/>
              <w:right w:val="single" w:color="auto" w:sz="4" w:space="0"/>
            </w:tcBorders>
            <w:vAlign w:val="center"/>
          </w:tcPr>
          <w:p>
            <w:pPr>
              <w:ind w:firstLine="480"/>
              <w:rPr>
                <w:rFonts w:ascii="宋体" w:hAnsi="宋体"/>
              </w:rPr>
            </w:pPr>
          </w:p>
        </w:tc>
        <w:tc>
          <w:tcPr>
            <w:tcW w:w="732" w:type="dxa"/>
            <w:tcBorders>
              <w:left w:val="single" w:color="auto" w:sz="4" w:space="0"/>
              <w:bottom w:val="single" w:color="auto" w:sz="4"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c>
          <w:tcPr>
            <w:tcW w:w="1548"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r>
    </w:tbl>
    <w:p>
      <w:pPr>
        <w:spacing w:line="420" w:lineRule="exact"/>
        <w:rPr>
          <w:rFonts w:ascii="宋体" w:hAnsi="宋体"/>
          <w:sz w:val="24"/>
          <w:lang w:eastAsia="zh-CN"/>
        </w:rPr>
      </w:pPr>
      <w:r>
        <w:rPr>
          <w:rFonts w:hint="eastAsia" w:ascii="宋体" w:hAnsi="宋体"/>
          <w:sz w:val="24"/>
          <w:lang w:eastAsia="zh-CN"/>
        </w:rPr>
        <w:t>附：1、按照招标文件要求提供相应资质证明材料。</w:t>
      </w:r>
    </w:p>
    <w:p>
      <w:pPr>
        <w:spacing w:line="420" w:lineRule="exact"/>
        <w:rPr>
          <w:rFonts w:ascii="宋体" w:hAnsi="宋体"/>
          <w:sz w:val="24"/>
          <w:lang w:eastAsia="zh-CN"/>
        </w:rPr>
      </w:pPr>
    </w:p>
    <w:p>
      <w:pPr>
        <w:pStyle w:val="17"/>
        <w:rPr>
          <w:lang w:eastAsia="zh-CN"/>
        </w:rPr>
      </w:pPr>
    </w:p>
    <w:p>
      <w:pPr>
        <w:spacing w:line="500" w:lineRule="exact"/>
        <w:ind w:firstLine="480"/>
        <w:rPr>
          <w:rFonts w:ascii="宋体" w:hAnsi="宋体"/>
          <w:sz w:val="24"/>
          <w:lang w:eastAsia="zh-CN"/>
        </w:rPr>
      </w:pPr>
      <w:r>
        <w:rPr>
          <w:rFonts w:hint="eastAsia" w:ascii="宋体" w:hAnsi="宋体"/>
          <w:sz w:val="24"/>
          <w:lang w:eastAsia="zh-CN"/>
        </w:rPr>
        <w:t xml:space="preserve">投标单位（单位盖章）： </w:t>
      </w:r>
    </w:p>
    <w:p>
      <w:pPr>
        <w:spacing w:line="500" w:lineRule="exact"/>
        <w:ind w:firstLine="480"/>
        <w:rPr>
          <w:rFonts w:ascii="宋体" w:hAnsi="宋体"/>
          <w:sz w:val="24"/>
          <w:lang w:eastAsia="zh-CN"/>
        </w:rPr>
      </w:pPr>
      <w:r>
        <w:rPr>
          <w:rFonts w:hint="eastAsia" w:ascii="宋体" w:hAnsi="宋体"/>
          <w:sz w:val="24"/>
          <w:lang w:eastAsia="zh-CN"/>
        </w:rPr>
        <w:t>法定代表人或代理人（</w:t>
      </w:r>
      <w:r>
        <w:rPr>
          <w:rFonts w:ascii="宋体" w:hAnsi="宋体"/>
          <w:sz w:val="24"/>
          <w:lang w:eastAsia="zh-CN"/>
        </w:rPr>
        <w:t>签字或盖章</w:t>
      </w:r>
      <w:r>
        <w:rPr>
          <w:rFonts w:hint="eastAsia" w:ascii="宋体" w:hAnsi="宋体"/>
          <w:sz w:val="24"/>
          <w:lang w:eastAsia="zh-CN"/>
        </w:rPr>
        <w:t>）</w:t>
      </w:r>
    </w:p>
    <w:p>
      <w:pPr>
        <w:pStyle w:val="17"/>
        <w:rPr>
          <w:sz w:val="24"/>
          <w:lang w:eastAsia="zh-CN"/>
        </w:rPr>
      </w:pPr>
      <w:r>
        <w:rPr>
          <w:rFonts w:hint="eastAsia" w:hAnsi="宋体"/>
          <w:sz w:val="24"/>
          <w:szCs w:val="24"/>
          <w:lang w:eastAsia="zh-CN"/>
        </w:rPr>
        <w:t>日期：年月日</w:t>
      </w:r>
    </w:p>
    <w:p>
      <w:pPr>
        <w:spacing w:line="360" w:lineRule="auto"/>
        <w:rPr>
          <w:rFonts w:ascii="宋体" w:hAnsi="宋体"/>
          <w:b/>
          <w:sz w:val="32"/>
          <w:szCs w:val="32"/>
          <w:lang w:eastAsia="zh-CN"/>
        </w:rPr>
      </w:pPr>
    </w:p>
    <w:p>
      <w:pPr>
        <w:spacing w:line="360" w:lineRule="auto"/>
        <w:rPr>
          <w:rFonts w:ascii="宋体" w:hAnsi="宋体"/>
          <w:b/>
          <w:lang w:eastAsia="zh-CN"/>
        </w:rPr>
      </w:pPr>
      <w:r>
        <w:rPr>
          <w:rFonts w:ascii="宋体" w:hAnsi="宋体"/>
          <w:b/>
          <w:sz w:val="32"/>
          <w:szCs w:val="32"/>
          <w:lang w:eastAsia="zh-CN"/>
        </w:rPr>
        <w:t>1</w:t>
      </w:r>
      <w:r>
        <w:rPr>
          <w:rFonts w:hint="eastAsia" w:ascii="宋体" w:hAnsi="宋体"/>
          <w:b/>
          <w:sz w:val="32"/>
          <w:szCs w:val="32"/>
          <w:lang w:eastAsia="zh-CN"/>
        </w:rPr>
        <w:t xml:space="preserve">6、中小企业声明函  </w:t>
      </w:r>
      <w:r>
        <w:rPr>
          <w:rFonts w:hint="eastAsia" w:ascii="宋体" w:hAnsi="宋体"/>
          <w:b/>
          <w:sz w:val="32"/>
          <w:szCs w:val="32"/>
          <w:lang w:val="en-US" w:eastAsia="zh-CN"/>
        </w:rPr>
        <w:t xml:space="preserve"> </w:t>
      </w:r>
      <w:r>
        <w:rPr>
          <w:rFonts w:hint="eastAsia" w:ascii="宋体" w:hAnsi="宋体"/>
          <w:b/>
          <w:sz w:val="32"/>
          <w:szCs w:val="32"/>
          <w:lang w:eastAsia="zh-CN"/>
        </w:rPr>
        <w:t xml:space="preserve">   </w:t>
      </w:r>
    </w:p>
    <w:p>
      <w:pPr>
        <w:spacing w:line="400" w:lineRule="exact"/>
        <w:ind w:firstLine="2520"/>
        <w:rPr>
          <w:rFonts w:ascii="宋体" w:hAnsi="宋体"/>
          <w:sz w:val="28"/>
          <w:szCs w:val="28"/>
          <w:lang w:eastAsia="zh-CN"/>
        </w:rPr>
      </w:pPr>
      <w:r>
        <w:rPr>
          <w:rFonts w:ascii="宋体" w:hAnsi="宋体"/>
          <w:sz w:val="28"/>
          <w:szCs w:val="28"/>
          <w:lang w:eastAsia="zh-CN"/>
        </w:rPr>
        <w:t>中小企业声明函（服务）</w:t>
      </w:r>
    </w:p>
    <w:p>
      <w:pPr>
        <w:spacing w:line="400" w:lineRule="exact"/>
        <w:ind w:firstLine="480"/>
        <w:rPr>
          <w:rFonts w:ascii="宋体" w:hAnsi="宋体"/>
          <w:sz w:val="24"/>
          <w:lang w:eastAsia="zh-CN"/>
        </w:rPr>
      </w:pPr>
      <w:r>
        <w:rPr>
          <w:rFonts w:ascii="宋体" w:hAnsi="宋体"/>
          <w:sz w:val="24"/>
          <w:lang w:eastAsia="zh-CN"/>
        </w:rPr>
        <w:t>本公司郑重声明，根据《政府采购促进中小企业发展管理办法》（财库</w:t>
      </w:r>
      <w:r>
        <w:rPr>
          <w:rFonts w:hint="eastAsia" w:ascii="宋体" w:hAnsi="宋体"/>
          <w:sz w:val="24"/>
          <w:lang w:eastAsia="zh-CN"/>
        </w:rPr>
        <w:t>﹝</w:t>
      </w:r>
      <w:r>
        <w:rPr>
          <w:rFonts w:ascii="宋体" w:hAnsi="宋体"/>
          <w:sz w:val="24"/>
          <w:lang w:eastAsia="zh-CN"/>
        </w:rPr>
        <w:t>2020</w:t>
      </w:r>
      <w:r>
        <w:rPr>
          <w:rFonts w:hint="eastAsia" w:ascii="宋体" w:hAnsi="宋体"/>
          <w:sz w:val="24"/>
          <w:lang w:eastAsia="zh-CN"/>
        </w:rPr>
        <w:t>﹞</w:t>
      </w:r>
      <w:r>
        <w:rPr>
          <w:rFonts w:ascii="宋体" w:hAnsi="宋体"/>
          <w:sz w:val="24"/>
          <w:lang w:eastAsia="zh-CN"/>
        </w:rPr>
        <w:t>46号）的规定，本公司参加</w:t>
      </w:r>
      <w:r>
        <w:rPr>
          <w:rFonts w:hint="eastAsia" w:ascii="宋体" w:hAnsi="宋体" w:eastAsia="宋体"/>
          <w:sz w:val="24"/>
          <w:u w:val="single"/>
          <w:lang w:eastAsia="zh-CN"/>
        </w:rPr>
        <w:t>太仓市民政局</w:t>
      </w:r>
      <w:r>
        <w:rPr>
          <w:rFonts w:ascii="宋体" w:hAnsi="宋体"/>
          <w:sz w:val="24"/>
          <w:lang w:eastAsia="zh-CN"/>
        </w:rPr>
        <w:t>的</w:t>
      </w:r>
      <w:r>
        <w:rPr>
          <w:rFonts w:hint="eastAsia" w:ascii="宋体" w:hAnsi="宋体" w:eastAsia="宋体"/>
          <w:sz w:val="24"/>
          <w:u w:val="single"/>
          <w:lang w:eastAsia="zh-CN"/>
        </w:rPr>
        <w:t>智慧社区管理平台（低收入家庭帮扶综合信息平台）项目</w:t>
      </w:r>
      <w:r>
        <w:rPr>
          <w:rFonts w:hint="eastAsia" w:ascii="宋体" w:hAnsi="宋体"/>
          <w:sz w:val="24"/>
          <w:u w:val="single"/>
          <w:lang w:eastAsia="zh-CN"/>
        </w:rPr>
        <w:t xml:space="preserve">  </w:t>
      </w:r>
      <w:r>
        <w:rPr>
          <w:rFonts w:ascii="宋体" w:hAnsi="宋体"/>
          <w:sz w:val="24"/>
          <w:lang w:eastAsia="zh-CN"/>
        </w:rPr>
        <w:t>采购活动，服务全部由符合政策要求的中小企业承接。相关企业的具体情况如下：</w:t>
      </w:r>
    </w:p>
    <w:p>
      <w:pPr>
        <w:spacing w:line="400" w:lineRule="exact"/>
        <w:ind w:firstLine="480"/>
        <w:rPr>
          <w:rFonts w:ascii="宋体" w:hAnsi="宋体"/>
          <w:sz w:val="24"/>
          <w:lang w:eastAsia="zh-CN"/>
        </w:rPr>
      </w:pPr>
      <w:r>
        <w:rPr>
          <w:rFonts w:ascii="宋体" w:hAnsi="宋体"/>
          <w:sz w:val="24"/>
          <w:lang w:eastAsia="zh-CN"/>
        </w:rPr>
        <w:t>1</w:t>
      </w:r>
      <w:r>
        <w:rPr>
          <w:rFonts w:hint="eastAsia" w:ascii="宋体" w:hAnsi="宋体"/>
          <w:sz w:val="24"/>
          <w:lang w:eastAsia="zh-CN"/>
        </w:rPr>
        <w:t>、</w:t>
      </w:r>
      <w:r>
        <w:rPr>
          <w:rFonts w:hint="eastAsia" w:ascii="宋体" w:hAnsi="宋体"/>
          <w:i/>
          <w:sz w:val="24"/>
          <w:u w:val="single"/>
          <w:lang w:eastAsia="zh-CN"/>
        </w:rPr>
        <w:t>（标的名称）</w:t>
      </w:r>
      <w:r>
        <w:rPr>
          <w:rFonts w:ascii="宋体" w:hAnsi="宋体"/>
          <w:sz w:val="24"/>
          <w:lang w:eastAsia="zh-CN"/>
        </w:rPr>
        <w:t>，属于</w:t>
      </w:r>
      <w:r>
        <w:rPr>
          <w:rFonts w:hint="eastAsia" w:ascii="宋体" w:hAnsi="宋体"/>
          <w:sz w:val="24"/>
          <w:u w:val="single"/>
          <w:lang w:eastAsia="zh-CN"/>
        </w:rPr>
        <w:t>（十二）软件和信息技术服务业</w:t>
      </w:r>
      <w:r>
        <w:rPr>
          <w:rFonts w:ascii="宋体" w:hAnsi="宋体"/>
          <w:sz w:val="24"/>
          <w:lang w:eastAsia="zh-CN"/>
        </w:rPr>
        <w:t>；</w:t>
      </w:r>
      <w:r>
        <w:rPr>
          <w:rFonts w:hint="eastAsia" w:ascii="宋体" w:hAnsi="宋体"/>
          <w:sz w:val="24"/>
          <w:lang w:eastAsia="zh-CN"/>
        </w:rPr>
        <w:t>承接企业为</w:t>
      </w:r>
      <w:r>
        <w:rPr>
          <w:rFonts w:hint="eastAsia" w:ascii="宋体" w:hAnsi="宋体"/>
          <w:i/>
          <w:sz w:val="24"/>
          <w:u w:val="single"/>
          <w:lang w:eastAsia="zh-CN"/>
        </w:rPr>
        <w:t>（企业名称）</w:t>
      </w:r>
      <w:r>
        <w:rPr>
          <w:rFonts w:hint="eastAsia" w:ascii="宋体" w:hAnsi="宋体"/>
          <w:sz w:val="24"/>
          <w:lang w:eastAsia="zh-CN"/>
        </w:rPr>
        <w:t>，</w:t>
      </w:r>
      <w:r>
        <w:rPr>
          <w:rFonts w:ascii="宋体" w:hAnsi="宋体"/>
          <w:sz w:val="24"/>
          <w:lang w:eastAsia="zh-CN"/>
        </w:rPr>
        <w:t>从业人员</w:t>
      </w:r>
      <w:r>
        <w:rPr>
          <w:rFonts w:ascii="宋体" w:hAnsi="宋体"/>
          <w:sz w:val="24"/>
          <w:u w:val="single"/>
          <w:lang w:eastAsia="zh-CN"/>
        </w:rPr>
        <w:tab/>
      </w:r>
      <w:r>
        <w:rPr>
          <w:rFonts w:ascii="宋体" w:hAnsi="宋体"/>
          <w:sz w:val="24"/>
          <w:lang w:eastAsia="zh-CN"/>
        </w:rPr>
        <w:t>人，营业收入为</w:t>
      </w:r>
      <w:r>
        <w:rPr>
          <w:rFonts w:ascii="宋体" w:hAnsi="宋体"/>
          <w:sz w:val="24"/>
          <w:u w:val="single"/>
          <w:lang w:eastAsia="zh-CN"/>
        </w:rPr>
        <w:tab/>
      </w:r>
      <w:r>
        <w:rPr>
          <w:rFonts w:ascii="宋体" w:hAnsi="宋体"/>
          <w:sz w:val="24"/>
          <w:lang w:eastAsia="zh-CN"/>
        </w:rPr>
        <w:t>万元，资产总额为</w:t>
      </w:r>
      <w:r>
        <w:rPr>
          <w:rFonts w:ascii="宋体" w:hAnsi="宋体"/>
          <w:sz w:val="24"/>
          <w:u w:val="single"/>
          <w:lang w:eastAsia="zh-CN"/>
        </w:rPr>
        <w:tab/>
      </w:r>
      <w:r>
        <w:rPr>
          <w:rFonts w:ascii="宋体" w:hAnsi="宋体"/>
          <w:sz w:val="24"/>
          <w:lang w:eastAsia="zh-CN"/>
        </w:rPr>
        <w:t>万元</w:t>
      </w:r>
      <w:r>
        <w:fldChar w:fldCharType="begin"/>
      </w:r>
      <w:r>
        <w:instrText xml:space="preserve"> HYPERLINK \l "_bookmark1" </w:instrText>
      </w:r>
      <w:r>
        <w:fldChar w:fldCharType="separate"/>
      </w:r>
      <w:r>
        <w:rPr>
          <w:position w:val="16"/>
          <w:sz w:val="24"/>
          <w:lang w:eastAsia="zh-CN"/>
        </w:rPr>
        <w:t>1</w:t>
      </w:r>
      <w:r>
        <w:rPr>
          <w:position w:val="16"/>
          <w:sz w:val="24"/>
          <w:lang w:eastAsia="zh-CN"/>
        </w:rPr>
        <w:fldChar w:fldCharType="end"/>
      </w:r>
      <w:r>
        <w:rPr>
          <w:rFonts w:hint="eastAsia" w:ascii="宋体" w:hAnsi="宋体"/>
          <w:sz w:val="24"/>
          <w:lang w:eastAsia="zh-CN"/>
        </w:rPr>
        <w:t>，</w:t>
      </w:r>
      <w:r>
        <w:rPr>
          <w:rFonts w:ascii="宋体" w:hAnsi="宋体"/>
          <w:sz w:val="24"/>
          <w:lang w:eastAsia="zh-CN"/>
        </w:rPr>
        <w:t>属于</w:t>
      </w:r>
      <w:r>
        <w:rPr>
          <w:rFonts w:hint="eastAsia" w:ascii="宋体" w:hAnsi="宋体"/>
          <w:i/>
          <w:sz w:val="24"/>
          <w:lang w:eastAsia="zh-CN"/>
        </w:rPr>
        <w:t>（中型企业、小型企业、微型企业，</w:t>
      </w:r>
      <w:r>
        <w:rPr>
          <w:rFonts w:hint="eastAsia" w:ascii="宋体" w:hAnsi="宋体"/>
          <w:b/>
          <w:bCs/>
          <w:i/>
          <w:sz w:val="24"/>
          <w:lang w:eastAsia="zh-CN"/>
        </w:rPr>
        <w:t>三者选一填写</w:t>
      </w:r>
      <w:r>
        <w:rPr>
          <w:rFonts w:hint="eastAsia" w:ascii="宋体" w:hAnsi="宋体"/>
          <w:i/>
          <w:sz w:val="24"/>
          <w:lang w:eastAsia="zh-CN"/>
        </w:rPr>
        <w:t>）</w:t>
      </w:r>
      <w:r>
        <w:rPr>
          <w:rFonts w:ascii="宋体" w:hAnsi="宋体"/>
          <w:sz w:val="24"/>
          <w:lang w:eastAsia="zh-CN"/>
        </w:rPr>
        <w:t>；</w:t>
      </w:r>
    </w:p>
    <w:p>
      <w:pPr>
        <w:spacing w:line="440" w:lineRule="exact"/>
        <w:ind w:firstLine="480"/>
        <w:rPr>
          <w:rFonts w:ascii="宋体" w:hAnsi="宋体"/>
          <w:sz w:val="24"/>
          <w:lang w:eastAsia="zh-CN"/>
        </w:rPr>
      </w:pPr>
      <w:r>
        <w:rPr>
          <w:rFonts w:ascii="宋体" w:hAnsi="宋体"/>
          <w:sz w:val="24"/>
          <w:lang w:eastAsia="zh-CN"/>
        </w:rPr>
        <w:t>……</w:t>
      </w:r>
    </w:p>
    <w:p>
      <w:pPr>
        <w:spacing w:line="400" w:lineRule="exact"/>
        <w:ind w:firstLine="480"/>
        <w:rPr>
          <w:rFonts w:ascii="宋体" w:hAnsi="宋体"/>
          <w:sz w:val="24"/>
          <w:lang w:eastAsia="zh-CN"/>
        </w:rPr>
      </w:pPr>
      <w:r>
        <w:rPr>
          <w:rFonts w:hint="eastAsia" w:ascii="宋体" w:hAnsi="宋体"/>
          <w:sz w:val="24"/>
          <w:lang w:eastAsia="zh-CN"/>
        </w:rPr>
        <w:t>以上企业，不属于大企业的分支机构，不存在控股股东为大企业的情形，也不存在与大企业的负责人为同一人的情形。</w:t>
      </w:r>
    </w:p>
    <w:p>
      <w:pPr>
        <w:spacing w:line="400" w:lineRule="exact"/>
        <w:ind w:firstLine="480"/>
        <w:rPr>
          <w:rFonts w:ascii="宋体" w:hAnsi="宋体"/>
          <w:sz w:val="24"/>
          <w:lang w:eastAsia="zh-CN"/>
        </w:rPr>
      </w:pPr>
      <w:r>
        <w:rPr>
          <w:rFonts w:hint="eastAsia" w:ascii="宋体" w:hAnsi="宋体"/>
          <w:sz w:val="24"/>
          <w:lang w:eastAsia="zh-CN"/>
        </w:rPr>
        <w:t>本企业对上述声明内容的真实性负责。如有虚假，将依法承担相应责任。</w:t>
      </w:r>
    </w:p>
    <w:p>
      <w:pPr>
        <w:spacing w:line="400" w:lineRule="exact"/>
        <w:ind w:right="960" w:firstLine="4800"/>
        <w:rPr>
          <w:rFonts w:ascii="宋体" w:hAnsi="宋体"/>
          <w:sz w:val="24"/>
          <w:lang w:eastAsia="zh-CN"/>
        </w:rPr>
      </w:pPr>
      <w:r>
        <w:rPr>
          <w:rFonts w:hint="eastAsia" w:ascii="宋体" w:hAnsi="宋体"/>
          <w:sz w:val="24"/>
          <w:lang w:eastAsia="zh-CN"/>
        </w:rPr>
        <w:t>企业名称（盖章）：</w:t>
      </w:r>
    </w:p>
    <w:p>
      <w:pPr>
        <w:spacing w:line="400" w:lineRule="exact"/>
        <w:ind w:right="1120" w:firstLine="4800"/>
        <w:rPr>
          <w:rFonts w:ascii="宋体" w:hAnsi="宋体"/>
          <w:sz w:val="24"/>
          <w:lang w:eastAsia="zh-CN"/>
        </w:rPr>
      </w:pPr>
      <w:r>
        <w:rPr>
          <w:rFonts w:hint="eastAsia" w:ascii="宋体" w:hAnsi="宋体"/>
          <w:sz w:val="24"/>
          <w:lang w:eastAsia="zh-CN"/>
        </w:rPr>
        <w:t>日期：</w:t>
      </w:r>
    </w:p>
    <w:p>
      <w:pPr>
        <w:spacing w:after="0" w:line="400" w:lineRule="exact"/>
        <w:ind w:firstLine="440"/>
        <w:rPr>
          <w:rFonts w:hint="eastAsia" w:ascii="宋体" w:hAnsi="宋体" w:eastAsia="宋体" w:cs="宋体"/>
          <w:sz w:val="24"/>
          <w:szCs w:val="24"/>
          <w:lang w:eastAsia="zh-CN"/>
        </w:rPr>
      </w:pPr>
      <w:r>
        <w:fldChar w:fldCharType="begin"/>
      </w:r>
      <w:r>
        <w:instrText xml:space="preserve"> HYPERLINK \l "_bookmark1" </w:instrText>
      </w:r>
      <w:r>
        <w:fldChar w:fldCharType="separate"/>
      </w:r>
      <w:r>
        <w:rPr>
          <w:position w:val="16"/>
          <w:sz w:val="24"/>
          <w:lang w:eastAsia="zh-CN"/>
        </w:rPr>
        <w:t>1</w:t>
      </w:r>
      <w:r>
        <w:rPr>
          <w:position w:val="16"/>
          <w:sz w:val="24"/>
          <w:lang w:eastAsia="zh-CN"/>
        </w:rPr>
        <w:fldChar w:fldCharType="end"/>
      </w:r>
      <w:r>
        <w:rPr>
          <w:rFonts w:hint="eastAsia" w:ascii="宋体" w:hAnsi="宋体"/>
          <w:sz w:val="24"/>
          <w:lang w:eastAsia="zh-CN"/>
        </w:rPr>
        <w:t>从</w:t>
      </w:r>
      <w:r>
        <w:rPr>
          <w:rFonts w:hint="eastAsia" w:ascii="宋体" w:hAnsi="宋体" w:eastAsia="宋体" w:cs="宋体"/>
          <w:sz w:val="24"/>
          <w:szCs w:val="24"/>
          <w:lang w:eastAsia="zh-CN"/>
        </w:rPr>
        <w:t>业人员、营业收入、资产总额填报上一年度数据，无上一年度数据的新成立企业可不填报。</w:t>
      </w:r>
    </w:p>
    <w:p>
      <w:pPr>
        <w:spacing w:after="0" w:line="4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备注：</w:t>
      </w:r>
    </w:p>
    <w:p>
      <w:pPr>
        <w:spacing w:after="0" w:line="4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b/>
          <w:bCs/>
          <w:sz w:val="24"/>
          <w:szCs w:val="24"/>
          <w:lang w:eastAsia="zh-CN"/>
        </w:rPr>
        <w:t>本项目专门面向中小企业采购</w:t>
      </w:r>
      <w:r>
        <w:rPr>
          <w:rFonts w:hint="eastAsia" w:ascii="宋体" w:hAnsi="宋体" w:eastAsia="宋体" w:cs="宋体"/>
          <w:sz w:val="24"/>
          <w:szCs w:val="24"/>
          <w:lang w:eastAsia="zh-CN"/>
        </w:rPr>
        <w:t>，投标人应提供中小企业声明函或残疾人福利性单位声明函或省级以上监狱管理局、戒毒管理局（含新疆生产建设兵团）出具的属于监狱企业的证明文件,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否则视为投标无效</w:t>
      </w:r>
    </w:p>
    <w:p>
      <w:pPr>
        <w:spacing w:after="0" w:line="4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2、投标人提供的中小企业声明函必须包含本项目所有服务及其服务承接企业，并按照声明函格式填写完整、明确，否则视为未按规定提供声明函，投标无效。</w:t>
      </w:r>
    </w:p>
    <w:p>
      <w:pPr>
        <w:spacing w:after="0" w:line="4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3、中标、成交供应商享受规定的中小企业扶持政策的，《中小企业声明函》应当随中标、成交结果同时公告，接受社会监督。</w:t>
      </w:r>
    </w:p>
    <w:p>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000000"/>
          <w:sz w:val="32"/>
          <w:szCs w:val="32"/>
          <w:lang w:eastAsia="zh-CN"/>
        </w:rPr>
      </w:pPr>
      <w:r>
        <w:rPr>
          <w:rFonts w:ascii="宋体" w:hAnsi="宋体" w:eastAsia="宋体" w:cs="宋体"/>
          <w:b/>
          <w:color w:val="000000"/>
          <w:sz w:val="32"/>
          <w:lang w:eastAsia="zh-CN"/>
        </w:rPr>
        <w:t>17、残疾人福利性单位声明函（如有）</w:t>
      </w:r>
    </w:p>
    <w:p>
      <w:pPr>
        <w:pBdr>
          <w:top w:val="none" w:color="000000" w:sz="0" w:space="0"/>
          <w:left w:val="none" w:color="000000" w:sz="0" w:space="0"/>
          <w:bottom w:val="none" w:color="000000" w:sz="0" w:space="0"/>
          <w:right w:val="none" w:color="000000" w:sz="0" w:space="0"/>
        </w:pBdr>
        <w:spacing w:after="0" w:line="479" w:lineRule="atLeast"/>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line="479" w:lineRule="atLeast"/>
        <w:ind w:firstLine="2560"/>
        <w:rPr>
          <w:lang w:eastAsia="zh-CN"/>
        </w:rPr>
      </w:pPr>
      <w:r>
        <w:rPr>
          <w:rFonts w:ascii="宋体" w:hAnsi="宋体" w:eastAsia="宋体" w:cs="宋体"/>
          <w:color w:val="000000"/>
          <w:sz w:val="32"/>
          <w:lang w:eastAsia="zh-CN"/>
        </w:rPr>
        <w:t>残疾人福利性单位声明函</w:t>
      </w:r>
    </w:p>
    <w:p>
      <w:pPr>
        <w:pBdr>
          <w:top w:val="none" w:color="000000" w:sz="0" w:space="0"/>
          <w:left w:val="none" w:color="000000" w:sz="0" w:space="0"/>
          <w:bottom w:val="none" w:color="000000" w:sz="0" w:space="0"/>
          <w:right w:val="none" w:color="000000" w:sz="0" w:space="0"/>
        </w:pBdr>
        <w:spacing w:after="0" w:line="479" w:lineRule="atLeast"/>
        <w:ind w:firstLine="1928"/>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line="479" w:lineRule="atLeast"/>
        <w:ind w:firstLine="480"/>
        <w:rPr>
          <w:lang w:eastAsia="zh-CN"/>
        </w:rPr>
      </w:pPr>
      <w:r>
        <w:rPr>
          <w:rFonts w:ascii="宋体" w:hAnsi="宋体" w:eastAsia="宋体" w:cs="宋体"/>
          <w:color w:val="000000"/>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Bdr>
          <w:top w:val="none" w:color="000000" w:sz="0" w:space="0"/>
          <w:left w:val="none" w:color="000000" w:sz="0" w:space="0"/>
          <w:bottom w:val="none" w:color="000000" w:sz="0" w:space="0"/>
          <w:right w:val="none" w:color="000000" w:sz="0" w:space="0"/>
        </w:pBdr>
        <w:spacing w:after="0" w:line="479" w:lineRule="atLeast"/>
        <w:ind w:firstLine="480"/>
        <w:rPr>
          <w:lang w:eastAsia="zh-CN"/>
        </w:rPr>
      </w:pPr>
      <w:r>
        <w:rPr>
          <w:rFonts w:ascii="宋体" w:hAnsi="宋体" w:eastAsia="宋体" w:cs="宋体"/>
          <w:color w:val="000000"/>
          <w:sz w:val="24"/>
          <w:lang w:eastAsia="zh-CN"/>
        </w:rPr>
        <w:t>本单位对上述声明的真实性负责。如有虚假，将依法承担相应责任。</w:t>
      </w:r>
    </w:p>
    <w:p>
      <w:pPr>
        <w:pBdr>
          <w:top w:val="none" w:color="000000" w:sz="0" w:space="0"/>
          <w:left w:val="none" w:color="000000" w:sz="0" w:space="0"/>
          <w:bottom w:val="none" w:color="000000" w:sz="0" w:space="0"/>
          <w:right w:val="none" w:color="000000" w:sz="0" w:space="0"/>
        </w:pBdr>
        <w:spacing w:after="0" w:line="479" w:lineRule="atLeast"/>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79" w:lineRule="atLeast"/>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79" w:lineRule="atLeast"/>
        <w:rPr>
          <w:lang w:eastAsia="zh-CN"/>
        </w:rPr>
      </w:pPr>
      <w:r>
        <w:rPr>
          <w:rFonts w:ascii="宋体" w:hAnsi="宋体" w:eastAsia="宋体" w:cs="宋体"/>
          <w:color w:val="000000"/>
          <w:sz w:val="24"/>
          <w:lang w:eastAsia="zh-CN"/>
        </w:rPr>
        <w:t>             单位名称（盖章）：</w:t>
      </w:r>
    </w:p>
    <w:p>
      <w:pPr>
        <w:pBdr>
          <w:top w:val="none" w:color="000000" w:sz="0" w:space="0"/>
          <w:left w:val="none" w:color="000000" w:sz="0" w:space="0"/>
          <w:bottom w:val="none" w:color="000000" w:sz="0" w:space="0"/>
          <w:right w:val="none" w:color="000000" w:sz="0" w:space="0"/>
        </w:pBdr>
        <w:spacing w:after="0" w:line="479" w:lineRule="atLeast"/>
        <w:rPr>
          <w:lang w:eastAsia="zh-CN"/>
        </w:rPr>
      </w:pPr>
      <w:r>
        <w:rPr>
          <w:rFonts w:ascii="宋体" w:hAnsi="宋体" w:eastAsia="宋体" w:cs="宋体"/>
          <w:color w:val="000000"/>
          <w:sz w:val="24"/>
          <w:lang w:eastAsia="zh-CN"/>
        </w:rPr>
        <w:t>                    日 期：</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24"/>
          <w:lang w:eastAsia="zh-CN"/>
        </w:rPr>
        <w:t> </w:t>
      </w:r>
    </w:p>
    <w:p>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pPr>
        <w:numPr>
          <w:ilvl w:val="0"/>
          <w:numId w:val="3"/>
        </w:num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before="240" w:after="240"/>
        <w:ind w:left="1325" w:firstLine="1325"/>
        <w:jc w:val="both"/>
        <w:rPr>
          <w:lang w:eastAsia="zh-CN"/>
        </w:rPr>
      </w:pPr>
      <w:r>
        <w:rPr>
          <w:rFonts w:ascii="宋体" w:hAnsi="宋体" w:eastAsia="宋体" w:cs="宋体"/>
          <w:b/>
          <w:color w:val="000000"/>
          <w:sz w:val="44"/>
          <w:lang w:eastAsia="zh-CN"/>
        </w:rPr>
        <w:t>评标方法与评标标准</w:t>
      </w:r>
    </w:p>
    <w:p>
      <w:pPr>
        <w:pBdr>
          <w:top w:val="none" w:color="000000" w:sz="0" w:space="0"/>
          <w:left w:val="none" w:color="000000" w:sz="0" w:space="0"/>
          <w:bottom w:val="none" w:color="000000" w:sz="0" w:space="0"/>
          <w:right w:val="none" w:color="000000" w:sz="0" w:space="0"/>
        </w:pBdr>
        <w:spacing w:after="0" w:line="439" w:lineRule="atLeast"/>
        <w:ind w:firstLine="422"/>
        <w:rPr>
          <w:lang w:eastAsia="zh-CN"/>
        </w:rPr>
      </w:pPr>
      <w:r>
        <w:rPr>
          <w:rFonts w:ascii="宋体" w:hAnsi="宋体" w:eastAsia="宋体" w:cs="宋体"/>
          <w:b/>
          <w:color w:val="000000"/>
          <w:sz w:val="24"/>
          <w:lang w:eastAsia="zh-CN"/>
        </w:rPr>
        <w:t>评标方法</w:t>
      </w:r>
    </w:p>
    <w:p>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ascii="宋体" w:hAnsi="宋体" w:eastAsia="宋体" w:cs="宋体"/>
          <w:sz w:val="24"/>
          <w:szCs w:val="24"/>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ascii="宋体" w:hAnsi="宋体" w:eastAsia="宋体" w:cs="宋体"/>
          <w:sz w:val="24"/>
          <w:szCs w:val="24"/>
          <w:lang w:eastAsia="zh-CN"/>
        </w:rPr>
        <w:br w:type="textWrapping"/>
      </w:r>
      <w:r>
        <w:rPr>
          <w:rFonts w:hint="eastAsia" w:ascii="宋体" w:hAnsi="宋体" w:eastAsia="宋体" w:cs="宋体"/>
          <w:sz w:val="24"/>
          <w:szCs w:val="24"/>
          <w:lang w:eastAsia="zh-CN"/>
        </w:rPr>
        <w:t xml:space="preserve">    </w:t>
      </w:r>
      <w:r>
        <w:rPr>
          <w:rFonts w:hint="eastAsia" w:ascii="宋体" w:hAnsi="宋体" w:eastAsia="宋体" w:cs="宋体"/>
          <w:color w:val="000000"/>
          <w:sz w:val="24"/>
          <w:lang w:eastAsia="zh-CN"/>
        </w:rPr>
        <w:t>二</w:t>
      </w:r>
      <w:r>
        <w:rPr>
          <w:rFonts w:ascii="宋体" w:hAnsi="宋体" w:eastAsia="宋体" w:cs="宋体"/>
          <w:color w:val="000000"/>
          <w:sz w:val="24"/>
          <w:lang w:eastAsia="zh-CN"/>
        </w:rPr>
        <w:t>、</w:t>
      </w:r>
      <w:r>
        <w:rPr>
          <w:rFonts w:ascii="宋体" w:hAnsi="宋体" w:eastAsia="宋体" w:cs="宋体"/>
          <w:sz w:val="24"/>
          <w:szCs w:val="24"/>
          <w:lang w:eastAsia="zh-CN"/>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eastAsia="宋体" w:cs="宋体"/>
          <w:sz w:val="24"/>
          <w:szCs w:val="24"/>
          <w:lang w:eastAsia="zh-CN"/>
        </w:rPr>
        <w:br w:type="textWrapping"/>
      </w:r>
      <w:r>
        <w:rPr>
          <w:rFonts w:hint="eastAsia" w:ascii="宋体" w:hAnsi="宋体" w:eastAsia="宋体" w:cs="宋体"/>
          <w:sz w:val="24"/>
          <w:szCs w:val="24"/>
          <w:lang w:eastAsia="zh-CN"/>
        </w:rPr>
        <w:t xml:space="preserve">    </w:t>
      </w:r>
      <w:r>
        <w:rPr>
          <w:rFonts w:hint="eastAsia" w:ascii="宋体" w:hAnsi="宋体" w:eastAsia="宋体" w:cs="宋体"/>
          <w:color w:val="000000"/>
          <w:sz w:val="24"/>
          <w:lang w:eastAsia="zh-CN"/>
        </w:rPr>
        <w:t>三</w:t>
      </w:r>
      <w:r>
        <w:rPr>
          <w:rFonts w:ascii="宋体" w:hAnsi="宋体" w:eastAsia="宋体" w:cs="宋体"/>
          <w:color w:val="000000"/>
          <w:sz w:val="24"/>
          <w:lang w:eastAsia="zh-CN"/>
        </w:rPr>
        <w:t>、</w:t>
      </w:r>
      <w:r>
        <w:rPr>
          <w:rFonts w:ascii="宋体" w:hAnsi="宋体" w:eastAsia="宋体" w:cs="宋体"/>
          <w:sz w:val="24"/>
          <w:szCs w:val="24"/>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sz w:val="24"/>
          <w:szCs w:val="24"/>
          <w:lang w:eastAsia="zh-CN"/>
        </w:rPr>
        <w:br w:type="textWrapping"/>
      </w:r>
      <w:r>
        <w:rPr>
          <w:rFonts w:hint="eastAsia" w:ascii="宋体" w:hAnsi="宋体" w:eastAsia="宋体" w:cs="宋体"/>
          <w:sz w:val="24"/>
          <w:szCs w:val="24"/>
          <w:lang w:eastAsia="zh-CN"/>
        </w:rPr>
        <w:t xml:space="preserve">    四</w:t>
      </w:r>
      <w:r>
        <w:rPr>
          <w:rFonts w:ascii="宋体" w:hAnsi="宋体" w:eastAsia="宋体" w:cs="宋体"/>
          <w:sz w:val="24"/>
          <w:szCs w:val="24"/>
          <w:lang w:eastAsia="zh-CN"/>
        </w:rPr>
        <w:t>、如出现评审得分最高的投标人有两个或两个以上的，以投标报价较低者优先作为该标段中标候选人，如果投标报价也相同的，则由公证机构组织以抽签方式确定中标候选人。</w:t>
      </w:r>
    </w:p>
    <w:p>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sz w:val="24"/>
          <w:szCs w:val="24"/>
          <w:lang w:eastAsia="zh-CN"/>
        </w:rPr>
      </w:pPr>
      <w:r>
        <w:rPr>
          <w:rFonts w:hint="eastAsia" w:ascii="宋体" w:hAnsi="宋体" w:eastAsia="宋体" w:cs="宋体"/>
          <w:sz w:val="24"/>
          <w:szCs w:val="24"/>
          <w:lang w:eastAsia="zh-CN"/>
        </w:rPr>
        <w:t>五</w:t>
      </w:r>
      <w:r>
        <w:rPr>
          <w:rFonts w:ascii="宋体" w:hAnsi="宋体" w:eastAsia="宋体" w:cs="宋体"/>
          <w:sz w:val="24"/>
          <w:szCs w:val="24"/>
          <w:lang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sz w:val="24"/>
          <w:szCs w:val="24"/>
          <w:lang w:eastAsia="zh-CN"/>
        </w:rPr>
      </w:pPr>
      <w:r>
        <w:rPr>
          <w:rFonts w:hint="eastAsia" w:ascii="宋体" w:hAnsi="宋体" w:eastAsia="宋体" w:cs="宋体"/>
          <w:sz w:val="24"/>
          <w:szCs w:val="24"/>
          <w:lang w:eastAsia="zh-CN"/>
        </w:rPr>
        <w:t>六</w:t>
      </w:r>
      <w:r>
        <w:rPr>
          <w:rFonts w:ascii="宋体" w:hAnsi="宋体" w:eastAsia="宋体" w:cs="宋体"/>
          <w:sz w:val="24"/>
          <w:szCs w:val="24"/>
          <w:lang w:eastAsia="zh-CN"/>
        </w:rPr>
        <w:t>、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hint="eastAsia" w:ascii="宋体" w:hAnsi="宋体" w:eastAsia="宋体" w:cs="宋体"/>
          <w:color w:val="000000"/>
          <w:sz w:val="24"/>
          <w:lang w:eastAsia="zh-CN"/>
        </w:rPr>
        <w:t>七</w:t>
      </w:r>
      <w:r>
        <w:rPr>
          <w:rFonts w:ascii="宋体" w:hAnsi="宋体" w:eastAsia="宋体" w:cs="宋体"/>
          <w:color w:val="000000"/>
          <w:sz w:val="24"/>
          <w:lang w:eastAsia="zh-CN"/>
        </w:rPr>
        <w:t>、中小企业相关政策：</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专门面向中小企业采购的项目，不再执行价格评审优惠的扶持政策。</w:t>
      </w:r>
    </w:p>
    <w:p>
      <w:pPr>
        <w:pBdr>
          <w:top w:val="none" w:color="000000" w:sz="0" w:space="0"/>
          <w:left w:val="none" w:color="000000" w:sz="0" w:space="0"/>
          <w:bottom w:val="none" w:color="000000" w:sz="0" w:space="0"/>
          <w:right w:val="none" w:color="000000" w:sz="0" w:space="0"/>
        </w:pBdr>
        <w:spacing w:after="0"/>
        <w:rPr>
          <w:lang w:eastAsia="zh-CN"/>
        </w:rPr>
      </w:pPr>
      <w:r>
        <w:rPr>
          <w:rFonts w:ascii="Times New Roman" w:hAnsi="Times New Roman" w:eastAsia="Times New Roman" w:cs="Times New Roman"/>
          <w:color w:val="000000"/>
          <w:sz w:val="21"/>
          <w:lang w:eastAsia="zh-CN"/>
        </w:rPr>
        <w:t> </w:t>
      </w:r>
    </w:p>
    <w:p>
      <w:p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b/>
          <w:color w:val="000000"/>
          <w:sz w:val="24"/>
          <w:lang w:eastAsia="zh-CN"/>
        </w:rPr>
        <w:t> </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评分标准</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一、价格分20分</w:t>
      </w:r>
    </w:p>
    <w:p>
      <w:pPr>
        <w:pBdr>
          <w:top w:val="none" w:color="000000" w:sz="0" w:space="0"/>
          <w:left w:val="none" w:color="000000" w:sz="0" w:space="0"/>
          <w:bottom w:val="none" w:color="000000" w:sz="0" w:space="0"/>
          <w:right w:val="none" w:color="000000" w:sz="0" w:space="0"/>
        </w:pBdr>
        <w:spacing w:after="0" w:line="439" w:lineRule="atLeast"/>
        <w:ind w:firstLine="480"/>
        <w:jc w:val="both"/>
        <w:rPr>
          <w:lang w:eastAsia="zh-CN"/>
        </w:rPr>
      </w:pPr>
      <w:r>
        <w:rPr>
          <w:rFonts w:ascii="宋体" w:hAnsi="宋体" w:eastAsia="宋体" w:cs="宋体"/>
          <w:color w:val="000000"/>
          <w:sz w:val="24"/>
          <w:lang w:eastAsia="zh-CN"/>
        </w:rPr>
        <w:t>第一步：投标报价低于或等于财政预算价格的，为有效投标报价。超财政预算的投标报价或招标文件规定的报价为无效投标报价。无效投标报价的投标文件不进行评审，也不得标。</w:t>
      </w:r>
    </w:p>
    <w:p>
      <w:pPr>
        <w:pBdr>
          <w:top w:val="none" w:color="000000" w:sz="0" w:space="0"/>
          <w:left w:val="none" w:color="000000" w:sz="0" w:space="0"/>
          <w:bottom w:val="none" w:color="000000" w:sz="0" w:space="0"/>
          <w:right w:val="none" w:color="000000" w:sz="0" w:space="0"/>
        </w:pBdr>
        <w:spacing w:after="0" w:line="439" w:lineRule="atLeast"/>
        <w:ind w:firstLine="480"/>
        <w:rPr>
          <w:rFonts w:ascii="宋体" w:hAnsi="宋体" w:eastAsia="宋体" w:cs="宋体"/>
          <w:color w:val="000000"/>
          <w:sz w:val="24"/>
          <w:lang w:eastAsia="zh-CN"/>
        </w:rPr>
      </w:pPr>
      <w:r>
        <w:rPr>
          <w:rFonts w:ascii="宋体" w:hAnsi="宋体" w:eastAsia="宋体" w:cs="宋体"/>
          <w:color w:val="000000"/>
          <w:sz w:val="24"/>
          <w:lang w:eastAsia="zh-CN"/>
        </w:rPr>
        <w:t>第二步：在所有有效投标报价中满足招标文件要求，且投标价格最低的投标报价为评标基准价，其价格分为20分，其他投标人的价格分按照下列公式计算（计算结果四舍五入保留两位小数）。</w:t>
      </w:r>
    </w:p>
    <w:p>
      <w:pPr>
        <w:pStyle w:val="238"/>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投标报价得分＝（评标基准价/投标报价）×20％×100</w:t>
      </w:r>
    </w:p>
    <w:p>
      <w:pPr>
        <w:pStyle w:val="238"/>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二、技术和服务部分</w:t>
      </w:r>
    </w:p>
    <w:p>
      <w:pPr>
        <w:pStyle w:val="238"/>
        <w:spacing w:line="460" w:lineRule="exact"/>
        <w:ind w:firstLine="482" w:firstLineChars="200"/>
        <w:rPr>
          <w:rFonts w:cs="MS Gothic" w:asciiTheme="minorEastAsia" w:hAnsiTheme="minorEastAsia" w:eastAsiaTheme="minorEastAsia"/>
          <w:sz w:val="24"/>
          <w:szCs w:val="24"/>
          <w:lang w:eastAsia="zh-CN"/>
        </w:rPr>
      </w:pPr>
      <w:r>
        <w:rPr>
          <w:rFonts w:cs="微软雅黑" w:asciiTheme="minorEastAsia" w:hAnsiTheme="minorEastAsia" w:eastAsiaTheme="minorEastAsia"/>
          <w:b/>
          <w:sz w:val="24"/>
          <w:szCs w:val="24"/>
          <w:lang w:eastAsia="zh-CN"/>
        </w:rPr>
        <w:t>（一）总体设计方案比较（</w:t>
      </w:r>
      <w:r>
        <w:rPr>
          <w:rFonts w:hint="eastAsia" w:cs="微软雅黑" w:asciiTheme="minorEastAsia" w:hAnsiTheme="minorEastAsia" w:eastAsiaTheme="minorEastAsia"/>
          <w:b/>
          <w:sz w:val="24"/>
          <w:szCs w:val="24"/>
          <w:lang w:eastAsia="zh-CN"/>
        </w:rPr>
        <w:t>8分</w:t>
      </w:r>
      <w:r>
        <w:rPr>
          <w:rFonts w:cs="微软雅黑" w:asciiTheme="minorEastAsia" w:hAnsiTheme="minorEastAsia" w:eastAsiaTheme="minorEastAsia"/>
          <w:b/>
          <w:sz w:val="24"/>
          <w:szCs w:val="24"/>
          <w:lang w:eastAsia="zh-CN"/>
        </w:rPr>
        <w:t>）</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宋体" w:hAnsi="宋体" w:eastAsia="宋体" w:cs="宋体"/>
          <w:color w:val="000000"/>
          <w:sz w:val="24"/>
          <w:szCs w:val="24"/>
          <w:lang w:eastAsia="zh-CN" w:bidi="ar"/>
        </w:rPr>
        <w:t>根据招标文件要求和投标人提供的系统优化方案进行评分，方案内包含:①总体架构；②技术路线；③软件开发规范；④安全设计。方案内容针对本项目且符合本项目实际需求的，得8分；每缺少一项内容，或内容明显错误，或内容非专门针对本项目，或内容不能满足本项目实际需求的，每一项扣2分。未提供方案不得分</w:t>
      </w:r>
      <w:r>
        <w:rPr>
          <w:rFonts w:hint="eastAsia" w:asciiTheme="minorEastAsia" w:hAnsiTheme="minorEastAsia" w:eastAsiaTheme="minorEastAsia"/>
          <w:sz w:val="24"/>
          <w:szCs w:val="24"/>
          <w:lang w:eastAsia="zh-CN"/>
        </w:rPr>
        <w:t xml:space="preserve">。 </w:t>
      </w:r>
    </w:p>
    <w:p>
      <w:pPr>
        <w:pStyle w:val="238"/>
        <w:spacing w:line="460" w:lineRule="exact"/>
        <w:ind w:firstLine="482" w:firstLineChars="200"/>
        <w:rPr>
          <w:rFonts w:cs="微软雅黑" w:asciiTheme="minorEastAsia" w:hAnsiTheme="minorEastAsia" w:eastAsiaTheme="minorEastAsia"/>
          <w:b/>
          <w:sz w:val="24"/>
          <w:szCs w:val="24"/>
          <w:lang w:eastAsia="zh-CN"/>
        </w:rPr>
      </w:pPr>
      <w:r>
        <w:rPr>
          <w:rFonts w:cs="微软雅黑" w:asciiTheme="minorEastAsia" w:hAnsiTheme="minorEastAsia" w:eastAsiaTheme="minorEastAsia"/>
          <w:b/>
          <w:sz w:val="24"/>
          <w:szCs w:val="24"/>
          <w:lang w:eastAsia="zh-CN"/>
        </w:rPr>
        <w:t>（二）技术方案比较（</w:t>
      </w:r>
      <w:r>
        <w:rPr>
          <w:rFonts w:hint="eastAsia" w:cs="微软雅黑" w:asciiTheme="minorEastAsia" w:hAnsiTheme="minorEastAsia" w:eastAsiaTheme="minorEastAsia"/>
          <w:b/>
          <w:sz w:val="24"/>
          <w:szCs w:val="24"/>
          <w:lang w:eastAsia="zh-CN"/>
        </w:rPr>
        <w:t>12分</w:t>
      </w:r>
      <w:r>
        <w:rPr>
          <w:rFonts w:cs="微软雅黑" w:asciiTheme="minorEastAsia" w:hAnsiTheme="minorEastAsia" w:eastAsiaTheme="minorEastAsia"/>
          <w:b/>
          <w:sz w:val="24"/>
          <w:szCs w:val="24"/>
          <w:lang w:eastAsia="zh-CN"/>
        </w:rPr>
        <w:t>）</w:t>
      </w:r>
    </w:p>
    <w:p>
      <w:pPr>
        <w:pStyle w:val="238"/>
        <w:spacing w:line="460" w:lineRule="exact"/>
        <w:ind w:firstLine="480" w:firstLineChars="200"/>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1、系统优化方案比较（6分）  </w:t>
      </w:r>
    </w:p>
    <w:p>
      <w:pPr>
        <w:pStyle w:val="238"/>
        <w:spacing w:line="460" w:lineRule="exact"/>
        <w:ind w:firstLine="480" w:firstLineChars="200"/>
        <w:rPr>
          <w:rFonts w:hint="eastAsia" w:ascii="宋体" w:hAnsi="宋体" w:eastAsia="宋体" w:cs="宋体"/>
          <w:b w:val="0"/>
          <w:bCs w:val="0"/>
          <w:sz w:val="24"/>
          <w:szCs w:val="24"/>
          <w:lang w:eastAsia="zh-CN"/>
        </w:rPr>
      </w:pPr>
      <w:r>
        <w:rPr>
          <w:rFonts w:hint="eastAsia" w:ascii="宋体" w:hAnsi="宋体" w:eastAsia="宋体" w:cs="宋体"/>
          <w:b w:val="0"/>
          <w:bCs w:val="0"/>
          <w:color w:val="000000"/>
          <w:sz w:val="24"/>
          <w:szCs w:val="24"/>
          <w:lang w:eastAsia="zh-CN" w:bidi="ar"/>
        </w:rPr>
        <w:t>根据招标文件要求和投标人提供的系统优化方案进行评分，方案内包含:①安全升级；②界面优化；③功能修改。方案内容针对本项目且符合本项目实际需求的，得6分；每缺少一项内容，或内容明显错误，或内容非专门针对本项目，或内容不能满足本项目实际需求的，每一项扣2分</w:t>
      </w:r>
      <w:r>
        <w:rPr>
          <w:rFonts w:hint="eastAsia" w:ascii="宋体" w:hAnsi="宋体" w:eastAsia="宋体" w:cs="宋体"/>
          <w:b w:val="0"/>
          <w:bCs w:val="0"/>
          <w:sz w:val="24"/>
          <w:szCs w:val="24"/>
          <w:lang w:eastAsia="zh-CN"/>
        </w:rPr>
        <w:t>。</w:t>
      </w:r>
    </w:p>
    <w:p>
      <w:pPr>
        <w:pStyle w:val="238"/>
        <w:spacing w:line="46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    2、</w:t>
      </w:r>
      <w:r>
        <w:rPr>
          <w:rFonts w:hint="eastAsia" w:ascii="宋体" w:hAnsi="宋体" w:eastAsia="宋体" w:cs="宋体"/>
          <w:b w:val="0"/>
          <w:bCs w:val="0"/>
          <w:color w:val="000000"/>
          <w:sz w:val="24"/>
          <w:szCs w:val="24"/>
          <w:lang w:eastAsia="zh-CN" w:bidi="ar"/>
        </w:rPr>
        <w:t>功能新增（6分）</w:t>
      </w:r>
    </w:p>
    <w:p>
      <w:pPr>
        <w:pStyle w:val="238"/>
        <w:spacing w:line="460" w:lineRule="exact"/>
        <w:ind w:firstLine="480" w:firstLineChars="200"/>
        <w:rPr>
          <w:rFonts w:hint="eastAsia" w:ascii="宋体" w:hAnsi="宋体" w:eastAsia="宋体" w:cs="宋体"/>
          <w:b w:val="0"/>
          <w:bCs w:val="0"/>
          <w:sz w:val="24"/>
          <w:szCs w:val="24"/>
          <w:lang w:eastAsia="zh-CN"/>
        </w:rPr>
      </w:pPr>
      <w:r>
        <w:rPr>
          <w:rFonts w:hint="eastAsia" w:ascii="宋体" w:hAnsi="宋体" w:eastAsia="宋体" w:cs="宋体"/>
          <w:b w:val="0"/>
          <w:bCs w:val="0"/>
          <w:color w:val="000000"/>
          <w:sz w:val="24"/>
          <w:szCs w:val="24"/>
          <w:lang w:eastAsia="zh-CN" w:bidi="ar"/>
        </w:rPr>
        <w:t>根据招标文件要求和投标人提供的功能新增方案进行评分，方案内包含:①风险预警；②比对监管；③政策计算器。方案内容针对本项目且符合本项目实际需求的，得6分；每缺少一项内容，或内容明显错误，或内容非专门针对本项目，或内容不能满足本项目实际需求的，每一项扣2分。</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（三）项目实施方案比较（</w:t>
      </w:r>
      <w:r>
        <w:rPr>
          <w:rFonts w:hint="eastAsia" w:asciiTheme="minorEastAsia" w:hAnsiTheme="minorEastAsia" w:eastAsiaTheme="minorEastAsia"/>
          <w:b/>
          <w:sz w:val="24"/>
          <w:szCs w:val="24"/>
          <w:lang w:eastAsia="zh-CN"/>
        </w:rPr>
        <w:t>8分</w:t>
      </w:r>
      <w:r>
        <w:rPr>
          <w:rFonts w:asciiTheme="minorEastAsia" w:hAnsiTheme="minorEastAsia" w:eastAsiaTheme="minorEastAsia"/>
          <w:b/>
          <w:sz w:val="24"/>
          <w:szCs w:val="24"/>
          <w:lang w:eastAsia="zh-CN"/>
        </w:rPr>
        <w:t>）</w:t>
      </w:r>
    </w:p>
    <w:p>
      <w:pPr>
        <w:pStyle w:val="238"/>
        <w:spacing w:line="460" w:lineRule="exact"/>
        <w:ind w:firstLine="480" w:firstLineChars="200"/>
        <w:rPr>
          <w:rFonts w:asciiTheme="minorEastAsia" w:hAnsiTheme="minorEastAsia" w:eastAsiaTheme="minorEastAsia"/>
          <w:sz w:val="24"/>
          <w:szCs w:val="24"/>
          <w:lang w:eastAsia="zh-CN"/>
        </w:rPr>
      </w:pPr>
      <w:r>
        <w:rPr>
          <w:rFonts w:hint="eastAsia" w:ascii="宋体" w:hAnsi="宋体" w:eastAsia="宋体" w:cs="宋体"/>
          <w:color w:val="000000"/>
          <w:sz w:val="24"/>
          <w:szCs w:val="24"/>
          <w:lang w:eastAsia="zh-CN" w:bidi="ar"/>
        </w:rPr>
        <w:t>根据招标文件要求和投标人提供的项目实施方案进行评分，方案内包含:①项目组织与人员；②质量保障体系；③项目进度计划；④项目进度保障。方案内容针对本项目且符合本项目实际需求的，得8分；每缺少一项内容，或内容明显错误，或内容非专门针对本项目，或内容不能满足本项目实际需求的，每一项扣2分</w:t>
      </w:r>
      <w:r>
        <w:rPr>
          <w:rFonts w:hint="eastAsia" w:asciiTheme="minorEastAsia" w:hAnsiTheme="minorEastAsia" w:eastAsiaTheme="minorEastAsia"/>
          <w:sz w:val="24"/>
          <w:szCs w:val="24"/>
          <w:lang w:eastAsia="zh-CN"/>
        </w:rPr>
        <w:t>。</w:t>
      </w:r>
    </w:p>
    <w:p>
      <w:pPr>
        <w:pStyle w:val="238"/>
        <w:spacing w:line="460" w:lineRule="exact"/>
        <w:ind w:firstLine="482" w:firstLineChars="200"/>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（四）售后方案比较（</w:t>
      </w:r>
      <w:r>
        <w:rPr>
          <w:rFonts w:hint="eastAsia" w:asciiTheme="minorEastAsia" w:hAnsiTheme="minorEastAsia" w:eastAsiaTheme="minorEastAsia"/>
          <w:b/>
          <w:sz w:val="24"/>
          <w:szCs w:val="24"/>
          <w:highlight w:val="none"/>
          <w:lang w:eastAsia="zh-CN"/>
        </w:rPr>
        <w:t>10分</w:t>
      </w:r>
      <w:r>
        <w:rPr>
          <w:rFonts w:asciiTheme="minorEastAsia" w:hAnsiTheme="minorEastAsia" w:eastAsiaTheme="minorEastAsia"/>
          <w:b/>
          <w:sz w:val="24"/>
          <w:szCs w:val="24"/>
          <w:highlight w:val="none"/>
          <w:lang w:eastAsia="zh-CN"/>
        </w:rPr>
        <w:t>）</w:t>
      </w:r>
    </w:p>
    <w:p>
      <w:pPr>
        <w:pStyle w:val="238"/>
        <w:spacing w:line="460" w:lineRule="exact"/>
        <w:ind w:firstLine="480" w:firstLineChars="200"/>
        <w:rPr>
          <w:rFonts w:ascii="宋体" w:hAnsi="宋体" w:eastAsia="宋体" w:cs="宋体"/>
          <w:color w:val="000000"/>
          <w:sz w:val="24"/>
          <w:szCs w:val="24"/>
          <w:lang w:eastAsia="zh-CN" w:bidi="ar"/>
        </w:rPr>
      </w:pPr>
      <w:r>
        <w:rPr>
          <w:rFonts w:hint="eastAsia" w:ascii="宋体" w:hAnsi="宋体" w:eastAsia="宋体" w:cs="宋体"/>
          <w:color w:val="000000"/>
          <w:sz w:val="24"/>
          <w:szCs w:val="24"/>
          <w:highlight w:val="none"/>
          <w:lang w:eastAsia="zh-CN" w:bidi="ar"/>
        </w:rPr>
        <w:t>根据招标文件要求和投标人提供的售后服务方案进行评分，方案内包含:①售后组织体系；②响应及维护体系；③维护范围及</w:t>
      </w:r>
      <w:r>
        <w:rPr>
          <w:rFonts w:hint="eastAsia" w:ascii="宋体" w:hAnsi="宋体" w:eastAsia="宋体" w:cs="宋体"/>
          <w:color w:val="000000"/>
          <w:sz w:val="24"/>
          <w:szCs w:val="24"/>
          <w:lang w:eastAsia="zh-CN" w:bidi="ar"/>
        </w:rPr>
        <w:t>内容；④应急处理程序；⑤保障措施。方案内容针对本项目且符合本项目实际需求的，得10分；每缺少一项内容，或内容明显错误，或内容非专门针对本项目，或内容不能满足本项目实际需求的，每一项2分。</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（五）培训及试运行（</w:t>
      </w:r>
      <w:r>
        <w:rPr>
          <w:rFonts w:hint="eastAsia" w:asciiTheme="minorEastAsia" w:hAnsiTheme="minorEastAsia" w:eastAsiaTheme="minorEastAsia"/>
          <w:b/>
          <w:sz w:val="24"/>
          <w:szCs w:val="24"/>
          <w:lang w:val="en-US" w:eastAsia="zh-CN"/>
        </w:rPr>
        <w:t>14</w:t>
      </w:r>
      <w:r>
        <w:rPr>
          <w:rFonts w:hint="eastAsia" w:asciiTheme="minorEastAsia" w:hAnsiTheme="minorEastAsia" w:eastAsiaTheme="minorEastAsia"/>
          <w:b/>
          <w:sz w:val="24"/>
          <w:szCs w:val="24"/>
          <w:lang w:eastAsia="zh-CN"/>
        </w:rPr>
        <w:t>分</w:t>
      </w:r>
      <w:r>
        <w:rPr>
          <w:rFonts w:asciiTheme="minorEastAsia" w:hAnsiTheme="minorEastAsia" w:eastAsiaTheme="minorEastAsia"/>
          <w:b/>
          <w:sz w:val="24"/>
          <w:szCs w:val="24"/>
          <w:lang w:eastAsia="zh-CN"/>
        </w:rPr>
        <w:t>）</w:t>
      </w:r>
    </w:p>
    <w:p>
      <w:pPr>
        <w:pStyle w:val="238"/>
        <w:spacing w:line="460" w:lineRule="exact"/>
        <w:ind w:firstLine="480" w:firstLineChars="200"/>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根据招标文件要求和投标人提供的培训及试运行方案进行评分，方案内包含:①培训内容；②培训目标成果；③培训规划；④培训筹备工作；⑤培训进度安排；⑥试运行准备；⑦试运行工作安排。方案内容针对本项目且符合本项目实际需求的，得</w:t>
      </w:r>
      <w:r>
        <w:rPr>
          <w:rFonts w:hint="eastAsia" w:ascii="宋体" w:hAnsi="宋体" w:eastAsia="宋体" w:cs="宋体"/>
          <w:color w:val="000000"/>
          <w:sz w:val="24"/>
          <w:szCs w:val="24"/>
          <w:lang w:val="en-US" w:eastAsia="zh-CN" w:bidi="ar"/>
        </w:rPr>
        <w:t>14</w:t>
      </w:r>
      <w:r>
        <w:rPr>
          <w:rFonts w:hint="eastAsia" w:ascii="宋体" w:hAnsi="宋体" w:eastAsia="宋体" w:cs="宋体"/>
          <w:color w:val="000000"/>
          <w:sz w:val="24"/>
          <w:szCs w:val="24"/>
          <w:lang w:eastAsia="zh-CN" w:bidi="ar"/>
        </w:rPr>
        <w:t>分；每缺少一项内容，或内容明显错误，或内容非专门针对本项目，或内容不能满足本项目实际需求的，每一项扣</w:t>
      </w:r>
      <w:r>
        <w:rPr>
          <w:rFonts w:hint="eastAsia" w:ascii="宋体" w:hAnsi="宋体" w:eastAsia="宋体" w:cs="宋体"/>
          <w:color w:val="000000"/>
          <w:sz w:val="24"/>
          <w:szCs w:val="24"/>
          <w:lang w:val="en-US" w:eastAsia="zh-CN" w:bidi="ar"/>
        </w:rPr>
        <w:t>2</w:t>
      </w:r>
      <w:r>
        <w:rPr>
          <w:rFonts w:hint="eastAsia" w:ascii="宋体" w:hAnsi="宋体" w:eastAsia="宋体" w:cs="宋体"/>
          <w:color w:val="000000"/>
          <w:sz w:val="24"/>
          <w:szCs w:val="24"/>
          <w:lang w:eastAsia="zh-CN" w:bidi="ar"/>
        </w:rPr>
        <w:t>分。</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（六）应急方案比较（</w:t>
      </w:r>
      <w:r>
        <w:rPr>
          <w:rFonts w:hint="eastAsia" w:asciiTheme="minorEastAsia" w:hAnsiTheme="minorEastAsia" w:eastAsiaTheme="minorEastAsia"/>
          <w:b/>
          <w:sz w:val="24"/>
          <w:szCs w:val="24"/>
          <w:lang w:eastAsia="zh-CN"/>
        </w:rPr>
        <w:t>5分</w:t>
      </w:r>
      <w:r>
        <w:rPr>
          <w:rFonts w:asciiTheme="minorEastAsia" w:hAnsiTheme="minorEastAsia" w:eastAsiaTheme="minorEastAsia"/>
          <w:b/>
          <w:sz w:val="24"/>
          <w:szCs w:val="24"/>
          <w:lang w:eastAsia="zh-CN"/>
        </w:rPr>
        <w:t>）</w:t>
      </w:r>
    </w:p>
    <w:p>
      <w:pPr>
        <w:pStyle w:val="238"/>
        <w:spacing w:line="460" w:lineRule="exact"/>
        <w:ind w:firstLine="480" w:firstLineChars="200"/>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根据招标文件要求和投标人提供的应急方案进行评分，方案内包含:①应急响应分级；②职责分工；③应急响应流程；④应急预案；⑤应急响应措施；方案内容针对本项目且符合本项目实际需求的，得5分；每缺少一项内容，或内容明显错误，或内容非专门针对本项目，或内容不能满足本项目实际需求的，每一项扣1分</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（七）安全保障方案比较（</w:t>
      </w:r>
      <w:r>
        <w:rPr>
          <w:rFonts w:hint="eastAsia" w:asciiTheme="minorEastAsia" w:hAnsiTheme="minorEastAsia" w:eastAsiaTheme="minorEastAsia"/>
          <w:b/>
          <w:sz w:val="24"/>
          <w:szCs w:val="24"/>
          <w:lang w:eastAsia="zh-CN"/>
        </w:rPr>
        <w:t>6分</w:t>
      </w:r>
      <w:r>
        <w:rPr>
          <w:rFonts w:asciiTheme="minorEastAsia" w:hAnsiTheme="minorEastAsia" w:eastAsiaTheme="minorEastAsia"/>
          <w:b/>
          <w:sz w:val="24"/>
          <w:szCs w:val="24"/>
          <w:lang w:eastAsia="zh-CN"/>
        </w:rPr>
        <w:t>）</w:t>
      </w:r>
    </w:p>
    <w:p>
      <w:pPr>
        <w:pStyle w:val="238"/>
        <w:spacing w:line="460" w:lineRule="exact"/>
        <w:ind w:firstLine="480" w:firstLineChars="200"/>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根据招标文件要求和投标人提供的安全保障方案进行评分，方案内包含:①安全设计原则；②安全保障措施；③信息安全保障能力。方案内容针对本项目且符合本项目实际需求的，得6分；每缺少一项内容，或内容明显错误，或内容非专门针对本项目，或内容不能满足本项目实际需求的，每一项扣2分。</w:t>
      </w:r>
    </w:p>
    <w:p>
      <w:pPr>
        <w:pStyle w:val="238"/>
        <w:spacing w:line="460" w:lineRule="exact"/>
        <w:ind w:firstLine="482" w:firstLineChars="20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（八）风险管理（</w:t>
      </w:r>
      <w:r>
        <w:rPr>
          <w:rFonts w:hint="eastAsia" w:asciiTheme="minorEastAsia" w:hAnsiTheme="minorEastAsia" w:eastAsiaTheme="minorEastAsia"/>
          <w:b/>
          <w:sz w:val="24"/>
          <w:szCs w:val="24"/>
          <w:lang w:eastAsia="zh-CN"/>
        </w:rPr>
        <w:t>5分</w:t>
      </w:r>
      <w:r>
        <w:rPr>
          <w:rFonts w:asciiTheme="minorEastAsia" w:hAnsiTheme="minorEastAsia" w:eastAsiaTheme="minorEastAsia"/>
          <w:b/>
          <w:sz w:val="24"/>
          <w:szCs w:val="24"/>
          <w:lang w:eastAsia="zh-CN"/>
        </w:rPr>
        <w:t>）</w:t>
      </w:r>
    </w:p>
    <w:p>
      <w:pPr>
        <w:pStyle w:val="238"/>
        <w:spacing w:line="460" w:lineRule="exact"/>
        <w:ind w:firstLine="480" w:firstLineChars="200"/>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根据招标文件要求和投标人提供的风险管理方案进行评分，方案内包含:①风险管理计划；②风险识别；③风险分析；④风险应对措施；⑤风险监控。方案内容针对本项目且符合本项目实际需求的，得5分；每缺少一项内容，或内容明显错误，或内容非专门针对本项目，或内容不能满足本项目实际需求的，每一项扣1分。</w:t>
      </w:r>
    </w:p>
    <w:p>
      <w:pPr>
        <w:pStyle w:val="238"/>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三、商务部分</w:t>
      </w:r>
    </w:p>
    <w:p>
      <w:pPr>
        <w:pStyle w:val="238"/>
        <w:spacing w:line="460" w:lineRule="exact"/>
        <w:ind w:firstLine="482" w:firstLineChars="200"/>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val="en-US" w:eastAsia="zh-CN"/>
        </w:rPr>
        <w:t>一</w:t>
      </w:r>
      <w:r>
        <w:rPr>
          <w:rFonts w:asciiTheme="minorEastAsia" w:hAnsiTheme="minorEastAsia" w:eastAsiaTheme="minorEastAsia"/>
          <w:b/>
          <w:sz w:val="24"/>
          <w:szCs w:val="24"/>
          <w:highlight w:val="none"/>
          <w:lang w:eastAsia="zh-CN"/>
        </w:rPr>
        <w:t>）项目团队技术保障</w:t>
      </w:r>
      <w:r>
        <w:rPr>
          <w:rFonts w:hint="eastAsia"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val="en-US" w:eastAsia="zh-CN"/>
        </w:rPr>
        <w:t>6</w:t>
      </w:r>
      <w:r>
        <w:rPr>
          <w:rFonts w:hint="eastAsia" w:asciiTheme="minorEastAsia" w:hAnsiTheme="minorEastAsia" w:eastAsiaTheme="minorEastAsia"/>
          <w:b/>
          <w:sz w:val="24"/>
          <w:szCs w:val="24"/>
          <w:highlight w:val="none"/>
          <w:lang w:eastAsia="zh-CN"/>
        </w:rPr>
        <w:t>分）</w:t>
      </w:r>
    </w:p>
    <w:p>
      <w:pPr>
        <w:pStyle w:val="238"/>
        <w:spacing w:line="460" w:lineRule="exact"/>
        <w:ind w:firstLine="480" w:firstLineChars="200"/>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投标人需为本项目拟配备项目团队，团队需具备以下资质：</w:t>
      </w:r>
    </w:p>
    <w:p>
      <w:pPr>
        <w:pStyle w:val="238"/>
        <w:spacing w:line="460" w:lineRule="exact"/>
        <w:ind w:firstLine="480" w:firstLineChars="200"/>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1、项目负责人：需具有信息系统项目管理师证书的，本项得3分；</w:t>
      </w:r>
    </w:p>
    <w:p>
      <w:pPr>
        <w:pStyle w:val="238"/>
        <w:spacing w:line="460" w:lineRule="exact"/>
        <w:ind w:firstLine="480" w:firstLineChars="200"/>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2、其他成员：为本项目拟安排的项目成员应满足以下要求：具备系统架构设计师证书、系统分析师证书、软件设计师证书，每提供一项得1分，全部满足得3分；</w:t>
      </w:r>
    </w:p>
    <w:p>
      <w:pPr>
        <w:pStyle w:val="238"/>
        <w:spacing w:line="460" w:lineRule="exact"/>
        <w:ind w:firstLine="480" w:firstLineChars="200"/>
        <w:rPr>
          <w:rFonts w:hint="eastAsia" w:asciiTheme="minorEastAsia" w:hAnsiTheme="minorEastAsia" w:eastAsiaTheme="minorEastAsia"/>
          <w:sz w:val="24"/>
          <w:szCs w:val="24"/>
          <w:highlight w:val="none"/>
          <w:lang w:eastAsia="zh-CN"/>
        </w:rPr>
      </w:pPr>
      <w:r>
        <w:rPr>
          <w:rFonts w:hint="eastAsia" w:ascii="宋体" w:hAnsi="宋体" w:eastAsia="宋体" w:cs="宋体"/>
          <w:color w:val="000000"/>
          <w:sz w:val="24"/>
          <w:szCs w:val="24"/>
          <w:highlight w:val="none"/>
          <w:lang w:eastAsia="zh-CN" w:bidi="ar"/>
        </w:rPr>
        <w:t>注：须提供以上持证人员所在投标单位近六个月（不含开标日当月）任意一个月的社保证明的复印件或扫描件加盖公章，未满足不得分。</w:t>
      </w:r>
      <w:r>
        <w:rPr>
          <w:rFonts w:hint="eastAsia" w:asciiTheme="minorEastAsia" w:hAnsiTheme="minorEastAsia" w:eastAsiaTheme="minorEastAsia"/>
          <w:sz w:val="24"/>
          <w:szCs w:val="24"/>
          <w:highlight w:val="none"/>
          <w:lang w:eastAsia="zh-CN"/>
        </w:rPr>
        <w:t xml:space="preserve"> </w:t>
      </w:r>
    </w:p>
    <w:p>
      <w:pPr>
        <w:pStyle w:val="238"/>
        <w:spacing w:line="460" w:lineRule="exact"/>
        <w:ind w:firstLine="480" w:firstLineChars="200"/>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 </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val="en-US" w:eastAsia="zh-CN"/>
        </w:rPr>
        <w:t>二</w:t>
      </w:r>
      <w:r>
        <w:rPr>
          <w:rFonts w:asciiTheme="minorEastAsia" w:hAnsiTheme="minorEastAsia" w:eastAsiaTheme="minorEastAsia"/>
          <w:b/>
          <w:sz w:val="24"/>
          <w:szCs w:val="24"/>
          <w:lang w:eastAsia="zh-CN"/>
        </w:rPr>
        <w:t>）类似业绩（</w:t>
      </w:r>
      <w:r>
        <w:rPr>
          <w:rFonts w:hint="eastAsia" w:asciiTheme="minorEastAsia" w:hAnsiTheme="minorEastAsia" w:eastAsiaTheme="minorEastAsia"/>
          <w:b/>
          <w:sz w:val="24"/>
          <w:szCs w:val="24"/>
          <w:lang w:val="en-US" w:eastAsia="zh-CN"/>
        </w:rPr>
        <w:t>6</w:t>
      </w:r>
      <w:r>
        <w:rPr>
          <w:rFonts w:hint="eastAsia" w:asciiTheme="minorEastAsia" w:hAnsiTheme="minorEastAsia" w:eastAsiaTheme="minorEastAsia"/>
          <w:b/>
          <w:sz w:val="24"/>
          <w:szCs w:val="24"/>
          <w:lang w:eastAsia="zh-CN"/>
        </w:rPr>
        <w:t>分</w:t>
      </w:r>
      <w:r>
        <w:rPr>
          <w:rFonts w:asciiTheme="minorEastAsia" w:hAnsiTheme="minorEastAsia" w:eastAsiaTheme="minorEastAsia"/>
          <w:b/>
          <w:sz w:val="24"/>
          <w:szCs w:val="24"/>
          <w:lang w:eastAsia="zh-CN"/>
        </w:rPr>
        <w:t>）</w:t>
      </w:r>
    </w:p>
    <w:p>
      <w:pPr>
        <w:pStyle w:val="238"/>
        <w:spacing w:line="460" w:lineRule="exact"/>
        <w:ind w:firstLine="480" w:firstLineChars="200"/>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投标人</w:t>
      </w:r>
      <w:r>
        <w:rPr>
          <w:rFonts w:hint="eastAsia" w:ascii="宋体" w:hAnsi="宋体" w:eastAsia="宋体" w:cs="宋体"/>
          <w:color w:val="000000"/>
          <w:sz w:val="24"/>
          <w:szCs w:val="24"/>
          <w:lang w:val="en-US" w:eastAsia="zh-CN" w:bidi="ar"/>
        </w:rPr>
        <w:t>自2021年1月1日起</w:t>
      </w:r>
      <w:r>
        <w:rPr>
          <w:rFonts w:hint="eastAsia" w:ascii="宋体" w:hAnsi="宋体" w:eastAsia="宋体" w:cs="宋体"/>
          <w:color w:val="000000"/>
          <w:sz w:val="24"/>
          <w:szCs w:val="24"/>
          <w:lang w:eastAsia="zh-CN" w:bidi="ar"/>
        </w:rPr>
        <w:t>，与本项目类似的软件信息化项目案例，按招标文件要求提供一项不得分，每提供一项得</w:t>
      </w:r>
      <w:r>
        <w:rPr>
          <w:rFonts w:hint="eastAsia" w:ascii="宋体" w:hAnsi="宋体" w:eastAsia="宋体" w:cs="宋体"/>
          <w:color w:val="000000"/>
          <w:sz w:val="24"/>
          <w:szCs w:val="24"/>
          <w:lang w:val="en-US" w:eastAsia="zh-CN" w:bidi="ar"/>
        </w:rPr>
        <w:t>2</w:t>
      </w:r>
      <w:r>
        <w:rPr>
          <w:rFonts w:hint="eastAsia" w:ascii="宋体" w:hAnsi="宋体" w:eastAsia="宋体" w:cs="宋体"/>
          <w:color w:val="000000"/>
          <w:sz w:val="24"/>
          <w:szCs w:val="24"/>
          <w:lang w:eastAsia="zh-CN" w:bidi="ar"/>
        </w:rPr>
        <w:t>分，</w:t>
      </w:r>
      <w:r>
        <w:rPr>
          <w:rFonts w:hint="eastAsia" w:ascii="宋体" w:hAnsi="宋体" w:eastAsia="宋体" w:cs="宋体"/>
          <w:color w:val="000000"/>
          <w:sz w:val="24"/>
          <w:szCs w:val="24"/>
          <w:lang w:val="en-US" w:eastAsia="zh-CN" w:bidi="ar"/>
        </w:rPr>
        <w:t>最高不超过6</w:t>
      </w:r>
      <w:r>
        <w:rPr>
          <w:rFonts w:hint="eastAsia" w:ascii="宋体" w:hAnsi="宋体" w:eastAsia="宋体" w:cs="宋体"/>
          <w:color w:val="000000"/>
          <w:sz w:val="24"/>
          <w:szCs w:val="24"/>
          <w:lang w:eastAsia="zh-CN" w:bidi="ar"/>
        </w:rPr>
        <w:t>分。</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highlight w:val="none"/>
          <w:lang w:eastAsia="zh-CN" w:bidi="ar"/>
        </w:rPr>
        <w:t xml:space="preserve"> </w:t>
      </w:r>
      <w:r>
        <w:rPr>
          <w:rFonts w:ascii="宋体" w:hAnsi="宋体" w:eastAsia="宋体" w:cs="宋体"/>
          <w:color w:val="000000"/>
          <w:sz w:val="24"/>
          <w:szCs w:val="24"/>
          <w:highlight w:val="none"/>
          <w:lang w:eastAsia="zh-CN" w:bidi="ar"/>
        </w:rPr>
        <w:t xml:space="preserve">   </w:t>
      </w:r>
      <w:r>
        <w:rPr>
          <w:rFonts w:hint="eastAsia" w:ascii="宋体" w:hAnsi="宋体" w:eastAsia="宋体" w:cs="宋体"/>
          <w:color w:val="000000"/>
          <w:sz w:val="24"/>
          <w:szCs w:val="24"/>
          <w:highlight w:val="none"/>
          <w:lang w:eastAsia="zh-CN" w:bidi="ar"/>
        </w:rPr>
        <w:t>注：投标文件中提供合同的复印件或扫描件并加盖公章，不提供不得分。</w:t>
      </w:r>
    </w:p>
    <w:p>
      <w:pPr>
        <w:pStyle w:val="238"/>
        <w:spacing w:line="460" w:lineRule="exact"/>
        <w:rPr>
          <w:rFonts w:ascii="宋体" w:hAnsi="宋体" w:eastAsia="宋体" w:cs="宋体"/>
          <w:color w:val="000000"/>
          <w:sz w:val="24"/>
          <w:szCs w:val="24"/>
          <w:lang w:eastAsia="zh-CN" w:bidi="ar"/>
        </w:rPr>
      </w:pPr>
    </w:p>
    <w:p>
      <w:pPr>
        <w:pStyle w:val="238"/>
        <w:spacing w:line="460" w:lineRule="exact"/>
        <w:rPr>
          <w:rFonts w:asciiTheme="minorEastAsia" w:hAnsiTheme="minorEastAsia" w:eastAsiaTheme="minorEastAsia"/>
          <w:sz w:val="24"/>
          <w:szCs w:val="24"/>
          <w:lang w:eastAsia="zh-CN"/>
        </w:rPr>
      </w:pPr>
    </w:p>
    <w:p>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b/>
          <w:bCs/>
          <w:sz w:val="24"/>
          <w:szCs w:val="24"/>
          <w:lang w:eastAsia="zh-CN"/>
        </w:rPr>
      </w:pPr>
      <w:r>
        <w:rPr>
          <w:rFonts w:hint="eastAsia" w:ascii="宋体" w:hAnsi="宋体" w:eastAsia="宋体" w:cs="宋体"/>
          <w:sz w:val="24"/>
          <w:szCs w:val="24"/>
          <w:lang w:eastAsia="zh-CN"/>
        </w:rPr>
        <w:t>注：1、报价</w:t>
      </w:r>
      <w:r>
        <w:rPr>
          <w:rFonts w:hint="eastAsia" w:ascii="宋体" w:hAnsi="宋体" w:eastAsia="宋体" w:cs="宋体"/>
          <w:b/>
          <w:bCs/>
          <w:sz w:val="24"/>
          <w:szCs w:val="24"/>
          <w:lang w:eastAsia="zh-CN"/>
        </w:rPr>
        <w:t>超过最高限价</w:t>
      </w:r>
      <w:r>
        <w:rPr>
          <w:rFonts w:hint="eastAsia" w:ascii="宋体" w:hAnsi="宋体" w:eastAsia="宋体" w:cs="宋体"/>
          <w:sz w:val="24"/>
          <w:szCs w:val="24"/>
          <w:lang w:eastAsia="zh-CN"/>
        </w:rPr>
        <w:t>的为</w:t>
      </w:r>
      <w:r>
        <w:rPr>
          <w:rFonts w:hint="eastAsia" w:ascii="宋体" w:hAnsi="宋体" w:eastAsia="宋体" w:cs="宋体"/>
          <w:b/>
          <w:bCs/>
          <w:sz w:val="24"/>
          <w:szCs w:val="24"/>
          <w:lang w:eastAsia="zh-CN"/>
        </w:rPr>
        <w:t>无效投标</w:t>
      </w:r>
    </w:p>
    <w:p>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sz w:val="24"/>
          <w:szCs w:val="24"/>
          <w:lang w:eastAsia="zh-CN"/>
        </w:rPr>
      </w:pPr>
      <w:r>
        <w:rPr>
          <w:rFonts w:hint="eastAsia" w:ascii="宋体" w:hAnsi="宋体" w:eastAsia="宋体" w:cs="宋体"/>
          <w:sz w:val="24"/>
          <w:szCs w:val="24"/>
          <w:lang w:eastAsia="zh-CN"/>
        </w:rPr>
        <w:t>2、针对评分标准中评分的每一条，投标人均应提供相关电子资料并作出相应说明供评委评判，不提供相关资料的视为不具备该项得分的条件。</w:t>
      </w:r>
    </w:p>
    <w:p>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sz w:val="24"/>
          <w:szCs w:val="24"/>
          <w:lang w:eastAsia="zh-CN"/>
        </w:rPr>
      </w:pPr>
      <w:r>
        <w:rPr>
          <w:rFonts w:hint="eastAsia" w:ascii="宋体" w:hAnsi="宋体" w:eastAsia="宋体" w:cs="宋体"/>
          <w:sz w:val="24"/>
          <w:szCs w:val="24"/>
          <w:lang w:eastAsia="zh-CN"/>
        </w:rPr>
        <w:t>3、若要求提供的复印件请加盖公章扫描入投标文件中，复印件电子扫描件未放入投标文件中，影响评分情况，是投标人的责任。</w:t>
      </w:r>
    </w:p>
    <w:p>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000000"/>
          <w:sz w:val="24"/>
          <w:szCs w:val="24"/>
          <w:lang w:eastAsia="zh-CN"/>
        </w:rPr>
      </w:pPr>
      <w:r>
        <w:rPr>
          <w:rFonts w:hint="eastAsia" w:ascii="宋体" w:hAnsi="宋体" w:eastAsia="宋体" w:cs="宋体"/>
          <w:sz w:val="24"/>
          <w:szCs w:val="24"/>
          <w:lang w:eastAsia="zh-CN"/>
        </w:rPr>
        <w:t>4、所有复印件字迹须复印清晰可见,复印不</w:t>
      </w:r>
      <w:r>
        <w:rPr>
          <w:rFonts w:hint="eastAsia" w:ascii="宋体" w:hAnsi="宋体" w:eastAsia="宋体" w:cs="宋体"/>
          <w:color w:val="000000"/>
          <w:sz w:val="24"/>
          <w:szCs w:val="24"/>
          <w:lang w:eastAsia="zh-CN"/>
        </w:rPr>
        <w:t>全或字迹不清晰的，视为未提供。</w:t>
      </w:r>
    </w:p>
    <w:p>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5、防止虚假应标，采购方保留调查的权利，并由此引发的一切调查与诉讼费用由投标方承担。</w:t>
      </w:r>
    </w:p>
    <w:p>
      <w:pPr>
        <w:pBdr>
          <w:top w:val="none" w:color="000000" w:sz="0" w:space="0"/>
          <w:left w:val="none" w:color="000000" w:sz="0" w:space="0"/>
          <w:bottom w:val="none" w:color="000000" w:sz="0" w:space="0"/>
          <w:right w:val="none" w:color="000000" w:sz="0" w:space="0"/>
        </w:pBdr>
        <w:spacing w:after="0" w:line="440" w:lineRule="exact"/>
        <w:jc w:val="both"/>
        <w:rPr>
          <w:rFonts w:ascii="宋体" w:hAnsi="宋体" w:eastAsia="宋体" w:cs="宋体"/>
          <w:b/>
          <w:color w:val="000000"/>
          <w:sz w:val="24"/>
          <w:szCs w:val="24"/>
          <w:lang w:eastAsia="zh-CN"/>
        </w:rPr>
      </w:pPr>
    </w:p>
    <w:p>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460" w:lineRule="atLeast"/>
        <w:jc w:val="center"/>
        <w:rPr>
          <w:rFonts w:ascii="宋体" w:hAnsi="宋体" w:eastAsia="宋体" w:cs="宋体"/>
          <w:b/>
          <w:color w:val="000000"/>
          <w:sz w:val="44"/>
          <w:lang w:eastAsia="zh-CN"/>
        </w:rPr>
      </w:pPr>
    </w:p>
    <w:p>
      <w:pPr>
        <w:pStyle w:val="3"/>
        <w:rPr>
          <w:lang w:eastAsia="zh-CN"/>
        </w:rPr>
      </w:pPr>
    </w:p>
    <w:p>
      <w:pPr>
        <w:pBdr>
          <w:top w:val="none" w:color="000000" w:sz="0" w:space="0"/>
          <w:left w:val="none" w:color="000000" w:sz="0" w:space="0"/>
          <w:bottom w:val="none" w:color="000000" w:sz="0" w:space="0"/>
          <w:right w:val="none" w:color="000000" w:sz="0" w:space="0"/>
        </w:pBdr>
        <w:spacing w:after="0" w:line="460"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460" w:lineRule="atLeast"/>
        <w:jc w:val="center"/>
        <w:rPr>
          <w:lang w:eastAsia="zh-CN"/>
        </w:rPr>
      </w:pPr>
      <w:r>
        <w:rPr>
          <w:rFonts w:ascii="宋体" w:hAnsi="宋体" w:eastAsia="宋体" w:cs="宋体"/>
          <w:b/>
          <w:color w:val="000000"/>
          <w:sz w:val="44"/>
          <w:lang w:eastAsia="zh-CN"/>
        </w:rPr>
        <w:t>第六部分 合同格式</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w:t>
      </w:r>
    </w:p>
    <w:p>
      <w:pPr>
        <w:pBdr>
          <w:top w:val="none" w:color="000000" w:sz="0" w:space="0"/>
          <w:left w:val="none" w:color="000000" w:sz="0" w:space="0"/>
          <w:bottom w:val="none" w:color="000000" w:sz="0" w:space="0"/>
          <w:right w:val="none" w:color="000000" w:sz="0" w:space="0"/>
        </w:pBdr>
        <w:spacing w:after="0" w:line="312" w:lineRule="atLeast"/>
        <w:jc w:val="both"/>
        <w:rPr>
          <w:lang w:eastAsia="zh-CN"/>
        </w:rPr>
      </w:pPr>
      <w:r>
        <w:rPr>
          <w:rFonts w:ascii="宋体" w:hAnsi="宋体" w:eastAsia="宋体" w:cs="宋体"/>
          <w:color w:val="000000"/>
          <w:sz w:val="28"/>
          <w:lang w:eastAsia="zh-CN"/>
        </w:rPr>
        <w:t> </w:t>
      </w:r>
    </w:p>
    <w:p>
      <w:pPr>
        <w:pBdr>
          <w:top w:val="none" w:color="000000" w:sz="0" w:space="0"/>
          <w:left w:val="none" w:color="000000" w:sz="0" w:space="0"/>
          <w:bottom w:val="none" w:color="000000" w:sz="0" w:space="0"/>
          <w:right w:val="none" w:color="000000" w:sz="0" w:space="0"/>
        </w:pBdr>
        <w:spacing w:after="0" w:line="439" w:lineRule="atLeast"/>
        <w:jc w:val="center"/>
        <w:rPr>
          <w:lang w:eastAsia="zh-CN"/>
        </w:rPr>
      </w:pPr>
      <w:r>
        <w:rPr>
          <w:rFonts w:ascii="宋体" w:hAnsi="宋体" w:eastAsia="宋体" w:cs="宋体"/>
          <w:b/>
          <w:color w:val="000000"/>
          <w:sz w:val="32"/>
          <w:lang w:eastAsia="zh-CN"/>
        </w:rPr>
        <w:t>合同主要条款</w:t>
      </w:r>
    </w:p>
    <w:p>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采购人（以下称甲方）</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供应商：（以下称乙方）</w:t>
      </w:r>
    </w:p>
    <w:p>
      <w:p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地址：</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地址：</w:t>
      </w:r>
    </w:p>
    <w:p>
      <w:p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电话：</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电话：</w:t>
      </w:r>
    </w:p>
    <w:p>
      <w:pPr>
        <w:pBdr>
          <w:top w:val="none" w:color="000000" w:sz="0" w:space="0"/>
          <w:left w:val="none" w:color="000000" w:sz="0" w:space="0"/>
          <w:bottom w:val="none" w:color="000000" w:sz="0" w:space="0"/>
          <w:right w:val="none" w:color="000000" w:sz="0" w:space="0"/>
        </w:pBdr>
        <w:spacing w:after="0" w:line="460" w:lineRule="atLeast"/>
        <w:ind w:firstLine="480"/>
        <w:rPr>
          <w:lang w:eastAsia="zh-CN"/>
        </w:rPr>
      </w:pPr>
      <w:r>
        <w:rPr>
          <w:rFonts w:ascii="宋体" w:hAnsi="宋体" w:eastAsia="宋体" w:cs="宋体"/>
          <w:color w:val="000000"/>
          <w:sz w:val="24"/>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color w:val="000000"/>
          <w:sz w:val="24"/>
          <w:u w:val="single"/>
          <w:lang w:eastAsia="zh-CN"/>
        </w:rPr>
        <w:t>智慧社区管理平台（低收入家庭帮扶综合信息平台）项目</w:t>
      </w:r>
      <w:r>
        <w:rPr>
          <w:rFonts w:ascii="宋体" w:hAnsi="宋体" w:eastAsia="宋体" w:cs="宋体"/>
          <w:color w:val="000000"/>
          <w:sz w:val="24"/>
          <w:lang w:eastAsia="zh-CN"/>
        </w:rPr>
        <w:t>项目（</w:t>
      </w:r>
      <w:r>
        <w:rPr>
          <w:rFonts w:ascii="宋体" w:hAnsi="宋体" w:eastAsia="宋体" w:cs="宋体"/>
          <w:b/>
          <w:color w:val="000000"/>
          <w:sz w:val="24"/>
          <w:lang w:eastAsia="zh-CN"/>
        </w:rPr>
        <w:t>编号</w:t>
      </w:r>
      <w:r>
        <w:rPr>
          <w:rFonts w:hint="eastAsia" w:ascii="宋体" w:hAnsi="宋体" w:eastAsia="宋体" w:cs="宋体"/>
          <w:b/>
          <w:color w:val="000000"/>
          <w:sz w:val="24"/>
          <w:lang w:eastAsia="zh-CN"/>
        </w:rPr>
        <w:t>JSZC-320585-JZCG-G2024-0128</w:t>
      </w:r>
      <w:r>
        <w:rPr>
          <w:rFonts w:ascii="宋体" w:hAnsi="宋体" w:eastAsia="宋体" w:cs="宋体"/>
          <w:color w:val="000000"/>
          <w:sz w:val="24"/>
          <w:lang w:eastAsia="zh-CN"/>
        </w:rPr>
        <w:t>）的招标结果，签订本合同。</w:t>
      </w:r>
    </w:p>
    <w:p>
      <w:pPr>
        <w:pBdr>
          <w:top w:val="none" w:color="000000" w:sz="0" w:space="0"/>
          <w:left w:val="none" w:color="000000" w:sz="0" w:space="0"/>
          <w:bottom w:val="none" w:color="000000" w:sz="0" w:space="0"/>
          <w:right w:val="none" w:color="000000" w:sz="0" w:space="0"/>
        </w:pBdr>
        <w:spacing w:after="0" w:line="460" w:lineRule="atLeast"/>
        <w:ind w:firstLine="472"/>
        <w:jc w:val="both"/>
        <w:rPr>
          <w:lang w:eastAsia="zh-CN"/>
        </w:rPr>
      </w:pPr>
      <w:r>
        <w:rPr>
          <w:rFonts w:ascii="宋体" w:hAnsi="宋体" w:eastAsia="宋体" w:cs="宋体"/>
          <w:b/>
          <w:color w:val="000000"/>
          <w:sz w:val="24"/>
          <w:lang w:eastAsia="zh-CN"/>
        </w:rPr>
        <w:t>第一条 服务范围</w:t>
      </w:r>
    </w:p>
    <w:p>
      <w:pPr>
        <w:pBdr>
          <w:top w:val="none" w:color="000000" w:sz="0" w:space="0"/>
          <w:left w:val="none" w:color="000000" w:sz="0" w:space="0"/>
          <w:bottom w:val="none" w:color="000000" w:sz="0" w:space="0"/>
          <w:right w:val="none" w:color="000000" w:sz="0" w:space="0"/>
        </w:pBdr>
        <w:spacing w:after="0" w:line="460" w:lineRule="atLeast"/>
        <w:ind w:left="420"/>
        <w:jc w:val="both"/>
        <w:rPr>
          <w:lang w:eastAsia="zh-CN"/>
        </w:rPr>
      </w:pPr>
      <w:r>
        <w:rPr>
          <w:rFonts w:ascii="宋体" w:hAnsi="宋体" w:eastAsia="宋体" w:cs="宋体"/>
          <w:color w:val="000000"/>
          <w:sz w:val="24"/>
          <w:lang w:eastAsia="zh-CN"/>
        </w:rPr>
        <w:t> 甲方聘请乙方提供以下服务：</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（1）本合同项下的服务指：</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（2）服务内容：</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（3）服务标准：</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（4）交付时间、地点：甲方指定。</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 xml:space="preserve">第二条 组成本合同的有关文件 </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下列与本次采购活动有关的文件及有关附件是本合同不可分割的组成部分，与本合同具有同等法律效力，这些文件包括但不限于：</w:t>
      </w:r>
    </w:p>
    <w:p>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招标采购文件（</w:t>
      </w:r>
      <w:r>
        <w:rPr>
          <w:rFonts w:ascii="宋体" w:hAnsi="宋体" w:eastAsia="宋体" w:cs="宋体"/>
          <w:b/>
          <w:color w:val="000000"/>
          <w:sz w:val="24"/>
          <w:lang w:eastAsia="zh-CN"/>
        </w:rPr>
        <w:t>编号：</w:t>
      </w:r>
      <w:r>
        <w:rPr>
          <w:rFonts w:hint="eastAsia" w:ascii="宋体" w:hAnsi="宋体" w:eastAsia="宋体" w:cs="宋体"/>
          <w:b/>
          <w:color w:val="000000"/>
          <w:sz w:val="24"/>
          <w:lang w:eastAsia="zh-CN"/>
        </w:rPr>
        <w:t>JSZC-320585-JZCG-G2024-0128</w:t>
      </w:r>
      <w:r>
        <w:rPr>
          <w:rFonts w:ascii="宋体" w:hAnsi="宋体" w:eastAsia="宋体" w:cs="宋体"/>
          <w:color w:val="000000"/>
          <w:sz w:val="24"/>
          <w:lang w:eastAsia="zh-CN"/>
        </w:rPr>
        <w:t>）</w:t>
      </w:r>
    </w:p>
    <w:p>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乙方提供的投标文件和投标报价表；</w:t>
      </w:r>
    </w:p>
    <w:p>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乙方在投标过程中所作的其他承诺、声明、书面澄清等；</w:t>
      </w:r>
    </w:p>
    <w:p>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pPr>
      <w:r>
        <w:rPr>
          <w:rFonts w:ascii="宋体" w:hAnsi="宋体" w:eastAsia="宋体" w:cs="宋体"/>
          <w:color w:val="000000"/>
          <w:sz w:val="24"/>
        </w:rPr>
        <w:t>中标通知书；</w:t>
      </w:r>
    </w:p>
    <w:p>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甲乙双方商定的其他文件等。</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 xml:space="preserve">第三条 合同总价款 </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合同价格按此次成交价格执行，合同总金额为人民币___________（大写）人民币，小写：（￥：）元整。</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除非合同条款中另有规定，本合同执行期间合同总价款不变。</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第四条 合同款支付</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1、本合同项下所有款项均以人民币支付。</w:t>
      </w:r>
    </w:p>
    <w:p>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ascii="宋体" w:hAnsi="宋体" w:eastAsia="宋体" w:cs="宋体"/>
          <w:color w:val="000000"/>
          <w:sz w:val="24"/>
          <w:lang w:eastAsia="zh-CN"/>
        </w:rPr>
        <w:t>2、本合同项下的采购资金由甲方自行支付，乙方向甲方开具发票。</w:t>
      </w:r>
    </w:p>
    <w:p>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ascii="宋体" w:hAnsi="宋体" w:eastAsia="宋体" w:cs="宋体"/>
          <w:color w:val="000000"/>
          <w:sz w:val="24"/>
          <w:lang w:eastAsia="zh-CN"/>
        </w:rPr>
        <w:t>3、根据现行税法对乙方征收的与本合同有关的一切税费均由乙方承担。</w:t>
      </w:r>
    </w:p>
    <w:p>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ascii="宋体" w:hAnsi="宋体" w:eastAsia="宋体" w:cs="宋体"/>
          <w:color w:val="000000"/>
          <w:sz w:val="24"/>
          <w:lang w:eastAsia="zh-CN"/>
        </w:rPr>
        <w:t>4、付款步骤、方式：</w:t>
      </w:r>
    </w:p>
    <w:p>
      <w:pPr>
        <w:pStyle w:val="3"/>
        <w:rPr>
          <w:lang w:eastAsia="zh-CN"/>
        </w:rPr>
      </w:pPr>
    </w:p>
    <w:p>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color w:val="000000"/>
          <w:sz w:val="24"/>
          <w:lang w:eastAsia="zh-CN"/>
        </w:rPr>
        <w:t>第五条 服务质量、成果要求</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1、项目完成后甲方将组织专业人员进行项目的验收工作，如存在问题，乙方应进行改进，直至验收合格为止；</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2、验收标准: 按采购文件要求、乙方的投标承诺或国家相关标准。</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第六条 甲、乙双方权利义务</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1、甲方应当为保证项目服务的完成，给予乙方积极支持，为乙方提供项目实施的必要条件；</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2、甲方应当按照本合同约定按时支付合同金额。</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3、乙方提交的服务成果未经甲方书面许可，不得向任何第三方泄露。</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4、 乙方提供必要的技术培训，协助甲方完成其他需要中标单位配合的服务。</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5、乙方根据国家标准、行业标准和规范要求及标书规定的服务质量标准和有关要求，保质保量地完成服务工作。</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第七条 知识产权</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1、在合同履行过程中，由甲方向乙方提供的资料－－包括但不限于程序、文件、报告、说明、图表等均归甲方所有。</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hint="eastAsia" w:ascii="宋体" w:hAnsi="宋体" w:eastAsia="宋体" w:cs="宋体"/>
          <w:color w:val="000000"/>
          <w:sz w:val="24"/>
          <w:lang w:eastAsia="zh-CN"/>
        </w:rPr>
        <w:t>2</w:t>
      </w:r>
      <w:r>
        <w:rPr>
          <w:rFonts w:ascii="宋体" w:hAnsi="宋体" w:eastAsia="宋体" w:cs="宋体"/>
          <w:color w:val="000000"/>
          <w:sz w:val="24"/>
          <w:lang w:eastAsia="zh-CN"/>
        </w:rPr>
        <w:t>、在合同履行完毕后，乙方依据本合同及本合同附件向甲方提供的任何程序、文件、报告、说明、图表等的知识产权均归甲方所有（但属于乙方或第三方的除外），乙方不得以任何形式使用或向第三方透露。</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第八条 保密条款</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第九条 风险责任</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第十条 履约保证金（本项目不涉及）</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1、乙方应按招标文件的约定要求提供相应的履约保证金。</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2、履约保证金的有效期为合同生效之日起至合同主要义务履行完毕止。</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3、如乙方未能履行合同规定的义务，或因乙方责任应由乙方承担的赔偿未完成，甲方有权从履约保证金中取得补偿。</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4、履约保证金待合同主要义务全部履行完毕后全额退回（不计息）。</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第十一条 合同的变更和终止</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1、本合同一经签订，甲乙双方不得擅自变更、中止或终止合同。</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2、除发生法律规定的不能预见、不能避免并不能克服的客观情况外，甲乙双方不得放弃或拒绝履行合同。乙方放弃或拒绝履行合同，保证金不予退还。</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第十二条 合同的转让</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1、乙方不得擅自部分或全部转让其应履行的合同义务。    </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2、乙方在履行合同过程中，不得将服务项目委托给第三方。</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第十三条 违约责任</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1、在合同生效后，甲方无理由要求终止服务的，应向乙方偿付合同总价款的5%，作为违约金，违约金不足以补偿损失的，乙方有权要求甲方补足。</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2、甲方逾期付款的，应按照逾期付款金额的每天万分之四支付逾期付款违约金。</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4、乙方项目组成员须按招标文件承诺人员配备，未经甲方同意不得擅自更换；如更换需向甲方支付赔偿金。</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5、乙方在承担上述一项或多项违约责任后，仍应继续履行合同规定的义务（甲方解除合同的除外）。甲方未能及时追究乙方的任何一项违约责任并不表明甲方放弃追究乙方该项或其他违约责任。</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6、其他未尽事宜，以《民法典》和《政府采购法》等有关法律法规规定为准，无相关规定的，双方协商解决。</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第十四条 不可抗力</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因合同一方迟延履行后发生不可抗力的，不能免除责任。</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第十五条 索赔</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第十六条 争议的解决</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1、因服务的质量问题发生争议的，应当邀请国家认可的质量检测机构对服务项目质量进行鉴定。项目符合标准的，鉴定费由甲方承担；项目不符合质量标准的，鉴定费由乙方承担。</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2、因履行本合同引起的或与本合同有关的争议，甲、乙双方应首先通过友好协商解决，如果协商不能解决争议，则向甲方所在地有管辖权的人民法院提起诉讼；</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3、在法院审理和仲裁期间，除有争议部分外，本合同其他部分应继续履行。</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 xml:space="preserve">第十七条 诚实信用 </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乙方应诚实信用，严格按照招标文件要求和投标承诺履行合同，不向甲方进行商业贿赂或者提供不正当利益。</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第十八条 合同生效及其他</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1、本合同自经甲乙双方授权代表签订并加盖公章后，自签订之日起生效。</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2、本合同一式</w:t>
      </w:r>
      <w:r>
        <w:rPr>
          <w:rFonts w:hint="eastAsia" w:ascii="宋体" w:hAnsi="宋体" w:eastAsia="宋体" w:cs="宋体"/>
          <w:color w:val="000000"/>
          <w:sz w:val="24"/>
          <w:lang w:eastAsia="zh-CN"/>
        </w:rPr>
        <w:t>两份</w:t>
      </w:r>
      <w:r>
        <w:rPr>
          <w:rFonts w:ascii="宋体" w:hAnsi="宋体" w:eastAsia="宋体" w:cs="宋体"/>
          <w:color w:val="000000"/>
          <w:sz w:val="24"/>
          <w:lang w:eastAsia="zh-CN"/>
        </w:rPr>
        <w:t>份，甲乙双方各执一份。</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3、本合同应按照中华人民共和国的现行法律进行解释。</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甲方（采购人）：（盖章）</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乙方（供应商）：（盖章）</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代表人：              代表人：</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电话：               电话：</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开户银行：</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开户银行：</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帐号：</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帐号：</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日期： 年 月 日</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日</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 </w:t>
      </w:r>
      <w:r>
        <w:rPr>
          <w:rFonts w:ascii="Times New Roman" w:hAnsi="Times New Roman" w:eastAsia="Times New Roman" w:cs="Times New Roman"/>
          <w:color w:val="000000"/>
          <w:sz w:val="24"/>
          <w:lang w:eastAsia="zh-CN"/>
        </w:rPr>
        <w:t> </w:t>
      </w:r>
    </w:p>
    <w:p>
      <w:pPr>
        <w:pBdr>
          <w:top w:val="none" w:color="000000" w:sz="0" w:space="0"/>
          <w:left w:val="none" w:color="000000" w:sz="0" w:space="0"/>
          <w:bottom w:val="none" w:color="000000" w:sz="0" w:space="0"/>
          <w:right w:val="none" w:color="000000" w:sz="0" w:space="0"/>
        </w:pBdr>
        <w:spacing w:after="0" w:line="439" w:lineRule="atLeast"/>
        <w:jc w:val="center"/>
        <w:rPr>
          <w:lang w:eastAsia="zh-CN"/>
        </w:rPr>
      </w:pPr>
      <w:r>
        <w:rPr>
          <w:rFonts w:ascii="Times New Roman" w:hAnsi="Times New Roman" w:eastAsia="Times New Roman" w:cs="Times New Roman"/>
          <w:color w:val="000000"/>
          <w:sz w:val="24"/>
          <w:lang w:eastAsia="zh-CN"/>
        </w:rPr>
        <w:t> </w:t>
      </w:r>
    </w:p>
    <w:p>
      <w:pPr>
        <w:pBdr>
          <w:top w:val="none" w:color="000000" w:sz="0" w:space="0"/>
          <w:left w:val="none" w:color="000000" w:sz="0" w:space="0"/>
          <w:bottom w:val="none" w:color="000000" w:sz="0" w:space="0"/>
          <w:right w:val="none" w:color="000000" w:sz="0" w:space="0"/>
        </w:pBdr>
        <w:spacing w:after="0" w:line="439" w:lineRule="atLeast"/>
        <w:jc w:val="center"/>
      </w:pPr>
      <w:r>
        <w:rPr>
          <w:rFonts w:ascii="宋体" w:hAnsi="宋体" w:eastAsia="宋体" w:cs="宋体"/>
          <w:color w:val="000000"/>
          <w:sz w:val="24"/>
        </w:rPr>
        <w:t>（全文完）</w:t>
      </w:r>
    </w:p>
    <w:p>
      <w:pPr>
        <w:tabs>
          <w:tab w:val="left" w:pos="6294"/>
        </w:tabs>
        <w:rPr>
          <w:lang w:eastAsia="zh-CN"/>
        </w:rPr>
      </w:pPr>
    </w:p>
    <w:sectPr>
      <w:headerReference r:id="rId5" w:type="default"/>
      <w:footerReference r:id="rId6" w:type="default"/>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 w:name="华文仿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9"/>
      <w:tabs>
        <w:tab w:val="clear" w:pos="7143"/>
        <w:tab w:val="clear" w:pos="1428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0"/>
      <w:tabs>
        <w:tab w:val="clear" w:pos="7143"/>
        <w:tab w:val="clear" w:pos="14287"/>
      </w:tabs>
      <w:ind w:right="630"/>
      <w:jc w:val="right"/>
      <w:rPr>
        <w:rFonts w:ascii="宋体" w:hAnsi="宋体"/>
        <w:sz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B648C3"/>
    <w:multiLevelType w:val="multilevel"/>
    <w:tmpl w:val="56B648C3"/>
    <w:lvl w:ilvl="0" w:tentative="0">
      <w:start w:val="1"/>
      <w:numFmt w:val="bullet"/>
      <w:pStyle w:val="37"/>
      <w:lvlText w:val=""/>
      <w:lvlJc w:val="left"/>
      <w:pPr>
        <w:tabs>
          <w:tab w:val="left" w:pos="780"/>
        </w:tabs>
        <w:ind w:left="780" w:hanging="360"/>
      </w:pPr>
      <w:rPr>
        <w:rFonts w:hint="default" w:ascii="Wingdings" w:hAnsi="Wingdings" w:eastAsia="宋体" w:cs="Times New Roman"/>
      </w:rPr>
    </w:lvl>
    <w:lvl w:ilvl="1" w:tentative="0">
      <w:start w:val="1"/>
      <w:numFmt w:val="decimal"/>
      <w:lvlText w:val="%2)"/>
      <w:lvlJc w:val="left"/>
      <w:pPr>
        <w:tabs>
          <w:tab w:val="left" w:pos="833"/>
        </w:tabs>
        <w:ind w:left="833" w:hanging="420"/>
      </w:pPr>
      <w:rPr>
        <w:rFonts w:hint="default"/>
      </w:rPr>
    </w:lvl>
    <w:lvl w:ilvl="2" w:tentative="0">
      <w:start w:val="1"/>
      <w:numFmt w:val="decimal"/>
      <w:lvlText w:val="%3、"/>
      <w:lvlJc w:val="left"/>
      <w:pPr>
        <w:tabs>
          <w:tab w:val="left" w:pos="1389"/>
        </w:tabs>
        <w:ind w:left="1389" w:hanging="556"/>
      </w:pPr>
      <w:rPr>
        <w:rFonts w:hint="default"/>
      </w:rPr>
    </w:lvl>
    <w:lvl w:ilvl="3" w:tentative="0">
      <w:start w:val="1"/>
      <w:numFmt w:val="bullet"/>
      <w:lvlText w:val=""/>
      <w:lvlJc w:val="left"/>
      <w:pPr>
        <w:tabs>
          <w:tab w:val="left" w:pos="1673"/>
        </w:tabs>
        <w:ind w:left="1673" w:hanging="420"/>
      </w:pPr>
      <w:rPr>
        <w:rFonts w:hint="default" w:ascii="Wingdings" w:hAnsi="Wingdings"/>
      </w:rPr>
    </w:lvl>
    <w:lvl w:ilvl="4" w:tentative="0">
      <w:start w:val="1"/>
      <w:numFmt w:val="bullet"/>
      <w:lvlText w:val=""/>
      <w:lvlJc w:val="left"/>
      <w:pPr>
        <w:tabs>
          <w:tab w:val="left" w:pos="2093"/>
        </w:tabs>
        <w:ind w:left="2093" w:hanging="420"/>
      </w:pPr>
      <w:rPr>
        <w:rFonts w:hint="default" w:ascii="Wingdings" w:hAnsi="Wingdings"/>
      </w:rPr>
    </w:lvl>
    <w:lvl w:ilvl="5" w:tentative="0">
      <w:start w:val="1"/>
      <w:numFmt w:val="bullet"/>
      <w:lvlText w:val=""/>
      <w:lvlJc w:val="left"/>
      <w:pPr>
        <w:tabs>
          <w:tab w:val="left" w:pos="2513"/>
        </w:tabs>
        <w:ind w:left="2513" w:hanging="420"/>
      </w:pPr>
      <w:rPr>
        <w:rFonts w:hint="default" w:ascii="Wingdings" w:hAnsi="Wingdings"/>
      </w:rPr>
    </w:lvl>
    <w:lvl w:ilvl="6" w:tentative="0">
      <w:start w:val="1"/>
      <w:numFmt w:val="bullet"/>
      <w:lvlText w:val=""/>
      <w:lvlJc w:val="left"/>
      <w:pPr>
        <w:tabs>
          <w:tab w:val="left" w:pos="2933"/>
        </w:tabs>
        <w:ind w:left="2933" w:hanging="420"/>
      </w:pPr>
      <w:rPr>
        <w:rFonts w:hint="default" w:ascii="Wingdings" w:hAnsi="Wingdings"/>
      </w:rPr>
    </w:lvl>
    <w:lvl w:ilvl="7" w:tentative="0">
      <w:start w:val="1"/>
      <w:numFmt w:val="bullet"/>
      <w:lvlText w:val=""/>
      <w:lvlJc w:val="left"/>
      <w:pPr>
        <w:tabs>
          <w:tab w:val="left" w:pos="3353"/>
        </w:tabs>
        <w:ind w:left="3353" w:hanging="420"/>
      </w:pPr>
      <w:rPr>
        <w:rFonts w:hint="default" w:ascii="Wingdings" w:hAnsi="Wingdings"/>
      </w:rPr>
    </w:lvl>
    <w:lvl w:ilvl="8" w:tentative="0">
      <w:start w:val="1"/>
      <w:numFmt w:val="bullet"/>
      <w:lvlText w:val=""/>
      <w:lvlJc w:val="left"/>
      <w:pPr>
        <w:tabs>
          <w:tab w:val="left" w:pos="3773"/>
        </w:tabs>
        <w:ind w:left="3773" w:hanging="420"/>
      </w:pPr>
      <w:rPr>
        <w:rFonts w:hint="default" w:ascii="Wingdings" w:hAnsi="Wingdings"/>
      </w:rPr>
    </w:lvl>
  </w:abstractNum>
  <w:abstractNum w:abstractNumId="1">
    <w:nsid w:val="61F37884"/>
    <w:multiLevelType w:val="multilevel"/>
    <w:tmpl w:val="61F37884"/>
    <w:lvl w:ilvl="0" w:tentative="0">
      <w:start w:val="1"/>
      <w:numFmt w:val="decimal"/>
      <w:pStyle w:val="5"/>
      <w:lvlText w:val="%1"/>
      <w:lvlJc w:val="left"/>
      <w:pPr>
        <w:ind w:left="290" w:hanging="432"/>
      </w:pPr>
    </w:lvl>
    <w:lvl w:ilvl="1" w:tentative="0">
      <w:start w:val="1"/>
      <w:numFmt w:val="decimal"/>
      <w:pStyle w:val="6"/>
      <w:lvlText w:val="%1.%2"/>
      <w:lvlJc w:val="left"/>
      <w:pPr>
        <w:ind w:left="434" w:hanging="576"/>
      </w:pPr>
    </w:lvl>
    <w:lvl w:ilvl="2" w:tentative="0">
      <w:start w:val="1"/>
      <w:numFmt w:val="decimal"/>
      <w:pStyle w:val="7"/>
      <w:lvlText w:val="%1.%2.%3"/>
      <w:lvlJc w:val="left"/>
      <w:pPr>
        <w:ind w:left="578" w:hanging="720"/>
      </w:pPr>
    </w:lvl>
    <w:lvl w:ilvl="3" w:tentative="0">
      <w:start w:val="1"/>
      <w:numFmt w:val="decimal"/>
      <w:pStyle w:val="8"/>
      <w:lvlText w:val="%1.%2.%3.%4"/>
      <w:lvlJc w:val="left"/>
      <w:pPr>
        <w:ind w:left="722" w:hanging="864"/>
      </w:pPr>
    </w:lvl>
    <w:lvl w:ilvl="4" w:tentative="0">
      <w:start w:val="1"/>
      <w:numFmt w:val="decimal"/>
      <w:lvlText w:val="%1.%2.%3.%4.%5"/>
      <w:lvlJc w:val="left"/>
      <w:pPr>
        <w:ind w:left="866" w:hanging="1008"/>
      </w:pPr>
    </w:lvl>
    <w:lvl w:ilvl="5" w:tentative="0">
      <w:start w:val="1"/>
      <w:numFmt w:val="decimal"/>
      <w:lvlText w:val="%1.%2.%3.%4.%5.%6"/>
      <w:lvlJc w:val="left"/>
      <w:pPr>
        <w:ind w:left="1010" w:hanging="1152"/>
      </w:pPr>
      <w:rPr>
        <w:rFonts w:hint="default" w:asciiTheme="majorHAnsi" w:hAnsiTheme="majorHAnsi"/>
      </w:rPr>
    </w:lvl>
    <w:lvl w:ilvl="6" w:tentative="0">
      <w:start w:val="1"/>
      <w:numFmt w:val="decimal"/>
      <w:lvlText w:val="%1.%2.%3.%4.%5.%6.%7"/>
      <w:lvlJc w:val="left"/>
      <w:pPr>
        <w:ind w:left="1154" w:hanging="1296"/>
      </w:pPr>
    </w:lvl>
    <w:lvl w:ilvl="7" w:tentative="0">
      <w:start w:val="1"/>
      <w:numFmt w:val="decimal"/>
      <w:lvlText w:val="%1.%2.%3.%4.%5.%6.%7.%8"/>
      <w:lvlJc w:val="left"/>
      <w:pPr>
        <w:ind w:left="1298" w:hanging="1440"/>
      </w:pPr>
    </w:lvl>
    <w:lvl w:ilvl="8" w:tentative="0">
      <w:start w:val="1"/>
      <w:numFmt w:val="decimal"/>
      <w:lvlText w:val="%1.%2.%3.%4.%5.%6.%7.%8.%9"/>
      <w:lvlJc w:val="left"/>
      <w:pPr>
        <w:ind w:left="1442" w:hanging="1584"/>
      </w:pPr>
    </w:lvl>
  </w:abstractNum>
  <w:abstractNum w:abstractNumId="2">
    <w:nsid w:val="6A1C781D"/>
    <w:multiLevelType w:val="multilevel"/>
    <w:tmpl w:val="6A1C781D"/>
    <w:lvl w:ilvl="0" w:tentative="0">
      <w:start w:val="5"/>
      <w:numFmt w:val="chineseCounting"/>
      <w:suff w:val="space"/>
      <w:lvlText w:val="第%1部分"/>
      <w:lvlJc w:val="left"/>
      <w:pPr>
        <w:ind w:left="1325"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B254B85"/>
    <w:multiLevelType w:val="multilevel"/>
    <w:tmpl w:val="6B254B85"/>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BC54300"/>
    <w:multiLevelType w:val="multilevel"/>
    <w:tmpl w:val="6BC54300"/>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57A"/>
    <w:rsid w:val="003543D2"/>
    <w:rsid w:val="00513D32"/>
    <w:rsid w:val="00581912"/>
    <w:rsid w:val="006004B9"/>
    <w:rsid w:val="00930EDA"/>
    <w:rsid w:val="009D657A"/>
    <w:rsid w:val="00B04C4F"/>
    <w:rsid w:val="00BA52A3"/>
    <w:rsid w:val="00BC5DE7"/>
    <w:rsid w:val="00C71286"/>
    <w:rsid w:val="00C75C39"/>
    <w:rsid w:val="00CB31E1"/>
    <w:rsid w:val="00D243C2"/>
    <w:rsid w:val="00ED3E56"/>
    <w:rsid w:val="00EF01E3"/>
    <w:rsid w:val="00FF6D8A"/>
    <w:rsid w:val="010D7416"/>
    <w:rsid w:val="02A45FD7"/>
    <w:rsid w:val="03AA326B"/>
    <w:rsid w:val="04DF3E8F"/>
    <w:rsid w:val="06883AB8"/>
    <w:rsid w:val="073B55D1"/>
    <w:rsid w:val="07ED762D"/>
    <w:rsid w:val="08AA55B7"/>
    <w:rsid w:val="0B6A1370"/>
    <w:rsid w:val="0B81586E"/>
    <w:rsid w:val="0C2224FA"/>
    <w:rsid w:val="0D88499C"/>
    <w:rsid w:val="0DAA7157"/>
    <w:rsid w:val="0E7C4E27"/>
    <w:rsid w:val="0FDF1BD9"/>
    <w:rsid w:val="0FE2089F"/>
    <w:rsid w:val="0FEB16B7"/>
    <w:rsid w:val="10B57BAC"/>
    <w:rsid w:val="115C71B5"/>
    <w:rsid w:val="131607D5"/>
    <w:rsid w:val="14900160"/>
    <w:rsid w:val="161E6201"/>
    <w:rsid w:val="1758615C"/>
    <w:rsid w:val="181C57FA"/>
    <w:rsid w:val="188555CE"/>
    <w:rsid w:val="19137174"/>
    <w:rsid w:val="19545187"/>
    <w:rsid w:val="1B804533"/>
    <w:rsid w:val="1CD15529"/>
    <w:rsid w:val="1D7C414C"/>
    <w:rsid w:val="1DAF5269"/>
    <w:rsid w:val="1DE244FB"/>
    <w:rsid w:val="1DEE6A7A"/>
    <w:rsid w:val="1F114407"/>
    <w:rsid w:val="204716C3"/>
    <w:rsid w:val="20E673F4"/>
    <w:rsid w:val="21003426"/>
    <w:rsid w:val="22FD18C4"/>
    <w:rsid w:val="23DD174A"/>
    <w:rsid w:val="262A0FF1"/>
    <w:rsid w:val="27424DCF"/>
    <w:rsid w:val="274F6B80"/>
    <w:rsid w:val="27C745CB"/>
    <w:rsid w:val="28344D66"/>
    <w:rsid w:val="28A91A4E"/>
    <w:rsid w:val="2A32713C"/>
    <w:rsid w:val="2A5C33F1"/>
    <w:rsid w:val="2AFD0C24"/>
    <w:rsid w:val="2BAE2540"/>
    <w:rsid w:val="2CD55093"/>
    <w:rsid w:val="2D742A75"/>
    <w:rsid w:val="2E4162C1"/>
    <w:rsid w:val="2F883F68"/>
    <w:rsid w:val="2F8C314C"/>
    <w:rsid w:val="300873B1"/>
    <w:rsid w:val="308936AF"/>
    <w:rsid w:val="311B31FB"/>
    <w:rsid w:val="31834C80"/>
    <w:rsid w:val="31C66A11"/>
    <w:rsid w:val="32850C95"/>
    <w:rsid w:val="32D207CE"/>
    <w:rsid w:val="330D3138"/>
    <w:rsid w:val="33576385"/>
    <w:rsid w:val="33FC6BFA"/>
    <w:rsid w:val="35AD1119"/>
    <w:rsid w:val="36902043"/>
    <w:rsid w:val="376D05A9"/>
    <w:rsid w:val="378B14BC"/>
    <w:rsid w:val="389C2B28"/>
    <w:rsid w:val="39426358"/>
    <w:rsid w:val="3960474C"/>
    <w:rsid w:val="3ABB1F33"/>
    <w:rsid w:val="3B8842B9"/>
    <w:rsid w:val="3BCE29CF"/>
    <w:rsid w:val="3CFB60D0"/>
    <w:rsid w:val="3D2E5FBF"/>
    <w:rsid w:val="3E1936B0"/>
    <w:rsid w:val="3EDD6B20"/>
    <w:rsid w:val="3F694E29"/>
    <w:rsid w:val="40395F7F"/>
    <w:rsid w:val="40702D1A"/>
    <w:rsid w:val="41807E9B"/>
    <w:rsid w:val="43070AA4"/>
    <w:rsid w:val="43D560C7"/>
    <w:rsid w:val="44A37648"/>
    <w:rsid w:val="44EB116F"/>
    <w:rsid w:val="479B1A0D"/>
    <w:rsid w:val="4843764A"/>
    <w:rsid w:val="48FE1F23"/>
    <w:rsid w:val="4AB97A13"/>
    <w:rsid w:val="4AED56DF"/>
    <w:rsid w:val="4CC71C21"/>
    <w:rsid w:val="4EA247B9"/>
    <w:rsid w:val="4EC97F1D"/>
    <w:rsid w:val="501A5F61"/>
    <w:rsid w:val="513A4136"/>
    <w:rsid w:val="51F50EA8"/>
    <w:rsid w:val="534A5EC3"/>
    <w:rsid w:val="53B35201"/>
    <w:rsid w:val="54CE04FC"/>
    <w:rsid w:val="58B03842"/>
    <w:rsid w:val="58DB0763"/>
    <w:rsid w:val="591B1E71"/>
    <w:rsid w:val="5C955FBD"/>
    <w:rsid w:val="5D36387A"/>
    <w:rsid w:val="5E5F1461"/>
    <w:rsid w:val="5F640CED"/>
    <w:rsid w:val="5FFD4410"/>
    <w:rsid w:val="622E77E3"/>
    <w:rsid w:val="63C31290"/>
    <w:rsid w:val="64543D8D"/>
    <w:rsid w:val="645950B0"/>
    <w:rsid w:val="6493170A"/>
    <w:rsid w:val="65244D35"/>
    <w:rsid w:val="65471EEE"/>
    <w:rsid w:val="655E398D"/>
    <w:rsid w:val="672A7E18"/>
    <w:rsid w:val="67474C08"/>
    <w:rsid w:val="686031A7"/>
    <w:rsid w:val="68AF5826"/>
    <w:rsid w:val="68EE1213"/>
    <w:rsid w:val="69C239E4"/>
    <w:rsid w:val="6AC8324D"/>
    <w:rsid w:val="6B4C4B9B"/>
    <w:rsid w:val="6C1530C5"/>
    <w:rsid w:val="6C217CC1"/>
    <w:rsid w:val="6D7172FB"/>
    <w:rsid w:val="6EC45510"/>
    <w:rsid w:val="702B772B"/>
    <w:rsid w:val="714709DB"/>
    <w:rsid w:val="72BE125F"/>
    <w:rsid w:val="73996238"/>
    <w:rsid w:val="74385B1F"/>
    <w:rsid w:val="75EE78AC"/>
    <w:rsid w:val="76AB6B62"/>
    <w:rsid w:val="76FD4AED"/>
    <w:rsid w:val="772D5005"/>
    <w:rsid w:val="77752DF7"/>
    <w:rsid w:val="778379D0"/>
    <w:rsid w:val="79BF2259"/>
    <w:rsid w:val="7A190F64"/>
    <w:rsid w:val="7A4F01BB"/>
    <w:rsid w:val="7B25078E"/>
    <w:rsid w:val="7B9A3FCC"/>
    <w:rsid w:val="7BD93BCC"/>
    <w:rsid w:val="7DC02573"/>
    <w:rsid w:val="7E280B8D"/>
    <w:rsid w:val="7EA662AA"/>
    <w:rsid w:val="7ECA6377"/>
    <w:rsid w:val="7ED06AD3"/>
    <w:rsid w:val="7ED839E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99" w:semiHidden="0" w:name="table of figures"/>
    <w:lsdException w:uiPriority="99" w:name="envelope address"/>
    <w:lsdException w:qFormat="1" w:unhideWhenUsed="0" w:uiPriority="0" w:semiHidden="0" w:name="envelope return"/>
    <w:lsdException w:qFormat="1" w:unhideWhenUsed="0"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Arial" w:hAnsi="Arial" w:eastAsia="Arial" w:cs="Arial"/>
      <w:sz w:val="22"/>
      <w:szCs w:val="22"/>
      <w:lang w:val="en-US" w:eastAsia="en-US" w:bidi="ar-SA"/>
    </w:rPr>
  </w:style>
  <w:style w:type="paragraph" w:styleId="5">
    <w:name w:val="heading 1"/>
    <w:basedOn w:val="1"/>
    <w:next w:val="1"/>
    <w:link w:val="47"/>
    <w:qFormat/>
    <w:uiPriority w:val="0"/>
    <w:pPr>
      <w:keepNext/>
      <w:keepLines/>
      <w:numPr>
        <w:ilvl w:val="0"/>
        <w:numId w:val="1"/>
      </w:numPr>
      <w:spacing w:before="340" w:after="330" w:line="578" w:lineRule="auto"/>
      <w:ind w:left="0" w:firstLine="142"/>
      <w:outlineLvl w:val="0"/>
    </w:pPr>
    <w:rPr>
      <w:b/>
      <w:bCs/>
      <w:sz w:val="44"/>
      <w:szCs w:val="44"/>
    </w:rPr>
  </w:style>
  <w:style w:type="paragraph" w:styleId="6">
    <w:name w:val="heading 2"/>
    <w:basedOn w:val="1"/>
    <w:next w:val="1"/>
    <w:link w:val="48"/>
    <w:unhideWhenUsed/>
    <w:qFormat/>
    <w:uiPriority w:val="0"/>
    <w:pPr>
      <w:keepNext/>
      <w:keepLines/>
      <w:numPr>
        <w:ilvl w:val="1"/>
        <w:numId w:val="1"/>
      </w:numPr>
      <w:spacing w:before="260" w:after="260" w:line="415" w:lineRule="auto"/>
      <w:ind w:left="0" w:firstLine="0"/>
      <w:outlineLvl w:val="1"/>
    </w:pPr>
    <w:rPr>
      <w:rFonts w:asciiTheme="majorHAnsi" w:hAnsiTheme="majorHAnsi" w:eastAsiaTheme="majorEastAsia" w:cstheme="majorBidi"/>
      <w:b/>
      <w:bCs/>
      <w:sz w:val="32"/>
      <w:szCs w:val="32"/>
    </w:rPr>
  </w:style>
  <w:style w:type="paragraph" w:styleId="7">
    <w:name w:val="heading 3"/>
    <w:basedOn w:val="1"/>
    <w:next w:val="1"/>
    <w:link w:val="49"/>
    <w:unhideWhenUsed/>
    <w:qFormat/>
    <w:uiPriority w:val="9"/>
    <w:pPr>
      <w:keepNext/>
      <w:keepLines/>
      <w:numPr>
        <w:ilvl w:val="2"/>
        <w:numId w:val="1"/>
      </w:numPr>
      <w:spacing w:before="260" w:after="260" w:line="415" w:lineRule="auto"/>
      <w:outlineLvl w:val="2"/>
    </w:pPr>
    <w:rPr>
      <w:b/>
      <w:bCs/>
      <w:sz w:val="32"/>
      <w:szCs w:val="32"/>
    </w:rPr>
  </w:style>
  <w:style w:type="paragraph" w:styleId="8">
    <w:name w:val="heading 4"/>
    <w:basedOn w:val="1"/>
    <w:next w:val="1"/>
    <w:link w:val="50"/>
    <w:unhideWhenUsed/>
    <w:qFormat/>
    <w:uiPriority w:val="0"/>
    <w:pPr>
      <w:keepNext/>
      <w:keepLines/>
      <w:numPr>
        <w:ilvl w:val="3"/>
        <w:numId w:val="1"/>
      </w:numPr>
      <w:spacing w:before="280" w:after="290" w:line="377" w:lineRule="auto"/>
      <w:outlineLvl w:val="3"/>
    </w:pPr>
    <w:rPr>
      <w:rFonts w:asciiTheme="majorHAnsi" w:hAnsiTheme="majorHAnsi" w:eastAsiaTheme="majorEastAsia" w:cstheme="majorBidi"/>
      <w:b/>
      <w:bCs/>
      <w:sz w:val="28"/>
      <w:szCs w:val="28"/>
    </w:rPr>
  </w:style>
  <w:style w:type="paragraph" w:styleId="9">
    <w:name w:val="heading 5"/>
    <w:basedOn w:val="1"/>
    <w:next w:val="1"/>
    <w:link w:val="51"/>
    <w:unhideWhenUsed/>
    <w:qFormat/>
    <w:uiPriority w:val="9"/>
    <w:pPr>
      <w:keepNext/>
      <w:keepLines/>
      <w:spacing w:before="320"/>
      <w:outlineLvl w:val="4"/>
    </w:pPr>
    <w:rPr>
      <w:b/>
      <w:bCs/>
      <w:sz w:val="24"/>
      <w:szCs w:val="24"/>
    </w:rPr>
  </w:style>
  <w:style w:type="paragraph" w:styleId="10">
    <w:name w:val="heading 6"/>
    <w:basedOn w:val="1"/>
    <w:next w:val="1"/>
    <w:link w:val="52"/>
    <w:unhideWhenUsed/>
    <w:qFormat/>
    <w:uiPriority w:val="9"/>
    <w:pPr>
      <w:keepNext/>
      <w:keepLines/>
      <w:spacing w:before="320"/>
      <w:outlineLvl w:val="5"/>
    </w:pPr>
    <w:rPr>
      <w:b/>
      <w:bCs/>
    </w:rPr>
  </w:style>
  <w:style w:type="paragraph" w:styleId="11">
    <w:name w:val="heading 7"/>
    <w:basedOn w:val="1"/>
    <w:next w:val="1"/>
    <w:link w:val="53"/>
    <w:unhideWhenUsed/>
    <w:qFormat/>
    <w:uiPriority w:val="9"/>
    <w:pPr>
      <w:keepNext/>
      <w:keepLines/>
      <w:spacing w:before="320"/>
      <w:outlineLvl w:val="6"/>
    </w:pPr>
    <w:rPr>
      <w:b/>
      <w:bCs/>
      <w:i/>
      <w:iCs/>
    </w:rPr>
  </w:style>
  <w:style w:type="paragraph" w:styleId="12">
    <w:name w:val="heading 8"/>
    <w:basedOn w:val="1"/>
    <w:next w:val="1"/>
    <w:link w:val="54"/>
    <w:unhideWhenUsed/>
    <w:qFormat/>
    <w:uiPriority w:val="9"/>
    <w:pPr>
      <w:keepNext/>
      <w:keepLines/>
      <w:spacing w:before="320"/>
      <w:outlineLvl w:val="7"/>
    </w:pPr>
    <w:rPr>
      <w:i/>
      <w:iCs/>
    </w:rPr>
  </w:style>
  <w:style w:type="paragraph" w:styleId="13">
    <w:name w:val="heading 9"/>
    <w:basedOn w:val="1"/>
    <w:next w:val="1"/>
    <w:link w:val="55"/>
    <w:unhideWhenUsed/>
    <w:qFormat/>
    <w:uiPriority w:val="9"/>
    <w:pPr>
      <w:keepNext/>
      <w:keepLines/>
      <w:spacing w:before="320"/>
      <w:outlineLvl w:val="8"/>
    </w:pPr>
    <w:rPr>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Document Map"/>
    <w:basedOn w:val="1"/>
    <w:next w:val="3"/>
    <w:qFormat/>
    <w:uiPriority w:val="99"/>
    <w:pPr>
      <w:shd w:val="clear" w:color="auto" w:fill="000080"/>
    </w:pPr>
  </w:style>
  <w:style w:type="paragraph" w:styleId="3">
    <w:name w:val="Body Text"/>
    <w:basedOn w:val="1"/>
    <w:next w:val="4"/>
    <w:qFormat/>
    <w:uiPriority w:val="0"/>
    <w:rPr>
      <w:rFonts w:ascii="楷体_GB2312" w:eastAsia="楷体_GB2312"/>
      <w:sz w:val="28"/>
    </w:rPr>
  </w:style>
  <w:style w:type="paragraph" w:styleId="4">
    <w:name w:val="Normal Indent"/>
    <w:basedOn w:val="1"/>
    <w:next w:val="1"/>
    <w:qFormat/>
    <w:uiPriority w:val="0"/>
    <w:pPr>
      <w:ind w:firstLine="420"/>
    </w:pPr>
  </w:style>
  <w:style w:type="paragraph" w:styleId="14">
    <w:name w:val="toc 7"/>
    <w:basedOn w:val="1"/>
    <w:next w:val="1"/>
    <w:qFormat/>
    <w:uiPriority w:val="39"/>
    <w:pPr>
      <w:spacing w:after="57"/>
      <w:ind w:left="1701"/>
    </w:pPr>
  </w:style>
  <w:style w:type="paragraph" w:styleId="15">
    <w:name w:val="caption"/>
    <w:basedOn w:val="1"/>
    <w:next w:val="1"/>
    <w:semiHidden/>
    <w:unhideWhenUsed/>
    <w:qFormat/>
    <w:uiPriority w:val="35"/>
    <w:rPr>
      <w:b/>
      <w:bCs/>
      <w:color w:val="4F81BD" w:themeColor="accent1"/>
      <w:sz w:val="18"/>
      <w:szCs w:val="18"/>
      <w14:textFill>
        <w14:solidFill>
          <w14:schemeClr w14:val="accent1"/>
        </w14:solidFill>
      </w14:textFill>
    </w:rPr>
  </w:style>
  <w:style w:type="paragraph" w:styleId="16">
    <w:name w:val="annotation text"/>
    <w:basedOn w:val="1"/>
    <w:qFormat/>
    <w:uiPriority w:val="99"/>
    <w:rPr>
      <w:rFonts w:ascii="Calibri" w:hAnsi="Calibri"/>
    </w:rPr>
  </w:style>
  <w:style w:type="paragraph" w:styleId="17">
    <w:name w:val="Body Text Indent"/>
    <w:basedOn w:val="1"/>
    <w:next w:val="1"/>
    <w:qFormat/>
    <w:uiPriority w:val="0"/>
    <w:pPr>
      <w:spacing w:line="312" w:lineRule="atLeast"/>
      <w:ind w:firstLine="574"/>
    </w:pPr>
    <w:rPr>
      <w:rFonts w:ascii="宋体"/>
      <w:sz w:val="28"/>
    </w:rPr>
  </w:style>
  <w:style w:type="paragraph" w:styleId="18">
    <w:name w:val="toc 5"/>
    <w:basedOn w:val="1"/>
    <w:next w:val="1"/>
    <w:qFormat/>
    <w:uiPriority w:val="39"/>
    <w:pPr>
      <w:spacing w:after="57"/>
      <w:ind w:left="1134"/>
    </w:pPr>
  </w:style>
  <w:style w:type="paragraph" w:styleId="19">
    <w:name w:val="toc 3"/>
    <w:basedOn w:val="1"/>
    <w:next w:val="1"/>
    <w:qFormat/>
    <w:uiPriority w:val="39"/>
    <w:pPr>
      <w:spacing w:after="57"/>
      <w:ind w:left="567"/>
    </w:pPr>
  </w:style>
  <w:style w:type="paragraph" w:styleId="20">
    <w:name w:val="Plain Text"/>
    <w:basedOn w:val="1"/>
    <w:qFormat/>
    <w:uiPriority w:val="99"/>
    <w:rPr>
      <w:rFonts w:hint="eastAsia" w:ascii="宋体" w:hAnsi="Courier New" w:cs="Times New Roman"/>
    </w:rPr>
  </w:style>
  <w:style w:type="paragraph" w:styleId="21">
    <w:name w:val="toc 8"/>
    <w:basedOn w:val="1"/>
    <w:next w:val="1"/>
    <w:qFormat/>
    <w:uiPriority w:val="39"/>
    <w:pPr>
      <w:spacing w:after="57"/>
      <w:ind w:left="1984"/>
    </w:pPr>
  </w:style>
  <w:style w:type="paragraph" w:styleId="22">
    <w:name w:val="endnote text"/>
    <w:basedOn w:val="1"/>
    <w:link w:val="236"/>
    <w:qFormat/>
    <w:uiPriority w:val="99"/>
    <w:pPr>
      <w:spacing w:after="0" w:line="240" w:lineRule="auto"/>
    </w:pPr>
    <w:rPr>
      <w:sz w:val="20"/>
    </w:rPr>
  </w:style>
  <w:style w:type="paragraph" w:styleId="23">
    <w:name w:val="Balloon Text"/>
    <w:basedOn w:val="1"/>
    <w:link w:val="245"/>
    <w:qFormat/>
    <w:uiPriority w:val="99"/>
    <w:pPr>
      <w:spacing w:after="0" w:line="240" w:lineRule="auto"/>
    </w:pPr>
    <w:rPr>
      <w:sz w:val="18"/>
      <w:szCs w:val="18"/>
    </w:rPr>
  </w:style>
  <w:style w:type="paragraph" w:styleId="24">
    <w:name w:val="footer"/>
    <w:basedOn w:val="1"/>
    <w:link w:val="252"/>
    <w:qFormat/>
    <w:uiPriority w:val="99"/>
    <w:pPr>
      <w:tabs>
        <w:tab w:val="center" w:pos="4153"/>
        <w:tab w:val="right" w:pos="8306"/>
      </w:tabs>
      <w:spacing w:line="240" w:lineRule="auto"/>
    </w:pPr>
    <w:rPr>
      <w:sz w:val="18"/>
      <w:szCs w:val="18"/>
    </w:rPr>
  </w:style>
  <w:style w:type="paragraph" w:styleId="25">
    <w:name w:val="envelope return"/>
    <w:basedOn w:val="1"/>
    <w:qFormat/>
    <w:uiPriority w:val="0"/>
    <w:rPr>
      <w:rFonts w:eastAsia="宋体" w:cs="Times New Roman"/>
    </w:rPr>
  </w:style>
  <w:style w:type="paragraph" w:styleId="26">
    <w:name w:val="header"/>
    <w:basedOn w:val="1"/>
    <w:link w:val="251"/>
    <w:qFormat/>
    <w:uiPriority w:val="99"/>
    <w:pPr>
      <w:pBdr>
        <w:bottom w:val="single" w:color="auto" w:sz="6" w:space="1"/>
      </w:pBdr>
      <w:tabs>
        <w:tab w:val="center" w:pos="4153"/>
        <w:tab w:val="right" w:pos="8306"/>
      </w:tabs>
      <w:spacing w:line="240" w:lineRule="auto"/>
      <w:jc w:val="center"/>
    </w:pPr>
    <w:rPr>
      <w:sz w:val="18"/>
      <w:szCs w:val="18"/>
    </w:rPr>
  </w:style>
  <w:style w:type="paragraph" w:styleId="27">
    <w:name w:val="toc 1"/>
    <w:basedOn w:val="1"/>
    <w:next w:val="1"/>
    <w:qFormat/>
    <w:uiPriority w:val="39"/>
    <w:pPr>
      <w:spacing w:after="57"/>
    </w:pPr>
  </w:style>
  <w:style w:type="paragraph" w:styleId="28">
    <w:name w:val="toc 4"/>
    <w:basedOn w:val="1"/>
    <w:next w:val="1"/>
    <w:qFormat/>
    <w:uiPriority w:val="39"/>
    <w:pPr>
      <w:spacing w:after="57"/>
      <w:ind w:left="850"/>
    </w:pPr>
  </w:style>
  <w:style w:type="paragraph" w:styleId="29">
    <w:name w:val="Subtitle"/>
    <w:basedOn w:val="1"/>
    <w:next w:val="1"/>
    <w:link w:val="121"/>
    <w:qFormat/>
    <w:uiPriority w:val="11"/>
    <w:pPr>
      <w:spacing w:before="200"/>
    </w:pPr>
    <w:rPr>
      <w:sz w:val="24"/>
      <w:szCs w:val="24"/>
    </w:rPr>
  </w:style>
  <w:style w:type="paragraph" w:styleId="30">
    <w:name w:val="footnote text"/>
    <w:basedOn w:val="1"/>
    <w:link w:val="235"/>
    <w:qFormat/>
    <w:uiPriority w:val="99"/>
    <w:pPr>
      <w:spacing w:after="40" w:line="240" w:lineRule="auto"/>
    </w:pPr>
    <w:rPr>
      <w:sz w:val="18"/>
    </w:rPr>
  </w:style>
  <w:style w:type="paragraph" w:styleId="31">
    <w:name w:val="toc 6"/>
    <w:basedOn w:val="1"/>
    <w:next w:val="1"/>
    <w:qFormat/>
    <w:uiPriority w:val="39"/>
    <w:pPr>
      <w:spacing w:after="57"/>
      <w:ind w:left="1417"/>
    </w:pPr>
  </w:style>
  <w:style w:type="paragraph" w:styleId="32">
    <w:name w:val="table of figures"/>
    <w:basedOn w:val="1"/>
    <w:next w:val="1"/>
    <w:qFormat/>
    <w:uiPriority w:val="99"/>
    <w:pPr>
      <w:spacing w:after="0"/>
    </w:pPr>
  </w:style>
  <w:style w:type="paragraph" w:styleId="33">
    <w:name w:val="toc 2"/>
    <w:basedOn w:val="1"/>
    <w:next w:val="1"/>
    <w:qFormat/>
    <w:uiPriority w:val="39"/>
    <w:pPr>
      <w:spacing w:after="57"/>
      <w:ind w:left="283"/>
    </w:pPr>
  </w:style>
  <w:style w:type="paragraph" w:styleId="34">
    <w:name w:val="toc 9"/>
    <w:basedOn w:val="1"/>
    <w:next w:val="1"/>
    <w:qFormat/>
    <w:uiPriority w:val="39"/>
    <w:pPr>
      <w:spacing w:after="57"/>
      <w:ind w:left="2268"/>
    </w:pPr>
  </w:style>
  <w:style w:type="paragraph" w:styleId="35">
    <w:name w:val="Normal (Web)"/>
    <w:basedOn w:val="1"/>
    <w:qFormat/>
    <w:uiPriority w:val="99"/>
    <w:pPr>
      <w:spacing w:before="100" w:beforeAutospacing="1" w:after="100" w:afterAutospacing="1"/>
    </w:pPr>
    <w:rPr>
      <w:rFonts w:ascii="宋体" w:hAnsi="宋体" w:eastAsia="楷体_GB2312"/>
      <w:sz w:val="24"/>
    </w:rPr>
  </w:style>
  <w:style w:type="paragraph" w:styleId="36">
    <w:name w:val="Title"/>
    <w:basedOn w:val="1"/>
    <w:next w:val="1"/>
    <w:link w:val="120"/>
    <w:qFormat/>
    <w:uiPriority w:val="10"/>
    <w:pPr>
      <w:spacing w:before="300"/>
      <w:contextualSpacing/>
    </w:pPr>
    <w:rPr>
      <w:sz w:val="48"/>
      <w:szCs w:val="48"/>
    </w:rPr>
  </w:style>
  <w:style w:type="paragraph" w:styleId="37">
    <w:name w:val="Body Text First Indent"/>
    <w:basedOn w:val="3"/>
    <w:qFormat/>
    <w:uiPriority w:val="0"/>
    <w:pPr>
      <w:numPr>
        <w:ilvl w:val="0"/>
        <w:numId w:val="2"/>
      </w:numPr>
      <w:tabs>
        <w:tab w:val="clear" w:pos="780"/>
      </w:tabs>
      <w:spacing w:after="120"/>
      <w:ind w:left="0" w:firstLine="420"/>
    </w:pPr>
    <w:rPr>
      <w:rFonts w:ascii="Tahoma" w:hAnsi="Tahoma" w:eastAsia="Times New Roman"/>
      <w:sz w:val="21"/>
      <w:szCs w:val="24"/>
    </w:r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qFormat/>
    <w:uiPriority w:val="22"/>
    <w:rPr>
      <w:b/>
      <w:bCs/>
    </w:rPr>
  </w:style>
  <w:style w:type="character" w:styleId="42">
    <w:name w:val="endnote reference"/>
    <w:qFormat/>
    <w:uiPriority w:val="99"/>
    <w:rPr>
      <w:vertAlign w:val="superscript"/>
    </w:rPr>
  </w:style>
  <w:style w:type="character" w:styleId="43">
    <w:name w:val="page number"/>
    <w:qFormat/>
    <w:uiPriority w:val="99"/>
  </w:style>
  <w:style w:type="character" w:styleId="44">
    <w:name w:val="Hyperlink"/>
    <w:qFormat/>
    <w:uiPriority w:val="99"/>
    <w:rPr>
      <w:color w:val="0563C1"/>
      <w:u w:val="single"/>
    </w:rPr>
  </w:style>
  <w:style w:type="character" w:styleId="45">
    <w:name w:val="annotation reference"/>
    <w:qFormat/>
    <w:uiPriority w:val="99"/>
    <w:rPr>
      <w:sz w:val="21"/>
      <w:szCs w:val="21"/>
    </w:rPr>
  </w:style>
  <w:style w:type="character" w:styleId="46">
    <w:name w:val="footnote reference"/>
    <w:qFormat/>
    <w:uiPriority w:val="99"/>
    <w:rPr>
      <w:vertAlign w:val="superscript"/>
    </w:rPr>
  </w:style>
  <w:style w:type="character" w:customStyle="1" w:styleId="47">
    <w:name w:val="标题 1 Char"/>
    <w:basedOn w:val="40"/>
    <w:link w:val="5"/>
    <w:qFormat/>
    <w:uiPriority w:val="9"/>
    <w:rPr>
      <w:rFonts w:ascii="Arial" w:hAnsi="Arial" w:eastAsia="Arial" w:cs="Arial"/>
      <w:sz w:val="40"/>
      <w:szCs w:val="40"/>
    </w:rPr>
  </w:style>
  <w:style w:type="character" w:customStyle="1" w:styleId="48">
    <w:name w:val="标题 2 Char"/>
    <w:basedOn w:val="40"/>
    <w:link w:val="6"/>
    <w:qFormat/>
    <w:uiPriority w:val="9"/>
    <w:rPr>
      <w:rFonts w:ascii="Arial" w:hAnsi="Arial" w:eastAsia="Arial" w:cs="Arial"/>
      <w:sz w:val="34"/>
    </w:rPr>
  </w:style>
  <w:style w:type="character" w:customStyle="1" w:styleId="49">
    <w:name w:val="标题 3 Char"/>
    <w:basedOn w:val="40"/>
    <w:link w:val="7"/>
    <w:qFormat/>
    <w:uiPriority w:val="9"/>
    <w:rPr>
      <w:rFonts w:ascii="Arial" w:hAnsi="Arial" w:eastAsia="Arial" w:cs="Arial"/>
      <w:sz w:val="30"/>
      <w:szCs w:val="30"/>
    </w:rPr>
  </w:style>
  <w:style w:type="character" w:customStyle="1" w:styleId="50">
    <w:name w:val="标题 4 Char"/>
    <w:basedOn w:val="40"/>
    <w:link w:val="8"/>
    <w:qFormat/>
    <w:uiPriority w:val="9"/>
    <w:rPr>
      <w:rFonts w:ascii="Arial" w:hAnsi="Arial" w:eastAsia="Arial" w:cs="Arial"/>
      <w:b/>
      <w:bCs/>
      <w:sz w:val="26"/>
      <w:szCs w:val="26"/>
    </w:rPr>
  </w:style>
  <w:style w:type="character" w:customStyle="1" w:styleId="51">
    <w:name w:val="标题 5 Char"/>
    <w:basedOn w:val="40"/>
    <w:link w:val="9"/>
    <w:qFormat/>
    <w:uiPriority w:val="9"/>
    <w:rPr>
      <w:rFonts w:ascii="Arial" w:hAnsi="Arial" w:eastAsia="Arial" w:cs="Arial"/>
      <w:b/>
      <w:bCs/>
      <w:sz w:val="24"/>
      <w:szCs w:val="24"/>
    </w:rPr>
  </w:style>
  <w:style w:type="character" w:customStyle="1" w:styleId="52">
    <w:name w:val="标题 6 Char"/>
    <w:basedOn w:val="40"/>
    <w:link w:val="10"/>
    <w:qFormat/>
    <w:uiPriority w:val="9"/>
    <w:rPr>
      <w:rFonts w:ascii="Arial" w:hAnsi="Arial" w:eastAsia="Arial" w:cs="Arial"/>
      <w:b/>
      <w:bCs/>
      <w:sz w:val="22"/>
      <w:szCs w:val="22"/>
    </w:rPr>
  </w:style>
  <w:style w:type="character" w:customStyle="1" w:styleId="53">
    <w:name w:val="标题 7 Char"/>
    <w:basedOn w:val="40"/>
    <w:link w:val="11"/>
    <w:qFormat/>
    <w:uiPriority w:val="9"/>
    <w:rPr>
      <w:rFonts w:ascii="Arial" w:hAnsi="Arial" w:eastAsia="Arial" w:cs="Arial"/>
      <w:b/>
      <w:bCs/>
      <w:i/>
      <w:iCs/>
      <w:sz w:val="22"/>
      <w:szCs w:val="22"/>
    </w:rPr>
  </w:style>
  <w:style w:type="character" w:customStyle="1" w:styleId="54">
    <w:name w:val="标题 8 Char"/>
    <w:basedOn w:val="40"/>
    <w:link w:val="12"/>
    <w:qFormat/>
    <w:uiPriority w:val="9"/>
    <w:rPr>
      <w:rFonts w:ascii="Arial" w:hAnsi="Arial" w:eastAsia="Arial" w:cs="Arial"/>
      <w:i/>
      <w:iCs/>
      <w:sz w:val="22"/>
      <w:szCs w:val="22"/>
    </w:rPr>
  </w:style>
  <w:style w:type="character" w:customStyle="1" w:styleId="55">
    <w:name w:val="标题 9 Char"/>
    <w:basedOn w:val="40"/>
    <w:link w:val="13"/>
    <w:qFormat/>
    <w:uiPriority w:val="9"/>
    <w:rPr>
      <w:rFonts w:ascii="Arial" w:hAnsi="Arial" w:eastAsia="Arial" w:cs="Arial"/>
      <w:i/>
      <w:iCs/>
      <w:sz w:val="21"/>
      <w:szCs w:val="21"/>
    </w:rPr>
  </w:style>
  <w:style w:type="character" w:customStyle="1" w:styleId="56">
    <w:name w:val="Title Char"/>
    <w:basedOn w:val="40"/>
    <w:qFormat/>
    <w:uiPriority w:val="10"/>
    <w:rPr>
      <w:sz w:val="48"/>
      <w:szCs w:val="48"/>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40"/>
    <w:qFormat/>
    <w:uiPriority w:val="99"/>
  </w:style>
  <w:style w:type="character" w:customStyle="1" w:styleId="60">
    <w:name w:val="Footer Char"/>
    <w:basedOn w:val="40"/>
    <w:qFormat/>
    <w:uiPriority w:val="99"/>
  </w:style>
  <w:style w:type="table" w:customStyle="1" w:styleId="61">
    <w:name w:val="无格式表格 11"/>
    <w:basedOn w:val="38"/>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62">
    <w:name w:val="无格式表格 21"/>
    <w:basedOn w:val="38"/>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63">
    <w:name w:val="无格式表格 31"/>
    <w:basedOn w:val="3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64">
    <w:name w:val="无格式表格 41"/>
    <w:basedOn w:val="3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65">
    <w:name w:val="无格式表格 51"/>
    <w:basedOn w:val="3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66">
    <w:name w:val="网格表 1 浅色1"/>
    <w:basedOn w:val="38"/>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67">
    <w:name w:val="网格表 21"/>
    <w:basedOn w:val="38"/>
    <w:qFormat/>
    <w:uiPriority w:val="99"/>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8">
    <w:name w:val="网格表 31"/>
    <w:basedOn w:val="38"/>
    <w:qFormat/>
    <w:uiPriority w:val="99"/>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9">
    <w:name w:val="网格表 41"/>
    <w:basedOn w:val="38"/>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70">
    <w:name w:val="网格表 5 深色1"/>
    <w:basedOn w:val="38"/>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71">
    <w:name w:val="网格表 6 彩色1"/>
    <w:basedOn w:val="38"/>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72">
    <w:name w:val="网格表 7 彩色1"/>
    <w:basedOn w:val="38"/>
    <w:qFormat/>
    <w:uiPriority w:val="99"/>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73">
    <w:name w:val="清单表 1 浅色1"/>
    <w:basedOn w:val="38"/>
    <w:qFormat/>
    <w:uiPriority w:val="99"/>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74">
    <w:name w:val="清单表 21"/>
    <w:basedOn w:val="38"/>
    <w:qFormat/>
    <w:uiPriority w:val="99"/>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75">
    <w:name w:val="清单表 31"/>
    <w:basedOn w:val="38"/>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76">
    <w:name w:val="清单表 41"/>
    <w:basedOn w:val="38"/>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77">
    <w:name w:val="清单表 5 深色1"/>
    <w:basedOn w:val="38"/>
    <w:qFormat/>
    <w:uiPriority w:val="99"/>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78">
    <w:name w:val="清单表 6 彩色1"/>
    <w:basedOn w:val="38"/>
    <w:qFormat/>
    <w:uiPriority w:val="99"/>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79">
    <w:name w:val="清单表 7 彩色1"/>
    <w:basedOn w:val="38"/>
    <w:qFormat/>
    <w:uiPriority w:val="99"/>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paragraph" w:customStyle="1" w:styleId="80">
    <w:name w:val="TOC 标题1"/>
    <w:unhideWhenUsed/>
    <w:qFormat/>
    <w:uiPriority w:val="39"/>
    <w:rPr>
      <w:rFonts w:ascii="Times New Roman" w:hAnsi="Times New Roman" w:eastAsia="宋体" w:cs="Times New Roman"/>
      <w:lang w:val="en-US" w:eastAsia="zh-CN" w:bidi="ar-SA"/>
    </w:rPr>
  </w:style>
  <w:style w:type="character" w:customStyle="1" w:styleId="81">
    <w:name w:val="Heading 1 Char_bb6a77ba-7140-4165-8531-bd1a02f6090d"/>
    <w:basedOn w:val="40"/>
    <w:qFormat/>
    <w:uiPriority w:val="9"/>
    <w:rPr>
      <w:rFonts w:ascii="Arial" w:hAnsi="Arial" w:eastAsia="Arial" w:cs="Arial"/>
      <w:sz w:val="40"/>
      <w:szCs w:val="40"/>
    </w:rPr>
  </w:style>
  <w:style w:type="character" w:customStyle="1" w:styleId="82">
    <w:name w:val="Heading 2 Char_a111de1e-1e41-4f89-9583-374049debfd7"/>
    <w:basedOn w:val="40"/>
    <w:qFormat/>
    <w:uiPriority w:val="9"/>
    <w:rPr>
      <w:rFonts w:ascii="Arial" w:hAnsi="Arial" w:eastAsia="Arial" w:cs="Arial"/>
      <w:sz w:val="34"/>
    </w:rPr>
  </w:style>
  <w:style w:type="character" w:customStyle="1" w:styleId="83">
    <w:name w:val="Heading 3 Char_435a3243-a050-4c67-9db5-c725a91bd670"/>
    <w:basedOn w:val="40"/>
    <w:qFormat/>
    <w:uiPriority w:val="9"/>
    <w:rPr>
      <w:rFonts w:ascii="Arial" w:hAnsi="Arial" w:eastAsia="Arial" w:cs="Arial"/>
      <w:sz w:val="30"/>
      <w:szCs w:val="30"/>
    </w:rPr>
  </w:style>
  <w:style w:type="character" w:customStyle="1" w:styleId="84">
    <w:name w:val="Heading 4 Char_dbb6a1d2-e908-4e8a-9be7-ec16f22f39cc"/>
    <w:basedOn w:val="40"/>
    <w:qFormat/>
    <w:uiPriority w:val="9"/>
    <w:rPr>
      <w:rFonts w:ascii="Arial" w:hAnsi="Arial" w:eastAsia="Arial" w:cs="Arial"/>
      <w:b/>
      <w:bCs/>
      <w:sz w:val="26"/>
      <w:szCs w:val="26"/>
    </w:rPr>
  </w:style>
  <w:style w:type="character" w:customStyle="1" w:styleId="85">
    <w:name w:val="Heading 5 Char_6edbacdf-6a75-4505-b452-59b5ea3b8fe4"/>
    <w:basedOn w:val="40"/>
    <w:qFormat/>
    <w:uiPriority w:val="9"/>
    <w:rPr>
      <w:rFonts w:ascii="Arial" w:hAnsi="Arial" w:eastAsia="Arial" w:cs="Arial"/>
      <w:b/>
      <w:bCs/>
      <w:sz w:val="24"/>
      <w:szCs w:val="24"/>
    </w:rPr>
  </w:style>
  <w:style w:type="character" w:customStyle="1" w:styleId="86">
    <w:name w:val="Heading 6 Char_27a6887a-72ba-4c2d-bddc-ddf6a3d51d3b"/>
    <w:basedOn w:val="40"/>
    <w:qFormat/>
    <w:uiPriority w:val="9"/>
    <w:rPr>
      <w:rFonts w:ascii="Arial" w:hAnsi="Arial" w:eastAsia="Arial" w:cs="Arial"/>
      <w:b/>
      <w:bCs/>
      <w:sz w:val="22"/>
      <w:szCs w:val="22"/>
    </w:rPr>
  </w:style>
  <w:style w:type="character" w:customStyle="1" w:styleId="87">
    <w:name w:val="Heading 7 Char_44846031-b8fa-43d0-bfaa-912289af43d4"/>
    <w:basedOn w:val="40"/>
    <w:qFormat/>
    <w:uiPriority w:val="9"/>
    <w:rPr>
      <w:rFonts w:ascii="Arial" w:hAnsi="Arial" w:eastAsia="Arial" w:cs="Arial"/>
      <w:b/>
      <w:bCs/>
      <w:i/>
      <w:iCs/>
      <w:sz w:val="22"/>
      <w:szCs w:val="22"/>
    </w:rPr>
  </w:style>
  <w:style w:type="character" w:customStyle="1" w:styleId="88">
    <w:name w:val="Heading 8 Char_7a41dff1-3302-4004-8875-0e54e5fe899f"/>
    <w:basedOn w:val="40"/>
    <w:qFormat/>
    <w:uiPriority w:val="9"/>
    <w:rPr>
      <w:rFonts w:ascii="Arial" w:hAnsi="Arial" w:eastAsia="Arial" w:cs="Arial"/>
      <w:i/>
      <w:iCs/>
      <w:sz w:val="22"/>
      <w:szCs w:val="22"/>
    </w:rPr>
  </w:style>
  <w:style w:type="character" w:customStyle="1" w:styleId="89">
    <w:name w:val="Heading 9 Char_4064f7da-afe1-4051-958d-5875c985279b"/>
    <w:basedOn w:val="40"/>
    <w:qFormat/>
    <w:uiPriority w:val="9"/>
    <w:rPr>
      <w:rFonts w:ascii="Arial" w:hAnsi="Arial" w:eastAsia="Arial" w:cs="Arial"/>
      <w:i/>
      <w:iCs/>
      <w:sz w:val="21"/>
      <w:szCs w:val="21"/>
    </w:rPr>
  </w:style>
  <w:style w:type="character" w:customStyle="1" w:styleId="90">
    <w:name w:val="Title Char_1d665464-2284-4a09-a0e7-34f837921742"/>
    <w:basedOn w:val="40"/>
    <w:qFormat/>
    <w:uiPriority w:val="10"/>
    <w:rPr>
      <w:sz w:val="48"/>
      <w:szCs w:val="48"/>
    </w:rPr>
  </w:style>
  <w:style w:type="character" w:customStyle="1" w:styleId="91">
    <w:name w:val="Subtitle Char"/>
    <w:basedOn w:val="40"/>
    <w:qFormat/>
    <w:uiPriority w:val="11"/>
    <w:rPr>
      <w:sz w:val="24"/>
      <w:szCs w:val="24"/>
    </w:rPr>
  </w:style>
  <w:style w:type="character" w:customStyle="1" w:styleId="92">
    <w:name w:val="Quote Char_17c6aa29-0123-43d3-bc80-310647a46c35"/>
    <w:qFormat/>
    <w:uiPriority w:val="29"/>
    <w:rPr>
      <w:i/>
    </w:rPr>
  </w:style>
  <w:style w:type="character" w:customStyle="1" w:styleId="93">
    <w:name w:val="Intense Quote Char_05437a80-d532-4761-ad2b-ee12d0ddf8ec"/>
    <w:qFormat/>
    <w:uiPriority w:val="30"/>
    <w:rPr>
      <w:i/>
    </w:rPr>
  </w:style>
  <w:style w:type="character" w:customStyle="1" w:styleId="94">
    <w:name w:val="Header Char_8e3f5102-f0e4-464c-9120-b8d05e7c552c"/>
    <w:basedOn w:val="40"/>
    <w:qFormat/>
    <w:uiPriority w:val="99"/>
  </w:style>
  <w:style w:type="character" w:customStyle="1" w:styleId="95">
    <w:name w:val="Caption Char"/>
    <w:qFormat/>
    <w:uiPriority w:val="99"/>
  </w:style>
  <w:style w:type="character" w:customStyle="1" w:styleId="96">
    <w:name w:val="Footnote Text Char"/>
    <w:qFormat/>
    <w:uiPriority w:val="99"/>
    <w:rPr>
      <w:sz w:val="18"/>
    </w:rPr>
  </w:style>
  <w:style w:type="character" w:customStyle="1" w:styleId="97">
    <w:name w:val="Endnote Text Char"/>
    <w:qFormat/>
    <w:uiPriority w:val="99"/>
    <w:rPr>
      <w:sz w:val="20"/>
    </w:rPr>
  </w:style>
  <w:style w:type="paragraph" w:customStyle="1" w:styleId="98">
    <w:name w:val="TOC 标题111"/>
    <w:qFormat/>
    <w:uiPriority w:val="39"/>
    <w:rPr>
      <w:rFonts w:ascii="Times New Roman" w:hAnsi="Times New Roman" w:eastAsia="宋体" w:cs="Times New Roman"/>
      <w:lang w:val="en-US" w:eastAsia="zh-CN" w:bidi="ar-SA"/>
    </w:rPr>
  </w:style>
  <w:style w:type="paragraph" w:customStyle="1" w:styleId="99">
    <w:name w:val="标题 11"/>
    <w:basedOn w:val="1"/>
    <w:next w:val="1"/>
    <w:link w:val="111"/>
    <w:qFormat/>
    <w:uiPriority w:val="9"/>
    <w:pPr>
      <w:keepNext/>
      <w:keepLines/>
      <w:spacing w:before="480"/>
      <w:outlineLvl w:val="0"/>
    </w:pPr>
    <w:rPr>
      <w:sz w:val="40"/>
      <w:szCs w:val="40"/>
    </w:rPr>
  </w:style>
  <w:style w:type="paragraph" w:customStyle="1" w:styleId="100">
    <w:name w:val="标题 21"/>
    <w:basedOn w:val="1"/>
    <w:next w:val="1"/>
    <w:link w:val="112"/>
    <w:qFormat/>
    <w:uiPriority w:val="9"/>
    <w:pPr>
      <w:keepNext/>
      <w:keepLines/>
      <w:spacing w:before="360"/>
      <w:outlineLvl w:val="1"/>
    </w:pPr>
    <w:rPr>
      <w:sz w:val="34"/>
    </w:rPr>
  </w:style>
  <w:style w:type="paragraph" w:customStyle="1" w:styleId="101">
    <w:name w:val="标题 31"/>
    <w:basedOn w:val="1"/>
    <w:next w:val="1"/>
    <w:link w:val="113"/>
    <w:qFormat/>
    <w:uiPriority w:val="9"/>
    <w:pPr>
      <w:keepNext/>
      <w:keepLines/>
      <w:spacing w:before="320"/>
      <w:outlineLvl w:val="2"/>
    </w:pPr>
    <w:rPr>
      <w:sz w:val="30"/>
      <w:szCs w:val="30"/>
    </w:rPr>
  </w:style>
  <w:style w:type="paragraph" w:customStyle="1" w:styleId="102">
    <w:name w:val="标题 41"/>
    <w:basedOn w:val="1"/>
    <w:next w:val="1"/>
    <w:link w:val="114"/>
    <w:qFormat/>
    <w:uiPriority w:val="9"/>
    <w:pPr>
      <w:keepNext/>
      <w:keepLines/>
      <w:spacing w:before="320"/>
      <w:outlineLvl w:val="3"/>
    </w:pPr>
    <w:rPr>
      <w:b/>
      <w:bCs/>
      <w:sz w:val="26"/>
      <w:szCs w:val="26"/>
    </w:rPr>
  </w:style>
  <w:style w:type="paragraph" w:customStyle="1" w:styleId="103">
    <w:name w:val="标题 51"/>
    <w:basedOn w:val="1"/>
    <w:next w:val="1"/>
    <w:link w:val="115"/>
    <w:qFormat/>
    <w:uiPriority w:val="9"/>
    <w:pPr>
      <w:keepNext/>
      <w:keepLines/>
      <w:spacing w:before="320"/>
      <w:outlineLvl w:val="4"/>
    </w:pPr>
    <w:rPr>
      <w:b/>
      <w:bCs/>
      <w:sz w:val="24"/>
      <w:szCs w:val="24"/>
    </w:rPr>
  </w:style>
  <w:style w:type="paragraph" w:customStyle="1" w:styleId="104">
    <w:name w:val="标题 61"/>
    <w:basedOn w:val="1"/>
    <w:next w:val="1"/>
    <w:link w:val="116"/>
    <w:qFormat/>
    <w:uiPriority w:val="9"/>
    <w:pPr>
      <w:keepNext/>
      <w:keepLines/>
      <w:spacing w:before="320"/>
      <w:outlineLvl w:val="5"/>
    </w:pPr>
    <w:rPr>
      <w:b/>
      <w:bCs/>
    </w:rPr>
  </w:style>
  <w:style w:type="paragraph" w:customStyle="1" w:styleId="105">
    <w:name w:val="标题 71"/>
    <w:basedOn w:val="1"/>
    <w:next w:val="1"/>
    <w:link w:val="117"/>
    <w:qFormat/>
    <w:uiPriority w:val="9"/>
    <w:pPr>
      <w:keepNext/>
      <w:keepLines/>
      <w:spacing w:before="320"/>
      <w:outlineLvl w:val="6"/>
    </w:pPr>
    <w:rPr>
      <w:b/>
      <w:bCs/>
      <w:i/>
      <w:iCs/>
    </w:rPr>
  </w:style>
  <w:style w:type="paragraph" w:customStyle="1" w:styleId="106">
    <w:name w:val="标题 81"/>
    <w:basedOn w:val="1"/>
    <w:next w:val="1"/>
    <w:link w:val="118"/>
    <w:qFormat/>
    <w:uiPriority w:val="9"/>
    <w:pPr>
      <w:keepNext/>
      <w:keepLines/>
      <w:spacing w:before="320"/>
      <w:outlineLvl w:val="7"/>
    </w:pPr>
    <w:rPr>
      <w:i/>
      <w:iCs/>
    </w:rPr>
  </w:style>
  <w:style w:type="paragraph" w:customStyle="1" w:styleId="107">
    <w:name w:val="标题 91"/>
    <w:basedOn w:val="1"/>
    <w:next w:val="1"/>
    <w:link w:val="119"/>
    <w:qFormat/>
    <w:uiPriority w:val="9"/>
    <w:pPr>
      <w:keepNext/>
      <w:keepLines/>
      <w:spacing w:before="320"/>
      <w:outlineLvl w:val="8"/>
    </w:pPr>
    <w:rPr>
      <w:i/>
      <w:iCs/>
      <w:sz w:val="21"/>
      <w:szCs w:val="21"/>
    </w:rPr>
  </w:style>
  <w:style w:type="paragraph" w:customStyle="1" w:styleId="108">
    <w:name w:val="题注1"/>
    <w:basedOn w:val="1"/>
    <w:next w:val="1"/>
    <w:qFormat/>
    <w:uiPriority w:val="35"/>
    <w:rPr>
      <w:b/>
      <w:bCs/>
      <w:color w:val="5B9BD5"/>
      <w:sz w:val="18"/>
      <w:szCs w:val="18"/>
    </w:rPr>
  </w:style>
  <w:style w:type="paragraph" w:customStyle="1" w:styleId="109">
    <w:name w:val="页脚1"/>
    <w:basedOn w:val="1"/>
    <w:link w:val="128"/>
    <w:qFormat/>
    <w:uiPriority w:val="99"/>
    <w:pPr>
      <w:tabs>
        <w:tab w:val="center" w:pos="7143"/>
        <w:tab w:val="right" w:pos="14287"/>
      </w:tabs>
      <w:spacing w:after="0" w:line="240" w:lineRule="auto"/>
    </w:pPr>
  </w:style>
  <w:style w:type="paragraph" w:customStyle="1" w:styleId="110">
    <w:name w:val="页眉1"/>
    <w:basedOn w:val="1"/>
    <w:link w:val="126"/>
    <w:qFormat/>
    <w:uiPriority w:val="99"/>
    <w:pPr>
      <w:tabs>
        <w:tab w:val="center" w:pos="7143"/>
        <w:tab w:val="right" w:pos="14287"/>
      </w:tabs>
      <w:spacing w:after="0" w:line="240" w:lineRule="auto"/>
    </w:pPr>
  </w:style>
  <w:style w:type="character" w:customStyle="1" w:styleId="111">
    <w:name w:val="标题 1 字符"/>
    <w:link w:val="99"/>
    <w:qFormat/>
    <w:uiPriority w:val="9"/>
    <w:rPr>
      <w:rFonts w:ascii="Arial" w:hAnsi="Arial" w:eastAsia="Arial" w:cs="Arial"/>
      <w:sz w:val="40"/>
      <w:szCs w:val="40"/>
    </w:rPr>
  </w:style>
  <w:style w:type="character" w:customStyle="1" w:styleId="112">
    <w:name w:val="标题 2 字符"/>
    <w:link w:val="100"/>
    <w:qFormat/>
    <w:uiPriority w:val="9"/>
    <w:rPr>
      <w:rFonts w:ascii="Arial" w:hAnsi="Arial" w:eastAsia="Arial" w:cs="Arial"/>
      <w:sz w:val="34"/>
    </w:rPr>
  </w:style>
  <w:style w:type="character" w:customStyle="1" w:styleId="113">
    <w:name w:val="标题 3 字符"/>
    <w:link w:val="101"/>
    <w:qFormat/>
    <w:uiPriority w:val="9"/>
    <w:rPr>
      <w:rFonts w:ascii="Arial" w:hAnsi="Arial" w:eastAsia="Arial" w:cs="Arial"/>
      <w:sz w:val="30"/>
      <w:szCs w:val="30"/>
    </w:rPr>
  </w:style>
  <w:style w:type="character" w:customStyle="1" w:styleId="114">
    <w:name w:val="标题 4 字符"/>
    <w:link w:val="102"/>
    <w:qFormat/>
    <w:uiPriority w:val="9"/>
    <w:rPr>
      <w:rFonts w:ascii="Arial" w:hAnsi="Arial" w:eastAsia="Arial" w:cs="Arial"/>
      <w:b/>
      <w:bCs/>
      <w:sz w:val="26"/>
      <w:szCs w:val="26"/>
    </w:rPr>
  </w:style>
  <w:style w:type="character" w:customStyle="1" w:styleId="115">
    <w:name w:val="标题 5 字符"/>
    <w:link w:val="103"/>
    <w:qFormat/>
    <w:uiPriority w:val="9"/>
    <w:rPr>
      <w:rFonts w:ascii="Arial" w:hAnsi="Arial" w:eastAsia="Arial" w:cs="Arial"/>
      <w:b/>
      <w:bCs/>
      <w:sz w:val="24"/>
      <w:szCs w:val="24"/>
    </w:rPr>
  </w:style>
  <w:style w:type="character" w:customStyle="1" w:styleId="116">
    <w:name w:val="标题 6 字符"/>
    <w:link w:val="104"/>
    <w:qFormat/>
    <w:uiPriority w:val="9"/>
    <w:rPr>
      <w:rFonts w:ascii="Arial" w:hAnsi="Arial" w:eastAsia="Arial" w:cs="Arial"/>
      <w:b/>
      <w:bCs/>
      <w:sz w:val="22"/>
      <w:szCs w:val="22"/>
    </w:rPr>
  </w:style>
  <w:style w:type="character" w:customStyle="1" w:styleId="117">
    <w:name w:val="标题 7 字符"/>
    <w:link w:val="105"/>
    <w:qFormat/>
    <w:uiPriority w:val="9"/>
    <w:rPr>
      <w:rFonts w:ascii="Arial" w:hAnsi="Arial" w:eastAsia="Arial" w:cs="Arial"/>
      <w:b/>
      <w:bCs/>
      <w:i/>
      <w:iCs/>
      <w:sz w:val="22"/>
      <w:szCs w:val="22"/>
    </w:rPr>
  </w:style>
  <w:style w:type="character" w:customStyle="1" w:styleId="118">
    <w:name w:val="标题 8 字符"/>
    <w:link w:val="106"/>
    <w:qFormat/>
    <w:uiPriority w:val="9"/>
    <w:rPr>
      <w:rFonts w:ascii="Arial" w:hAnsi="Arial" w:eastAsia="Arial" w:cs="Arial"/>
      <w:i/>
      <w:iCs/>
      <w:sz w:val="22"/>
      <w:szCs w:val="22"/>
    </w:rPr>
  </w:style>
  <w:style w:type="character" w:customStyle="1" w:styleId="119">
    <w:name w:val="标题 9 字符"/>
    <w:link w:val="107"/>
    <w:qFormat/>
    <w:uiPriority w:val="9"/>
    <w:rPr>
      <w:rFonts w:ascii="Arial" w:hAnsi="Arial" w:eastAsia="Arial" w:cs="Arial"/>
      <w:i/>
      <w:iCs/>
      <w:sz w:val="21"/>
      <w:szCs w:val="21"/>
    </w:rPr>
  </w:style>
  <w:style w:type="character" w:customStyle="1" w:styleId="120">
    <w:name w:val="标题 Char"/>
    <w:link w:val="36"/>
    <w:qFormat/>
    <w:uiPriority w:val="10"/>
    <w:rPr>
      <w:sz w:val="48"/>
      <w:szCs w:val="48"/>
    </w:rPr>
  </w:style>
  <w:style w:type="character" w:customStyle="1" w:styleId="121">
    <w:name w:val="副标题 Char"/>
    <w:link w:val="29"/>
    <w:qFormat/>
    <w:uiPriority w:val="11"/>
    <w:rPr>
      <w:sz w:val="24"/>
      <w:szCs w:val="24"/>
    </w:rPr>
  </w:style>
  <w:style w:type="paragraph" w:styleId="122">
    <w:name w:val="Quote"/>
    <w:basedOn w:val="1"/>
    <w:next w:val="1"/>
    <w:link w:val="123"/>
    <w:qFormat/>
    <w:uiPriority w:val="29"/>
    <w:pPr>
      <w:ind w:left="720" w:right="720"/>
    </w:pPr>
    <w:rPr>
      <w:i/>
    </w:rPr>
  </w:style>
  <w:style w:type="character" w:customStyle="1" w:styleId="123">
    <w:name w:val="引用 Char"/>
    <w:link w:val="122"/>
    <w:qFormat/>
    <w:uiPriority w:val="29"/>
    <w:rPr>
      <w:i/>
    </w:rPr>
  </w:style>
  <w:style w:type="paragraph" w:styleId="124">
    <w:name w:val="Intense Quote"/>
    <w:basedOn w:val="1"/>
    <w:next w:val="1"/>
    <w:link w:val="12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5">
    <w:name w:val="明显引用 Char"/>
    <w:link w:val="124"/>
    <w:qFormat/>
    <w:uiPriority w:val="30"/>
    <w:rPr>
      <w:i/>
    </w:rPr>
  </w:style>
  <w:style w:type="character" w:customStyle="1" w:styleId="126">
    <w:name w:val="页眉 字符"/>
    <w:link w:val="110"/>
    <w:qFormat/>
    <w:uiPriority w:val="99"/>
  </w:style>
  <w:style w:type="character" w:customStyle="1" w:styleId="127">
    <w:name w:val="Footer Char_16a83484-10c2-428e-bab9-1e71f910a068"/>
    <w:qFormat/>
    <w:uiPriority w:val="99"/>
  </w:style>
  <w:style w:type="character" w:customStyle="1" w:styleId="128">
    <w:name w:val="页脚 字符"/>
    <w:link w:val="109"/>
    <w:qFormat/>
    <w:uiPriority w:val="99"/>
  </w:style>
  <w:style w:type="table" w:customStyle="1" w:styleId="129">
    <w:name w:val="Table Grid Light"/>
    <w:basedOn w:val="38"/>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130">
    <w:name w:val="Grid Table 1 Light - Accent 1"/>
    <w:basedOn w:val="38"/>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bottom w:val="single" w:color="9EC4E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131">
    <w:name w:val="Grid Table 1 Light - Accent 2"/>
    <w:basedOn w:val="38"/>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bottom w:val="single" w:color="F4B28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132">
    <w:name w:val="Grid Table 1 Light - Accent 3"/>
    <w:basedOn w:val="38"/>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bottom w:val="single" w:color="CACAC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133">
    <w:name w:val="Grid Table 1 Light - Accent 4"/>
    <w:basedOn w:val="38"/>
    <w:qFormat/>
    <w:uiPriority w:val="99"/>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firstRow">
      <w:rPr>
        <w:b/>
        <w:color w:val="404040"/>
      </w:rPr>
      <w:tcPr>
        <w:tcBorders>
          <w:bottom w:val="single" w:color="FFD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style>
  <w:style w:type="table" w:customStyle="1" w:styleId="134">
    <w:name w:val="Grid Table 1 Light - Accent 5"/>
    <w:basedOn w:val="38"/>
    <w:qFormat/>
    <w:uiPriority w:val="99"/>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firstRow">
      <w:rPr>
        <w:b/>
        <w:color w:val="404040"/>
      </w:rPr>
      <w:tcPr>
        <w:tcBorders>
          <w:bottom w:val="single" w:color="91ACDC"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style>
  <w:style w:type="table" w:customStyle="1" w:styleId="135">
    <w:name w:val="Grid Table 1 Light - Accent 6"/>
    <w:basedOn w:val="38"/>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bottom w:val="single" w:color="AAD1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table" w:customStyle="1" w:styleId="136">
    <w:name w:val="Grid Table 2 - Accent 1"/>
    <w:basedOn w:val="38"/>
    <w:qFormat/>
    <w:uiPriority w:val="99"/>
    <w:tblPr>
      <w:tblBorders>
        <w:bottom w:val="single" w:color="68A2D8" w:sz="4" w:space="0"/>
        <w:insideH w:val="single" w:color="68A2D8" w:sz="4" w:space="0"/>
        <w:insideV w:val="single" w:color="68A2D8" w:sz="4" w:space="0"/>
      </w:tblBorders>
    </w:tblPr>
    <w:tblStylePr w:type="firstRow">
      <w:rPr>
        <w:b/>
        <w:color w:val="404040"/>
      </w:rPr>
      <w:tcPr>
        <w:tcBorders>
          <w:top w:val="nil"/>
          <w:left w:val="nil"/>
          <w:bottom w:val="single" w:color="68A2D8" w:sz="12" w:space="0"/>
          <w:right w:val="nil"/>
        </w:tcBorders>
        <w:shd w:val="clear" w:color="FFFFFF" w:fill="auto"/>
      </w:tcPr>
    </w:tblStylePr>
    <w:tblStylePr w:type="lastRow">
      <w:rPr>
        <w:b/>
        <w:color w:val="404040"/>
      </w:rPr>
      <w:tcPr>
        <w:tcBorders>
          <w:top w:val="single" w:color="68A2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37">
    <w:name w:val="Grid Table 2 - Accent 2"/>
    <w:basedOn w:val="38"/>
    <w:qFormat/>
    <w:uiPriority w:val="99"/>
    <w:tblPr>
      <w:tblBorders>
        <w:bottom w:val="single" w:color="F4B184" w:sz="4" w:space="0"/>
        <w:insideH w:val="single" w:color="F4B184" w:sz="4" w:space="0"/>
        <w:insideV w:val="single" w:color="F4B184" w:sz="4" w:space="0"/>
      </w:tblBorders>
    </w:tblPr>
    <w:tblStylePr w:type="firstRow">
      <w:rPr>
        <w:b/>
        <w:color w:val="404040"/>
      </w:rPr>
      <w:tcPr>
        <w:tcBorders>
          <w:top w:val="nil"/>
          <w:left w:val="nil"/>
          <w:bottom w:val="single" w:color="F4B184" w:sz="12" w:space="0"/>
          <w:right w:val="nil"/>
        </w:tcBorders>
        <w:shd w:val="clear" w:color="FFFFFF" w:fill="auto"/>
      </w:tcPr>
    </w:tblStylePr>
    <w:tblStylePr w:type="lastRow">
      <w:rPr>
        <w:b/>
        <w:color w:val="404040"/>
      </w:rPr>
      <w:tcPr>
        <w:tcBorders>
          <w:top w:val="single" w:color="F4B18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38">
    <w:name w:val="Grid Table 2 - Accent 3"/>
    <w:basedOn w:val="38"/>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tcBorders>
        <w:shd w:val="clear" w:color="FFFFFF" w:fill="auto"/>
      </w:tcPr>
    </w:tblStylePr>
    <w:tblStylePr w:type="lastRow">
      <w:rPr>
        <w:b/>
        <w:color w:val="404040"/>
      </w:rPr>
      <w:tcPr>
        <w:tcBorders>
          <w:top w:val="single" w:color="A5A5A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39">
    <w:name w:val="Grid Table 2 - Accent 4"/>
    <w:basedOn w:val="38"/>
    <w:qFormat/>
    <w:uiPriority w:val="99"/>
    <w:tblPr>
      <w:tblBorders>
        <w:bottom w:val="single" w:color="FFD865" w:sz="4" w:space="0"/>
        <w:insideH w:val="single" w:color="FFD865" w:sz="4" w:space="0"/>
        <w:insideV w:val="single" w:color="FFD865" w:sz="4" w:space="0"/>
      </w:tblBorders>
    </w:tblPr>
    <w:tblStylePr w:type="firstRow">
      <w:rPr>
        <w:b/>
        <w:color w:val="404040"/>
      </w:rPr>
      <w:tcPr>
        <w:tcBorders>
          <w:top w:val="nil"/>
          <w:left w:val="nil"/>
          <w:bottom w:val="single" w:color="FFD865" w:sz="12" w:space="0"/>
          <w:right w:val="nil"/>
        </w:tcBorders>
        <w:shd w:val="clear" w:color="FFFFFF" w:fill="auto"/>
      </w:tcPr>
    </w:tblStylePr>
    <w:tblStylePr w:type="lastRow">
      <w:rPr>
        <w:b/>
        <w:color w:val="404040"/>
      </w:rPr>
      <w:tcPr>
        <w:tcBorders>
          <w:top w:val="single" w:color="FFD86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140">
    <w:name w:val="Grid Table 2 - Accent 5"/>
    <w:basedOn w:val="38"/>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tcBorders>
        <w:shd w:val="clear" w:color="FFFFFF" w:fill="auto"/>
      </w:tcPr>
    </w:tblStylePr>
    <w:tblStylePr w:type="lastRow">
      <w:rPr>
        <w:b/>
        <w:color w:val="404040"/>
      </w:rPr>
      <w:tcPr>
        <w:tcBorders>
          <w:top w:val="single" w:color="4472C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3" w:fill="D8E2F3"/>
      </w:tcPr>
    </w:tblStylePr>
    <w:tblStylePr w:type="band1Horz">
      <w:rPr>
        <w:rFonts w:ascii="Arial" w:hAnsi="Arial"/>
        <w:color w:val="404040"/>
        <w:sz w:val="22"/>
      </w:rPr>
      <w:tcPr>
        <w:shd w:val="clear" w:color="D8E2F3" w:fill="D8E2F3"/>
      </w:tcPr>
    </w:tblStylePr>
  </w:style>
  <w:style w:type="table" w:customStyle="1" w:styleId="141">
    <w:name w:val="Grid Table 2 - Accent 6"/>
    <w:basedOn w:val="38"/>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tcBorders>
        <w:shd w:val="clear" w:color="FFFFFF" w:fill="auto"/>
      </w:tcPr>
    </w:tblStylePr>
    <w:tblStylePr w:type="lastRow">
      <w:rPr>
        <w:b/>
        <w:color w:val="404040"/>
      </w:rPr>
      <w:tcPr>
        <w:tcBorders>
          <w:top w:val="single" w:color="70AD4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42">
    <w:name w:val="Grid Table 3 - Accent 1"/>
    <w:basedOn w:val="38"/>
    <w:qFormat/>
    <w:uiPriority w:val="99"/>
    <w:tblPr>
      <w:tblBorders>
        <w:bottom w:val="single" w:color="68A2D8" w:sz="4" w:space="0"/>
        <w:insideH w:val="single" w:color="68A2D8" w:sz="4" w:space="0"/>
        <w:insideV w:val="single" w:color="68A2D8"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43">
    <w:name w:val="Grid Table 3 - Accent 2"/>
    <w:basedOn w:val="38"/>
    <w:qFormat/>
    <w:uiPriority w:val="99"/>
    <w:tblPr>
      <w:tblBorders>
        <w:bottom w:val="single" w:color="F4B184" w:sz="4" w:space="0"/>
        <w:insideH w:val="single" w:color="F4B184" w:sz="4" w:space="0"/>
        <w:insideV w:val="single" w:color="F4B18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44">
    <w:name w:val="Grid Table 3 - Accent 3"/>
    <w:basedOn w:val="38"/>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45">
    <w:name w:val="Grid Table 3 - Accent 4"/>
    <w:basedOn w:val="38"/>
    <w:qFormat/>
    <w:uiPriority w:val="99"/>
    <w:tblPr>
      <w:tblBorders>
        <w:bottom w:val="single" w:color="FFD865" w:sz="4" w:space="0"/>
        <w:insideH w:val="single" w:color="FFD865" w:sz="4" w:space="0"/>
        <w:insideV w:val="single" w:color="FFD86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146">
    <w:name w:val="Grid Table 3 - Accent 5"/>
    <w:basedOn w:val="38"/>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3" w:fill="D8E2F3"/>
      </w:tcPr>
    </w:tblStylePr>
    <w:tblStylePr w:type="band1Horz">
      <w:rPr>
        <w:rFonts w:ascii="Arial" w:hAnsi="Arial"/>
        <w:color w:val="404040"/>
        <w:sz w:val="22"/>
      </w:rPr>
      <w:tcPr>
        <w:shd w:val="clear" w:color="D8E2F3" w:fill="D8E2F3"/>
      </w:tcPr>
    </w:tblStylePr>
  </w:style>
  <w:style w:type="table" w:customStyle="1" w:styleId="147">
    <w:name w:val="Grid Table 3 - Accent 6"/>
    <w:basedOn w:val="38"/>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48">
    <w:name w:val="Grid Table 4 - Accent 1"/>
    <w:basedOn w:val="38"/>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Arial" w:hAnsi="Arial"/>
        <w:b/>
        <w:color w:val="FFFFFF"/>
        <w:sz w:val="22"/>
      </w:rPr>
      <w:tcPr>
        <w:tcBorders>
          <w:top w:val="single" w:color="68A2D8" w:sz="4" w:space="0"/>
          <w:left w:val="single" w:color="68A2D8" w:sz="4" w:space="0"/>
          <w:bottom w:val="single" w:color="68A2D8" w:sz="4" w:space="0"/>
          <w:right w:val="single" w:color="68A2D8" w:sz="4" w:space="0"/>
        </w:tcBorders>
        <w:shd w:val="clear" w:color="68A2D8" w:fill="68A2D8"/>
      </w:tcPr>
    </w:tblStylePr>
    <w:tblStylePr w:type="lastRow">
      <w:rPr>
        <w:b/>
        <w:color w:val="404040"/>
      </w:rPr>
      <w:tcPr>
        <w:tcBorders>
          <w:top w:val="single" w:color="68A2D8"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fill="DEEBF6"/>
      </w:tcPr>
    </w:tblStylePr>
    <w:tblStylePr w:type="band1Horz">
      <w:rPr>
        <w:rFonts w:ascii="Arial" w:hAnsi="Arial"/>
        <w:color w:val="404040"/>
        <w:sz w:val="22"/>
      </w:rPr>
      <w:tcPr>
        <w:shd w:val="clear" w:color="DEEBF6" w:fill="DEEBF6"/>
      </w:tcPr>
    </w:tblStylePr>
  </w:style>
  <w:style w:type="table" w:customStyle="1" w:styleId="149">
    <w:name w:val="Grid Table 4 - Accent 2"/>
    <w:basedOn w:val="38"/>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Arial" w:hAnsi="Arial"/>
        <w:b/>
        <w:color w:val="FFFFFF"/>
        <w:sz w:val="22"/>
      </w:rPr>
      <w:tcPr>
        <w:tcBorders>
          <w:top w:val="single" w:color="F4B184" w:sz="4" w:space="0"/>
          <w:left w:val="single" w:color="F4B184" w:sz="4" w:space="0"/>
          <w:bottom w:val="single" w:color="F4B184" w:sz="4" w:space="0"/>
          <w:right w:val="single" w:color="F4B184" w:sz="4" w:space="0"/>
        </w:tcBorders>
        <w:shd w:val="clear" w:color="F4B184" w:fill="F4B184"/>
      </w:tcPr>
    </w:tblStylePr>
    <w:tblStylePr w:type="lastRow">
      <w:rPr>
        <w:b/>
        <w:color w:val="404040"/>
      </w:rPr>
      <w:tcPr>
        <w:tcBorders>
          <w:top w:val="single" w:color="F4B18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50">
    <w:name w:val="Grid Table 4 - Accent 3"/>
    <w:basedOn w:val="38"/>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Arial" w:hAnsi="Arial"/>
        <w:b/>
        <w:color w:val="FFFFFF"/>
        <w:sz w:val="22"/>
      </w:rPr>
      <w:tcPr>
        <w:tcBorders>
          <w:top w:val="single" w:color="A5A5A5" w:sz="4" w:space="0"/>
          <w:left w:val="single" w:color="A5A5A5" w:sz="4" w:space="0"/>
          <w:bottom w:val="single" w:color="A5A5A5" w:sz="4" w:space="0"/>
          <w:right w:val="single" w:color="A5A5A5" w:sz="4" w:space="0"/>
        </w:tcBorders>
        <w:shd w:val="clear" w:color="A5A5A5" w:fill="A5A5A5"/>
      </w:tcPr>
    </w:tblStylePr>
    <w:tblStylePr w:type="lastRow">
      <w:rPr>
        <w:b/>
        <w:color w:val="404040"/>
      </w:rPr>
      <w:tcPr>
        <w:tcBorders>
          <w:top w:val="single" w:color="A5A5A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51">
    <w:name w:val="Grid Table 4 - Accent 4"/>
    <w:basedOn w:val="38"/>
    <w:qFormat/>
    <w:uiPriority w:val="59"/>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firstRow">
      <w:rPr>
        <w:rFonts w:ascii="Arial" w:hAnsi="Arial"/>
        <w:b/>
        <w:color w:val="FFFFFF"/>
        <w:sz w:val="22"/>
      </w:rPr>
      <w:tcPr>
        <w:tcBorders>
          <w:top w:val="single" w:color="FFD865" w:sz="4" w:space="0"/>
          <w:left w:val="single" w:color="FFD865" w:sz="4" w:space="0"/>
          <w:bottom w:val="single" w:color="FFD865" w:sz="4" w:space="0"/>
          <w:right w:val="single" w:color="FFD865" w:sz="4" w:space="0"/>
        </w:tcBorders>
        <w:shd w:val="clear" w:color="FFD865" w:fill="FFD865"/>
      </w:tcPr>
    </w:tblStylePr>
    <w:tblStylePr w:type="lastRow">
      <w:rPr>
        <w:b/>
        <w:color w:val="404040"/>
      </w:rPr>
      <w:tcPr>
        <w:tcBorders>
          <w:top w:val="single" w:color="FFD86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152">
    <w:name w:val="Grid Table 4 - Accent 5"/>
    <w:basedOn w:val="38"/>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Arial" w:hAnsi="Arial"/>
        <w:b/>
        <w:color w:val="FFFFFF"/>
        <w:sz w:val="22"/>
      </w:rPr>
      <w:tcPr>
        <w:tcBorders>
          <w:top w:val="single" w:color="4472C4" w:sz="4" w:space="0"/>
          <w:left w:val="single" w:color="4472C4" w:sz="4" w:space="0"/>
          <w:bottom w:val="single" w:color="4472C4" w:sz="4" w:space="0"/>
          <w:right w:val="single" w:color="4472C4" w:sz="4" w:space="0"/>
        </w:tcBorders>
        <w:shd w:val="clear" w:color="4472C4" w:fill="4472C4"/>
      </w:tcPr>
    </w:tblStylePr>
    <w:tblStylePr w:type="lastRow">
      <w:rPr>
        <w:b/>
        <w:color w:val="404040"/>
      </w:rPr>
      <w:tcPr>
        <w:tcBorders>
          <w:top w:val="single" w:color="4472C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3" w:fill="D8E2F3"/>
      </w:tcPr>
    </w:tblStylePr>
    <w:tblStylePr w:type="band1Horz">
      <w:rPr>
        <w:rFonts w:ascii="Arial" w:hAnsi="Arial"/>
        <w:color w:val="404040"/>
        <w:sz w:val="22"/>
      </w:rPr>
      <w:tcPr>
        <w:shd w:val="clear" w:color="D8E2F3" w:fill="D8E2F3"/>
      </w:tcPr>
    </w:tblStylePr>
  </w:style>
  <w:style w:type="table" w:customStyle="1" w:styleId="153">
    <w:name w:val="Grid Table 4 - Accent 6"/>
    <w:basedOn w:val="38"/>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Arial" w:hAnsi="Arial"/>
        <w:b/>
        <w:color w:val="FFFFFF"/>
        <w:sz w:val="22"/>
      </w:rPr>
      <w:tcPr>
        <w:tcBorders>
          <w:top w:val="single" w:color="70AD47" w:sz="4" w:space="0"/>
          <w:left w:val="single" w:color="70AD47" w:sz="4" w:space="0"/>
          <w:bottom w:val="single" w:color="70AD47" w:sz="4" w:space="0"/>
          <w:right w:val="single" w:color="70AD47" w:sz="4" w:space="0"/>
        </w:tcBorders>
        <w:shd w:val="clear" w:color="70AD47" w:fill="70AD47"/>
      </w:tcPr>
    </w:tblStylePr>
    <w:tblStylePr w:type="lastRow">
      <w:rPr>
        <w:b/>
        <w:color w:val="404040"/>
      </w:rPr>
      <w:tcPr>
        <w:tcBorders>
          <w:top w:val="single" w:color="70AD4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54">
    <w:name w:val="Grid Table 5 Dark- Accent 1"/>
    <w:basedOn w:val="38"/>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5B9BD5" w:fill="5B9BD5"/>
      </w:tcPr>
    </w:tblStylePr>
    <w:tblStylePr w:type="lastRow">
      <w:rPr>
        <w:rFonts w:ascii="Arial" w:hAnsi="Arial"/>
        <w:b/>
        <w:color w:val="FFFFFF"/>
        <w:sz w:val="22"/>
      </w:rPr>
      <w:tcPr>
        <w:tcBorders>
          <w:top w:val="single" w:color="FFFFFF" w:sz="4" w:space="0"/>
        </w:tcBorders>
        <w:shd w:val="clear" w:color="5B9BD5" w:fill="5B9BD5"/>
      </w:tcPr>
    </w:tblStylePr>
    <w:tblStylePr w:type="firstCol">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band1Vert">
      <w:tcPr>
        <w:shd w:val="clear" w:color="B3D0EB" w:fill="B3D0EB"/>
      </w:tcPr>
    </w:tblStylePr>
    <w:tblStylePr w:type="band1Horz">
      <w:tcPr>
        <w:shd w:val="clear" w:color="B3D0EB" w:fill="B3D0EB"/>
      </w:tcPr>
    </w:tblStylePr>
  </w:style>
  <w:style w:type="table" w:customStyle="1" w:styleId="155">
    <w:name w:val="Grid Table 5 Dark - Accent 2"/>
    <w:basedOn w:val="38"/>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D7D31" w:fill="ED7D31"/>
      </w:tcPr>
    </w:tblStylePr>
    <w:tblStylePr w:type="lastRow">
      <w:rPr>
        <w:rFonts w:ascii="Arial" w:hAnsi="Arial"/>
        <w:b/>
        <w:color w:val="FFFFFF"/>
        <w:sz w:val="22"/>
      </w:rPr>
      <w:tcPr>
        <w:tcBorders>
          <w:top w:val="single" w:color="FFFFFF" w:sz="4" w:space="0"/>
        </w:tcBorders>
        <w:shd w:val="clear" w:color="ED7D31" w:fill="ED7D31"/>
      </w:tcPr>
    </w:tblStylePr>
    <w:tblStylePr w:type="firstCol">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56">
    <w:name w:val="Grid Table 5 Dark - Accent 3"/>
    <w:basedOn w:val="38"/>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A5A5A5" w:fill="A5A5A5"/>
      </w:tcPr>
    </w:tblStylePr>
    <w:tblStylePr w:type="lastRow">
      <w:rPr>
        <w:rFonts w:ascii="Arial" w:hAnsi="Arial"/>
        <w:b/>
        <w:color w:val="FFFFFF"/>
        <w:sz w:val="22"/>
      </w:rPr>
      <w:tcPr>
        <w:tcBorders>
          <w:top w:val="single" w:color="FFFFFF" w:sz="4" w:space="0"/>
        </w:tcBorders>
        <w:shd w:val="clear" w:color="A5A5A5" w:fill="A5A5A5"/>
      </w:tcPr>
    </w:tblStylePr>
    <w:tblStylePr w:type="firstCol">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57">
    <w:name w:val="Grid Table 5 Dark- Accent 4"/>
    <w:basedOn w:val="38"/>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FC000" w:fill="FFC000"/>
      </w:tcPr>
    </w:tblStylePr>
    <w:tblStylePr w:type="lastRow">
      <w:rPr>
        <w:rFonts w:ascii="Arial" w:hAnsi="Arial"/>
        <w:b/>
        <w:color w:val="FFFFFF"/>
        <w:sz w:val="22"/>
      </w:rPr>
      <w:tcPr>
        <w:tcBorders>
          <w:top w:val="single" w:color="FFFFFF" w:sz="4" w:space="0"/>
        </w:tcBorders>
        <w:shd w:val="clear" w:color="FFC000" w:fill="FFC000"/>
      </w:tcPr>
    </w:tblStylePr>
    <w:tblStylePr w:type="firstCol">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band1Vert">
      <w:tcPr>
        <w:shd w:val="clear" w:color="FFE28A" w:fill="FFE28A"/>
      </w:tcPr>
    </w:tblStylePr>
    <w:tblStylePr w:type="band1Horz">
      <w:tcPr>
        <w:shd w:val="clear" w:color="FFE28A" w:fill="FFE28A"/>
      </w:tcPr>
    </w:tblStylePr>
  </w:style>
  <w:style w:type="table" w:customStyle="1" w:styleId="158">
    <w:name w:val="Grid Table 5 Dark - Accent 5"/>
    <w:basedOn w:val="38"/>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472C4" w:fill="4472C4"/>
      </w:tcPr>
    </w:tblStylePr>
    <w:tblStylePr w:type="lastRow">
      <w:rPr>
        <w:rFonts w:ascii="Arial" w:hAnsi="Arial"/>
        <w:b/>
        <w:color w:val="FFFFFF"/>
        <w:sz w:val="22"/>
      </w:rPr>
      <w:tcPr>
        <w:tcBorders>
          <w:top w:val="single" w:color="FFFFFF" w:sz="4" w:space="0"/>
        </w:tcBorders>
        <w:shd w:val="clear" w:color="4472C4" w:fill="4472C4"/>
      </w:tcPr>
    </w:tblStylePr>
    <w:tblStylePr w:type="firstCol">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band1Vert">
      <w:tcPr>
        <w:shd w:val="clear" w:color="A9BEE4" w:fill="A9BEE4"/>
      </w:tcPr>
    </w:tblStylePr>
    <w:tblStylePr w:type="band1Horz">
      <w:tcPr>
        <w:shd w:val="clear" w:color="A9BEE4" w:fill="A9BEE4"/>
      </w:tcPr>
    </w:tblStylePr>
  </w:style>
  <w:style w:type="table" w:customStyle="1" w:styleId="159">
    <w:name w:val="Grid Table 5 Dark - Accent 6"/>
    <w:basedOn w:val="38"/>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0AD47" w:fill="70AD47"/>
      </w:tcPr>
    </w:tblStylePr>
    <w:tblStylePr w:type="lastRow">
      <w:rPr>
        <w:rFonts w:ascii="Arial" w:hAnsi="Arial"/>
        <w:b/>
        <w:color w:val="FFFFFF"/>
        <w:sz w:val="22"/>
      </w:rPr>
      <w:tcPr>
        <w:tcBorders>
          <w:top w:val="single" w:color="FFFFFF" w:sz="4" w:space="0"/>
        </w:tcBorders>
        <w:shd w:val="clear" w:color="70AD47" w:fill="70AD47"/>
      </w:tcPr>
    </w:tblStylePr>
    <w:tblStylePr w:type="firstCol">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60">
    <w:name w:val="Grid Table 6 Colorful - Accent 1"/>
    <w:basedOn w:val="38"/>
    <w:qFormat/>
    <w:uiPriority w:val="99"/>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firstRow">
      <w:rPr>
        <w:b/>
        <w:color w:val="ACCCEA"/>
      </w:rPr>
      <w:tcPr>
        <w:tcBorders>
          <w:bottom w:val="single" w:color="ACCCEA" w:sz="12" w:space="0"/>
        </w:tcBorders>
      </w:tcPr>
    </w:tblStylePr>
    <w:tblStylePr w:type="lastRow">
      <w:rPr>
        <w:b/>
        <w:color w:val="ACCCEA"/>
      </w:rPr>
    </w:tblStylePr>
    <w:tblStylePr w:type="firstCol">
      <w:rPr>
        <w:b/>
        <w:color w:val="ACCCEA"/>
      </w:rPr>
    </w:tblStylePr>
    <w:tblStylePr w:type="lastCol">
      <w:rPr>
        <w:b/>
        <w:color w:val="ACCCEA"/>
      </w:rPr>
    </w:tblStylePr>
    <w:tblStylePr w:type="band1Vert">
      <w:tcPr>
        <w:shd w:val="clear" w:color="DDEAF6" w:fill="DDEAF6"/>
      </w:tcPr>
    </w:tblStylePr>
    <w:tblStylePr w:type="band1Horz">
      <w:rPr>
        <w:rFonts w:ascii="Arial" w:hAnsi="Arial"/>
        <w:color w:val="ACCCEA"/>
        <w:sz w:val="22"/>
      </w:rPr>
      <w:tcPr>
        <w:shd w:val="clear" w:color="DDEAF6" w:fill="DDEAF6"/>
      </w:tcPr>
    </w:tblStylePr>
    <w:tblStylePr w:type="band2Horz">
      <w:rPr>
        <w:rFonts w:ascii="Arial" w:hAnsi="Arial"/>
        <w:color w:val="ACCCEA"/>
        <w:sz w:val="22"/>
      </w:rPr>
    </w:tblStylePr>
  </w:style>
  <w:style w:type="table" w:customStyle="1" w:styleId="161">
    <w:name w:val="Grid Table 6 Colorful - Accent 2"/>
    <w:basedOn w:val="38"/>
    <w:qFormat/>
    <w:uiPriority w:val="99"/>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firstRow">
      <w:rPr>
        <w:b/>
        <w:color w:val="F4B285"/>
      </w:rPr>
      <w:tcPr>
        <w:tcBorders>
          <w:bottom w:val="single" w:color="F4B184" w:sz="12" w:space="0"/>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62">
    <w:name w:val="Grid Table 6 Colorful - Accent 3"/>
    <w:basedOn w:val="38"/>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bottom w:val="single" w:color="A5A5A5" w:sz="12" w:space="0"/>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63">
    <w:name w:val="Grid Table 6 Colorful - Accent 4"/>
    <w:basedOn w:val="38"/>
    <w:qFormat/>
    <w:uiPriority w:val="99"/>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firstRow">
      <w:rPr>
        <w:b/>
        <w:color w:val="FFD966"/>
      </w:rPr>
      <w:tcPr>
        <w:tcBorders>
          <w:bottom w:val="single" w:color="FFD865" w:sz="12" w:space="0"/>
        </w:tcBorders>
      </w:tcPr>
    </w:tblStylePr>
    <w:tblStylePr w:type="lastRow">
      <w:rPr>
        <w:b/>
        <w:color w:val="FFD966"/>
      </w:rPr>
    </w:tblStylePr>
    <w:tblStylePr w:type="firstCol">
      <w:rPr>
        <w:b/>
        <w:color w:val="FFD966"/>
      </w:rPr>
    </w:tblStylePr>
    <w:tblStylePr w:type="lastCol">
      <w:rPr>
        <w:b/>
        <w:color w:val="FFD966"/>
      </w:rPr>
    </w:tblStylePr>
    <w:tblStylePr w:type="band1Vert">
      <w:tcPr>
        <w:shd w:val="clear" w:color="FFF2CB" w:fill="FFF2CB"/>
      </w:tcPr>
    </w:tblStylePr>
    <w:tblStylePr w:type="band1Horz">
      <w:rPr>
        <w:rFonts w:ascii="Arial" w:hAnsi="Arial"/>
        <w:color w:val="FFD966"/>
        <w:sz w:val="22"/>
      </w:rPr>
      <w:tcPr>
        <w:shd w:val="clear" w:color="FFF2CB" w:fill="FFF2CB"/>
      </w:tcPr>
    </w:tblStylePr>
    <w:tblStylePr w:type="band2Horz">
      <w:rPr>
        <w:rFonts w:ascii="Arial" w:hAnsi="Arial"/>
        <w:color w:val="FFD966"/>
        <w:sz w:val="22"/>
      </w:rPr>
    </w:tblStylePr>
  </w:style>
  <w:style w:type="table" w:customStyle="1" w:styleId="164">
    <w:name w:val="Grid Table 6 Colorful - Accent 5"/>
    <w:basedOn w:val="38"/>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bottom w:val="single" w:color="4472C4" w:sz="12" w:space="0"/>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3" w:fill="D8E2F3"/>
      </w:tcPr>
    </w:tblStylePr>
    <w:tblStylePr w:type="band1Horz">
      <w:rPr>
        <w:rFonts w:ascii="Arial" w:hAnsi="Arial"/>
        <w:color w:val="244174"/>
        <w:sz w:val="22"/>
      </w:rPr>
      <w:tcPr>
        <w:shd w:val="clear" w:color="D8E2F3" w:fill="D8E2F3"/>
      </w:tcPr>
    </w:tblStylePr>
    <w:tblStylePr w:type="band2Horz">
      <w:rPr>
        <w:rFonts w:ascii="Arial" w:hAnsi="Arial"/>
        <w:color w:val="244174"/>
        <w:sz w:val="22"/>
      </w:rPr>
    </w:tblStylePr>
  </w:style>
  <w:style w:type="table" w:customStyle="1" w:styleId="165">
    <w:name w:val="Grid Table 6 Colorful - Accent 6"/>
    <w:basedOn w:val="38"/>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bottom w:val="single" w:color="70AD47" w:sz="12" w:space="0"/>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Arial" w:hAnsi="Arial"/>
        <w:color w:val="244174"/>
        <w:sz w:val="22"/>
      </w:rPr>
      <w:tcPr>
        <w:shd w:val="clear" w:color="E1EFD8" w:fill="E1EFD8"/>
      </w:tcPr>
    </w:tblStylePr>
    <w:tblStylePr w:type="band2Horz">
      <w:rPr>
        <w:rFonts w:ascii="Arial" w:hAnsi="Arial"/>
        <w:color w:val="244174"/>
        <w:sz w:val="22"/>
      </w:rPr>
    </w:tblStylePr>
  </w:style>
  <w:style w:type="table" w:customStyle="1" w:styleId="166">
    <w:name w:val="Grid Table 7 Colorful - Accent 1"/>
    <w:basedOn w:val="38"/>
    <w:qFormat/>
    <w:uiPriority w:val="99"/>
    <w:tblPr>
      <w:tblBorders>
        <w:bottom w:val="single" w:color="ACCCEA" w:sz="4" w:space="0"/>
        <w:right w:val="single" w:color="ACCCEA" w:sz="4" w:space="0"/>
        <w:insideH w:val="single" w:color="ACCCEA" w:sz="4" w:space="0"/>
        <w:insideV w:val="single" w:color="ACCCEA" w:sz="4" w:space="0"/>
      </w:tblBorders>
    </w:tblPr>
    <w:tblStylePr w:type="firstRow">
      <w:rPr>
        <w:rFonts w:ascii="Arial" w:hAnsi="Arial"/>
        <w:b/>
        <w:color w:val="ACCCEA"/>
        <w:sz w:val="22"/>
      </w:rPr>
      <w:tcPr>
        <w:tcBorders>
          <w:top w:val="nil"/>
          <w:left w:val="nil"/>
          <w:bottom w:val="single" w:color="ACCCEA" w:sz="4" w:space="0"/>
          <w:right w:val="nil"/>
        </w:tcBorders>
        <w:shd w:val="clear" w:color="FFFFFF" w:fill="FFFFFF"/>
      </w:tcPr>
    </w:tblStylePr>
    <w:tblStylePr w:type="lastRow">
      <w:rPr>
        <w:rFonts w:ascii="Arial" w:hAnsi="Arial"/>
        <w:b/>
        <w:color w:val="ACCCEA"/>
        <w:sz w:val="22"/>
      </w:rPr>
      <w:tcPr>
        <w:tcBorders>
          <w:top w:val="single" w:color="ACCCEA" w:sz="4" w:space="0"/>
          <w:left w:val="nil"/>
          <w:bottom w:val="nil"/>
          <w:right w:val="nil"/>
        </w:tcBorders>
        <w:shd w:val="clear" w:color="FFFFFF" w:fill="FFFFFF"/>
      </w:tcPr>
    </w:tblStylePr>
    <w:tblStylePr w:type="firstCol">
      <w:pPr>
        <w:jc w:val="right"/>
      </w:pPr>
      <w:rPr>
        <w:rFonts w:ascii="Arial" w:hAnsi="Arial"/>
        <w:i/>
        <w:color w:val="ACCCEA"/>
        <w:sz w:val="22"/>
      </w:rPr>
      <w:tcPr>
        <w:tcBorders>
          <w:top w:val="nil"/>
          <w:left w:val="nil"/>
          <w:bottom w:val="nil"/>
          <w:right w:val="single" w:color="ACCCEA" w:sz="4" w:space="0"/>
        </w:tcBorders>
        <w:shd w:val="clear" w:color="FFFFFF" w:fill="auto"/>
      </w:tcPr>
    </w:tblStylePr>
    <w:tblStylePr w:type="lastCol">
      <w:rPr>
        <w:rFonts w:ascii="Arial" w:hAnsi="Arial"/>
        <w:i/>
        <w:color w:val="ACCCEA"/>
        <w:sz w:val="22"/>
      </w:rPr>
      <w:tcPr>
        <w:tcBorders>
          <w:top w:val="nil"/>
          <w:left w:val="single" w:color="ACCCEA" w:sz="4" w:space="0"/>
          <w:bottom w:val="nil"/>
          <w:right w:val="nil"/>
        </w:tcBorders>
        <w:shd w:val="clear" w:color="FFFFFF" w:fill="auto"/>
      </w:tcPr>
    </w:tblStylePr>
    <w:tblStylePr w:type="band1Vert">
      <w:tcPr>
        <w:shd w:val="clear" w:color="DDEAF6" w:fill="DDEAF6"/>
      </w:tcPr>
    </w:tblStylePr>
    <w:tblStylePr w:type="band1Horz">
      <w:rPr>
        <w:rFonts w:ascii="Arial" w:hAnsi="Arial"/>
        <w:color w:val="ACCCEA"/>
        <w:sz w:val="22"/>
      </w:rPr>
      <w:tcPr>
        <w:shd w:val="clear" w:color="DDEAF6" w:fill="DDEAF6"/>
      </w:tcPr>
    </w:tblStylePr>
    <w:tblStylePr w:type="band2Horz">
      <w:rPr>
        <w:rFonts w:ascii="Arial" w:hAnsi="Arial"/>
        <w:color w:val="ACCCEA"/>
        <w:sz w:val="22"/>
      </w:rPr>
    </w:tblStylePr>
  </w:style>
  <w:style w:type="table" w:customStyle="1" w:styleId="167">
    <w:name w:val="Grid Table 7 Colorful - Accent 2"/>
    <w:basedOn w:val="38"/>
    <w:qFormat/>
    <w:uiPriority w:val="99"/>
    <w:tblPr>
      <w:tblBorders>
        <w:bottom w:val="single" w:color="F4B184" w:sz="4" w:space="0"/>
        <w:right w:val="single" w:color="F4B184" w:sz="4" w:space="0"/>
        <w:insideH w:val="single" w:color="F4B184" w:sz="4" w:space="0"/>
        <w:insideV w:val="single" w:color="F4B184" w:sz="4" w:space="0"/>
      </w:tblBorders>
    </w:tblPr>
    <w:tblStylePr w:type="firstRow">
      <w:rPr>
        <w:rFonts w:ascii="Arial" w:hAnsi="Arial"/>
        <w:b/>
        <w:color w:val="F4B285"/>
        <w:sz w:val="22"/>
      </w:rPr>
      <w:tcPr>
        <w:tcBorders>
          <w:top w:val="nil"/>
          <w:left w:val="nil"/>
          <w:bottom w:val="single" w:color="F4B184" w:sz="4" w:space="0"/>
          <w:right w:val="nil"/>
        </w:tcBorders>
        <w:shd w:val="clear" w:color="FFFFFF" w:fill="FFFFFF"/>
      </w:tcPr>
    </w:tblStylePr>
    <w:tblStylePr w:type="lastRow">
      <w:rPr>
        <w:rFonts w:ascii="Arial" w:hAnsi="Arial"/>
        <w:b/>
        <w:color w:val="F4B285"/>
        <w:sz w:val="22"/>
      </w:rPr>
      <w:tcPr>
        <w:tcBorders>
          <w:top w:val="single" w:color="F4B184" w:sz="4" w:space="0"/>
          <w:left w:val="nil"/>
          <w:bottom w:val="nil"/>
          <w:right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184" w:sz="4" w:space="0"/>
        </w:tcBorders>
        <w:shd w:val="clear" w:color="FFFFFF" w:fill="auto"/>
      </w:tcPr>
    </w:tblStylePr>
    <w:tblStylePr w:type="lastCol">
      <w:rPr>
        <w:rFonts w:ascii="Arial" w:hAnsi="Arial"/>
        <w:i/>
        <w:color w:val="F4B285"/>
        <w:sz w:val="22"/>
      </w:rPr>
      <w:tcPr>
        <w:tcBorders>
          <w:top w:val="nil"/>
          <w:left w:val="single" w:color="F4B184" w:sz="4" w:space="0"/>
          <w:bottom w:val="nil"/>
          <w:right w:val="nil"/>
        </w:tcBorders>
        <w:shd w:val="clear" w:color="FFFFFF" w:fill="auto"/>
      </w:tc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68">
    <w:name w:val="Grid Table 7 Colorful - Accent 3"/>
    <w:basedOn w:val="38"/>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Arial" w:hAnsi="Arial"/>
        <w:b/>
        <w:color w:val="A5A5A5"/>
        <w:sz w:val="22"/>
      </w:rPr>
      <w:tcPr>
        <w:tcBorders>
          <w:top w:val="nil"/>
          <w:left w:val="nil"/>
          <w:bottom w:val="single" w:color="A5A5A5" w:sz="4" w:space="0"/>
          <w:right w:val="nil"/>
        </w:tcBorders>
        <w:shd w:val="clear" w:color="FFFFFF" w:fill="FFFFFF"/>
      </w:tcPr>
    </w:tblStylePr>
    <w:tblStylePr w:type="lastRow">
      <w:rPr>
        <w:rFonts w:ascii="Arial" w:hAnsi="Arial"/>
        <w:b/>
        <w:color w:val="A5A5A5"/>
        <w:sz w:val="22"/>
      </w:rPr>
      <w:tcPr>
        <w:tcBorders>
          <w:top w:val="single" w:color="A5A5A5" w:sz="4" w:space="0"/>
          <w:left w:val="nil"/>
          <w:bottom w:val="nil"/>
          <w:right w:val="nil"/>
        </w:tcBorders>
        <w:shd w:val="clear" w:color="FFFFFF" w:fill="FFFFFF"/>
      </w:tcPr>
    </w:tblStylePr>
    <w:tblStylePr w:type="firstCol">
      <w:pPr>
        <w:jc w:val="right"/>
      </w:pPr>
      <w:rPr>
        <w:rFonts w:ascii="Arial" w:hAnsi="Arial"/>
        <w:i/>
        <w:color w:val="A5A5A5"/>
        <w:sz w:val="22"/>
      </w:rPr>
      <w:tcPr>
        <w:tcBorders>
          <w:top w:val="nil"/>
          <w:left w:val="nil"/>
          <w:bottom w:val="nil"/>
          <w:right w:val="single" w:color="A5A5A5" w:sz="4" w:space="0"/>
        </w:tcBorders>
        <w:shd w:val="clear" w:color="FFFFFF" w:fill="auto"/>
      </w:tcPr>
    </w:tblStylePr>
    <w:tblStylePr w:type="lastCol">
      <w:rPr>
        <w:rFonts w:ascii="Arial" w:hAnsi="Arial"/>
        <w:i/>
        <w:color w:val="A5A5A5"/>
        <w:sz w:val="22"/>
      </w:rPr>
      <w:tcPr>
        <w:tcBorders>
          <w:top w:val="nil"/>
          <w:left w:val="single" w:color="A5A5A5" w:sz="4" w:space="0"/>
          <w:bottom w:val="nil"/>
          <w:right w:val="nil"/>
        </w:tcBorders>
        <w:shd w:val="clear" w:color="FFFFFF" w:fill="auto"/>
      </w:tc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69">
    <w:name w:val="Grid Table 7 Colorful - Accent 4"/>
    <w:basedOn w:val="38"/>
    <w:qFormat/>
    <w:uiPriority w:val="99"/>
    <w:tblPr>
      <w:tblBorders>
        <w:bottom w:val="single" w:color="FFD865" w:sz="4" w:space="0"/>
        <w:right w:val="single" w:color="FFD865" w:sz="4" w:space="0"/>
        <w:insideH w:val="single" w:color="FFD865" w:sz="4" w:space="0"/>
        <w:insideV w:val="single" w:color="FFD865" w:sz="4" w:space="0"/>
      </w:tblBorders>
    </w:tblPr>
    <w:tblStylePr w:type="firstRow">
      <w:rPr>
        <w:rFonts w:ascii="Arial" w:hAnsi="Arial"/>
        <w:b/>
        <w:color w:val="FFD966"/>
        <w:sz w:val="22"/>
      </w:rPr>
      <w:tcPr>
        <w:tcBorders>
          <w:top w:val="nil"/>
          <w:left w:val="nil"/>
          <w:bottom w:val="single" w:color="FFD865" w:sz="4" w:space="0"/>
          <w:right w:val="nil"/>
        </w:tcBorders>
        <w:shd w:val="clear" w:color="FFFFFF" w:fill="FFFFFF"/>
      </w:tcPr>
    </w:tblStylePr>
    <w:tblStylePr w:type="lastRow">
      <w:rPr>
        <w:rFonts w:ascii="Arial" w:hAnsi="Arial"/>
        <w:b/>
        <w:color w:val="FFD966"/>
        <w:sz w:val="22"/>
      </w:rPr>
      <w:tcPr>
        <w:tcBorders>
          <w:top w:val="single" w:color="FFD865" w:sz="4" w:space="0"/>
          <w:left w:val="nil"/>
          <w:bottom w:val="nil"/>
          <w:right w:val="nil"/>
        </w:tcBorders>
        <w:shd w:val="clear" w:color="FFFFFF" w:fill="FFFFFF"/>
      </w:tcPr>
    </w:tblStylePr>
    <w:tblStylePr w:type="firstCol">
      <w:pPr>
        <w:jc w:val="right"/>
      </w:pPr>
      <w:rPr>
        <w:rFonts w:ascii="Arial" w:hAnsi="Arial"/>
        <w:i/>
        <w:color w:val="FFD966"/>
        <w:sz w:val="22"/>
      </w:rPr>
      <w:tcPr>
        <w:tcBorders>
          <w:top w:val="nil"/>
          <w:left w:val="nil"/>
          <w:bottom w:val="nil"/>
          <w:right w:val="single" w:color="FFD865" w:sz="4" w:space="0"/>
        </w:tcBorders>
        <w:shd w:val="clear" w:color="FFFFFF" w:fill="auto"/>
      </w:tcPr>
    </w:tblStylePr>
    <w:tblStylePr w:type="lastCol">
      <w:rPr>
        <w:rFonts w:ascii="Arial" w:hAnsi="Arial"/>
        <w:i/>
        <w:color w:val="FFD966"/>
        <w:sz w:val="22"/>
      </w:rPr>
      <w:tcPr>
        <w:tcBorders>
          <w:top w:val="nil"/>
          <w:left w:val="single" w:color="FFD865" w:sz="4" w:space="0"/>
          <w:bottom w:val="nil"/>
          <w:right w:val="nil"/>
        </w:tcBorders>
        <w:shd w:val="clear" w:color="FFFFFF" w:fill="auto"/>
      </w:tcPr>
    </w:tblStylePr>
    <w:tblStylePr w:type="band1Vert">
      <w:tcPr>
        <w:shd w:val="clear" w:color="FFF2CB" w:fill="FFF2CB"/>
      </w:tcPr>
    </w:tblStylePr>
    <w:tblStylePr w:type="band1Horz">
      <w:rPr>
        <w:rFonts w:ascii="Arial" w:hAnsi="Arial"/>
        <w:color w:val="FFD966"/>
        <w:sz w:val="22"/>
      </w:rPr>
      <w:tcPr>
        <w:shd w:val="clear" w:color="FFF2CB" w:fill="FFF2CB"/>
      </w:tcPr>
    </w:tblStylePr>
    <w:tblStylePr w:type="band2Horz">
      <w:rPr>
        <w:rFonts w:ascii="Arial" w:hAnsi="Arial"/>
        <w:color w:val="FFD966"/>
        <w:sz w:val="22"/>
      </w:rPr>
    </w:tblStylePr>
  </w:style>
  <w:style w:type="table" w:customStyle="1" w:styleId="170">
    <w:name w:val="Grid Table 7 Colorful - Accent 5"/>
    <w:basedOn w:val="38"/>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Arial" w:hAnsi="Arial"/>
        <w:b/>
        <w:color w:val="244174"/>
        <w:sz w:val="22"/>
      </w:rPr>
      <w:tcPr>
        <w:tcBorders>
          <w:top w:val="nil"/>
          <w:left w:val="nil"/>
          <w:bottom w:val="single" w:color="95AFDD" w:sz="4" w:space="0"/>
          <w:right w:val="nil"/>
        </w:tcBorders>
        <w:shd w:val="clear" w:color="FFFFFF" w:fill="FFFFFF"/>
      </w:tcPr>
    </w:tblStylePr>
    <w:tblStylePr w:type="lastRow">
      <w:rPr>
        <w:rFonts w:ascii="Arial" w:hAnsi="Arial"/>
        <w:b/>
        <w:color w:val="244174"/>
        <w:sz w:val="22"/>
      </w:rPr>
      <w:tcPr>
        <w:tcBorders>
          <w:top w:val="single" w:color="95AFDD" w:sz="4" w:space="0"/>
          <w:left w:val="nil"/>
          <w:bottom w:val="nil"/>
          <w:right w:val="nil"/>
        </w:tcBorders>
        <w:shd w:val="clear" w:color="FFFFFF" w:fill="FFFFFF"/>
      </w:tcPr>
    </w:tblStylePr>
    <w:tblStylePr w:type="firstCol">
      <w:pPr>
        <w:jc w:val="right"/>
      </w:pPr>
      <w:rPr>
        <w:rFonts w:ascii="Arial" w:hAnsi="Arial"/>
        <w:i/>
        <w:color w:val="244174"/>
        <w:sz w:val="22"/>
      </w:rPr>
      <w:tcPr>
        <w:tcBorders>
          <w:top w:val="nil"/>
          <w:left w:val="nil"/>
          <w:bottom w:val="nil"/>
          <w:right w:val="single" w:color="95AFDD" w:sz="4" w:space="0"/>
        </w:tcBorders>
        <w:shd w:val="clear" w:color="FFFFFF" w:fill="auto"/>
      </w:tcPr>
    </w:tblStylePr>
    <w:tblStylePr w:type="lastCol">
      <w:rPr>
        <w:rFonts w:ascii="Arial" w:hAnsi="Arial"/>
        <w:i/>
        <w:color w:val="244174"/>
        <w:sz w:val="22"/>
      </w:rPr>
      <w:tcPr>
        <w:tcBorders>
          <w:top w:val="nil"/>
          <w:left w:val="single" w:color="95AFDD" w:sz="4" w:space="0"/>
          <w:bottom w:val="nil"/>
          <w:right w:val="nil"/>
        </w:tcBorders>
        <w:shd w:val="clear" w:color="FFFFFF" w:fill="auto"/>
      </w:tcPr>
    </w:tblStylePr>
    <w:tblStylePr w:type="band1Vert">
      <w:tcPr>
        <w:shd w:val="clear" w:color="D8E2F3" w:fill="D8E2F3"/>
      </w:tcPr>
    </w:tblStylePr>
    <w:tblStylePr w:type="band1Horz">
      <w:rPr>
        <w:rFonts w:ascii="Arial" w:hAnsi="Arial"/>
        <w:color w:val="244174"/>
        <w:sz w:val="22"/>
      </w:rPr>
      <w:tcPr>
        <w:shd w:val="clear" w:color="D8E2F3" w:fill="D8E2F3"/>
      </w:tcPr>
    </w:tblStylePr>
    <w:tblStylePr w:type="band2Horz">
      <w:rPr>
        <w:rFonts w:ascii="Arial" w:hAnsi="Arial"/>
        <w:color w:val="244174"/>
        <w:sz w:val="22"/>
      </w:rPr>
    </w:tblStylePr>
  </w:style>
  <w:style w:type="table" w:customStyle="1" w:styleId="171">
    <w:name w:val="Grid Table 7 Colorful - Accent 6"/>
    <w:basedOn w:val="38"/>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Arial" w:hAnsi="Arial"/>
        <w:b/>
        <w:color w:val="406429"/>
        <w:sz w:val="22"/>
      </w:rPr>
      <w:tcPr>
        <w:tcBorders>
          <w:top w:val="nil"/>
          <w:left w:val="nil"/>
          <w:bottom w:val="single" w:color="ADD394" w:sz="4" w:space="0"/>
          <w:right w:val="nil"/>
        </w:tcBorders>
        <w:shd w:val="clear" w:color="FFFFFF" w:fill="FFFFFF"/>
      </w:tcPr>
    </w:tblStylePr>
    <w:tblStylePr w:type="lastRow">
      <w:rPr>
        <w:rFonts w:ascii="Arial" w:hAnsi="Arial"/>
        <w:b/>
        <w:color w:val="406429"/>
        <w:sz w:val="22"/>
      </w:rPr>
      <w:tcPr>
        <w:tcBorders>
          <w:top w:val="single" w:color="ADD394" w:sz="4" w:space="0"/>
          <w:left w:val="nil"/>
          <w:bottom w:val="nil"/>
          <w:right w:val="nil"/>
        </w:tcBorders>
        <w:shd w:val="clear" w:color="FFFFFF" w:fill="FFFFFF"/>
      </w:tcPr>
    </w:tblStylePr>
    <w:tblStylePr w:type="firstCol">
      <w:pPr>
        <w:jc w:val="right"/>
      </w:pPr>
      <w:rPr>
        <w:rFonts w:ascii="Arial" w:hAnsi="Arial"/>
        <w:i/>
        <w:color w:val="406429"/>
        <w:sz w:val="22"/>
      </w:rPr>
      <w:tcPr>
        <w:tcBorders>
          <w:top w:val="nil"/>
          <w:left w:val="nil"/>
          <w:bottom w:val="nil"/>
          <w:right w:val="single" w:color="ADD394" w:sz="4" w:space="0"/>
        </w:tcBorders>
        <w:shd w:val="clear" w:color="FFFFFF" w:fill="auto"/>
      </w:tcPr>
    </w:tblStylePr>
    <w:tblStylePr w:type="lastCol">
      <w:rPr>
        <w:rFonts w:ascii="Arial" w:hAnsi="Arial"/>
        <w:i/>
        <w:color w:val="406429"/>
        <w:sz w:val="22"/>
      </w:rPr>
      <w:tcPr>
        <w:tcBorders>
          <w:top w:val="nil"/>
          <w:left w:val="single" w:color="ADD394" w:sz="4" w:space="0"/>
          <w:bottom w:val="nil"/>
          <w:right w:val="nil"/>
        </w:tcBorders>
        <w:shd w:val="clear" w:color="FFFFFF" w:fill="auto"/>
      </w:tcPr>
    </w:tblStylePr>
    <w:tblStylePr w:type="band1Vert">
      <w:tcPr>
        <w:shd w:val="clear" w:color="E1EFD8" w:fill="E1EFD8"/>
      </w:tcPr>
    </w:tblStylePr>
    <w:tblStylePr w:type="band1Horz">
      <w:rPr>
        <w:rFonts w:ascii="Arial" w:hAnsi="Arial"/>
        <w:color w:val="406429"/>
        <w:sz w:val="22"/>
      </w:rPr>
      <w:tcPr>
        <w:shd w:val="clear" w:color="E1EFD8" w:fill="E1EFD8"/>
      </w:tcPr>
    </w:tblStylePr>
    <w:tblStylePr w:type="band2Horz">
      <w:rPr>
        <w:rFonts w:ascii="Arial" w:hAnsi="Arial"/>
        <w:color w:val="406429"/>
        <w:sz w:val="22"/>
      </w:rPr>
    </w:tblStylePr>
  </w:style>
  <w:style w:type="table" w:customStyle="1" w:styleId="172">
    <w:name w:val="List Table 1 Light - Accent 1"/>
    <w:basedOn w:val="38"/>
    <w:qFormat/>
    <w:uiPriority w:val="99"/>
    <w:tblStylePr w:type="firstRow">
      <w:rPr>
        <w:b/>
        <w:color w:val="404040"/>
      </w:rPr>
      <w:tcPr>
        <w:tcBorders>
          <w:top w:val="nil"/>
          <w:left w:val="nil"/>
          <w:bottom w:val="single" w:color="5B9BD5" w:sz="4" w:space="0"/>
          <w:right w:val="nil"/>
        </w:tcBorders>
      </w:tcPr>
    </w:tblStylePr>
    <w:tblStylePr w:type="lastRow">
      <w:rPr>
        <w:b/>
        <w:color w:val="404040"/>
      </w:rPr>
      <w:tcPr>
        <w:tcBorders>
          <w:top w:val="single" w:color="5B9BD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73">
    <w:name w:val="List Table 1 Light - Accent 2"/>
    <w:basedOn w:val="38"/>
    <w:qFormat/>
    <w:uiPriority w:val="99"/>
    <w:tblStylePr w:type="firstRow">
      <w:rPr>
        <w:b/>
        <w:color w:val="404040"/>
      </w:rPr>
      <w:tcPr>
        <w:tcBorders>
          <w:top w:val="nil"/>
          <w:left w:val="nil"/>
          <w:bottom w:val="single" w:color="ED7D31" w:sz="4" w:space="0"/>
          <w:right w:val="nil"/>
        </w:tcBorders>
      </w:tcPr>
    </w:tblStylePr>
    <w:tblStylePr w:type="lastRow">
      <w:rPr>
        <w:b/>
        <w:color w:val="404040"/>
      </w:rPr>
      <w:tcPr>
        <w:tcBorders>
          <w:top w:val="single" w:color="ED7D3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74">
    <w:name w:val="List Table 1 Light - Accent 3"/>
    <w:basedOn w:val="38"/>
    <w:qFormat/>
    <w:uiPriority w:val="99"/>
    <w:tblStylePr w:type="firstRow">
      <w:rPr>
        <w:b/>
        <w:color w:val="404040"/>
      </w:rPr>
      <w:tcPr>
        <w:tcBorders>
          <w:top w:val="nil"/>
          <w:left w:val="nil"/>
          <w:bottom w:val="single" w:color="A5A5A5" w:sz="4" w:space="0"/>
          <w:right w:val="nil"/>
        </w:tcBorders>
      </w:tcPr>
    </w:tblStylePr>
    <w:tblStylePr w:type="lastRow">
      <w:rPr>
        <w:b/>
        <w:color w:val="404040"/>
      </w:rPr>
      <w:tcPr>
        <w:tcBorders>
          <w:top w:val="single" w:color="A5A5A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75">
    <w:name w:val="List Table 1 Light - Accent 4"/>
    <w:basedOn w:val="38"/>
    <w:qFormat/>
    <w:uiPriority w:val="99"/>
    <w:tblStylePr w:type="firstRow">
      <w:rPr>
        <w:b/>
        <w:color w:val="404040"/>
      </w:rPr>
      <w:tcPr>
        <w:tcBorders>
          <w:top w:val="nil"/>
          <w:left w:val="nil"/>
          <w:bottom w:val="single" w:color="FFC000" w:sz="4" w:space="0"/>
          <w:right w:val="nil"/>
        </w:tcBorders>
      </w:tcPr>
    </w:tblStylePr>
    <w:tblStylePr w:type="lastRow">
      <w:rPr>
        <w:b/>
        <w:color w:val="404040"/>
      </w:rPr>
      <w:tcPr>
        <w:tcBorders>
          <w:top w:val="single" w:color="FFC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F" w:fill="FFEFBF"/>
      </w:tcPr>
    </w:tblStylePr>
    <w:tblStylePr w:type="band1Horz">
      <w:tcPr>
        <w:shd w:val="clear" w:color="FFEFBF" w:fill="FFEFBF"/>
      </w:tcPr>
    </w:tblStylePr>
  </w:style>
  <w:style w:type="table" w:customStyle="1" w:styleId="176">
    <w:name w:val="List Table 1 Light - Accent 5"/>
    <w:basedOn w:val="38"/>
    <w:qFormat/>
    <w:uiPriority w:val="99"/>
    <w:tblStylePr w:type="firstRow">
      <w:rPr>
        <w:b/>
        <w:color w:val="404040"/>
      </w:rPr>
      <w:tcPr>
        <w:tcBorders>
          <w:top w:val="nil"/>
          <w:left w:val="nil"/>
          <w:bottom w:val="single" w:color="4472C4" w:sz="4" w:space="0"/>
          <w:right w:val="nil"/>
        </w:tcBorders>
      </w:tcPr>
    </w:tblStylePr>
    <w:tblStylePr w:type="lastRow">
      <w:rPr>
        <w:b/>
        <w:color w:val="404040"/>
      </w:rPr>
      <w:tcPr>
        <w:tcBorders>
          <w:top w:val="single" w:color="4472C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FDBF0" w:fill="CFDBF0"/>
      </w:tcPr>
    </w:tblStylePr>
    <w:tblStylePr w:type="band1Horz">
      <w:tcPr>
        <w:shd w:val="clear" w:color="CFDBF0" w:fill="CFDBF0"/>
      </w:tcPr>
    </w:tblStylePr>
  </w:style>
  <w:style w:type="table" w:customStyle="1" w:styleId="177">
    <w:name w:val="List Table 1 Light - Accent 6"/>
    <w:basedOn w:val="38"/>
    <w:qFormat/>
    <w:uiPriority w:val="99"/>
    <w:tblStylePr w:type="firstRow">
      <w:rPr>
        <w:b/>
        <w:color w:val="404040"/>
      </w:rPr>
      <w:tcPr>
        <w:tcBorders>
          <w:top w:val="nil"/>
          <w:left w:val="nil"/>
          <w:bottom w:val="single" w:color="70AD47" w:sz="4" w:space="0"/>
          <w:right w:val="nil"/>
        </w:tcBorders>
      </w:tcPr>
    </w:tblStylePr>
    <w:tblStylePr w:type="lastRow">
      <w:rPr>
        <w:b/>
        <w:color w:val="404040"/>
      </w:rPr>
      <w:tcPr>
        <w:tcBorders>
          <w:top w:val="single" w:color="70AD47"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8">
    <w:name w:val="List Table 2 - Accent 1"/>
    <w:basedOn w:val="38"/>
    <w:qFormat/>
    <w:uiPriority w:val="99"/>
    <w:tblPr>
      <w:tblBorders>
        <w:top w:val="single" w:color="A2C6E7" w:sz="4" w:space="0"/>
        <w:bottom w:val="single" w:color="A2C6E7" w:sz="4" w:space="0"/>
        <w:insideH w:val="single" w:color="A2C6E7" w:sz="4" w:space="0"/>
      </w:tblBorders>
    </w:tblPr>
    <w:tblStylePr w:type="firstRow">
      <w:rPr>
        <w:rFonts w:ascii="Arial" w:hAnsi="Arial"/>
        <w:b/>
        <w:color w:val="404040"/>
        <w:sz w:val="22"/>
      </w:rPr>
      <w:tcPr>
        <w:tcBorders>
          <w:top w:val="single" w:color="A2C6E7" w:sz="4" w:space="0"/>
          <w:left w:val="nil"/>
          <w:bottom w:val="single" w:color="A2C6E7" w:sz="4" w:space="0"/>
          <w:right w:val="nil"/>
        </w:tcBorders>
      </w:tcPr>
    </w:tblStylePr>
    <w:tblStylePr w:type="lastRow">
      <w:rPr>
        <w:rFonts w:ascii="Arial" w:hAnsi="Arial"/>
        <w:b/>
        <w:color w:val="404040"/>
        <w:sz w:val="22"/>
      </w:rPr>
      <w:tcPr>
        <w:tcBorders>
          <w:top w:val="single" w:color="A2C6E7" w:sz="4" w:space="0"/>
          <w:left w:val="nil"/>
          <w:bottom w:val="single" w:color="A2C6E7"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79">
    <w:name w:val="List Table 2 - Accent 2"/>
    <w:basedOn w:val="38"/>
    <w:qFormat/>
    <w:uiPriority w:val="99"/>
    <w:tblPr>
      <w:tblBorders>
        <w:top w:val="single" w:color="F4B58A" w:sz="4" w:space="0"/>
        <w:bottom w:val="single" w:color="F4B58A" w:sz="4" w:space="0"/>
        <w:insideH w:val="single" w:color="F4B58A" w:sz="4" w:space="0"/>
      </w:tblBorders>
    </w:tblPr>
    <w:tblStylePr w:type="firstRow">
      <w:rPr>
        <w:rFonts w:ascii="Arial" w:hAnsi="Arial"/>
        <w:b/>
        <w:color w:val="404040"/>
        <w:sz w:val="22"/>
      </w:rPr>
      <w:tcPr>
        <w:tcBorders>
          <w:top w:val="single" w:color="F4B58A" w:sz="4" w:space="0"/>
          <w:left w:val="nil"/>
          <w:bottom w:val="single" w:color="F4B58A" w:sz="4" w:space="0"/>
          <w:right w:val="nil"/>
        </w:tcBorders>
      </w:tcPr>
    </w:tblStylePr>
    <w:tblStylePr w:type="lastRow">
      <w:rPr>
        <w:rFonts w:ascii="Arial" w:hAnsi="Arial"/>
        <w:b/>
        <w:color w:val="404040"/>
        <w:sz w:val="22"/>
      </w:rPr>
      <w:tcPr>
        <w:tcBorders>
          <w:top w:val="single" w:color="F4B58A" w:sz="4" w:space="0"/>
          <w:left w:val="nil"/>
          <w:bottom w:val="single" w:color="F4B58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80">
    <w:name w:val="List Table 2 - Accent 3"/>
    <w:basedOn w:val="38"/>
    <w:qFormat/>
    <w:uiPriority w:val="99"/>
    <w:tblPr>
      <w:tblBorders>
        <w:top w:val="single" w:color="CCCCCC" w:sz="4" w:space="0"/>
        <w:bottom w:val="single" w:color="CCCCCC" w:sz="4" w:space="0"/>
        <w:insideH w:val="single" w:color="CCCCCC" w:sz="4" w:space="0"/>
      </w:tblBorders>
    </w:tblPr>
    <w:tblStylePr w:type="firstRow">
      <w:rPr>
        <w:rFonts w:ascii="Arial" w:hAnsi="Arial"/>
        <w:b/>
        <w:color w:val="404040"/>
        <w:sz w:val="22"/>
      </w:rPr>
      <w:tcPr>
        <w:tcBorders>
          <w:top w:val="single" w:color="CCCCCC" w:sz="4" w:space="0"/>
          <w:left w:val="nil"/>
          <w:bottom w:val="single" w:color="CCCCCC" w:sz="4" w:space="0"/>
          <w:right w:val="nil"/>
        </w:tcBorders>
      </w:tcPr>
    </w:tblStylePr>
    <w:tblStylePr w:type="lastRow">
      <w:rPr>
        <w:rFonts w:ascii="Arial" w:hAnsi="Arial"/>
        <w:b/>
        <w:color w:val="404040"/>
        <w:sz w:val="22"/>
      </w:rPr>
      <w:tcPr>
        <w:tcBorders>
          <w:top w:val="single" w:color="CCCCCC" w:sz="4" w:space="0"/>
          <w:left w:val="nil"/>
          <w:bottom w:val="single" w:color="CCCCCC"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81">
    <w:name w:val="List Table 2 - Accent 4"/>
    <w:basedOn w:val="38"/>
    <w:qFormat/>
    <w:uiPriority w:val="99"/>
    <w:tblPr>
      <w:tblBorders>
        <w:top w:val="single" w:color="FFDB6F" w:sz="4" w:space="0"/>
        <w:bottom w:val="single" w:color="FFDB6F" w:sz="4" w:space="0"/>
        <w:insideH w:val="single" w:color="FFDB6F" w:sz="4" w:space="0"/>
      </w:tblBorders>
    </w:tblPr>
    <w:tblStylePr w:type="firstRow">
      <w:rPr>
        <w:rFonts w:ascii="Arial" w:hAnsi="Arial"/>
        <w:b/>
        <w:color w:val="404040"/>
        <w:sz w:val="22"/>
      </w:rPr>
      <w:tcPr>
        <w:tcBorders>
          <w:top w:val="single" w:color="FFDB6F" w:sz="4" w:space="0"/>
          <w:left w:val="nil"/>
          <w:bottom w:val="single" w:color="FFDB6F" w:sz="4" w:space="0"/>
          <w:right w:val="nil"/>
        </w:tcBorders>
      </w:tcPr>
    </w:tblStylePr>
    <w:tblStylePr w:type="lastRow">
      <w:rPr>
        <w:rFonts w:ascii="Arial" w:hAnsi="Arial"/>
        <w:b/>
        <w:color w:val="404040"/>
        <w:sz w:val="22"/>
      </w:rPr>
      <w:tcPr>
        <w:tcBorders>
          <w:top w:val="single" w:color="FFDB6F" w:sz="4" w:space="0"/>
          <w:left w:val="nil"/>
          <w:bottom w:val="single" w:color="FFDB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F" w:fill="FFEFBF"/>
      </w:tcPr>
    </w:tblStylePr>
    <w:tblStylePr w:type="band1Horz">
      <w:rPr>
        <w:rFonts w:ascii="Arial" w:hAnsi="Arial"/>
        <w:color w:val="404040"/>
        <w:sz w:val="22"/>
      </w:rPr>
      <w:tcPr>
        <w:shd w:val="clear" w:color="FFEFBF" w:fill="FFEFBF"/>
      </w:tcPr>
    </w:tblStylePr>
  </w:style>
  <w:style w:type="table" w:customStyle="1" w:styleId="182">
    <w:name w:val="List Table 2 - Accent 5"/>
    <w:basedOn w:val="38"/>
    <w:qFormat/>
    <w:uiPriority w:val="99"/>
    <w:tblPr>
      <w:tblBorders>
        <w:top w:val="single" w:color="95AFDD" w:sz="4" w:space="0"/>
        <w:bottom w:val="single" w:color="95AFDD" w:sz="4" w:space="0"/>
        <w:insideH w:val="single" w:color="95AFDD" w:sz="4" w:space="0"/>
      </w:tblBorders>
    </w:tblPr>
    <w:tblStylePr w:type="firstRow">
      <w:rPr>
        <w:rFonts w:ascii="Arial" w:hAnsi="Arial"/>
        <w:b/>
        <w:color w:val="404040"/>
        <w:sz w:val="22"/>
      </w:rPr>
      <w:tcPr>
        <w:tcBorders>
          <w:top w:val="single" w:color="95AFDD" w:sz="4" w:space="0"/>
          <w:left w:val="nil"/>
          <w:bottom w:val="single" w:color="95AFDD" w:sz="4" w:space="0"/>
          <w:right w:val="nil"/>
        </w:tcBorders>
      </w:tcPr>
    </w:tblStylePr>
    <w:tblStylePr w:type="lastRow">
      <w:rPr>
        <w:rFonts w:ascii="Arial" w:hAnsi="Arial"/>
        <w:b/>
        <w:color w:val="404040"/>
        <w:sz w:val="22"/>
      </w:rPr>
      <w:tcPr>
        <w:tcBorders>
          <w:top w:val="single" w:color="95AFDD" w:sz="4" w:space="0"/>
          <w:left w:val="nil"/>
          <w:bottom w:val="single" w:color="95AFDD"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FDBF0" w:fill="CFDBF0"/>
      </w:tcPr>
    </w:tblStylePr>
    <w:tblStylePr w:type="band1Horz">
      <w:rPr>
        <w:rFonts w:ascii="Arial" w:hAnsi="Arial"/>
        <w:color w:val="404040"/>
        <w:sz w:val="22"/>
      </w:rPr>
      <w:tcPr>
        <w:shd w:val="clear" w:color="CFDBF0" w:fill="CFDBF0"/>
      </w:tcPr>
    </w:tblStylePr>
  </w:style>
  <w:style w:type="table" w:customStyle="1" w:styleId="183">
    <w:name w:val="List Table 2 - Accent 6"/>
    <w:basedOn w:val="38"/>
    <w:qFormat/>
    <w:uiPriority w:val="99"/>
    <w:tblPr>
      <w:tblBorders>
        <w:top w:val="single" w:color="ADD394" w:sz="4" w:space="0"/>
        <w:bottom w:val="single" w:color="ADD394" w:sz="4" w:space="0"/>
        <w:insideH w:val="single" w:color="ADD394" w:sz="4" w:space="0"/>
      </w:tblBorders>
    </w:tblPr>
    <w:tblStylePr w:type="firstRow">
      <w:rPr>
        <w:rFonts w:ascii="Arial" w:hAnsi="Arial"/>
        <w:b/>
        <w:color w:val="404040"/>
        <w:sz w:val="22"/>
      </w:rPr>
      <w:tcPr>
        <w:tcBorders>
          <w:top w:val="single" w:color="ADD394" w:sz="4" w:space="0"/>
          <w:left w:val="nil"/>
          <w:bottom w:val="single" w:color="ADD394" w:sz="4" w:space="0"/>
          <w:right w:val="nil"/>
        </w:tcBorders>
      </w:tcPr>
    </w:tblStylePr>
    <w:tblStylePr w:type="lastRow">
      <w:rPr>
        <w:rFonts w:ascii="Arial" w:hAnsi="Arial"/>
        <w:b/>
        <w:color w:val="404040"/>
        <w:sz w:val="22"/>
      </w:rPr>
      <w:tcPr>
        <w:tcBorders>
          <w:top w:val="single" w:color="ADD394" w:sz="4" w:space="0"/>
          <w:left w:val="nil"/>
          <w:bottom w:val="single" w:color="ADD3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84">
    <w:name w:val="List Table 3 - Accent 1"/>
    <w:basedOn w:val="38"/>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sz="4" w:space="0"/>
          <w:right w:val="single" w:color="5B9BD5" w:sz="4" w:space="0"/>
        </w:tcBorders>
      </w:tcPr>
    </w:tblStylePr>
    <w:tblStylePr w:type="band1Horz">
      <w:rPr>
        <w:rFonts w:ascii="Arial" w:hAnsi="Arial"/>
        <w:color w:val="404040"/>
        <w:sz w:val="22"/>
      </w:rPr>
      <w:tcPr>
        <w:tcBorders>
          <w:top w:val="single" w:color="5B9BD5" w:sz="4" w:space="0"/>
          <w:bottom w:val="single" w:color="5B9BD5" w:sz="4" w:space="0"/>
        </w:tcBorders>
      </w:tcPr>
    </w:tblStylePr>
  </w:style>
  <w:style w:type="table" w:customStyle="1" w:styleId="185">
    <w:name w:val="List Table 3 - Accent 2"/>
    <w:basedOn w:val="38"/>
    <w:qFormat/>
    <w:uiPriority w:val="99"/>
    <w:tblPr>
      <w:tblBorders>
        <w:top w:val="single" w:color="F4B184" w:sz="4" w:space="0"/>
        <w:left w:val="single" w:color="F4B184" w:sz="4" w:space="0"/>
        <w:bottom w:val="single" w:color="F4B184" w:sz="4" w:space="0"/>
        <w:right w:val="single" w:color="F4B184" w:sz="4" w:space="0"/>
      </w:tblBorders>
    </w:tblPr>
    <w:tblStylePr w:type="firstRow">
      <w:rPr>
        <w:rFonts w:ascii="Arial" w:hAnsi="Arial"/>
        <w:b/>
        <w:color w:val="FFFFFF"/>
        <w:sz w:val="22"/>
      </w:r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184" w:sz="4" w:space="0"/>
          <w:right w:val="single" w:color="F4B184" w:sz="4" w:space="0"/>
        </w:tcBorders>
      </w:tcPr>
    </w:tblStylePr>
    <w:tblStylePr w:type="band1Horz">
      <w:rPr>
        <w:rFonts w:ascii="Arial" w:hAnsi="Arial"/>
        <w:color w:val="404040"/>
        <w:sz w:val="22"/>
      </w:rPr>
      <w:tcPr>
        <w:tcBorders>
          <w:top w:val="single" w:color="F4B184" w:sz="4" w:space="0"/>
          <w:bottom w:val="single" w:color="F4B184" w:sz="4" w:space="0"/>
        </w:tcBorders>
      </w:tcPr>
    </w:tblStylePr>
  </w:style>
  <w:style w:type="table" w:customStyle="1" w:styleId="186">
    <w:name w:val="List Table 3 - Accent 3"/>
    <w:basedOn w:val="38"/>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Arial" w:hAnsi="Arial"/>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sz="4" w:space="0"/>
          <w:right w:val="single" w:color="C9C9C9" w:sz="4" w:space="0"/>
        </w:tcBorders>
      </w:tcPr>
    </w:tblStylePr>
    <w:tblStylePr w:type="band1Horz">
      <w:rPr>
        <w:rFonts w:ascii="Arial" w:hAnsi="Arial"/>
        <w:color w:val="404040"/>
        <w:sz w:val="22"/>
      </w:rPr>
      <w:tcPr>
        <w:tcBorders>
          <w:top w:val="single" w:color="C9C9C9" w:sz="4" w:space="0"/>
          <w:bottom w:val="single" w:color="C9C9C9" w:sz="4" w:space="0"/>
        </w:tcBorders>
      </w:tcPr>
    </w:tblStylePr>
  </w:style>
  <w:style w:type="table" w:customStyle="1" w:styleId="187">
    <w:name w:val="List Table 3 - Accent 4"/>
    <w:basedOn w:val="38"/>
    <w:qFormat/>
    <w:uiPriority w:val="99"/>
    <w:tblPr>
      <w:tblBorders>
        <w:top w:val="single" w:color="FFD865" w:sz="4" w:space="0"/>
        <w:left w:val="single" w:color="FFD865" w:sz="4" w:space="0"/>
        <w:bottom w:val="single" w:color="FFD865" w:sz="4" w:space="0"/>
        <w:right w:val="single" w:color="FFD865" w:sz="4" w:space="0"/>
      </w:tblBorders>
    </w:tblPr>
    <w:tblStylePr w:type="firstRow">
      <w:rPr>
        <w:rFonts w:ascii="Arial" w:hAnsi="Arial"/>
        <w:b/>
        <w:color w:val="FFFFFF"/>
        <w:sz w:val="22"/>
      </w:r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5" w:sz="4" w:space="0"/>
          <w:right w:val="single" w:color="FFD865" w:sz="4" w:space="0"/>
        </w:tcBorders>
      </w:tcPr>
    </w:tblStylePr>
    <w:tblStylePr w:type="band1Horz">
      <w:rPr>
        <w:rFonts w:ascii="Arial" w:hAnsi="Arial"/>
        <w:color w:val="404040"/>
        <w:sz w:val="22"/>
      </w:rPr>
      <w:tcPr>
        <w:tcBorders>
          <w:top w:val="single" w:color="FFD865" w:sz="4" w:space="0"/>
          <w:bottom w:val="single" w:color="FFD865" w:sz="4" w:space="0"/>
        </w:tcBorders>
      </w:tcPr>
    </w:tblStylePr>
  </w:style>
  <w:style w:type="table" w:customStyle="1" w:styleId="188">
    <w:name w:val="List Table 3 - Accent 5"/>
    <w:basedOn w:val="38"/>
    <w:qFormat/>
    <w:uiPriority w:val="99"/>
    <w:tblPr>
      <w:tblBorders>
        <w:top w:val="single" w:color="8DA9DB" w:sz="4" w:space="0"/>
        <w:left w:val="single" w:color="8DA9DB" w:sz="4" w:space="0"/>
        <w:bottom w:val="single" w:color="8DA9DB" w:sz="4" w:space="0"/>
        <w:right w:val="single" w:color="8DA9DB" w:sz="4" w:space="0"/>
      </w:tblBorders>
    </w:tblPr>
    <w:tblStylePr w:type="firstRow">
      <w:rPr>
        <w:rFonts w:ascii="Arial" w:hAnsi="Arial"/>
        <w:b/>
        <w:color w:val="FFFFFF"/>
        <w:sz w:val="22"/>
      </w:rPr>
      <w:tcPr>
        <w:shd w:val="clear" w:color="8DA9DB" w:fill="8D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DA9DB" w:sz="4" w:space="0"/>
          <w:right w:val="single" w:color="8DA9DB" w:sz="4" w:space="0"/>
        </w:tcBorders>
      </w:tcPr>
    </w:tblStylePr>
    <w:tblStylePr w:type="band1Horz">
      <w:rPr>
        <w:rFonts w:ascii="Arial" w:hAnsi="Arial"/>
        <w:color w:val="404040"/>
        <w:sz w:val="22"/>
      </w:rPr>
      <w:tcPr>
        <w:tcBorders>
          <w:top w:val="single" w:color="8DA9DB" w:sz="4" w:space="0"/>
          <w:bottom w:val="single" w:color="8DA9DB" w:sz="4" w:space="0"/>
        </w:tcBorders>
      </w:tcPr>
    </w:tblStylePr>
  </w:style>
  <w:style w:type="table" w:customStyle="1" w:styleId="189">
    <w:name w:val="List Table 3 - Accent 6"/>
    <w:basedOn w:val="38"/>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Arial" w:hAnsi="Arial"/>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sz="4" w:space="0"/>
          <w:right w:val="single" w:color="A9D08E" w:sz="4" w:space="0"/>
        </w:tcBorders>
      </w:tcPr>
    </w:tblStylePr>
    <w:tblStylePr w:type="band1Horz">
      <w:rPr>
        <w:rFonts w:ascii="Arial" w:hAnsi="Arial"/>
        <w:color w:val="404040"/>
        <w:sz w:val="22"/>
      </w:rPr>
      <w:tcPr>
        <w:tcBorders>
          <w:top w:val="single" w:color="A9D08E" w:sz="4" w:space="0"/>
          <w:bottom w:val="single" w:color="A9D08E" w:sz="4" w:space="0"/>
        </w:tcBorders>
      </w:tcPr>
    </w:tblStylePr>
  </w:style>
  <w:style w:type="table" w:customStyle="1" w:styleId="190">
    <w:name w:val="List Table 4 - Accent 1"/>
    <w:basedOn w:val="38"/>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91">
    <w:name w:val="List Table 4 - Accent 2"/>
    <w:basedOn w:val="38"/>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Arial" w:hAnsi="Arial"/>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92">
    <w:name w:val="List Table 4 - Accent 3"/>
    <w:basedOn w:val="38"/>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Arial" w:hAnsi="Arial"/>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93">
    <w:name w:val="List Table 4 - Accent 4"/>
    <w:basedOn w:val="38"/>
    <w:qFormat/>
    <w:uiPriority w:val="99"/>
    <w:tblPr>
      <w:tblBorders>
        <w:top w:val="single" w:color="FFDB6F" w:sz="4" w:space="0"/>
        <w:left w:val="single" w:color="FFDB6F" w:sz="4" w:space="0"/>
        <w:bottom w:val="single" w:color="FFDB6F" w:sz="4" w:space="0"/>
        <w:right w:val="single" w:color="FFDB6F" w:sz="4" w:space="0"/>
        <w:insideH w:val="single" w:color="FFDB6F" w:sz="4" w:space="0"/>
      </w:tblBorders>
    </w:tblPr>
    <w:tblStylePr w:type="firstRow">
      <w:rPr>
        <w:rFonts w:ascii="Arial" w:hAnsi="Arial"/>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F" w:fill="FFEFBF"/>
      </w:tcPr>
    </w:tblStylePr>
    <w:tblStylePr w:type="band1Horz">
      <w:rPr>
        <w:rFonts w:ascii="Arial" w:hAnsi="Arial"/>
        <w:color w:val="404040"/>
        <w:sz w:val="22"/>
      </w:rPr>
      <w:tcPr>
        <w:shd w:val="clear" w:color="FFEFBF" w:fill="FFEFBF"/>
      </w:tcPr>
    </w:tblStylePr>
  </w:style>
  <w:style w:type="table" w:customStyle="1" w:styleId="194">
    <w:name w:val="List Table 4 - Accent 5"/>
    <w:basedOn w:val="38"/>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FDBF0" w:fill="CFDBF0"/>
      </w:tcPr>
    </w:tblStylePr>
    <w:tblStylePr w:type="band1Horz">
      <w:rPr>
        <w:rFonts w:ascii="Arial" w:hAnsi="Arial"/>
        <w:color w:val="404040"/>
        <w:sz w:val="22"/>
      </w:rPr>
      <w:tcPr>
        <w:shd w:val="clear" w:color="CFDBF0" w:fill="CFDBF0"/>
      </w:tcPr>
    </w:tblStylePr>
  </w:style>
  <w:style w:type="table" w:customStyle="1" w:styleId="195">
    <w:name w:val="List Table 4 - Accent 6"/>
    <w:basedOn w:val="38"/>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Arial" w:hAnsi="Arial"/>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96">
    <w:name w:val="List Table 5 Dark - Accent 1"/>
    <w:basedOn w:val="38"/>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Arial" w:hAnsi="Arial"/>
        <w:b/>
        <w:color w:val="FFFFFF"/>
        <w:sz w:val="22"/>
      </w:rPr>
      <w:tcPr>
        <w:tcBorders>
          <w:top w:val="single" w:color="5B9BD5" w:sz="32" w:space="0"/>
          <w:bottom w:val="single" w:color="FFFFFF" w:sz="12" w:space="0"/>
        </w:tcBorders>
        <w:shd w:val="clear" w:color="5B9BD5" w:fill="5B9BD5"/>
      </w:tcPr>
    </w:tblStylePr>
    <w:tblStylePr w:type="lastRow">
      <w:rPr>
        <w:rFonts w:ascii="Arial" w:hAnsi="Arial"/>
        <w:b/>
        <w:color w:val="FFFFFF"/>
        <w:sz w:val="22"/>
      </w:rPr>
    </w:tblStylePr>
    <w:tblStylePr w:type="firstCol">
      <w:rPr>
        <w:rFonts w:ascii="Arial" w:hAnsi="Arial"/>
        <w:b/>
        <w:color w:val="FFFFFF"/>
        <w:sz w:val="22"/>
      </w:rPr>
      <w:tcPr>
        <w:tcBorders>
          <w:left w:val="single" w:color="5B9BD5" w:sz="32" w:space="0"/>
          <w:right w:val="single" w:color="FFFFFF" w:sz="4" w:space="0"/>
        </w:tcBorders>
      </w:tcPr>
    </w:tblStylePr>
    <w:tblStylePr w:type="lastCol">
      <w:tcPr>
        <w:tcBorders>
          <w:left w:val="single" w:color="FFFFFF" w:sz="4" w:space="0"/>
          <w:right w:val="single" w:color="5B9BD5" w:sz="32" w:space="0"/>
        </w:tcBorders>
      </w:tcPr>
    </w:tblStylePr>
    <w:tblStylePr w:type="band1Vert">
      <w:tcPr>
        <w:tcBorders>
          <w:left w:val="single" w:color="FFFFFF" w:sz="4" w:space="0"/>
          <w:right w:val="single" w:color="FFFFFF" w:sz="4" w:space="0"/>
        </w:tcBorders>
        <w:shd w:val="clear" w:color="5B9BD5" w:fill="5B9BD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5B9BD5" w:fill="5B9BD5"/>
      </w:tcPr>
    </w:tblStylePr>
    <w:tblStylePr w:type="band2Horz">
      <w:tcPr>
        <w:tcBorders>
          <w:top w:val="single" w:color="FFFFFF" w:sz="4" w:space="0"/>
          <w:bottom w:val="single" w:color="FFFFFF" w:sz="4" w:space="0"/>
        </w:tcBorders>
        <w:shd w:val="clear" w:color="5B9BD5" w:fill="5B9BD5"/>
      </w:tcPr>
    </w:tblStylePr>
  </w:style>
  <w:style w:type="table" w:customStyle="1" w:styleId="197">
    <w:name w:val="List Table 5 Dark - Accent 2"/>
    <w:basedOn w:val="38"/>
    <w:qFormat/>
    <w:uiPriority w:val="99"/>
    <w:tblPr>
      <w:tblBorders>
        <w:top w:val="single" w:color="F4B184" w:sz="32" w:space="0"/>
        <w:left w:val="single" w:color="F4B184" w:sz="32" w:space="0"/>
        <w:bottom w:val="single" w:color="F4B184" w:sz="32" w:space="0"/>
        <w:right w:val="single" w:color="F4B184" w:sz="32" w:space="0"/>
      </w:tblBorders>
    </w:tblPr>
    <w:tblStylePr w:type="firstRow">
      <w:rPr>
        <w:rFonts w:ascii="Arial" w:hAnsi="Arial"/>
        <w:b/>
        <w:color w:val="FFFFFF"/>
        <w:sz w:val="22"/>
      </w:rPr>
      <w:tcPr>
        <w:tcBorders>
          <w:top w:val="single" w:color="F4B184" w:sz="32" w:space="0"/>
          <w:bottom w:val="single" w:color="FFFFFF" w:sz="12" w:space="0"/>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cPr>
        <w:tcBorders>
          <w:left w:val="single" w:color="F4B184" w:sz="32" w:space="0"/>
          <w:right w:val="single" w:color="FFFFFF" w:sz="4" w:space="0"/>
        </w:tcBorders>
      </w:tcPr>
    </w:tblStylePr>
    <w:tblStylePr w:type="lastCol">
      <w:tcPr>
        <w:tcBorders>
          <w:left w:val="single" w:color="FFFFFF" w:sz="4" w:space="0"/>
          <w:right w:val="single" w:color="F4B184" w:sz="32" w:space="0"/>
        </w:tcBorders>
      </w:tcPr>
    </w:tblStylePr>
    <w:tblStylePr w:type="band1Vert">
      <w:tcPr>
        <w:tcBorders>
          <w:left w:val="single" w:color="FFFFFF" w:sz="4" w:space="0"/>
          <w:right w:val="single" w:color="FFFFFF" w:sz="4" w:space="0"/>
        </w:tcBorders>
        <w:shd w:val="clear" w:color="F4B184" w:fill="F4B184"/>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4B184" w:fill="F4B184"/>
      </w:tcPr>
    </w:tblStylePr>
    <w:tblStylePr w:type="band2Horz">
      <w:tcPr>
        <w:tcBorders>
          <w:top w:val="single" w:color="FFFFFF" w:sz="4" w:space="0"/>
          <w:bottom w:val="single" w:color="FFFFFF" w:sz="4" w:space="0"/>
        </w:tcBorders>
        <w:shd w:val="clear" w:color="F4B184" w:fill="F4B184"/>
      </w:tcPr>
    </w:tblStylePr>
  </w:style>
  <w:style w:type="table" w:customStyle="1" w:styleId="198">
    <w:name w:val="List Table 5 Dark - Accent 3"/>
    <w:basedOn w:val="38"/>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Arial" w:hAnsi="Arial"/>
        <w:b/>
        <w:color w:val="FFFFFF"/>
        <w:sz w:val="22"/>
      </w:rPr>
      <w:tcPr>
        <w:tcBorders>
          <w:top w:val="single" w:color="C9C9C9" w:sz="32" w:space="0"/>
          <w:bottom w:val="single" w:color="FFFFFF" w:sz="12" w:space="0"/>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cPr>
        <w:tcBorders>
          <w:left w:val="single" w:color="C9C9C9" w:sz="32" w:space="0"/>
          <w:right w:val="single" w:color="FFFFFF" w:sz="4" w:space="0"/>
        </w:tcBorders>
      </w:tcPr>
    </w:tblStylePr>
    <w:tblStylePr w:type="lastCol">
      <w:tcPr>
        <w:tcBorders>
          <w:left w:val="single" w:color="FFFFFF" w:sz="4" w:space="0"/>
          <w:right w:val="single" w:color="C9C9C9" w:sz="32" w:space="0"/>
        </w:tcBorders>
      </w:tcPr>
    </w:tblStylePr>
    <w:tblStylePr w:type="band1Vert">
      <w:tcPr>
        <w:tcBorders>
          <w:left w:val="single" w:color="FFFFFF" w:sz="4" w:space="0"/>
          <w:right w:val="single" w:color="FFFFFF" w:sz="4" w:space="0"/>
        </w:tcBorders>
        <w:shd w:val="clear" w:color="C9C9C9" w:fill="C9C9C9"/>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9C9C9" w:fill="C9C9C9"/>
      </w:tcPr>
    </w:tblStylePr>
    <w:tblStylePr w:type="band2Horz">
      <w:tcPr>
        <w:tcBorders>
          <w:top w:val="single" w:color="FFFFFF" w:sz="4" w:space="0"/>
          <w:bottom w:val="single" w:color="FFFFFF" w:sz="4" w:space="0"/>
        </w:tcBorders>
        <w:shd w:val="clear" w:color="C9C9C9" w:fill="C9C9C9"/>
      </w:tcPr>
    </w:tblStylePr>
  </w:style>
  <w:style w:type="table" w:customStyle="1" w:styleId="199">
    <w:name w:val="List Table 5 Dark - Accent 4"/>
    <w:basedOn w:val="38"/>
    <w:qFormat/>
    <w:uiPriority w:val="99"/>
    <w:tblPr>
      <w:tblBorders>
        <w:top w:val="single" w:color="FFD865" w:sz="32" w:space="0"/>
        <w:left w:val="single" w:color="FFD865" w:sz="32" w:space="0"/>
        <w:bottom w:val="single" w:color="FFD865" w:sz="32" w:space="0"/>
        <w:right w:val="single" w:color="FFD865" w:sz="32" w:space="0"/>
      </w:tblBorders>
    </w:tblPr>
    <w:tblStylePr w:type="firstRow">
      <w:rPr>
        <w:rFonts w:ascii="Arial" w:hAnsi="Arial"/>
        <w:b/>
        <w:color w:val="FFFFFF"/>
        <w:sz w:val="22"/>
      </w:rPr>
      <w:tcPr>
        <w:tcBorders>
          <w:top w:val="single" w:color="FFD865" w:sz="32" w:space="0"/>
          <w:bottom w:val="single" w:color="FFFFFF" w:sz="12" w:space="0"/>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cPr>
        <w:tcBorders>
          <w:left w:val="single" w:color="FFD865" w:sz="32" w:space="0"/>
          <w:right w:val="single" w:color="FFFFFF" w:sz="4" w:space="0"/>
        </w:tcBorders>
      </w:tcPr>
    </w:tblStylePr>
    <w:tblStylePr w:type="lastCol">
      <w:tcPr>
        <w:tcBorders>
          <w:left w:val="single" w:color="FFFFFF" w:sz="4" w:space="0"/>
          <w:right w:val="single" w:color="FFD865" w:sz="32" w:space="0"/>
        </w:tcBorders>
      </w:tcPr>
    </w:tblStylePr>
    <w:tblStylePr w:type="band1Vert">
      <w:tcPr>
        <w:tcBorders>
          <w:left w:val="single" w:color="FFFFFF" w:sz="4" w:space="0"/>
          <w:right w:val="single" w:color="FFFFFF" w:sz="4" w:space="0"/>
        </w:tcBorders>
        <w:shd w:val="clear" w:color="FFD865" w:fill="FFD86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FD865" w:fill="FFD865"/>
      </w:tcPr>
    </w:tblStylePr>
    <w:tblStylePr w:type="band2Horz">
      <w:tcPr>
        <w:tcBorders>
          <w:top w:val="single" w:color="FFFFFF" w:sz="4" w:space="0"/>
          <w:bottom w:val="single" w:color="FFFFFF" w:sz="4" w:space="0"/>
        </w:tcBorders>
        <w:shd w:val="clear" w:color="FFD865" w:fill="FFD865"/>
      </w:tcPr>
    </w:tblStylePr>
  </w:style>
  <w:style w:type="table" w:customStyle="1" w:styleId="200">
    <w:name w:val="List Table 5 Dark - Accent 5"/>
    <w:basedOn w:val="38"/>
    <w:qFormat/>
    <w:uiPriority w:val="99"/>
    <w:tblPr>
      <w:tblBorders>
        <w:top w:val="single" w:color="8DA9DB" w:sz="32" w:space="0"/>
        <w:left w:val="single" w:color="8DA9DB" w:sz="32" w:space="0"/>
        <w:bottom w:val="single" w:color="8DA9DB" w:sz="32" w:space="0"/>
        <w:right w:val="single" w:color="8DA9DB" w:sz="32" w:space="0"/>
      </w:tblBorders>
    </w:tblPr>
    <w:tblStylePr w:type="firstRow">
      <w:rPr>
        <w:rFonts w:ascii="Arial" w:hAnsi="Arial"/>
        <w:b/>
        <w:color w:val="FFFFFF"/>
        <w:sz w:val="22"/>
      </w:rPr>
      <w:tcPr>
        <w:tcBorders>
          <w:top w:val="single" w:color="8DA9DB" w:sz="32" w:space="0"/>
          <w:bottom w:val="single" w:color="FFFFFF" w:sz="12" w:space="0"/>
        </w:tcBorders>
        <w:shd w:val="clear" w:color="8DA9DB" w:fill="8DA9DB"/>
      </w:tcPr>
    </w:tblStylePr>
    <w:tblStylePr w:type="lastRow">
      <w:rPr>
        <w:rFonts w:ascii="Arial" w:hAnsi="Arial"/>
        <w:b/>
        <w:color w:val="FFFFFF"/>
        <w:sz w:val="22"/>
      </w:rPr>
    </w:tblStylePr>
    <w:tblStylePr w:type="firstCol">
      <w:rPr>
        <w:rFonts w:ascii="Arial" w:hAnsi="Arial"/>
        <w:b/>
        <w:color w:val="FFFFFF"/>
        <w:sz w:val="22"/>
      </w:rPr>
      <w:tcPr>
        <w:tcBorders>
          <w:left w:val="single" w:color="8DA9DB" w:sz="32" w:space="0"/>
          <w:right w:val="single" w:color="FFFFFF" w:sz="4" w:space="0"/>
        </w:tcBorders>
      </w:tcPr>
    </w:tblStylePr>
    <w:tblStylePr w:type="lastCol">
      <w:tcPr>
        <w:tcBorders>
          <w:left w:val="single" w:color="FFFFFF" w:sz="4" w:space="0"/>
          <w:right w:val="single" w:color="8DA9DB" w:sz="32" w:space="0"/>
        </w:tcBorders>
      </w:tcPr>
    </w:tblStylePr>
    <w:tblStylePr w:type="band1Vert">
      <w:tcPr>
        <w:tcBorders>
          <w:left w:val="single" w:color="FFFFFF" w:sz="4" w:space="0"/>
          <w:right w:val="single" w:color="FFFFFF" w:sz="4" w:space="0"/>
        </w:tcBorders>
        <w:shd w:val="clear" w:color="8DA9DB" w:fill="8DA9D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8DA9DB" w:fill="8DA9DB"/>
      </w:tcPr>
    </w:tblStylePr>
    <w:tblStylePr w:type="band2Horz">
      <w:tcPr>
        <w:tcBorders>
          <w:top w:val="single" w:color="FFFFFF" w:sz="4" w:space="0"/>
          <w:bottom w:val="single" w:color="FFFFFF" w:sz="4" w:space="0"/>
        </w:tcBorders>
        <w:shd w:val="clear" w:color="8DA9DB" w:fill="8DA9DB"/>
      </w:tcPr>
    </w:tblStylePr>
  </w:style>
  <w:style w:type="table" w:customStyle="1" w:styleId="201">
    <w:name w:val="List Table 5 Dark - Accent 6"/>
    <w:basedOn w:val="38"/>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Arial" w:hAnsi="Arial"/>
        <w:b/>
        <w:color w:val="FFFFFF"/>
        <w:sz w:val="22"/>
      </w:rPr>
      <w:tcPr>
        <w:tcBorders>
          <w:top w:val="single" w:color="A9D08E" w:sz="32" w:space="0"/>
          <w:bottom w:val="single" w:color="FFFFFF" w:sz="12" w:space="0"/>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cPr>
        <w:tcBorders>
          <w:left w:val="single" w:color="A9D08E" w:sz="32" w:space="0"/>
          <w:right w:val="single" w:color="FFFFFF" w:sz="4" w:space="0"/>
        </w:tcBorders>
      </w:tcPr>
    </w:tblStylePr>
    <w:tblStylePr w:type="lastCol">
      <w:tcPr>
        <w:tcBorders>
          <w:left w:val="single" w:color="FFFFFF" w:sz="4" w:space="0"/>
          <w:right w:val="single" w:color="A9D08E" w:sz="32" w:space="0"/>
        </w:tcBorders>
      </w:tcPr>
    </w:tblStylePr>
    <w:tblStylePr w:type="band1Vert">
      <w:tcPr>
        <w:tcBorders>
          <w:left w:val="single" w:color="FFFFFF" w:sz="4" w:space="0"/>
          <w:right w:val="single" w:color="FFFFFF" w:sz="4" w:space="0"/>
        </w:tcBorders>
        <w:shd w:val="clear" w:color="A9D08E" w:fill="A9D08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9D08E" w:fill="A9D08E"/>
      </w:tcPr>
    </w:tblStylePr>
    <w:tblStylePr w:type="band2Horz">
      <w:tcPr>
        <w:tcBorders>
          <w:top w:val="single" w:color="FFFFFF" w:sz="4" w:space="0"/>
          <w:bottom w:val="single" w:color="FFFFFF" w:sz="4" w:space="0"/>
        </w:tcBorders>
        <w:shd w:val="clear" w:color="A9D08E" w:fill="A9D08E"/>
      </w:tcPr>
    </w:tblStylePr>
  </w:style>
  <w:style w:type="table" w:customStyle="1" w:styleId="202">
    <w:name w:val="List Table 6 Colorful - Accent 1"/>
    <w:basedOn w:val="38"/>
    <w:qFormat/>
    <w:uiPriority w:val="99"/>
    <w:tblPr>
      <w:tblBorders>
        <w:top w:val="single" w:color="5B9BD5" w:sz="4" w:space="0"/>
        <w:bottom w:val="single" w:color="5B9BD5" w:sz="4" w:space="0"/>
      </w:tblBorders>
    </w:tblPr>
    <w:tblStylePr w:type="firstRow">
      <w:rPr>
        <w:b/>
        <w:color w:val="245A8C"/>
      </w:rPr>
      <w:tcPr>
        <w:tcBorders>
          <w:bottom w:val="single" w:color="5B9BD5" w:sz="4" w:space="0"/>
        </w:tcBorders>
      </w:tcPr>
    </w:tblStylePr>
    <w:tblStylePr w:type="lastRow">
      <w:rPr>
        <w:b/>
        <w:color w:val="245A8C"/>
      </w:rPr>
      <w:tcPr>
        <w:tcBorders>
          <w:top w:val="single" w:color="5B9BD5" w:sz="4" w:space="0"/>
        </w:tcBorders>
      </w:tcPr>
    </w:tblStylePr>
    <w:tblStylePr w:type="firstCol">
      <w:rPr>
        <w:b/>
        <w:color w:val="245A8C"/>
      </w:rPr>
    </w:tblStylePr>
    <w:tblStylePr w:type="lastCol">
      <w:rPr>
        <w:b/>
        <w:color w:val="245A8C"/>
      </w:rPr>
    </w:tblStylePr>
    <w:tblStylePr w:type="band1Vert">
      <w:tcPr>
        <w:shd w:val="clear" w:color="D5E5F4" w:fill="D5E5F4"/>
      </w:tcPr>
    </w:tblStylePr>
    <w:tblStylePr w:type="band1Horz">
      <w:rPr>
        <w:rFonts w:ascii="Arial" w:hAnsi="Arial"/>
        <w:color w:val="245A8C"/>
        <w:sz w:val="22"/>
      </w:rPr>
      <w:tcPr>
        <w:shd w:val="clear" w:color="D5E5F4" w:fill="D5E5F4"/>
      </w:tcPr>
    </w:tblStylePr>
    <w:tblStylePr w:type="band2Horz">
      <w:rPr>
        <w:rFonts w:ascii="Arial" w:hAnsi="Arial"/>
        <w:color w:val="245A8C"/>
        <w:sz w:val="22"/>
      </w:rPr>
    </w:tblStylePr>
  </w:style>
  <w:style w:type="table" w:customStyle="1" w:styleId="203">
    <w:name w:val="List Table 6 Colorful - Accent 2"/>
    <w:basedOn w:val="38"/>
    <w:qFormat/>
    <w:uiPriority w:val="99"/>
    <w:tblPr>
      <w:tblBorders>
        <w:top w:val="single" w:color="F4B184" w:sz="4" w:space="0"/>
        <w:bottom w:val="single" w:color="F4B184" w:sz="4" w:space="0"/>
      </w:tblBorders>
    </w:tblPr>
    <w:tblStylePr w:type="firstRow">
      <w:rPr>
        <w:b/>
        <w:color w:val="F4B285"/>
      </w:rPr>
      <w:tcPr>
        <w:tcBorders>
          <w:bottom w:val="single" w:color="F4B184" w:sz="4" w:space="0"/>
        </w:tcBorders>
      </w:tcPr>
    </w:tblStylePr>
    <w:tblStylePr w:type="lastRow">
      <w:rPr>
        <w:b/>
        <w:color w:val="F4B285"/>
      </w:rPr>
      <w:tcPr>
        <w:tcBorders>
          <w:top w:val="single" w:color="F4B184" w:sz="4" w:space="0"/>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204">
    <w:name w:val="List Table 6 Colorful - Accent 3"/>
    <w:basedOn w:val="38"/>
    <w:qFormat/>
    <w:uiPriority w:val="99"/>
    <w:tblPr>
      <w:tblBorders>
        <w:top w:val="single" w:color="C9C9C9" w:sz="4" w:space="0"/>
        <w:bottom w:val="single" w:color="C9C9C9" w:sz="4" w:space="0"/>
      </w:tblBorders>
    </w:tblPr>
    <w:tblStylePr w:type="firstRow">
      <w:rPr>
        <w:b/>
        <w:color w:val="C9C9C9"/>
      </w:rPr>
      <w:tcPr>
        <w:tcBorders>
          <w:bottom w:val="single" w:color="C9C9C9" w:sz="4" w:space="0"/>
        </w:tcBorders>
      </w:tcPr>
    </w:tblStylePr>
    <w:tblStylePr w:type="lastRow">
      <w:rPr>
        <w:b/>
        <w:color w:val="C9C9C9"/>
      </w:rPr>
      <w:tcPr>
        <w:tcBorders>
          <w:top w:val="single" w:color="C9C9C9" w:sz="4" w:space="0"/>
        </w:tcBorders>
      </w:tcPr>
    </w:tblStylePr>
    <w:tblStylePr w:type="firstCol">
      <w:rPr>
        <w:b/>
        <w:color w:val="C9C9C9"/>
      </w:rPr>
    </w:tblStylePr>
    <w:tblStylePr w:type="lastCol">
      <w:rPr>
        <w:b/>
        <w:color w:val="C9C9C9"/>
      </w:r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205">
    <w:name w:val="List Table 6 Colorful - Accent 4"/>
    <w:basedOn w:val="38"/>
    <w:qFormat/>
    <w:uiPriority w:val="99"/>
    <w:tblPr>
      <w:tblBorders>
        <w:top w:val="single" w:color="FFD865" w:sz="4" w:space="0"/>
        <w:bottom w:val="single" w:color="FFD865" w:sz="4" w:space="0"/>
      </w:tblBorders>
    </w:tblPr>
    <w:tblStylePr w:type="firstRow">
      <w:rPr>
        <w:b/>
        <w:color w:val="FFD966"/>
      </w:rPr>
      <w:tcPr>
        <w:tcBorders>
          <w:bottom w:val="single" w:color="FFD865" w:sz="4" w:space="0"/>
        </w:tcBorders>
      </w:tcPr>
    </w:tblStylePr>
    <w:tblStylePr w:type="lastRow">
      <w:rPr>
        <w:b/>
        <w:color w:val="FFD966"/>
      </w:rPr>
      <w:tcPr>
        <w:tcBorders>
          <w:top w:val="single" w:color="FFD865" w:sz="4" w:space="0"/>
        </w:tcBorders>
      </w:tcPr>
    </w:tblStylePr>
    <w:tblStylePr w:type="firstCol">
      <w:rPr>
        <w:b/>
        <w:color w:val="FFD966"/>
      </w:rPr>
    </w:tblStylePr>
    <w:tblStylePr w:type="lastCol">
      <w:rPr>
        <w:b/>
        <w:color w:val="FFD966"/>
      </w:rPr>
    </w:tblStylePr>
    <w:tblStylePr w:type="band1Vert">
      <w:tcPr>
        <w:shd w:val="clear" w:color="FFEFBF" w:fill="FFEFBF"/>
      </w:tcPr>
    </w:tblStylePr>
    <w:tblStylePr w:type="band1Horz">
      <w:rPr>
        <w:rFonts w:ascii="Arial" w:hAnsi="Arial"/>
        <w:color w:val="FFD966"/>
        <w:sz w:val="22"/>
      </w:rPr>
      <w:tcPr>
        <w:shd w:val="clear" w:color="FFEFBF" w:fill="FFEFBF"/>
      </w:tcPr>
    </w:tblStylePr>
    <w:tblStylePr w:type="band2Horz">
      <w:rPr>
        <w:rFonts w:ascii="Arial" w:hAnsi="Arial"/>
        <w:color w:val="FFD966"/>
        <w:sz w:val="22"/>
      </w:rPr>
    </w:tblStylePr>
  </w:style>
  <w:style w:type="table" w:customStyle="1" w:styleId="206">
    <w:name w:val="List Table 6 Colorful - Accent 5"/>
    <w:basedOn w:val="38"/>
    <w:qFormat/>
    <w:uiPriority w:val="99"/>
    <w:tblPr>
      <w:tblBorders>
        <w:top w:val="single" w:color="8DA9DB" w:sz="4" w:space="0"/>
        <w:bottom w:val="single" w:color="8DA9DB" w:sz="4" w:space="0"/>
      </w:tblBorders>
    </w:tblPr>
    <w:tblStylePr w:type="firstRow">
      <w:rPr>
        <w:b/>
        <w:color w:val="8EAADB"/>
      </w:rPr>
      <w:tcPr>
        <w:tcBorders>
          <w:bottom w:val="single" w:color="8DA9DB" w:sz="4" w:space="0"/>
        </w:tcBorders>
      </w:tcPr>
    </w:tblStylePr>
    <w:tblStylePr w:type="lastRow">
      <w:rPr>
        <w:b/>
        <w:color w:val="8EAADB"/>
      </w:rPr>
      <w:tcPr>
        <w:tcBorders>
          <w:top w:val="single" w:color="8DA9DB" w:sz="4" w:space="0"/>
        </w:tcBorders>
      </w:tcPr>
    </w:tblStylePr>
    <w:tblStylePr w:type="firstCol">
      <w:rPr>
        <w:b/>
        <w:color w:val="8EAADB"/>
      </w:rPr>
    </w:tblStylePr>
    <w:tblStylePr w:type="lastCol">
      <w:rPr>
        <w:b/>
        <w:color w:val="8EAADB"/>
      </w:rPr>
    </w:tblStylePr>
    <w:tblStylePr w:type="band1Vert">
      <w:tcPr>
        <w:shd w:val="clear" w:color="CFDBF0" w:fill="CFDBF0"/>
      </w:tcPr>
    </w:tblStylePr>
    <w:tblStylePr w:type="band1Horz">
      <w:rPr>
        <w:rFonts w:ascii="Arial" w:hAnsi="Arial"/>
        <w:color w:val="8EAADB"/>
        <w:sz w:val="22"/>
      </w:rPr>
      <w:tcPr>
        <w:shd w:val="clear" w:color="CFDBF0" w:fill="CFDBF0"/>
      </w:tcPr>
    </w:tblStylePr>
    <w:tblStylePr w:type="band2Horz">
      <w:rPr>
        <w:rFonts w:ascii="Arial" w:hAnsi="Arial"/>
        <w:color w:val="8EAADB"/>
        <w:sz w:val="22"/>
      </w:rPr>
    </w:tblStylePr>
  </w:style>
  <w:style w:type="table" w:customStyle="1" w:styleId="207">
    <w:name w:val="List Table 6 Colorful - Accent 6"/>
    <w:basedOn w:val="38"/>
    <w:qFormat/>
    <w:uiPriority w:val="99"/>
    <w:tblPr>
      <w:tblBorders>
        <w:top w:val="single" w:color="A9D08E" w:sz="4" w:space="0"/>
        <w:bottom w:val="single" w:color="A9D08E" w:sz="4" w:space="0"/>
      </w:tblBorders>
    </w:tblPr>
    <w:tblStylePr w:type="firstRow">
      <w:rPr>
        <w:b/>
        <w:color w:val="A8D08D"/>
      </w:rPr>
      <w:tcPr>
        <w:tcBorders>
          <w:bottom w:val="single" w:color="A9D08E" w:sz="4" w:space="0"/>
        </w:tcBorders>
      </w:tcPr>
    </w:tblStylePr>
    <w:tblStylePr w:type="lastRow">
      <w:rPr>
        <w:b/>
        <w:color w:val="A8D08D"/>
      </w:rPr>
      <w:tcPr>
        <w:tcBorders>
          <w:top w:val="single" w:color="A9D08E" w:sz="4" w:space="0"/>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Arial" w:hAnsi="Arial"/>
        <w:color w:val="A8D08D"/>
        <w:sz w:val="22"/>
      </w:rPr>
      <w:tcPr>
        <w:shd w:val="clear" w:color="DAEBCF" w:fill="DAEBCF"/>
      </w:tcPr>
    </w:tblStylePr>
    <w:tblStylePr w:type="band2Horz">
      <w:rPr>
        <w:rFonts w:ascii="Arial" w:hAnsi="Arial"/>
        <w:color w:val="A8D08D"/>
        <w:sz w:val="22"/>
      </w:rPr>
    </w:tblStylePr>
  </w:style>
  <w:style w:type="table" w:customStyle="1" w:styleId="208">
    <w:name w:val="List Table 7 Colorful - Accent 1"/>
    <w:basedOn w:val="38"/>
    <w:qFormat/>
    <w:uiPriority w:val="99"/>
    <w:tblPr>
      <w:tblBorders>
        <w:right w:val="single" w:color="5B9BD5" w:sz="4" w:space="0"/>
      </w:tblBorders>
    </w:tblPr>
    <w:tblStylePr w:type="firstRow">
      <w:rPr>
        <w:rFonts w:ascii="Arial" w:hAnsi="Arial"/>
        <w:i/>
        <w:color w:val="245A8C"/>
        <w:sz w:val="22"/>
      </w:rPr>
      <w:tcPr>
        <w:tcBorders>
          <w:top w:val="nil"/>
          <w:left w:val="nil"/>
          <w:bottom w:val="single" w:color="5B9BD5" w:sz="4" w:space="0"/>
          <w:right w:val="nil"/>
        </w:tcBorders>
        <w:shd w:val="clear" w:color="FFFFFF" w:fill="FFFFFF"/>
      </w:tcPr>
    </w:tblStylePr>
    <w:tblStylePr w:type="lastRow">
      <w:rPr>
        <w:rFonts w:ascii="Arial" w:hAnsi="Arial"/>
        <w:i/>
        <w:color w:val="245A8C"/>
        <w:sz w:val="22"/>
      </w:rPr>
      <w:tcPr>
        <w:tcBorders>
          <w:top w:val="single" w:color="5B9BD5" w:sz="4" w:space="0"/>
          <w:left w:val="nil"/>
          <w:bottom w:val="nil"/>
          <w:right w:val="nil"/>
        </w:tcBorders>
        <w:shd w:val="clear" w:color="FFFFFF" w:fill="FFFFFF"/>
      </w:tcPr>
    </w:tblStylePr>
    <w:tblStylePr w:type="firstCol">
      <w:pPr>
        <w:jc w:val="right"/>
      </w:pPr>
      <w:rPr>
        <w:rFonts w:ascii="Arial" w:hAnsi="Arial"/>
        <w:i/>
        <w:color w:val="245A8C"/>
        <w:sz w:val="22"/>
      </w:rPr>
      <w:tcPr>
        <w:tcBorders>
          <w:top w:val="nil"/>
          <w:left w:val="nil"/>
          <w:bottom w:val="nil"/>
          <w:right w:val="single" w:color="5B9BD5" w:sz="4" w:space="0"/>
        </w:tcBorders>
        <w:shd w:val="clear" w:color="FFFFFF" w:fill="auto"/>
      </w:tcPr>
    </w:tblStylePr>
    <w:tblStylePr w:type="lastCol">
      <w:rPr>
        <w:rFonts w:ascii="Arial" w:hAnsi="Arial"/>
        <w:i/>
        <w:color w:val="245A8C"/>
        <w:sz w:val="22"/>
      </w:rPr>
      <w:tcPr>
        <w:tcBorders>
          <w:top w:val="nil"/>
          <w:left w:val="single" w:color="5B9BD5" w:sz="4" w:space="0"/>
          <w:bottom w:val="nil"/>
          <w:right w:val="nil"/>
        </w:tcBorders>
        <w:shd w:val="clear" w:color="FFFFFF" w:fill="auto"/>
      </w:tcPr>
    </w:tblStylePr>
    <w:tblStylePr w:type="band1Vert">
      <w:tcPr>
        <w:shd w:val="clear" w:color="D5E5F4" w:fill="D5E5F4"/>
      </w:tcPr>
    </w:tblStylePr>
    <w:tblStylePr w:type="band1Horz">
      <w:rPr>
        <w:rFonts w:ascii="Arial" w:hAnsi="Arial"/>
        <w:color w:val="245A8C"/>
        <w:sz w:val="22"/>
      </w:rPr>
      <w:tcPr>
        <w:shd w:val="clear" w:color="D5E5F4" w:fill="D5E5F4"/>
      </w:tcPr>
    </w:tblStylePr>
    <w:tblStylePr w:type="band2Horz">
      <w:rPr>
        <w:rFonts w:ascii="Arial" w:hAnsi="Arial"/>
        <w:color w:val="245A8C"/>
        <w:sz w:val="22"/>
      </w:rPr>
    </w:tblStylePr>
  </w:style>
  <w:style w:type="table" w:customStyle="1" w:styleId="209">
    <w:name w:val="List Table 7 Colorful - Accent 2"/>
    <w:basedOn w:val="38"/>
    <w:qFormat/>
    <w:uiPriority w:val="99"/>
    <w:tblPr>
      <w:tblBorders>
        <w:right w:val="single" w:color="F4B184" w:sz="4" w:space="0"/>
      </w:tblBorders>
    </w:tblPr>
    <w:tblStylePr w:type="firstRow">
      <w:rPr>
        <w:rFonts w:ascii="Arial" w:hAnsi="Arial"/>
        <w:i/>
        <w:color w:val="F4B285"/>
        <w:sz w:val="22"/>
      </w:rPr>
      <w:tcPr>
        <w:tcBorders>
          <w:top w:val="nil"/>
          <w:left w:val="nil"/>
          <w:bottom w:val="single" w:color="F4B184" w:sz="4" w:space="0"/>
          <w:right w:val="nil"/>
        </w:tcBorders>
        <w:shd w:val="clear" w:color="FFFFFF" w:fill="FFFFFF"/>
      </w:tcPr>
    </w:tblStylePr>
    <w:tblStylePr w:type="lastRow">
      <w:rPr>
        <w:rFonts w:ascii="Arial" w:hAnsi="Arial"/>
        <w:i/>
        <w:color w:val="F4B285"/>
        <w:sz w:val="22"/>
      </w:rPr>
      <w:tcPr>
        <w:tcBorders>
          <w:top w:val="single" w:color="F4B184" w:sz="4" w:space="0"/>
          <w:left w:val="nil"/>
          <w:bottom w:val="nil"/>
          <w:right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184" w:sz="4" w:space="0"/>
        </w:tcBorders>
        <w:shd w:val="clear" w:color="FFFFFF" w:fill="auto"/>
      </w:tcPr>
    </w:tblStylePr>
    <w:tblStylePr w:type="lastCol">
      <w:rPr>
        <w:rFonts w:ascii="Arial" w:hAnsi="Arial"/>
        <w:i/>
        <w:color w:val="F4B285"/>
        <w:sz w:val="22"/>
      </w:rPr>
      <w:tcPr>
        <w:tcBorders>
          <w:top w:val="nil"/>
          <w:left w:val="single" w:color="F4B184" w:sz="4" w:space="0"/>
          <w:bottom w:val="nil"/>
          <w:right w:val="nil"/>
        </w:tcBorders>
        <w:shd w:val="clear" w:color="FFFFFF" w:fill="auto"/>
      </w:tc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210">
    <w:name w:val="List Table 7 Colorful - Accent 3"/>
    <w:basedOn w:val="38"/>
    <w:qFormat/>
    <w:uiPriority w:val="99"/>
    <w:tblPr>
      <w:tblBorders>
        <w:right w:val="single" w:color="C9C9C9" w:sz="4" w:space="0"/>
      </w:tblBorders>
    </w:tblPr>
    <w:tblStylePr w:type="firstRow">
      <w:rPr>
        <w:rFonts w:ascii="Arial" w:hAnsi="Arial"/>
        <w:i/>
        <w:color w:val="C9C9C9"/>
        <w:sz w:val="22"/>
      </w:rPr>
      <w:tcPr>
        <w:tcBorders>
          <w:top w:val="nil"/>
          <w:left w:val="nil"/>
          <w:bottom w:val="single" w:color="C9C9C9" w:sz="4" w:space="0"/>
          <w:right w:val="nil"/>
        </w:tcBorders>
        <w:shd w:val="clear" w:color="FFFFFF" w:fill="FFFFFF"/>
      </w:tcPr>
    </w:tblStylePr>
    <w:tblStylePr w:type="lastRow">
      <w:rPr>
        <w:rFonts w:ascii="Arial" w:hAnsi="Arial"/>
        <w:i/>
        <w:color w:val="C9C9C9"/>
        <w:sz w:val="22"/>
      </w:rPr>
      <w:tcPr>
        <w:tcBorders>
          <w:top w:val="single" w:color="C9C9C9" w:sz="4" w:space="0"/>
          <w:left w:val="nil"/>
          <w:bottom w:val="nil"/>
          <w:right w:val="nil"/>
        </w:tcBorders>
        <w:shd w:val="clear" w:color="FFFFFF" w:fill="FFFFFF"/>
      </w:tcPr>
    </w:tblStylePr>
    <w:tblStylePr w:type="firstCol">
      <w:pPr>
        <w:jc w:val="right"/>
      </w:pPr>
      <w:rPr>
        <w:rFonts w:ascii="Arial" w:hAnsi="Arial"/>
        <w:i/>
        <w:color w:val="C9C9C9"/>
        <w:sz w:val="22"/>
      </w:rPr>
      <w:tcPr>
        <w:tcBorders>
          <w:top w:val="nil"/>
          <w:left w:val="nil"/>
          <w:bottom w:val="nil"/>
          <w:right w:val="single" w:color="C9C9C9" w:sz="4" w:space="0"/>
        </w:tcBorders>
        <w:shd w:val="clear" w:color="FFFFFF" w:fill="auto"/>
      </w:tcPr>
    </w:tblStylePr>
    <w:tblStylePr w:type="lastCol">
      <w:rPr>
        <w:rFonts w:ascii="Arial" w:hAnsi="Arial"/>
        <w:i/>
        <w:color w:val="C9C9C9"/>
        <w:sz w:val="22"/>
      </w:rPr>
      <w:tcPr>
        <w:tcBorders>
          <w:top w:val="nil"/>
          <w:left w:val="single" w:color="C9C9C9" w:sz="4" w:space="0"/>
          <w:bottom w:val="nil"/>
          <w:right w:val="nil"/>
        </w:tcBorders>
        <w:shd w:val="clear" w:color="FFFFFF" w:fill="auto"/>
      </w:tc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211">
    <w:name w:val="List Table 7 Colorful - Accent 4"/>
    <w:basedOn w:val="38"/>
    <w:qFormat/>
    <w:uiPriority w:val="99"/>
    <w:tblPr>
      <w:tblBorders>
        <w:right w:val="single" w:color="FFD865" w:sz="4" w:space="0"/>
      </w:tblBorders>
    </w:tblPr>
    <w:tblStylePr w:type="firstRow">
      <w:rPr>
        <w:rFonts w:ascii="Arial" w:hAnsi="Arial"/>
        <w:i/>
        <w:color w:val="FFD966"/>
        <w:sz w:val="22"/>
      </w:rPr>
      <w:tcPr>
        <w:tcBorders>
          <w:top w:val="nil"/>
          <w:left w:val="nil"/>
          <w:bottom w:val="single" w:color="FFD865" w:sz="4" w:space="0"/>
          <w:right w:val="nil"/>
        </w:tcBorders>
        <w:shd w:val="clear" w:color="FFFFFF" w:fill="FFFFFF"/>
      </w:tcPr>
    </w:tblStylePr>
    <w:tblStylePr w:type="lastRow">
      <w:rPr>
        <w:rFonts w:ascii="Arial" w:hAnsi="Arial"/>
        <w:i/>
        <w:color w:val="FFD966"/>
        <w:sz w:val="22"/>
      </w:rPr>
      <w:tcPr>
        <w:tcBorders>
          <w:top w:val="single" w:color="FFD865" w:sz="4" w:space="0"/>
          <w:left w:val="nil"/>
          <w:bottom w:val="nil"/>
          <w:right w:val="nil"/>
        </w:tcBorders>
        <w:shd w:val="clear" w:color="FFFFFF" w:fill="FFFFFF"/>
      </w:tcPr>
    </w:tblStylePr>
    <w:tblStylePr w:type="firstCol">
      <w:pPr>
        <w:jc w:val="right"/>
      </w:pPr>
      <w:rPr>
        <w:rFonts w:ascii="Arial" w:hAnsi="Arial"/>
        <w:i/>
        <w:color w:val="FFD966"/>
        <w:sz w:val="22"/>
      </w:rPr>
      <w:tcPr>
        <w:tcBorders>
          <w:top w:val="nil"/>
          <w:left w:val="nil"/>
          <w:bottom w:val="nil"/>
          <w:right w:val="single" w:color="FFD865" w:sz="4" w:space="0"/>
        </w:tcBorders>
        <w:shd w:val="clear" w:color="FFFFFF" w:fill="auto"/>
      </w:tcPr>
    </w:tblStylePr>
    <w:tblStylePr w:type="lastCol">
      <w:rPr>
        <w:rFonts w:ascii="Arial" w:hAnsi="Arial"/>
        <w:i/>
        <w:color w:val="FFD966"/>
        <w:sz w:val="22"/>
      </w:rPr>
      <w:tcPr>
        <w:tcBorders>
          <w:top w:val="nil"/>
          <w:left w:val="single" w:color="FFD865" w:sz="4" w:space="0"/>
          <w:bottom w:val="nil"/>
          <w:right w:val="nil"/>
        </w:tcBorders>
        <w:shd w:val="clear" w:color="FFFFFF" w:fill="auto"/>
      </w:tcPr>
    </w:tblStylePr>
    <w:tblStylePr w:type="band1Vert">
      <w:tcPr>
        <w:shd w:val="clear" w:color="FFEFBF" w:fill="FFEFBF"/>
      </w:tcPr>
    </w:tblStylePr>
    <w:tblStylePr w:type="band1Horz">
      <w:rPr>
        <w:rFonts w:ascii="Arial" w:hAnsi="Arial"/>
        <w:color w:val="FFD966"/>
        <w:sz w:val="22"/>
      </w:rPr>
      <w:tcPr>
        <w:shd w:val="clear" w:color="FFEFBF" w:fill="FFEFBF"/>
      </w:tcPr>
    </w:tblStylePr>
    <w:tblStylePr w:type="band2Horz">
      <w:rPr>
        <w:rFonts w:ascii="Arial" w:hAnsi="Arial"/>
        <w:color w:val="FFD966"/>
        <w:sz w:val="22"/>
      </w:rPr>
    </w:tblStylePr>
  </w:style>
  <w:style w:type="table" w:customStyle="1" w:styleId="212">
    <w:name w:val="List Table 7 Colorful - Accent 5"/>
    <w:basedOn w:val="38"/>
    <w:qFormat/>
    <w:uiPriority w:val="99"/>
    <w:tblPr>
      <w:tblBorders>
        <w:right w:val="single" w:color="8DA9DB" w:sz="4" w:space="0"/>
      </w:tblBorders>
    </w:tblPr>
    <w:tblStylePr w:type="firstRow">
      <w:rPr>
        <w:rFonts w:ascii="Arial" w:hAnsi="Arial"/>
        <w:i/>
        <w:color w:val="8EAADB"/>
        <w:sz w:val="22"/>
      </w:rPr>
      <w:tcPr>
        <w:tcBorders>
          <w:top w:val="nil"/>
          <w:left w:val="nil"/>
          <w:bottom w:val="single" w:color="8DA9DB" w:sz="4" w:space="0"/>
          <w:right w:val="nil"/>
        </w:tcBorders>
        <w:shd w:val="clear" w:color="FFFFFF" w:fill="FFFFFF"/>
      </w:tcPr>
    </w:tblStylePr>
    <w:tblStylePr w:type="lastRow">
      <w:rPr>
        <w:rFonts w:ascii="Arial" w:hAnsi="Arial"/>
        <w:i/>
        <w:color w:val="8EAADB"/>
        <w:sz w:val="22"/>
      </w:rPr>
      <w:tcPr>
        <w:tcBorders>
          <w:top w:val="single" w:color="8DA9DB" w:sz="4" w:space="0"/>
          <w:left w:val="nil"/>
          <w:bottom w:val="nil"/>
          <w:right w:val="nil"/>
        </w:tcBorders>
        <w:shd w:val="clear" w:color="FFFFFF" w:fill="FFFFFF"/>
      </w:tcPr>
    </w:tblStylePr>
    <w:tblStylePr w:type="firstCol">
      <w:pPr>
        <w:jc w:val="right"/>
      </w:pPr>
      <w:rPr>
        <w:rFonts w:ascii="Arial" w:hAnsi="Arial"/>
        <w:i/>
        <w:color w:val="8EAADB"/>
        <w:sz w:val="22"/>
      </w:rPr>
      <w:tcPr>
        <w:tcBorders>
          <w:top w:val="nil"/>
          <w:left w:val="nil"/>
          <w:bottom w:val="nil"/>
          <w:right w:val="single" w:color="8DA9DB" w:sz="4" w:space="0"/>
        </w:tcBorders>
        <w:shd w:val="clear" w:color="FFFFFF" w:fill="auto"/>
      </w:tcPr>
    </w:tblStylePr>
    <w:tblStylePr w:type="lastCol">
      <w:rPr>
        <w:rFonts w:ascii="Arial" w:hAnsi="Arial"/>
        <w:i/>
        <w:color w:val="8EAADB"/>
        <w:sz w:val="22"/>
      </w:rPr>
      <w:tcPr>
        <w:tcBorders>
          <w:top w:val="nil"/>
          <w:left w:val="single" w:color="8DA9DB" w:sz="4" w:space="0"/>
          <w:bottom w:val="nil"/>
          <w:right w:val="nil"/>
        </w:tcBorders>
        <w:shd w:val="clear" w:color="FFFFFF" w:fill="auto"/>
      </w:tcPr>
    </w:tblStylePr>
    <w:tblStylePr w:type="band1Vert">
      <w:tcPr>
        <w:shd w:val="clear" w:color="CFDBF0" w:fill="CFDBF0"/>
      </w:tcPr>
    </w:tblStylePr>
    <w:tblStylePr w:type="band1Horz">
      <w:rPr>
        <w:rFonts w:ascii="Arial" w:hAnsi="Arial"/>
        <w:color w:val="8EAADB"/>
        <w:sz w:val="22"/>
      </w:rPr>
      <w:tcPr>
        <w:shd w:val="clear" w:color="CFDBF0" w:fill="CFDBF0"/>
      </w:tcPr>
    </w:tblStylePr>
    <w:tblStylePr w:type="band2Horz">
      <w:rPr>
        <w:rFonts w:ascii="Arial" w:hAnsi="Arial"/>
        <w:color w:val="8EAADB"/>
        <w:sz w:val="22"/>
      </w:rPr>
    </w:tblStylePr>
  </w:style>
  <w:style w:type="table" w:customStyle="1" w:styleId="213">
    <w:name w:val="List Table 7 Colorful - Accent 6"/>
    <w:basedOn w:val="38"/>
    <w:qFormat/>
    <w:uiPriority w:val="99"/>
    <w:tblPr>
      <w:tblBorders>
        <w:right w:val="single" w:color="A9D08E" w:sz="4" w:space="0"/>
      </w:tblBorders>
    </w:tblPr>
    <w:tblStylePr w:type="firstRow">
      <w:rPr>
        <w:rFonts w:ascii="Arial" w:hAnsi="Arial"/>
        <w:i/>
        <w:color w:val="A8D08D"/>
        <w:sz w:val="22"/>
      </w:rPr>
      <w:tcPr>
        <w:tcBorders>
          <w:top w:val="nil"/>
          <w:left w:val="nil"/>
          <w:bottom w:val="single" w:color="A9D08E" w:sz="4" w:space="0"/>
          <w:right w:val="nil"/>
        </w:tcBorders>
        <w:shd w:val="clear" w:color="FFFFFF" w:fill="FFFFFF"/>
      </w:tcPr>
    </w:tblStylePr>
    <w:tblStylePr w:type="lastRow">
      <w:rPr>
        <w:rFonts w:ascii="Arial" w:hAnsi="Arial"/>
        <w:i/>
        <w:color w:val="A8D08D"/>
        <w:sz w:val="22"/>
      </w:rPr>
      <w:tcPr>
        <w:tcBorders>
          <w:top w:val="single" w:color="A9D08E" w:sz="4" w:space="0"/>
          <w:left w:val="nil"/>
          <w:bottom w:val="nil"/>
          <w:right w:val="nil"/>
        </w:tcBorders>
        <w:shd w:val="clear" w:color="FFFFFF" w:fill="FFFFFF"/>
      </w:tcPr>
    </w:tblStylePr>
    <w:tblStylePr w:type="firstCol">
      <w:pPr>
        <w:jc w:val="right"/>
      </w:pPr>
      <w:rPr>
        <w:rFonts w:ascii="Arial" w:hAnsi="Arial"/>
        <w:i/>
        <w:color w:val="A8D08D"/>
        <w:sz w:val="22"/>
      </w:rPr>
      <w:tcPr>
        <w:tcBorders>
          <w:top w:val="nil"/>
          <w:left w:val="nil"/>
          <w:bottom w:val="nil"/>
          <w:right w:val="single" w:color="A9D08E" w:sz="4" w:space="0"/>
        </w:tcBorders>
        <w:shd w:val="clear" w:color="FFFFFF" w:fill="auto"/>
      </w:tcPr>
    </w:tblStylePr>
    <w:tblStylePr w:type="lastCol">
      <w:rPr>
        <w:rFonts w:ascii="Arial" w:hAnsi="Arial"/>
        <w:i/>
        <w:color w:val="A8D08D"/>
        <w:sz w:val="22"/>
      </w:rPr>
      <w:tcPr>
        <w:tcBorders>
          <w:top w:val="nil"/>
          <w:left w:val="single" w:color="A9D08E" w:sz="4" w:space="0"/>
          <w:bottom w:val="nil"/>
          <w:right w:val="nil"/>
        </w:tcBorders>
        <w:shd w:val="clear" w:color="FFFFFF" w:fill="auto"/>
      </w:tcPr>
    </w:tblStylePr>
    <w:tblStylePr w:type="band1Vert">
      <w:tcPr>
        <w:shd w:val="clear" w:color="DAEBCF" w:fill="DAEBCF"/>
      </w:tcPr>
    </w:tblStylePr>
    <w:tblStylePr w:type="band1Horz">
      <w:rPr>
        <w:rFonts w:ascii="Arial" w:hAnsi="Arial"/>
        <w:color w:val="A8D08D"/>
        <w:sz w:val="22"/>
      </w:rPr>
      <w:tcPr>
        <w:shd w:val="clear" w:color="DAEBCF" w:fill="DAEBCF"/>
      </w:tcPr>
    </w:tblStylePr>
    <w:tblStylePr w:type="band2Horz">
      <w:rPr>
        <w:rFonts w:ascii="Arial" w:hAnsi="Arial"/>
        <w:color w:val="A8D08D"/>
        <w:sz w:val="22"/>
      </w:rPr>
    </w:tblStylePr>
  </w:style>
  <w:style w:type="table" w:customStyle="1" w:styleId="214">
    <w:name w:val="Lined - Accent"/>
    <w:basedOn w:val="38"/>
    <w:qFormat/>
    <w:uiPriority w:val="99"/>
    <w:rPr>
      <w:color w:val="404040"/>
    </w:r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15">
    <w:name w:val="Lined - Accent 1"/>
    <w:basedOn w:val="38"/>
    <w:qFormat/>
    <w:uiPriority w:val="99"/>
    <w:rPr>
      <w:color w:val="404040"/>
    </w:rPr>
    <w:tblStylePr w:type="firstRow">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tblStylePr w:type="firstCol">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band1Vert">
      <w:rPr>
        <w:rFonts w:ascii="Arial" w:hAnsi="Arial"/>
        <w:color w:val="404040"/>
        <w:sz w:val="22"/>
      </w:rPr>
    </w:tblStylePr>
    <w:tblStylePr w:type="band2Vert">
      <w:rPr>
        <w:rFonts w:ascii="Arial" w:hAnsi="Arial"/>
        <w:color w:val="404040"/>
        <w:sz w:val="22"/>
      </w:rPr>
      <w:tcPr>
        <w:shd w:val="clear" w:color="CBDFF1" w:fill="CBDFF1"/>
      </w:tcPr>
    </w:tblStylePr>
    <w:tblStylePr w:type="band1Horz">
      <w:rPr>
        <w:rFonts w:ascii="Arial" w:hAnsi="Arial"/>
        <w:color w:val="404040"/>
        <w:sz w:val="22"/>
      </w:rPr>
    </w:tblStylePr>
    <w:tblStylePr w:type="band2Horz">
      <w:rPr>
        <w:rFonts w:ascii="Arial" w:hAnsi="Arial"/>
        <w:color w:val="404040"/>
        <w:sz w:val="22"/>
      </w:rPr>
      <w:tcPr>
        <w:shd w:val="clear" w:color="CBDFF1" w:fill="CBDFF1"/>
      </w:tcPr>
    </w:tblStylePr>
  </w:style>
  <w:style w:type="table" w:customStyle="1" w:styleId="216">
    <w:name w:val="Lined - Accent 2"/>
    <w:basedOn w:val="38"/>
    <w:qFormat/>
    <w:uiPriority w:val="99"/>
    <w:rPr>
      <w:color w:val="404040"/>
    </w:rPr>
    <w:tblStylePr w:type="firstRow">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tblStylePr w:type="firstCol">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17">
    <w:name w:val="Lined - Accent 3"/>
    <w:basedOn w:val="38"/>
    <w:qFormat/>
    <w:uiPriority w:val="99"/>
    <w:rPr>
      <w:color w:val="404040"/>
    </w:r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18">
    <w:name w:val="Lined - Accent 4"/>
    <w:basedOn w:val="38"/>
    <w:qFormat/>
    <w:uiPriority w:val="99"/>
    <w:rPr>
      <w:color w:val="404040"/>
    </w:rPr>
    <w:tblStylePr w:type="firstRow">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tblStylePr w:type="firstCol">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band1Vert">
      <w:rPr>
        <w:rFonts w:ascii="Arial" w:hAnsi="Arial"/>
        <w:color w:val="404040"/>
        <w:sz w:val="22"/>
      </w:rPr>
    </w:tblStylePr>
    <w:tblStylePr w:type="band2Vert">
      <w:rPr>
        <w:rFonts w:ascii="Arial" w:hAnsi="Arial"/>
        <w:color w:val="404040"/>
        <w:sz w:val="22"/>
      </w:rPr>
      <w:tcPr>
        <w:shd w:val="clear" w:color="FFF2CB" w:fill="FFF2CB"/>
      </w:tcPr>
    </w:tblStylePr>
    <w:tblStylePr w:type="band1Horz">
      <w:rPr>
        <w:rFonts w:ascii="Arial" w:hAnsi="Arial"/>
        <w:color w:val="404040"/>
        <w:sz w:val="22"/>
      </w:rPr>
    </w:tblStylePr>
    <w:tblStylePr w:type="band2Horz">
      <w:rPr>
        <w:rFonts w:ascii="Arial" w:hAnsi="Arial"/>
        <w:color w:val="404040"/>
        <w:sz w:val="22"/>
      </w:rPr>
      <w:tcPr>
        <w:shd w:val="clear" w:color="FFF2CB" w:fill="FFF2CB"/>
      </w:tcPr>
    </w:tblStylePr>
  </w:style>
  <w:style w:type="table" w:customStyle="1" w:styleId="219">
    <w:name w:val="Lined - Accent 5"/>
    <w:basedOn w:val="38"/>
    <w:qFormat/>
    <w:uiPriority w:val="99"/>
    <w:rPr>
      <w:color w:val="404040"/>
    </w:rPr>
    <w:tblStylePr w:type="firstRow">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tblStylePr w:type="firstCol">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band1Vert">
      <w:rPr>
        <w:rFonts w:ascii="Arial" w:hAnsi="Arial"/>
        <w:color w:val="404040"/>
        <w:sz w:val="22"/>
      </w:rPr>
    </w:tblStylePr>
    <w:tblStylePr w:type="band2Vert">
      <w:rPr>
        <w:rFonts w:ascii="Arial" w:hAnsi="Arial"/>
        <w:color w:val="404040"/>
        <w:sz w:val="22"/>
      </w:rPr>
      <w:tcPr>
        <w:shd w:val="clear" w:color="D8E2F3" w:fill="D8E2F3"/>
      </w:tcPr>
    </w:tblStylePr>
    <w:tblStylePr w:type="band1Horz">
      <w:rPr>
        <w:rFonts w:ascii="Arial" w:hAnsi="Arial"/>
        <w:color w:val="404040"/>
        <w:sz w:val="22"/>
      </w:rPr>
    </w:tblStylePr>
    <w:tblStylePr w:type="band2Horz">
      <w:rPr>
        <w:rFonts w:ascii="Arial" w:hAnsi="Arial"/>
        <w:color w:val="404040"/>
        <w:sz w:val="22"/>
      </w:rPr>
      <w:tcPr>
        <w:shd w:val="clear" w:color="D8E2F3" w:fill="D8E2F3"/>
      </w:tcPr>
    </w:tblStylePr>
  </w:style>
  <w:style w:type="table" w:customStyle="1" w:styleId="220">
    <w:name w:val="Lined - Accent 6"/>
    <w:basedOn w:val="38"/>
    <w:qFormat/>
    <w:uiPriority w:val="99"/>
    <w:rPr>
      <w:color w:val="404040"/>
    </w:r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21">
    <w:name w:val="Bordered &amp; Lined - Accent"/>
    <w:basedOn w:val="38"/>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22">
    <w:name w:val="Bordered &amp; Lined - Accent 1"/>
    <w:basedOn w:val="38"/>
    <w:qFormat/>
    <w:uiPriority w:val="99"/>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firstRow">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tblStylePr w:type="firstCol">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band1Vert">
      <w:rPr>
        <w:rFonts w:ascii="Arial" w:hAnsi="Arial"/>
        <w:color w:val="404040"/>
        <w:sz w:val="22"/>
      </w:rPr>
    </w:tblStylePr>
    <w:tblStylePr w:type="band2Vert">
      <w:rPr>
        <w:rFonts w:ascii="Arial" w:hAnsi="Arial"/>
        <w:color w:val="404040"/>
        <w:sz w:val="22"/>
      </w:rPr>
      <w:tcPr>
        <w:shd w:val="clear" w:color="CBDFF1" w:fill="CBDFF1"/>
      </w:tcPr>
    </w:tblStylePr>
    <w:tblStylePr w:type="band1Horz">
      <w:rPr>
        <w:rFonts w:ascii="Arial" w:hAnsi="Arial"/>
        <w:color w:val="404040"/>
        <w:sz w:val="22"/>
      </w:rPr>
    </w:tblStylePr>
    <w:tblStylePr w:type="band2Horz">
      <w:rPr>
        <w:rFonts w:ascii="Arial" w:hAnsi="Arial"/>
        <w:color w:val="404040"/>
        <w:sz w:val="22"/>
      </w:rPr>
      <w:tcPr>
        <w:shd w:val="clear" w:color="CBDFF1" w:fill="CBDFF1"/>
      </w:tcPr>
    </w:tblStylePr>
  </w:style>
  <w:style w:type="table" w:customStyle="1" w:styleId="223">
    <w:name w:val="Bordered &amp; Lined - Accent 2"/>
    <w:basedOn w:val="38"/>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tblStylePr w:type="firstCol">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24">
    <w:name w:val="Bordered &amp; Lined - Accent 3"/>
    <w:basedOn w:val="38"/>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25">
    <w:name w:val="Bordered &amp; Lined - Accent 4"/>
    <w:basedOn w:val="38"/>
    <w:qFormat/>
    <w:uiPriority w:val="99"/>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firstRow">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tblStylePr w:type="firstCol">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band1Vert">
      <w:rPr>
        <w:rFonts w:ascii="Arial" w:hAnsi="Arial"/>
        <w:color w:val="404040"/>
        <w:sz w:val="22"/>
      </w:rPr>
    </w:tblStylePr>
    <w:tblStylePr w:type="band2Vert">
      <w:rPr>
        <w:rFonts w:ascii="Arial" w:hAnsi="Arial"/>
        <w:color w:val="404040"/>
        <w:sz w:val="22"/>
      </w:rPr>
      <w:tcPr>
        <w:shd w:val="clear" w:color="FFF2CB" w:fill="FFF2CB"/>
      </w:tcPr>
    </w:tblStylePr>
    <w:tblStylePr w:type="band1Horz">
      <w:rPr>
        <w:rFonts w:ascii="Arial" w:hAnsi="Arial"/>
        <w:color w:val="404040"/>
        <w:sz w:val="22"/>
      </w:rPr>
    </w:tblStylePr>
    <w:tblStylePr w:type="band2Horz">
      <w:rPr>
        <w:rFonts w:ascii="Arial" w:hAnsi="Arial"/>
        <w:color w:val="404040"/>
        <w:sz w:val="22"/>
      </w:rPr>
      <w:tcPr>
        <w:shd w:val="clear" w:color="FFF2CB" w:fill="FFF2CB"/>
      </w:tcPr>
    </w:tblStylePr>
  </w:style>
  <w:style w:type="table" w:customStyle="1" w:styleId="226">
    <w:name w:val="Bordered &amp; Lined - Accent 5"/>
    <w:basedOn w:val="38"/>
    <w:qFormat/>
    <w:uiPriority w:val="99"/>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firstRow">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tblStylePr w:type="firstCol">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band1Vert">
      <w:rPr>
        <w:rFonts w:ascii="Arial" w:hAnsi="Arial"/>
        <w:color w:val="404040"/>
        <w:sz w:val="22"/>
      </w:rPr>
    </w:tblStylePr>
    <w:tblStylePr w:type="band2Vert">
      <w:rPr>
        <w:rFonts w:ascii="Arial" w:hAnsi="Arial"/>
        <w:color w:val="404040"/>
        <w:sz w:val="22"/>
      </w:rPr>
      <w:tcPr>
        <w:shd w:val="clear" w:color="D8E2F3" w:fill="D8E2F3"/>
      </w:tcPr>
    </w:tblStylePr>
    <w:tblStylePr w:type="band1Horz">
      <w:rPr>
        <w:rFonts w:ascii="Arial" w:hAnsi="Arial"/>
        <w:color w:val="404040"/>
        <w:sz w:val="22"/>
      </w:rPr>
    </w:tblStylePr>
    <w:tblStylePr w:type="band2Horz">
      <w:rPr>
        <w:rFonts w:ascii="Arial" w:hAnsi="Arial"/>
        <w:color w:val="404040"/>
        <w:sz w:val="22"/>
      </w:rPr>
      <w:tcPr>
        <w:shd w:val="clear" w:color="D8E2F3" w:fill="D8E2F3"/>
      </w:tcPr>
    </w:tblStylePr>
  </w:style>
  <w:style w:type="table" w:customStyle="1" w:styleId="227">
    <w:name w:val="Bordered &amp; Lined - Accent 6"/>
    <w:basedOn w:val="38"/>
    <w:qFormat/>
    <w:uiPriority w:val="99"/>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28">
    <w:name w:val="Bordered"/>
    <w:basedOn w:val="38"/>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29">
    <w:name w:val="Bordered - Accent 1"/>
    <w:basedOn w:val="38"/>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Arial" w:hAnsi="Arial"/>
        <w:color w:val="404040"/>
        <w:sz w:val="22"/>
      </w:rPr>
      <w:tcPr>
        <w:tcBorders>
          <w:bottom w:val="single" w:color="5B9BD5" w:sz="12" w:space="0"/>
        </w:tcBorders>
      </w:tcPr>
    </w:tblStylePr>
    <w:tblStylePr w:type="lastRow">
      <w:rPr>
        <w:rFonts w:ascii="Arial" w:hAnsi="Arial"/>
        <w:color w:val="404040"/>
        <w:sz w:val="22"/>
      </w:rPr>
      <w:tcPr>
        <w:tcBorders>
          <w:top w:val="single" w:color="5B9BD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sz="12" w:space="0"/>
        </w:tcBorders>
      </w:tc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230">
    <w:name w:val="Bordered - Accent 2"/>
    <w:basedOn w:val="38"/>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Arial" w:hAnsi="Arial"/>
        <w:color w:val="404040"/>
        <w:sz w:val="22"/>
      </w:rPr>
      <w:tcPr>
        <w:tcBorders>
          <w:bottom w:val="single" w:color="F4B184" w:sz="12" w:space="0"/>
        </w:tcBorders>
      </w:tcPr>
    </w:tblStylePr>
    <w:tblStylePr w:type="lastRow">
      <w:rPr>
        <w:rFonts w:ascii="Arial" w:hAnsi="Arial"/>
        <w:color w:val="404040"/>
        <w:sz w:val="22"/>
      </w:rPr>
      <w:tcPr>
        <w:tcBorders>
          <w:top w:val="single" w:color="F4B184"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184" w:sz="12" w:space="0"/>
        </w:tcBorders>
      </w:tc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231">
    <w:name w:val="Bordered - Accent 3"/>
    <w:basedOn w:val="38"/>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Arial" w:hAnsi="Arial"/>
        <w:color w:val="404040"/>
        <w:sz w:val="22"/>
      </w:rPr>
      <w:tcPr>
        <w:tcBorders>
          <w:bottom w:val="single" w:color="C9C9C9" w:sz="12" w:space="0"/>
        </w:tcBorders>
      </w:tcPr>
    </w:tblStylePr>
    <w:tblStylePr w:type="lastRow">
      <w:rPr>
        <w:rFonts w:ascii="Arial" w:hAnsi="Arial"/>
        <w:color w:val="404040"/>
        <w:sz w:val="22"/>
      </w:rPr>
      <w:tcPr>
        <w:tcBorders>
          <w:top w:val="single" w:color="C9C9C9"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sz="12" w:space="0"/>
        </w:tcBorders>
      </w:tc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232">
    <w:name w:val="Bordered - Accent 4"/>
    <w:basedOn w:val="38"/>
    <w:qFormat/>
    <w:uiPriority w:val="99"/>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firstRow">
      <w:rPr>
        <w:rFonts w:ascii="Arial" w:hAnsi="Arial"/>
        <w:color w:val="404040"/>
        <w:sz w:val="22"/>
      </w:rPr>
      <w:tcPr>
        <w:tcBorders>
          <w:bottom w:val="single" w:color="FFD865" w:sz="12" w:space="0"/>
        </w:tcBorders>
      </w:tcPr>
    </w:tblStylePr>
    <w:tblStylePr w:type="lastRow">
      <w:rPr>
        <w:rFonts w:ascii="Arial" w:hAnsi="Arial"/>
        <w:color w:val="404040"/>
        <w:sz w:val="22"/>
      </w:rPr>
      <w:tcPr>
        <w:tcBorders>
          <w:top w:val="single" w:color="FFD86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5" w:sz="12" w:space="0"/>
        </w:tcBorders>
      </w:tcPr>
    </w:tblStyle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style>
  <w:style w:type="table" w:customStyle="1" w:styleId="233">
    <w:name w:val="Bordered - Accent 5"/>
    <w:basedOn w:val="38"/>
    <w:qFormat/>
    <w:uiPriority w:val="99"/>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firstRow">
      <w:rPr>
        <w:rFonts w:ascii="Arial" w:hAnsi="Arial"/>
        <w:color w:val="404040"/>
        <w:sz w:val="22"/>
      </w:rPr>
      <w:tcPr>
        <w:tcBorders>
          <w:bottom w:val="single" w:color="8DA9DB" w:sz="12" w:space="0"/>
        </w:tcBorders>
      </w:tcPr>
    </w:tblStylePr>
    <w:tblStylePr w:type="lastRow">
      <w:rPr>
        <w:rFonts w:ascii="Arial" w:hAnsi="Arial"/>
        <w:color w:val="404040"/>
        <w:sz w:val="22"/>
      </w:rPr>
      <w:tcPr>
        <w:tcBorders>
          <w:top w:val="single" w:color="8DA9D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DA9DB" w:sz="12" w:space="0"/>
        </w:tcBorders>
      </w:tcPr>
    </w:tblStyle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style>
  <w:style w:type="table" w:customStyle="1" w:styleId="234">
    <w:name w:val="Bordered - Accent 6"/>
    <w:basedOn w:val="38"/>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Arial" w:hAnsi="Arial"/>
        <w:color w:val="404040"/>
        <w:sz w:val="22"/>
      </w:rPr>
      <w:tcPr>
        <w:tcBorders>
          <w:bottom w:val="single" w:color="A9D08E" w:sz="12" w:space="0"/>
        </w:tcBorders>
      </w:tcPr>
    </w:tblStylePr>
    <w:tblStylePr w:type="lastRow">
      <w:rPr>
        <w:rFonts w:ascii="Arial" w:hAnsi="Arial"/>
        <w:color w:val="404040"/>
        <w:sz w:val="22"/>
      </w:rPr>
      <w:tcPr>
        <w:tcBorders>
          <w:top w:val="single" w:color="A9D08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sz="12" w:space="0"/>
        </w:tcBorders>
      </w:tc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character" w:customStyle="1" w:styleId="235">
    <w:name w:val="脚注文本 Char"/>
    <w:link w:val="30"/>
    <w:qFormat/>
    <w:uiPriority w:val="99"/>
    <w:rPr>
      <w:sz w:val="18"/>
    </w:rPr>
  </w:style>
  <w:style w:type="character" w:customStyle="1" w:styleId="236">
    <w:name w:val="尾注文本 Char"/>
    <w:link w:val="22"/>
    <w:qFormat/>
    <w:uiPriority w:val="99"/>
    <w:rPr>
      <w:sz w:val="20"/>
    </w:rPr>
  </w:style>
  <w:style w:type="paragraph" w:customStyle="1" w:styleId="237">
    <w:name w:val="TOC 标题11"/>
    <w:qFormat/>
    <w:uiPriority w:val="39"/>
    <w:pPr>
      <w:spacing w:after="200" w:line="276" w:lineRule="auto"/>
    </w:pPr>
    <w:rPr>
      <w:rFonts w:ascii="Arial" w:hAnsi="Arial" w:eastAsia="Arial" w:cs="Arial"/>
      <w:sz w:val="22"/>
      <w:szCs w:val="22"/>
      <w:lang w:val="en-US" w:eastAsia="en-US" w:bidi="ar-SA"/>
    </w:rPr>
  </w:style>
  <w:style w:type="paragraph" w:styleId="238">
    <w:name w:val="No Spacing"/>
    <w:basedOn w:val="1"/>
    <w:qFormat/>
    <w:uiPriority w:val="1"/>
    <w:pPr>
      <w:spacing w:after="0" w:line="240" w:lineRule="auto"/>
    </w:pPr>
  </w:style>
  <w:style w:type="paragraph" w:styleId="239">
    <w:name w:val="List Paragraph"/>
    <w:basedOn w:val="1"/>
    <w:qFormat/>
    <w:uiPriority w:val="34"/>
    <w:pPr>
      <w:ind w:left="720"/>
      <w:contextualSpacing/>
    </w:pPr>
  </w:style>
  <w:style w:type="paragraph" w:customStyle="1" w:styleId="240">
    <w:name w:val="Plain Text2"/>
    <w:basedOn w:val="1"/>
    <w:qFormat/>
    <w:uiPriority w:val="99"/>
    <w:rPr>
      <w:rFonts w:ascii="宋体" w:hAnsi="Courier New" w:eastAsia="楷体_GB2312"/>
      <w:sz w:val="28"/>
    </w:rPr>
  </w:style>
  <w:style w:type="paragraph" w:customStyle="1" w:styleId="241">
    <w:name w:val="纯文本6"/>
    <w:basedOn w:val="1"/>
    <w:qFormat/>
    <w:uiPriority w:val="0"/>
    <w:rPr>
      <w:rFonts w:ascii="宋体" w:hAnsi="Courier New" w:eastAsia="楷体_GB2312"/>
      <w:sz w:val="26"/>
    </w:rPr>
  </w:style>
  <w:style w:type="paragraph" w:customStyle="1" w:styleId="242">
    <w:name w:val="_正文"/>
    <w:basedOn w:val="1"/>
    <w:qFormat/>
    <w:uiPriority w:val="0"/>
    <w:pPr>
      <w:spacing w:line="360" w:lineRule="auto"/>
      <w:ind w:firstLine="200"/>
    </w:pPr>
    <w:rPr>
      <w:sz w:val="24"/>
      <w:szCs w:val="24"/>
    </w:rPr>
  </w:style>
  <w:style w:type="paragraph" w:customStyle="1" w:styleId="243">
    <w:name w:val="纯文本1"/>
    <w:basedOn w:val="1"/>
    <w:qFormat/>
    <w:uiPriority w:val="0"/>
    <w:rPr>
      <w:rFonts w:ascii="宋体" w:hAnsi="Courier New" w:eastAsia="楷体_GB2312"/>
      <w:sz w:val="26"/>
    </w:rPr>
  </w:style>
  <w:style w:type="paragraph" w:customStyle="1" w:styleId="244">
    <w:name w:val="列出段落1"/>
    <w:basedOn w:val="1"/>
    <w:qFormat/>
    <w:uiPriority w:val="34"/>
    <w:pPr>
      <w:ind w:firstLine="420"/>
    </w:pPr>
    <w:rPr>
      <w:rFonts w:eastAsia="宋体"/>
      <w:szCs w:val="24"/>
    </w:rPr>
  </w:style>
  <w:style w:type="character" w:customStyle="1" w:styleId="245">
    <w:name w:val="批注框文本 Char"/>
    <w:basedOn w:val="40"/>
    <w:link w:val="23"/>
    <w:qFormat/>
    <w:uiPriority w:val="99"/>
    <w:rPr>
      <w:rFonts w:ascii="Arial" w:hAnsi="Arial" w:eastAsia="Arial" w:cs="Arial"/>
      <w:sz w:val="18"/>
      <w:szCs w:val="18"/>
      <w:lang w:eastAsia="en-US"/>
    </w:rPr>
  </w:style>
  <w:style w:type="paragraph" w:customStyle="1" w:styleId="246">
    <w:name w:val="Normal_19"/>
    <w:qFormat/>
    <w:uiPriority w:val="0"/>
    <w:rPr>
      <w:rFonts w:ascii="Times New Roman" w:hAnsi="Times New Roman" w:eastAsia="Times New Roman" w:cs="Times New Roman"/>
      <w:sz w:val="24"/>
      <w:szCs w:val="24"/>
      <w:lang w:val="en-US" w:eastAsia="zh-CN" w:bidi="ar-SA"/>
    </w:rPr>
  </w:style>
  <w:style w:type="paragraph" w:customStyle="1" w:styleId="247">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48">
    <w:name w:val="Default"/>
    <w:next w:val="32"/>
    <w:qFormat/>
    <w:uiPriority w:val="0"/>
    <w:pPr>
      <w:widowControl w:val="0"/>
      <w:ind w:firstLine="200"/>
    </w:pPr>
    <w:rPr>
      <w:rFonts w:ascii="宋体" w:hAnsi="Times New Roman" w:eastAsia="宋体" w:cs="Times New Roman"/>
      <w:color w:val="000000"/>
      <w:sz w:val="24"/>
      <w:szCs w:val="22"/>
      <w:lang w:val="en-US" w:eastAsia="zh-CN" w:bidi="ar-SA"/>
    </w:rPr>
  </w:style>
  <w:style w:type="paragraph" w:customStyle="1" w:styleId="249">
    <w:name w:val="标正文"/>
    <w:basedOn w:val="1"/>
    <w:qFormat/>
    <w:uiPriority w:val="0"/>
    <w:pPr>
      <w:ind w:firstLine="480"/>
    </w:pPr>
    <w:rPr>
      <w:rFonts w:ascii="Times New Roman" w:hAnsi="Times New Roman" w:cs="Times New Roman"/>
    </w:rPr>
  </w:style>
  <w:style w:type="paragraph" w:customStyle="1" w:styleId="250">
    <w:name w:val="方案正文"/>
    <w:basedOn w:val="1"/>
    <w:qFormat/>
    <w:uiPriority w:val="0"/>
    <w:pPr>
      <w:spacing w:line="440" w:lineRule="atLeast"/>
    </w:pPr>
    <w:rPr>
      <w:sz w:val="24"/>
    </w:rPr>
  </w:style>
  <w:style w:type="character" w:customStyle="1" w:styleId="251">
    <w:name w:val="页眉 Char"/>
    <w:basedOn w:val="40"/>
    <w:link w:val="26"/>
    <w:qFormat/>
    <w:uiPriority w:val="99"/>
    <w:rPr>
      <w:rFonts w:ascii="Arial" w:hAnsi="Arial" w:eastAsia="Arial" w:cs="Arial"/>
      <w:sz w:val="18"/>
      <w:szCs w:val="18"/>
      <w:lang w:eastAsia="en-US"/>
    </w:rPr>
  </w:style>
  <w:style w:type="character" w:customStyle="1" w:styleId="252">
    <w:name w:val="页脚 Char"/>
    <w:basedOn w:val="40"/>
    <w:link w:val="24"/>
    <w:qFormat/>
    <w:uiPriority w:val="99"/>
    <w:rPr>
      <w:rFonts w:ascii="Arial" w:hAnsi="Arial" w:eastAsia="Arial" w:cs="Arial"/>
      <w:sz w:val="18"/>
      <w:szCs w:val="18"/>
      <w:lang w:eastAsia="en-US"/>
    </w:rPr>
  </w:style>
  <w:style w:type="paragraph" w:customStyle="1" w:styleId="253">
    <w:name w:val="__正文"/>
    <w:link w:val="254"/>
    <w:qFormat/>
    <w:uiPriority w:val="0"/>
    <w:pPr>
      <w:spacing w:line="360" w:lineRule="auto"/>
      <w:ind w:firstLine="200"/>
    </w:pPr>
    <w:rPr>
      <w:rFonts w:ascii="Calibri" w:hAnsi="Calibri" w:eastAsia="宋体" w:cs="宋体"/>
      <w:sz w:val="24"/>
      <w:szCs w:val="21"/>
      <w:lang w:val="en-US" w:eastAsia="zh-CN" w:bidi="ar-SA"/>
    </w:rPr>
  </w:style>
  <w:style w:type="character" w:customStyle="1" w:styleId="254">
    <w:name w:val="__正文 Char"/>
    <w:basedOn w:val="40"/>
    <w:link w:val="253"/>
    <w:qFormat/>
    <w:uiPriority w:val="0"/>
    <w:rPr>
      <w:rFonts w:ascii="Calibri" w:hAnsi="Calibri" w:eastAsia="宋体" w:cs="宋体"/>
      <w:sz w:val="24"/>
      <w:szCs w:val="21"/>
      <w:lang w:val="en-US" w:eastAsia="zh-CN" w:bidi="ar-SA"/>
    </w:rPr>
  </w:style>
  <w:style w:type="paragraph" w:customStyle="1" w:styleId="255">
    <w:name w:val="__正文不空"/>
    <w:qFormat/>
    <w:uiPriority w:val="0"/>
    <w:pPr>
      <w:spacing w:line="360" w:lineRule="auto"/>
    </w:pPr>
    <w:rPr>
      <w:rFonts w:asciiTheme="minorHAnsi" w:hAnsiTheme="minorHAnsi" w:eastAsiaTheme="minorEastAsia" w:cstheme="minorBidi"/>
      <w:sz w:val="24"/>
      <w:szCs w:val="21"/>
      <w:lang w:val="en-US" w:eastAsia="zh-CN" w:bidi="ar-SA"/>
    </w:rPr>
  </w:style>
  <w:style w:type="character" w:customStyle="1" w:styleId="256">
    <w:name w:val="font11"/>
    <w:basedOn w:val="40"/>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54</Pages>
  <Words>5297</Words>
  <Characters>30195</Characters>
  <Lines>251</Lines>
  <Paragraphs>70</Paragraphs>
  <TotalTime>3</TotalTime>
  <ScaleCrop>false</ScaleCrop>
  <LinksUpToDate>false</LinksUpToDate>
  <CharactersWithSpaces>35422</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2024-08-14T05:35:00Z</dcterms:created>
  <dc:creator>周萌</dc:creator>
  <cp:lastModifiedBy>周萌</cp:lastModifiedBy>
  <dcterms:modified xsi:type="dcterms:W3CDTF">2024-11-25T00:44:11Z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0ADD122DF47046E78C2774A2C662F310_13</vt:lpwstr>
  </property>
</Properties>
</file>